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RPr="00222917" w:rsidTr="00B6553F">
        <w:trPr>
          <w:cantSplit/>
          <w:trHeight w:hRule="exact" w:val="851"/>
        </w:trPr>
        <w:tc>
          <w:tcPr>
            <w:tcW w:w="1276" w:type="dxa"/>
            <w:tcBorders>
              <w:bottom w:val="single" w:sz="4" w:space="0" w:color="auto"/>
            </w:tcBorders>
            <w:vAlign w:val="bottom"/>
          </w:tcPr>
          <w:p w:rsidR="00B56E9C" w:rsidRPr="00222917" w:rsidRDefault="00B56E9C" w:rsidP="00B6553F">
            <w:pPr>
              <w:spacing w:after="80"/>
              <w:rPr>
                <w:lang w:val="en-US"/>
              </w:rPr>
            </w:pPr>
          </w:p>
        </w:tc>
        <w:tc>
          <w:tcPr>
            <w:tcW w:w="2268" w:type="dxa"/>
            <w:tcBorders>
              <w:bottom w:val="single" w:sz="4" w:space="0" w:color="auto"/>
            </w:tcBorders>
            <w:vAlign w:val="bottom"/>
          </w:tcPr>
          <w:p w:rsidR="00B56E9C" w:rsidRPr="00222917" w:rsidRDefault="00B56E9C" w:rsidP="00B6553F">
            <w:pPr>
              <w:spacing w:after="80" w:line="300" w:lineRule="exact"/>
              <w:rPr>
                <w:b/>
                <w:sz w:val="24"/>
                <w:szCs w:val="24"/>
                <w:lang w:val="en-US"/>
              </w:rPr>
            </w:pPr>
            <w:r w:rsidRPr="00222917">
              <w:rPr>
                <w:sz w:val="28"/>
                <w:szCs w:val="28"/>
                <w:lang w:val="en-US"/>
              </w:rPr>
              <w:t>United Nations</w:t>
            </w:r>
          </w:p>
        </w:tc>
        <w:tc>
          <w:tcPr>
            <w:tcW w:w="6095" w:type="dxa"/>
            <w:gridSpan w:val="2"/>
            <w:tcBorders>
              <w:bottom w:val="single" w:sz="4" w:space="0" w:color="auto"/>
            </w:tcBorders>
            <w:vAlign w:val="bottom"/>
          </w:tcPr>
          <w:p w:rsidR="00B56E9C" w:rsidRPr="00222917" w:rsidRDefault="00094FB7" w:rsidP="00094FB7">
            <w:pPr>
              <w:jc w:val="right"/>
              <w:rPr>
                <w:lang w:val="en-US"/>
              </w:rPr>
            </w:pPr>
            <w:r w:rsidRPr="00222917">
              <w:rPr>
                <w:sz w:val="40"/>
                <w:lang w:val="en-US"/>
              </w:rPr>
              <w:t>CCPR</w:t>
            </w:r>
            <w:r w:rsidRPr="00222917">
              <w:rPr>
                <w:lang w:val="en-US"/>
              </w:rPr>
              <w:t>/C/KOR/4</w:t>
            </w:r>
          </w:p>
        </w:tc>
      </w:tr>
      <w:tr w:rsidR="00B56E9C" w:rsidRPr="00222917" w:rsidTr="00B6553F">
        <w:trPr>
          <w:cantSplit/>
          <w:trHeight w:hRule="exact" w:val="2835"/>
        </w:trPr>
        <w:tc>
          <w:tcPr>
            <w:tcW w:w="1276" w:type="dxa"/>
            <w:tcBorders>
              <w:top w:val="single" w:sz="4" w:space="0" w:color="auto"/>
              <w:bottom w:val="single" w:sz="12" w:space="0" w:color="auto"/>
            </w:tcBorders>
          </w:tcPr>
          <w:p w:rsidR="00B56E9C" w:rsidRPr="00222917" w:rsidRDefault="00BB328E" w:rsidP="00B6553F">
            <w:pPr>
              <w:spacing w:before="120"/>
              <w:rPr>
                <w:lang w:val="en-US"/>
              </w:rPr>
            </w:pPr>
            <w:r w:rsidRPr="00222917">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22917" w:rsidRDefault="00B56E9C" w:rsidP="00267F5F">
            <w:pPr>
              <w:spacing w:before="120" w:line="380" w:lineRule="exact"/>
              <w:rPr>
                <w:sz w:val="34"/>
                <w:lang w:val="en-US"/>
              </w:rPr>
            </w:pPr>
            <w:r w:rsidRPr="00222917">
              <w:rPr>
                <w:b/>
                <w:sz w:val="34"/>
                <w:szCs w:val="40"/>
                <w:lang w:val="en-US"/>
              </w:rPr>
              <w:t xml:space="preserve">International </w:t>
            </w:r>
            <w:r w:rsidR="00060C3A" w:rsidRPr="00222917">
              <w:rPr>
                <w:b/>
                <w:sz w:val="34"/>
                <w:szCs w:val="40"/>
                <w:lang w:val="en-US"/>
              </w:rPr>
              <w:t>Covenant on</w:t>
            </w:r>
            <w:r w:rsidR="00060C3A" w:rsidRPr="00222917">
              <w:rPr>
                <w:b/>
                <w:sz w:val="34"/>
                <w:szCs w:val="40"/>
                <w:lang w:val="en-US"/>
              </w:rPr>
              <w:br/>
              <w:t>Civil and Political R</w:t>
            </w:r>
            <w:r w:rsidR="00703577" w:rsidRPr="00222917">
              <w:rPr>
                <w:b/>
                <w:sz w:val="34"/>
                <w:szCs w:val="40"/>
                <w:lang w:val="en-US"/>
              </w:rPr>
              <w:t>ights</w:t>
            </w:r>
          </w:p>
        </w:tc>
        <w:tc>
          <w:tcPr>
            <w:tcW w:w="2835" w:type="dxa"/>
            <w:tcBorders>
              <w:top w:val="single" w:sz="4" w:space="0" w:color="auto"/>
              <w:bottom w:val="single" w:sz="12" w:space="0" w:color="auto"/>
            </w:tcBorders>
          </w:tcPr>
          <w:p w:rsidR="00B56E9C" w:rsidRPr="00222917" w:rsidRDefault="00094FB7" w:rsidP="00094FB7">
            <w:pPr>
              <w:spacing w:before="240" w:line="240" w:lineRule="exact"/>
              <w:rPr>
                <w:lang w:val="en-US"/>
              </w:rPr>
            </w:pPr>
            <w:r w:rsidRPr="00222917">
              <w:rPr>
                <w:lang w:val="en-US"/>
              </w:rPr>
              <w:t>Distr.: General</w:t>
            </w:r>
          </w:p>
          <w:p w:rsidR="00094FB7" w:rsidRPr="00222917" w:rsidRDefault="00BA39D5" w:rsidP="00094FB7">
            <w:pPr>
              <w:spacing w:line="240" w:lineRule="exact"/>
              <w:rPr>
                <w:lang w:val="en-US"/>
              </w:rPr>
            </w:pPr>
            <w:r>
              <w:rPr>
                <w:lang w:val="en-US"/>
              </w:rPr>
              <w:t>4 November</w:t>
            </w:r>
            <w:r w:rsidR="00094FB7" w:rsidRPr="00792747">
              <w:rPr>
                <w:lang w:val="en-US"/>
              </w:rPr>
              <w:t xml:space="preserve"> 2013</w:t>
            </w:r>
          </w:p>
          <w:p w:rsidR="00094FB7" w:rsidRPr="00222917" w:rsidRDefault="00094FB7" w:rsidP="00094FB7">
            <w:pPr>
              <w:spacing w:line="240" w:lineRule="exact"/>
              <w:rPr>
                <w:lang w:val="en-US"/>
              </w:rPr>
            </w:pPr>
          </w:p>
          <w:p w:rsidR="00094FB7" w:rsidRPr="00222917" w:rsidRDefault="00094FB7" w:rsidP="00094FB7">
            <w:pPr>
              <w:spacing w:line="240" w:lineRule="exact"/>
              <w:rPr>
                <w:lang w:val="en-US"/>
              </w:rPr>
            </w:pPr>
            <w:r w:rsidRPr="00222917">
              <w:rPr>
                <w:lang w:val="en-US"/>
              </w:rPr>
              <w:t>Original: English</w:t>
            </w:r>
          </w:p>
        </w:tc>
      </w:tr>
    </w:tbl>
    <w:p w:rsidR="002D5BB0" w:rsidRPr="00222917" w:rsidRDefault="002D5BB0" w:rsidP="002D5BB0">
      <w:pPr>
        <w:spacing w:before="120"/>
        <w:rPr>
          <w:b/>
          <w:sz w:val="24"/>
          <w:szCs w:val="24"/>
          <w:lang w:val="en-US"/>
        </w:rPr>
      </w:pPr>
      <w:r w:rsidRPr="00222917">
        <w:rPr>
          <w:b/>
          <w:sz w:val="24"/>
          <w:szCs w:val="24"/>
          <w:lang w:val="en-US"/>
        </w:rPr>
        <w:t>Human Rights Committee</w:t>
      </w:r>
    </w:p>
    <w:p w:rsidR="002D5BB0" w:rsidRPr="00222917" w:rsidRDefault="002D5BB0" w:rsidP="002D5BB0">
      <w:pPr>
        <w:pStyle w:val="HMG"/>
        <w:rPr>
          <w:lang w:val="en-US"/>
        </w:rPr>
      </w:pPr>
      <w:r w:rsidRPr="00222917">
        <w:rPr>
          <w:lang w:val="en-US"/>
        </w:rPr>
        <w:tab/>
      </w:r>
      <w:r w:rsidRPr="00222917">
        <w:rPr>
          <w:lang w:val="en-US"/>
        </w:rPr>
        <w:tab/>
        <w:t>Consideration of reports submitted by States parties under article 40 of the Covenant</w:t>
      </w:r>
    </w:p>
    <w:p w:rsidR="002D5BB0" w:rsidRPr="00222917" w:rsidRDefault="002D5BB0" w:rsidP="00207251">
      <w:pPr>
        <w:pStyle w:val="HChG"/>
        <w:rPr>
          <w:lang w:val="en-US"/>
        </w:rPr>
      </w:pPr>
      <w:r w:rsidRPr="00222917">
        <w:rPr>
          <w:lang w:val="en-US"/>
        </w:rPr>
        <w:tab/>
      </w:r>
      <w:r w:rsidRPr="00222917">
        <w:rPr>
          <w:lang w:val="en-US"/>
        </w:rPr>
        <w:tab/>
      </w:r>
      <w:bookmarkStart w:id="0" w:name="_Toc351558081"/>
      <w:r w:rsidRPr="00222917">
        <w:rPr>
          <w:lang w:val="en-US"/>
        </w:rPr>
        <w:t>Fourth periodic report</w:t>
      </w:r>
      <w:r w:rsidR="007C49AC" w:rsidRPr="00222917">
        <w:rPr>
          <w:lang w:val="en-US"/>
        </w:rPr>
        <w:t>s</w:t>
      </w:r>
      <w:r w:rsidRPr="00222917">
        <w:rPr>
          <w:lang w:val="en-US"/>
        </w:rPr>
        <w:t xml:space="preserve"> of States parties</w:t>
      </w:r>
      <w:bookmarkEnd w:id="0"/>
      <w:r w:rsidRPr="00222917">
        <w:rPr>
          <w:lang w:val="en-US"/>
        </w:rPr>
        <w:t xml:space="preserve"> due in 2010</w:t>
      </w:r>
    </w:p>
    <w:p w:rsidR="002D5BB0" w:rsidRPr="00222917" w:rsidRDefault="002D5BB0" w:rsidP="002D5BB0">
      <w:pPr>
        <w:pStyle w:val="HMG"/>
        <w:rPr>
          <w:lang w:val="en-US"/>
        </w:rPr>
      </w:pPr>
      <w:r w:rsidRPr="00222917">
        <w:rPr>
          <w:lang w:val="en-US"/>
        </w:rPr>
        <w:tab/>
      </w:r>
      <w:r w:rsidRPr="00222917">
        <w:rPr>
          <w:lang w:val="en-US"/>
        </w:rPr>
        <w:tab/>
      </w:r>
      <w:smartTag w:uri="urn:schemas-microsoft-com:office:smarttags" w:element="place">
        <w:smartTag w:uri="urn:schemas-microsoft-com:office:smarttags" w:element="PlaceType">
          <w:r w:rsidRPr="00222917">
            <w:rPr>
              <w:lang w:val="en-US"/>
            </w:rPr>
            <w:t>Republic</w:t>
          </w:r>
        </w:smartTag>
        <w:r w:rsidRPr="00222917">
          <w:rPr>
            <w:lang w:val="en-US"/>
          </w:rPr>
          <w:t xml:space="preserve"> of </w:t>
        </w:r>
        <w:smartTag w:uri="urn:schemas-microsoft-com:office:smarttags" w:element="PlaceName">
          <w:r w:rsidRPr="00222917">
            <w:rPr>
              <w:lang w:val="en-US"/>
            </w:rPr>
            <w:t>Korea</w:t>
          </w:r>
        </w:smartTag>
      </w:smartTag>
      <w:r w:rsidRPr="00222917">
        <w:rPr>
          <w:rStyle w:val="FootnoteReference"/>
          <w:b w:val="0"/>
          <w:sz w:val="20"/>
          <w:vertAlign w:val="baseline"/>
          <w:lang w:val="en-US"/>
        </w:rPr>
        <w:footnoteReference w:customMarkFollows="1" w:id="2"/>
        <w:t>*</w:t>
      </w:r>
    </w:p>
    <w:p w:rsidR="00442A83" w:rsidRPr="00222917" w:rsidRDefault="002D5BB0" w:rsidP="002D5BB0">
      <w:pPr>
        <w:jc w:val="right"/>
        <w:rPr>
          <w:lang w:val="en-US"/>
        </w:rPr>
      </w:pPr>
      <w:r w:rsidRPr="00222917">
        <w:rPr>
          <w:lang w:val="en-US"/>
        </w:rPr>
        <w:t>[19 August 2013]</w:t>
      </w:r>
    </w:p>
    <w:p w:rsidR="002D5BB0" w:rsidRPr="00222917" w:rsidRDefault="002D5BB0" w:rsidP="002D5BB0">
      <w:pPr>
        <w:spacing w:after="120"/>
        <w:rPr>
          <w:sz w:val="28"/>
          <w:lang w:val="en-US"/>
        </w:rPr>
      </w:pPr>
      <w:r w:rsidRPr="00222917">
        <w:rPr>
          <w:lang w:val="en-US"/>
        </w:rPr>
        <w:br w:type="page"/>
      </w:r>
      <w:r w:rsidRPr="00222917">
        <w:rPr>
          <w:sz w:val="28"/>
          <w:lang w:val="en-US"/>
        </w:rPr>
        <w:t>Contents</w:t>
      </w:r>
    </w:p>
    <w:p w:rsidR="002D5BB0" w:rsidRPr="00222917" w:rsidRDefault="002D5BB0" w:rsidP="002D5BB0">
      <w:pPr>
        <w:tabs>
          <w:tab w:val="right" w:pos="8929"/>
          <w:tab w:val="right" w:pos="9638"/>
        </w:tabs>
        <w:spacing w:after="120"/>
        <w:ind w:left="283"/>
        <w:rPr>
          <w:lang w:val="en-US"/>
        </w:rPr>
      </w:pPr>
      <w:r w:rsidRPr="00222917">
        <w:rPr>
          <w:i/>
          <w:sz w:val="18"/>
          <w:lang w:val="en-US"/>
        </w:rPr>
        <w:tab/>
        <w:t>Paragraphs</w:t>
      </w:r>
      <w:r w:rsidRPr="00222917">
        <w:rPr>
          <w:i/>
          <w:sz w:val="18"/>
          <w:lang w:val="en-US"/>
        </w:rPr>
        <w:tab/>
        <w:t>Page</w:t>
      </w:r>
    </w:p>
    <w:p w:rsidR="002D5BB0" w:rsidRDefault="002D5BB0" w:rsidP="003817E4">
      <w:pPr>
        <w:tabs>
          <w:tab w:val="right" w:pos="850"/>
          <w:tab w:val="right" w:leader="dot" w:pos="7654"/>
          <w:tab w:val="right" w:pos="8929"/>
          <w:tab w:val="right" w:pos="9638"/>
        </w:tabs>
        <w:spacing w:after="120" w:line="220" w:lineRule="atLeast"/>
        <w:ind w:left="1134" w:hanging="1134"/>
        <w:rPr>
          <w:lang w:val="en-US"/>
        </w:rPr>
      </w:pPr>
      <w:r w:rsidRPr="00222917">
        <w:rPr>
          <w:lang w:val="en-US"/>
        </w:rPr>
        <w:tab/>
        <w:t>I.</w:t>
      </w:r>
      <w:r w:rsidRPr="00222917">
        <w:rPr>
          <w:lang w:val="en-US"/>
        </w:rPr>
        <w:tab/>
        <w:t>Introduction</w:t>
      </w:r>
      <w:r w:rsidRPr="00222917">
        <w:rPr>
          <w:lang w:val="en-US"/>
        </w:rPr>
        <w:tab/>
      </w:r>
      <w:r w:rsidRPr="00222917">
        <w:rPr>
          <w:lang w:val="en-US"/>
        </w:rPr>
        <w:tab/>
      </w:r>
      <w:r w:rsidR="00A246F8" w:rsidRPr="00222917">
        <w:rPr>
          <w:lang w:val="en-US"/>
        </w:rPr>
        <w:t>1–33</w:t>
      </w:r>
      <w:r w:rsidRPr="00222917">
        <w:rPr>
          <w:lang w:val="en-US"/>
        </w:rPr>
        <w:tab/>
      </w:r>
      <w:r w:rsidR="003817E4">
        <w:rPr>
          <w:lang w:val="en-US"/>
        </w:rPr>
        <w:t>4</w:t>
      </w:r>
    </w:p>
    <w:p w:rsidR="008E73D3" w:rsidRDefault="008E73D3" w:rsidP="003817E4">
      <w:pPr>
        <w:tabs>
          <w:tab w:val="right" w:pos="850"/>
          <w:tab w:val="left" w:pos="1134"/>
          <w:tab w:val="left" w:pos="1559"/>
          <w:tab w:val="left" w:pos="1984"/>
          <w:tab w:val="left" w:leader="dot" w:pos="7654"/>
          <w:tab w:val="right" w:pos="8929"/>
          <w:tab w:val="right" w:pos="9638"/>
        </w:tabs>
        <w:spacing w:after="120" w:line="200" w:lineRule="atLeast"/>
        <w:ind w:firstLine="560"/>
        <w:rPr>
          <w:iCs/>
        </w:rPr>
      </w:pPr>
      <w:r>
        <w:rPr>
          <w:iCs/>
        </w:rPr>
        <w:tab/>
      </w:r>
      <w:r>
        <w:rPr>
          <w:iCs/>
        </w:rPr>
        <w:tab/>
        <w:t>A.</w:t>
      </w:r>
      <w:r>
        <w:rPr>
          <w:iCs/>
        </w:rPr>
        <w:tab/>
      </w:r>
      <w:r w:rsidR="003817E4" w:rsidRPr="00222917">
        <w:rPr>
          <w:lang w:val="en-US"/>
        </w:rPr>
        <w:t>Establishment of the Human Rights Bureau in the Ministry of Justice</w:t>
      </w:r>
      <w:r>
        <w:rPr>
          <w:iCs/>
        </w:rPr>
        <w:tab/>
      </w:r>
      <w:r>
        <w:rPr>
          <w:iCs/>
        </w:rPr>
        <w:tab/>
      </w:r>
      <w:r w:rsidR="003817E4">
        <w:rPr>
          <w:iCs/>
        </w:rPr>
        <w:t>2–3</w:t>
      </w:r>
      <w:r>
        <w:rPr>
          <w:iCs/>
        </w:rPr>
        <w:tab/>
      </w:r>
      <w:r w:rsidR="003817E4">
        <w:rPr>
          <w:iCs/>
        </w:rPr>
        <w:t>4</w:t>
      </w:r>
    </w:p>
    <w:p w:rsidR="008E73D3" w:rsidRDefault="008E73D3" w:rsidP="003817E4">
      <w:pPr>
        <w:tabs>
          <w:tab w:val="right" w:pos="850"/>
          <w:tab w:val="left" w:pos="1134"/>
          <w:tab w:val="left" w:pos="1559"/>
          <w:tab w:val="left" w:pos="1984"/>
          <w:tab w:val="left" w:leader="dot" w:pos="7654"/>
          <w:tab w:val="right" w:pos="8929"/>
          <w:tab w:val="right" w:pos="9638"/>
        </w:tabs>
        <w:spacing w:after="120" w:line="200" w:lineRule="atLeast"/>
        <w:ind w:firstLine="560"/>
        <w:rPr>
          <w:iCs/>
        </w:rPr>
      </w:pPr>
      <w:r>
        <w:rPr>
          <w:iCs/>
        </w:rPr>
        <w:tab/>
      </w:r>
      <w:r>
        <w:rPr>
          <w:iCs/>
        </w:rPr>
        <w:tab/>
        <w:t>B.</w:t>
      </w:r>
      <w:r>
        <w:rPr>
          <w:iCs/>
        </w:rPr>
        <w:tab/>
      </w:r>
      <w:r w:rsidR="003817E4" w:rsidRPr="00222917">
        <w:rPr>
          <w:lang w:val="en-US"/>
        </w:rPr>
        <w:t>National Action Plan for the Promotion and Protection of Human Rights</w:t>
      </w:r>
      <w:r>
        <w:rPr>
          <w:iCs/>
        </w:rPr>
        <w:tab/>
      </w:r>
      <w:r>
        <w:rPr>
          <w:iCs/>
        </w:rPr>
        <w:tab/>
      </w:r>
      <w:r w:rsidR="003817E4">
        <w:rPr>
          <w:iCs/>
        </w:rPr>
        <w:t>4–5</w:t>
      </w:r>
      <w:r>
        <w:rPr>
          <w:iCs/>
        </w:rPr>
        <w:tab/>
      </w:r>
      <w:r w:rsidR="003817E4">
        <w:rPr>
          <w:iCs/>
        </w:rPr>
        <w:t>4</w:t>
      </w:r>
    </w:p>
    <w:p w:rsidR="008E73D3" w:rsidRDefault="008E73D3" w:rsidP="003817E4">
      <w:pPr>
        <w:tabs>
          <w:tab w:val="right" w:pos="850"/>
          <w:tab w:val="left" w:pos="1134"/>
          <w:tab w:val="left" w:pos="1559"/>
          <w:tab w:val="left" w:pos="1984"/>
          <w:tab w:val="left" w:leader="dot" w:pos="7654"/>
          <w:tab w:val="right" w:pos="8929"/>
          <w:tab w:val="right" w:pos="9638"/>
        </w:tabs>
        <w:spacing w:after="120" w:line="200" w:lineRule="atLeast"/>
        <w:ind w:firstLine="560"/>
        <w:rPr>
          <w:iCs/>
        </w:rPr>
      </w:pPr>
      <w:r>
        <w:rPr>
          <w:iCs/>
        </w:rPr>
        <w:tab/>
      </w:r>
      <w:r>
        <w:rPr>
          <w:iCs/>
        </w:rPr>
        <w:tab/>
        <w:t>C.</w:t>
      </w:r>
      <w:r>
        <w:rPr>
          <w:iCs/>
        </w:rPr>
        <w:tab/>
      </w:r>
      <w:r w:rsidR="003817E4" w:rsidRPr="003817E4">
        <w:rPr>
          <w:iCs/>
        </w:rPr>
        <w:t>Dissemination of the Covenant</w:t>
      </w:r>
      <w:r>
        <w:rPr>
          <w:iCs/>
        </w:rPr>
        <w:tab/>
      </w:r>
      <w:r>
        <w:rPr>
          <w:iCs/>
        </w:rPr>
        <w:tab/>
      </w:r>
      <w:r w:rsidR="003817E4">
        <w:rPr>
          <w:iCs/>
        </w:rPr>
        <w:t>6–7</w:t>
      </w:r>
      <w:r>
        <w:rPr>
          <w:iCs/>
        </w:rPr>
        <w:tab/>
      </w:r>
      <w:r w:rsidR="003817E4">
        <w:rPr>
          <w:iCs/>
        </w:rPr>
        <w:t>4</w:t>
      </w:r>
    </w:p>
    <w:p w:rsidR="008E73D3" w:rsidRDefault="008E73D3" w:rsidP="00505C89">
      <w:pPr>
        <w:tabs>
          <w:tab w:val="right" w:pos="850"/>
          <w:tab w:val="left" w:pos="1134"/>
          <w:tab w:val="left" w:pos="1559"/>
          <w:tab w:val="left" w:pos="1984"/>
          <w:tab w:val="left" w:leader="dot" w:pos="7654"/>
          <w:tab w:val="right" w:pos="8929"/>
          <w:tab w:val="right" w:pos="9638"/>
        </w:tabs>
        <w:spacing w:after="120" w:line="200" w:lineRule="atLeast"/>
        <w:ind w:firstLine="560"/>
        <w:rPr>
          <w:iCs/>
        </w:rPr>
      </w:pPr>
      <w:r>
        <w:rPr>
          <w:iCs/>
        </w:rPr>
        <w:tab/>
      </w:r>
      <w:r>
        <w:rPr>
          <w:iCs/>
        </w:rPr>
        <w:tab/>
        <w:t>D.</w:t>
      </w:r>
      <w:r>
        <w:rPr>
          <w:iCs/>
        </w:rPr>
        <w:tab/>
      </w:r>
      <w:r w:rsidR="003817E4" w:rsidRPr="003817E4">
        <w:rPr>
          <w:iCs/>
        </w:rPr>
        <w:t xml:space="preserve">Human </w:t>
      </w:r>
      <w:r w:rsidR="00505C89">
        <w:rPr>
          <w:iCs/>
        </w:rPr>
        <w:t>r</w:t>
      </w:r>
      <w:r w:rsidR="003817E4" w:rsidRPr="003817E4">
        <w:rPr>
          <w:iCs/>
        </w:rPr>
        <w:t xml:space="preserve">ights </w:t>
      </w:r>
      <w:r w:rsidR="00505C89">
        <w:rPr>
          <w:iCs/>
        </w:rPr>
        <w:t>e</w:t>
      </w:r>
      <w:r w:rsidR="003817E4" w:rsidRPr="003817E4">
        <w:rPr>
          <w:iCs/>
        </w:rPr>
        <w:t>ducation</w:t>
      </w:r>
      <w:r>
        <w:rPr>
          <w:iCs/>
        </w:rPr>
        <w:tab/>
      </w:r>
      <w:r>
        <w:rPr>
          <w:iCs/>
        </w:rPr>
        <w:tab/>
      </w:r>
      <w:r w:rsidR="003817E4">
        <w:rPr>
          <w:iCs/>
        </w:rPr>
        <w:t>8</w:t>
      </w:r>
      <w:r>
        <w:rPr>
          <w:iCs/>
        </w:rPr>
        <w:t>–1</w:t>
      </w:r>
      <w:r w:rsidR="003817E4">
        <w:rPr>
          <w:iCs/>
        </w:rPr>
        <w:t>5</w:t>
      </w:r>
      <w:r>
        <w:rPr>
          <w:iCs/>
        </w:rPr>
        <w:tab/>
      </w:r>
      <w:r w:rsidR="003817E4">
        <w:rPr>
          <w:iCs/>
        </w:rPr>
        <w:t>5</w:t>
      </w:r>
    </w:p>
    <w:p w:rsidR="003817E4" w:rsidRDefault="003817E4" w:rsidP="00505C89">
      <w:pPr>
        <w:tabs>
          <w:tab w:val="right" w:pos="850"/>
          <w:tab w:val="left" w:pos="1134"/>
          <w:tab w:val="left" w:pos="1559"/>
          <w:tab w:val="left" w:pos="1984"/>
          <w:tab w:val="left" w:leader="dot" w:pos="7654"/>
          <w:tab w:val="right" w:pos="8929"/>
          <w:tab w:val="right" w:pos="9638"/>
        </w:tabs>
        <w:spacing w:after="120" w:line="200" w:lineRule="atLeast"/>
        <w:ind w:firstLine="560"/>
        <w:rPr>
          <w:iCs/>
        </w:rPr>
      </w:pPr>
      <w:r>
        <w:rPr>
          <w:iCs/>
        </w:rPr>
        <w:tab/>
      </w:r>
      <w:r>
        <w:rPr>
          <w:iCs/>
        </w:rPr>
        <w:tab/>
        <w:t>E.</w:t>
      </w:r>
      <w:r>
        <w:rPr>
          <w:iCs/>
        </w:rPr>
        <w:tab/>
      </w:r>
      <w:r w:rsidRPr="003817E4">
        <w:rPr>
          <w:iCs/>
        </w:rPr>
        <w:t xml:space="preserve">Compliance of </w:t>
      </w:r>
      <w:r w:rsidR="00505C89">
        <w:rPr>
          <w:iCs/>
        </w:rPr>
        <w:t>c</w:t>
      </w:r>
      <w:r w:rsidRPr="003817E4">
        <w:rPr>
          <w:iCs/>
        </w:rPr>
        <w:t>ounter</w:t>
      </w:r>
      <w:r w:rsidR="00505C89">
        <w:rPr>
          <w:iCs/>
        </w:rPr>
        <w:t>-t</w:t>
      </w:r>
      <w:r w:rsidRPr="003817E4">
        <w:rPr>
          <w:iCs/>
        </w:rPr>
        <w:t xml:space="preserve">errorism </w:t>
      </w:r>
      <w:r w:rsidR="00505C89">
        <w:rPr>
          <w:iCs/>
        </w:rPr>
        <w:t>l</w:t>
      </w:r>
      <w:r w:rsidRPr="003817E4">
        <w:rPr>
          <w:iCs/>
        </w:rPr>
        <w:t>egislation with the Covenant</w:t>
      </w:r>
      <w:r>
        <w:rPr>
          <w:iCs/>
        </w:rPr>
        <w:tab/>
      </w:r>
      <w:r>
        <w:rPr>
          <w:iCs/>
        </w:rPr>
        <w:tab/>
        <w:t>16–19</w:t>
      </w:r>
      <w:r>
        <w:rPr>
          <w:iCs/>
        </w:rPr>
        <w:tab/>
        <w:t>7</w:t>
      </w:r>
    </w:p>
    <w:p w:rsidR="003817E4" w:rsidRDefault="003817E4" w:rsidP="003817E4">
      <w:pPr>
        <w:tabs>
          <w:tab w:val="right" w:pos="850"/>
          <w:tab w:val="left" w:pos="1134"/>
          <w:tab w:val="left" w:pos="1559"/>
          <w:tab w:val="left" w:pos="1984"/>
          <w:tab w:val="left" w:leader="dot" w:pos="7654"/>
          <w:tab w:val="right" w:pos="8929"/>
          <w:tab w:val="right" w:pos="9638"/>
        </w:tabs>
        <w:spacing w:after="120" w:line="200" w:lineRule="atLeast"/>
        <w:ind w:firstLine="560"/>
        <w:rPr>
          <w:iCs/>
        </w:rPr>
      </w:pPr>
      <w:r>
        <w:rPr>
          <w:iCs/>
        </w:rPr>
        <w:tab/>
      </w:r>
      <w:r>
        <w:rPr>
          <w:iCs/>
        </w:rPr>
        <w:tab/>
        <w:t>F.</w:t>
      </w:r>
      <w:r>
        <w:rPr>
          <w:iCs/>
        </w:rPr>
        <w:tab/>
      </w:r>
      <w:r w:rsidRPr="003817E4">
        <w:rPr>
          <w:iCs/>
        </w:rPr>
        <w:t>Work of the National Human Rights Institution</w:t>
      </w:r>
      <w:r>
        <w:rPr>
          <w:iCs/>
        </w:rPr>
        <w:tab/>
      </w:r>
      <w:r>
        <w:rPr>
          <w:iCs/>
        </w:rPr>
        <w:tab/>
        <w:t>20–21</w:t>
      </w:r>
      <w:r>
        <w:rPr>
          <w:iCs/>
        </w:rPr>
        <w:tab/>
        <w:t>7</w:t>
      </w:r>
    </w:p>
    <w:p w:rsidR="003817E4" w:rsidRDefault="003817E4" w:rsidP="00505C89">
      <w:pPr>
        <w:tabs>
          <w:tab w:val="right" w:pos="850"/>
          <w:tab w:val="left" w:pos="1134"/>
          <w:tab w:val="left" w:pos="1559"/>
          <w:tab w:val="left" w:pos="1984"/>
          <w:tab w:val="left" w:leader="dot" w:pos="7654"/>
          <w:tab w:val="right" w:pos="8929"/>
          <w:tab w:val="right" w:pos="9638"/>
        </w:tabs>
        <w:spacing w:after="120" w:line="200" w:lineRule="atLeast"/>
        <w:ind w:firstLine="560"/>
        <w:rPr>
          <w:lang w:val="en-US"/>
        </w:rPr>
      </w:pPr>
      <w:r>
        <w:rPr>
          <w:iCs/>
        </w:rPr>
        <w:tab/>
      </w:r>
      <w:r>
        <w:rPr>
          <w:iCs/>
        </w:rPr>
        <w:tab/>
        <w:t>G.</w:t>
      </w:r>
      <w:r>
        <w:rPr>
          <w:iCs/>
        </w:rPr>
        <w:tab/>
      </w:r>
      <w:r w:rsidRPr="00222917">
        <w:rPr>
          <w:lang w:val="en-US"/>
        </w:rPr>
        <w:t xml:space="preserve">Effect of the Covenant and </w:t>
      </w:r>
      <w:r w:rsidR="00505C89" w:rsidRPr="00505C89">
        <w:rPr>
          <w:lang w:val="en-US"/>
        </w:rPr>
        <w:t>cases in which it has been invoked in trials</w:t>
      </w:r>
      <w:r>
        <w:rPr>
          <w:lang w:val="en-US"/>
        </w:rPr>
        <w:tab/>
      </w:r>
      <w:r>
        <w:rPr>
          <w:lang w:val="en-US"/>
        </w:rPr>
        <w:tab/>
        <w:t>22</w:t>
      </w:r>
      <w:r>
        <w:rPr>
          <w:iCs/>
        </w:rPr>
        <w:t>–</w:t>
      </w:r>
      <w:r>
        <w:rPr>
          <w:lang w:val="en-US"/>
        </w:rPr>
        <w:t>25</w:t>
      </w:r>
      <w:r>
        <w:rPr>
          <w:lang w:val="en-US"/>
        </w:rPr>
        <w:tab/>
        <w:t>10</w:t>
      </w:r>
    </w:p>
    <w:p w:rsidR="003817E4" w:rsidRPr="003817E4" w:rsidRDefault="003817E4" w:rsidP="00505C89">
      <w:pPr>
        <w:tabs>
          <w:tab w:val="right" w:pos="850"/>
          <w:tab w:val="left" w:pos="1134"/>
          <w:tab w:val="left" w:pos="1559"/>
          <w:tab w:val="left" w:pos="1984"/>
          <w:tab w:val="left" w:leader="dot" w:pos="7654"/>
          <w:tab w:val="right" w:pos="8929"/>
          <w:tab w:val="right" w:pos="9638"/>
        </w:tabs>
        <w:spacing w:after="120" w:line="200" w:lineRule="atLeast"/>
        <w:ind w:firstLine="560"/>
        <w:rPr>
          <w:lang w:val="en-US"/>
        </w:rPr>
      </w:pPr>
      <w:r>
        <w:rPr>
          <w:lang w:val="en-US"/>
        </w:rPr>
        <w:tab/>
      </w:r>
      <w:r>
        <w:rPr>
          <w:lang w:val="en-US"/>
        </w:rPr>
        <w:tab/>
        <w:t>H.</w:t>
      </w:r>
      <w:r>
        <w:rPr>
          <w:lang w:val="en-US"/>
        </w:rPr>
        <w:tab/>
      </w:r>
      <w:r w:rsidRPr="003817E4">
        <w:rPr>
          <w:lang w:val="en-US"/>
        </w:rPr>
        <w:t xml:space="preserve">Individual Communications and </w:t>
      </w:r>
      <w:r w:rsidR="00505C89">
        <w:rPr>
          <w:lang w:val="en-US"/>
        </w:rPr>
        <w:t>e</w:t>
      </w:r>
      <w:r w:rsidRPr="003817E4">
        <w:rPr>
          <w:lang w:val="en-US"/>
        </w:rPr>
        <w:t xml:space="preserve">ndeavors for </w:t>
      </w:r>
      <w:r w:rsidR="00505C89">
        <w:rPr>
          <w:lang w:val="en-US"/>
        </w:rPr>
        <w:t>i</w:t>
      </w:r>
      <w:r w:rsidRPr="003817E4">
        <w:rPr>
          <w:lang w:val="en-US"/>
        </w:rPr>
        <w:t>mplementation of the Views</w:t>
      </w:r>
      <w:r>
        <w:rPr>
          <w:lang w:val="en-US"/>
        </w:rPr>
        <w:tab/>
        <w:t>26</w:t>
      </w:r>
      <w:r>
        <w:rPr>
          <w:iCs/>
        </w:rPr>
        <w:t>–</w:t>
      </w:r>
      <w:r>
        <w:rPr>
          <w:lang w:val="en-US"/>
        </w:rPr>
        <w:t>30</w:t>
      </w:r>
      <w:r>
        <w:rPr>
          <w:lang w:val="en-US"/>
        </w:rPr>
        <w:tab/>
        <w:t>10</w:t>
      </w:r>
    </w:p>
    <w:p w:rsidR="003817E4" w:rsidRPr="003817E4" w:rsidRDefault="003817E4" w:rsidP="003817E4">
      <w:pPr>
        <w:tabs>
          <w:tab w:val="right" w:pos="850"/>
          <w:tab w:val="left" w:pos="1134"/>
          <w:tab w:val="left" w:pos="1559"/>
          <w:tab w:val="left" w:pos="1984"/>
          <w:tab w:val="left" w:leader="dot" w:pos="7654"/>
          <w:tab w:val="right" w:pos="8929"/>
          <w:tab w:val="right" w:pos="9638"/>
        </w:tabs>
        <w:spacing w:after="120" w:line="200" w:lineRule="atLeast"/>
        <w:ind w:firstLine="560"/>
        <w:rPr>
          <w:lang w:val="en-US"/>
        </w:rPr>
      </w:pPr>
      <w:r>
        <w:rPr>
          <w:lang w:val="en-US"/>
        </w:rPr>
        <w:tab/>
      </w:r>
      <w:r>
        <w:rPr>
          <w:lang w:val="en-US"/>
        </w:rPr>
        <w:tab/>
        <w:t>I.</w:t>
      </w:r>
      <w:r>
        <w:rPr>
          <w:lang w:val="en-US"/>
        </w:rPr>
        <w:tab/>
      </w:r>
      <w:r w:rsidRPr="003817E4">
        <w:rPr>
          <w:lang w:val="en-US"/>
        </w:rPr>
        <w:t>Reservations to the Covenant</w:t>
      </w:r>
      <w:r>
        <w:rPr>
          <w:lang w:val="en-US"/>
        </w:rPr>
        <w:tab/>
      </w:r>
      <w:r>
        <w:rPr>
          <w:lang w:val="en-US"/>
        </w:rPr>
        <w:tab/>
        <w:t>31</w:t>
      </w:r>
      <w:r>
        <w:rPr>
          <w:iCs/>
        </w:rPr>
        <w:t>–</w:t>
      </w:r>
      <w:r>
        <w:rPr>
          <w:lang w:val="en-US"/>
        </w:rPr>
        <w:t>33</w:t>
      </w:r>
      <w:r>
        <w:rPr>
          <w:lang w:val="en-US"/>
        </w:rPr>
        <w:tab/>
        <w:t>11</w:t>
      </w:r>
    </w:p>
    <w:p w:rsidR="002D5BB0" w:rsidRPr="00AC1FAB" w:rsidRDefault="002D5BB0" w:rsidP="00AC1FAB">
      <w:pPr>
        <w:tabs>
          <w:tab w:val="right" w:pos="850"/>
          <w:tab w:val="right" w:leader="dot" w:pos="7654"/>
          <w:tab w:val="right" w:pos="8929"/>
          <w:tab w:val="right" w:pos="9638"/>
        </w:tabs>
        <w:spacing w:after="120" w:line="220" w:lineRule="atLeast"/>
        <w:ind w:left="1134" w:hanging="1134"/>
        <w:rPr>
          <w:rFonts w:ascii="II" w:hAnsi="II"/>
          <w:lang w:val="en-US"/>
        </w:rPr>
      </w:pPr>
      <w:r w:rsidRPr="00222917">
        <w:rPr>
          <w:lang w:val="en-US"/>
        </w:rPr>
        <w:tab/>
        <w:t>II.</w:t>
      </w:r>
      <w:r w:rsidRPr="00222917">
        <w:rPr>
          <w:lang w:val="en-US"/>
        </w:rPr>
        <w:tab/>
        <w:t>Information relating to each article of the Covenant</w:t>
      </w:r>
      <w:r w:rsidRPr="00222917">
        <w:rPr>
          <w:lang w:val="en-US"/>
        </w:rPr>
        <w:tab/>
      </w:r>
      <w:r w:rsidRPr="00222917">
        <w:rPr>
          <w:lang w:val="en-US"/>
        </w:rPr>
        <w:tab/>
      </w:r>
      <w:r w:rsidR="00A246F8" w:rsidRPr="00222917">
        <w:rPr>
          <w:lang w:val="en-US"/>
        </w:rPr>
        <w:t>34–386</w:t>
      </w:r>
      <w:r w:rsidRPr="00222917">
        <w:rPr>
          <w:lang w:val="en-US"/>
        </w:rPr>
        <w:tab/>
      </w:r>
      <w:r w:rsidR="00AC1FAB" w:rsidRPr="00222917">
        <w:rPr>
          <w:lang w:val="en-US"/>
        </w:rPr>
        <w:t>1</w:t>
      </w:r>
      <w:r w:rsidR="00AC1FAB">
        <w:rPr>
          <w:lang w:val="en-US"/>
        </w:rPr>
        <w:t>1</w:t>
      </w:r>
    </w:p>
    <w:p w:rsidR="002D5BB0" w:rsidRPr="00547908" w:rsidRDefault="002D5BB0" w:rsidP="00AC1FAB">
      <w:pPr>
        <w:tabs>
          <w:tab w:val="right" w:leader="dot" w:pos="7654"/>
          <w:tab w:val="right" w:pos="8929"/>
          <w:tab w:val="right" w:pos="9638"/>
        </w:tabs>
        <w:spacing w:after="120" w:line="220" w:lineRule="atLeast"/>
        <w:ind w:left="1559" w:hanging="425"/>
        <w:rPr>
          <w:lang w:val="fr-FR"/>
        </w:rPr>
      </w:pPr>
      <w:r w:rsidRPr="00547908">
        <w:rPr>
          <w:lang w:val="fr-FR"/>
        </w:rPr>
        <w:t>Article 1</w:t>
      </w:r>
      <w:r w:rsidRPr="00547908">
        <w:rPr>
          <w:lang w:val="fr-FR"/>
        </w:rPr>
        <w:tab/>
      </w:r>
      <w:r w:rsidRPr="00547908">
        <w:rPr>
          <w:lang w:val="fr-FR"/>
        </w:rPr>
        <w:tab/>
      </w:r>
      <w:r w:rsidR="00A246F8" w:rsidRPr="00547908">
        <w:rPr>
          <w:lang w:val="fr-FR"/>
        </w:rPr>
        <w:t>34–36</w:t>
      </w:r>
      <w:r w:rsidRPr="00547908">
        <w:rPr>
          <w:lang w:val="fr-FR"/>
        </w:rPr>
        <w:tab/>
      </w:r>
      <w:r w:rsidR="00A246F8" w:rsidRPr="00547908">
        <w:rPr>
          <w:lang w:val="fr-FR"/>
        </w:rPr>
        <w:t>1</w:t>
      </w:r>
      <w:r w:rsidR="00AC1FAB" w:rsidRPr="00547908">
        <w:rPr>
          <w:lang w:val="fr-FR"/>
        </w:rPr>
        <w:t>1</w:t>
      </w:r>
    </w:p>
    <w:p w:rsidR="002D5BB0" w:rsidRPr="00547908" w:rsidRDefault="002D5BB0" w:rsidP="00AC1FAB">
      <w:pPr>
        <w:tabs>
          <w:tab w:val="right" w:leader="dot" w:pos="7654"/>
          <w:tab w:val="right" w:pos="8929"/>
          <w:tab w:val="right" w:pos="9638"/>
        </w:tabs>
        <w:spacing w:after="120" w:line="220" w:lineRule="atLeast"/>
        <w:ind w:left="1559" w:hanging="425"/>
        <w:rPr>
          <w:lang w:val="fr-FR"/>
        </w:rPr>
      </w:pPr>
      <w:r w:rsidRPr="00547908">
        <w:rPr>
          <w:lang w:val="fr-FR"/>
        </w:rPr>
        <w:t xml:space="preserve">Article </w:t>
      </w:r>
      <w:r w:rsidR="00364005" w:rsidRPr="00547908">
        <w:rPr>
          <w:lang w:val="fr-FR"/>
        </w:rPr>
        <w:t>2</w:t>
      </w:r>
      <w:r w:rsidRPr="00547908">
        <w:rPr>
          <w:lang w:val="fr-FR"/>
        </w:rPr>
        <w:tab/>
      </w:r>
      <w:r w:rsidRPr="00547908">
        <w:rPr>
          <w:lang w:val="fr-FR"/>
        </w:rPr>
        <w:tab/>
      </w:r>
      <w:r w:rsidR="00A246F8" w:rsidRPr="00547908">
        <w:rPr>
          <w:lang w:val="fr-FR"/>
        </w:rPr>
        <w:t>37–51</w:t>
      </w:r>
      <w:r w:rsidRPr="00547908">
        <w:rPr>
          <w:lang w:val="fr-FR"/>
        </w:rPr>
        <w:tab/>
      </w:r>
      <w:r w:rsidR="00A246F8" w:rsidRPr="00547908">
        <w:rPr>
          <w:lang w:val="fr-FR"/>
        </w:rPr>
        <w:t>1</w:t>
      </w:r>
      <w:r w:rsidR="00AC1FAB" w:rsidRPr="00547908">
        <w:rPr>
          <w:lang w:val="fr-FR"/>
        </w:rPr>
        <w:t>2</w:t>
      </w:r>
    </w:p>
    <w:p w:rsidR="002D5BB0" w:rsidRPr="00547908" w:rsidRDefault="002D5BB0" w:rsidP="00AC1FAB">
      <w:pPr>
        <w:tabs>
          <w:tab w:val="right" w:leader="dot" w:pos="7654"/>
          <w:tab w:val="right" w:pos="8929"/>
          <w:tab w:val="right" w:pos="9638"/>
        </w:tabs>
        <w:spacing w:after="120" w:line="220" w:lineRule="atLeast"/>
        <w:ind w:left="1559" w:hanging="425"/>
        <w:rPr>
          <w:lang w:val="fr-FR"/>
        </w:rPr>
      </w:pPr>
      <w:r w:rsidRPr="00547908">
        <w:rPr>
          <w:lang w:val="fr-FR"/>
        </w:rPr>
        <w:t xml:space="preserve">Article </w:t>
      </w:r>
      <w:r w:rsidR="00364005" w:rsidRPr="00547908">
        <w:rPr>
          <w:lang w:val="fr-FR"/>
        </w:rPr>
        <w:t>3</w:t>
      </w:r>
      <w:r w:rsidRPr="00547908">
        <w:rPr>
          <w:lang w:val="fr-FR"/>
        </w:rPr>
        <w:tab/>
      </w:r>
      <w:r w:rsidRPr="00547908">
        <w:rPr>
          <w:lang w:val="fr-FR"/>
        </w:rPr>
        <w:tab/>
      </w:r>
      <w:r w:rsidR="00A246F8" w:rsidRPr="00547908">
        <w:rPr>
          <w:lang w:val="fr-FR"/>
        </w:rPr>
        <w:t>52–102</w:t>
      </w:r>
      <w:r w:rsidRPr="00547908">
        <w:rPr>
          <w:lang w:val="fr-FR"/>
        </w:rPr>
        <w:tab/>
      </w:r>
      <w:r w:rsidR="00A246F8" w:rsidRPr="00547908">
        <w:rPr>
          <w:lang w:val="fr-FR"/>
        </w:rPr>
        <w:t>1</w:t>
      </w:r>
      <w:r w:rsidR="00AC1FAB" w:rsidRPr="00547908">
        <w:rPr>
          <w:lang w:val="fr-FR"/>
        </w:rPr>
        <w:t>7</w:t>
      </w:r>
    </w:p>
    <w:p w:rsidR="002D5BB0" w:rsidRPr="00547908" w:rsidRDefault="002D5BB0" w:rsidP="002D5BB0">
      <w:pPr>
        <w:tabs>
          <w:tab w:val="right" w:leader="dot" w:pos="7654"/>
          <w:tab w:val="right" w:pos="8929"/>
          <w:tab w:val="right" w:pos="9638"/>
        </w:tabs>
        <w:spacing w:after="120" w:line="220" w:lineRule="atLeast"/>
        <w:ind w:left="1559" w:hanging="425"/>
        <w:rPr>
          <w:lang w:val="fr-FR"/>
        </w:rPr>
      </w:pPr>
      <w:r w:rsidRPr="00547908">
        <w:rPr>
          <w:lang w:val="fr-FR"/>
        </w:rPr>
        <w:t xml:space="preserve">Article </w:t>
      </w:r>
      <w:r w:rsidR="00364005" w:rsidRPr="00547908">
        <w:rPr>
          <w:lang w:val="fr-FR"/>
        </w:rPr>
        <w:t>4</w:t>
      </w:r>
      <w:r w:rsidRPr="00547908">
        <w:rPr>
          <w:lang w:val="fr-FR"/>
        </w:rPr>
        <w:tab/>
      </w:r>
      <w:r w:rsidRPr="00547908">
        <w:rPr>
          <w:lang w:val="fr-FR"/>
        </w:rPr>
        <w:tab/>
      </w:r>
      <w:r w:rsidR="00A246F8" w:rsidRPr="00547908">
        <w:rPr>
          <w:lang w:val="fr-FR"/>
        </w:rPr>
        <w:t>103</w:t>
      </w:r>
      <w:r w:rsidRPr="00547908">
        <w:rPr>
          <w:lang w:val="fr-FR"/>
        </w:rPr>
        <w:tab/>
      </w:r>
      <w:r w:rsidR="00A246F8" w:rsidRPr="00547908">
        <w:rPr>
          <w:lang w:val="fr-FR"/>
        </w:rPr>
        <w:t>3</w:t>
      </w:r>
      <w:r w:rsidR="00AC1FAB" w:rsidRPr="00547908">
        <w:rPr>
          <w:lang w:val="fr-FR"/>
        </w:rPr>
        <w:t>3</w:t>
      </w:r>
    </w:p>
    <w:p w:rsidR="002D5BB0" w:rsidRPr="00547908" w:rsidRDefault="00364005" w:rsidP="002D5BB0">
      <w:pPr>
        <w:tabs>
          <w:tab w:val="right" w:leader="dot" w:pos="7654"/>
          <w:tab w:val="right" w:pos="8929"/>
          <w:tab w:val="right" w:pos="9638"/>
        </w:tabs>
        <w:spacing w:after="120" w:line="220" w:lineRule="atLeast"/>
        <w:ind w:left="1559" w:hanging="425"/>
        <w:rPr>
          <w:lang w:val="fr-FR"/>
        </w:rPr>
      </w:pPr>
      <w:r w:rsidRPr="00547908">
        <w:rPr>
          <w:lang w:val="fr-FR"/>
        </w:rPr>
        <w:t>Article 5</w:t>
      </w:r>
      <w:r w:rsidR="002D5BB0" w:rsidRPr="00547908">
        <w:rPr>
          <w:lang w:val="fr-FR"/>
        </w:rPr>
        <w:tab/>
      </w:r>
      <w:r w:rsidR="002D5BB0" w:rsidRPr="00547908">
        <w:rPr>
          <w:lang w:val="fr-FR"/>
        </w:rPr>
        <w:tab/>
      </w:r>
      <w:r w:rsidR="00A246F8" w:rsidRPr="00547908">
        <w:rPr>
          <w:lang w:val="fr-FR"/>
        </w:rPr>
        <w:t>104</w:t>
      </w:r>
      <w:r w:rsidR="002D5BB0" w:rsidRPr="00547908">
        <w:rPr>
          <w:lang w:val="fr-FR"/>
        </w:rPr>
        <w:tab/>
      </w:r>
      <w:r w:rsidR="00A246F8" w:rsidRPr="00547908">
        <w:rPr>
          <w:lang w:val="fr-FR"/>
        </w:rPr>
        <w:t>3</w:t>
      </w:r>
      <w:r w:rsidR="00AC1FAB" w:rsidRPr="00547908">
        <w:rPr>
          <w:lang w:val="fr-FR"/>
        </w:rPr>
        <w:t>3</w:t>
      </w:r>
    </w:p>
    <w:p w:rsidR="002D5BB0" w:rsidRPr="00547908" w:rsidRDefault="002D5BB0" w:rsidP="002D5BB0">
      <w:pPr>
        <w:tabs>
          <w:tab w:val="right" w:leader="dot" w:pos="7654"/>
          <w:tab w:val="right" w:pos="8929"/>
          <w:tab w:val="right" w:pos="9638"/>
        </w:tabs>
        <w:spacing w:after="120" w:line="220" w:lineRule="atLeast"/>
        <w:ind w:left="1559" w:hanging="425"/>
        <w:rPr>
          <w:lang w:val="fr-FR"/>
        </w:rPr>
      </w:pPr>
      <w:r w:rsidRPr="00547908">
        <w:rPr>
          <w:lang w:val="fr-FR"/>
        </w:rPr>
        <w:t xml:space="preserve">Article </w:t>
      </w:r>
      <w:r w:rsidR="00364005" w:rsidRPr="00547908">
        <w:rPr>
          <w:lang w:val="fr-FR"/>
        </w:rPr>
        <w:t>6</w:t>
      </w:r>
      <w:r w:rsidRPr="00547908">
        <w:rPr>
          <w:lang w:val="fr-FR"/>
        </w:rPr>
        <w:tab/>
      </w:r>
      <w:r w:rsidRPr="00547908">
        <w:rPr>
          <w:lang w:val="fr-FR"/>
        </w:rPr>
        <w:tab/>
      </w:r>
      <w:r w:rsidR="00A95A19" w:rsidRPr="00547908">
        <w:rPr>
          <w:lang w:val="fr-FR"/>
        </w:rPr>
        <w:t>105–117</w:t>
      </w:r>
      <w:r w:rsidRPr="00547908">
        <w:rPr>
          <w:lang w:val="fr-FR"/>
        </w:rPr>
        <w:tab/>
      </w:r>
      <w:r w:rsidR="00A95A19" w:rsidRPr="00547908">
        <w:rPr>
          <w:lang w:val="fr-FR"/>
        </w:rPr>
        <w:t>3</w:t>
      </w:r>
      <w:r w:rsidR="00AC1FAB" w:rsidRPr="00547908">
        <w:rPr>
          <w:lang w:val="fr-FR"/>
        </w:rPr>
        <w:t>4</w:t>
      </w:r>
    </w:p>
    <w:p w:rsidR="002D5BB0" w:rsidRPr="00547908" w:rsidRDefault="002D5BB0" w:rsidP="002D5BB0">
      <w:pPr>
        <w:tabs>
          <w:tab w:val="right" w:leader="dot" w:pos="7654"/>
          <w:tab w:val="right" w:pos="8929"/>
          <w:tab w:val="right" w:pos="9638"/>
        </w:tabs>
        <w:spacing w:after="120" w:line="220" w:lineRule="atLeast"/>
        <w:ind w:left="1559" w:hanging="425"/>
        <w:rPr>
          <w:lang w:val="fr-FR"/>
        </w:rPr>
      </w:pPr>
      <w:r w:rsidRPr="00547908">
        <w:rPr>
          <w:lang w:val="fr-FR"/>
        </w:rPr>
        <w:t xml:space="preserve">Article </w:t>
      </w:r>
      <w:r w:rsidR="00364005" w:rsidRPr="00547908">
        <w:rPr>
          <w:lang w:val="fr-FR"/>
        </w:rPr>
        <w:t>7</w:t>
      </w:r>
      <w:r w:rsidRPr="00547908">
        <w:rPr>
          <w:lang w:val="fr-FR"/>
        </w:rPr>
        <w:tab/>
      </w:r>
      <w:r w:rsidRPr="00547908">
        <w:rPr>
          <w:lang w:val="fr-FR"/>
        </w:rPr>
        <w:tab/>
      </w:r>
      <w:r w:rsidR="00A95A19" w:rsidRPr="00547908">
        <w:rPr>
          <w:lang w:val="fr-FR"/>
        </w:rPr>
        <w:t>118–138</w:t>
      </w:r>
      <w:r w:rsidRPr="00547908">
        <w:rPr>
          <w:lang w:val="fr-FR"/>
        </w:rPr>
        <w:tab/>
      </w:r>
      <w:r w:rsidR="00A95A19" w:rsidRPr="00547908">
        <w:rPr>
          <w:lang w:val="fr-FR"/>
        </w:rPr>
        <w:t>3</w:t>
      </w:r>
      <w:r w:rsidR="00AC1FAB" w:rsidRPr="00547908">
        <w:rPr>
          <w:lang w:val="fr-FR"/>
        </w:rPr>
        <w:t>6</w:t>
      </w:r>
    </w:p>
    <w:p w:rsidR="002D5BB0" w:rsidRPr="00547908" w:rsidRDefault="002D5BB0" w:rsidP="002D5BB0">
      <w:pPr>
        <w:tabs>
          <w:tab w:val="right" w:leader="dot" w:pos="7654"/>
          <w:tab w:val="right" w:pos="8929"/>
          <w:tab w:val="right" w:pos="9638"/>
        </w:tabs>
        <w:spacing w:after="120" w:line="220" w:lineRule="atLeast"/>
        <w:ind w:left="1559" w:hanging="425"/>
        <w:rPr>
          <w:lang w:val="fr-FR"/>
        </w:rPr>
      </w:pPr>
      <w:r w:rsidRPr="00547908">
        <w:rPr>
          <w:lang w:val="fr-FR"/>
        </w:rPr>
        <w:t xml:space="preserve">Article </w:t>
      </w:r>
      <w:r w:rsidR="00364005" w:rsidRPr="00547908">
        <w:rPr>
          <w:lang w:val="fr-FR"/>
        </w:rPr>
        <w:t>8</w:t>
      </w:r>
      <w:r w:rsidRPr="00547908">
        <w:rPr>
          <w:lang w:val="fr-FR"/>
        </w:rPr>
        <w:tab/>
      </w:r>
      <w:r w:rsidRPr="00547908">
        <w:rPr>
          <w:lang w:val="fr-FR"/>
        </w:rPr>
        <w:tab/>
      </w:r>
      <w:r w:rsidR="00A95A19" w:rsidRPr="00547908">
        <w:rPr>
          <w:lang w:val="fr-FR"/>
        </w:rPr>
        <w:t>139–145</w:t>
      </w:r>
      <w:r w:rsidRPr="00547908">
        <w:rPr>
          <w:lang w:val="fr-FR"/>
        </w:rPr>
        <w:tab/>
      </w:r>
      <w:r w:rsidR="00A95A19" w:rsidRPr="00547908">
        <w:rPr>
          <w:lang w:val="fr-FR"/>
        </w:rPr>
        <w:t>4</w:t>
      </w:r>
      <w:r w:rsidR="00AC1FAB" w:rsidRPr="00547908">
        <w:rPr>
          <w:lang w:val="fr-FR"/>
        </w:rPr>
        <w:t>3</w:t>
      </w:r>
    </w:p>
    <w:p w:rsidR="002D5BB0" w:rsidRPr="00547908" w:rsidRDefault="002D5BB0" w:rsidP="002D5BB0">
      <w:pPr>
        <w:tabs>
          <w:tab w:val="right" w:leader="dot" w:pos="7654"/>
          <w:tab w:val="right" w:pos="8929"/>
          <w:tab w:val="right" w:pos="9638"/>
        </w:tabs>
        <w:spacing w:after="120" w:line="220" w:lineRule="atLeast"/>
        <w:ind w:left="1559" w:hanging="425"/>
        <w:rPr>
          <w:lang w:val="fr-FR"/>
        </w:rPr>
      </w:pPr>
      <w:r w:rsidRPr="00547908">
        <w:rPr>
          <w:lang w:val="fr-FR"/>
        </w:rPr>
        <w:t xml:space="preserve">Article </w:t>
      </w:r>
      <w:r w:rsidR="00364005" w:rsidRPr="00547908">
        <w:rPr>
          <w:lang w:val="fr-FR"/>
        </w:rPr>
        <w:t>9</w:t>
      </w:r>
      <w:r w:rsidRPr="00547908">
        <w:rPr>
          <w:lang w:val="fr-FR"/>
        </w:rPr>
        <w:tab/>
      </w:r>
      <w:r w:rsidRPr="00547908">
        <w:rPr>
          <w:lang w:val="fr-FR"/>
        </w:rPr>
        <w:tab/>
      </w:r>
      <w:r w:rsidR="00F06B97" w:rsidRPr="00547908">
        <w:rPr>
          <w:lang w:val="fr-FR"/>
        </w:rPr>
        <w:t>146–171</w:t>
      </w:r>
      <w:r w:rsidRPr="00547908">
        <w:rPr>
          <w:lang w:val="fr-FR"/>
        </w:rPr>
        <w:tab/>
      </w:r>
      <w:r w:rsidR="00F06B97" w:rsidRPr="00547908">
        <w:rPr>
          <w:lang w:val="fr-FR"/>
        </w:rPr>
        <w:t>4</w:t>
      </w:r>
      <w:r w:rsidR="00AC1FAB" w:rsidRPr="00547908">
        <w:rPr>
          <w:lang w:val="fr-FR"/>
        </w:rPr>
        <w:t>4</w:t>
      </w:r>
    </w:p>
    <w:p w:rsidR="002D5BB0" w:rsidRPr="00547908" w:rsidRDefault="002D5BB0" w:rsidP="002D5BB0">
      <w:pPr>
        <w:tabs>
          <w:tab w:val="right" w:leader="dot" w:pos="7654"/>
          <w:tab w:val="right" w:pos="8929"/>
          <w:tab w:val="right" w:pos="9638"/>
        </w:tabs>
        <w:spacing w:after="120" w:line="220" w:lineRule="atLeast"/>
        <w:ind w:left="1559" w:hanging="425"/>
        <w:rPr>
          <w:lang w:val="fr-FR"/>
        </w:rPr>
      </w:pPr>
      <w:r w:rsidRPr="00547908">
        <w:rPr>
          <w:lang w:val="fr-FR"/>
        </w:rPr>
        <w:t>Article 1</w:t>
      </w:r>
      <w:r w:rsidR="00364005" w:rsidRPr="00547908">
        <w:rPr>
          <w:lang w:val="fr-FR"/>
        </w:rPr>
        <w:t>0</w:t>
      </w:r>
      <w:r w:rsidRPr="00547908">
        <w:rPr>
          <w:lang w:val="fr-FR"/>
        </w:rPr>
        <w:tab/>
      </w:r>
      <w:r w:rsidRPr="00547908">
        <w:rPr>
          <w:lang w:val="fr-FR"/>
        </w:rPr>
        <w:tab/>
      </w:r>
      <w:r w:rsidR="00F06B97" w:rsidRPr="00547908">
        <w:rPr>
          <w:lang w:val="fr-FR"/>
        </w:rPr>
        <w:t>172–207</w:t>
      </w:r>
      <w:r w:rsidRPr="00547908">
        <w:rPr>
          <w:lang w:val="fr-FR"/>
        </w:rPr>
        <w:tab/>
      </w:r>
      <w:r w:rsidR="00AC1FAB" w:rsidRPr="00547908">
        <w:rPr>
          <w:lang w:val="fr-FR"/>
        </w:rPr>
        <w:t>50</w:t>
      </w:r>
    </w:p>
    <w:p w:rsidR="002D5BB0" w:rsidRPr="00547908" w:rsidRDefault="002D5BB0" w:rsidP="002D5BB0">
      <w:pPr>
        <w:tabs>
          <w:tab w:val="right" w:leader="dot" w:pos="7654"/>
          <w:tab w:val="right" w:pos="8929"/>
          <w:tab w:val="right" w:pos="9638"/>
        </w:tabs>
        <w:spacing w:after="120" w:line="220" w:lineRule="atLeast"/>
        <w:ind w:left="1559" w:hanging="425"/>
        <w:rPr>
          <w:lang w:val="fr-FR"/>
        </w:rPr>
      </w:pPr>
      <w:r w:rsidRPr="00547908">
        <w:rPr>
          <w:lang w:val="fr-FR"/>
        </w:rPr>
        <w:t>Article 1</w:t>
      </w:r>
      <w:r w:rsidR="00364005" w:rsidRPr="00547908">
        <w:rPr>
          <w:lang w:val="fr-FR"/>
        </w:rPr>
        <w:t>1</w:t>
      </w:r>
      <w:r w:rsidRPr="00547908">
        <w:rPr>
          <w:lang w:val="fr-FR"/>
        </w:rPr>
        <w:tab/>
      </w:r>
      <w:r w:rsidRPr="00547908">
        <w:rPr>
          <w:lang w:val="fr-FR"/>
        </w:rPr>
        <w:tab/>
      </w:r>
      <w:r w:rsidR="00F06B97" w:rsidRPr="00547908">
        <w:rPr>
          <w:lang w:val="fr-FR"/>
        </w:rPr>
        <w:t>208</w:t>
      </w:r>
      <w:r w:rsidRPr="00547908">
        <w:rPr>
          <w:lang w:val="fr-FR"/>
        </w:rPr>
        <w:tab/>
      </w:r>
      <w:r w:rsidR="00F06B97" w:rsidRPr="00547908">
        <w:rPr>
          <w:lang w:val="fr-FR"/>
        </w:rPr>
        <w:t>5</w:t>
      </w:r>
      <w:r w:rsidR="00AC1FAB" w:rsidRPr="00547908">
        <w:rPr>
          <w:lang w:val="fr-FR"/>
        </w:rPr>
        <w:t>8</w:t>
      </w:r>
    </w:p>
    <w:p w:rsidR="002D5BB0" w:rsidRPr="00547908" w:rsidRDefault="002D5BB0" w:rsidP="002D5BB0">
      <w:pPr>
        <w:tabs>
          <w:tab w:val="right" w:leader="dot" w:pos="7654"/>
          <w:tab w:val="right" w:pos="8929"/>
          <w:tab w:val="right" w:pos="9638"/>
        </w:tabs>
        <w:spacing w:after="120" w:line="220" w:lineRule="atLeast"/>
        <w:ind w:left="1559" w:hanging="425"/>
        <w:rPr>
          <w:lang w:val="fr-FR"/>
        </w:rPr>
      </w:pPr>
      <w:r w:rsidRPr="00547908">
        <w:rPr>
          <w:lang w:val="fr-FR"/>
        </w:rPr>
        <w:t>Article 1</w:t>
      </w:r>
      <w:r w:rsidR="00364005" w:rsidRPr="00547908">
        <w:rPr>
          <w:lang w:val="fr-FR"/>
        </w:rPr>
        <w:t>2</w:t>
      </w:r>
      <w:r w:rsidRPr="00547908">
        <w:rPr>
          <w:lang w:val="fr-FR"/>
        </w:rPr>
        <w:tab/>
      </w:r>
      <w:r w:rsidRPr="00547908">
        <w:rPr>
          <w:lang w:val="fr-FR"/>
        </w:rPr>
        <w:tab/>
      </w:r>
      <w:r w:rsidR="00F06B97" w:rsidRPr="00547908">
        <w:rPr>
          <w:lang w:val="fr-FR"/>
        </w:rPr>
        <w:t>209–216</w:t>
      </w:r>
      <w:r w:rsidRPr="00547908">
        <w:rPr>
          <w:lang w:val="fr-FR"/>
        </w:rPr>
        <w:tab/>
      </w:r>
      <w:r w:rsidR="00F06B97" w:rsidRPr="00547908">
        <w:rPr>
          <w:lang w:val="fr-FR"/>
        </w:rPr>
        <w:t>5</w:t>
      </w:r>
      <w:r w:rsidR="00AC1FAB" w:rsidRPr="00547908">
        <w:rPr>
          <w:lang w:val="fr-FR"/>
        </w:rPr>
        <w:t>8</w:t>
      </w:r>
    </w:p>
    <w:p w:rsidR="002D5BB0" w:rsidRPr="00547908" w:rsidRDefault="002D5BB0" w:rsidP="002D5BB0">
      <w:pPr>
        <w:tabs>
          <w:tab w:val="right" w:leader="dot" w:pos="7654"/>
          <w:tab w:val="right" w:pos="8929"/>
          <w:tab w:val="right" w:pos="9638"/>
        </w:tabs>
        <w:spacing w:after="120" w:line="220" w:lineRule="atLeast"/>
        <w:ind w:left="1559" w:hanging="425"/>
        <w:rPr>
          <w:lang w:val="fr-FR"/>
        </w:rPr>
      </w:pPr>
      <w:r w:rsidRPr="00547908">
        <w:rPr>
          <w:lang w:val="fr-FR"/>
        </w:rPr>
        <w:t>Article 1</w:t>
      </w:r>
      <w:r w:rsidR="00364005" w:rsidRPr="00547908">
        <w:rPr>
          <w:lang w:val="fr-FR"/>
        </w:rPr>
        <w:t>3</w:t>
      </w:r>
      <w:r w:rsidRPr="00547908">
        <w:rPr>
          <w:lang w:val="fr-FR"/>
        </w:rPr>
        <w:tab/>
      </w:r>
      <w:r w:rsidRPr="00547908">
        <w:rPr>
          <w:lang w:val="fr-FR"/>
        </w:rPr>
        <w:tab/>
      </w:r>
      <w:r w:rsidR="00F06B97" w:rsidRPr="00547908">
        <w:rPr>
          <w:lang w:val="fr-FR"/>
        </w:rPr>
        <w:t>217–221</w:t>
      </w:r>
      <w:r w:rsidRPr="00547908">
        <w:rPr>
          <w:lang w:val="fr-FR"/>
        </w:rPr>
        <w:tab/>
      </w:r>
      <w:r w:rsidR="00AC1FAB" w:rsidRPr="00547908">
        <w:rPr>
          <w:lang w:val="fr-FR"/>
        </w:rPr>
        <w:t>60</w:t>
      </w:r>
    </w:p>
    <w:p w:rsidR="002D5BB0" w:rsidRPr="00547908" w:rsidRDefault="002D5BB0" w:rsidP="002D5BB0">
      <w:pPr>
        <w:tabs>
          <w:tab w:val="right" w:leader="dot" w:pos="7654"/>
          <w:tab w:val="right" w:pos="8929"/>
          <w:tab w:val="right" w:pos="9638"/>
        </w:tabs>
        <w:spacing w:after="120" w:line="220" w:lineRule="atLeast"/>
        <w:ind w:left="1559" w:hanging="425"/>
        <w:rPr>
          <w:lang w:val="fr-FR"/>
        </w:rPr>
      </w:pPr>
      <w:r w:rsidRPr="00547908">
        <w:rPr>
          <w:lang w:val="fr-FR"/>
        </w:rPr>
        <w:t>Article 1</w:t>
      </w:r>
      <w:r w:rsidR="00364005" w:rsidRPr="00547908">
        <w:rPr>
          <w:lang w:val="fr-FR"/>
        </w:rPr>
        <w:t>4</w:t>
      </w:r>
      <w:r w:rsidRPr="00547908">
        <w:rPr>
          <w:lang w:val="fr-FR"/>
        </w:rPr>
        <w:tab/>
      </w:r>
      <w:r w:rsidRPr="00547908">
        <w:rPr>
          <w:lang w:val="fr-FR"/>
        </w:rPr>
        <w:tab/>
      </w:r>
      <w:r w:rsidR="004920BE" w:rsidRPr="00547908">
        <w:rPr>
          <w:lang w:val="fr-FR"/>
        </w:rPr>
        <w:t>222–234</w:t>
      </w:r>
      <w:r w:rsidRPr="00547908">
        <w:rPr>
          <w:lang w:val="fr-FR"/>
        </w:rPr>
        <w:tab/>
      </w:r>
      <w:r w:rsidR="004920BE" w:rsidRPr="00547908">
        <w:rPr>
          <w:lang w:val="fr-FR"/>
        </w:rPr>
        <w:t>6</w:t>
      </w:r>
      <w:r w:rsidR="00AC1FAB" w:rsidRPr="00547908">
        <w:rPr>
          <w:lang w:val="fr-FR"/>
        </w:rPr>
        <w:t>2</w:t>
      </w:r>
    </w:p>
    <w:p w:rsidR="002D5BB0" w:rsidRPr="00547908" w:rsidRDefault="002D5BB0" w:rsidP="002D5BB0">
      <w:pPr>
        <w:tabs>
          <w:tab w:val="right" w:leader="dot" w:pos="7654"/>
          <w:tab w:val="right" w:pos="8929"/>
          <w:tab w:val="right" w:pos="9638"/>
        </w:tabs>
        <w:spacing w:after="120" w:line="220" w:lineRule="atLeast"/>
        <w:ind w:left="1559" w:hanging="425"/>
        <w:rPr>
          <w:lang w:val="fr-FR"/>
        </w:rPr>
      </w:pPr>
      <w:r w:rsidRPr="00547908">
        <w:rPr>
          <w:lang w:val="fr-FR"/>
        </w:rPr>
        <w:t>Article 1</w:t>
      </w:r>
      <w:r w:rsidR="00364005" w:rsidRPr="00547908">
        <w:rPr>
          <w:lang w:val="fr-FR"/>
        </w:rPr>
        <w:t>5</w:t>
      </w:r>
      <w:r w:rsidRPr="00547908">
        <w:rPr>
          <w:lang w:val="fr-FR"/>
        </w:rPr>
        <w:tab/>
      </w:r>
      <w:r w:rsidRPr="00547908">
        <w:rPr>
          <w:lang w:val="fr-FR"/>
        </w:rPr>
        <w:tab/>
      </w:r>
      <w:r w:rsidR="004920BE" w:rsidRPr="00547908">
        <w:rPr>
          <w:lang w:val="fr-FR"/>
        </w:rPr>
        <w:t>235–237</w:t>
      </w:r>
      <w:r w:rsidRPr="00547908">
        <w:rPr>
          <w:lang w:val="fr-FR"/>
        </w:rPr>
        <w:tab/>
      </w:r>
      <w:r w:rsidR="004920BE" w:rsidRPr="00547908">
        <w:rPr>
          <w:lang w:val="fr-FR"/>
        </w:rPr>
        <w:t>6</w:t>
      </w:r>
      <w:r w:rsidR="00AC1FAB" w:rsidRPr="00547908">
        <w:rPr>
          <w:lang w:val="fr-FR"/>
        </w:rPr>
        <w:t>7</w:t>
      </w:r>
    </w:p>
    <w:p w:rsidR="002D5BB0" w:rsidRPr="00547908" w:rsidRDefault="002D5BB0" w:rsidP="002D5BB0">
      <w:pPr>
        <w:tabs>
          <w:tab w:val="right" w:leader="dot" w:pos="7654"/>
          <w:tab w:val="right" w:pos="8929"/>
          <w:tab w:val="right" w:pos="9638"/>
        </w:tabs>
        <w:spacing w:after="120" w:line="220" w:lineRule="atLeast"/>
        <w:ind w:left="1559" w:hanging="425"/>
        <w:rPr>
          <w:lang w:val="fr-FR"/>
        </w:rPr>
      </w:pPr>
      <w:r w:rsidRPr="00547908">
        <w:rPr>
          <w:lang w:val="fr-FR"/>
        </w:rPr>
        <w:t>Article 1</w:t>
      </w:r>
      <w:r w:rsidR="00364005" w:rsidRPr="00547908">
        <w:rPr>
          <w:lang w:val="fr-FR"/>
        </w:rPr>
        <w:t>6</w:t>
      </w:r>
      <w:r w:rsidRPr="00547908">
        <w:rPr>
          <w:lang w:val="fr-FR"/>
        </w:rPr>
        <w:tab/>
      </w:r>
      <w:r w:rsidRPr="00547908">
        <w:rPr>
          <w:lang w:val="fr-FR"/>
        </w:rPr>
        <w:tab/>
      </w:r>
      <w:r w:rsidR="004920BE" w:rsidRPr="00547908">
        <w:rPr>
          <w:lang w:val="fr-FR"/>
        </w:rPr>
        <w:t>238–239</w:t>
      </w:r>
      <w:r w:rsidRPr="00547908">
        <w:rPr>
          <w:lang w:val="fr-FR"/>
        </w:rPr>
        <w:tab/>
      </w:r>
      <w:r w:rsidR="004920BE" w:rsidRPr="00547908">
        <w:rPr>
          <w:lang w:val="fr-FR"/>
        </w:rPr>
        <w:t>6</w:t>
      </w:r>
      <w:r w:rsidR="00AC1FAB" w:rsidRPr="00547908">
        <w:rPr>
          <w:lang w:val="fr-FR"/>
        </w:rPr>
        <w:t>7</w:t>
      </w:r>
    </w:p>
    <w:p w:rsidR="002D5BB0" w:rsidRPr="00547908" w:rsidRDefault="002D5BB0" w:rsidP="002D5BB0">
      <w:pPr>
        <w:tabs>
          <w:tab w:val="right" w:leader="dot" w:pos="7654"/>
          <w:tab w:val="right" w:pos="8929"/>
          <w:tab w:val="right" w:pos="9638"/>
        </w:tabs>
        <w:spacing w:after="120" w:line="220" w:lineRule="atLeast"/>
        <w:ind w:left="1559" w:hanging="425"/>
        <w:rPr>
          <w:lang w:val="fr-FR"/>
        </w:rPr>
      </w:pPr>
      <w:r w:rsidRPr="00547908">
        <w:rPr>
          <w:lang w:val="fr-FR"/>
        </w:rPr>
        <w:t>Article 1</w:t>
      </w:r>
      <w:r w:rsidR="00364005" w:rsidRPr="00547908">
        <w:rPr>
          <w:lang w:val="fr-FR"/>
        </w:rPr>
        <w:t>7</w:t>
      </w:r>
      <w:r w:rsidRPr="00547908">
        <w:rPr>
          <w:lang w:val="fr-FR"/>
        </w:rPr>
        <w:tab/>
      </w:r>
      <w:r w:rsidRPr="00547908">
        <w:rPr>
          <w:lang w:val="fr-FR"/>
        </w:rPr>
        <w:tab/>
      </w:r>
      <w:r w:rsidR="004920BE" w:rsidRPr="00547908">
        <w:rPr>
          <w:lang w:val="fr-FR"/>
        </w:rPr>
        <w:t>204–261</w:t>
      </w:r>
      <w:r w:rsidRPr="00547908">
        <w:rPr>
          <w:lang w:val="fr-FR"/>
        </w:rPr>
        <w:tab/>
      </w:r>
      <w:r w:rsidR="004920BE" w:rsidRPr="00547908">
        <w:rPr>
          <w:lang w:val="fr-FR"/>
        </w:rPr>
        <w:t>6</w:t>
      </w:r>
      <w:r w:rsidR="00AC1FAB" w:rsidRPr="00547908">
        <w:rPr>
          <w:lang w:val="fr-FR"/>
        </w:rPr>
        <w:t>8</w:t>
      </w:r>
    </w:p>
    <w:p w:rsidR="002D5BB0" w:rsidRPr="00547908" w:rsidRDefault="002D5BB0" w:rsidP="002D5BB0">
      <w:pPr>
        <w:tabs>
          <w:tab w:val="right" w:leader="dot" w:pos="7654"/>
          <w:tab w:val="right" w:pos="8929"/>
          <w:tab w:val="right" w:pos="9638"/>
        </w:tabs>
        <w:spacing w:after="120" w:line="220" w:lineRule="atLeast"/>
        <w:ind w:left="1559" w:hanging="425"/>
        <w:rPr>
          <w:lang w:val="fr-FR"/>
        </w:rPr>
      </w:pPr>
      <w:r w:rsidRPr="00547908">
        <w:rPr>
          <w:lang w:val="fr-FR"/>
        </w:rPr>
        <w:t>Article 1</w:t>
      </w:r>
      <w:r w:rsidR="00364005" w:rsidRPr="00547908">
        <w:rPr>
          <w:lang w:val="fr-FR"/>
        </w:rPr>
        <w:t>8</w:t>
      </w:r>
      <w:r w:rsidRPr="00547908">
        <w:rPr>
          <w:lang w:val="fr-FR"/>
        </w:rPr>
        <w:tab/>
      </w:r>
      <w:r w:rsidRPr="00547908">
        <w:rPr>
          <w:lang w:val="fr-FR"/>
        </w:rPr>
        <w:tab/>
      </w:r>
      <w:r w:rsidR="004920BE" w:rsidRPr="00547908">
        <w:rPr>
          <w:lang w:val="fr-FR"/>
        </w:rPr>
        <w:t>262–271</w:t>
      </w:r>
      <w:r w:rsidRPr="00547908">
        <w:rPr>
          <w:lang w:val="fr-FR"/>
        </w:rPr>
        <w:tab/>
      </w:r>
      <w:r w:rsidR="004920BE" w:rsidRPr="00547908">
        <w:rPr>
          <w:lang w:val="fr-FR"/>
        </w:rPr>
        <w:t>7</w:t>
      </w:r>
      <w:r w:rsidR="00AC1FAB" w:rsidRPr="00547908">
        <w:rPr>
          <w:lang w:val="fr-FR"/>
        </w:rPr>
        <w:t>4</w:t>
      </w:r>
    </w:p>
    <w:p w:rsidR="002D5BB0" w:rsidRPr="00547908" w:rsidRDefault="002D5BB0" w:rsidP="002D5BB0">
      <w:pPr>
        <w:tabs>
          <w:tab w:val="right" w:leader="dot" w:pos="7654"/>
          <w:tab w:val="right" w:pos="8929"/>
          <w:tab w:val="right" w:pos="9638"/>
        </w:tabs>
        <w:spacing w:after="120" w:line="220" w:lineRule="atLeast"/>
        <w:ind w:left="1559" w:hanging="425"/>
        <w:rPr>
          <w:lang w:val="fr-FR"/>
        </w:rPr>
      </w:pPr>
      <w:r w:rsidRPr="00547908">
        <w:rPr>
          <w:lang w:val="fr-FR"/>
        </w:rPr>
        <w:t>Article 1</w:t>
      </w:r>
      <w:r w:rsidR="00364005" w:rsidRPr="00547908">
        <w:rPr>
          <w:lang w:val="fr-FR"/>
        </w:rPr>
        <w:t>9</w:t>
      </w:r>
      <w:r w:rsidRPr="00547908">
        <w:rPr>
          <w:lang w:val="fr-FR"/>
        </w:rPr>
        <w:tab/>
      </w:r>
      <w:r w:rsidRPr="00547908">
        <w:rPr>
          <w:lang w:val="fr-FR"/>
        </w:rPr>
        <w:tab/>
      </w:r>
      <w:r w:rsidR="00E732E5" w:rsidRPr="00547908">
        <w:rPr>
          <w:lang w:val="fr-FR"/>
        </w:rPr>
        <w:t>272–292</w:t>
      </w:r>
      <w:r w:rsidRPr="00547908">
        <w:rPr>
          <w:lang w:val="fr-FR"/>
        </w:rPr>
        <w:tab/>
      </w:r>
      <w:r w:rsidR="00E732E5" w:rsidRPr="00547908">
        <w:rPr>
          <w:lang w:val="fr-FR"/>
        </w:rPr>
        <w:t>7</w:t>
      </w:r>
      <w:r w:rsidR="00AC1FAB" w:rsidRPr="00547908">
        <w:rPr>
          <w:lang w:val="fr-FR"/>
        </w:rPr>
        <w:t>6</w:t>
      </w:r>
    </w:p>
    <w:p w:rsidR="002D5BB0" w:rsidRPr="00547908" w:rsidRDefault="00364005" w:rsidP="002D5BB0">
      <w:pPr>
        <w:tabs>
          <w:tab w:val="right" w:leader="dot" w:pos="7654"/>
          <w:tab w:val="right" w:pos="8929"/>
          <w:tab w:val="right" w:pos="9638"/>
        </w:tabs>
        <w:spacing w:after="120" w:line="220" w:lineRule="atLeast"/>
        <w:ind w:left="1559" w:hanging="425"/>
        <w:rPr>
          <w:lang w:val="fr-FR"/>
        </w:rPr>
      </w:pPr>
      <w:r w:rsidRPr="00547908">
        <w:rPr>
          <w:lang w:val="fr-FR"/>
        </w:rPr>
        <w:t>Article 20</w:t>
      </w:r>
      <w:r w:rsidR="002D5BB0" w:rsidRPr="00547908">
        <w:rPr>
          <w:lang w:val="fr-FR"/>
        </w:rPr>
        <w:tab/>
      </w:r>
      <w:r w:rsidR="002D5BB0" w:rsidRPr="00547908">
        <w:rPr>
          <w:lang w:val="fr-FR"/>
        </w:rPr>
        <w:tab/>
      </w:r>
      <w:r w:rsidR="00E732E5" w:rsidRPr="00547908">
        <w:rPr>
          <w:lang w:val="fr-FR"/>
        </w:rPr>
        <w:t>293–296</w:t>
      </w:r>
      <w:r w:rsidR="002D5BB0" w:rsidRPr="00547908">
        <w:rPr>
          <w:lang w:val="fr-FR"/>
        </w:rPr>
        <w:tab/>
      </w:r>
      <w:r w:rsidR="00E732E5" w:rsidRPr="00547908">
        <w:rPr>
          <w:lang w:val="fr-FR"/>
        </w:rPr>
        <w:t>8</w:t>
      </w:r>
      <w:r w:rsidR="00AC1FAB" w:rsidRPr="00547908">
        <w:rPr>
          <w:lang w:val="fr-FR"/>
        </w:rPr>
        <w:t>2</w:t>
      </w:r>
    </w:p>
    <w:p w:rsidR="002D5BB0" w:rsidRPr="00547908" w:rsidRDefault="00364005" w:rsidP="002D5BB0">
      <w:pPr>
        <w:tabs>
          <w:tab w:val="right" w:leader="dot" w:pos="7654"/>
          <w:tab w:val="right" w:pos="8929"/>
          <w:tab w:val="right" w:pos="9638"/>
        </w:tabs>
        <w:spacing w:after="120" w:line="220" w:lineRule="atLeast"/>
        <w:ind w:left="1559" w:hanging="425"/>
        <w:rPr>
          <w:lang w:val="fr-FR"/>
        </w:rPr>
      </w:pPr>
      <w:r w:rsidRPr="00547908">
        <w:rPr>
          <w:lang w:val="fr-FR"/>
        </w:rPr>
        <w:t>Article 21</w:t>
      </w:r>
      <w:r w:rsidR="002D5BB0" w:rsidRPr="00547908">
        <w:rPr>
          <w:lang w:val="fr-FR"/>
        </w:rPr>
        <w:tab/>
      </w:r>
      <w:r w:rsidR="002D5BB0" w:rsidRPr="00547908">
        <w:rPr>
          <w:lang w:val="fr-FR"/>
        </w:rPr>
        <w:tab/>
      </w:r>
      <w:r w:rsidR="00E732E5" w:rsidRPr="00547908">
        <w:rPr>
          <w:lang w:val="fr-FR"/>
        </w:rPr>
        <w:t>297–305</w:t>
      </w:r>
      <w:r w:rsidR="002D5BB0" w:rsidRPr="00547908">
        <w:rPr>
          <w:lang w:val="fr-FR"/>
        </w:rPr>
        <w:tab/>
      </w:r>
      <w:r w:rsidR="00E732E5" w:rsidRPr="00547908">
        <w:rPr>
          <w:lang w:val="fr-FR"/>
        </w:rPr>
        <w:t>8</w:t>
      </w:r>
      <w:r w:rsidR="00AC1FAB" w:rsidRPr="00547908">
        <w:rPr>
          <w:lang w:val="fr-FR"/>
        </w:rPr>
        <w:t>2</w:t>
      </w:r>
    </w:p>
    <w:p w:rsidR="002D5BB0" w:rsidRPr="00547908" w:rsidRDefault="00364005" w:rsidP="002D5BB0">
      <w:pPr>
        <w:tabs>
          <w:tab w:val="right" w:leader="dot" w:pos="7654"/>
          <w:tab w:val="right" w:pos="8929"/>
          <w:tab w:val="right" w:pos="9638"/>
        </w:tabs>
        <w:spacing w:after="120" w:line="220" w:lineRule="atLeast"/>
        <w:ind w:left="1559" w:hanging="425"/>
        <w:rPr>
          <w:lang w:val="fr-FR"/>
        </w:rPr>
      </w:pPr>
      <w:r w:rsidRPr="00547908">
        <w:rPr>
          <w:lang w:val="fr-FR"/>
        </w:rPr>
        <w:t>Article 22</w:t>
      </w:r>
      <w:r w:rsidR="002D5BB0" w:rsidRPr="00547908">
        <w:rPr>
          <w:lang w:val="fr-FR"/>
        </w:rPr>
        <w:tab/>
      </w:r>
      <w:r w:rsidR="002D5BB0" w:rsidRPr="00547908">
        <w:rPr>
          <w:lang w:val="fr-FR"/>
        </w:rPr>
        <w:tab/>
      </w:r>
      <w:r w:rsidR="00E732E5" w:rsidRPr="00547908">
        <w:rPr>
          <w:lang w:val="fr-FR"/>
        </w:rPr>
        <w:t>306–317</w:t>
      </w:r>
      <w:r w:rsidR="002D5BB0" w:rsidRPr="00547908">
        <w:rPr>
          <w:lang w:val="fr-FR"/>
        </w:rPr>
        <w:tab/>
      </w:r>
      <w:r w:rsidR="00E732E5" w:rsidRPr="00547908">
        <w:rPr>
          <w:lang w:val="fr-FR"/>
        </w:rPr>
        <w:t>8</w:t>
      </w:r>
      <w:r w:rsidR="00AC1FAB" w:rsidRPr="00547908">
        <w:rPr>
          <w:lang w:val="fr-FR"/>
        </w:rPr>
        <w:t>5</w:t>
      </w:r>
    </w:p>
    <w:p w:rsidR="002D5BB0" w:rsidRPr="00547908" w:rsidRDefault="00364005" w:rsidP="002D5BB0">
      <w:pPr>
        <w:tabs>
          <w:tab w:val="right" w:leader="dot" w:pos="7654"/>
          <w:tab w:val="right" w:pos="8929"/>
          <w:tab w:val="right" w:pos="9638"/>
        </w:tabs>
        <w:spacing w:after="120" w:line="220" w:lineRule="atLeast"/>
        <w:ind w:left="1559" w:hanging="425"/>
        <w:rPr>
          <w:lang w:val="fr-FR"/>
        </w:rPr>
      </w:pPr>
      <w:r w:rsidRPr="00547908">
        <w:rPr>
          <w:lang w:val="fr-FR"/>
        </w:rPr>
        <w:t>Article 23</w:t>
      </w:r>
      <w:r w:rsidR="002D5BB0" w:rsidRPr="00547908">
        <w:rPr>
          <w:lang w:val="fr-FR"/>
        </w:rPr>
        <w:tab/>
      </w:r>
      <w:r w:rsidR="002D5BB0" w:rsidRPr="00547908">
        <w:rPr>
          <w:lang w:val="fr-FR"/>
        </w:rPr>
        <w:tab/>
      </w:r>
      <w:r w:rsidR="00E732E5" w:rsidRPr="00547908">
        <w:rPr>
          <w:lang w:val="fr-FR"/>
        </w:rPr>
        <w:t>318–333</w:t>
      </w:r>
      <w:r w:rsidR="002D5BB0" w:rsidRPr="00547908">
        <w:rPr>
          <w:lang w:val="fr-FR"/>
        </w:rPr>
        <w:tab/>
      </w:r>
      <w:r w:rsidR="00E732E5" w:rsidRPr="00547908">
        <w:rPr>
          <w:lang w:val="fr-FR"/>
        </w:rPr>
        <w:t>8</w:t>
      </w:r>
      <w:r w:rsidR="00AC1FAB" w:rsidRPr="00547908">
        <w:rPr>
          <w:lang w:val="fr-FR"/>
        </w:rPr>
        <w:t>7</w:t>
      </w:r>
    </w:p>
    <w:p w:rsidR="002D5BB0" w:rsidRPr="00547908" w:rsidRDefault="00364005" w:rsidP="002D5BB0">
      <w:pPr>
        <w:tabs>
          <w:tab w:val="right" w:leader="dot" w:pos="7654"/>
          <w:tab w:val="right" w:pos="8929"/>
          <w:tab w:val="right" w:pos="9638"/>
        </w:tabs>
        <w:spacing w:after="120" w:line="220" w:lineRule="atLeast"/>
        <w:ind w:left="1559" w:hanging="425"/>
        <w:rPr>
          <w:lang w:val="fr-FR"/>
        </w:rPr>
      </w:pPr>
      <w:r w:rsidRPr="00547908">
        <w:rPr>
          <w:lang w:val="fr-FR"/>
        </w:rPr>
        <w:t>Article 24</w:t>
      </w:r>
      <w:r w:rsidR="002D5BB0" w:rsidRPr="00547908">
        <w:rPr>
          <w:lang w:val="fr-FR"/>
        </w:rPr>
        <w:tab/>
      </w:r>
      <w:r w:rsidR="002D5BB0" w:rsidRPr="00547908">
        <w:rPr>
          <w:lang w:val="fr-FR"/>
        </w:rPr>
        <w:tab/>
      </w:r>
      <w:r w:rsidR="00E732E5" w:rsidRPr="00547908">
        <w:rPr>
          <w:lang w:val="fr-FR"/>
        </w:rPr>
        <w:t>334–363</w:t>
      </w:r>
      <w:r w:rsidR="002D5BB0" w:rsidRPr="00547908">
        <w:rPr>
          <w:lang w:val="fr-FR"/>
        </w:rPr>
        <w:tab/>
      </w:r>
      <w:r w:rsidR="00E732E5" w:rsidRPr="00547908">
        <w:rPr>
          <w:lang w:val="fr-FR"/>
        </w:rPr>
        <w:t>9</w:t>
      </w:r>
      <w:r w:rsidR="00AC1FAB" w:rsidRPr="00547908">
        <w:rPr>
          <w:lang w:val="fr-FR"/>
        </w:rPr>
        <w:t>2</w:t>
      </w:r>
    </w:p>
    <w:p w:rsidR="002D5BB0" w:rsidRPr="00547908" w:rsidRDefault="00364005" w:rsidP="002D5BB0">
      <w:pPr>
        <w:tabs>
          <w:tab w:val="right" w:leader="dot" w:pos="7654"/>
          <w:tab w:val="right" w:pos="8929"/>
          <w:tab w:val="right" w:pos="9638"/>
        </w:tabs>
        <w:spacing w:after="120" w:line="220" w:lineRule="atLeast"/>
        <w:ind w:left="1559" w:hanging="425"/>
        <w:rPr>
          <w:lang w:val="fr-FR"/>
        </w:rPr>
      </w:pPr>
      <w:r w:rsidRPr="00547908">
        <w:rPr>
          <w:lang w:val="fr-FR"/>
        </w:rPr>
        <w:t>Article 25</w:t>
      </w:r>
      <w:r w:rsidR="002D5BB0" w:rsidRPr="00547908">
        <w:rPr>
          <w:lang w:val="fr-FR"/>
        </w:rPr>
        <w:tab/>
      </w:r>
      <w:r w:rsidR="002D5BB0" w:rsidRPr="00547908">
        <w:rPr>
          <w:lang w:val="fr-FR"/>
        </w:rPr>
        <w:tab/>
      </w:r>
      <w:r w:rsidR="00E732E5" w:rsidRPr="00547908">
        <w:rPr>
          <w:lang w:val="fr-FR"/>
        </w:rPr>
        <w:t>364–375</w:t>
      </w:r>
      <w:r w:rsidR="002D5BB0" w:rsidRPr="00547908">
        <w:rPr>
          <w:lang w:val="fr-FR"/>
        </w:rPr>
        <w:tab/>
      </w:r>
      <w:r w:rsidR="00AC1FAB" w:rsidRPr="00547908">
        <w:rPr>
          <w:lang w:val="fr-FR"/>
        </w:rPr>
        <w:t>100</w:t>
      </w:r>
    </w:p>
    <w:p w:rsidR="002D5BB0" w:rsidRPr="00222917" w:rsidRDefault="00364005" w:rsidP="002D5BB0">
      <w:pPr>
        <w:tabs>
          <w:tab w:val="right" w:leader="dot" w:pos="7654"/>
          <w:tab w:val="right" w:pos="8929"/>
          <w:tab w:val="right" w:pos="9638"/>
        </w:tabs>
        <w:spacing w:after="120" w:line="220" w:lineRule="atLeast"/>
        <w:ind w:left="1559" w:hanging="425"/>
        <w:rPr>
          <w:lang w:val="en-US"/>
        </w:rPr>
      </w:pPr>
      <w:r w:rsidRPr="00222917">
        <w:rPr>
          <w:lang w:val="en-US"/>
        </w:rPr>
        <w:t>Article 26</w:t>
      </w:r>
      <w:r w:rsidR="002D5BB0" w:rsidRPr="00222917">
        <w:rPr>
          <w:lang w:val="en-US"/>
        </w:rPr>
        <w:tab/>
      </w:r>
      <w:r w:rsidR="002D5BB0" w:rsidRPr="00222917">
        <w:rPr>
          <w:lang w:val="en-US"/>
        </w:rPr>
        <w:tab/>
      </w:r>
      <w:r w:rsidR="00E732E5" w:rsidRPr="00222917">
        <w:rPr>
          <w:lang w:val="en-US"/>
        </w:rPr>
        <w:t>376–382</w:t>
      </w:r>
      <w:r w:rsidR="002D5BB0" w:rsidRPr="00222917">
        <w:rPr>
          <w:lang w:val="en-US"/>
        </w:rPr>
        <w:tab/>
      </w:r>
      <w:r w:rsidR="00E732E5" w:rsidRPr="00222917">
        <w:rPr>
          <w:lang w:val="en-US"/>
        </w:rPr>
        <w:t>10</w:t>
      </w:r>
      <w:r w:rsidR="00505C89">
        <w:rPr>
          <w:lang w:val="en-US"/>
        </w:rPr>
        <w:t>3</w:t>
      </w:r>
    </w:p>
    <w:p w:rsidR="002D5BB0" w:rsidRPr="00222917" w:rsidRDefault="00364005" w:rsidP="002D5BB0">
      <w:pPr>
        <w:tabs>
          <w:tab w:val="right" w:leader="dot" w:pos="7654"/>
          <w:tab w:val="right" w:pos="8929"/>
          <w:tab w:val="right" w:pos="9638"/>
        </w:tabs>
        <w:spacing w:after="120" w:line="220" w:lineRule="atLeast"/>
        <w:ind w:left="1559" w:hanging="425"/>
        <w:rPr>
          <w:lang w:val="en-US"/>
        </w:rPr>
      </w:pPr>
      <w:r w:rsidRPr="00222917">
        <w:rPr>
          <w:lang w:val="en-US"/>
        </w:rPr>
        <w:t>Article 27</w:t>
      </w:r>
      <w:r w:rsidR="002D5BB0" w:rsidRPr="00222917">
        <w:rPr>
          <w:lang w:val="en-US"/>
        </w:rPr>
        <w:tab/>
      </w:r>
      <w:r w:rsidR="002D5BB0" w:rsidRPr="00222917">
        <w:rPr>
          <w:lang w:val="en-US"/>
        </w:rPr>
        <w:tab/>
      </w:r>
      <w:r w:rsidR="00E732E5" w:rsidRPr="00222917">
        <w:rPr>
          <w:lang w:val="en-US"/>
        </w:rPr>
        <w:t>383–386</w:t>
      </w:r>
      <w:r w:rsidR="002D5BB0" w:rsidRPr="00222917">
        <w:rPr>
          <w:lang w:val="en-US"/>
        </w:rPr>
        <w:tab/>
      </w:r>
      <w:r w:rsidR="00E732E5" w:rsidRPr="00222917">
        <w:rPr>
          <w:lang w:val="en-US"/>
        </w:rPr>
        <w:t>10</w:t>
      </w:r>
      <w:r w:rsidR="00505C89">
        <w:rPr>
          <w:lang w:val="en-US"/>
        </w:rPr>
        <w:t>4</w:t>
      </w:r>
    </w:p>
    <w:p w:rsidR="002D5BB0" w:rsidRPr="00222917" w:rsidRDefault="002D5BB0" w:rsidP="00207251">
      <w:pPr>
        <w:pStyle w:val="HChG"/>
        <w:ind w:hanging="567"/>
        <w:rPr>
          <w:rFonts w:eastAsia="MS Mincho"/>
          <w:lang w:val="en-US"/>
        </w:rPr>
      </w:pPr>
      <w:r w:rsidRPr="00222917">
        <w:rPr>
          <w:lang w:val="en-US"/>
        </w:rPr>
        <w:br w:type="page"/>
      </w:r>
      <w:r w:rsidR="00207251" w:rsidRPr="00222917">
        <w:rPr>
          <w:lang w:val="en-US"/>
        </w:rPr>
        <w:t>I.</w:t>
      </w:r>
      <w:r w:rsidR="00207251" w:rsidRPr="00222917">
        <w:rPr>
          <w:lang w:val="en-US"/>
        </w:rPr>
        <w:tab/>
      </w:r>
      <w:r w:rsidR="00207251" w:rsidRPr="00222917">
        <w:rPr>
          <w:lang w:val="en-US"/>
        </w:rPr>
        <w:tab/>
      </w:r>
      <w:r w:rsidR="00BB328E" w:rsidRPr="00222917">
        <w:rPr>
          <w:rFonts w:eastAsia="MS Mincho"/>
          <w:lang w:val="en-US"/>
        </w:rPr>
        <w:t>Introduction</w:t>
      </w:r>
    </w:p>
    <w:p w:rsidR="002D5BB0" w:rsidRPr="00222917" w:rsidRDefault="00547908" w:rsidP="00547908">
      <w:pPr>
        <w:pStyle w:val="SingleTxtG"/>
        <w:rPr>
          <w:bCs/>
          <w:lang w:val="en-US"/>
        </w:rPr>
      </w:pPr>
      <w:r w:rsidRPr="00222917">
        <w:rPr>
          <w:bCs/>
          <w:lang w:val="en-US"/>
        </w:rPr>
        <w:t>1.</w:t>
      </w:r>
      <w:r w:rsidRPr="00222917">
        <w:rPr>
          <w:bCs/>
          <w:lang w:val="en-US"/>
        </w:rPr>
        <w:tab/>
      </w:r>
      <w:r w:rsidR="002D5BB0" w:rsidRPr="00222917">
        <w:rPr>
          <w:bCs/>
          <w:lang w:val="en-US"/>
        </w:rPr>
        <w:t xml:space="preserve">The Republic of Korea, as a State party to the International Covenant on Civil and Political Rights (hereinafter referred to as “the Covenant”), </w:t>
      </w:r>
      <w:r w:rsidR="00207251" w:rsidRPr="00222917">
        <w:rPr>
          <w:bCs/>
          <w:lang w:val="en-US"/>
        </w:rPr>
        <w:t xml:space="preserve">hereby </w:t>
      </w:r>
      <w:r w:rsidR="002D5BB0" w:rsidRPr="00222917">
        <w:rPr>
          <w:bCs/>
          <w:lang w:val="en-US"/>
        </w:rPr>
        <w:t xml:space="preserve">submits its fourth </w:t>
      </w:r>
      <w:r w:rsidR="00207251" w:rsidRPr="00222917">
        <w:rPr>
          <w:bCs/>
          <w:lang w:val="en-US"/>
        </w:rPr>
        <w:t xml:space="preserve">periodic </w:t>
      </w:r>
      <w:r w:rsidR="002D5BB0" w:rsidRPr="00222917">
        <w:rPr>
          <w:bCs/>
          <w:lang w:val="en-US"/>
        </w:rPr>
        <w:t xml:space="preserve">report pursuant to article </w:t>
      </w:r>
      <w:r w:rsidR="003D0168" w:rsidRPr="00222917">
        <w:rPr>
          <w:bCs/>
          <w:lang w:val="en-US"/>
        </w:rPr>
        <w:t>40, paragraph </w:t>
      </w:r>
      <w:r w:rsidR="002D5BB0" w:rsidRPr="00222917">
        <w:rPr>
          <w:bCs/>
          <w:lang w:val="en-US"/>
        </w:rPr>
        <w:t>1</w:t>
      </w:r>
      <w:r w:rsidR="00207251" w:rsidRPr="00222917">
        <w:rPr>
          <w:bCs/>
          <w:lang w:val="en-US"/>
        </w:rPr>
        <w:t>,</w:t>
      </w:r>
      <w:r w:rsidR="002D5BB0" w:rsidRPr="00222917">
        <w:rPr>
          <w:bCs/>
          <w:lang w:val="en-US"/>
        </w:rPr>
        <w:t xml:space="preserve"> of the Covenant. Taking into account the </w:t>
      </w:r>
      <w:r w:rsidR="00EC46D5" w:rsidRPr="00222917">
        <w:rPr>
          <w:bCs/>
          <w:lang w:val="en-US"/>
        </w:rPr>
        <w:t>c</w:t>
      </w:r>
      <w:r w:rsidR="002D5BB0" w:rsidRPr="00222917">
        <w:rPr>
          <w:bCs/>
          <w:lang w:val="en-US"/>
        </w:rPr>
        <w:t xml:space="preserve">onsolidated guidelines for State reports under the </w:t>
      </w:r>
      <w:r w:rsidR="00664558" w:rsidRPr="00222917">
        <w:rPr>
          <w:bCs/>
          <w:lang w:val="en-US"/>
        </w:rPr>
        <w:t xml:space="preserve">International </w:t>
      </w:r>
      <w:r w:rsidR="002D5BB0" w:rsidRPr="00222917">
        <w:rPr>
          <w:bCs/>
          <w:lang w:val="en-US"/>
        </w:rPr>
        <w:t>Covenant o</w:t>
      </w:r>
      <w:r w:rsidR="00664558" w:rsidRPr="00222917">
        <w:rPr>
          <w:bCs/>
          <w:lang w:val="en-US"/>
        </w:rPr>
        <w:t>n</w:t>
      </w:r>
      <w:r w:rsidR="002D5BB0" w:rsidRPr="00222917">
        <w:rPr>
          <w:bCs/>
          <w:lang w:val="en-US"/>
        </w:rPr>
        <w:t xml:space="preserve"> </w:t>
      </w:r>
      <w:r w:rsidR="00664558" w:rsidRPr="00222917">
        <w:rPr>
          <w:bCs/>
          <w:lang w:val="en-US"/>
        </w:rPr>
        <w:t>Civil and Political</w:t>
      </w:r>
      <w:r w:rsidR="002D5BB0" w:rsidRPr="00222917">
        <w:rPr>
          <w:bCs/>
          <w:lang w:val="en-US"/>
        </w:rPr>
        <w:t xml:space="preserve"> Rights (CCPR/C/66/GUI/Rev.2), this fourth report describes measures taken by the Government in the implementation of the Covenant as well as the progress achieved during the period from 2004 to 2010, including updates on the points raised by the Human Rights Committee in its </w:t>
      </w:r>
      <w:r w:rsidR="0024358A">
        <w:rPr>
          <w:bCs/>
          <w:lang w:val="en-US"/>
        </w:rPr>
        <w:t xml:space="preserve">2006 </w:t>
      </w:r>
      <w:r w:rsidR="002D5BB0" w:rsidRPr="00222917">
        <w:rPr>
          <w:bCs/>
          <w:lang w:val="en-US"/>
        </w:rPr>
        <w:t>concluding observations (CCPR/C/KOR/CO/3).</w:t>
      </w:r>
    </w:p>
    <w:p w:rsidR="002D5BB0" w:rsidRPr="00222917" w:rsidRDefault="008E73D3" w:rsidP="008E73D3">
      <w:pPr>
        <w:pStyle w:val="H1G"/>
        <w:rPr>
          <w:lang w:val="en-US"/>
        </w:rPr>
      </w:pPr>
      <w:r>
        <w:rPr>
          <w:lang w:val="en-US"/>
        </w:rPr>
        <w:tab/>
        <w:t>A.</w:t>
      </w:r>
      <w:r w:rsidR="001224A8" w:rsidRPr="00222917">
        <w:rPr>
          <w:lang w:val="en-US"/>
        </w:rPr>
        <w:tab/>
      </w:r>
      <w:r w:rsidR="002D5BB0" w:rsidRPr="00222917">
        <w:rPr>
          <w:lang w:val="en-US"/>
        </w:rPr>
        <w:t>Establishment of the Human Rights Bureau in the Ministry of Justice</w:t>
      </w:r>
    </w:p>
    <w:p w:rsidR="002D5BB0" w:rsidRPr="00222917" w:rsidRDefault="00547908" w:rsidP="00547908">
      <w:pPr>
        <w:pStyle w:val="SingleTxtG"/>
        <w:rPr>
          <w:lang w:val="en-US"/>
        </w:rPr>
      </w:pPr>
      <w:r w:rsidRPr="00222917">
        <w:rPr>
          <w:lang w:val="en-US"/>
        </w:rPr>
        <w:t>2.</w:t>
      </w:r>
      <w:r w:rsidRPr="00222917">
        <w:rPr>
          <w:lang w:val="en-US"/>
        </w:rPr>
        <w:tab/>
      </w:r>
      <w:r w:rsidR="002D5BB0" w:rsidRPr="00222917">
        <w:rPr>
          <w:lang w:val="en-US"/>
        </w:rPr>
        <w:t xml:space="preserve">In May 2006, the Human Rights Bureau was established in the Ministry of Justice, with mandates covering </w:t>
      </w:r>
      <w:r w:rsidR="00207251" w:rsidRPr="00222917">
        <w:rPr>
          <w:lang w:val="en-US"/>
        </w:rPr>
        <w:t xml:space="preserve">the </w:t>
      </w:r>
      <w:r w:rsidR="002D5BB0" w:rsidRPr="00222917">
        <w:rPr>
          <w:lang w:val="en-US"/>
        </w:rPr>
        <w:t xml:space="preserve">formulation and implementation of national human rights policy, such as the National Action Plan for the Promotion and Protection of Human Rights, tasks related with international human rights obligations, investigation and system reform with regard to human rights infringement in the course of law enforcement, protection of crime victims along with legal aids for them, and human rights education. </w:t>
      </w:r>
    </w:p>
    <w:p w:rsidR="002D5BB0" w:rsidRPr="00222917" w:rsidRDefault="00547908" w:rsidP="00547908">
      <w:pPr>
        <w:pStyle w:val="SingleTxtG"/>
        <w:rPr>
          <w:lang w:val="en-US"/>
        </w:rPr>
      </w:pPr>
      <w:r w:rsidRPr="00222917">
        <w:rPr>
          <w:lang w:val="en-US"/>
        </w:rPr>
        <w:t>3.</w:t>
      </w:r>
      <w:r w:rsidRPr="00222917">
        <w:rPr>
          <w:lang w:val="en-US"/>
        </w:rPr>
        <w:tab/>
      </w:r>
      <w:r w:rsidR="002D5BB0" w:rsidRPr="00222917">
        <w:rPr>
          <w:lang w:val="en-US"/>
        </w:rPr>
        <w:t xml:space="preserve">Special attention is placed on the prevention of human rights violations in the process of law enforcement such as investigation, corrections, protection and immigration. Accordingly, the </w:t>
      </w:r>
      <w:smartTag w:uri="urn:schemas-microsoft-com:office:smarttags" w:element="place">
        <w:smartTag w:uri="urn:schemas-microsoft-com:office:smarttags" w:element="PlaceName">
          <w:r w:rsidR="002D5BB0" w:rsidRPr="00222917">
            <w:rPr>
              <w:lang w:val="en-US"/>
            </w:rPr>
            <w:t>Human</w:t>
          </w:r>
        </w:smartTag>
        <w:r w:rsidR="002D5BB0" w:rsidRPr="00222917">
          <w:rPr>
            <w:lang w:val="en-US"/>
          </w:rPr>
          <w:t xml:space="preserve"> </w:t>
        </w:r>
        <w:smartTag w:uri="urn:schemas-microsoft-com:office:smarttags" w:element="PlaceName">
          <w:r w:rsidR="002D5BB0" w:rsidRPr="00222917">
            <w:rPr>
              <w:lang w:val="en-US"/>
            </w:rPr>
            <w:t>Rights</w:t>
          </w:r>
        </w:smartTag>
        <w:r w:rsidR="002D5BB0" w:rsidRPr="00222917">
          <w:rPr>
            <w:lang w:val="en-US"/>
          </w:rPr>
          <w:t xml:space="preserve"> </w:t>
        </w:r>
        <w:smartTag w:uri="urn:schemas-microsoft-com:office:smarttags" w:element="PlaceName">
          <w:r w:rsidR="002D5BB0" w:rsidRPr="00222917">
            <w:rPr>
              <w:lang w:val="en-US"/>
            </w:rPr>
            <w:t>Violation</w:t>
          </w:r>
        </w:smartTag>
        <w:r w:rsidR="002D5BB0" w:rsidRPr="00222917">
          <w:rPr>
            <w:lang w:val="en-US"/>
          </w:rPr>
          <w:t xml:space="preserve"> </w:t>
        </w:r>
        <w:smartTag w:uri="urn:schemas-microsoft-com:office:smarttags" w:element="PlaceName">
          <w:r w:rsidR="002D5BB0" w:rsidRPr="00222917">
            <w:rPr>
              <w:lang w:val="en-US"/>
            </w:rPr>
            <w:t>Hotline</w:t>
          </w:r>
        </w:smartTag>
        <w:r w:rsidR="002D5BB0" w:rsidRPr="00222917">
          <w:rPr>
            <w:lang w:val="en-US"/>
          </w:rPr>
          <w:t xml:space="preserve"> </w:t>
        </w:r>
        <w:smartTag w:uri="urn:schemas-microsoft-com:office:smarttags" w:element="PlaceType">
          <w:r w:rsidR="002D5BB0" w:rsidRPr="00222917">
            <w:rPr>
              <w:lang w:val="en-US"/>
            </w:rPr>
            <w:t>Center</w:t>
          </w:r>
        </w:smartTag>
      </w:smartTag>
      <w:r w:rsidR="002D5BB0" w:rsidRPr="00222917">
        <w:rPr>
          <w:lang w:val="en-US"/>
        </w:rPr>
        <w:t xml:space="preserve"> was established, which takes preventive measures in this regard, investigates cases of violation, and provides remedial measures for victims. </w:t>
      </w:r>
    </w:p>
    <w:p w:rsidR="002D5BB0" w:rsidRPr="00222917" w:rsidRDefault="001224A8" w:rsidP="00507B75">
      <w:pPr>
        <w:pStyle w:val="H1G"/>
        <w:rPr>
          <w:lang w:val="en-US"/>
        </w:rPr>
      </w:pPr>
      <w:r w:rsidRPr="00222917">
        <w:rPr>
          <w:lang w:val="en-US"/>
        </w:rPr>
        <w:tab/>
      </w:r>
      <w:r w:rsidR="008E73D3">
        <w:rPr>
          <w:lang w:val="en-US"/>
        </w:rPr>
        <w:t>B.</w:t>
      </w:r>
      <w:r w:rsidRPr="00222917">
        <w:rPr>
          <w:lang w:val="en-US"/>
        </w:rPr>
        <w:tab/>
      </w:r>
      <w:r w:rsidR="002D5BB0" w:rsidRPr="00222917">
        <w:rPr>
          <w:lang w:val="en-US"/>
        </w:rPr>
        <w:t xml:space="preserve">National Action Plan for the Promotion and Protection of Human Rights </w:t>
      </w:r>
    </w:p>
    <w:p w:rsidR="002D5BB0" w:rsidRPr="00222917" w:rsidRDefault="00547908" w:rsidP="00547908">
      <w:pPr>
        <w:pStyle w:val="SingleTxtG"/>
        <w:rPr>
          <w:lang w:val="en-US"/>
        </w:rPr>
      </w:pPr>
      <w:r w:rsidRPr="00222917">
        <w:rPr>
          <w:lang w:val="en-US"/>
        </w:rPr>
        <w:t>4.</w:t>
      </w:r>
      <w:r w:rsidRPr="00222917">
        <w:rPr>
          <w:lang w:val="en-US"/>
        </w:rPr>
        <w:tab/>
      </w:r>
      <w:r w:rsidR="002D5BB0" w:rsidRPr="00222917">
        <w:rPr>
          <w:lang w:val="en-US"/>
        </w:rPr>
        <w:t>In May 2007, the National Action Plan for the Promotion and Protection of Human Rights was launched for the five-year period from 2007 to 2011. As the country</w:t>
      </w:r>
      <w:r w:rsidR="001224A8" w:rsidRPr="00222917">
        <w:rPr>
          <w:lang w:val="en-US"/>
        </w:rPr>
        <w:t>’</w:t>
      </w:r>
      <w:r w:rsidR="002D5BB0" w:rsidRPr="00222917">
        <w:rPr>
          <w:lang w:val="en-US"/>
        </w:rPr>
        <w:t>s first comprehensive plan on human rights policy, the N</w:t>
      </w:r>
      <w:r w:rsidR="00507B75" w:rsidRPr="00222917">
        <w:rPr>
          <w:lang w:val="en-US"/>
        </w:rPr>
        <w:t xml:space="preserve">ational </w:t>
      </w:r>
      <w:r w:rsidR="002D5BB0" w:rsidRPr="00222917">
        <w:rPr>
          <w:lang w:val="en-US"/>
        </w:rPr>
        <w:t>A</w:t>
      </w:r>
      <w:r w:rsidR="00507B75" w:rsidRPr="00222917">
        <w:rPr>
          <w:lang w:val="en-US"/>
        </w:rPr>
        <w:t xml:space="preserve">ction </w:t>
      </w:r>
      <w:r w:rsidR="002D5BB0" w:rsidRPr="00222917">
        <w:rPr>
          <w:lang w:val="en-US"/>
        </w:rPr>
        <w:t>P</w:t>
      </w:r>
      <w:r w:rsidR="00507B75" w:rsidRPr="00222917">
        <w:rPr>
          <w:lang w:val="en-US"/>
        </w:rPr>
        <w:t>lan</w:t>
      </w:r>
      <w:r w:rsidR="002D5BB0" w:rsidRPr="00222917">
        <w:rPr>
          <w:lang w:val="en-US"/>
        </w:rPr>
        <w:t xml:space="preserve"> was aimed at improving laws, systems, and practices pertaining to human rights in the fields of civil and political rights, economic and social rights, protection of vulnerable groups and minorities, international human rights obligations and relevant cooperation, and human rights education. International human rights norms and the recommendations of U</w:t>
      </w:r>
      <w:r w:rsidR="00507B75" w:rsidRPr="00222917">
        <w:rPr>
          <w:lang w:val="en-US"/>
        </w:rPr>
        <w:t xml:space="preserve">nited </w:t>
      </w:r>
      <w:r w:rsidR="002D5BB0" w:rsidRPr="00222917">
        <w:rPr>
          <w:lang w:val="en-US"/>
        </w:rPr>
        <w:t>N</w:t>
      </w:r>
      <w:r w:rsidR="00507B75" w:rsidRPr="00222917">
        <w:rPr>
          <w:lang w:val="en-US"/>
        </w:rPr>
        <w:t>ations</w:t>
      </w:r>
      <w:r w:rsidR="002D5BB0" w:rsidRPr="00222917">
        <w:rPr>
          <w:lang w:val="en-US"/>
        </w:rPr>
        <w:t xml:space="preserve"> treaty monitoring bodies are duly respected. </w:t>
      </w:r>
    </w:p>
    <w:p w:rsidR="002D5BB0" w:rsidRPr="00222917" w:rsidRDefault="00547908" w:rsidP="00547908">
      <w:pPr>
        <w:pStyle w:val="SingleTxtG"/>
        <w:rPr>
          <w:lang w:val="en-US"/>
        </w:rPr>
      </w:pPr>
      <w:r w:rsidRPr="00222917">
        <w:rPr>
          <w:lang w:val="en-US"/>
        </w:rPr>
        <w:t>5.</w:t>
      </w:r>
      <w:r w:rsidRPr="00222917">
        <w:rPr>
          <w:lang w:val="en-US"/>
        </w:rPr>
        <w:tab/>
      </w:r>
      <w:r w:rsidR="002D5BB0" w:rsidRPr="00222917">
        <w:rPr>
          <w:lang w:val="en-US"/>
        </w:rPr>
        <w:t xml:space="preserve">The National Human Rights Policy Council, chaired by the Minister of Justice with participation of vice-ministerial level members of relevant government agencies, adopts the </w:t>
      </w:r>
      <w:r w:rsidR="00507B75" w:rsidRPr="00222917">
        <w:rPr>
          <w:lang w:val="en-US"/>
        </w:rPr>
        <w:t xml:space="preserve">National Action Plan </w:t>
      </w:r>
      <w:r w:rsidR="002D5BB0" w:rsidRPr="00222917">
        <w:rPr>
          <w:lang w:val="en-US"/>
        </w:rPr>
        <w:t xml:space="preserve">and monitors its implementation. The Ministry of Justice, as the lead agency, is responsible for monitoring the implementation, the results of which it annually reports to the Council then is later made public. The annual ‘status of </w:t>
      </w:r>
      <w:r w:rsidR="00507B75" w:rsidRPr="00222917">
        <w:rPr>
          <w:lang w:val="en-US"/>
        </w:rPr>
        <w:t xml:space="preserve">National Action Plan </w:t>
      </w:r>
      <w:r w:rsidR="002D5BB0" w:rsidRPr="00222917">
        <w:rPr>
          <w:lang w:val="en-US"/>
        </w:rPr>
        <w:t>implementation’ for the years 2007, 2008, and 2009 were reported and published in the form of booklets in 2008, 2009 and 2010, respectively, which were distributed to the general public and government agencies.</w:t>
      </w:r>
    </w:p>
    <w:p w:rsidR="002D5BB0" w:rsidRPr="00222917" w:rsidRDefault="001224A8" w:rsidP="00423A3F">
      <w:pPr>
        <w:pStyle w:val="H1G"/>
        <w:rPr>
          <w:lang w:val="en-US"/>
        </w:rPr>
      </w:pPr>
      <w:r w:rsidRPr="00222917">
        <w:rPr>
          <w:lang w:val="en-US"/>
        </w:rPr>
        <w:tab/>
      </w:r>
      <w:r w:rsidR="008E73D3">
        <w:rPr>
          <w:lang w:val="en-US"/>
        </w:rPr>
        <w:t>C.</w:t>
      </w:r>
      <w:r w:rsidRPr="00222917">
        <w:rPr>
          <w:lang w:val="en-US"/>
        </w:rPr>
        <w:tab/>
      </w:r>
      <w:r w:rsidR="002D5BB0" w:rsidRPr="00222917">
        <w:rPr>
          <w:lang w:val="en-US"/>
        </w:rPr>
        <w:t>Dissemination of the Covenant</w:t>
      </w:r>
    </w:p>
    <w:p w:rsidR="002D5BB0" w:rsidRPr="00222917" w:rsidRDefault="00547908" w:rsidP="00547908">
      <w:pPr>
        <w:pStyle w:val="SingleTxtG"/>
        <w:rPr>
          <w:lang w:val="en-US"/>
        </w:rPr>
      </w:pPr>
      <w:r w:rsidRPr="00222917">
        <w:rPr>
          <w:lang w:val="en-US"/>
        </w:rPr>
        <w:t>6.</w:t>
      </w:r>
      <w:r w:rsidRPr="00222917">
        <w:rPr>
          <w:lang w:val="en-US"/>
        </w:rPr>
        <w:tab/>
      </w:r>
      <w:r w:rsidR="002D5BB0" w:rsidRPr="00222917">
        <w:rPr>
          <w:lang w:val="en-US"/>
        </w:rPr>
        <w:t xml:space="preserve">In its consideration of the third </w:t>
      </w:r>
      <w:r w:rsidR="00507B75" w:rsidRPr="00222917">
        <w:rPr>
          <w:lang w:val="en-US"/>
        </w:rPr>
        <w:t xml:space="preserve">periodic </w:t>
      </w:r>
      <w:r w:rsidR="002D5BB0" w:rsidRPr="00222917">
        <w:rPr>
          <w:lang w:val="en-US"/>
        </w:rPr>
        <w:t>report of the Republic of Korea, the Committee urged the Republic of Korea to make the Committee's concluding observations available in the Korean language and to publish and widely disseminate them to the general public, as</w:t>
      </w:r>
      <w:r w:rsidR="00423A3F" w:rsidRPr="00222917">
        <w:rPr>
          <w:lang w:val="en-US"/>
        </w:rPr>
        <w:t> </w:t>
      </w:r>
      <w:r w:rsidR="002D5BB0" w:rsidRPr="00222917">
        <w:rPr>
          <w:lang w:val="en-US"/>
        </w:rPr>
        <w:t>well as to the judicial, legislative, and administrative authorities</w:t>
      </w:r>
      <w:r w:rsidR="001224A8" w:rsidRPr="00222917">
        <w:rPr>
          <w:lang w:val="en-US"/>
        </w:rPr>
        <w:t xml:space="preserve"> (CCPR/C/KOR/ CO/3, para. </w:t>
      </w:r>
      <w:r w:rsidR="002D5BB0" w:rsidRPr="00222917">
        <w:rPr>
          <w:lang w:val="en-US"/>
        </w:rPr>
        <w:t xml:space="preserve">21). </w:t>
      </w:r>
    </w:p>
    <w:p w:rsidR="002D5BB0" w:rsidRPr="00222917" w:rsidRDefault="00547908" w:rsidP="00547908">
      <w:pPr>
        <w:pStyle w:val="SingleTxtG"/>
        <w:rPr>
          <w:lang w:val="en-US"/>
        </w:rPr>
      </w:pPr>
      <w:r w:rsidRPr="00222917">
        <w:rPr>
          <w:lang w:val="en-US"/>
        </w:rPr>
        <w:t>7.</w:t>
      </w:r>
      <w:r w:rsidRPr="00222917">
        <w:rPr>
          <w:lang w:val="en-US"/>
        </w:rPr>
        <w:tab/>
      </w:r>
      <w:r w:rsidR="002D5BB0" w:rsidRPr="00222917">
        <w:rPr>
          <w:lang w:val="en-US"/>
        </w:rPr>
        <w:t xml:space="preserve">The Human Rights Bureau of the Ministry of Justice, the Ministry of Foreign Affairs and Trade, and the National Human Rights Commission of Korea publicize the Covenant and the Committee's concluding observations on their web pages and through the press. To raise the government employees’ awareness of the Covenant, related information is included in the education courses of government agencies and of training institutes for civil servants. </w:t>
      </w:r>
    </w:p>
    <w:p w:rsidR="002D5BB0" w:rsidRPr="00222917" w:rsidRDefault="001224A8" w:rsidP="00505C89">
      <w:pPr>
        <w:pStyle w:val="H1G"/>
        <w:rPr>
          <w:lang w:val="en-US"/>
        </w:rPr>
      </w:pPr>
      <w:r w:rsidRPr="00222917">
        <w:rPr>
          <w:lang w:val="en-US"/>
        </w:rPr>
        <w:tab/>
      </w:r>
      <w:r w:rsidR="008E73D3">
        <w:rPr>
          <w:lang w:val="en-US"/>
        </w:rPr>
        <w:t>D.</w:t>
      </w:r>
      <w:r w:rsidRPr="00222917">
        <w:rPr>
          <w:lang w:val="en-US"/>
        </w:rPr>
        <w:tab/>
      </w:r>
      <w:r w:rsidR="002D5BB0" w:rsidRPr="00222917">
        <w:rPr>
          <w:lang w:val="en-US"/>
        </w:rPr>
        <w:t xml:space="preserve">Human </w:t>
      </w:r>
      <w:r w:rsidR="00505C89">
        <w:rPr>
          <w:lang w:val="en-US"/>
        </w:rPr>
        <w:t>r</w:t>
      </w:r>
      <w:r w:rsidR="002D5BB0" w:rsidRPr="00222917">
        <w:rPr>
          <w:lang w:val="en-US"/>
        </w:rPr>
        <w:t xml:space="preserve">ights </w:t>
      </w:r>
      <w:r w:rsidR="00505C89">
        <w:rPr>
          <w:lang w:val="en-US"/>
        </w:rPr>
        <w:t>e</w:t>
      </w:r>
      <w:r w:rsidR="002D5BB0" w:rsidRPr="00222917">
        <w:rPr>
          <w:lang w:val="en-US"/>
        </w:rPr>
        <w:t>ducation</w:t>
      </w:r>
    </w:p>
    <w:p w:rsidR="002D5BB0" w:rsidRPr="00222917" w:rsidRDefault="00547908" w:rsidP="00547908">
      <w:pPr>
        <w:pStyle w:val="SingleTxtG"/>
        <w:rPr>
          <w:lang w:val="en-US"/>
        </w:rPr>
      </w:pPr>
      <w:r w:rsidRPr="00222917">
        <w:rPr>
          <w:lang w:val="en-US"/>
        </w:rPr>
        <w:t>8.</w:t>
      </w:r>
      <w:r w:rsidRPr="00222917">
        <w:rPr>
          <w:lang w:val="en-US"/>
        </w:rPr>
        <w:tab/>
      </w:r>
      <w:r w:rsidR="002D5BB0" w:rsidRPr="00222917">
        <w:rPr>
          <w:lang w:val="en-US"/>
        </w:rPr>
        <w:t>The Committee expressed its concern that the efforts made by the Republic of Korea to raise public awareness of human rights set out in the Covenant are limited, and thus recommended the integration of human rights education into primary, secondary, higher and vocational curricula and, in particular, in the training programs of law enforcement official</w:t>
      </w:r>
      <w:r w:rsidR="001224A8" w:rsidRPr="00222917">
        <w:rPr>
          <w:lang w:val="en-US"/>
        </w:rPr>
        <w:t>s (CCPR/C/KOR/CO/3, para. </w:t>
      </w:r>
      <w:r w:rsidR="002D5BB0" w:rsidRPr="00222917">
        <w:rPr>
          <w:lang w:val="en-US"/>
        </w:rPr>
        <w:t xml:space="preserve">20). </w:t>
      </w:r>
    </w:p>
    <w:p w:rsidR="002D5BB0" w:rsidRPr="00222917" w:rsidRDefault="001224A8" w:rsidP="00505C89">
      <w:pPr>
        <w:pStyle w:val="H23G"/>
        <w:rPr>
          <w:lang w:val="en-US"/>
        </w:rPr>
      </w:pPr>
      <w:r w:rsidRPr="00222917">
        <w:rPr>
          <w:lang w:val="en-US"/>
        </w:rPr>
        <w:tab/>
      </w:r>
      <w:r w:rsidRPr="00222917">
        <w:rPr>
          <w:lang w:val="en-US"/>
        </w:rPr>
        <w:tab/>
      </w:r>
      <w:r w:rsidR="002D5BB0" w:rsidRPr="00222917">
        <w:rPr>
          <w:lang w:val="en-US"/>
        </w:rPr>
        <w:t xml:space="preserve">Human </w:t>
      </w:r>
      <w:r w:rsidR="00505C89">
        <w:rPr>
          <w:lang w:val="en-US"/>
        </w:rPr>
        <w:t>r</w:t>
      </w:r>
      <w:r w:rsidR="002D5BB0" w:rsidRPr="00222917">
        <w:rPr>
          <w:lang w:val="en-US"/>
        </w:rPr>
        <w:t>ights</w:t>
      </w:r>
      <w:r w:rsidRPr="00222917">
        <w:rPr>
          <w:lang w:val="en-US"/>
        </w:rPr>
        <w:t xml:space="preserve"> </w:t>
      </w:r>
      <w:r w:rsidR="00505C89">
        <w:rPr>
          <w:lang w:val="en-US"/>
        </w:rPr>
        <w:t>e</w:t>
      </w:r>
      <w:r w:rsidRPr="00222917">
        <w:rPr>
          <w:lang w:val="en-US"/>
        </w:rPr>
        <w:t xml:space="preserve">ducation contained in the </w:t>
      </w:r>
      <w:r w:rsidR="00507B75" w:rsidRPr="00222917">
        <w:rPr>
          <w:lang w:val="en-US"/>
        </w:rPr>
        <w:t xml:space="preserve">National Action Plan </w:t>
      </w:r>
    </w:p>
    <w:p w:rsidR="002D5BB0" w:rsidRPr="00222917" w:rsidRDefault="00547908" w:rsidP="00547908">
      <w:pPr>
        <w:pStyle w:val="SingleTxtG"/>
        <w:rPr>
          <w:lang w:val="en-US"/>
        </w:rPr>
      </w:pPr>
      <w:r w:rsidRPr="00222917">
        <w:rPr>
          <w:lang w:val="en-US"/>
        </w:rPr>
        <w:t>9.</w:t>
      </w:r>
      <w:r w:rsidRPr="00222917">
        <w:rPr>
          <w:lang w:val="en-US"/>
        </w:rPr>
        <w:tab/>
      </w:r>
      <w:r w:rsidR="002D5BB0" w:rsidRPr="00222917">
        <w:rPr>
          <w:lang w:val="en-US"/>
        </w:rPr>
        <w:t xml:space="preserve">Human rights education is an integral part of the </w:t>
      </w:r>
      <w:r w:rsidR="00507B75" w:rsidRPr="00222917">
        <w:rPr>
          <w:lang w:val="en-US"/>
        </w:rPr>
        <w:t>National Action Plan</w:t>
      </w:r>
      <w:r w:rsidR="002D5BB0" w:rsidRPr="00222917">
        <w:rPr>
          <w:lang w:val="en-US"/>
        </w:rPr>
        <w:t xml:space="preserve">, </w:t>
      </w:r>
      <w:r w:rsidR="00507B75" w:rsidRPr="00222917">
        <w:rPr>
          <w:lang w:val="en-US"/>
        </w:rPr>
        <w:t xml:space="preserve">which </w:t>
      </w:r>
      <w:r w:rsidR="002D5BB0" w:rsidRPr="00222917">
        <w:rPr>
          <w:lang w:val="en-US"/>
        </w:rPr>
        <w:t>take</w:t>
      </w:r>
      <w:r w:rsidR="00507B75" w:rsidRPr="00222917">
        <w:rPr>
          <w:lang w:val="en-US"/>
        </w:rPr>
        <w:t>s</w:t>
      </w:r>
      <w:r w:rsidR="002D5BB0" w:rsidRPr="00222917">
        <w:rPr>
          <w:lang w:val="en-US"/>
        </w:rPr>
        <w:t xml:space="preserve"> full account </w:t>
      </w:r>
      <w:r w:rsidR="00507B75" w:rsidRPr="00222917">
        <w:rPr>
          <w:lang w:val="en-US"/>
        </w:rPr>
        <w:t xml:space="preserve">of </w:t>
      </w:r>
      <w:r w:rsidR="002D5BB0" w:rsidRPr="00222917">
        <w:rPr>
          <w:lang w:val="en-US"/>
        </w:rPr>
        <w:t>its importance for the promotion and protection of human rights. Tasks related to human rights education at school and lifelong education facilities and human rights education for government officials and other personnel, for underprivileged groups and minorities, for entrepreneurs, journalists, and for the general public are contain</w:t>
      </w:r>
      <w:r w:rsidR="006A6ADD" w:rsidRPr="00222917">
        <w:rPr>
          <w:lang w:val="en-US"/>
        </w:rPr>
        <w:t>ed in the fifth chapter</w:t>
      </w:r>
      <w:r w:rsidR="00F83934">
        <w:rPr>
          <w:lang w:val="en-US"/>
        </w:rPr>
        <w:t xml:space="preserve"> of the </w:t>
      </w:r>
      <w:r w:rsidR="00F83934" w:rsidRPr="00222917">
        <w:rPr>
          <w:lang w:val="en-US"/>
        </w:rPr>
        <w:t>National Action Plan</w:t>
      </w:r>
      <w:r w:rsidR="006A6ADD" w:rsidRPr="00222917">
        <w:rPr>
          <w:lang w:val="en-US"/>
        </w:rPr>
        <w:t>.</w:t>
      </w:r>
    </w:p>
    <w:p w:rsidR="002D5BB0" w:rsidRPr="00222917" w:rsidRDefault="001224A8" w:rsidP="00505C89">
      <w:pPr>
        <w:pStyle w:val="H23G"/>
        <w:rPr>
          <w:lang w:val="en-US"/>
        </w:rPr>
      </w:pPr>
      <w:r w:rsidRPr="00222917">
        <w:rPr>
          <w:lang w:val="en-US"/>
        </w:rPr>
        <w:tab/>
      </w:r>
      <w:r w:rsidRPr="00222917">
        <w:rPr>
          <w:lang w:val="en-US"/>
        </w:rPr>
        <w:tab/>
      </w:r>
      <w:r w:rsidR="002D5BB0" w:rsidRPr="00222917">
        <w:rPr>
          <w:lang w:val="en-US"/>
        </w:rPr>
        <w:t xml:space="preserve">Human </w:t>
      </w:r>
      <w:r w:rsidR="00505C89">
        <w:rPr>
          <w:lang w:val="en-US"/>
        </w:rPr>
        <w:t>r</w:t>
      </w:r>
      <w:r w:rsidR="002D5BB0" w:rsidRPr="00222917">
        <w:rPr>
          <w:lang w:val="en-US"/>
        </w:rPr>
        <w:t xml:space="preserve">ights </w:t>
      </w:r>
      <w:r w:rsidR="00505C89">
        <w:rPr>
          <w:lang w:val="en-US"/>
        </w:rPr>
        <w:t>e</w:t>
      </w:r>
      <w:r w:rsidR="002D5BB0" w:rsidRPr="00222917">
        <w:rPr>
          <w:lang w:val="en-US"/>
        </w:rPr>
        <w:t xml:space="preserve">ducation for </w:t>
      </w:r>
      <w:r w:rsidR="00505C89">
        <w:rPr>
          <w:lang w:val="en-US"/>
        </w:rPr>
        <w:t>g</w:t>
      </w:r>
      <w:r w:rsidR="002D5BB0" w:rsidRPr="00222917">
        <w:rPr>
          <w:lang w:val="en-US"/>
        </w:rPr>
        <w:t xml:space="preserve">overnment </w:t>
      </w:r>
      <w:r w:rsidR="00505C89">
        <w:rPr>
          <w:lang w:val="en-US"/>
        </w:rPr>
        <w:t>e</w:t>
      </w:r>
      <w:r w:rsidR="002D5BB0" w:rsidRPr="00222917">
        <w:rPr>
          <w:lang w:val="en-US"/>
        </w:rPr>
        <w:t xml:space="preserve">mployees </w:t>
      </w:r>
    </w:p>
    <w:p w:rsidR="002D5BB0" w:rsidRPr="00222917" w:rsidRDefault="00547908" w:rsidP="00547908">
      <w:pPr>
        <w:pStyle w:val="SingleTxtG"/>
        <w:rPr>
          <w:lang w:val="en-US"/>
        </w:rPr>
      </w:pPr>
      <w:r w:rsidRPr="00222917">
        <w:rPr>
          <w:lang w:val="en-US"/>
        </w:rPr>
        <w:t>10.</w:t>
      </w:r>
      <w:r w:rsidRPr="00222917">
        <w:rPr>
          <w:lang w:val="en-US"/>
        </w:rPr>
        <w:tab/>
      </w:r>
      <w:r w:rsidR="002D5BB0" w:rsidRPr="00222917">
        <w:rPr>
          <w:lang w:val="en-US"/>
        </w:rPr>
        <w:t>To enhance human rights awareness among government employees, the Ministry of Public Administration and Security issued the 2010 Civil Servant Education Guidelines which requires each government agency and training institute to conduct human rights education. In addition, assessment on human rights education courses, as part of annual evaluations of education and training institutes for civil servants, is expected to contribute to the promot</w:t>
      </w:r>
      <w:r w:rsidR="006A6ADD" w:rsidRPr="00222917">
        <w:rPr>
          <w:lang w:val="en-US"/>
        </w:rPr>
        <w:t>ion of human rights education.</w:t>
      </w:r>
    </w:p>
    <w:p w:rsidR="002D5BB0" w:rsidRPr="00222917" w:rsidRDefault="001224A8" w:rsidP="001224A8">
      <w:pPr>
        <w:pStyle w:val="H23G"/>
        <w:rPr>
          <w:lang w:val="en-US"/>
        </w:rPr>
      </w:pPr>
      <w:r w:rsidRPr="00222917">
        <w:rPr>
          <w:lang w:val="en-US"/>
        </w:rPr>
        <w:tab/>
      </w:r>
      <w:r w:rsidRPr="00222917">
        <w:rPr>
          <w:lang w:val="en-US"/>
        </w:rPr>
        <w:tab/>
      </w:r>
      <w:r w:rsidR="002D5BB0" w:rsidRPr="00222917">
        <w:rPr>
          <w:lang w:val="en-US"/>
        </w:rPr>
        <w:t>Number of civil servants receiving human rights education by year</w:t>
      </w:r>
    </w:p>
    <w:tbl>
      <w:tblPr>
        <w:tblW w:w="0" w:type="auto"/>
        <w:tblInd w:w="1134" w:type="dxa"/>
        <w:tblBorders>
          <w:top w:val="single" w:sz="4" w:space="0" w:color="auto"/>
        </w:tblBorders>
        <w:tblLayout w:type="fixed"/>
        <w:tblCellMar>
          <w:left w:w="0" w:type="dxa"/>
          <w:right w:w="0" w:type="dxa"/>
        </w:tblCellMar>
        <w:tblLook w:val="0000"/>
      </w:tblPr>
      <w:tblGrid>
        <w:gridCol w:w="3969"/>
        <w:gridCol w:w="1701"/>
        <w:gridCol w:w="1701"/>
      </w:tblGrid>
      <w:tr w:rsidR="006E1F63" w:rsidRPr="00222917" w:rsidTr="006F1E73">
        <w:trPr>
          <w:trHeight w:val="240"/>
          <w:tblHeader/>
        </w:trPr>
        <w:tc>
          <w:tcPr>
            <w:tcW w:w="3969" w:type="dxa"/>
            <w:tcBorders>
              <w:top w:val="single" w:sz="4" w:space="0" w:color="auto"/>
              <w:bottom w:val="single" w:sz="12" w:space="0" w:color="auto"/>
            </w:tcBorders>
            <w:shd w:val="clear" w:color="auto" w:fill="auto"/>
            <w:vAlign w:val="bottom"/>
          </w:tcPr>
          <w:p w:rsidR="002D5BB0" w:rsidRPr="00222917" w:rsidRDefault="002D5BB0" w:rsidP="00242694">
            <w:pPr>
              <w:pStyle w:val="SingleTxtG"/>
              <w:suppressAutoHyphens w:val="0"/>
              <w:spacing w:before="80" w:after="80" w:line="200" w:lineRule="exact"/>
              <w:ind w:left="0" w:right="0"/>
              <w:jc w:val="left"/>
              <w:rPr>
                <w:i/>
                <w:sz w:val="16"/>
                <w:lang w:val="en-US"/>
              </w:rPr>
            </w:pPr>
            <w:r w:rsidRPr="00222917">
              <w:rPr>
                <w:i/>
                <w:sz w:val="16"/>
                <w:lang w:val="en-US"/>
              </w:rPr>
              <w:t>Year</w:t>
            </w:r>
          </w:p>
        </w:tc>
        <w:tc>
          <w:tcPr>
            <w:tcW w:w="1701" w:type="dxa"/>
            <w:tcBorders>
              <w:top w:val="single" w:sz="4" w:space="0" w:color="auto"/>
              <w:bottom w:val="single" w:sz="12" w:space="0" w:color="auto"/>
            </w:tcBorders>
            <w:shd w:val="clear" w:color="auto" w:fill="auto"/>
            <w:vAlign w:val="bottom"/>
          </w:tcPr>
          <w:p w:rsidR="002D5BB0" w:rsidRPr="00222917" w:rsidRDefault="002D5BB0" w:rsidP="00242694">
            <w:pPr>
              <w:pStyle w:val="SingleTxtG"/>
              <w:suppressAutoHyphens w:val="0"/>
              <w:spacing w:before="80" w:after="80" w:line="200" w:lineRule="exact"/>
              <w:ind w:left="0" w:right="0"/>
              <w:jc w:val="right"/>
              <w:rPr>
                <w:i/>
                <w:sz w:val="16"/>
                <w:lang w:val="en-US"/>
              </w:rPr>
            </w:pPr>
            <w:r w:rsidRPr="00222917">
              <w:rPr>
                <w:bCs/>
                <w:i/>
                <w:sz w:val="16"/>
                <w:lang w:val="en-US"/>
              </w:rPr>
              <w:t>2009</w:t>
            </w:r>
          </w:p>
        </w:tc>
        <w:tc>
          <w:tcPr>
            <w:tcW w:w="1701" w:type="dxa"/>
            <w:tcBorders>
              <w:top w:val="single" w:sz="4" w:space="0" w:color="auto"/>
              <w:bottom w:val="single" w:sz="12" w:space="0" w:color="auto"/>
            </w:tcBorders>
            <w:shd w:val="clear" w:color="auto" w:fill="auto"/>
            <w:vAlign w:val="bottom"/>
          </w:tcPr>
          <w:p w:rsidR="002D5BB0" w:rsidRPr="00222917" w:rsidRDefault="002D5BB0" w:rsidP="00242694">
            <w:pPr>
              <w:pStyle w:val="SingleTxtG"/>
              <w:suppressAutoHyphens w:val="0"/>
              <w:spacing w:before="80" w:after="80" w:line="200" w:lineRule="exact"/>
              <w:ind w:left="0" w:right="0"/>
              <w:jc w:val="right"/>
              <w:rPr>
                <w:i/>
                <w:sz w:val="16"/>
                <w:lang w:val="en-US"/>
              </w:rPr>
            </w:pPr>
            <w:r w:rsidRPr="00222917">
              <w:rPr>
                <w:bCs/>
                <w:i/>
                <w:sz w:val="16"/>
                <w:lang w:val="en-US"/>
              </w:rPr>
              <w:t>2010</w:t>
            </w:r>
          </w:p>
        </w:tc>
      </w:tr>
      <w:tr w:rsidR="006E1F63" w:rsidRPr="00222917" w:rsidTr="006F1E73">
        <w:trPr>
          <w:trHeight w:val="240"/>
        </w:trPr>
        <w:tc>
          <w:tcPr>
            <w:tcW w:w="3969" w:type="dxa"/>
            <w:tcBorders>
              <w:top w:val="single" w:sz="12" w:space="0" w:color="auto"/>
            </w:tcBorders>
            <w:shd w:val="clear" w:color="auto" w:fill="auto"/>
          </w:tcPr>
          <w:p w:rsidR="002D5BB0" w:rsidRPr="00222917" w:rsidRDefault="002D5BB0" w:rsidP="0014767D">
            <w:pPr>
              <w:pStyle w:val="SingleTxtG"/>
              <w:suppressAutoHyphens w:val="0"/>
              <w:spacing w:before="40" w:after="40" w:line="220" w:lineRule="exact"/>
              <w:ind w:left="0" w:right="0"/>
              <w:jc w:val="left"/>
              <w:rPr>
                <w:sz w:val="18"/>
                <w:lang w:val="en-US"/>
              </w:rPr>
            </w:pPr>
            <w:r w:rsidRPr="00222917">
              <w:rPr>
                <w:sz w:val="18"/>
                <w:lang w:val="en-US"/>
              </w:rPr>
              <w:t>At education and training institutes</w:t>
            </w:r>
          </w:p>
        </w:tc>
        <w:tc>
          <w:tcPr>
            <w:tcW w:w="1701" w:type="dxa"/>
            <w:tcBorders>
              <w:top w:val="single" w:sz="12" w:space="0" w:color="auto"/>
            </w:tcBorders>
            <w:shd w:val="clear" w:color="auto" w:fill="auto"/>
            <w:vAlign w:val="bottom"/>
          </w:tcPr>
          <w:p w:rsidR="002D5BB0" w:rsidRPr="00222917" w:rsidRDefault="002D5BB0" w:rsidP="00242694">
            <w:pPr>
              <w:pStyle w:val="SingleTxtG"/>
              <w:suppressAutoHyphens w:val="0"/>
              <w:spacing w:before="40" w:after="40" w:line="220" w:lineRule="exact"/>
              <w:ind w:left="0" w:right="0"/>
              <w:jc w:val="right"/>
              <w:rPr>
                <w:sz w:val="18"/>
                <w:lang w:val="en-US"/>
              </w:rPr>
            </w:pPr>
            <w:r w:rsidRPr="00222917">
              <w:rPr>
                <w:sz w:val="18"/>
                <w:lang w:val="en-US"/>
              </w:rPr>
              <w:t>724,867</w:t>
            </w:r>
          </w:p>
        </w:tc>
        <w:tc>
          <w:tcPr>
            <w:tcW w:w="1701" w:type="dxa"/>
            <w:tcBorders>
              <w:top w:val="single" w:sz="12" w:space="0" w:color="auto"/>
            </w:tcBorders>
            <w:shd w:val="clear" w:color="auto" w:fill="auto"/>
            <w:vAlign w:val="bottom"/>
          </w:tcPr>
          <w:p w:rsidR="002D5BB0" w:rsidRPr="00222917" w:rsidRDefault="002D5BB0" w:rsidP="00242694">
            <w:pPr>
              <w:pStyle w:val="SingleTxtG"/>
              <w:suppressAutoHyphens w:val="0"/>
              <w:spacing w:before="40" w:after="40" w:line="220" w:lineRule="exact"/>
              <w:ind w:left="0" w:right="0"/>
              <w:jc w:val="right"/>
              <w:rPr>
                <w:sz w:val="18"/>
                <w:lang w:val="en-US"/>
              </w:rPr>
            </w:pPr>
            <w:r w:rsidRPr="00222917">
              <w:rPr>
                <w:sz w:val="18"/>
                <w:lang w:val="en-US"/>
              </w:rPr>
              <w:t>144,802</w:t>
            </w:r>
          </w:p>
        </w:tc>
      </w:tr>
      <w:tr w:rsidR="006E1F63" w:rsidRPr="00222917" w:rsidTr="006F1E73">
        <w:trPr>
          <w:trHeight w:val="240"/>
        </w:trPr>
        <w:tc>
          <w:tcPr>
            <w:tcW w:w="3969" w:type="dxa"/>
            <w:tcBorders>
              <w:bottom w:val="single" w:sz="12" w:space="0" w:color="auto"/>
            </w:tcBorders>
            <w:shd w:val="clear" w:color="auto" w:fill="auto"/>
          </w:tcPr>
          <w:p w:rsidR="002D5BB0" w:rsidRPr="00222917" w:rsidRDefault="002D5BB0" w:rsidP="00242694">
            <w:pPr>
              <w:pStyle w:val="SingleTxtG"/>
              <w:suppressAutoHyphens w:val="0"/>
              <w:spacing w:before="40" w:after="40" w:line="220" w:lineRule="exact"/>
              <w:ind w:left="0" w:right="0"/>
              <w:jc w:val="left"/>
              <w:rPr>
                <w:sz w:val="18"/>
                <w:lang w:val="en-US"/>
              </w:rPr>
            </w:pPr>
            <w:r w:rsidRPr="00222917">
              <w:rPr>
                <w:sz w:val="18"/>
                <w:lang w:val="en-US"/>
              </w:rPr>
              <w:t>Through workplace education in government agencies</w:t>
            </w:r>
          </w:p>
        </w:tc>
        <w:tc>
          <w:tcPr>
            <w:tcW w:w="1701" w:type="dxa"/>
            <w:tcBorders>
              <w:bottom w:val="single" w:sz="12" w:space="0" w:color="auto"/>
            </w:tcBorders>
            <w:shd w:val="clear" w:color="auto" w:fill="auto"/>
            <w:vAlign w:val="bottom"/>
          </w:tcPr>
          <w:p w:rsidR="002D5BB0" w:rsidRPr="00222917" w:rsidRDefault="002D5BB0" w:rsidP="00242694">
            <w:pPr>
              <w:pStyle w:val="SingleTxtG"/>
              <w:suppressAutoHyphens w:val="0"/>
              <w:spacing w:before="40" w:after="40" w:line="220" w:lineRule="exact"/>
              <w:ind w:left="0" w:right="0"/>
              <w:jc w:val="right"/>
              <w:rPr>
                <w:sz w:val="18"/>
                <w:lang w:val="en-US"/>
              </w:rPr>
            </w:pPr>
            <w:r w:rsidRPr="00222917">
              <w:rPr>
                <w:sz w:val="18"/>
                <w:lang w:val="en-US"/>
              </w:rPr>
              <w:t>299,351</w:t>
            </w:r>
          </w:p>
        </w:tc>
        <w:tc>
          <w:tcPr>
            <w:tcW w:w="1701" w:type="dxa"/>
            <w:tcBorders>
              <w:bottom w:val="single" w:sz="12" w:space="0" w:color="auto"/>
            </w:tcBorders>
            <w:shd w:val="clear" w:color="auto" w:fill="auto"/>
            <w:vAlign w:val="bottom"/>
          </w:tcPr>
          <w:p w:rsidR="002D5BB0" w:rsidRPr="00222917" w:rsidRDefault="002D5BB0" w:rsidP="00242694">
            <w:pPr>
              <w:pStyle w:val="SingleTxtG"/>
              <w:suppressAutoHyphens w:val="0"/>
              <w:spacing w:before="40" w:after="40" w:line="220" w:lineRule="exact"/>
              <w:ind w:left="0" w:right="0"/>
              <w:jc w:val="right"/>
              <w:rPr>
                <w:sz w:val="18"/>
                <w:lang w:val="en-US"/>
              </w:rPr>
            </w:pPr>
            <w:r w:rsidRPr="00222917">
              <w:rPr>
                <w:sz w:val="18"/>
                <w:lang w:val="en-US"/>
              </w:rPr>
              <w:t>741,065</w:t>
            </w:r>
          </w:p>
        </w:tc>
      </w:tr>
    </w:tbl>
    <w:p w:rsidR="002D5BB0" w:rsidRPr="00222917" w:rsidRDefault="00547908" w:rsidP="00547908">
      <w:pPr>
        <w:pStyle w:val="SingleTxtG"/>
        <w:spacing w:before="240"/>
        <w:rPr>
          <w:lang w:val="en-US"/>
        </w:rPr>
      </w:pPr>
      <w:r w:rsidRPr="00222917">
        <w:rPr>
          <w:lang w:val="en-US"/>
        </w:rPr>
        <w:t>11.</w:t>
      </w:r>
      <w:r w:rsidRPr="00222917">
        <w:rPr>
          <w:lang w:val="en-US"/>
        </w:rPr>
        <w:tab/>
      </w:r>
      <w:r w:rsidR="002D5BB0" w:rsidRPr="00222917">
        <w:rPr>
          <w:lang w:val="en-US"/>
        </w:rPr>
        <w:t>The N</w:t>
      </w:r>
      <w:r w:rsidR="00507B75" w:rsidRPr="00222917">
        <w:rPr>
          <w:lang w:val="en-US"/>
        </w:rPr>
        <w:t xml:space="preserve">ational </w:t>
      </w:r>
      <w:r w:rsidR="002D5BB0" w:rsidRPr="00222917">
        <w:rPr>
          <w:lang w:val="en-US"/>
        </w:rPr>
        <w:t>H</w:t>
      </w:r>
      <w:r w:rsidR="00507B75" w:rsidRPr="00222917">
        <w:rPr>
          <w:lang w:val="en-US"/>
        </w:rPr>
        <w:t xml:space="preserve">uman </w:t>
      </w:r>
      <w:r w:rsidR="002D5BB0" w:rsidRPr="00222917">
        <w:rPr>
          <w:lang w:val="en-US"/>
        </w:rPr>
        <w:t>R</w:t>
      </w:r>
      <w:r w:rsidR="00507B75" w:rsidRPr="00222917">
        <w:rPr>
          <w:lang w:val="en-US"/>
        </w:rPr>
        <w:t xml:space="preserve">ights </w:t>
      </w:r>
      <w:r w:rsidR="002D5BB0" w:rsidRPr="00222917">
        <w:rPr>
          <w:lang w:val="en-US"/>
        </w:rPr>
        <w:t>C</w:t>
      </w:r>
      <w:r w:rsidR="00507B75" w:rsidRPr="00222917">
        <w:rPr>
          <w:lang w:val="en-US"/>
        </w:rPr>
        <w:t xml:space="preserve">ommission of </w:t>
      </w:r>
      <w:smartTag w:uri="urn:schemas-microsoft-com:office:smarttags" w:element="place">
        <w:smartTag w:uri="urn:schemas-microsoft-com:office:smarttags" w:element="country-region">
          <w:r w:rsidR="002D5BB0" w:rsidRPr="00222917">
            <w:rPr>
              <w:lang w:val="en-US"/>
            </w:rPr>
            <w:t>K</w:t>
          </w:r>
          <w:r w:rsidR="00507B75" w:rsidRPr="00222917">
            <w:rPr>
              <w:lang w:val="en-US"/>
            </w:rPr>
            <w:t>orea</w:t>
          </w:r>
        </w:smartTag>
      </w:smartTag>
      <w:r w:rsidR="002D5BB0" w:rsidRPr="00222917">
        <w:rPr>
          <w:lang w:val="en-US"/>
        </w:rPr>
        <w:t xml:space="preserve"> has continuously worked to enhance awareness on human rights education for public sector employees. Workshops for personnel responsible for course planning at education and training institutes helped them launch human rights education courses in addition to seminars with participation of human rights experts. The Commission has also developed materials for human rights education targeting the military, police, social workers, legislature, and judiciary in an effort to promote human rights education and en</w:t>
      </w:r>
      <w:r w:rsidR="006A6ADD" w:rsidRPr="00222917">
        <w:rPr>
          <w:lang w:val="en-US"/>
        </w:rPr>
        <w:t>hance human rights sensitivity.</w:t>
      </w:r>
    </w:p>
    <w:p w:rsidR="002D5BB0" w:rsidRPr="00222917" w:rsidRDefault="001854DF" w:rsidP="00505C89">
      <w:pPr>
        <w:pStyle w:val="H23G"/>
        <w:rPr>
          <w:b w:val="0"/>
          <w:sz w:val="16"/>
          <w:szCs w:val="16"/>
          <w:lang w:val="en-US"/>
        </w:rPr>
      </w:pPr>
      <w:r w:rsidRPr="00222917">
        <w:rPr>
          <w:lang w:val="en-US"/>
        </w:rPr>
        <w:tab/>
      </w:r>
      <w:r w:rsidRPr="00222917">
        <w:rPr>
          <w:lang w:val="en-US"/>
        </w:rPr>
        <w:tab/>
      </w:r>
      <w:r w:rsidR="002D5BB0" w:rsidRPr="00222917">
        <w:rPr>
          <w:lang w:val="en-US"/>
        </w:rPr>
        <w:t>Education related to the Covenant</w:t>
      </w:r>
      <w:r w:rsidRPr="00222917">
        <w:rPr>
          <w:lang w:val="en-US"/>
        </w:rPr>
        <w:t xml:space="preserve"> </w:t>
      </w:r>
      <w:r w:rsidR="002D5BB0" w:rsidRPr="00222917">
        <w:rPr>
          <w:lang w:val="en-US"/>
        </w:rPr>
        <w:t xml:space="preserve">provided by the </w:t>
      </w:r>
      <w:r w:rsidR="00507B75" w:rsidRPr="00222917">
        <w:rPr>
          <w:lang w:val="en-US"/>
        </w:rPr>
        <w:t xml:space="preserve">National Human Rights Commission of </w:t>
      </w:r>
      <w:smartTag w:uri="urn:schemas-microsoft-com:office:smarttags" w:element="place">
        <w:smartTag w:uri="urn:schemas-microsoft-com:office:smarttags" w:element="country-region">
          <w:r w:rsidR="00507B75" w:rsidRPr="00222917">
            <w:rPr>
              <w:lang w:val="en-US"/>
            </w:rPr>
            <w:t>Korea</w:t>
          </w:r>
        </w:smartTag>
      </w:smartTag>
      <w:r w:rsidR="00507B75" w:rsidRPr="00222917">
        <w:rPr>
          <w:lang w:val="en-US"/>
        </w:rPr>
        <w:t xml:space="preserve"> </w:t>
      </w:r>
      <w:r w:rsidR="002D5BB0" w:rsidRPr="00222917">
        <w:rPr>
          <w:lang w:val="en-US"/>
        </w:rPr>
        <w:t xml:space="preserve">for </w:t>
      </w:r>
      <w:r w:rsidR="00505C89">
        <w:rPr>
          <w:lang w:val="en-US"/>
        </w:rPr>
        <w:t>g</w:t>
      </w:r>
      <w:r w:rsidR="002D5BB0" w:rsidRPr="00222917">
        <w:rPr>
          <w:lang w:val="en-US"/>
        </w:rPr>
        <w:t xml:space="preserve">overnment </w:t>
      </w:r>
      <w:r w:rsidR="00505C89">
        <w:rPr>
          <w:lang w:val="en-US"/>
        </w:rPr>
        <w:t>a</w:t>
      </w:r>
      <w:r w:rsidR="002D5BB0" w:rsidRPr="00222917">
        <w:rPr>
          <w:lang w:val="en-US"/>
        </w:rPr>
        <w:t>gencies by year</w:t>
      </w:r>
      <w:r w:rsidRPr="00222917">
        <w:rPr>
          <w:lang w:val="en-US"/>
        </w:rPr>
        <w:br/>
      </w:r>
      <w:r w:rsidR="002D5BB0" w:rsidRPr="00222917">
        <w:rPr>
          <w:b w:val="0"/>
          <w:sz w:val="16"/>
          <w:szCs w:val="16"/>
          <w:lang w:val="en-US"/>
        </w:rPr>
        <w:t>(Number of sessions and participants)</w:t>
      </w:r>
    </w:p>
    <w:tbl>
      <w:tblPr>
        <w:tblW w:w="8505" w:type="dxa"/>
        <w:tblInd w:w="1134" w:type="dxa"/>
        <w:tblBorders>
          <w:top w:val="single" w:sz="4" w:space="0" w:color="auto"/>
        </w:tblBorders>
        <w:tblLayout w:type="fixed"/>
        <w:tblCellMar>
          <w:left w:w="0" w:type="dxa"/>
          <w:right w:w="0" w:type="dxa"/>
        </w:tblCellMar>
        <w:tblLook w:val="0000"/>
      </w:tblPr>
      <w:tblGrid>
        <w:gridCol w:w="1135"/>
        <w:gridCol w:w="737"/>
        <w:gridCol w:w="737"/>
        <w:gridCol w:w="737"/>
        <w:gridCol w:w="737"/>
        <w:gridCol w:w="737"/>
        <w:gridCol w:w="737"/>
        <w:gridCol w:w="737"/>
        <w:gridCol w:w="737"/>
        <w:gridCol w:w="737"/>
        <w:gridCol w:w="737"/>
      </w:tblGrid>
      <w:tr w:rsidR="006E1F63" w:rsidRPr="00222917" w:rsidTr="00F662F0">
        <w:trPr>
          <w:trHeight w:val="240"/>
          <w:tblHeader/>
        </w:trPr>
        <w:tc>
          <w:tcPr>
            <w:tcW w:w="1134" w:type="dxa"/>
            <w:vMerge w:val="restart"/>
            <w:tcBorders>
              <w:top w:val="single" w:sz="4" w:space="0" w:color="auto"/>
              <w:bottom w:val="single" w:sz="12" w:space="0" w:color="auto"/>
            </w:tcBorders>
            <w:shd w:val="clear" w:color="auto" w:fill="auto"/>
            <w:vAlign w:val="bottom"/>
          </w:tcPr>
          <w:p w:rsidR="006E1F63" w:rsidRPr="00222917" w:rsidRDefault="006E1F63" w:rsidP="00242694">
            <w:pPr>
              <w:keepNext/>
              <w:keepLines/>
              <w:suppressAutoHyphens w:val="0"/>
              <w:snapToGrid w:val="0"/>
              <w:spacing w:before="80" w:after="80" w:line="180" w:lineRule="exact"/>
              <w:rPr>
                <w:rFonts w:eastAsia="Gulim"/>
                <w:i/>
                <w:sz w:val="14"/>
                <w:szCs w:val="14"/>
                <w:lang w:val="en-US"/>
              </w:rPr>
            </w:pPr>
            <w:r w:rsidRPr="00222917">
              <w:rPr>
                <w:rFonts w:eastAsia="Gulim"/>
                <w:bCs/>
                <w:i/>
                <w:sz w:val="14"/>
                <w:szCs w:val="14"/>
                <w:lang w:val="en-US"/>
              </w:rPr>
              <w:t>Description</w:t>
            </w:r>
          </w:p>
        </w:tc>
        <w:tc>
          <w:tcPr>
            <w:tcW w:w="737" w:type="dxa"/>
            <w:gridSpan w:val="2"/>
            <w:tcBorders>
              <w:top w:val="single" w:sz="4" w:space="0" w:color="auto"/>
              <w:bottom w:val="single" w:sz="4" w:space="0" w:color="auto"/>
              <w:right w:val="single" w:sz="24" w:space="0" w:color="FFFFFF"/>
            </w:tcBorders>
            <w:shd w:val="clear" w:color="auto" w:fill="auto"/>
            <w:vAlign w:val="bottom"/>
          </w:tcPr>
          <w:p w:rsidR="006E1F63" w:rsidRPr="00222917" w:rsidRDefault="006E1F63" w:rsidP="00242694">
            <w:pPr>
              <w:keepNext/>
              <w:keepLines/>
              <w:suppressAutoHyphens w:val="0"/>
              <w:snapToGrid w:val="0"/>
              <w:spacing w:before="80" w:after="80" w:line="180" w:lineRule="exact"/>
              <w:jc w:val="center"/>
              <w:rPr>
                <w:rFonts w:eastAsia="Gulim"/>
                <w:i/>
                <w:sz w:val="14"/>
                <w:szCs w:val="14"/>
                <w:lang w:val="en-US"/>
              </w:rPr>
            </w:pPr>
            <w:r w:rsidRPr="00222917">
              <w:rPr>
                <w:rFonts w:eastAsia="Gulim"/>
                <w:bCs/>
                <w:i/>
                <w:sz w:val="14"/>
                <w:szCs w:val="14"/>
                <w:lang w:val="en-US"/>
              </w:rPr>
              <w:t>Education courses</w:t>
            </w:r>
          </w:p>
        </w:tc>
        <w:tc>
          <w:tcPr>
            <w:tcW w:w="737"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6E1F63" w:rsidRPr="00222917" w:rsidRDefault="006E1F63" w:rsidP="00242694">
            <w:pPr>
              <w:keepNext/>
              <w:keepLines/>
              <w:suppressAutoHyphens w:val="0"/>
              <w:snapToGrid w:val="0"/>
              <w:spacing w:before="80" w:after="80" w:line="180" w:lineRule="exact"/>
              <w:jc w:val="center"/>
              <w:rPr>
                <w:rFonts w:eastAsia="Gulim"/>
                <w:i/>
                <w:sz w:val="14"/>
                <w:szCs w:val="14"/>
                <w:lang w:val="en-US"/>
              </w:rPr>
            </w:pPr>
            <w:r w:rsidRPr="00222917">
              <w:rPr>
                <w:rFonts w:eastAsia="Gulim"/>
                <w:bCs/>
                <w:i/>
                <w:sz w:val="14"/>
                <w:szCs w:val="14"/>
                <w:lang w:val="en-US"/>
              </w:rPr>
              <w:t>Cyber education</w:t>
            </w:r>
          </w:p>
        </w:tc>
        <w:tc>
          <w:tcPr>
            <w:tcW w:w="737"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6E1F63" w:rsidRPr="00222917" w:rsidRDefault="006E1F63" w:rsidP="00242694">
            <w:pPr>
              <w:keepNext/>
              <w:keepLines/>
              <w:suppressAutoHyphens w:val="0"/>
              <w:snapToGrid w:val="0"/>
              <w:spacing w:before="80" w:after="80" w:line="180" w:lineRule="exact"/>
              <w:jc w:val="center"/>
              <w:rPr>
                <w:rFonts w:eastAsia="Gulim"/>
                <w:i/>
                <w:sz w:val="14"/>
                <w:szCs w:val="14"/>
                <w:lang w:val="en-US"/>
              </w:rPr>
            </w:pPr>
            <w:r w:rsidRPr="00222917">
              <w:rPr>
                <w:rFonts w:eastAsia="Gulim"/>
                <w:bCs/>
                <w:i/>
                <w:sz w:val="14"/>
                <w:szCs w:val="14"/>
                <w:lang w:val="en-US"/>
              </w:rPr>
              <w:t>On-site programs</w:t>
            </w:r>
          </w:p>
        </w:tc>
        <w:tc>
          <w:tcPr>
            <w:tcW w:w="737"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6E1F63" w:rsidRPr="00222917" w:rsidRDefault="006E1F63" w:rsidP="00242694">
            <w:pPr>
              <w:keepNext/>
              <w:keepLines/>
              <w:suppressAutoHyphens w:val="0"/>
              <w:snapToGrid w:val="0"/>
              <w:spacing w:before="80" w:after="80" w:line="180" w:lineRule="exact"/>
              <w:jc w:val="center"/>
              <w:rPr>
                <w:rFonts w:eastAsia="Gulim"/>
                <w:i/>
                <w:sz w:val="14"/>
                <w:szCs w:val="14"/>
                <w:lang w:val="en-US"/>
              </w:rPr>
            </w:pPr>
            <w:r w:rsidRPr="00222917">
              <w:rPr>
                <w:rFonts w:eastAsia="Gulim"/>
                <w:bCs/>
                <w:i/>
                <w:sz w:val="14"/>
                <w:szCs w:val="14"/>
                <w:lang w:val="en-US"/>
              </w:rPr>
              <w:t>Special lectures</w:t>
            </w:r>
          </w:p>
        </w:tc>
        <w:tc>
          <w:tcPr>
            <w:tcW w:w="737" w:type="dxa"/>
            <w:gridSpan w:val="2"/>
            <w:tcBorders>
              <w:top w:val="single" w:sz="4" w:space="0" w:color="auto"/>
              <w:left w:val="single" w:sz="24" w:space="0" w:color="FFFFFF"/>
              <w:bottom w:val="single" w:sz="4" w:space="0" w:color="auto"/>
            </w:tcBorders>
            <w:shd w:val="clear" w:color="auto" w:fill="auto"/>
            <w:vAlign w:val="bottom"/>
          </w:tcPr>
          <w:p w:rsidR="006E1F63" w:rsidRPr="00222917" w:rsidRDefault="006E1F63" w:rsidP="00242694">
            <w:pPr>
              <w:keepNext/>
              <w:keepLines/>
              <w:suppressAutoHyphens w:val="0"/>
              <w:snapToGrid w:val="0"/>
              <w:spacing w:before="80" w:after="80" w:line="180" w:lineRule="exact"/>
              <w:jc w:val="center"/>
              <w:rPr>
                <w:rFonts w:eastAsia="Gulim"/>
                <w:b/>
                <w:i/>
                <w:sz w:val="14"/>
                <w:szCs w:val="14"/>
                <w:lang w:val="en-US"/>
              </w:rPr>
            </w:pPr>
            <w:r w:rsidRPr="00222917">
              <w:rPr>
                <w:rFonts w:eastAsia="Gulim"/>
                <w:b/>
                <w:bCs/>
                <w:i/>
                <w:sz w:val="14"/>
                <w:szCs w:val="14"/>
                <w:lang w:val="en-US"/>
              </w:rPr>
              <w:t>Total</w:t>
            </w:r>
          </w:p>
        </w:tc>
      </w:tr>
      <w:tr w:rsidR="006E1F63" w:rsidRPr="00222917" w:rsidTr="00F662F0">
        <w:trPr>
          <w:trHeight w:val="240"/>
          <w:tblHeader/>
        </w:trPr>
        <w:tc>
          <w:tcPr>
            <w:tcW w:w="1134" w:type="dxa"/>
            <w:vMerge/>
            <w:tcBorders>
              <w:top w:val="single" w:sz="12" w:space="0" w:color="auto"/>
              <w:bottom w:val="single" w:sz="12" w:space="0" w:color="auto"/>
            </w:tcBorders>
            <w:shd w:val="clear" w:color="auto" w:fill="auto"/>
            <w:vAlign w:val="bottom"/>
          </w:tcPr>
          <w:p w:rsidR="006E1F63" w:rsidRPr="00222917" w:rsidRDefault="006E1F63" w:rsidP="00242694">
            <w:pPr>
              <w:keepNext/>
              <w:keepLines/>
              <w:suppressAutoHyphens w:val="0"/>
              <w:snapToGrid w:val="0"/>
              <w:spacing w:before="80" w:after="80" w:line="180" w:lineRule="exact"/>
              <w:rPr>
                <w:rFonts w:eastAsia="Gulim"/>
                <w:i/>
                <w:sz w:val="14"/>
                <w:szCs w:val="14"/>
                <w:lang w:val="en-US"/>
              </w:rPr>
            </w:pPr>
          </w:p>
        </w:tc>
        <w:tc>
          <w:tcPr>
            <w:tcW w:w="737" w:type="dxa"/>
            <w:tcBorders>
              <w:top w:val="single" w:sz="4" w:space="0" w:color="auto"/>
              <w:bottom w:val="single" w:sz="12" w:space="0" w:color="auto"/>
            </w:tcBorders>
            <w:shd w:val="clear" w:color="auto" w:fill="auto"/>
            <w:vAlign w:val="bottom"/>
          </w:tcPr>
          <w:p w:rsidR="006E1F63" w:rsidRPr="00222917" w:rsidRDefault="006E1F63" w:rsidP="00242694">
            <w:pPr>
              <w:keepNext/>
              <w:keepLines/>
              <w:suppressAutoHyphens w:val="0"/>
              <w:snapToGrid w:val="0"/>
              <w:spacing w:before="80" w:after="80" w:line="180" w:lineRule="exact"/>
              <w:jc w:val="right"/>
              <w:rPr>
                <w:rFonts w:eastAsia="Gulim"/>
                <w:i/>
                <w:sz w:val="14"/>
                <w:szCs w:val="14"/>
                <w:lang w:val="en-US"/>
              </w:rPr>
            </w:pPr>
            <w:r w:rsidRPr="00222917">
              <w:rPr>
                <w:rFonts w:eastAsia="Gulim"/>
                <w:bCs/>
                <w:i/>
                <w:sz w:val="14"/>
                <w:szCs w:val="14"/>
                <w:lang w:val="en-US"/>
              </w:rPr>
              <w:t>Sessions</w:t>
            </w:r>
          </w:p>
        </w:tc>
        <w:tc>
          <w:tcPr>
            <w:tcW w:w="737" w:type="dxa"/>
            <w:tcBorders>
              <w:top w:val="single" w:sz="4" w:space="0" w:color="auto"/>
              <w:bottom w:val="single" w:sz="12" w:space="0" w:color="auto"/>
              <w:right w:val="single" w:sz="24" w:space="0" w:color="FFFFFF"/>
            </w:tcBorders>
            <w:shd w:val="clear" w:color="auto" w:fill="auto"/>
            <w:vAlign w:val="bottom"/>
          </w:tcPr>
          <w:p w:rsidR="006E1F63" w:rsidRPr="00222917" w:rsidRDefault="006E1F63" w:rsidP="00242694">
            <w:pPr>
              <w:keepNext/>
              <w:keepLines/>
              <w:suppressAutoHyphens w:val="0"/>
              <w:snapToGrid w:val="0"/>
              <w:spacing w:before="80" w:after="80" w:line="180" w:lineRule="exact"/>
              <w:jc w:val="right"/>
              <w:rPr>
                <w:rFonts w:eastAsia="Gulim"/>
                <w:i/>
                <w:sz w:val="14"/>
                <w:szCs w:val="14"/>
                <w:lang w:val="en-US"/>
              </w:rPr>
            </w:pPr>
            <w:r w:rsidRPr="00222917">
              <w:rPr>
                <w:rFonts w:eastAsia="Gulim"/>
                <w:bCs/>
                <w:i/>
                <w:sz w:val="14"/>
                <w:szCs w:val="14"/>
                <w:lang w:val="en-US"/>
              </w:rPr>
              <w:t>Persons</w:t>
            </w:r>
          </w:p>
        </w:tc>
        <w:tc>
          <w:tcPr>
            <w:tcW w:w="737" w:type="dxa"/>
            <w:tcBorders>
              <w:top w:val="single" w:sz="4" w:space="0" w:color="auto"/>
              <w:left w:val="single" w:sz="24" w:space="0" w:color="FFFFFF"/>
              <w:bottom w:val="single" w:sz="12" w:space="0" w:color="auto"/>
            </w:tcBorders>
            <w:shd w:val="clear" w:color="auto" w:fill="auto"/>
            <w:vAlign w:val="bottom"/>
          </w:tcPr>
          <w:p w:rsidR="006E1F63" w:rsidRPr="00222917" w:rsidRDefault="006E1F63" w:rsidP="00242694">
            <w:pPr>
              <w:keepNext/>
              <w:keepLines/>
              <w:suppressAutoHyphens w:val="0"/>
              <w:snapToGrid w:val="0"/>
              <w:spacing w:before="80" w:after="80" w:line="180" w:lineRule="exact"/>
              <w:jc w:val="right"/>
              <w:rPr>
                <w:rFonts w:eastAsia="Gulim"/>
                <w:i/>
                <w:sz w:val="14"/>
                <w:szCs w:val="14"/>
                <w:lang w:val="en-US"/>
              </w:rPr>
            </w:pPr>
            <w:r w:rsidRPr="00222917">
              <w:rPr>
                <w:rFonts w:eastAsia="Gulim"/>
                <w:bCs/>
                <w:i/>
                <w:sz w:val="14"/>
                <w:szCs w:val="14"/>
                <w:lang w:val="en-US"/>
              </w:rPr>
              <w:t>Sessions</w:t>
            </w:r>
          </w:p>
        </w:tc>
        <w:tc>
          <w:tcPr>
            <w:tcW w:w="737" w:type="dxa"/>
            <w:tcBorders>
              <w:top w:val="single" w:sz="4" w:space="0" w:color="auto"/>
              <w:bottom w:val="single" w:sz="12" w:space="0" w:color="auto"/>
              <w:right w:val="single" w:sz="24" w:space="0" w:color="FFFFFF"/>
            </w:tcBorders>
            <w:shd w:val="clear" w:color="auto" w:fill="auto"/>
            <w:vAlign w:val="bottom"/>
          </w:tcPr>
          <w:p w:rsidR="006E1F63" w:rsidRPr="00222917" w:rsidRDefault="006E1F63" w:rsidP="00242694">
            <w:pPr>
              <w:keepNext/>
              <w:keepLines/>
              <w:suppressAutoHyphens w:val="0"/>
              <w:snapToGrid w:val="0"/>
              <w:spacing w:before="80" w:after="80" w:line="180" w:lineRule="exact"/>
              <w:jc w:val="right"/>
              <w:rPr>
                <w:rFonts w:eastAsia="Gulim"/>
                <w:i/>
                <w:sz w:val="14"/>
                <w:szCs w:val="14"/>
                <w:lang w:val="en-US"/>
              </w:rPr>
            </w:pPr>
            <w:r w:rsidRPr="00222917">
              <w:rPr>
                <w:rFonts w:eastAsia="Gulim"/>
                <w:bCs/>
                <w:i/>
                <w:sz w:val="14"/>
                <w:szCs w:val="14"/>
                <w:lang w:val="en-US"/>
              </w:rPr>
              <w:t>Persons</w:t>
            </w:r>
          </w:p>
        </w:tc>
        <w:tc>
          <w:tcPr>
            <w:tcW w:w="737" w:type="dxa"/>
            <w:tcBorders>
              <w:top w:val="single" w:sz="4" w:space="0" w:color="auto"/>
              <w:left w:val="single" w:sz="24" w:space="0" w:color="FFFFFF"/>
              <w:bottom w:val="single" w:sz="12" w:space="0" w:color="auto"/>
            </w:tcBorders>
            <w:shd w:val="clear" w:color="auto" w:fill="auto"/>
            <w:vAlign w:val="bottom"/>
          </w:tcPr>
          <w:p w:rsidR="006E1F63" w:rsidRPr="00222917" w:rsidRDefault="006E1F63" w:rsidP="00242694">
            <w:pPr>
              <w:keepNext/>
              <w:keepLines/>
              <w:suppressAutoHyphens w:val="0"/>
              <w:snapToGrid w:val="0"/>
              <w:spacing w:before="80" w:after="80" w:line="180" w:lineRule="exact"/>
              <w:jc w:val="right"/>
              <w:rPr>
                <w:rFonts w:eastAsia="Gulim"/>
                <w:i/>
                <w:sz w:val="14"/>
                <w:szCs w:val="14"/>
                <w:lang w:val="en-US"/>
              </w:rPr>
            </w:pPr>
            <w:r w:rsidRPr="00222917">
              <w:rPr>
                <w:rFonts w:eastAsia="Gulim"/>
                <w:bCs/>
                <w:i/>
                <w:sz w:val="14"/>
                <w:szCs w:val="14"/>
                <w:lang w:val="en-US"/>
              </w:rPr>
              <w:t>Sessions</w:t>
            </w:r>
          </w:p>
        </w:tc>
        <w:tc>
          <w:tcPr>
            <w:tcW w:w="737" w:type="dxa"/>
            <w:tcBorders>
              <w:top w:val="single" w:sz="4" w:space="0" w:color="auto"/>
              <w:bottom w:val="single" w:sz="12" w:space="0" w:color="auto"/>
              <w:right w:val="single" w:sz="24" w:space="0" w:color="FFFFFF"/>
            </w:tcBorders>
            <w:shd w:val="clear" w:color="auto" w:fill="auto"/>
            <w:vAlign w:val="bottom"/>
          </w:tcPr>
          <w:p w:rsidR="006E1F63" w:rsidRPr="00222917" w:rsidRDefault="006E1F63" w:rsidP="00242694">
            <w:pPr>
              <w:keepNext/>
              <w:keepLines/>
              <w:suppressAutoHyphens w:val="0"/>
              <w:snapToGrid w:val="0"/>
              <w:spacing w:before="80" w:after="80" w:line="180" w:lineRule="exact"/>
              <w:jc w:val="right"/>
              <w:rPr>
                <w:rFonts w:eastAsia="Gulim"/>
                <w:i/>
                <w:sz w:val="14"/>
                <w:szCs w:val="14"/>
                <w:lang w:val="en-US"/>
              </w:rPr>
            </w:pPr>
            <w:r w:rsidRPr="00222917">
              <w:rPr>
                <w:rFonts w:eastAsia="Gulim"/>
                <w:bCs/>
                <w:i/>
                <w:sz w:val="14"/>
                <w:szCs w:val="14"/>
                <w:lang w:val="en-US"/>
              </w:rPr>
              <w:t>Persons</w:t>
            </w:r>
          </w:p>
        </w:tc>
        <w:tc>
          <w:tcPr>
            <w:tcW w:w="737" w:type="dxa"/>
            <w:tcBorders>
              <w:top w:val="single" w:sz="4" w:space="0" w:color="auto"/>
              <w:left w:val="single" w:sz="24" w:space="0" w:color="FFFFFF"/>
              <w:bottom w:val="single" w:sz="12" w:space="0" w:color="auto"/>
            </w:tcBorders>
            <w:shd w:val="clear" w:color="auto" w:fill="auto"/>
            <w:vAlign w:val="bottom"/>
          </w:tcPr>
          <w:p w:rsidR="006E1F63" w:rsidRPr="00222917" w:rsidRDefault="006E1F63" w:rsidP="00242694">
            <w:pPr>
              <w:keepNext/>
              <w:keepLines/>
              <w:suppressAutoHyphens w:val="0"/>
              <w:snapToGrid w:val="0"/>
              <w:spacing w:before="80" w:after="80" w:line="180" w:lineRule="exact"/>
              <w:jc w:val="right"/>
              <w:rPr>
                <w:rFonts w:eastAsia="Gulim"/>
                <w:i/>
                <w:sz w:val="14"/>
                <w:szCs w:val="14"/>
                <w:lang w:val="en-US"/>
              </w:rPr>
            </w:pPr>
            <w:r w:rsidRPr="00222917">
              <w:rPr>
                <w:rFonts w:eastAsia="Gulim"/>
                <w:bCs/>
                <w:i/>
                <w:sz w:val="14"/>
                <w:szCs w:val="14"/>
                <w:lang w:val="en-US"/>
              </w:rPr>
              <w:t>Sessions</w:t>
            </w:r>
          </w:p>
        </w:tc>
        <w:tc>
          <w:tcPr>
            <w:tcW w:w="737" w:type="dxa"/>
            <w:tcBorders>
              <w:top w:val="single" w:sz="4" w:space="0" w:color="auto"/>
              <w:bottom w:val="single" w:sz="12" w:space="0" w:color="auto"/>
              <w:right w:val="single" w:sz="24" w:space="0" w:color="FFFFFF"/>
            </w:tcBorders>
            <w:shd w:val="clear" w:color="auto" w:fill="auto"/>
            <w:vAlign w:val="bottom"/>
          </w:tcPr>
          <w:p w:rsidR="006E1F63" w:rsidRPr="00222917" w:rsidRDefault="006E1F63" w:rsidP="00242694">
            <w:pPr>
              <w:keepNext/>
              <w:keepLines/>
              <w:suppressAutoHyphens w:val="0"/>
              <w:snapToGrid w:val="0"/>
              <w:spacing w:before="80" w:after="80" w:line="180" w:lineRule="exact"/>
              <w:jc w:val="right"/>
              <w:rPr>
                <w:rFonts w:eastAsia="Gulim"/>
                <w:i/>
                <w:sz w:val="14"/>
                <w:szCs w:val="14"/>
                <w:lang w:val="en-US"/>
              </w:rPr>
            </w:pPr>
            <w:r w:rsidRPr="00222917">
              <w:rPr>
                <w:rFonts w:eastAsia="Gulim"/>
                <w:bCs/>
                <w:i/>
                <w:sz w:val="14"/>
                <w:szCs w:val="14"/>
                <w:lang w:val="en-US"/>
              </w:rPr>
              <w:t>Persons</w:t>
            </w:r>
          </w:p>
        </w:tc>
        <w:tc>
          <w:tcPr>
            <w:tcW w:w="737" w:type="dxa"/>
            <w:tcBorders>
              <w:top w:val="single" w:sz="4" w:space="0" w:color="auto"/>
              <w:left w:val="single" w:sz="24" w:space="0" w:color="FFFFFF"/>
              <w:bottom w:val="single" w:sz="12" w:space="0" w:color="auto"/>
            </w:tcBorders>
            <w:shd w:val="clear" w:color="auto" w:fill="auto"/>
            <w:vAlign w:val="bottom"/>
          </w:tcPr>
          <w:p w:rsidR="006E1F63" w:rsidRPr="00222917" w:rsidRDefault="006E1F63" w:rsidP="00242694">
            <w:pPr>
              <w:keepNext/>
              <w:keepLines/>
              <w:suppressAutoHyphens w:val="0"/>
              <w:snapToGrid w:val="0"/>
              <w:spacing w:before="80" w:after="80" w:line="180" w:lineRule="exact"/>
              <w:jc w:val="right"/>
              <w:rPr>
                <w:rFonts w:eastAsia="Gulim"/>
                <w:b/>
                <w:i/>
                <w:sz w:val="14"/>
                <w:szCs w:val="14"/>
                <w:lang w:val="en-US"/>
              </w:rPr>
            </w:pPr>
            <w:r w:rsidRPr="00222917">
              <w:rPr>
                <w:rFonts w:eastAsia="Gulim"/>
                <w:b/>
                <w:bCs/>
                <w:i/>
                <w:sz w:val="14"/>
                <w:szCs w:val="14"/>
                <w:lang w:val="en-US"/>
              </w:rPr>
              <w:t>Sessions</w:t>
            </w:r>
          </w:p>
        </w:tc>
        <w:tc>
          <w:tcPr>
            <w:tcW w:w="737" w:type="dxa"/>
            <w:tcBorders>
              <w:top w:val="single" w:sz="4" w:space="0" w:color="auto"/>
              <w:bottom w:val="single" w:sz="12" w:space="0" w:color="auto"/>
            </w:tcBorders>
            <w:shd w:val="clear" w:color="auto" w:fill="auto"/>
            <w:vAlign w:val="bottom"/>
          </w:tcPr>
          <w:p w:rsidR="006E1F63" w:rsidRPr="00222917" w:rsidRDefault="006E1F63" w:rsidP="00242694">
            <w:pPr>
              <w:keepNext/>
              <w:keepLines/>
              <w:suppressAutoHyphens w:val="0"/>
              <w:snapToGrid w:val="0"/>
              <w:spacing w:before="80" w:after="80" w:line="180" w:lineRule="exact"/>
              <w:jc w:val="right"/>
              <w:rPr>
                <w:rFonts w:eastAsia="Gulim"/>
                <w:b/>
                <w:i/>
                <w:sz w:val="14"/>
                <w:szCs w:val="14"/>
                <w:lang w:val="en-US"/>
              </w:rPr>
            </w:pPr>
            <w:r w:rsidRPr="00222917">
              <w:rPr>
                <w:rFonts w:eastAsia="Gulim"/>
                <w:b/>
                <w:bCs/>
                <w:i/>
                <w:sz w:val="14"/>
                <w:szCs w:val="14"/>
                <w:lang w:val="en-US"/>
              </w:rPr>
              <w:t>Persons</w:t>
            </w:r>
          </w:p>
        </w:tc>
      </w:tr>
      <w:tr w:rsidR="006E1F63" w:rsidRPr="00222917" w:rsidTr="00F662F0">
        <w:trPr>
          <w:trHeight w:val="240"/>
        </w:trPr>
        <w:tc>
          <w:tcPr>
            <w:tcW w:w="1134" w:type="dxa"/>
            <w:tcBorders>
              <w:top w:val="single" w:sz="12" w:space="0" w:color="auto"/>
            </w:tcBorders>
            <w:shd w:val="clear" w:color="auto" w:fill="auto"/>
          </w:tcPr>
          <w:p w:rsidR="006E1F63" w:rsidRPr="00222917" w:rsidRDefault="006E1F63" w:rsidP="00242694">
            <w:pPr>
              <w:keepNext/>
              <w:keepLines/>
              <w:suppressAutoHyphens w:val="0"/>
              <w:snapToGrid w:val="0"/>
              <w:spacing w:before="40" w:after="40" w:line="200" w:lineRule="exact"/>
              <w:rPr>
                <w:rFonts w:eastAsia="Gulim"/>
                <w:sz w:val="16"/>
                <w:szCs w:val="16"/>
                <w:lang w:val="en-US"/>
              </w:rPr>
            </w:pPr>
            <w:r w:rsidRPr="00222917">
              <w:rPr>
                <w:rFonts w:eastAsia="Gulim"/>
                <w:bCs/>
                <w:sz w:val="16"/>
                <w:szCs w:val="16"/>
                <w:lang w:val="en-US"/>
              </w:rPr>
              <w:t>2004</w:t>
            </w:r>
          </w:p>
        </w:tc>
        <w:tc>
          <w:tcPr>
            <w:tcW w:w="737" w:type="dxa"/>
            <w:tcBorders>
              <w:top w:val="single" w:sz="12" w:space="0" w:color="auto"/>
            </w:tcBorders>
            <w:shd w:val="clear" w:color="auto" w:fill="auto"/>
            <w:vAlign w:val="bottom"/>
          </w:tcPr>
          <w:p w:rsidR="006E1F63" w:rsidRPr="00222917" w:rsidRDefault="006E1F63" w:rsidP="00242694">
            <w:pPr>
              <w:keepNext/>
              <w:keepLines/>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5</w:t>
            </w:r>
          </w:p>
        </w:tc>
        <w:tc>
          <w:tcPr>
            <w:tcW w:w="737" w:type="dxa"/>
            <w:tcBorders>
              <w:top w:val="single" w:sz="12" w:space="0" w:color="auto"/>
            </w:tcBorders>
            <w:shd w:val="clear" w:color="auto" w:fill="auto"/>
            <w:vAlign w:val="bottom"/>
          </w:tcPr>
          <w:p w:rsidR="006E1F63" w:rsidRPr="00222917" w:rsidRDefault="006E1F63" w:rsidP="00242694">
            <w:pPr>
              <w:keepNext/>
              <w:keepLines/>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150</w:t>
            </w:r>
          </w:p>
        </w:tc>
        <w:tc>
          <w:tcPr>
            <w:tcW w:w="737" w:type="dxa"/>
            <w:tcBorders>
              <w:top w:val="single" w:sz="12" w:space="0" w:color="auto"/>
            </w:tcBorders>
            <w:shd w:val="clear" w:color="auto" w:fill="auto"/>
            <w:vAlign w:val="bottom"/>
          </w:tcPr>
          <w:p w:rsidR="006E1F63" w:rsidRPr="00222917" w:rsidRDefault="006E1F63" w:rsidP="00242694">
            <w:pPr>
              <w:keepNext/>
              <w:keepLines/>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w:t>
            </w:r>
          </w:p>
        </w:tc>
        <w:tc>
          <w:tcPr>
            <w:tcW w:w="737" w:type="dxa"/>
            <w:tcBorders>
              <w:top w:val="single" w:sz="12" w:space="0" w:color="auto"/>
            </w:tcBorders>
            <w:shd w:val="clear" w:color="auto" w:fill="auto"/>
            <w:vAlign w:val="bottom"/>
          </w:tcPr>
          <w:p w:rsidR="006E1F63" w:rsidRPr="00222917" w:rsidRDefault="006E1F63" w:rsidP="00242694">
            <w:pPr>
              <w:keepNext/>
              <w:keepLines/>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w:t>
            </w:r>
          </w:p>
        </w:tc>
        <w:tc>
          <w:tcPr>
            <w:tcW w:w="737" w:type="dxa"/>
            <w:tcBorders>
              <w:top w:val="single" w:sz="12" w:space="0" w:color="auto"/>
            </w:tcBorders>
            <w:shd w:val="clear" w:color="auto" w:fill="auto"/>
            <w:vAlign w:val="bottom"/>
          </w:tcPr>
          <w:p w:rsidR="006E1F63" w:rsidRPr="00222917" w:rsidRDefault="006E1F63" w:rsidP="00242694">
            <w:pPr>
              <w:keepNext/>
              <w:keepLines/>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20</w:t>
            </w:r>
          </w:p>
        </w:tc>
        <w:tc>
          <w:tcPr>
            <w:tcW w:w="737" w:type="dxa"/>
            <w:tcBorders>
              <w:top w:val="single" w:sz="12" w:space="0" w:color="auto"/>
            </w:tcBorders>
            <w:shd w:val="clear" w:color="auto" w:fill="auto"/>
            <w:vAlign w:val="bottom"/>
          </w:tcPr>
          <w:p w:rsidR="006E1F63" w:rsidRPr="00222917" w:rsidRDefault="006E1F63" w:rsidP="00242694">
            <w:pPr>
              <w:keepNext/>
              <w:keepLines/>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1,200</w:t>
            </w:r>
          </w:p>
        </w:tc>
        <w:tc>
          <w:tcPr>
            <w:tcW w:w="737" w:type="dxa"/>
            <w:tcBorders>
              <w:top w:val="single" w:sz="12" w:space="0" w:color="auto"/>
            </w:tcBorders>
            <w:shd w:val="clear" w:color="auto" w:fill="auto"/>
            <w:vAlign w:val="bottom"/>
          </w:tcPr>
          <w:p w:rsidR="006E1F63" w:rsidRPr="00222917" w:rsidRDefault="006E1F63" w:rsidP="00242694">
            <w:pPr>
              <w:keepNext/>
              <w:keepLines/>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44</w:t>
            </w:r>
          </w:p>
        </w:tc>
        <w:tc>
          <w:tcPr>
            <w:tcW w:w="737" w:type="dxa"/>
            <w:tcBorders>
              <w:top w:val="single" w:sz="12" w:space="0" w:color="auto"/>
            </w:tcBorders>
            <w:shd w:val="clear" w:color="auto" w:fill="auto"/>
            <w:vAlign w:val="bottom"/>
          </w:tcPr>
          <w:p w:rsidR="006E1F63" w:rsidRPr="00222917" w:rsidRDefault="006E1F63" w:rsidP="00242694">
            <w:pPr>
              <w:keepNext/>
              <w:keepLines/>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3,957</w:t>
            </w:r>
          </w:p>
        </w:tc>
        <w:tc>
          <w:tcPr>
            <w:tcW w:w="737" w:type="dxa"/>
            <w:tcBorders>
              <w:top w:val="single" w:sz="12" w:space="0" w:color="auto"/>
            </w:tcBorders>
            <w:shd w:val="clear" w:color="auto" w:fill="auto"/>
            <w:vAlign w:val="bottom"/>
          </w:tcPr>
          <w:p w:rsidR="006E1F63" w:rsidRPr="00222917" w:rsidRDefault="006E1F63" w:rsidP="00242694">
            <w:pPr>
              <w:keepNext/>
              <w:keepLines/>
              <w:suppressAutoHyphens w:val="0"/>
              <w:snapToGrid w:val="0"/>
              <w:spacing w:before="40" w:after="40" w:line="200" w:lineRule="exact"/>
              <w:jc w:val="right"/>
              <w:rPr>
                <w:rFonts w:eastAsia="Gulim"/>
                <w:b/>
                <w:sz w:val="16"/>
                <w:szCs w:val="16"/>
                <w:lang w:val="en-US"/>
              </w:rPr>
            </w:pPr>
            <w:r w:rsidRPr="00222917">
              <w:rPr>
                <w:rFonts w:eastAsia="Gulim"/>
                <w:b/>
                <w:bCs/>
                <w:sz w:val="16"/>
                <w:szCs w:val="16"/>
                <w:lang w:val="en-US"/>
              </w:rPr>
              <w:t>69</w:t>
            </w:r>
          </w:p>
        </w:tc>
        <w:tc>
          <w:tcPr>
            <w:tcW w:w="737" w:type="dxa"/>
            <w:tcBorders>
              <w:top w:val="single" w:sz="12" w:space="0" w:color="auto"/>
            </w:tcBorders>
            <w:shd w:val="clear" w:color="auto" w:fill="auto"/>
            <w:vAlign w:val="bottom"/>
          </w:tcPr>
          <w:p w:rsidR="006E1F63" w:rsidRPr="00222917" w:rsidRDefault="006E1F63" w:rsidP="00242694">
            <w:pPr>
              <w:keepNext/>
              <w:keepLines/>
              <w:suppressAutoHyphens w:val="0"/>
              <w:snapToGrid w:val="0"/>
              <w:spacing w:before="40" w:after="40" w:line="200" w:lineRule="exact"/>
              <w:jc w:val="right"/>
              <w:rPr>
                <w:rFonts w:eastAsia="Gulim"/>
                <w:b/>
                <w:sz w:val="16"/>
                <w:szCs w:val="16"/>
                <w:lang w:val="en-US"/>
              </w:rPr>
            </w:pPr>
            <w:r w:rsidRPr="00222917">
              <w:rPr>
                <w:rFonts w:eastAsia="Gulim"/>
                <w:b/>
                <w:bCs/>
                <w:sz w:val="16"/>
                <w:szCs w:val="16"/>
                <w:lang w:val="en-US"/>
              </w:rPr>
              <w:t>5,307</w:t>
            </w:r>
          </w:p>
        </w:tc>
      </w:tr>
      <w:tr w:rsidR="006E1F63" w:rsidRPr="00222917" w:rsidTr="00F662F0">
        <w:trPr>
          <w:trHeight w:val="240"/>
        </w:trPr>
        <w:tc>
          <w:tcPr>
            <w:tcW w:w="1134" w:type="dxa"/>
            <w:shd w:val="clear" w:color="auto" w:fill="auto"/>
          </w:tcPr>
          <w:p w:rsidR="006E1F63" w:rsidRPr="00222917" w:rsidRDefault="006E1F63" w:rsidP="00242694">
            <w:pPr>
              <w:suppressAutoHyphens w:val="0"/>
              <w:snapToGrid w:val="0"/>
              <w:spacing w:before="40" w:after="40" w:line="200" w:lineRule="exact"/>
              <w:rPr>
                <w:rFonts w:eastAsia="Gulim"/>
                <w:sz w:val="16"/>
                <w:szCs w:val="16"/>
                <w:lang w:val="en-US"/>
              </w:rPr>
            </w:pPr>
            <w:r w:rsidRPr="00222917">
              <w:rPr>
                <w:rFonts w:eastAsia="Gulim"/>
                <w:bCs/>
                <w:sz w:val="16"/>
                <w:szCs w:val="16"/>
                <w:lang w:val="en-US"/>
              </w:rPr>
              <w:t>2005</w:t>
            </w:r>
          </w:p>
        </w:tc>
        <w:tc>
          <w:tcPr>
            <w:tcW w:w="737" w:type="dxa"/>
            <w:shd w:val="clear" w:color="auto" w:fill="auto"/>
            <w:vAlign w:val="bottom"/>
          </w:tcPr>
          <w:p w:rsidR="006E1F63" w:rsidRPr="00222917" w:rsidRDefault="006E1F63" w:rsidP="00242694">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8</w:t>
            </w:r>
          </w:p>
        </w:tc>
        <w:tc>
          <w:tcPr>
            <w:tcW w:w="737" w:type="dxa"/>
            <w:shd w:val="clear" w:color="auto" w:fill="auto"/>
            <w:vAlign w:val="bottom"/>
          </w:tcPr>
          <w:p w:rsidR="006E1F63" w:rsidRPr="00222917" w:rsidRDefault="006E1F63" w:rsidP="00242694">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247</w:t>
            </w:r>
          </w:p>
        </w:tc>
        <w:tc>
          <w:tcPr>
            <w:tcW w:w="737" w:type="dxa"/>
            <w:shd w:val="clear" w:color="auto" w:fill="auto"/>
            <w:vAlign w:val="bottom"/>
          </w:tcPr>
          <w:p w:rsidR="006E1F63" w:rsidRPr="00222917" w:rsidRDefault="006E1F63" w:rsidP="00242694">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w:t>
            </w:r>
          </w:p>
        </w:tc>
        <w:tc>
          <w:tcPr>
            <w:tcW w:w="737" w:type="dxa"/>
            <w:shd w:val="clear" w:color="auto" w:fill="auto"/>
            <w:vAlign w:val="bottom"/>
          </w:tcPr>
          <w:p w:rsidR="006E1F63" w:rsidRPr="00222917" w:rsidRDefault="006E1F63" w:rsidP="00242694">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242</w:t>
            </w:r>
          </w:p>
        </w:tc>
        <w:tc>
          <w:tcPr>
            <w:tcW w:w="737" w:type="dxa"/>
            <w:shd w:val="clear" w:color="auto" w:fill="auto"/>
            <w:vAlign w:val="bottom"/>
          </w:tcPr>
          <w:p w:rsidR="006E1F63" w:rsidRPr="00222917" w:rsidRDefault="006E1F63" w:rsidP="00242694">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12</w:t>
            </w:r>
          </w:p>
        </w:tc>
        <w:tc>
          <w:tcPr>
            <w:tcW w:w="737" w:type="dxa"/>
            <w:shd w:val="clear" w:color="auto" w:fill="auto"/>
            <w:vAlign w:val="bottom"/>
          </w:tcPr>
          <w:p w:rsidR="006E1F63" w:rsidRPr="00222917" w:rsidRDefault="006E1F63" w:rsidP="00242694">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655</w:t>
            </w:r>
          </w:p>
        </w:tc>
        <w:tc>
          <w:tcPr>
            <w:tcW w:w="737" w:type="dxa"/>
            <w:shd w:val="clear" w:color="auto" w:fill="auto"/>
            <w:vAlign w:val="bottom"/>
          </w:tcPr>
          <w:p w:rsidR="006E1F63" w:rsidRPr="00222917" w:rsidRDefault="006E1F63" w:rsidP="00242694">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76</w:t>
            </w:r>
          </w:p>
        </w:tc>
        <w:tc>
          <w:tcPr>
            <w:tcW w:w="737" w:type="dxa"/>
            <w:shd w:val="clear" w:color="auto" w:fill="auto"/>
            <w:vAlign w:val="bottom"/>
          </w:tcPr>
          <w:p w:rsidR="006E1F63" w:rsidRPr="00222917" w:rsidRDefault="006E1F63" w:rsidP="00242694">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6,745</w:t>
            </w:r>
          </w:p>
        </w:tc>
        <w:tc>
          <w:tcPr>
            <w:tcW w:w="737" w:type="dxa"/>
            <w:shd w:val="clear" w:color="auto" w:fill="auto"/>
            <w:vAlign w:val="bottom"/>
          </w:tcPr>
          <w:p w:rsidR="006E1F63" w:rsidRPr="00222917" w:rsidRDefault="006E1F63" w:rsidP="00242694">
            <w:pPr>
              <w:suppressAutoHyphens w:val="0"/>
              <w:snapToGrid w:val="0"/>
              <w:spacing w:before="40" w:after="40" w:line="200" w:lineRule="exact"/>
              <w:jc w:val="right"/>
              <w:rPr>
                <w:rFonts w:eastAsia="Gulim"/>
                <w:b/>
                <w:sz w:val="16"/>
                <w:szCs w:val="16"/>
                <w:lang w:val="en-US"/>
              </w:rPr>
            </w:pPr>
            <w:r w:rsidRPr="00222917">
              <w:rPr>
                <w:rFonts w:eastAsia="Gulim"/>
                <w:b/>
                <w:bCs/>
                <w:sz w:val="16"/>
                <w:szCs w:val="16"/>
                <w:lang w:val="en-US"/>
              </w:rPr>
              <w:t>97</w:t>
            </w:r>
          </w:p>
        </w:tc>
        <w:tc>
          <w:tcPr>
            <w:tcW w:w="737" w:type="dxa"/>
            <w:shd w:val="clear" w:color="auto" w:fill="auto"/>
            <w:vAlign w:val="bottom"/>
          </w:tcPr>
          <w:p w:rsidR="006E1F63" w:rsidRPr="00222917" w:rsidRDefault="006E1F63" w:rsidP="00242694">
            <w:pPr>
              <w:suppressAutoHyphens w:val="0"/>
              <w:snapToGrid w:val="0"/>
              <w:spacing w:before="40" w:after="40" w:line="200" w:lineRule="exact"/>
              <w:jc w:val="right"/>
              <w:rPr>
                <w:rFonts w:eastAsia="Gulim"/>
                <w:b/>
                <w:sz w:val="16"/>
                <w:szCs w:val="16"/>
                <w:lang w:val="en-US"/>
              </w:rPr>
            </w:pPr>
            <w:r w:rsidRPr="00222917">
              <w:rPr>
                <w:rFonts w:eastAsia="Gulim"/>
                <w:b/>
                <w:bCs/>
                <w:sz w:val="16"/>
                <w:szCs w:val="16"/>
                <w:lang w:val="en-US"/>
              </w:rPr>
              <w:t>7,889</w:t>
            </w:r>
          </w:p>
        </w:tc>
      </w:tr>
      <w:tr w:rsidR="006E1F63" w:rsidRPr="00222917" w:rsidTr="00F662F0">
        <w:trPr>
          <w:trHeight w:val="240"/>
        </w:trPr>
        <w:tc>
          <w:tcPr>
            <w:tcW w:w="1134" w:type="dxa"/>
            <w:shd w:val="clear" w:color="auto" w:fill="auto"/>
          </w:tcPr>
          <w:p w:rsidR="006E1F63" w:rsidRPr="00222917" w:rsidRDefault="006E1F63" w:rsidP="00242694">
            <w:pPr>
              <w:suppressAutoHyphens w:val="0"/>
              <w:snapToGrid w:val="0"/>
              <w:spacing w:before="40" w:after="40" w:line="200" w:lineRule="exact"/>
              <w:rPr>
                <w:rFonts w:eastAsia="Gulim"/>
                <w:sz w:val="16"/>
                <w:szCs w:val="16"/>
                <w:lang w:val="en-US"/>
              </w:rPr>
            </w:pPr>
            <w:r w:rsidRPr="00222917">
              <w:rPr>
                <w:rFonts w:eastAsia="Gulim"/>
                <w:bCs/>
                <w:sz w:val="16"/>
                <w:szCs w:val="16"/>
                <w:lang w:val="en-US"/>
              </w:rPr>
              <w:t>2006</w:t>
            </w:r>
          </w:p>
        </w:tc>
        <w:tc>
          <w:tcPr>
            <w:tcW w:w="737" w:type="dxa"/>
            <w:shd w:val="clear" w:color="auto" w:fill="auto"/>
            <w:vAlign w:val="bottom"/>
          </w:tcPr>
          <w:p w:rsidR="006E1F63" w:rsidRPr="00222917" w:rsidRDefault="006E1F63" w:rsidP="00242694">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11</w:t>
            </w:r>
          </w:p>
        </w:tc>
        <w:tc>
          <w:tcPr>
            <w:tcW w:w="737" w:type="dxa"/>
            <w:shd w:val="clear" w:color="auto" w:fill="auto"/>
            <w:vAlign w:val="bottom"/>
          </w:tcPr>
          <w:p w:rsidR="006E1F63" w:rsidRPr="00222917" w:rsidRDefault="006E1F63" w:rsidP="00242694">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352</w:t>
            </w:r>
          </w:p>
        </w:tc>
        <w:tc>
          <w:tcPr>
            <w:tcW w:w="737" w:type="dxa"/>
            <w:shd w:val="clear" w:color="auto" w:fill="auto"/>
            <w:vAlign w:val="bottom"/>
          </w:tcPr>
          <w:p w:rsidR="006E1F63" w:rsidRPr="00222917" w:rsidRDefault="006E1F63" w:rsidP="00242694">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7</w:t>
            </w:r>
          </w:p>
        </w:tc>
        <w:tc>
          <w:tcPr>
            <w:tcW w:w="737" w:type="dxa"/>
            <w:shd w:val="clear" w:color="auto" w:fill="auto"/>
            <w:vAlign w:val="bottom"/>
          </w:tcPr>
          <w:p w:rsidR="006E1F63" w:rsidRPr="00222917" w:rsidRDefault="006E1F63" w:rsidP="00242694">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623</w:t>
            </w:r>
          </w:p>
        </w:tc>
        <w:tc>
          <w:tcPr>
            <w:tcW w:w="737" w:type="dxa"/>
            <w:shd w:val="clear" w:color="auto" w:fill="auto"/>
            <w:vAlign w:val="bottom"/>
          </w:tcPr>
          <w:p w:rsidR="006E1F63" w:rsidRPr="00222917" w:rsidRDefault="006E1F63" w:rsidP="00242694">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27</w:t>
            </w:r>
          </w:p>
        </w:tc>
        <w:tc>
          <w:tcPr>
            <w:tcW w:w="737" w:type="dxa"/>
            <w:shd w:val="clear" w:color="auto" w:fill="auto"/>
            <w:vAlign w:val="bottom"/>
          </w:tcPr>
          <w:p w:rsidR="006E1F63" w:rsidRPr="00222917" w:rsidRDefault="006E1F63" w:rsidP="00242694">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849</w:t>
            </w:r>
          </w:p>
        </w:tc>
        <w:tc>
          <w:tcPr>
            <w:tcW w:w="737" w:type="dxa"/>
            <w:shd w:val="clear" w:color="auto" w:fill="auto"/>
            <w:vAlign w:val="bottom"/>
          </w:tcPr>
          <w:p w:rsidR="006E1F63" w:rsidRPr="00222917" w:rsidRDefault="006E1F63" w:rsidP="00242694">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116</w:t>
            </w:r>
          </w:p>
        </w:tc>
        <w:tc>
          <w:tcPr>
            <w:tcW w:w="737" w:type="dxa"/>
            <w:shd w:val="clear" w:color="auto" w:fill="auto"/>
            <w:vAlign w:val="bottom"/>
          </w:tcPr>
          <w:p w:rsidR="006E1F63" w:rsidRPr="00222917" w:rsidRDefault="006E1F63" w:rsidP="00242694">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9,727</w:t>
            </w:r>
          </w:p>
        </w:tc>
        <w:tc>
          <w:tcPr>
            <w:tcW w:w="737" w:type="dxa"/>
            <w:shd w:val="clear" w:color="auto" w:fill="auto"/>
            <w:vAlign w:val="bottom"/>
          </w:tcPr>
          <w:p w:rsidR="006E1F63" w:rsidRPr="00222917" w:rsidRDefault="006E1F63" w:rsidP="00242694">
            <w:pPr>
              <w:suppressAutoHyphens w:val="0"/>
              <w:snapToGrid w:val="0"/>
              <w:spacing w:before="40" w:after="40" w:line="200" w:lineRule="exact"/>
              <w:jc w:val="right"/>
              <w:rPr>
                <w:rFonts w:eastAsia="Gulim"/>
                <w:b/>
                <w:sz w:val="16"/>
                <w:szCs w:val="16"/>
                <w:lang w:val="en-US"/>
              </w:rPr>
            </w:pPr>
            <w:r w:rsidRPr="00222917">
              <w:rPr>
                <w:rFonts w:eastAsia="Gulim"/>
                <w:b/>
                <w:bCs/>
                <w:sz w:val="16"/>
                <w:szCs w:val="16"/>
                <w:lang w:val="en-US"/>
              </w:rPr>
              <w:t>161</w:t>
            </w:r>
          </w:p>
        </w:tc>
        <w:tc>
          <w:tcPr>
            <w:tcW w:w="737" w:type="dxa"/>
            <w:shd w:val="clear" w:color="auto" w:fill="auto"/>
            <w:vAlign w:val="bottom"/>
          </w:tcPr>
          <w:p w:rsidR="006E1F63" w:rsidRPr="00222917" w:rsidRDefault="006E1F63" w:rsidP="00242694">
            <w:pPr>
              <w:suppressAutoHyphens w:val="0"/>
              <w:snapToGrid w:val="0"/>
              <w:spacing w:before="40" w:after="40" w:line="200" w:lineRule="exact"/>
              <w:jc w:val="right"/>
              <w:rPr>
                <w:rFonts w:eastAsia="Gulim"/>
                <w:b/>
                <w:sz w:val="16"/>
                <w:szCs w:val="16"/>
                <w:lang w:val="en-US"/>
              </w:rPr>
            </w:pPr>
            <w:r w:rsidRPr="00222917">
              <w:rPr>
                <w:rFonts w:eastAsia="Gulim"/>
                <w:b/>
                <w:bCs/>
                <w:sz w:val="16"/>
                <w:szCs w:val="16"/>
                <w:lang w:val="en-US"/>
              </w:rPr>
              <w:t>11,551</w:t>
            </w:r>
          </w:p>
        </w:tc>
      </w:tr>
      <w:tr w:rsidR="006E1F63" w:rsidRPr="00222917" w:rsidTr="00F662F0">
        <w:trPr>
          <w:trHeight w:val="240"/>
        </w:trPr>
        <w:tc>
          <w:tcPr>
            <w:tcW w:w="1134" w:type="dxa"/>
            <w:shd w:val="clear" w:color="auto" w:fill="auto"/>
          </w:tcPr>
          <w:p w:rsidR="006E1F63" w:rsidRPr="00222917" w:rsidRDefault="006E1F63" w:rsidP="00242694">
            <w:pPr>
              <w:suppressAutoHyphens w:val="0"/>
              <w:snapToGrid w:val="0"/>
              <w:spacing w:before="40" w:after="40" w:line="200" w:lineRule="exact"/>
              <w:rPr>
                <w:rFonts w:eastAsia="Gulim"/>
                <w:sz w:val="16"/>
                <w:szCs w:val="16"/>
                <w:lang w:val="en-US"/>
              </w:rPr>
            </w:pPr>
            <w:r w:rsidRPr="00222917">
              <w:rPr>
                <w:rFonts w:eastAsia="Gulim"/>
                <w:bCs/>
                <w:sz w:val="16"/>
                <w:szCs w:val="16"/>
                <w:lang w:val="en-US"/>
              </w:rPr>
              <w:t>2007</w:t>
            </w:r>
          </w:p>
        </w:tc>
        <w:tc>
          <w:tcPr>
            <w:tcW w:w="737" w:type="dxa"/>
            <w:shd w:val="clear" w:color="auto" w:fill="auto"/>
            <w:vAlign w:val="bottom"/>
          </w:tcPr>
          <w:p w:rsidR="006E1F63" w:rsidRPr="00222917" w:rsidRDefault="006E1F63" w:rsidP="00242694">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12</w:t>
            </w:r>
          </w:p>
        </w:tc>
        <w:tc>
          <w:tcPr>
            <w:tcW w:w="737" w:type="dxa"/>
            <w:shd w:val="clear" w:color="auto" w:fill="auto"/>
            <w:vAlign w:val="bottom"/>
          </w:tcPr>
          <w:p w:rsidR="006E1F63" w:rsidRPr="00222917" w:rsidRDefault="006E1F63" w:rsidP="0014767D">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375</w:t>
            </w:r>
          </w:p>
        </w:tc>
        <w:tc>
          <w:tcPr>
            <w:tcW w:w="737" w:type="dxa"/>
            <w:shd w:val="clear" w:color="auto" w:fill="auto"/>
            <w:vAlign w:val="bottom"/>
          </w:tcPr>
          <w:p w:rsidR="006E1F63" w:rsidRPr="00222917" w:rsidRDefault="006E1F63" w:rsidP="00242694">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11</w:t>
            </w:r>
          </w:p>
        </w:tc>
        <w:tc>
          <w:tcPr>
            <w:tcW w:w="737" w:type="dxa"/>
            <w:shd w:val="clear" w:color="auto" w:fill="auto"/>
            <w:vAlign w:val="bottom"/>
          </w:tcPr>
          <w:p w:rsidR="006E1F63" w:rsidRPr="00222917" w:rsidRDefault="006E1F63" w:rsidP="00242694">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6,325</w:t>
            </w:r>
          </w:p>
        </w:tc>
        <w:tc>
          <w:tcPr>
            <w:tcW w:w="737" w:type="dxa"/>
            <w:shd w:val="clear" w:color="auto" w:fill="auto"/>
            <w:vAlign w:val="bottom"/>
          </w:tcPr>
          <w:p w:rsidR="006E1F63" w:rsidRPr="00222917" w:rsidRDefault="006E1F63" w:rsidP="00242694">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45</w:t>
            </w:r>
          </w:p>
        </w:tc>
        <w:tc>
          <w:tcPr>
            <w:tcW w:w="737" w:type="dxa"/>
            <w:shd w:val="clear" w:color="auto" w:fill="auto"/>
            <w:vAlign w:val="bottom"/>
          </w:tcPr>
          <w:p w:rsidR="006E1F63" w:rsidRPr="00222917" w:rsidRDefault="006E1F63" w:rsidP="00242694">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1,650</w:t>
            </w:r>
          </w:p>
        </w:tc>
        <w:tc>
          <w:tcPr>
            <w:tcW w:w="737" w:type="dxa"/>
            <w:shd w:val="clear" w:color="auto" w:fill="auto"/>
            <w:vAlign w:val="bottom"/>
          </w:tcPr>
          <w:p w:rsidR="006E1F63" w:rsidRPr="00222917" w:rsidRDefault="006E1F63" w:rsidP="00242694">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350</w:t>
            </w:r>
          </w:p>
        </w:tc>
        <w:tc>
          <w:tcPr>
            <w:tcW w:w="737" w:type="dxa"/>
            <w:shd w:val="clear" w:color="auto" w:fill="auto"/>
            <w:vAlign w:val="bottom"/>
          </w:tcPr>
          <w:p w:rsidR="006E1F63" w:rsidRPr="00222917" w:rsidRDefault="006E1F63" w:rsidP="00242694">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36,107</w:t>
            </w:r>
          </w:p>
        </w:tc>
        <w:tc>
          <w:tcPr>
            <w:tcW w:w="737" w:type="dxa"/>
            <w:shd w:val="clear" w:color="auto" w:fill="auto"/>
            <w:vAlign w:val="bottom"/>
          </w:tcPr>
          <w:p w:rsidR="006E1F63" w:rsidRPr="00222917" w:rsidRDefault="006E1F63" w:rsidP="00242694">
            <w:pPr>
              <w:suppressAutoHyphens w:val="0"/>
              <w:snapToGrid w:val="0"/>
              <w:spacing w:before="40" w:after="40" w:line="200" w:lineRule="exact"/>
              <w:jc w:val="right"/>
              <w:rPr>
                <w:rFonts w:eastAsia="Gulim"/>
                <w:b/>
                <w:sz w:val="16"/>
                <w:szCs w:val="16"/>
                <w:lang w:val="en-US"/>
              </w:rPr>
            </w:pPr>
            <w:r w:rsidRPr="00222917">
              <w:rPr>
                <w:rFonts w:eastAsia="Gulim"/>
                <w:b/>
                <w:bCs/>
                <w:sz w:val="16"/>
                <w:szCs w:val="16"/>
                <w:lang w:val="en-US"/>
              </w:rPr>
              <w:t>418</w:t>
            </w:r>
          </w:p>
        </w:tc>
        <w:tc>
          <w:tcPr>
            <w:tcW w:w="737" w:type="dxa"/>
            <w:shd w:val="clear" w:color="auto" w:fill="auto"/>
            <w:vAlign w:val="bottom"/>
          </w:tcPr>
          <w:p w:rsidR="006E1F63" w:rsidRPr="00222917" w:rsidRDefault="006E1F63" w:rsidP="00242694">
            <w:pPr>
              <w:suppressAutoHyphens w:val="0"/>
              <w:snapToGrid w:val="0"/>
              <w:spacing w:before="40" w:after="40" w:line="200" w:lineRule="exact"/>
              <w:jc w:val="right"/>
              <w:rPr>
                <w:rFonts w:eastAsia="Gulim"/>
                <w:b/>
                <w:sz w:val="16"/>
                <w:szCs w:val="16"/>
                <w:lang w:val="en-US"/>
              </w:rPr>
            </w:pPr>
            <w:r w:rsidRPr="00222917">
              <w:rPr>
                <w:rFonts w:eastAsia="Gulim"/>
                <w:b/>
                <w:bCs/>
                <w:sz w:val="16"/>
                <w:szCs w:val="16"/>
                <w:lang w:val="en-US"/>
              </w:rPr>
              <w:t>44,457</w:t>
            </w:r>
          </w:p>
        </w:tc>
      </w:tr>
      <w:tr w:rsidR="006E1F63" w:rsidRPr="00222917" w:rsidTr="00F662F0">
        <w:trPr>
          <w:trHeight w:val="240"/>
        </w:trPr>
        <w:tc>
          <w:tcPr>
            <w:tcW w:w="1134" w:type="dxa"/>
            <w:shd w:val="clear" w:color="auto" w:fill="auto"/>
          </w:tcPr>
          <w:p w:rsidR="006E1F63" w:rsidRPr="00222917" w:rsidRDefault="006E1F63" w:rsidP="00242694">
            <w:pPr>
              <w:suppressAutoHyphens w:val="0"/>
              <w:snapToGrid w:val="0"/>
              <w:spacing w:before="40" w:after="40" w:line="200" w:lineRule="exact"/>
              <w:rPr>
                <w:rFonts w:eastAsia="Gulim"/>
                <w:sz w:val="16"/>
                <w:szCs w:val="16"/>
                <w:lang w:val="en-US"/>
              </w:rPr>
            </w:pPr>
            <w:r w:rsidRPr="00222917">
              <w:rPr>
                <w:rFonts w:eastAsia="Gulim"/>
                <w:bCs/>
                <w:sz w:val="16"/>
                <w:szCs w:val="16"/>
                <w:lang w:val="en-US"/>
              </w:rPr>
              <w:t>2008</w:t>
            </w:r>
          </w:p>
        </w:tc>
        <w:tc>
          <w:tcPr>
            <w:tcW w:w="737" w:type="dxa"/>
            <w:shd w:val="clear" w:color="auto" w:fill="auto"/>
            <w:vAlign w:val="bottom"/>
          </w:tcPr>
          <w:p w:rsidR="006E1F63" w:rsidRPr="00222917" w:rsidRDefault="006E1F63" w:rsidP="00242694">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20</w:t>
            </w:r>
          </w:p>
        </w:tc>
        <w:tc>
          <w:tcPr>
            <w:tcW w:w="737" w:type="dxa"/>
            <w:shd w:val="clear" w:color="auto" w:fill="auto"/>
            <w:vAlign w:val="bottom"/>
          </w:tcPr>
          <w:p w:rsidR="006E1F63" w:rsidRPr="00222917" w:rsidRDefault="006E1F63" w:rsidP="00242694">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809</w:t>
            </w:r>
          </w:p>
        </w:tc>
        <w:tc>
          <w:tcPr>
            <w:tcW w:w="737" w:type="dxa"/>
            <w:shd w:val="clear" w:color="auto" w:fill="auto"/>
            <w:vAlign w:val="bottom"/>
          </w:tcPr>
          <w:p w:rsidR="006E1F63" w:rsidRPr="00222917" w:rsidRDefault="006E1F63" w:rsidP="00242694">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20</w:t>
            </w:r>
          </w:p>
        </w:tc>
        <w:tc>
          <w:tcPr>
            <w:tcW w:w="737" w:type="dxa"/>
            <w:shd w:val="clear" w:color="auto" w:fill="auto"/>
            <w:vAlign w:val="bottom"/>
          </w:tcPr>
          <w:p w:rsidR="006E1F63" w:rsidRPr="00222917" w:rsidRDefault="006E1F63" w:rsidP="00242694">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11,210</w:t>
            </w:r>
          </w:p>
        </w:tc>
        <w:tc>
          <w:tcPr>
            <w:tcW w:w="737" w:type="dxa"/>
            <w:shd w:val="clear" w:color="auto" w:fill="auto"/>
            <w:vAlign w:val="bottom"/>
          </w:tcPr>
          <w:p w:rsidR="006E1F63" w:rsidRPr="00222917" w:rsidRDefault="006E1F63" w:rsidP="00242694">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59</w:t>
            </w:r>
          </w:p>
        </w:tc>
        <w:tc>
          <w:tcPr>
            <w:tcW w:w="737" w:type="dxa"/>
            <w:shd w:val="clear" w:color="auto" w:fill="auto"/>
            <w:vAlign w:val="bottom"/>
          </w:tcPr>
          <w:p w:rsidR="006E1F63" w:rsidRPr="00222917" w:rsidRDefault="006E1F63" w:rsidP="00242694">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1,875</w:t>
            </w:r>
          </w:p>
        </w:tc>
        <w:tc>
          <w:tcPr>
            <w:tcW w:w="737" w:type="dxa"/>
            <w:shd w:val="clear" w:color="auto" w:fill="auto"/>
            <w:vAlign w:val="bottom"/>
          </w:tcPr>
          <w:p w:rsidR="006E1F63" w:rsidRPr="00222917" w:rsidRDefault="006E1F63" w:rsidP="00242694">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566</w:t>
            </w:r>
          </w:p>
        </w:tc>
        <w:tc>
          <w:tcPr>
            <w:tcW w:w="737" w:type="dxa"/>
            <w:shd w:val="clear" w:color="auto" w:fill="auto"/>
            <w:vAlign w:val="bottom"/>
          </w:tcPr>
          <w:p w:rsidR="006E1F63" w:rsidRPr="00222917" w:rsidRDefault="006E1F63" w:rsidP="00242694">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39,764</w:t>
            </w:r>
          </w:p>
        </w:tc>
        <w:tc>
          <w:tcPr>
            <w:tcW w:w="737" w:type="dxa"/>
            <w:shd w:val="clear" w:color="auto" w:fill="auto"/>
            <w:vAlign w:val="bottom"/>
          </w:tcPr>
          <w:p w:rsidR="006E1F63" w:rsidRPr="00222917" w:rsidRDefault="006E1F63" w:rsidP="00242694">
            <w:pPr>
              <w:suppressAutoHyphens w:val="0"/>
              <w:snapToGrid w:val="0"/>
              <w:spacing w:before="40" w:after="40" w:line="200" w:lineRule="exact"/>
              <w:jc w:val="right"/>
              <w:rPr>
                <w:rFonts w:eastAsia="Gulim"/>
                <w:b/>
                <w:sz w:val="16"/>
                <w:szCs w:val="16"/>
                <w:lang w:val="en-US"/>
              </w:rPr>
            </w:pPr>
            <w:r w:rsidRPr="00222917">
              <w:rPr>
                <w:rFonts w:eastAsia="Gulim"/>
                <w:b/>
                <w:bCs/>
                <w:sz w:val="16"/>
                <w:szCs w:val="16"/>
                <w:lang w:val="en-US"/>
              </w:rPr>
              <w:t>665</w:t>
            </w:r>
          </w:p>
        </w:tc>
        <w:tc>
          <w:tcPr>
            <w:tcW w:w="737" w:type="dxa"/>
            <w:shd w:val="clear" w:color="auto" w:fill="auto"/>
            <w:vAlign w:val="bottom"/>
          </w:tcPr>
          <w:p w:rsidR="006E1F63" w:rsidRPr="00222917" w:rsidRDefault="006E1F63" w:rsidP="00242694">
            <w:pPr>
              <w:suppressAutoHyphens w:val="0"/>
              <w:snapToGrid w:val="0"/>
              <w:spacing w:before="40" w:after="40" w:line="200" w:lineRule="exact"/>
              <w:jc w:val="right"/>
              <w:rPr>
                <w:rFonts w:eastAsia="Gulim"/>
                <w:b/>
                <w:sz w:val="16"/>
                <w:szCs w:val="16"/>
                <w:lang w:val="en-US"/>
              </w:rPr>
            </w:pPr>
            <w:r w:rsidRPr="00222917">
              <w:rPr>
                <w:rFonts w:eastAsia="Gulim"/>
                <w:b/>
                <w:bCs/>
                <w:sz w:val="16"/>
                <w:szCs w:val="16"/>
                <w:lang w:val="en-US"/>
              </w:rPr>
              <w:t>53,658</w:t>
            </w:r>
          </w:p>
        </w:tc>
      </w:tr>
      <w:tr w:rsidR="006E1F63" w:rsidRPr="00222917" w:rsidTr="00F662F0">
        <w:trPr>
          <w:trHeight w:val="240"/>
        </w:trPr>
        <w:tc>
          <w:tcPr>
            <w:tcW w:w="1134" w:type="dxa"/>
            <w:shd w:val="clear" w:color="auto" w:fill="auto"/>
          </w:tcPr>
          <w:p w:rsidR="006E1F63" w:rsidRPr="00222917" w:rsidRDefault="006E1F63" w:rsidP="00242694">
            <w:pPr>
              <w:suppressAutoHyphens w:val="0"/>
              <w:snapToGrid w:val="0"/>
              <w:spacing w:before="40" w:after="40" w:line="200" w:lineRule="exact"/>
              <w:rPr>
                <w:rFonts w:eastAsia="Gulim"/>
                <w:sz w:val="16"/>
                <w:szCs w:val="16"/>
                <w:lang w:val="en-US"/>
              </w:rPr>
            </w:pPr>
            <w:r w:rsidRPr="00222917">
              <w:rPr>
                <w:rFonts w:eastAsia="Gulim"/>
                <w:bCs/>
                <w:sz w:val="16"/>
                <w:szCs w:val="16"/>
                <w:lang w:val="en-US"/>
              </w:rPr>
              <w:t>2009</w:t>
            </w:r>
          </w:p>
        </w:tc>
        <w:tc>
          <w:tcPr>
            <w:tcW w:w="737" w:type="dxa"/>
            <w:shd w:val="clear" w:color="auto" w:fill="auto"/>
            <w:vAlign w:val="bottom"/>
          </w:tcPr>
          <w:p w:rsidR="006E1F63" w:rsidRPr="00222917" w:rsidRDefault="006E1F63" w:rsidP="00242694">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6</w:t>
            </w:r>
          </w:p>
        </w:tc>
        <w:tc>
          <w:tcPr>
            <w:tcW w:w="737" w:type="dxa"/>
            <w:shd w:val="clear" w:color="auto" w:fill="auto"/>
            <w:vAlign w:val="bottom"/>
          </w:tcPr>
          <w:p w:rsidR="006E1F63" w:rsidRPr="00222917" w:rsidRDefault="006E1F63" w:rsidP="00242694">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225</w:t>
            </w:r>
          </w:p>
        </w:tc>
        <w:tc>
          <w:tcPr>
            <w:tcW w:w="737" w:type="dxa"/>
            <w:shd w:val="clear" w:color="auto" w:fill="auto"/>
            <w:vAlign w:val="bottom"/>
          </w:tcPr>
          <w:p w:rsidR="006E1F63" w:rsidRPr="00222917" w:rsidRDefault="006E1F63" w:rsidP="00242694">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45</w:t>
            </w:r>
          </w:p>
        </w:tc>
        <w:tc>
          <w:tcPr>
            <w:tcW w:w="737" w:type="dxa"/>
            <w:shd w:val="clear" w:color="auto" w:fill="auto"/>
            <w:vAlign w:val="bottom"/>
          </w:tcPr>
          <w:p w:rsidR="006E1F63" w:rsidRPr="00222917" w:rsidRDefault="006E1F63" w:rsidP="00242694">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12,930</w:t>
            </w:r>
          </w:p>
        </w:tc>
        <w:tc>
          <w:tcPr>
            <w:tcW w:w="737" w:type="dxa"/>
            <w:shd w:val="clear" w:color="auto" w:fill="auto"/>
            <w:vAlign w:val="bottom"/>
          </w:tcPr>
          <w:p w:rsidR="006E1F63" w:rsidRPr="00222917" w:rsidRDefault="006E1F63" w:rsidP="00242694">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101</w:t>
            </w:r>
          </w:p>
        </w:tc>
        <w:tc>
          <w:tcPr>
            <w:tcW w:w="737" w:type="dxa"/>
            <w:shd w:val="clear" w:color="auto" w:fill="auto"/>
            <w:vAlign w:val="bottom"/>
          </w:tcPr>
          <w:p w:rsidR="006E1F63" w:rsidRPr="00222917" w:rsidRDefault="006E1F63" w:rsidP="00242694">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2,956</w:t>
            </w:r>
          </w:p>
        </w:tc>
        <w:tc>
          <w:tcPr>
            <w:tcW w:w="737" w:type="dxa"/>
            <w:shd w:val="clear" w:color="auto" w:fill="auto"/>
            <w:vAlign w:val="bottom"/>
          </w:tcPr>
          <w:p w:rsidR="006E1F63" w:rsidRPr="00222917" w:rsidRDefault="006E1F63" w:rsidP="00242694">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351</w:t>
            </w:r>
          </w:p>
        </w:tc>
        <w:tc>
          <w:tcPr>
            <w:tcW w:w="737" w:type="dxa"/>
            <w:shd w:val="clear" w:color="auto" w:fill="auto"/>
            <w:vAlign w:val="bottom"/>
          </w:tcPr>
          <w:p w:rsidR="006E1F63" w:rsidRPr="00222917" w:rsidRDefault="006E1F63" w:rsidP="00242694">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26,392</w:t>
            </w:r>
          </w:p>
        </w:tc>
        <w:tc>
          <w:tcPr>
            <w:tcW w:w="737" w:type="dxa"/>
            <w:shd w:val="clear" w:color="auto" w:fill="auto"/>
            <w:vAlign w:val="bottom"/>
          </w:tcPr>
          <w:p w:rsidR="006E1F63" w:rsidRPr="00222917" w:rsidRDefault="006E1F63" w:rsidP="00242694">
            <w:pPr>
              <w:suppressAutoHyphens w:val="0"/>
              <w:snapToGrid w:val="0"/>
              <w:spacing w:before="40" w:after="40" w:line="200" w:lineRule="exact"/>
              <w:jc w:val="right"/>
              <w:rPr>
                <w:rFonts w:eastAsia="Gulim"/>
                <w:b/>
                <w:sz w:val="16"/>
                <w:szCs w:val="16"/>
                <w:lang w:val="en-US"/>
              </w:rPr>
            </w:pPr>
            <w:r w:rsidRPr="00222917">
              <w:rPr>
                <w:rFonts w:eastAsia="Gulim"/>
                <w:b/>
                <w:bCs/>
                <w:sz w:val="16"/>
                <w:szCs w:val="16"/>
                <w:lang w:val="en-US"/>
              </w:rPr>
              <w:t>503</w:t>
            </w:r>
          </w:p>
        </w:tc>
        <w:tc>
          <w:tcPr>
            <w:tcW w:w="737" w:type="dxa"/>
            <w:shd w:val="clear" w:color="auto" w:fill="auto"/>
            <w:vAlign w:val="bottom"/>
          </w:tcPr>
          <w:p w:rsidR="006E1F63" w:rsidRPr="00222917" w:rsidRDefault="006E1F63" w:rsidP="00242694">
            <w:pPr>
              <w:suppressAutoHyphens w:val="0"/>
              <w:snapToGrid w:val="0"/>
              <w:spacing w:before="40" w:after="40" w:line="200" w:lineRule="exact"/>
              <w:jc w:val="right"/>
              <w:rPr>
                <w:rFonts w:eastAsia="Gulim"/>
                <w:b/>
                <w:sz w:val="16"/>
                <w:szCs w:val="16"/>
                <w:lang w:val="en-US"/>
              </w:rPr>
            </w:pPr>
            <w:r w:rsidRPr="00222917">
              <w:rPr>
                <w:rFonts w:eastAsia="Gulim"/>
                <w:b/>
                <w:bCs/>
                <w:sz w:val="16"/>
                <w:szCs w:val="16"/>
                <w:lang w:val="en-US"/>
              </w:rPr>
              <w:t>42,503</w:t>
            </w:r>
          </w:p>
        </w:tc>
      </w:tr>
      <w:tr w:rsidR="006E1F63" w:rsidRPr="00222917" w:rsidTr="00F662F0">
        <w:trPr>
          <w:trHeight w:val="240"/>
        </w:trPr>
        <w:tc>
          <w:tcPr>
            <w:tcW w:w="1134" w:type="dxa"/>
            <w:tcBorders>
              <w:bottom w:val="single" w:sz="4" w:space="0" w:color="auto"/>
            </w:tcBorders>
            <w:shd w:val="clear" w:color="auto" w:fill="auto"/>
          </w:tcPr>
          <w:p w:rsidR="006E1F63" w:rsidRPr="00222917" w:rsidRDefault="006E1F63" w:rsidP="00242694">
            <w:pPr>
              <w:suppressAutoHyphens w:val="0"/>
              <w:snapToGrid w:val="0"/>
              <w:spacing w:before="40" w:after="40" w:line="200" w:lineRule="exact"/>
              <w:rPr>
                <w:rFonts w:eastAsia="Gulim"/>
                <w:bCs/>
                <w:sz w:val="16"/>
                <w:szCs w:val="16"/>
                <w:lang w:val="en-US"/>
              </w:rPr>
            </w:pPr>
            <w:r w:rsidRPr="00222917">
              <w:rPr>
                <w:rFonts w:eastAsia="Gulim"/>
                <w:bCs/>
                <w:sz w:val="16"/>
                <w:szCs w:val="16"/>
                <w:lang w:val="en-US"/>
              </w:rPr>
              <w:t>2010</w:t>
            </w:r>
          </w:p>
        </w:tc>
        <w:tc>
          <w:tcPr>
            <w:tcW w:w="737" w:type="dxa"/>
            <w:tcBorders>
              <w:bottom w:val="single" w:sz="4" w:space="0" w:color="auto"/>
            </w:tcBorders>
            <w:shd w:val="clear" w:color="auto" w:fill="auto"/>
            <w:vAlign w:val="bottom"/>
          </w:tcPr>
          <w:p w:rsidR="006E1F63" w:rsidRPr="00222917" w:rsidRDefault="006E1F63" w:rsidP="00242694">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8</w:t>
            </w:r>
          </w:p>
        </w:tc>
        <w:tc>
          <w:tcPr>
            <w:tcW w:w="737" w:type="dxa"/>
            <w:tcBorders>
              <w:bottom w:val="single" w:sz="4" w:space="0" w:color="auto"/>
            </w:tcBorders>
            <w:shd w:val="clear" w:color="auto" w:fill="auto"/>
            <w:vAlign w:val="bottom"/>
          </w:tcPr>
          <w:p w:rsidR="006E1F63" w:rsidRPr="00222917" w:rsidRDefault="006E1F63" w:rsidP="00242694">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202</w:t>
            </w:r>
          </w:p>
        </w:tc>
        <w:tc>
          <w:tcPr>
            <w:tcW w:w="737" w:type="dxa"/>
            <w:tcBorders>
              <w:bottom w:val="single" w:sz="4" w:space="0" w:color="auto"/>
            </w:tcBorders>
            <w:shd w:val="clear" w:color="auto" w:fill="auto"/>
            <w:vAlign w:val="bottom"/>
          </w:tcPr>
          <w:p w:rsidR="006E1F63" w:rsidRPr="00222917" w:rsidRDefault="006E1F63" w:rsidP="00242694">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65</w:t>
            </w:r>
          </w:p>
        </w:tc>
        <w:tc>
          <w:tcPr>
            <w:tcW w:w="737" w:type="dxa"/>
            <w:tcBorders>
              <w:bottom w:val="single" w:sz="4" w:space="0" w:color="auto"/>
            </w:tcBorders>
            <w:shd w:val="clear" w:color="auto" w:fill="auto"/>
            <w:vAlign w:val="bottom"/>
          </w:tcPr>
          <w:p w:rsidR="006E1F63" w:rsidRPr="00222917" w:rsidRDefault="006E1F63" w:rsidP="00242694">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10,538</w:t>
            </w:r>
          </w:p>
        </w:tc>
        <w:tc>
          <w:tcPr>
            <w:tcW w:w="737" w:type="dxa"/>
            <w:tcBorders>
              <w:bottom w:val="single" w:sz="4" w:space="0" w:color="auto"/>
            </w:tcBorders>
            <w:shd w:val="clear" w:color="auto" w:fill="auto"/>
            <w:vAlign w:val="bottom"/>
          </w:tcPr>
          <w:p w:rsidR="006E1F63" w:rsidRPr="00222917" w:rsidRDefault="006E1F63" w:rsidP="00242694">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88</w:t>
            </w:r>
          </w:p>
        </w:tc>
        <w:tc>
          <w:tcPr>
            <w:tcW w:w="737" w:type="dxa"/>
            <w:tcBorders>
              <w:bottom w:val="single" w:sz="4" w:space="0" w:color="auto"/>
            </w:tcBorders>
            <w:shd w:val="clear" w:color="auto" w:fill="auto"/>
            <w:vAlign w:val="bottom"/>
          </w:tcPr>
          <w:p w:rsidR="006E1F63" w:rsidRPr="00222917" w:rsidRDefault="006E1F63" w:rsidP="00242694">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1,726</w:t>
            </w:r>
          </w:p>
        </w:tc>
        <w:tc>
          <w:tcPr>
            <w:tcW w:w="737" w:type="dxa"/>
            <w:tcBorders>
              <w:bottom w:val="single" w:sz="4" w:space="0" w:color="auto"/>
            </w:tcBorders>
            <w:shd w:val="clear" w:color="auto" w:fill="auto"/>
            <w:vAlign w:val="bottom"/>
          </w:tcPr>
          <w:p w:rsidR="006E1F63" w:rsidRPr="00222917" w:rsidRDefault="006E1F63" w:rsidP="00242694">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279</w:t>
            </w:r>
          </w:p>
        </w:tc>
        <w:tc>
          <w:tcPr>
            <w:tcW w:w="737" w:type="dxa"/>
            <w:tcBorders>
              <w:bottom w:val="single" w:sz="4" w:space="0" w:color="auto"/>
            </w:tcBorders>
            <w:shd w:val="clear" w:color="auto" w:fill="auto"/>
            <w:vAlign w:val="bottom"/>
          </w:tcPr>
          <w:p w:rsidR="006E1F63" w:rsidRPr="00222917" w:rsidRDefault="006E1F63" w:rsidP="00242694">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22,249</w:t>
            </w:r>
          </w:p>
        </w:tc>
        <w:tc>
          <w:tcPr>
            <w:tcW w:w="737" w:type="dxa"/>
            <w:tcBorders>
              <w:bottom w:val="single" w:sz="4" w:space="0" w:color="auto"/>
            </w:tcBorders>
            <w:shd w:val="clear" w:color="auto" w:fill="auto"/>
            <w:vAlign w:val="bottom"/>
          </w:tcPr>
          <w:p w:rsidR="006E1F63" w:rsidRPr="00222917" w:rsidRDefault="006E1F63" w:rsidP="00242694">
            <w:pPr>
              <w:suppressAutoHyphens w:val="0"/>
              <w:snapToGrid w:val="0"/>
              <w:spacing w:before="40" w:after="40" w:line="200" w:lineRule="exact"/>
              <w:jc w:val="right"/>
              <w:rPr>
                <w:rFonts w:eastAsia="Gulim"/>
                <w:b/>
                <w:bCs/>
                <w:sz w:val="16"/>
                <w:szCs w:val="16"/>
                <w:lang w:val="en-US"/>
              </w:rPr>
            </w:pPr>
            <w:r w:rsidRPr="00222917">
              <w:rPr>
                <w:rFonts w:eastAsia="Gulim"/>
                <w:b/>
                <w:bCs/>
                <w:sz w:val="16"/>
                <w:szCs w:val="16"/>
                <w:lang w:val="en-US"/>
              </w:rPr>
              <w:t>440</w:t>
            </w:r>
          </w:p>
        </w:tc>
        <w:tc>
          <w:tcPr>
            <w:tcW w:w="737" w:type="dxa"/>
            <w:tcBorders>
              <w:bottom w:val="single" w:sz="4" w:space="0" w:color="auto"/>
            </w:tcBorders>
            <w:shd w:val="clear" w:color="auto" w:fill="auto"/>
            <w:vAlign w:val="bottom"/>
          </w:tcPr>
          <w:p w:rsidR="006E1F63" w:rsidRPr="00222917" w:rsidRDefault="006E1F63" w:rsidP="00242694">
            <w:pPr>
              <w:suppressAutoHyphens w:val="0"/>
              <w:snapToGrid w:val="0"/>
              <w:spacing w:before="40" w:after="40" w:line="200" w:lineRule="exact"/>
              <w:jc w:val="right"/>
              <w:rPr>
                <w:rFonts w:eastAsia="Gulim"/>
                <w:b/>
                <w:bCs/>
                <w:sz w:val="16"/>
                <w:szCs w:val="16"/>
                <w:lang w:val="en-US"/>
              </w:rPr>
            </w:pPr>
            <w:r w:rsidRPr="00222917">
              <w:rPr>
                <w:rFonts w:eastAsia="Gulim"/>
                <w:b/>
                <w:bCs/>
                <w:sz w:val="16"/>
                <w:szCs w:val="16"/>
                <w:lang w:val="en-US"/>
              </w:rPr>
              <w:t>34,715</w:t>
            </w:r>
          </w:p>
        </w:tc>
      </w:tr>
      <w:tr w:rsidR="006E1F63" w:rsidRPr="00222917" w:rsidTr="00F662F0">
        <w:trPr>
          <w:trHeight w:val="240"/>
        </w:trPr>
        <w:tc>
          <w:tcPr>
            <w:tcW w:w="1134" w:type="dxa"/>
            <w:tcBorders>
              <w:top w:val="single" w:sz="4" w:space="0" w:color="auto"/>
              <w:bottom w:val="single" w:sz="12" w:space="0" w:color="auto"/>
            </w:tcBorders>
            <w:shd w:val="clear" w:color="auto" w:fill="auto"/>
          </w:tcPr>
          <w:p w:rsidR="006E1F63" w:rsidRPr="00222917" w:rsidRDefault="006E1F63" w:rsidP="00242694">
            <w:pPr>
              <w:suppressAutoHyphens w:val="0"/>
              <w:snapToGrid w:val="0"/>
              <w:spacing w:before="80" w:after="80" w:line="200" w:lineRule="exact"/>
              <w:rPr>
                <w:rFonts w:eastAsia="Gulim"/>
                <w:b/>
                <w:sz w:val="16"/>
                <w:szCs w:val="16"/>
                <w:lang w:val="en-US"/>
              </w:rPr>
            </w:pPr>
            <w:r w:rsidRPr="00222917">
              <w:rPr>
                <w:rFonts w:eastAsia="Gulim"/>
                <w:b/>
                <w:bCs/>
                <w:sz w:val="16"/>
                <w:szCs w:val="16"/>
                <w:lang w:val="en-US"/>
              </w:rPr>
              <w:t>Total</w:t>
            </w:r>
          </w:p>
        </w:tc>
        <w:tc>
          <w:tcPr>
            <w:tcW w:w="737" w:type="dxa"/>
            <w:tcBorders>
              <w:top w:val="single" w:sz="4" w:space="0" w:color="auto"/>
              <w:bottom w:val="single" w:sz="12" w:space="0" w:color="auto"/>
            </w:tcBorders>
            <w:shd w:val="clear" w:color="auto" w:fill="auto"/>
            <w:vAlign w:val="bottom"/>
          </w:tcPr>
          <w:p w:rsidR="006E1F63" w:rsidRPr="00222917" w:rsidRDefault="006E1F63" w:rsidP="00242694">
            <w:pPr>
              <w:suppressAutoHyphens w:val="0"/>
              <w:snapToGrid w:val="0"/>
              <w:spacing w:before="80" w:after="80" w:line="200" w:lineRule="exact"/>
              <w:jc w:val="right"/>
              <w:rPr>
                <w:rFonts w:eastAsia="Gulim"/>
                <w:b/>
                <w:sz w:val="16"/>
                <w:szCs w:val="16"/>
                <w:lang w:val="en-US"/>
              </w:rPr>
            </w:pPr>
            <w:r w:rsidRPr="00222917">
              <w:rPr>
                <w:rFonts w:eastAsia="Gulim"/>
                <w:b/>
                <w:sz w:val="16"/>
                <w:szCs w:val="16"/>
                <w:lang w:val="en-US"/>
              </w:rPr>
              <w:t>70</w:t>
            </w:r>
          </w:p>
        </w:tc>
        <w:tc>
          <w:tcPr>
            <w:tcW w:w="737" w:type="dxa"/>
            <w:tcBorders>
              <w:top w:val="single" w:sz="4" w:space="0" w:color="auto"/>
              <w:bottom w:val="single" w:sz="12" w:space="0" w:color="auto"/>
            </w:tcBorders>
            <w:shd w:val="clear" w:color="auto" w:fill="auto"/>
            <w:vAlign w:val="bottom"/>
          </w:tcPr>
          <w:p w:rsidR="006E1F63" w:rsidRPr="00222917" w:rsidRDefault="006E1F63" w:rsidP="00242694">
            <w:pPr>
              <w:suppressAutoHyphens w:val="0"/>
              <w:snapToGrid w:val="0"/>
              <w:spacing w:before="80" w:after="80" w:line="200" w:lineRule="exact"/>
              <w:jc w:val="right"/>
              <w:rPr>
                <w:rFonts w:eastAsia="Gulim"/>
                <w:b/>
                <w:sz w:val="16"/>
                <w:szCs w:val="16"/>
                <w:lang w:val="en-US"/>
              </w:rPr>
            </w:pPr>
            <w:r w:rsidRPr="00222917">
              <w:rPr>
                <w:rFonts w:eastAsia="Gulim"/>
                <w:b/>
                <w:bCs/>
                <w:sz w:val="16"/>
                <w:szCs w:val="16"/>
                <w:lang w:val="en-US"/>
              </w:rPr>
              <w:t>2,360</w:t>
            </w:r>
          </w:p>
        </w:tc>
        <w:tc>
          <w:tcPr>
            <w:tcW w:w="737" w:type="dxa"/>
            <w:tcBorders>
              <w:top w:val="single" w:sz="4" w:space="0" w:color="auto"/>
              <w:bottom w:val="single" w:sz="12" w:space="0" w:color="auto"/>
            </w:tcBorders>
            <w:shd w:val="clear" w:color="auto" w:fill="auto"/>
            <w:vAlign w:val="bottom"/>
          </w:tcPr>
          <w:p w:rsidR="006E1F63" w:rsidRPr="00222917" w:rsidRDefault="006E1F63" w:rsidP="00242694">
            <w:pPr>
              <w:suppressAutoHyphens w:val="0"/>
              <w:snapToGrid w:val="0"/>
              <w:spacing w:before="80" w:after="80" w:line="200" w:lineRule="exact"/>
              <w:jc w:val="right"/>
              <w:rPr>
                <w:rFonts w:eastAsia="Gulim"/>
                <w:b/>
                <w:sz w:val="16"/>
                <w:szCs w:val="16"/>
                <w:lang w:val="en-US"/>
              </w:rPr>
            </w:pPr>
            <w:r w:rsidRPr="00222917">
              <w:rPr>
                <w:rFonts w:eastAsia="Gulim"/>
                <w:b/>
                <w:bCs/>
                <w:sz w:val="16"/>
                <w:szCs w:val="16"/>
                <w:lang w:val="en-US"/>
              </w:rPr>
              <w:t>149</w:t>
            </w:r>
          </w:p>
        </w:tc>
        <w:tc>
          <w:tcPr>
            <w:tcW w:w="737" w:type="dxa"/>
            <w:tcBorders>
              <w:top w:val="single" w:sz="4" w:space="0" w:color="auto"/>
              <w:bottom w:val="single" w:sz="12" w:space="0" w:color="auto"/>
            </w:tcBorders>
            <w:shd w:val="clear" w:color="auto" w:fill="auto"/>
            <w:vAlign w:val="bottom"/>
          </w:tcPr>
          <w:p w:rsidR="006E1F63" w:rsidRPr="00222917" w:rsidRDefault="006E1F63" w:rsidP="00242694">
            <w:pPr>
              <w:suppressAutoHyphens w:val="0"/>
              <w:snapToGrid w:val="0"/>
              <w:spacing w:before="80" w:after="80" w:line="200" w:lineRule="exact"/>
              <w:jc w:val="right"/>
              <w:rPr>
                <w:rFonts w:eastAsia="Gulim"/>
                <w:b/>
                <w:sz w:val="16"/>
                <w:szCs w:val="16"/>
                <w:lang w:val="en-US"/>
              </w:rPr>
            </w:pPr>
            <w:r w:rsidRPr="00222917">
              <w:rPr>
                <w:rFonts w:eastAsia="Gulim"/>
                <w:b/>
                <w:bCs/>
                <w:sz w:val="16"/>
                <w:szCs w:val="16"/>
                <w:lang w:val="en-US"/>
              </w:rPr>
              <w:t>41,868</w:t>
            </w:r>
          </w:p>
        </w:tc>
        <w:tc>
          <w:tcPr>
            <w:tcW w:w="737" w:type="dxa"/>
            <w:tcBorders>
              <w:top w:val="single" w:sz="4" w:space="0" w:color="auto"/>
              <w:bottom w:val="single" w:sz="12" w:space="0" w:color="auto"/>
            </w:tcBorders>
            <w:shd w:val="clear" w:color="auto" w:fill="auto"/>
            <w:vAlign w:val="bottom"/>
          </w:tcPr>
          <w:p w:rsidR="006E1F63" w:rsidRPr="00222917" w:rsidRDefault="006E1F63" w:rsidP="00242694">
            <w:pPr>
              <w:suppressAutoHyphens w:val="0"/>
              <w:snapToGrid w:val="0"/>
              <w:spacing w:before="80" w:after="80" w:line="200" w:lineRule="exact"/>
              <w:jc w:val="right"/>
              <w:rPr>
                <w:rFonts w:eastAsia="Gulim"/>
                <w:b/>
                <w:sz w:val="16"/>
                <w:szCs w:val="16"/>
                <w:lang w:val="en-US"/>
              </w:rPr>
            </w:pPr>
            <w:r w:rsidRPr="00222917">
              <w:rPr>
                <w:rFonts w:eastAsia="Gulim"/>
                <w:b/>
                <w:bCs/>
                <w:sz w:val="16"/>
                <w:szCs w:val="16"/>
                <w:lang w:val="en-US"/>
              </w:rPr>
              <w:t>352</w:t>
            </w:r>
          </w:p>
        </w:tc>
        <w:tc>
          <w:tcPr>
            <w:tcW w:w="737" w:type="dxa"/>
            <w:tcBorders>
              <w:top w:val="single" w:sz="4" w:space="0" w:color="auto"/>
              <w:bottom w:val="single" w:sz="12" w:space="0" w:color="auto"/>
            </w:tcBorders>
            <w:shd w:val="clear" w:color="auto" w:fill="auto"/>
            <w:vAlign w:val="bottom"/>
          </w:tcPr>
          <w:p w:rsidR="006E1F63" w:rsidRPr="00222917" w:rsidRDefault="006E1F63" w:rsidP="00242694">
            <w:pPr>
              <w:suppressAutoHyphens w:val="0"/>
              <w:snapToGrid w:val="0"/>
              <w:spacing w:before="80" w:after="80" w:line="200" w:lineRule="exact"/>
              <w:jc w:val="right"/>
              <w:rPr>
                <w:rFonts w:eastAsia="Gulim"/>
                <w:b/>
                <w:sz w:val="16"/>
                <w:szCs w:val="16"/>
                <w:lang w:val="en-US"/>
              </w:rPr>
            </w:pPr>
            <w:r w:rsidRPr="00222917">
              <w:rPr>
                <w:rFonts w:eastAsia="Gulim"/>
                <w:b/>
                <w:bCs/>
                <w:sz w:val="16"/>
                <w:szCs w:val="16"/>
                <w:lang w:val="en-US"/>
              </w:rPr>
              <w:t>10,911</w:t>
            </w:r>
          </w:p>
        </w:tc>
        <w:tc>
          <w:tcPr>
            <w:tcW w:w="737" w:type="dxa"/>
            <w:tcBorders>
              <w:top w:val="single" w:sz="4" w:space="0" w:color="auto"/>
              <w:bottom w:val="single" w:sz="12" w:space="0" w:color="auto"/>
            </w:tcBorders>
            <w:shd w:val="clear" w:color="auto" w:fill="auto"/>
            <w:vAlign w:val="bottom"/>
          </w:tcPr>
          <w:p w:rsidR="006E1F63" w:rsidRPr="00222917" w:rsidRDefault="006E1F63" w:rsidP="00242694">
            <w:pPr>
              <w:suppressAutoHyphens w:val="0"/>
              <w:snapToGrid w:val="0"/>
              <w:spacing w:before="80" w:after="80" w:line="200" w:lineRule="exact"/>
              <w:jc w:val="right"/>
              <w:rPr>
                <w:rFonts w:eastAsia="Gulim"/>
                <w:b/>
                <w:sz w:val="16"/>
                <w:szCs w:val="16"/>
                <w:lang w:val="en-US"/>
              </w:rPr>
            </w:pPr>
            <w:r w:rsidRPr="00222917">
              <w:rPr>
                <w:rFonts w:eastAsia="Gulim"/>
                <w:b/>
                <w:bCs/>
                <w:sz w:val="16"/>
                <w:szCs w:val="16"/>
                <w:lang w:val="en-US"/>
              </w:rPr>
              <w:t>1,782</w:t>
            </w:r>
          </w:p>
        </w:tc>
        <w:tc>
          <w:tcPr>
            <w:tcW w:w="737" w:type="dxa"/>
            <w:tcBorders>
              <w:top w:val="single" w:sz="4" w:space="0" w:color="auto"/>
              <w:bottom w:val="single" w:sz="12" w:space="0" w:color="auto"/>
            </w:tcBorders>
            <w:shd w:val="clear" w:color="auto" w:fill="auto"/>
            <w:vAlign w:val="bottom"/>
          </w:tcPr>
          <w:p w:rsidR="006E1F63" w:rsidRPr="00222917" w:rsidRDefault="006E1F63" w:rsidP="00242694">
            <w:pPr>
              <w:suppressAutoHyphens w:val="0"/>
              <w:snapToGrid w:val="0"/>
              <w:spacing w:before="80" w:after="80" w:line="200" w:lineRule="exact"/>
              <w:jc w:val="right"/>
              <w:rPr>
                <w:rFonts w:eastAsia="Gulim"/>
                <w:b/>
                <w:sz w:val="16"/>
                <w:szCs w:val="16"/>
                <w:lang w:val="en-US"/>
              </w:rPr>
            </w:pPr>
            <w:r w:rsidRPr="00222917">
              <w:rPr>
                <w:rFonts w:eastAsia="Gulim"/>
                <w:b/>
                <w:bCs/>
                <w:sz w:val="16"/>
                <w:szCs w:val="16"/>
                <w:lang w:val="en-US"/>
              </w:rPr>
              <w:t>144,941</w:t>
            </w:r>
          </w:p>
        </w:tc>
        <w:tc>
          <w:tcPr>
            <w:tcW w:w="737" w:type="dxa"/>
            <w:tcBorders>
              <w:top w:val="single" w:sz="4" w:space="0" w:color="auto"/>
              <w:bottom w:val="single" w:sz="12" w:space="0" w:color="auto"/>
            </w:tcBorders>
            <w:shd w:val="clear" w:color="auto" w:fill="auto"/>
            <w:vAlign w:val="bottom"/>
          </w:tcPr>
          <w:p w:rsidR="006E1F63" w:rsidRPr="00222917" w:rsidRDefault="006E1F63" w:rsidP="00242694">
            <w:pPr>
              <w:suppressAutoHyphens w:val="0"/>
              <w:snapToGrid w:val="0"/>
              <w:spacing w:before="80" w:after="80" w:line="200" w:lineRule="exact"/>
              <w:jc w:val="right"/>
              <w:rPr>
                <w:rFonts w:eastAsia="Gulim"/>
                <w:b/>
                <w:sz w:val="16"/>
                <w:szCs w:val="16"/>
                <w:lang w:val="en-US"/>
              </w:rPr>
            </w:pPr>
            <w:r w:rsidRPr="00222917">
              <w:rPr>
                <w:rFonts w:eastAsia="Gulim"/>
                <w:b/>
                <w:bCs/>
                <w:sz w:val="16"/>
                <w:szCs w:val="16"/>
                <w:lang w:val="en-US"/>
              </w:rPr>
              <w:t>2,353</w:t>
            </w:r>
          </w:p>
        </w:tc>
        <w:tc>
          <w:tcPr>
            <w:tcW w:w="737" w:type="dxa"/>
            <w:tcBorders>
              <w:top w:val="single" w:sz="4" w:space="0" w:color="auto"/>
              <w:bottom w:val="single" w:sz="12" w:space="0" w:color="auto"/>
            </w:tcBorders>
            <w:shd w:val="clear" w:color="auto" w:fill="auto"/>
            <w:vAlign w:val="bottom"/>
          </w:tcPr>
          <w:p w:rsidR="006E1F63" w:rsidRPr="00222917" w:rsidRDefault="006E1F63" w:rsidP="00242694">
            <w:pPr>
              <w:suppressAutoHyphens w:val="0"/>
              <w:snapToGrid w:val="0"/>
              <w:spacing w:before="80" w:after="80" w:line="200" w:lineRule="exact"/>
              <w:jc w:val="right"/>
              <w:rPr>
                <w:rFonts w:eastAsia="Gulim"/>
                <w:b/>
                <w:sz w:val="16"/>
                <w:szCs w:val="16"/>
                <w:lang w:val="en-US"/>
              </w:rPr>
            </w:pPr>
            <w:r w:rsidRPr="00222917">
              <w:rPr>
                <w:rFonts w:eastAsia="Gulim"/>
                <w:b/>
                <w:bCs/>
                <w:sz w:val="16"/>
                <w:szCs w:val="16"/>
                <w:lang w:val="en-US"/>
              </w:rPr>
              <w:t>200,080</w:t>
            </w:r>
          </w:p>
        </w:tc>
      </w:tr>
    </w:tbl>
    <w:p w:rsidR="002D5BB0" w:rsidRPr="00222917" w:rsidRDefault="002A065F" w:rsidP="00505C89">
      <w:pPr>
        <w:pStyle w:val="H23G"/>
        <w:rPr>
          <w:lang w:val="en-US"/>
        </w:rPr>
      </w:pPr>
      <w:r w:rsidRPr="00222917">
        <w:rPr>
          <w:lang w:val="en-US"/>
        </w:rPr>
        <w:tab/>
      </w:r>
      <w:r w:rsidRPr="00222917">
        <w:rPr>
          <w:lang w:val="en-US"/>
        </w:rPr>
        <w:tab/>
      </w:r>
      <w:r w:rsidR="002D5BB0" w:rsidRPr="00222917">
        <w:rPr>
          <w:lang w:val="en-US"/>
        </w:rPr>
        <w:t xml:space="preserve">Human </w:t>
      </w:r>
      <w:r w:rsidR="00505C89">
        <w:rPr>
          <w:lang w:val="en-US"/>
        </w:rPr>
        <w:t>r</w:t>
      </w:r>
      <w:r w:rsidR="002D5BB0" w:rsidRPr="00222917">
        <w:rPr>
          <w:lang w:val="en-US"/>
        </w:rPr>
        <w:t xml:space="preserve">ights </w:t>
      </w:r>
      <w:r w:rsidR="00505C89">
        <w:rPr>
          <w:lang w:val="en-US"/>
        </w:rPr>
        <w:t>e</w:t>
      </w:r>
      <w:r w:rsidR="002D5BB0" w:rsidRPr="00222917">
        <w:rPr>
          <w:lang w:val="en-US"/>
        </w:rPr>
        <w:t xml:space="preserve">ducation for </w:t>
      </w:r>
      <w:r w:rsidR="00505C89">
        <w:rPr>
          <w:lang w:val="en-US"/>
        </w:rPr>
        <w:t>l</w:t>
      </w:r>
      <w:r w:rsidR="002D5BB0" w:rsidRPr="00222917">
        <w:rPr>
          <w:lang w:val="en-US"/>
        </w:rPr>
        <w:t xml:space="preserve">aw </w:t>
      </w:r>
      <w:r w:rsidR="00505C89">
        <w:rPr>
          <w:lang w:val="en-US"/>
        </w:rPr>
        <w:t>e</w:t>
      </w:r>
      <w:r w:rsidR="002D5BB0" w:rsidRPr="00222917">
        <w:rPr>
          <w:lang w:val="en-US"/>
        </w:rPr>
        <w:t xml:space="preserve">nforcement </w:t>
      </w:r>
      <w:r w:rsidR="00505C89">
        <w:rPr>
          <w:lang w:val="en-US"/>
        </w:rPr>
        <w:t>o</w:t>
      </w:r>
      <w:r w:rsidR="002D5BB0" w:rsidRPr="00222917">
        <w:rPr>
          <w:lang w:val="en-US"/>
        </w:rPr>
        <w:t xml:space="preserve">fficials </w:t>
      </w:r>
    </w:p>
    <w:p w:rsidR="002D5BB0" w:rsidRPr="00222917" w:rsidRDefault="00547908" w:rsidP="00547908">
      <w:pPr>
        <w:pStyle w:val="SingleTxtG"/>
        <w:rPr>
          <w:lang w:val="en-US"/>
        </w:rPr>
      </w:pPr>
      <w:r w:rsidRPr="00222917">
        <w:rPr>
          <w:lang w:val="en-US"/>
        </w:rPr>
        <w:t>12.</w:t>
      </w:r>
      <w:r w:rsidRPr="00222917">
        <w:rPr>
          <w:lang w:val="en-US"/>
        </w:rPr>
        <w:tab/>
      </w:r>
      <w:r w:rsidR="002D5BB0" w:rsidRPr="00222917">
        <w:rPr>
          <w:lang w:val="en-US"/>
        </w:rPr>
        <w:t>In 2007, the Ministry of Justice launched human rights education program targeting law enforcement officials working in prosecution, protection, correction, and immigration control with the aim of enhancing their human rights sensitivity. The Ministry plans to replace various human rights courses scattered across education programs with comprehensive, systematic, and independent programs, which includes sessions on human rights sensitivity and human rights instructor training, as part of its effort towards more effective human rights education. Further information on human rights education for law enforcement officials at detention facilities regarding prevention of torture and inhumane tre</w:t>
      </w:r>
      <w:r w:rsidR="006A6ADD" w:rsidRPr="00222917">
        <w:rPr>
          <w:lang w:val="en-US"/>
        </w:rPr>
        <w:t>atment is provided in paragraph </w:t>
      </w:r>
      <w:r w:rsidR="002D5BB0" w:rsidRPr="00222917">
        <w:rPr>
          <w:lang w:val="en-US"/>
        </w:rPr>
        <w:t xml:space="preserve">138. </w:t>
      </w:r>
    </w:p>
    <w:p w:rsidR="002D5BB0" w:rsidRPr="00222917" w:rsidRDefault="00F67EFA" w:rsidP="00505C89">
      <w:pPr>
        <w:pStyle w:val="H23G"/>
        <w:rPr>
          <w:b w:val="0"/>
          <w:sz w:val="16"/>
          <w:szCs w:val="16"/>
          <w:lang w:val="en-US"/>
        </w:rPr>
      </w:pPr>
      <w:r w:rsidRPr="00222917">
        <w:rPr>
          <w:lang w:val="en-US"/>
        </w:rPr>
        <w:tab/>
      </w:r>
      <w:r w:rsidRPr="00222917">
        <w:rPr>
          <w:lang w:val="en-US"/>
        </w:rPr>
        <w:tab/>
      </w:r>
      <w:r w:rsidR="002D5BB0" w:rsidRPr="00222917">
        <w:rPr>
          <w:lang w:val="en-US"/>
        </w:rPr>
        <w:t xml:space="preserve">Human </w:t>
      </w:r>
      <w:r w:rsidR="00505C89">
        <w:rPr>
          <w:lang w:val="en-US"/>
        </w:rPr>
        <w:t>r</w:t>
      </w:r>
      <w:r w:rsidR="002D5BB0" w:rsidRPr="00222917">
        <w:rPr>
          <w:lang w:val="en-US"/>
        </w:rPr>
        <w:t xml:space="preserve">ights </w:t>
      </w:r>
      <w:r w:rsidR="00505C89">
        <w:rPr>
          <w:lang w:val="en-US"/>
        </w:rPr>
        <w:t>s</w:t>
      </w:r>
      <w:r w:rsidR="002D5BB0" w:rsidRPr="00222917">
        <w:rPr>
          <w:lang w:val="en-US"/>
        </w:rPr>
        <w:t xml:space="preserve">ensitivity </w:t>
      </w:r>
      <w:r w:rsidR="00505C89">
        <w:rPr>
          <w:lang w:val="en-US"/>
        </w:rPr>
        <w:t>e</w:t>
      </w:r>
      <w:r w:rsidR="002D5BB0" w:rsidRPr="00222917">
        <w:rPr>
          <w:lang w:val="en-US"/>
        </w:rPr>
        <w:t xml:space="preserve">ducation for </w:t>
      </w:r>
      <w:r w:rsidR="00505C89">
        <w:rPr>
          <w:lang w:val="en-US"/>
        </w:rPr>
        <w:t>l</w:t>
      </w:r>
      <w:r w:rsidR="002D5BB0" w:rsidRPr="00222917">
        <w:rPr>
          <w:lang w:val="en-US"/>
        </w:rPr>
        <w:t xml:space="preserve">aw </w:t>
      </w:r>
      <w:r w:rsidR="00505C89">
        <w:rPr>
          <w:lang w:val="en-US"/>
        </w:rPr>
        <w:t>e</w:t>
      </w:r>
      <w:r w:rsidR="002D5BB0" w:rsidRPr="00222917">
        <w:rPr>
          <w:lang w:val="en-US"/>
        </w:rPr>
        <w:t xml:space="preserve">nforcement </w:t>
      </w:r>
      <w:r w:rsidR="00505C89">
        <w:rPr>
          <w:lang w:val="en-US"/>
        </w:rPr>
        <w:t>o</w:t>
      </w:r>
      <w:r w:rsidR="002D5BB0" w:rsidRPr="00222917">
        <w:rPr>
          <w:lang w:val="en-US"/>
        </w:rPr>
        <w:t>fficials</w:t>
      </w:r>
      <w:r w:rsidRPr="00222917">
        <w:rPr>
          <w:lang w:val="en-US"/>
        </w:rPr>
        <w:br/>
      </w:r>
      <w:r w:rsidR="002D5BB0" w:rsidRPr="00222917">
        <w:rPr>
          <w:b w:val="0"/>
          <w:sz w:val="16"/>
          <w:szCs w:val="16"/>
          <w:lang w:val="en-US"/>
        </w:rPr>
        <w:t>(Number of sessions and participants)</w:t>
      </w:r>
    </w:p>
    <w:tbl>
      <w:tblPr>
        <w:tblW w:w="0" w:type="auto"/>
        <w:tblInd w:w="1134" w:type="dxa"/>
        <w:tblBorders>
          <w:top w:val="single" w:sz="4" w:space="0" w:color="auto"/>
        </w:tblBorders>
        <w:tblLayout w:type="fixed"/>
        <w:tblCellMar>
          <w:left w:w="0" w:type="dxa"/>
          <w:right w:w="0" w:type="dxa"/>
        </w:tblCellMar>
        <w:tblLook w:val="0000"/>
      </w:tblPr>
      <w:tblGrid>
        <w:gridCol w:w="2835"/>
        <w:gridCol w:w="2268"/>
        <w:gridCol w:w="2268"/>
      </w:tblGrid>
      <w:tr w:rsidR="006E1F63" w:rsidRPr="00222917" w:rsidTr="00F662F0">
        <w:trPr>
          <w:trHeight w:val="240"/>
          <w:tblHeader/>
        </w:trPr>
        <w:tc>
          <w:tcPr>
            <w:tcW w:w="2835" w:type="dxa"/>
            <w:tcBorders>
              <w:top w:val="single" w:sz="4" w:space="0" w:color="auto"/>
              <w:bottom w:val="single" w:sz="12" w:space="0" w:color="auto"/>
            </w:tcBorders>
            <w:shd w:val="clear" w:color="auto" w:fill="auto"/>
            <w:vAlign w:val="bottom"/>
          </w:tcPr>
          <w:p w:rsidR="002D5BB0" w:rsidRPr="00222917" w:rsidRDefault="002D5BB0" w:rsidP="00242694">
            <w:pPr>
              <w:pStyle w:val="SingleTxtG"/>
              <w:suppressAutoHyphens w:val="0"/>
              <w:spacing w:before="80" w:after="80" w:line="200" w:lineRule="exact"/>
              <w:ind w:left="0" w:right="0"/>
              <w:jc w:val="left"/>
              <w:rPr>
                <w:i/>
                <w:sz w:val="16"/>
                <w:lang w:val="en-US"/>
              </w:rPr>
            </w:pPr>
            <w:r w:rsidRPr="00222917">
              <w:rPr>
                <w:bCs/>
                <w:i/>
                <w:sz w:val="16"/>
                <w:lang w:val="en-US"/>
              </w:rPr>
              <w:t>Year</w:t>
            </w:r>
          </w:p>
        </w:tc>
        <w:tc>
          <w:tcPr>
            <w:tcW w:w="2268" w:type="dxa"/>
            <w:tcBorders>
              <w:top w:val="single" w:sz="4" w:space="0" w:color="auto"/>
              <w:bottom w:val="single" w:sz="12" w:space="0" w:color="auto"/>
            </w:tcBorders>
            <w:shd w:val="clear" w:color="auto" w:fill="auto"/>
            <w:vAlign w:val="bottom"/>
          </w:tcPr>
          <w:p w:rsidR="002D5BB0" w:rsidRPr="00222917" w:rsidRDefault="002D5BB0" w:rsidP="00242694">
            <w:pPr>
              <w:pStyle w:val="SingleTxtG"/>
              <w:suppressAutoHyphens w:val="0"/>
              <w:spacing w:before="80" w:after="80" w:line="200" w:lineRule="exact"/>
              <w:ind w:left="0" w:right="0"/>
              <w:jc w:val="right"/>
              <w:rPr>
                <w:i/>
                <w:sz w:val="16"/>
                <w:lang w:val="en-US"/>
              </w:rPr>
            </w:pPr>
            <w:r w:rsidRPr="00222917">
              <w:rPr>
                <w:bCs/>
                <w:i/>
                <w:sz w:val="16"/>
                <w:lang w:val="en-US"/>
              </w:rPr>
              <w:t>Sessions</w:t>
            </w:r>
          </w:p>
        </w:tc>
        <w:tc>
          <w:tcPr>
            <w:tcW w:w="2268" w:type="dxa"/>
            <w:tcBorders>
              <w:top w:val="single" w:sz="4" w:space="0" w:color="auto"/>
              <w:bottom w:val="single" w:sz="12" w:space="0" w:color="auto"/>
            </w:tcBorders>
            <w:shd w:val="clear" w:color="auto" w:fill="auto"/>
            <w:vAlign w:val="bottom"/>
          </w:tcPr>
          <w:p w:rsidR="002D5BB0" w:rsidRPr="00222917" w:rsidRDefault="002D5BB0" w:rsidP="00242694">
            <w:pPr>
              <w:pStyle w:val="SingleTxtG"/>
              <w:suppressAutoHyphens w:val="0"/>
              <w:spacing w:before="80" w:after="80" w:line="200" w:lineRule="exact"/>
              <w:ind w:left="0" w:right="0"/>
              <w:jc w:val="right"/>
              <w:rPr>
                <w:i/>
                <w:sz w:val="16"/>
                <w:lang w:val="en-US"/>
              </w:rPr>
            </w:pPr>
            <w:r w:rsidRPr="00222917">
              <w:rPr>
                <w:i/>
                <w:sz w:val="16"/>
                <w:lang w:val="en-US"/>
              </w:rPr>
              <w:t>Participants</w:t>
            </w:r>
          </w:p>
        </w:tc>
      </w:tr>
      <w:tr w:rsidR="006E1F63" w:rsidRPr="00222917" w:rsidTr="00F662F0">
        <w:trPr>
          <w:trHeight w:val="240"/>
        </w:trPr>
        <w:tc>
          <w:tcPr>
            <w:tcW w:w="2835" w:type="dxa"/>
            <w:tcBorders>
              <w:top w:val="single" w:sz="12" w:space="0" w:color="auto"/>
            </w:tcBorders>
            <w:shd w:val="clear" w:color="auto" w:fill="auto"/>
          </w:tcPr>
          <w:p w:rsidR="002D5BB0" w:rsidRPr="00222917" w:rsidRDefault="002D5BB0" w:rsidP="0014767D">
            <w:pPr>
              <w:pStyle w:val="SingleTxtG"/>
              <w:suppressAutoHyphens w:val="0"/>
              <w:spacing w:before="40" w:after="40" w:line="220" w:lineRule="exact"/>
              <w:ind w:left="0" w:right="0"/>
              <w:jc w:val="left"/>
              <w:rPr>
                <w:sz w:val="18"/>
                <w:lang w:val="en-US"/>
              </w:rPr>
            </w:pPr>
            <w:r w:rsidRPr="00222917">
              <w:rPr>
                <w:sz w:val="18"/>
                <w:lang w:val="en-US"/>
              </w:rPr>
              <w:t>2007</w:t>
            </w:r>
          </w:p>
        </w:tc>
        <w:tc>
          <w:tcPr>
            <w:tcW w:w="2268" w:type="dxa"/>
            <w:tcBorders>
              <w:top w:val="single" w:sz="12" w:space="0" w:color="auto"/>
            </w:tcBorders>
            <w:shd w:val="clear" w:color="auto" w:fill="auto"/>
            <w:vAlign w:val="bottom"/>
          </w:tcPr>
          <w:p w:rsidR="002D5BB0" w:rsidRPr="00222917" w:rsidRDefault="002D5BB0" w:rsidP="00242694">
            <w:pPr>
              <w:pStyle w:val="SingleTxtG"/>
              <w:suppressAutoHyphens w:val="0"/>
              <w:spacing w:before="40" w:after="40" w:line="220" w:lineRule="exact"/>
              <w:ind w:left="0" w:right="0"/>
              <w:jc w:val="right"/>
              <w:rPr>
                <w:sz w:val="18"/>
                <w:lang w:val="en-US"/>
              </w:rPr>
            </w:pPr>
            <w:r w:rsidRPr="00222917">
              <w:rPr>
                <w:sz w:val="18"/>
                <w:lang w:val="en-US"/>
              </w:rPr>
              <w:t>59</w:t>
            </w:r>
          </w:p>
        </w:tc>
        <w:tc>
          <w:tcPr>
            <w:tcW w:w="2268" w:type="dxa"/>
            <w:tcBorders>
              <w:top w:val="single" w:sz="12" w:space="0" w:color="auto"/>
            </w:tcBorders>
            <w:shd w:val="clear" w:color="auto" w:fill="auto"/>
            <w:vAlign w:val="bottom"/>
          </w:tcPr>
          <w:p w:rsidR="002D5BB0" w:rsidRPr="00222917" w:rsidRDefault="002D5BB0" w:rsidP="00242694">
            <w:pPr>
              <w:pStyle w:val="SingleTxtG"/>
              <w:suppressAutoHyphens w:val="0"/>
              <w:spacing w:before="40" w:after="40" w:line="220" w:lineRule="exact"/>
              <w:ind w:left="0" w:right="0"/>
              <w:jc w:val="right"/>
              <w:rPr>
                <w:sz w:val="18"/>
                <w:lang w:val="en-US"/>
              </w:rPr>
            </w:pPr>
            <w:r w:rsidRPr="00222917">
              <w:rPr>
                <w:sz w:val="18"/>
                <w:lang w:val="en-US"/>
              </w:rPr>
              <w:t>2,067</w:t>
            </w:r>
          </w:p>
        </w:tc>
      </w:tr>
      <w:tr w:rsidR="006E1F63" w:rsidRPr="00222917" w:rsidTr="00F662F0">
        <w:trPr>
          <w:trHeight w:val="240"/>
        </w:trPr>
        <w:tc>
          <w:tcPr>
            <w:tcW w:w="2835" w:type="dxa"/>
            <w:shd w:val="clear" w:color="auto" w:fill="auto"/>
          </w:tcPr>
          <w:p w:rsidR="002D5BB0" w:rsidRPr="00222917" w:rsidRDefault="002D5BB0" w:rsidP="00242694">
            <w:pPr>
              <w:pStyle w:val="SingleTxtG"/>
              <w:suppressAutoHyphens w:val="0"/>
              <w:spacing w:before="40" w:after="40" w:line="220" w:lineRule="exact"/>
              <w:ind w:left="0" w:right="0"/>
              <w:jc w:val="left"/>
              <w:rPr>
                <w:sz w:val="18"/>
                <w:lang w:val="en-US"/>
              </w:rPr>
            </w:pPr>
            <w:r w:rsidRPr="00222917">
              <w:rPr>
                <w:sz w:val="18"/>
                <w:lang w:val="en-US"/>
              </w:rPr>
              <w:t>2008</w:t>
            </w:r>
          </w:p>
        </w:tc>
        <w:tc>
          <w:tcPr>
            <w:tcW w:w="2268" w:type="dxa"/>
            <w:shd w:val="clear" w:color="auto" w:fill="auto"/>
            <w:vAlign w:val="bottom"/>
          </w:tcPr>
          <w:p w:rsidR="002D5BB0" w:rsidRPr="00222917" w:rsidRDefault="002D5BB0" w:rsidP="00242694">
            <w:pPr>
              <w:pStyle w:val="SingleTxtG"/>
              <w:suppressAutoHyphens w:val="0"/>
              <w:spacing w:before="40" w:after="40" w:line="220" w:lineRule="exact"/>
              <w:ind w:left="0" w:right="0"/>
              <w:jc w:val="right"/>
              <w:rPr>
                <w:sz w:val="18"/>
                <w:lang w:val="en-US"/>
              </w:rPr>
            </w:pPr>
            <w:r w:rsidRPr="00222917">
              <w:rPr>
                <w:sz w:val="18"/>
                <w:lang w:val="en-US"/>
              </w:rPr>
              <w:t>78</w:t>
            </w:r>
          </w:p>
        </w:tc>
        <w:tc>
          <w:tcPr>
            <w:tcW w:w="2268" w:type="dxa"/>
            <w:shd w:val="clear" w:color="auto" w:fill="auto"/>
            <w:vAlign w:val="bottom"/>
          </w:tcPr>
          <w:p w:rsidR="002D5BB0" w:rsidRPr="00222917" w:rsidRDefault="002D5BB0" w:rsidP="00242694">
            <w:pPr>
              <w:pStyle w:val="SingleTxtG"/>
              <w:suppressAutoHyphens w:val="0"/>
              <w:spacing w:before="40" w:after="40" w:line="220" w:lineRule="exact"/>
              <w:ind w:left="0" w:right="0"/>
              <w:jc w:val="right"/>
              <w:rPr>
                <w:sz w:val="18"/>
                <w:lang w:val="en-US"/>
              </w:rPr>
            </w:pPr>
            <w:r w:rsidRPr="00222917">
              <w:rPr>
                <w:sz w:val="18"/>
                <w:lang w:val="en-US"/>
              </w:rPr>
              <w:t>2,452</w:t>
            </w:r>
          </w:p>
        </w:tc>
      </w:tr>
      <w:tr w:rsidR="006E1F63" w:rsidRPr="00222917" w:rsidTr="00F662F0">
        <w:trPr>
          <w:trHeight w:val="240"/>
        </w:trPr>
        <w:tc>
          <w:tcPr>
            <w:tcW w:w="2835" w:type="dxa"/>
            <w:shd w:val="clear" w:color="auto" w:fill="auto"/>
          </w:tcPr>
          <w:p w:rsidR="002D5BB0" w:rsidRPr="00222917" w:rsidRDefault="002D5BB0" w:rsidP="00242694">
            <w:pPr>
              <w:pStyle w:val="SingleTxtG"/>
              <w:suppressAutoHyphens w:val="0"/>
              <w:spacing w:before="40" w:after="40" w:line="220" w:lineRule="exact"/>
              <w:ind w:left="0" w:right="0"/>
              <w:jc w:val="left"/>
              <w:rPr>
                <w:sz w:val="18"/>
                <w:lang w:val="en-US"/>
              </w:rPr>
            </w:pPr>
            <w:r w:rsidRPr="00222917">
              <w:rPr>
                <w:sz w:val="18"/>
                <w:lang w:val="en-US"/>
              </w:rPr>
              <w:t>2009</w:t>
            </w:r>
          </w:p>
        </w:tc>
        <w:tc>
          <w:tcPr>
            <w:tcW w:w="2268" w:type="dxa"/>
            <w:shd w:val="clear" w:color="auto" w:fill="auto"/>
            <w:vAlign w:val="bottom"/>
          </w:tcPr>
          <w:p w:rsidR="002D5BB0" w:rsidRPr="00222917" w:rsidRDefault="002D5BB0" w:rsidP="00242694">
            <w:pPr>
              <w:pStyle w:val="SingleTxtG"/>
              <w:suppressAutoHyphens w:val="0"/>
              <w:spacing w:before="40" w:after="40" w:line="220" w:lineRule="exact"/>
              <w:ind w:left="0" w:right="0"/>
              <w:jc w:val="right"/>
              <w:rPr>
                <w:sz w:val="18"/>
                <w:lang w:val="en-US"/>
              </w:rPr>
            </w:pPr>
            <w:r w:rsidRPr="00222917">
              <w:rPr>
                <w:sz w:val="18"/>
                <w:lang w:val="en-US"/>
              </w:rPr>
              <w:t>83</w:t>
            </w:r>
          </w:p>
        </w:tc>
        <w:tc>
          <w:tcPr>
            <w:tcW w:w="2268" w:type="dxa"/>
            <w:shd w:val="clear" w:color="auto" w:fill="auto"/>
            <w:vAlign w:val="bottom"/>
          </w:tcPr>
          <w:p w:rsidR="002D5BB0" w:rsidRPr="00222917" w:rsidRDefault="002D5BB0" w:rsidP="00242694">
            <w:pPr>
              <w:pStyle w:val="SingleTxtG"/>
              <w:suppressAutoHyphens w:val="0"/>
              <w:spacing w:before="40" w:after="40" w:line="220" w:lineRule="exact"/>
              <w:ind w:left="0" w:right="0"/>
              <w:jc w:val="right"/>
              <w:rPr>
                <w:sz w:val="18"/>
                <w:lang w:val="en-US"/>
              </w:rPr>
            </w:pPr>
            <w:r w:rsidRPr="00222917">
              <w:rPr>
                <w:sz w:val="18"/>
                <w:lang w:val="en-US"/>
              </w:rPr>
              <w:t>2,765</w:t>
            </w:r>
          </w:p>
        </w:tc>
      </w:tr>
      <w:tr w:rsidR="006E1F63" w:rsidRPr="00222917" w:rsidTr="00F662F0">
        <w:trPr>
          <w:trHeight w:val="240"/>
        </w:trPr>
        <w:tc>
          <w:tcPr>
            <w:tcW w:w="2835" w:type="dxa"/>
            <w:tcBorders>
              <w:bottom w:val="single" w:sz="12" w:space="0" w:color="auto"/>
            </w:tcBorders>
            <w:shd w:val="clear" w:color="auto" w:fill="auto"/>
          </w:tcPr>
          <w:p w:rsidR="002D5BB0" w:rsidRPr="00222917" w:rsidRDefault="002D5BB0" w:rsidP="00242694">
            <w:pPr>
              <w:pStyle w:val="SingleTxtG"/>
              <w:suppressAutoHyphens w:val="0"/>
              <w:spacing w:before="40" w:after="40" w:line="220" w:lineRule="exact"/>
              <w:ind w:left="0" w:right="0"/>
              <w:jc w:val="left"/>
              <w:rPr>
                <w:sz w:val="18"/>
                <w:lang w:val="en-US"/>
              </w:rPr>
            </w:pPr>
            <w:r w:rsidRPr="00222917">
              <w:rPr>
                <w:sz w:val="18"/>
                <w:lang w:val="en-US"/>
              </w:rPr>
              <w:t>2010</w:t>
            </w:r>
          </w:p>
        </w:tc>
        <w:tc>
          <w:tcPr>
            <w:tcW w:w="2268" w:type="dxa"/>
            <w:tcBorders>
              <w:bottom w:val="single" w:sz="12" w:space="0" w:color="auto"/>
            </w:tcBorders>
            <w:shd w:val="clear" w:color="auto" w:fill="auto"/>
            <w:vAlign w:val="bottom"/>
          </w:tcPr>
          <w:p w:rsidR="002D5BB0" w:rsidRPr="00222917" w:rsidRDefault="002D5BB0" w:rsidP="00242694">
            <w:pPr>
              <w:pStyle w:val="SingleTxtG"/>
              <w:suppressAutoHyphens w:val="0"/>
              <w:spacing w:before="40" w:after="40" w:line="220" w:lineRule="exact"/>
              <w:ind w:left="0" w:right="0"/>
              <w:jc w:val="right"/>
              <w:rPr>
                <w:sz w:val="18"/>
                <w:lang w:val="en-US"/>
              </w:rPr>
            </w:pPr>
            <w:r w:rsidRPr="00222917">
              <w:rPr>
                <w:sz w:val="18"/>
                <w:lang w:val="en-US"/>
              </w:rPr>
              <w:t>70</w:t>
            </w:r>
          </w:p>
        </w:tc>
        <w:tc>
          <w:tcPr>
            <w:tcW w:w="2268" w:type="dxa"/>
            <w:tcBorders>
              <w:bottom w:val="single" w:sz="12" w:space="0" w:color="auto"/>
            </w:tcBorders>
            <w:shd w:val="clear" w:color="auto" w:fill="auto"/>
            <w:vAlign w:val="bottom"/>
          </w:tcPr>
          <w:p w:rsidR="002D5BB0" w:rsidRPr="00222917" w:rsidRDefault="002D5BB0" w:rsidP="00242694">
            <w:pPr>
              <w:pStyle w:val="SingleTxtG"/>
              <w:suppressAutoHyphens w:val="0"/>
              <w:spacing w:before="40" w:after="40" w:line="220" w:lineRule="exact"/>
              <w:ind w:left="0" w:right="0"/>
              <w:jc w:val="right"/>
              <w:rPr>
                <w:sz w:val="18"/>
                <w:lang w:val="en-US"/>
              </w:rPr>
            </w:pPr>
            <w:r w:rsidRPr="00222917">
              <w:rPr>
                <w:sz w:val="18"/>
                <w:lang w:val="en-US"/>
              </w:rPr>
              <w:t>2,120</w:t>
            </w:r>
          </w:p>
        </w:tc>
      </w:tr>
    </w:tbl>
    <w:p w:rsidR="002D5BB0" w:rsidRPr="00222917" w:rsidRDefault="00547908" w:rsidP="00547908">
      <w:pPr>
        <w:pStyle w:val="SingleTxtG"/>
        <w:spacing w:before="240"/>
        <w:rPr>
          <w:lang w:val="en-US"/>
        </w:rPr>
      </w:pPr>
      <w:r w:rsidRPr="00222917">
        <w:rPr>
          <w:lang w:val="en-US"/>
        </w:rPr>
        <w:t>13.</w:t>
      </w:r>
      <w:r w:rsidRPr="00222917">
        <w:rPr>
          <w:lang w:val="en-US"/>
        </w:rPr>
        <w:tab/>
      </w:r>
      <w:r w:rsidR="002D5BB0" w:rsidRPr="00222917">
        <w:rPr>
          <w:lang w:val="en-US"/>
        </w:rPr>
        <w:t xml:space="preserve">The Judicial Research and Training Institute, which is responsible for training those entering the legal profession, offers courses on international human rights law including the Covenant. </w:t>
      </w:r>
    </w:p>
    <w:p w:rsidR="002D5BB0" w:rsidRPr="00222917" w:rsidRDefault="00F67EFA" w:rsidP="00505C89">
      <w:pPr>
        <w:pStyle w:val="H23G"/>
        <w:rPr>
          <w:lang w:val="en-US"/>
        </w:rPr>
      </w:pPr>
      <w:r w:rsidRPr="00222917">
        <w:rPr>
          <w:lang w:val="en-US"/>
        </w:rPr>
        <w:tab/>
      </w:r>
      <w:r w:rsidRPr="00222917">
        <w:rPr>
          <w:lang w:val="en-US"/>
        </w:rPr>
        <w:tab/>
      </w:r>
      <w:r w:rsidR="002D5BB0" w:rsidRPr="00222917">
        <w:rPr>
          <w:lang w:val="en-US"/>
        </w:rPr>
        <w:t xml:space="preserve">Human </w:t>
      </w:r>
      <w:r w:rsidR="00505C89">
        <w:rPr>
          <w:lang w:val="en-US"/>
        </w:rPr>
        <w:t>r</w:t>
      </w:r>
      <w:r w:rsidR="002D5BB0" w:rsidRPr="00222917">
        <w:rPr>
          <w:lang w:val="en-US"/>
        </w:rPr>
        <w:t xml:space="preserve">ights </w:t>
      </w:r>
      <w:r w:rsidR="00505C89">
        <w:rPr>
          <w:lang w:val="en-US"/>
        </w:rPr>
        <w:t>e</w:t>
      </w:r>
      <w:r w:rsidR="002D5BB0" w:rsidRPr="00222917">
        <w:rPr>
          <w:lang w:val="en-US"/>
        </w:rPr>
        <w:t xml:space="preserve">ducation in Schools </w:t>
      </w:r>
    </w:p>
    <w:p w:rsidR="002D5BB0" w:rsidRPr="00222917" w:rsidRDefault="00547908" w:rsidP="00547908">
      <w:pPr>
        <w:pStyle w:val="SingleTxtG"/>
        <w:rPr>
          <w:lang w:val="en-US"/>
        </w:rPr>
      </w:pPr>
      <w:r w:rsidRPr="00222917">
        <w:rPr>
          <w:lang w:val="en-US"/>
        </w:rPr>
        <w:t>14.</w:t>
      </w:r>
      <w:r w:rsidRPr="00222917">
        <w:rPr>
          <w:lang w:val="en-US"/>
        </w:rPr>
        <w:tab/>
      </w:r>
      <w:r w:rsidR="002D5BB0" w:rsidRPr="00222917">
        <w:rPr>
          <w:lang w:val="en-US"/>
        </w:rPr>
        <w:t xml:space="preserve">In 2007, </w:t>
      </w:r>
      <w:r w:rsidR="001451C4" w:rsidRPr="00222917">
        <w:rPr>
          <w:lang w:val="en-US"/>
        </w:rPr>
        <w:t>20</w:t>
      </w:r>
      <w:r w:rsidR="001A2BB2" w:rsidRPr="00222917">
        <w:rPr>
          <w:lang w:val="en-US"/>
        </w:rPr>
        <w:t> </w:t>
      </w:r>
      <w:r w:rsidR="002D5BB0" w:rsidRPr="00222917">
        <w:rPr>
          <w:lang w:val="en-US"/>
        </w:rPr>
        <w:t xml:space="preserve">agencies involved in children’s human rights education, including national government authorities and local offices of education, organized the </w:t>
      </w:r>
      <w:r w:rsidR="001451C4" w:rsidRPr="00222917">
        <w:rPr>
          <w:bCs/>
          <w:lang w:val="en-US"/>
        </w:rPr>
        <w:t>“</w:t>
      </w:r>
      <w:r w:rsidR="002D5BB0" w:rsidRPr="00222917">
        <w:rPr>
          <w:lang w:val="en-US"/>
        </w:rPr>
        <w:t>School Human Rights Education Council</w:t>
      </w:r>
      <w:r w:rsidR="001451C4" w:rsidRPr="00222917">
        <w:rPr>
          <w:lang w:val="en-US"/>
        </w:rPr>
        <w:t>”</w:t>
      </w:r>
      <w:r w:rsidR="002D5BB0" w:rsidRPr="00222917">
        <w:rPr>
          <w:lang w:val="en-US"/>
        </w:rPr>
        <w:t xml:space="preserve"> as a cooperation mechanism among themselves. The</w:t>
      </w:r>
      <w:r w:rsidR="00F67EFA" w:rsidRPr="00222917">
        <w:rPr>
          <w:lang w:val="en-US"/>
        </w:rPr>
        <w:t> </w:t>
      </w:r>
      <w:r w:rsidR="002D5BB0" w:rsidRPr="00222917">
        <w:rPr>
          <w:lang w:val="en-US"/>
        </w:rPr>
        <w:t xml:space="preserve">Government supports pilot human rights education programs at schools, designates hub universities specializing in human rights education research, and expands human rights curricula in universities. In 2009, </w:t>
      </w:r>
      <w:r w:rsidR="00F83934">
        <w:rPr>
          <w:lang w:val="en-US"/>
        </w:rPr>
        <w:t>memorandums of understanding</w:t>
      </w:r>
      <w:r w:rsidR="002D5BB0" w:rsidRPr="00222917">
        <w:rPr>
          <w:lang w:val="en-US"/>
        </w:rPr>
        <w:t xml:space="preserve"> were entered into between hub human rights education research universities and the National Human Rights Commission of Korea, and campaigns for promoting human rights supportive culture at campuses were carried out. As</w:t>
      </w:r>
      <w:r w:rsidR="001451C4" w:rsidRPr="00222917">
        <w:rPr>
          <w:lang w:val="en-US"/>
        </w:rPr>
        <w:t> </w:t>
      </w:r>
      <w:r w:rsidR="004A3006" w:rsidRPr="00222917">
        <w:rPr>
          <w:lang w:val="en-US"/>
        </w:rPr>
        <w:t>of 2009, 50 </w:t>
      </w:r>
      <w:r w:rsidR="002D5BB0" w:rsidRPr="00222917">
        <w:rPr>
          <w:lang w:val="en-US"/>
        </w:rPr>
        <w:t>human rights curricula we</w:t>
      </w:r>
      <w:r w:rsidR="004A3006" w:rsidRPr="00222917">
        <w:rPr>
          <w:lang w:val="en-US"/>
        </w:rPr>
        <w:t>re in operation at 17 </w:t>
      </w:r>
      <w:r w:rsidR="002D5BB0" w:rsidRPr="00222917">
        <w:rPr>
          <w:lang w:val="en-US"/>
        </w:rPr>
        <w:t xml:space="preserve">national and public universities. </w:t>
      </w:r>
    </w:p>
    <w:p w:rsidR="002D5BB0" w:rsidRPr="00222917" w:rsidRDefault="00547908" w:rsidP="00547908">
      <w:pPr>
        <w:pStyle w:val="SingleTxtG"/>
        <w:rPr>
          <w:lang w:val="en-US"/>
        </w:rPr>
      </w:pPr>
      <w:r w:rsidRPr="00222917">
        <w:rPr>
          <w:lang w:val="en-US"/>
        </w:rPr>
        <w:t>15.</w:t>
      </w:r>
      <w:r w:rsidRPr="00222917">
        <w:rPr>
          <w:lang w:val="en-US"/>
        </w:rPr>
        <w:tab/>
      </w:r>
      <w:r w:rsidR="002D5BB0" w:rsidRPr="00222917">
        <w:rPr>
          <w:lang w:val="en-US"/>
        </w:rPr>
        <w:t xml:space="preserve">Human rights education programs at schools targeting teachers and students, provided by the National Human Rights Commission of Korea, entails special lectures on the students’ civil and political rights, right of equality, and right to participation; courses on the Convention on the Rights of the Child; workshops and training courses on promoting human rights supportive environment at schools; and cyber courses to promote understanding of human rights, the Convention on the Rights of the Child and discriminations. Follow-up surveys show 80 to 90% of recipients were satisfied with the courses. </w:t>
      </w:r>
    </w:p>
    <w:p w:rsidR="002D5BB0" w:rsidRPr="00222917" w:rsidRDefault="001451C4" w:rsidP="00505C89">
      <w:pPr>
        <w:pStyle w:val="H1G"/>
        <w:rPr>
          <w:lang w:val="en-US"/>
        </w:rPr>
      </w:pPr>
      <w:r w:rsidRPr="00222917">
        <w:rPr>
          <w:lang w:val="en-US"/>
        </w:rPr>
        <w:tab/>
      </w:r>
      <w:r w:rsidR="008E73D3">
        <w:rPr>
          <w:lang w:val="en-US"/>
        </w:rPr>
        <w:t>E.</w:t>
      </w:r>
      <w:r w:rsidRPr="00222917">
        <w:rPr>
          <w:lang w:val="en-US"/>
        </w:rPr>
        <w:tab/>
      </w:r>
      <w:r w:rsidR="002D5BB0" w:rsidRPr="00222917">
        <w:rPr>
          <w:lang w:val="en-US"/>
        </w:rPr>
        <w:t xml:space="preserve">Compliance of </w:t>
      </w:r>
      <w:r w:rsidR="00505C89">
        <w:rPr>
          <w:lang w:val="en-US"/>
        </w:rPr>
        <w:t>c</w:t>
      </w:r>
      <w:r w:rsidR="002D5BB0" w:rsidRPr="00222917">
        <w:rPr>
          <w:lang w:val="en-US"/>
        </w:rPr>
        <w:t>ounter</w:t>
      </w:r>
      <w:r w:rsidR="00505C89">
        <w:rPr>
          <w:lang w:val="en-US"/>
        </w:rPr>
        <w:t>-t</w:t>
      </w:r>
      <w:r w:rsidR="002D5BB0" w:rsidRPr="00222917">
        <w:rPr>
          <w:lang w:val="en-US"/>
        </w:rPr>
        <w:t xml:space="preserve">errorism </w:t>
      </w:r>
      <w:r w:rsidR="00505C89">
        <w:rPr>
          <w:lang w:val="en-US"/>
        </w:rPr>
        <w:t>l</w:t>
      </w:r>
      <w:r w:rsidR="002D5BB0" w:rsidRPr="00222917">
        <w:rPr>
          <w:lang w:val="en-US"/>
        </w:rPr>
        <w:t>egislation with the Covenant</w:t>
      </w:r>
    </w:p>
    <w:p w:rsidR="002D5BB0" w:rsidRPr="00222917" w:rsidRDefault="00547908" w:rsidP="00547908">
      <w:pPr>
        <w:pStyle w:val="SingleTxtG"/>
        <w:rPr>
          <w:lang w:val="en-US"/>
        </w:rPr>
      </w:pPr>
      <w:r w:rsidRPr="00222917">
        <w:rPr>
          <w:lang w:val="en-US"/>
        </w:rPr>
        <w:t>16.</w:t>
      </w:r>
      <w:r w:rsidRPr="00222917">
        <w:rPr>
          <w:lang w:val="en-US"/>
        </w:rPr>
        <w:tab/>
      </w:r>
      <w:r w:rsidR="002D5BB0" w:rsidRPr="00222917">
        <w:rPr>
          <w:lang w:val="en-US"/>
        </w:rPr>
        <w:t xml:space="preserve">In its consideration of the third report of the </w:t>
      </w:r>
      <w:smartTag w:uri="urn:schemas-microsoft-com:office:smarttags" w:element="place">
        <w:smartTag w:uri="urn:schemas-microsoft-com:office:smarttags" w:element="PlaceType">
          <w:r w:rsidR="002D5BB0" w:rsidRPr="00222917">
            <w:rPr>
              <w:lang w:val="en-US"/>
            </w:rPr>
            <w:t>Republic</w:t>
          </w:r>
        </w:smartTag>
        <w:r w:rsidR="002D5BB0" w:rsidRPr="00222917">
          <w:rPr>
            <w:lang w:val="en-US"/>
          </w:rPr>
          <w:t xml:space="preserve"> of </w:t>
        </w:r>
        <w:smartTag w:uri="urn:schemas-microsoft-com:office:smarttags" w:element="PlaceName">
          <w:r w:rsidR="002D5BB0" w:rsidRPr="00222917">
            <w:rPr>
              <w:lang w:val="en-US"/>
            </w:rPr>
            <w:t>Korea</w:t>
          </w:r>
        </w:smartTag>
      </w:smartTag>
      <w:r w:rsidR="002D5BB0" w:rsidRPr="00222917">
        <w:rPr>
          <w:lang w:val="en-US"/>
        </w:rPr>
        <w:t xml:space="preserve">, the Committee took note of the draft counter-terrorism laws that were before the Legislation and Judiciary Committee of the National Assembly. It recommended that the </w:t>
      </w:r>
      <w:smartTag w:uri="urn:schemas-microsoft-com:office:smarttags" w:element="place">
        <w:smartTag w:uri="urn:schemas-microsoft-com:office:smarttags" w:element="PlaceType">
          <w:r w:rsidR="002D5BB0" w:rsidRPr="00222917">
            <w:rPr>
              <w:bCs/>
              <w:lang w:val="en-US"/>
            </w:rPr>
            <w:t>Republic</w:t>
          </w:r>
        </w:smartTag>
        <w:r w:rsidR="002D5BB0" w:rsidRPr="00222917">
          <w:rPr>
            <w:bCs/>
            <w:lang w:val="en-US"/>
          </w:rPr>
          <w:t xml:space="preserve"> of </w:t>
        </w:r>
        <w:smartTag w:uri="urn:schemas-microsoft-com:office:smarttags" w:element="PlaceName">
          <w:r w:rsidR="002D5BB0" w:rsidRPr="00222917">
            <w:rPr>
              <w:bCs/>
              <w:lang w:val="en-US"/>
            </w:rPr>
            <w:t>Korea</w:t>
          </w:r>
        </w:smartTag>
      </w:smartTag>
      <w:r w:rsidR="002D5BB0" w:rsidRPr="00222917">
        <w:rPr>
          <w:bCs/>
          <w:lang w:val="en-US"/>
        </w:rPr>
        <w:t xml:space="preserve"> should ensure the conformity of all counter-terrorism and related legislative measures with the Covenant and especially the strict conformity of the national rules concerning the interception of communications, searches, detention, and deportation with the relevant Covenant provisions. The Committee also recommended that the </w:t>
      </w:r>
      <w:smartTag w:uri="urn:schemas-microsoft-com:office:smarttags" w:element="place">
        <w:smartTag w:uri="urn:schemas-microsoft-com:office:smarttags" w:element="PlaceType">
          <w:r w:rsidR="002D5BB0" w:rsidRPr="00222917">
            <w:rPr>
              <w:bCs/>
              <w:lang w:val="en-US"/>
            </w:rPr>
            <w:t>Republic</w:t>
          </w:r>
        </w:smartTag>
        <w:r w:rsidR="002D5BB0" w:rsidRPr="00222917">
          <w:rPr>
            <w:bCs/>
            <w:lang w:val="en-US"/>
          </w:rPr>
          <w:t xml:space="preserve"> of </w:t>
        </w:r>
        <w:smartTag w:uri="urn:schemas-microsoft-com:office:smarttags" w:element="PlaceName">
          <w:r w:rsidR="002D5BB0" w:rsidRPr="00222917">
            <w:rPr>
              <w:bCs/>
              <w:lang w:val="en-US"/>
            </w:rPr>
            <w:t>Korea</w:t>
          </w:r>
        </w:smartTag>
      </w:smartTag>
      <w:r w:rsidR="002D5BB0" w:rsidRPr="00222917">
        <w:rPr>
          <w:bCs/>
          <w:lang w:val="en-US"/>
        </w:rPr>
        <w:t xml:space="preserve"> should introduce a definition of “terrorist acts” in its domestic legislation</w:t>
      </w:r>
      <w:r w:rsidR="001451C4" w:rsidRPr="00222917">
        <w:rPr>
          <w:lang w:val="en-US"/>
        </w:rPr>
        <w:t xml:space="preserve"> (CCPR/C/KOR/CO/3, para. </w:t>
      </w:r>
      <w:r w:rsidR="002D5BB0" w:rsidRPr="00222917">
        <w:rPr>
          <w:lang w:val="en-US"/>
        </w:rPr>
        <w:t xml:space="preserve">9). </w:t>
      </w:r>
    </w:p>
    <w:p w:rsidR="002D5BB0" w:rsidRPr="00222917" w:rsidRDefault="00547908" w:rsidP="00547908">
      <w:pPr>
        <w:pStyle w:val="SingleTxtG"/>
        <w:rPr>
          <w:lang w:val="en-US"/>
        </w:rPr>
      </w:pPr>
      <w:r w:rsidRPr="00222917">
        <w:rPr>
          <w:lang w:val="en-US"/>
        </w:rPr>
        <w:t>17.</w:t>
      </w:r>
      <w:r w:rsidRPr="00222917">
        <w:rPr>
          <w:lang w:val="en-US"/>
        </w:rPr>
        <w:tab/>
      </w:r>
      <w:r w:rsidR="002D5BB0" w:rsidRPr="00222917">
        <w:rPr>
          <w:lang w:val="en-US"/>
        </w:rPr>
        <w:t>The draft counter-terrorism laws mentioned at the time of consideration of the third report were scrapped with the expiration of the 16th session</w:t>
      </w:r>
      <w:r w:rsidR="00F662F0" w:rsidRPr="00222917">
        <w:rPr>
          <w:lang w:val="en-US"/>
        </w:rPr>
        <w:t xml:space="preserve"> of the National Assembly on 29 </w:t>
      </w:r>
      <w:r w:rsidR="002D5BB0" w:rsidRPr="00222917">
        <w:rPr>
          <w:lang w:val="en-US"/>
        </w:rPr>
        <w:t>May 2004. The 17</w:t>
      </w:r>
      <w:r w:rsidR="002D5BB0" w:rsidRPr="00222917">
        <w:rPr>
          <w:vertAlign w:val="superscript"/>
          <w:lang w:val="en-US"/>
        </w:rPr>
        <w:t>th</w:t>
      </w:r>
      <w:r w:rsidR="002D5BB0" w:rsidRPr="00222917">
        <w:rPr>
          <w:lang w:val="en-US"/>
        </w:rPr>
        <w:t xml:space="preserve"> session of the National Assembly witnessed introduction of three draft laws on terrorism including the draft Act on Prevention of and Response to Terrorism. All were dropped entirely due to the expiration of the session on 29 May 2008. </w:t>
      </w:r>
    </w:p>
    <w:p w:rsidR="002D5BB0" w:rsidRPr="00222917" w:rsidRDefault="00547908" w:rsidP="00547908">
      <w:pPr>
        <w:pStyle w:val="SingleTxtG"/>
        <w:rPr>
          <w:lang w:val="en-US"/>
        </w:rPr>
      </w:pPr>
      <w:r w:rsidRPr="00222917">
        <w:rPr>
          <w:lang w:val="en-US"/>
        </w:rPr>
        <w:t>18.</w:t>
      </w:r>
      <w:r w:rsidRPr="00222917">
        <w:rPr>
          <w:lang w:val="en-US"/>
        </w:rPr>
        <w:tab/>
      </w:r>
      <w:r w:rsidR="002D5BB0" w:rsidRPr="00222917">
        <w:rPr>
          <w:lang w:val="en-US"/>
        </w:rPr>
        <w:t>At the 18</w:t>
      </w:r>
      <w:r w:rsidR="002D5BB0" w:rsidRPr="00222917">
        <w:rPr>
          <w:vertAlign w:val="superscript"/>
          <w:lang w:val="en-US"/>
        </w:rPr>
        <w:t>th</w:t>
      </w:r>
      <w:r w:rsidR="002D5BB0" w:rsidRPr="00222917">
        <w:rPr>
          <w:lang w:val="en-US"/>
        </w:rPr>
        <w:t xml:space="preserve"> National Assembly, the draft Basic Act on State Counter-Terrorism Activities and the draft Act on Prevention of and Response to Terrorism were proposed. Both bills contain the definition of the act of terrorism, identified as crimes in international and domestic laws. They also provide strict procedures designed to prevent violations of basic human rights in counterterrorism measures. Proper discussion is expected to be held with regard to the definition of the act of terrorism </w:t>
      </w:r>
      <w:r w:rsidR="002D5BB0" w:rsidRPr="00222917">
        <w:rPr>
          <w:bCs/>
          <w:lang w:val="en-US"/>
        </w:rPr>
        <w:t>and</w:t>
      </w:r>
      <w:r w:rsidR="002D5BB0" w:rsidRPr="00222917">
        <w:rPr>
          <w:lang w:val="en-US"/>
        </w:rPr>
        <w:t xml:space="preserve"> state responsibility to protect human rights in the course of counterterrorism measures. </w:t>
      </w:r>
    </w:p>
    <w:p w:rsidR="002D5BB0" w:rsidRPr="00222917" w:rsidRDefault="00547908" w:rsidP="00547908">
      <w:pPr>
        <w:pStyle w:val="SingleTxtG"/>
        <w:rPr>
          <w:lang w:val="en-US"/>
        </w:rPr>
      </w:pPr>
      <w:r w:rsidRPr="00222917">
        <w:rPr>
          <w:lang w:val="en-US"/>
        </w:rPr>
        <w:t>19.</w:t>
      </w:r>
      <w:r w:rsidRPr="00222917">
        <w:rPr>
          <w:lang w:val="en-US"/>
        </w:rPr>
        <w:tab/>
      </w:r>
      <w:r w:rsidR="002D5BB0" w:rsidRPr="00222917">
        <w:rPr>
          <w:lang w:val="en-US"/>
        </w:rPr>
        <w:t xml:space="preserve">As of 2010, the </w:t>
      </w:r>
      <w:smartTag w:uri="urn:schemas-microsoft-com:office:smarttags" w:element="place">
        <w:smartTag w:uri="urn:schemas-microsoft-com:office:smarttags" w:element="PlaceType">
          <w:r w:rsidR="002D5BB0" w:rsidRPr="00222917">
            <w:rPr>
              <w:lang w:val="en-US"/>
            </w:rPr>
            <w:t>Republic</w:t>
          </w:r>
        </w:smartTag>
        <w:r w:rsidR="002D5BB0" w:rsidRPr="00222917">
          <w:rPr>
            <w:lang w:val="en-US"/>
          </w:rPr>
          <w:t xml:space="preserve"> of </w:t>
        </w:r>
        <w:smartTag w:uri="urn:schemas-microsoft-com:office:smarttags" w:element="PlaceName">
          <w:r w:rsidR="002D5BB0" w:rsidRPr="00222917">
            <w:rPr>
              <w:lang w:val="en-US"/>
            </w:rPr>
            <w:t>Korea</w:t>
          </w:r>
        </w:smartTag>
      </w:smartTag>
      <w:r w:rsidR="002D5BB0" w:rsidRPr="00222917">
        <w:rPr>
          <w:lang w:val="en-US"/>
        </w:rPr>
        <w:t xml:space="preserve"> has no legislation on counter-terrorism, but the Guidelines on State Counter-Terrorism Activities exist as an administrative regulation. The definition of terrorist acts in the Guidelines is in accordance with international law, including the Convention on the Prevention and Punishment of Crimes against Internationally Protected Persons</w:t>
      </w:r>
      <w:r w:rsidR="00436CE6" w:rsidRPr="00222917">
        <w:rPr>
          <w:lang w:val="en-US"/>
        </w:rPr>
        <w:t>,</w:t>
      </w:r>
      <w:r w:rsidR="002D5BB0" w:rsidRPr="00222917">
        <w:rPr>
          <w:lang w:val="en-US"/>
        </w:rPr>
        <w:t xml:space="preserve"> </w:t>
      </w:r>
      <w:r w:rsidR="00436CE6" w:rsidRPr="00222917">
        <w:rPr>
          <w:lang w:val="en-US"/>
        </w:rPr>
        <w:t>i</w:t>
      </w:r>
      <w:r w:rsidR="002D5BB0" w:rsidRPr="00222917">
        <w:rPr>
          <w:lang w:val="en-US"/>
        </w:rPr>
        <w:t xml:space="preserve">ncluding Diplomatic Agents and the International </w:t>
      </w:r>
      <w:r w:rsidR="002D5BB0" w:rsidRPr="00222917">
        <w:rPr>
          <w:bCs/>
          <w:lang w:val="en-US"/>
        </w:rPr>
        <w:t>Convention</w:t>
      </w:r>
      <w:r w:rsidR="002D5BB0" w:rsidRPr="00222917">
        <w:rPr>
          <w:lang w:val="en-US"/>
        </w:rPr>
        <w:t xml:space="preserve"> against the Taking of Hostages. In addition to basic direction on counter-terrorism measures, the establishment and operation of counterterrorism agencies including the </w:t>
      </w:r>
      <w:smartTag w:uri="urn:schemas-microsoft-com:office:smarttags" w:element="place">
        <w:smartTag w:uri="urn:schemas-microsoft-com:office:smarttags" w:element="PlaceName">
          <w:r w:rsidR="002D5BB0" w:rsidRPr="00222917">
            <w:rPr>
              <w:lang w:val="en-US"/>
            </w:rPr>
            <w:t>Terrorism</w:t>
          </w:r>
        </w:smartTag>
        <w:r w:rsidR="002D5BB0" w:rsidRPr="00222917">
          <w:rPr>
            <w:lang w:val="en-US"/>
          </w:rPr>
          <w:t xml:space="preserve"> </w:t>
        </w:r>
        <w:smartTag w:uri="urn:schemas-microsoft-com:office:smarttags" w:element="PlaceName">
          <w:r w:rsidR="002D5BB0" w:rsidRPr="00222917">
            <w:rPr>
              <w:lang w:val="en-US"/>
            </w:rPr>
            <w:t>Information</w:t>
          </w:r>
        </w:smartTag>
        <w:r w:rsidR="002D5BB0" w:rsidRPr="00222917">
          <w:rPr>
            <w:lang w:val="en-US"/>
          </w:rPr>
          <w:t xml:space="preserve"> </w:t>
        </w:r>
        <w:smartTag w:uri="urn:schemas-microsoft-com:office:smarttags" w:element="PlaceName">
          <w:r w:rsidR="002D5BB0" w:rsidRPr="00222917">
            <w:rPr>
              <w:lang w:val="en-US"/>
            </w:rPr>
            <w:t>Integration</w:t>
          </w:r>
        </w:smartTag>
        <w:r w:rsidR="002D5BB0" w:rsidRPr="00222917">
          <w:rPr>
            <w:lang w:val="en-US"/>
          </w:rPr>
          <w:t xml:space="preserve"> </w:t>
        </w:r>
        <w:smartTag w:uri="urn:schemas-microsoft-com:office:smarttags" w:element="PlaceType">
          <w:r w:rsidR="002D5BB0" w:rsidRPr="00222917">
            <w:rPr>
              <w:lang w:val="en-US"/>
            </w:rPr>
            <w:t>Center</w:t>
          </w:r>
        </w:smartTag>
      </w:smartTag>
      <w:r w:rsidR="002D5BB0" w:rsidRPr="00222917">
        <w:rPr>
          <w:lang w:val="en-US"/>
        </w:rPr>
        <w:t>, on-site command headquarters, and counter-terrorism squads is also regulated. However, it does not contain any provision on searches, detention, and deportation.</w:t>
      </w:r>
      <w:r w:rsidR="00120D8B" w:rsidRPr="00222917">
        <w:rPr>
          <w:lang w:val="en-US"/>
        </w:rPr>
        <w:t xml:space="preserve"> </w:t>
      </w:r>
    </w:p>
    <w:p w:rsidR="002D5BB0" w:rsidRPr="00222917" w:rsidRDefault="009C53BB" w:rsidP="008E73D3">
      <w:pPr>
        <w:pStyle w:val="H1G"/>
        <w:rPr>
          <w:lang w:val="en-US"/>
        </w:rPr>
      </w:pPr>
      <w:r w:rsidRPr="00222917">
        <w:rPr>
          <w:lang w:val="en-US"/>
        </w:rPr>
        <w:tab/>
      </w:r>
      <w:r w:rsidR="008E73D3">
        <w:rPr>
          <w:lang w:val="en-US"/>
        </w:rPr>
        <w:t>F.</w:t>
      </w:r>
      <w:r w:rsidRPr="00222917">
        <w:rPr>
          <w:lang w:val="en-US"/>
        </w:rPr>
        <w:tab/>
      </w:r>
      <w:r w:rsidR="002D5BB0" w:rsidRPr="00222917">
        <w:rPr>
          <w:lang w:val="en-US"/>
        </w:rPr>
        <w:t>Work of the Na</w:t>
      </w:r>
      <w:r w:rsidRPr="00222917">
        <w:rPr>
          <w:lang w:val="en-US"/>
        </w:rPr>
        <w:t>tional Human Rights Institution</w:t>
      </w:r>
    </w:p>
    <w:p w:rsidR="002D5BB0" w:rsidRPr="00222917" w:rsidRDefault="00547908" w:rsidP="00547908">
      <w:pPr>
        <w:pStyle w:val="SingleTxtG"/>
        <w:rPr>
          <w:lang w:val="en-US"/>
        </w:rPr>
      </w:pPr>
      <w:r w:rsidRPr="00222917">
        <w:rPr>
          <w:lang w:val="en-US"/>
        </w:rPr>
        <w:t>20.</w:t>
      </w:r>
      <w:r w:rsidRPr="00222917">
        <w:rPr>
          <w:lang w:val="en-US"/>
        </w:rPr>
        <w:tab/>
      </w:r>
      <w:r w:rsidR="002D5BB0" w:rsidRPr="00222917">
        <w:rPr>
          <w:lang w:val="en-US"/>
        </w:rPr>
        <w:t>As explained in the third report, the National Hum</w:t>
      </w:r>
      <w:r w:rsidR="006A6ADD" w:rsidRPr="00222917">
        <w:rPr>
          <w:lang w:val="en-US"/>
        </w:rPr>
        <w:t xml:space="preserve">an Rights Commission of Korea, </w:t>
      </w:r>
      <w:r w:rsidR="002D5BB0" w:rsidRPr="00222917">
        <w:rPr>
          <w:lang w:val="en-US"/>
        </w:rPr>
        <w:t xml:space="preserve">established according to the </w:t>
      </w:r>
      <w:r w:rsidR="002D5BB0" w:rsidRPr="00222917">
        <w:rPr>
          <w:iCs/>
          <w:lang w:val="en-US"/>
        </w:rPr>
        <w:t>Paris Principles</w:t>
      </w:r>
      <w:r w:rsidR="002D5BB0" w:rsidRPr="00222917">
        <w:rPr>
          <w:lang w:val="en-US"/>
        </w:rPr>
        <w:t xml:space="preserve">, undertakes investigations, research and surveys, issues opinions, and works on complaints in the field of human </w:t>
      </w:r>
      <w:r w:rsidR="009C53BB" w:rsidRPr="00222917">
        <w:rPr>
          <w:lang w:val="en-US"/>
        </w:rPr>
        <w:t>rights</w:t>
      </w:r>
      <w:r w:rsidR="0059738D" w:rsidRPr="00222917">
        <w:rPr>
          <w:lang w:val="en-US"/>
        </w:rPr>
        <w:t xml:space="preserve"> </w:t>
      </w:r>
      <w:r w:rsidR="009C53BB" w:rsidRPr="00222917">
        <w:rPr>
          <w:lang w:val="en-US"/>
        </w:rPr>
        <w:t>(CCPR/C/KOR/2005/3, paras. 4-</w:t>
      </w:r>
      <w:r w:rsidR="00B51F2A" w:rsidRPr="00222917">
        <w:rPr>
          <w:lang w:val="en-US"/>
        </w:rPr>
        <w:t>9). A total of 43,232 </w:t>
      </w:r>
      <w:r w:rsidR="002D5BB0" w:rsidRPr="00222917">
        <w:rPr>
          <w:lang w:val="en-US"/>
        </w:rPr>
        <w:t>complaints had reached the Commission by 2010 since its launch in November 2001, of which 33,799</w:t>
      </w:r>
      <w:r w:rsidR="004A3006" w:rsidRPr="00222917">
        <w:rPr>
          <w:lang w:val="en-US"/>
        </w:rPr>
        <w:t> </w:t>
      </w:r>
      <w:r w:rsidR="002D5BB0" w:rsidRPr="00222917">
        <w:rPr>
          <w:lang w:val="en-US"/>
        </w:rPr>
        <w:t xml:space="preserve">complaints (78.2%) concerned </w:t>
      </w:r>
      <w:r w:rsidR="002D5BB0" w:rsidRPr="00222917">
        <w:rPr>
          <w:bCs/>
          <w:lang w:val="en-US"/>
        </w:rPr>
        <w:t>human</w:t>
      </w:r>
      <w:r w:rsidR="00B51F2A" w:rsidRPr="00222917">
        <w:rPr>
          <w:lang w:val="en-US"/>
        </w:rPr>
        <w:t xml:space="preserve"> rights violations, 5,380 </w:t>
      </w:r>
      <w:r w:rsidR="002D5BB0" w:rsidRPr="00222917">
        <w:rPr>
          <w:lang w:val="en-US"/>
        </w:rPr>
        <w:t>complaints (1</w:t>
      </w:r>
      <w:r w:rsidR="00B51F2A" w:rsidRPr="00222917">
        <w:rPr>
          <w:lang w:val="en-US"/>
        </w:rPr>
        <w:t>9.3%) discrimination, and 1,790 </w:t>
      </w:r>
      <w:r w:rsidR="002D5BB0" w:rsidRPr="00222917">
        <w:rPr>
          <w:lang w:val="en-US"/>
        </w:rPr>
        <w:t xml:space="preserve">complaints (2.5%) other issues. The number of cases involving human rights violations and discriminatory acts handled by the Commission has been on the steady rise since 2005. </w:t>
      </w:r>
    </w:p>
    <w:p w:rsidR="002D5BB0" w:rsidRPr="00222917" w:rsidRDefault="006A6ADD" w:rsidP="006A6ADD">
      <w:pPr>
        <w:pStyle w:val="H23G"/>
        <w:rPr>
          <w:b w:val="0"/>
          <w:sz w:val="16"/>
          <w:szCs w:val="16"/>
          <w:lang w:val="en-US"/>
        </w:rPr>
      </w:pPr>
      <w:r w:rsidRPr="00222917">
        <w:rPr>
          <w:lang w:val="en-US"/>
        </w:rPr>
        <w:tab/>
      </w:r>
      <w:r w:rsidRPr="00222917">
        <w:rPr>
          <w:lang w:val="en-US"/>
        </w:rPr>
        <w:tab/>
      </w:r>
      <w:r w:rsidR="002D5BB0" w:rsidRPr="00222917">
        <w:rPr>
          <w:lang w:val="en-US"/>
        </w:rPr>
        <w:t xml:space="preserve">Complaints Handling by the National Human Rights Commission of </w:t>
      </w:r>
      <w:smartTag w:uri="urn:schemas-microsoft-com:office:smarttags" w:element="place">
        <w:smartTag w:uri="urn:schemas-microsoft-com:office:smarttags" w:element="country-region">
          <w:r w:rsidR="002D5BB0" w:rsidRPr="00222917">
            <w:rPr>
              <w:lang w:val="en-US"/>
            </w:rPr>
            <w:t>Korea</w:t>
          </w:r>
        </w:smartTag>
      </w:smartTag>
      <w:r w:rsidRPr="00222917">
        <w:rPr>
          <w:lang w:val="en-US"/>
        </w:rPr>
        <w:br/>
      </w:r>
      <w:r w:rsidR="002D5BB0" w:rsidRPr="00222917">
        <w:rPr>
          <w:b w:val="0"/>
          <w:sz w:val="16"/>
          <w:szCs w:val="16"/>
          <w:lang w:val="en-US"/>
        </w:rPr>
        <w:t>(Number of cases)</w:t>
      </w:r>
    </w:p>
    <w:tbl>
      <w:tblPr>
        <w:tblW w:w="8505" w:type="dxa"/>
        <w:tblInd w:w="1134" w:type="dxa"/>
        <w:tblLayout w:type="fixed"/>
        <w:tblCellMar>
          <w:left w:w="0" w:type="dxa"/>
          <w:right w:w="0" w:type="dxa"/>
        </w:tblCellMar>
        <w:tblLook w:val="0000"/>
      </w:tblPr>
      <w:tblGrid>
        <w:gridCol w:w="1134"/>
        <w:gridCol w:w="1134"/>
        <w:gridCol w:w="1701"/>
        <w:gridCol w:w="567"/>
        <w:gridCol w:w="567"/>
        <w:gridCol w:w="567"/>
        <w:gridCol w:w="567"/>
        <w:gridCol w:w="567"/>
        <w:gridCol w:w="567"/>
        <w:gridCol w:w="567"/>
        <w:gridCol w:w="567"/>
      </w:tblGrid>
      <w:tr w:rsidR="006E1F63" w:rsidRPr="00222917" w:rsidTr="00F662F0">
        <w:trPr>
          <w:trHeight w:val="240"/>
          <w:tblHeader/>
        </w:trPr>
        <w:tc>
          <w:tcPr>
            <w:tcW w:w="1134" w:type="dxa"/>
            <w:tcBorders>
              <w:top w:val="single" w:sz="4" w:space="0" w:color="000000"/>
              <w:bottom w:val="single" w:sz="12" w:space="0" w:color="000000"/>
            </w:tcBorders>
            <w:shd w:val="clear" w:color="auto" w:fill="auto"/>
          </w:tcPr>
          <w:p w:rsidR="006E1F63" w:rsidRPr="00222917" w:rsidRDefault="006E1F63" w:rsidP="00D17669">
            <w:pPr>
              <w:suppressAutoHyphens w:val="0"/>
              <w:snapToGrid w:val="0"/>
              <w:spacing w:before="80" w:after="80" w:line="180" w:lineRule="exact"/>
              <w:rPr>
                <w:rFonts w:eastAsia="Gulim"/>
                <w:i/>
                <w:sz w:val="14"/>
                <w:szCs w:val="14"/>
                <w:lang w:val="en-US"/>
              </w:rPr>
            </w:pPr>
            <w:r w:rsidRPr="00222917">
              <w:rPr>
                <w:rFonts w:eastAsia="Gulim"/>
                <w:i/>
                <w:sz w:val="14"/>
                <w:szCs w:val="14"/>
                <w:lang w:val="en-US"/>
              </w:rPr>
              <w:t>Description</w:t>
            </w:r>
          </w:p>
        </w:tc>
        <w:tc>
          <w:tcPr>
            <w:tcW w:w="1134" w:type="dxa"/>
            <w:tcBorders>
              <w:top w:val="single" w:sz="4" w:space="0" w:color="000000"/>
              <w:bottom w:val="single" w:sz="12" w:space="0" w:color="000000"/>
            </w:tcBorders>
            <w:shd w:val="clear" w:color="auto" w:fill="auto"/>
          </w:tcPr>
          <w:p w:rsidR="006E1F63" w:rsidRPr="00222917" w:rsidRDefault="006E1F63" w:rsidP="00D17669">
            <w:pPr>
              <w:suppressAutoHyphens w:val="0"/>
              <w:snapToGrid w:val="0"/>
              <w:spacing w:before="80" w:after="80" w:line="180" w:lineRule="exact"/>
              <w:rPr>
                <w:rFonts w:eastAsia="Gulim"/>
                <w:i/>
                <w:sz w:val="14"/>
                <w:szCs w:val="14"/>
                <w:lang w:val="en-US"/>
              </w:rPr>
            </w:pPr>
            <w:r w:rsidRPr="00222917">
              <w:rPr>
                <w:rFonts w:eastAsia="Gulim"/>
                <w:i/>
                <w:sz w:val="14"/>
                <w:szCs w:val="14"/>
                <w:lang w:val="en-US"/>
              </w:rPr>
              <w:t>Decisions</w:t>
            </w:r>
          </w:p>
        </w:tc>
        <w:tc>
          <w:tcPr>
            <w:tcW w:w="1701" w:type="dxa"/>
            <w:tcBorders>
              <w:top w:val="single" w:sz="4" w:space="0" w:color="000000"/>
              <w:bottom w:val="single" w:sz="12" w:space="0" w:color="000000"/>
            </w:tcBorders>
            <w:shd w:val="clear" w:color="auto" w:fill="auto"/>
          </w:tcPr>
          <w:p w:rsidR="006E1F63" w:rsidRPr="00222917" w:rsidRDefault="006E1F63" w:rsidP="00D17669">
            <w:pPr>
              <w:suppressAutoHyphens w:val="0"/>
              <w:snapToGrid w:val="0"/>
              <w:spacing w:before="80" w:after="80" w:line="180" w:lineRule="exact"/>
              <w:rPr>
                <w:rFonts w:eastAsia="Gulim"/>
                <w:i/>
                <w:sz w:val="14"/>
                <w:szCs w:val="14"/>
                <w:lang w:val="en-US"/>
              </w:rPr>
            </w:pPr>
            <w:r w:rsidRPr="00222917">
              <w:rPr>
                <w:rFonts w:eastAsia="Gulim"/>
                <w:i/>
                <w:sz w:val="14"/>
                <w:szCs w:val="14"/>
                <w:lang w:val="en-US"/>
              </w:rPr>
              <w:t>Institutions</w:t>
            </w:r>
          </w:p>
        </w:tc>
        <w:tc>
          <w:tcPr>
            <w:tcW w:w="567" w:type="dxa"/>
            <w:tcBorders>
              <w:top w:val="single" w:sz="4" w:space="0" w:color="000000"/>
              <w:bottom w:val="single" w:sz="12" w:space="0" w:color="000000"/>
            </w:tcBorders>
            <w:shd w:val="clear" w:color="auto" w:fill="auto"/>
          </w:tcPr>
          <w:p w:rsidR="006E1F63" w:rsidRPr="00222917" w:rsidRDefault="006E1F63" w:rsidP="00D17669">
            <w:pPr>
              <w:suppressAutoHyphens w:val="0"/>
              <w:snapToGrid w:val="0"/>
              <w:spacing w:before="80" w:after="80" w:line="180" w:lineRule="exact"/>
              <w:jc w:val="right"/>
              <w:rPr>
                <w:rFonts w:eastAsia="Gulim"/>
                <w:b/>
                <w:i/>
                <w:sz w:val="14"/>
                <w:szCs w:val="14"/>
                <w:lang w:val="en-US"/>
              </w:rPr>
            </w:pPr>
            <w:r w:rsidRPr="00222917">
              <w:rPr>
                <w:rFonts w:eastAsia="Gulim"/>
                <w:b/>
                <w:i/>
                <w:sz w:val="14"/>
                <w:szCs w:val="14"/>
                <w:lang w:val="en-US"/>
              </w:rPr>
              <w:t>Total</w:t>
            </w:r>
          </w:p>
        </w:tc>
        <w:tc>
          <w:tcPr>
            <w:tcW w:w="567" w:type="dxa"/>
            <w:tcBorders>
              <w:top w:val="single" w:sz="4" w:space="0" w:color="000000"/>
              <w:bottom w:val="single" w:sz="12" w:space="0" w:color="000000"/>
            </w:tcBorders>
            <w:shd w:val="clear" w:color="auto" w:fill="auto"/>
          </w:tcPr>
          <w:p w:rsidR="006E1F63" w:rsidRPr="00222917" w:rsidRDefault="006E1F63" w:rsidP="00D17669">
            <w:pPr>
              <w:suppressAutoHyphens w:val="0"/>
              <w:snapToGrid w:val="0"/>
              <w:spacing w:before="80" w:after="80" w:line="180" w:lineRule="exact"/>
              <w:jc w:val="right"/>
              <w:rPr>
                <w:rFonts w:eastAsia="Gulim"/>
                <w:i/>
                <w:sz w:val="14"/>
                <w:szCs w:val="14"/>
                <w:lang w:val="en-US"/>
              </w:rPr>
            </w:pPr>
            <w:r w:rsidRPr="00222917">
              <w:rPr>
                <w:rFonts w:eastAsia="Gulim"/>
                <w:i/>
                <w:sz w:val="14"/>
                <w:szCs w:val="14"/>
                <w:lang w:val="en-US"/>
              </w:rPr>
              <w:t>2004</w:t>
            </w:r>
          </w:p>
        </w:tc>
        <w:tc>
          <w:tcPr>
            <w:tcW w:w="567" w:type="dxa"/>
            <w:tcBorders>
              <w:top w:val="single" w:sz="4" w:space="0" w:color="000000"/>
              <w:bottom w:val="single" w:sz="12" w:space="0" w:color="000000"/>
            </w:tcBorders>
            <w:shd w:val="clear" w:color="auto" w:fill="auto"/>
          </w:tcPr>
          <w:p w:rsidR="006E1F63" w:rsidRPr="00222917" w:rsidRDefault="006E1F63" w:rsidP="00D17669">
            <w:pPr>
              <w:suppressAutoHyphens w:val="0"/>
              <w:snapToGrid w:val="0"/>
              <w:spacing w:before="80" w:after="80" w:line="180" w:lineRule="exact"/>
              <w:jc w:val="right"/>
              <w:rPr>
                <w:rFonts w:eastAsia="Gulim"/>
                <w:i/>
                <w:sz w:val="14"/>
                <w:szCs w:val="14"/>
                <w:lang w:val="en-US"/>
              </w:rPr>
            </w:pPr>
            <w:r w:rsidRPr="00222917">
              <w:rPr>
                <w:rFonts w:eastAsia="Gulim"/>
                <w:i/>
                <w:sz w:val="14"/>
                <w:szCs w:val="14"/>
                <w:lang w:val="en-US"/>
              </w:rPr>
              <w:t>2005</w:t>
            </w:r>
          </w:p>
        </w:tc>
        <w:tc>
          <w:tcPr>
            <w:tcW w:w="567" w:type="dxa"/>
            <w:tcBorders>
              <w:top w:val="single" w:sz="4" w:space="0" w:color="000000"/>
              <w:bottom w:val="single" w:sz="12" w:space="0" w:color="000000"/>
            </w:tcBorders>
            <w:shd w:val="clear" w:color="auto" w:fill="auto"/>
          </w:tcPr>
          <w:p w:rsidR="006E1F63" w:rsidRPr="00222917" w:rsidRDefault="006E1F63" w:rsidP="00D17669">
            <w:pPr>
              <w:suppressAutoHyphens w:val="0"/>
              <w:snapToGrid w:val="0"/>
              <w:spacing w:before="80" w:after="80" w:line="180" w:lineRule="exact"/>
              <w:jc w:val="right"/>
              <w:rPr>
                <w:rFonts w:eastAsia="Gulim"/>
                <w:i/>
                <w:sz w:val="14"/>
                <w:szCs w:val="14"/>
                <w:lang w:val="en-US"/>
              </w:rPr>
            </w:pPr>
            <w:r w:rsidRPr="00222917">
              <w:rPr>
                <w:rFonts w:eastAsia="Gulim"/>
                <w:i/>
                <w:sz w:val="14"/>
                <w:szCs w:val="14"/>
                <w:lang w:val="en-US"/>
              </w:rPr>
              <w:t>2006</w:t>
            </w:r>
          </w:p>
        </w:tc>
        <w:tc>
          <w:tcPr>
            <w:tcW w:w="567" w:type="dxa"/>
            <w:tcBorders>
              <w:top w:val="single" w:sz="4" w:space="0" w:color="000000"/>
              <w:bottom w:val="single" w:sz="12" w:space="0" w:color="000000"/>
            </w:tcBorders>
            <w:shd w:val="clear" w:color="auto" w:fill="auto"/>
          </w:tcPr>
          <w:p w:rsidR="006E1F63" w:rsidRPr="00222917" w:rsidRDefault="006E1F63" w:rsidP="00D17669">
            <w:pPr>
              <w:suppressAutoHyphens w:val="0"/>
              <w:snapToGrid w:val="0"/>
              <w:spacing w:before="80" w:after="80" w:line="180" w:lineRule="exact"/>
              <w:jc w:val="right"/>
              <w:rPr>
                <w:rFonts w:eastAsia="Gulim"/>
                <w:i/>
                <w:sz w:val="14"/>
                <w:szCs w:val="14"/>
                <w:lang w:val="en-US"/>
              </w:rPr>
            </w:pPr>
            <w:r w:rsidRPr="00222917">
              <w:rPr>
                <w:rFonts w:eastAsia="Gulim"/>
                <w:i/>
                <w:sz w:val="14"/>
                <w:szCs w:val="14"/>
                <w:lang w:val="en-US"/>
              </w:rPr>
              <w:t>2007</w:t>
            </w:r>
          </w:p>
        </w:tc>
        <w:tc>
          <w:tcPr>
            <w:tcW w:w="567" w:type="dxa"/>
            <w:tcBorders>
              <w:top w:val="single" w:sz="4" w:space="0" w:color="000000"/>
              <w:bottom w:val="single" w:sz="12" w:space="0" w:color="000000"/>
            </w:tcBorders>
            <w:shd w:val="clear" w:color="auto" w:fill="auto"/>
          </w:tcPr>
          <w:p w:rsidR="006E1F63" w:rsidRPr="00222917" w:rsidRDefault="006E1F63" w:rsidP="00D17669">
            <w:pPr>
              <w:suppressAutoHyphens w:val="0"/>
              <w:snapToGrid w:val="0"/>
              <w:spacing w:before="80" w:after="80" w:line="180" w:lineRule="exact"/>
              <w:jc w:val="right"/>
              <w:rPr>
                <w:rFonts w:eastAsia="Gulim"/>
                <w:i/>
                <w:sz w:val="14"/>
                <w:szCs w:val="14"/>
                <w:lang w:val="en-US"/>
              </w:rPr>
            </w:pPr>
            <w:r w:rsidRPr="00222917">
              <w:rPr>
                <w:rFonts w:eastAsia="Gulim"/>
                <w:i/>
                <w:sz w:val="14"/>
                <w:szCs w:val="14"/>
                <w:lang w:val="en-US"/>
              </w:rPr>
              <w:t>2008</w:t>
            </w:r>
          </w:p>
        </w:tc>
        <w:tc>
          <w:tcPr>
            <w:tcW w:w="567" w:type="dxa"/>
            <w:tcBorders>
              <w:top w:val="single" w:sz="4" w:space="0" w:color="000000"/>
              <w:bottom w:val="single" w:sz="12" w:space="0" w:color="000000"/>
            </w:tcBorders>
            <w:shd w:val="clear" w:color="auto" w:fill="auto"/>
          </w:tcPr>
          <w:p w:rsidR="006E1F63" w:rsidRPr="00222917" w:rsidRDefault="006E1F63" w:rsidP="00D17669">
            <w:pPr>
              <w:suppressAutoHyphens w:val="0"/>
              <w:snapToGrid w:val="0"/>
              <w:spacing w:before="80" w:after="80" w:line="180" w:lineRule="exact"/>
              <w:jc w:val="right"/>
              <w:rPr>
                <w:rFonts w:eastAsia="Gulim"/>
                <w:i/>
                <w:sz w:val="14"/>
                <w:szCs w:val="14"/>
                <w:lang w:val="en-US"/>
              </w:rPr>
            </w:pPr>
            <w:r w:rsidRPr="00222917">
              <w:rPr>
                <w:rFonts w:eastAsia="Gulim"/>
                <w:i/>
                <w:sz w:val="14"/>
                <w:szCs w:val="14"/>
                <w:lang w:val="en-US"/>
              </w:rPr>
              <w:t>2009</w:t>
            </w:r>
          </w:p>
        </w:tc>
        <w:tc>
          <w:tcPr>
            <w:tcW w:w="567" w:type="dxa"/>
            <w:tcBorders>
              <w:top w:val="single" w:sz="4" w:space="0" w:color="000000"/>
              <w:bottom w:val="single" w:sz="12" w:space="0" w:color="000000"/>
            </w:tcBorders>
            <w:shd w:val="clear" w:color="auto" w:fill="auto"/>
          </w:tcPr>
          <w:p w:rsidR="006E1F63" w:rsidRPr="00222917" w:rsidRDefault="006E1F63" w:rsidP="00D17669">
            <w:pPr>
              <w:suppressAutoHyphens w:val="0"/>
              <w:snapToGrid w:val="0"/>
              <w:spacing w:before="80" w:after="80" w:line="180" w:lineRule="exact"/>
              <w:jc w:val="right"/>
              <w:rPr>
                <w:rFonts w:eastAsia="Gulim"/>
                <w:i/>
                <w:sz w:val="14"/>
                <w:szCs w:val="14"/>
                <w:lang w:val="en-US"/>
              </w:rPr>
            </w:pPr>
            <w:r w:rsidRPr="00222917">
              <w:rPr>
                <w:rFonts w:eastAsia="Gulim"/>
                <w:i/>
                <w:sz w:val="14"/>
                <w:szCs w:val="14"/>
                <w:lang w:val="en-US"/>
              </w:rPr>
              <w:t>2010</w:t>
            </w:r>
          </w:p>
        </w:tc>
      </w:tr>
      <w:tr w:rsidR="006E1F63" w:rsidRPr="00222917" w:rsidTr="00F662F0">
        <w:trPr>
          <w:trHeight w:val="240"/>
        </w:trPr>
        <w:tc>
          <w:tcPr>
            <w:tcW w:w="1134" w:type="dxa"/>
            <w:gridSpan w:val="3"/>
            <w:tcBorders>
              <w:top w:val="single" w:sz="12" w:space="0" w:color="000000"/>
              <w:bottom w:val="single" w:sz="4" w:space="0" w:color="000000"/>
            </w:tcBorders>
            <w:shd w:val="clear" w:color="auto" w:fill="auto"/>
            <w:vAlign w:val="center"/>
          </w:tcPr>
          <w:p w:rsidR="006E1F63" w:rsidRPr="00222917" w:rsidRDefault="006E1F63" w:rsidP="00D17669">
            <w:pPr>
              <w:suppressAutoHyphens w:val="0"/>
              <w:snapToGrid w:val="0"/>
              <w:spacing w:before="80" w:after="80" w:line="200" w:lineRule="exact"/>
              <w:rPr>
                <w:rFonts w:eastAsia="Gulim"/>
                <w:b/>
                <w:sz w:val="16"/>
                <w:szCs w:val="16"/>
                <w:lang w:val="en-US"/>
              </w:rPr>
            </w:pPr>
            <w:r w:rsidRPr="00222917">
              <w:rPr>
                <w:rFonts w:eastAsia="Gulim"/>
                <w:b/>
                <w:sz w:val="16"/>
                <w:szCs w:val="16"/>
                <w:lang w:val="en-US"/>
              </w:rPr>
              <w:t>Total</w:t>
            </w:r>
          </w:p>
        </w:tc>
        <w:tc>
          <w:tcPr>
            <w:tcW w:w="567" w:type="dxa"/>
            <w:tcBorders>
              <w:top w:val="single" w:sz="12" w:space="0" w:color="000000"/>
              <w:bottom w:val="single" w:sz="4" w:space="0" w:color="000000"/>
            </w:tcBorders>
            <w:shd w:val="clear" w:color="auto" w:fill="auto"/>
          </w:tcPr>
          <w:p w:rsidR="006E1F63" w:rsidRPr="00222917" w:rsidRDefault="006E1F63" w:rsidP="00D17669">
            <w:pPr>
              <w:suppressAutoHyphens w:val="0"/>
              <w:snapToGrid w:val="0"/>
              <w:spacing w:before="80" w:after="80" w:line="200" w:lineRule="exact"/>
              <w:jc w:val="right"/>
              <w:rPr>
                <w:rFonts w:eastAsia="Gulim"/>
                <w:b/>
                <w:sz w:val="16"/>
                <w:szCs w:val="16"/>
                <w:lang w:val="en-US"/>
              </w:rPr>
            </w:pPr>
            <w:r w:rsidRPr="00222917">
              <w:rPr>
                <w:rFonts w:eastAsia="Gulim"/>
                <w:b/>
                <w:sz w:val="16"/>
                <w:szCs w:val="16"/>
                <w:lang w:val="en-US"/>
              </w:rPr>
              <w:t>43,232</w:t>
            </w:r>
          </w:p>
        </w:tc>
        <w:tc>
          <w:tcPr>
            <w:tcW w:w="567" w:type="dxa"/>
            <w:tcBorders>
              <w:top w:val="single" w:sz="12" w:space="0" w:color="000000"/>
              <w:bottom w:val="single" w:sz="4" w:space="0" w:color="000000"/>
            </w:tcBorders>
            <w:shd w:val="clear" w:color="auto" w:fill="auto"/>
          </w:tcPr>
          <w:p w:rsidR="006E1F63" w:rsidRPr="00222917" w:rsidRDefault="006E1F63" w:rsidP="00D17669">
            <w:pPr>
              <w:suppressAutoHyphens w:val="0"/>
              <w:snapToGrid w:val="0"/>
              <w:spacing w:before="80" w:after="80" w:line="200" w:lineRule="exact"/>
              <w:jc w:val="right"/>
              <w:rPr>
                <w:rFonts w:eastAsia="Gulim"/>
                <w:b/>
                <w:sz w:val="16"/>
                <w:szCs w:val="16"/>
                <w:lang w:val="en-US"/>
              </w:rPr>
            </w:pPr>
            <w:r w:rsidRPr="00222917">
              <w:rPr>
                <w:rFonts w:eastAsia="Gulim"/>
                <w:b/>
                <w:sz w:val="16"/>
                <w:szCs w:val="16"/>
                <w:lang w:val="en-US"/>
              </w:rPr>
              <w:t>5,807</w:t>
            </w:r>
          </w:p>
        </w:tc>
        <w:tc>
          <w:tcPr>
            <w:tcW w:w="567" w:type="dxa"/>
            <w:tcBorders>
              <w:top w:val="single" w:sz="12" w:space="0" w:color="000000"/>
              <w:bottom w:val="single" w:sz="4" w:space="0" w:color="000000"/>
            </w:tcBorders>
            <w:shd w:val="clear" w:color="auto" w:fill="auto"/>
          </w:tcPr>
          <w:p w:rsidR="006E1F63" w:rsidRPr="00222917" w:rsidRDefault="006E1F63" w:rsidP="00D17669">
            <w:pPr>
              <w:suppressAutoHyphens w:val="0"/>
              <w:snapToGrid w:val="0"/>
              <w:spacing w:before="80" w:after="80" w:line="200" w:lineRule="exact"/>
              <w:jc w:val="right"/>
              <w:rPr>
                <w:rFonts w:eastAsia="Gulim"/>
                <w:b/>
                <w:sz w:val="16"/>
                <w:szCs w:val="16"/>
                <w:lang w:val="en-US"/>
              </w:rPr>
            </w:pPr>
            <w:r w:rsidRPr="00222917">
              <w:rPr>
                <w:rFonts w:eastAsia="Gulim"/>
                <w:b/>
                <w:sz w:val="16"/>
                <w:szCs w:val="16"/>
                <w:lang w:val="en-US"/>
              </w:rPr>
              <w:t>5,391</w:t>
            </w:r>
          </w:p>
        </w:tc>
        <w:tc>
          <w:tcPr>
            <w:tcW w:w="567" w:type="dxa"/>
            <w:tcBorders>
              <w:top w:val="single" w:sz="12" w:space="0" w:color="000000"/>
              <w:bottom w:val="single" w:sz="4" w:space="0" w:color="000000"/>
            </w:tcBorders>
            <w:shd w:val="clear" w:color="auto" w:fill="auto"/>
          </w:tcPr>
          <w:p w:rsidR="006E1F63" w:rsidRPr="00222917" w:rsidRDefault="006E1F63" w:rsidP="00D17669">
            <w:pPr>
              <w:suppressAutoHyphens w:val="0"/>
              <w:snapToGrid w:val="0"/>
              <w:spacing w:before="80" w:after="80" w:line="200" w:lineRule="exact"/>
              <w:jc w:val="right"/>
              <w:rPr>
                <w:rFonts w:eastAsia="Gulim"/>
                <w:b/>
                <w:sz w:val="16"/>
                <w:szCs w:val="16"/>
                <w:lang w:val="en-US"/>
              </w:rPr>
            </w:pPr>
            <w:r w:rsidRPr="00222917">
              <w:rPr>
                <w:rFonts w:eastAsia="Gulim"/>
                <w:b/>
                <w:sz w:val="16"/>
                <w:szCs w:val="16"/>
                <w:lang w:val="en-US"/>
              </w:rPr>
              <w:t>4,289</w:t>
            </w:r>
          </w:p>
        </w:tc>
        <w:tc>
          <w:tcPr>
            <w:tcW w:w="567" w:type="dxa"/>
            <w:tcBorders>
              <w:top w:val="single" w:sz="12" w:space="0" w:color="000000"/>
              <w:bottom w:val="single" w:sz="4" w:space="0" w:color="000000"/>
            </w:tcBorders>
            <w:shd w:val="clear" w:color="auto" w:fill="auto"/>
          </w:tcPr>
          <w:p w:rsidR="006E1F63" w:rsidRPr="00222917" w:rsidRDefault="006E1F63" w:rsidP="00D17669">
            <w:pPr>
              <w:suppressAutoHyphens w:val="0"/>
              <w:snapToGrid w:val="0"/>
              <w:spacing w:before="80" w:after="80" w:line="200" w:lineRule="exact"/>
              <w:jc w:val="right"/>
              <w:rPr>
                <w:rFonts w:eastAsia="Gulim"/>
                <w:b/>
                <w:sz w:val="16"/>
                <w:szCs w:val="16"/>
                <w:lang w:val="en-US"/>
              </w:rPr>
            </w:pPr>
            <w:r w:rsidRPr="00222917">
              <w:rPr>
                <w:rFonts w:eastAsia="Gulim"/>
                <w:b/>
                <w:sz w:val="16"/>
                <w:szCs w:val="16"/>
                <w:lang w:val="en-US"/>
              </w:rPr>
              <w:t>6,070</w:t>
            </w:r>
          </w:p>
        </w:tc>
        <w:tc>
          <w:tcPr>
            <w:tcW w:w="567" w:type="dxa"/>
            <w:tcBorders>
              <w:top w:val="single" w:sz="12" w:space="0" w:color="000000"/>
              <w:bottom w:val="single" w:sz="4" w:space="0" w:color="000000"/>
            </w:tcBorders>
            <w:shd w:val="clear" w:color="auto" w:fill="auto"/>
          </w:tcPr>
          <w:p w:rsidR="006E1F63" w:rsidRPr="00222917" w:rsidRDefault="006E1F63" w:rsidP="00D17669">
            <w:pPr>
              <w:suppressAutoHyphens w:val="0"/>
              <w:snapToGrid w:val="0"/>
              <w:spacing w:before="80" w:after="80" w:line="200" w:lineRule="exact"/>
              <w:jc w:val="right"/>
              <w:rPr>
                <w:rFonts w:eastAsia="Gulim"/>
                <w:b/>
                <w:sz w:val="16"/>
                <w:szCs w:val="16"/>
                <w:lang w:val="en-US"/>
              </w:rPr>
            </w:pPr>
            <w:r w:rsidRPr="00222917">
              <w:rPr>
                <w:rFonts w:eastAsia="Gulim"/>
                <w:b/>
                <w:sz w:val="16"/>
                <w:szCs w:val="16"/>
                <w:lang w:val="en-US"/>
              </w:rPr>
              <w:t>6,484</w:t>
            </w:r>
          </w:p>
        </w:tc>
        <w:tc>
          <w:tcPr>
            <w:tcW w:w="567" w:type="dxa"/>
            <w:tcBorders>
              <w:top w:val="single" w:sz="12" w:space="0" w:color="000000"/>
              <w:bottom w:val="single" w:sz="4" w:space="0" w:color="000000"/>
            </w:tcBorders>
            <w:shd w:val="clear" w:color="auto" w:fill="auto"/>
          </w:tcPr>
          <w:p w:rsidR="006E1F63" w:rsidRPr="00222917" w:rsidRDefault="006E1F63" w:rsidP="00D17669">
            <w:pPr>
              <w:suppressAutoHyphens w:val="0"/>
              <w:snapToGrid w:val="0"/>
              <w:spacing w:before="80" w:after="80" w:line="200" w:lineRule="exact"/>
              <w:jc w:val="right"/>
              <w:rPr>
                <w:rFonts w:eastAsia="Gulim"/>
                <w:b/>
                <w:sz w:val="16"/>
                <w:szCs w:val="16"/>
                <w:lang w:val="en-US"/>
              </w:rPr>
            </w:pPr>
            <w:r w:rsidRPr="00222917">
              <w:rPr>
                <w:rFonts w:eastAsia="Gulim"/>
                <w:b/>
                <w:sz w:val="16"/>
                <w:szCs w:val="16"/>
                <w:lang w:val="en-US"/>
              </w:rPr>
              <w:t>6,793</w:t>
            </w:r>
          </w:p>
        </w:tc>
        <w:tc>
          <w:tcPr>
            <w:tcW w:w="567" w:type="dxa"/>
            <w:tcBorders>
              <w:top w:val="single" w:sz="12" w:space="0" w:color="000000"/>
              <w:bottom w:val="single" w:sz="4" w:space="0" w:color="000000"/>
            </w:tcBorders>
            <w:shd w:val="clear" w:color="auto" w:fill="auto"/>
          </w:tcPr>
          <w:p w:rsidR="006E1F63" w:rsidRPr="00222917" w:rsidRDefault="006E1F63" w:rsidP="00D17669">
            <w:pPr>
              <w:suppressAutoHyphens w:val="0"/>
              <w:snapToGrid w:val="0"/>
              <w:spacing w:before="80" w:after="80" w:line="200" w:lineRule="exact"/>
              <w:jc w:val="right"/>
              <w:rPr>
                <w:rFonts w:eastAsia="Gulim"/>
                <w:b/>
                <w:sz w:val="16"/>
                <w:szCs w:val="16"/>
                <w:lang w:val="en-US"/>
              </w:rPr>
            </w:pPr>
            <w:r w:rsidRPr="00222917">
              <w:rPr>
                <w:rFonts w:eastAsia="Gulim"/>
                <w:b/>
                <w:sz w:val="16"/>
                <w:szCs w:val="16"/>
                <w:lang w:val="en-US"/>
              </w:rPr>
              <w:t>8,398</w:t>
            </w:r>
          </w:p>
        </w:tc>
      </w:tr>
      <w:tr w:rsidR="006E1F63" w:rsidRPr="00222917" w:rsidTr="00F662F0">
        <w:trPr>
          <w:trHeight w:val="240"/>
        </w:trPr>
        <w:tc>
          <w:tcPr>
            <w:tcW w:w="1134" w:type="dxa"/>
            <w:vMerge w:val="restart"/>
            <w:tcBorders>
              <w:top w:val="single" w:sz="4" w:space="0" w:color="000000"/>
            </w:tcBorders>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r w:rsidRPr="00222917">
              <w:rPr>
                <w:rFonts w:eastAsia="Gulim"/>
                <w:sz w:val="16"/>
                <w:szCs w:val="16"/>
                <w:lang w:val="en-US"/>
              </w:rPr>
              <w:t>Human rights violations</w:t>
            </w:r>
          </w:p>
        </w:tc>
        <w:tc>
          <w:tcPr>
            <w:tcW w:w="1134" w:type="dxa"/>
            <w:gridSpan w:val="2"/>
            <w:tcBorders>
              <w:top w:val="single" w:sz="4" w:space="0" w:color="000000"/>
              <w:bottom w:val="single" w:sz="4" w:space="0" w:color="000000"/>
            </w:tcBorders>
            <w:shd w:val="clear" w:color="auto" w:fill="auto"/>
            <w:vAlign w:val="center"/>
          </w:tcPr>
          <w:p w:rsidR="006E1F63" w:rsidRPr="00222917" w:rsidRDefault="006E1F63" w:rsidP="00D17669">
            <w:pPr>
              <w:suppressAutoHyphens w:val="0"/>
              <w:snapToGrid w:val="0"/>
              <w:spacing w:before="80" w:after="80" w:line="200" w:lineRule="exact"/>
              <w:rPr>
                <w:rFonts w:eastAsia="Gulim"/>
                <w:b/>
                <w:sz w:val="16"/>
                <w:szCs w:val="16"/>
                <w:lang w:val="en-US"/>
              </w:rPr>
            </w:pPr>
            <w:r w:rsidRPr="00222917">
              <w:rPr>
                <w:rFonts w:eastAsia="Gulim"/>
                <w:b/>
                <w:sz w:val="16"/>
                <w:szCs w:val="16"/>
                <w:lang w:val="en-US"/>
              </w:rPr>
              <w:t>Subtotal</w:t>
            </w:r>
          </w:p>
        </w:tc>
        <w:tc>
          <w:tcPr>
            <w:tcW w:w="567" w:type="dxa"/>
            <w:tcBorders>
              <w:top w:val="single" w:sz="4" w:space="0" w:color="000000"/>
              <w:bottom w:val="single" w:sz="4" w:space="0" w:color="000000"/>
            </w:tcBorders>
            <w:shd w:val="clear" w:color="auto" w:fill="auto"/>
          </w:tcPr>
          <w:p w:rsidR="006E1F63" w:rsidRPr="00222917" w:rsidRDefault="006E1F63" w:rsidP="00D17669">
            <w:pPr>
              <w:suppressAutoHyphens w:val="0"/>
              <w:snapToGrid w:val="0"/>
              <w:spacing w:before="80" w:after="80" w:line="200" w:lineRule="exact"/>
              <w:jc w:val="right"/>
              <w:rPr>
                <w:rFonts w:eastAsia="Gulim"/>
                <w:b/>
                <w:sz w:val="16"/>
                <w:szCs w:val="16"/>
                <w:lang w:val="en-US"/>
              </w:rPr>
            </w:pPr>
            <w:r w:rsidRPr="00222917">
              <w:rPr>
                <w:rFonts w:eastAsia="Gulim"/>
                <w:b/>
                <w:sz w:val="16"/>
                <w:szCs w:val="16"/>
                <w:lang w:val="en-US"/>
              </w:rPr>
              <w:t>33,799</w:t>
            </w:r>
          </w:p>
        </w:tc>
        <w:tc>
          <w:tcPr>
            <w:tcW w:w="567" w:type="dxa"/>
            <w:tcBorders>
              <w:top w:val="single" w:sz="4" w:space="0" w:color="000000"/>
              <w:bottom w:val="single" w:sz="4" w:space="0" w:color="000000"/>
            </w:tcBorders>
            <w:shd w:val="clear" w:color="auto" w:fill="auto"/>
          </w:tcPr>
          <w:p w:rsidR="006E1F63" w:rsidRPr="00222917" w:rsidRDefault="006E1F63" w:rsidP="00D17669">
            <w:pPr>
              <w:suppressAutoHyphens w:val="0"/>
              <w:snapToGrid w:val="0"/>
              <w:spacing w:before="80" w:after="80" w:line="200" w:lineRule="exact"/>
              <w:jc w:val="right"/>
              <w:rPr>
                <w:rFonts w:eastAsia="Gulim"/>
                <w:b/>
                <w:sz w:val="16"/>
                <w:szCs w:val="16"/>
                <w:lang w:val="en-US"/>
              </w:rPr>
            </w:pPr>
            <w:r w:rsidRPr="00222917">
              <w:rPr>
                <w:rFonts w:eastAsia="Gulim"/>
                <w:b/>
                <w:sz w:val="16"/>
                <w:szCs w:val="16"/>
                <w:lang w:val="en-US"/>
              </w:rPr>
              <w:t>4,933</w:t>
            </w:r>
          </w:p>
        </w:tc>
        <w:tc>
          <w:tcPr>
            <w:tcW w:w="567" w:type="dxa"/>
            <w:tcBorders>
              <w:top w:val="single" w:sz="4" w:space="0" w:color="000000"/>
              <w:bottom w:val="single" w:sz="4" w:space="0" w:color="000000"/>
            </w:tcBorders>
            <w:shd w:val="clear" w:color="auto" w:fill="auto"/>
          </w:tcPr>
          <w:p w:rsidR="006E1F63" w:rsidRPr="00222917" w:rsidRDefault="006E1F63" w:rsidP="00D17669">
            <w:pPr>
              <w:suppressAutoHyphens w:val="0"/>
              <w:snapToGrid w:val="0"/>
              <w:spacing w:before="80" w:after="80" w:line="200" w:lineRule="exact"/>
              <w:jc w:val="right"/>
              <w:rPr>
                <w:rFonts w:eastAsia="Gulim"/>
                <w:b/>
                <w:sz w:val="16"/>
                <w:szCs w:val="16"/>
                <w:lang w:val="en-US"/>
              </w:rPr>
            </w:pPr>
            <w:r w:rsidRPr="00222917">
              <w:rPr>
                <w:rFonts w:eastAsia="Gulim"/>
                <w:b/>
                <w:sz w:val="16"/>
                <w:szCs w:val="16"/>
                <w:lang w:val="en-US"/>
              </w:rPr>
              <w:t>4,168</w:t>
            </w:r>
          </w:p>
        </w:tc>
        <w:tc>
          <w:tcPr>
            <w:tcW w:w="567" w:type="dxa"/>
            <w:tcBorders>
              <w:top w:val="single" w:sz="4" w:space="0" w:color="000000"/>
              <w:bottom w:val="single" w:sz="4" w:space="0" w:color="000000"/>
            </w:tcBorders>
            <w:shd w:val="clear" w:color="auto" w:fill="auto"/>
          </w:tcPr>
          <w:p w:rsidR="006E1F63" w:rsidRPr="00222917" w:rsidRDefault="006E1F63" w:rsidP="00D17669">
            <w:pPr>
              <w:suppressAutoHyphens w:val="0"/>
              <w:snapToGrid w:val="0"/>
              <w:spacing w:before="80" w:after="80" w:line="200" w:lineRule="exact"/>
              <w:jc w:val="right"/>
              <w:rPr>
                <w:rFonts w:eastAsia="Gulim"/>
                <w:b/>
                <w:sz w:val="16"/>
                <w:szCs w:val="16"/>
                <w:lang w:val="en-US"/>
              </w:rPr>
            </w:pPr>
            <w:r w:rsidRPr="00222917">
              <w:rPr>
                <w:rFonts w:eastAsia="Gulim"/>
                <w:b/>
                <w:sz w:val="16"/>
                <w:szCs w:val="16"/>
                <w:lang w:val="en-US"/>
              </w:rPr>
              <w:t>3,264</w:t>
            </w:r>
          </w:p>
        </w:tc>
        <w:tc>
          <w:tcPr>
            <w:tcW w:w="567" w:type="dxa"/>
            <w:tcBorders>
              <w:top w:val="single" w:sz="4" w:space="0" w:color="000000"/>
              <w:bottom w:val="single" w:sz="4" w:space="0" w:color="000000"/>
            </w:tcBorders>
            <w:shd w:val="clear" w:color="auto" w:fill="auto"/>
          </w:tcPr>
          <w:p w:rsidR="006E1F63" w:rsidRPr="00222917" w:rsidRDefault="006E1F63" w:rsidP="00D17669">
            <w:pPr>
              <w:suppressAutoHyphens w:val="0"/>
              <w:snapToGrid w:val="0"/>
              <w:spacing w:before="80" w:after="80" w:line="200" w:lineRule="exact"/>
              <w:jc w:val="right"/>
              <w:rPr>
                <w:rFonts w:eastAsia="Gulim"/>
                <w:b/>
                <w:sz w:val="16"/>
                <w:szCs w:val="16"/>
                <w:lang w:val="en-US"/>
              </w:rPr>
            </w:pPr>
            <w:r w:rsidRPr="00222917">
              <w:rPr>
                <w:rFonts w:eastAsia="Gulim"/>
                <w:b/>
                <w:sz w:val="16"/>
                <w:szCs w:val="16"/>
                <w:lang w:val="en-US"/>
              </w:rPr>
              <w:t>4,761</w:t>
            </w:r>
          </w:p>
        </w:tc>
        <w:tc>
          <w:tcPr>
            <w:tcW w:w="567" w:type="dxa"/>
            <w:tcBorders>
              <w:top w:val="single" w:sz="4" w:space="0" w:color="000000"/>
              <w:bottom w:val="single" w:sz="4" w:space="0" w:color="000000"/>
            </w:tcBorders>
            <w:shd w:val="clear" w:color="auto" w:fill="auto"/>
          </w:tcPr>
          <w:p w:rsidR="006E1F63" w:rsidRPr="00222917" w:rsidRDefault="006E1F63" w:rsidP="00D17669">
            <w:pPr>
              <w:suppressAutoHyphens w:val="0"/>
              <w:snapToGrid w:val="0"/>
              <w:spacing w:before="80" w:after="80" w:line="200" w:lineRule="exact"/>
              <w:jc w:val="right"/>
              <w:rPr>
                <w:rFonts w:eastAsia="Gulim"/>
                <w:b/>
                <w:sz w:val="16"/>
                <w:szCs w:val="16"/>
                <w:lang w:val="en-US"/>
              </w:rPr>
            </w:pPr>
            <w:r w:rsidRPr="00222917">
              <w:rPr>
                <w:rFonts w:eastAsia="Gulim"/>
                <w:b/>
                <w:sz w:val="16"/>
                <w:szCs w:val="16"/>
                <w:lang w:val="en-US"/>
              </w:rPr>
              <w:t>5,299</w:t>
            </w:r>
          </w:p>
        </w:tc>
        <w:tc>
          <w:tcPr>
            <w:tcW w:w="567" w:type="dxa"/>
            <w:tcBorders>
              <w:top w:val="single" w:sz="4" w:space="0" w:color="000000"/>
              <w:bottom w:val="single" w:sz="4" w:space="0" w:color="000000"/>
            </w:tcBorders>
            <w:shd w:val="clear" w:color="auto" w:fill="auto"/>
          </w:tcPr>
          <w:p w:rsidR="006E1F63" w:rsidRPr="00222917" w:rsidRDefault="006E1F63" w:rsidP="00D17669">
            <w:pPr>
              <w:suppressAutoHyphens w:val="0"/>
              <w:snapToGrid w:val="0"/>
              <w:spacing w:before="80" w:after="80" w:line="200" w:lineRule="exact"/>
              <w:jc w:val="right"/>
              <w:rPr>
                <w:rFonts w:eastAsia="Gulim"/>
                <w:b/>
                <w:sz w:val="16"/>
                <w:szCs w:val="16"/>
                <w:lang w:val="en-US"/>
              </w:rPr>
            </w:pPr>
            <w:r w:rsidRPr="00222917">
              <w:rPr>
                <w:rFonts w:eastAsia="Gulim"/>
                <w:b/>
                <w:sz w:val="16"/>
                <w:szCs w:val="16"/>
                <w:lang w:val="en-US"/>
              </w:rPr>
              <w:t>5,112</w:t>
            </w:r>
          </w:p>
        </w:tc>
        <w:tc>
          <w:tcPr>
            <w:tcW w:w="567" w:type="dxa"/>
            <w:tcBorders>
              <w:top w:val="single" w:sz="4" w:space="0" w:color="000000"/>
              <w:bottom w:val="single" w:sz="4" w:space="0" w:color="000000"/>
            </w:tcBorders>
            <w:shd w:val="clear" w:color="auto" w:fill="auto"/>
          </w:tcPr>
          <w:p w:rsidR="006E1F63" w:rsidRPr="00222917" w:rsidRDefault="006E1F63" w:rsidP="00D17669">
            <w:pPr>
              <w:suppressAutoHyphens w:val="0"/>
              <w:snapToGrid w:val="0"/>
              <w:spacing w:before="80" w:after="80" w:line="200" w:lineRule="exact"/>
              <w:jc w:val="right"/>
              <w:rPr>
                <w:rFonts w:eastAsia="Gulim"/>
                <w:b/>
                <w:sz w:val="16"/>
                <w:szCs w:val="16"/>
                <w:lang w:val="en-US"/>
              </w:rPr>
            </w:pPr>
            <w:r w:rsidRPr="00222917">
              <w:rPr>
                <w:rFonts w:eastAsia="Gulim"/>
                <w:b/>
                <w:sz w:val="16"/>
                <w:szCs w:val="16"/>
                <w:lang w:val="en-US"/>
              </w:rPr>
              <w:t>6,262</w:t>
            </w:r>
          </w:p>
        </w:tc>
      </w:tr>
      <w:tr w:rsidR="006E1F63" w:rsidRPr="00222917" w:rsidTr="00F662F0">
        <w:trPr>
          <w:trHeight w:val="240"/>
        </w:trPr>
        <w:tc>
          <w:tcPr>
            <w:tcW w:w="1134" w:type="dxa"/>
            <w:vMerge/>
            <w:tcBorders>
              <w:top w:val="single" w:sz="4" w:space="0" w:color="000000"/>
            </w:tcBorders>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134" w:type="dxa"/>
            <w:vMerge w:val="restart"/>
            <w:tcBorders>
              <w:top w:val="single" w:sz="4" w:space="0" w:color="000000"/>
            </w:tcBorders>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r w:rsidRPr="00222917">
              <w:rPr>
                <w:rFonts w:eastAsia="Gulim"/>
                <w:sz w:val="16"/>
                <w:szCs w:val="16"/>
                <w:lang w:val="en-US"/>
              </w:rPr>
              <w:t>Accepted</w:t>
            </w:r>
          </w:p>
        </w:tc>
        <w:tc>
          <w:tcPr>
            <w:tcW w:w="1701" w:type="dxa"/>
            <w:tcBorders>
              <w:top w:val="single" w:sz="4" w:space="0" w:color="000000"/>
              <w:bottom w:val="single" w:sz="4" w:space="0" w:color="000000"/>
            </w:tcBorders>
            <w:shd w:val="clear" w:color="auto" w:fill="auto"/>
            <w:vAlign w:val="center"/>
          </w:tcPr>
          <w:p w:rsidR="006E1F63" w:rsidRPr="00222917" w:rsidRDefault="006E1F63" w:rsidP="00D17669">
            <w:pPr>
              <w:suppressAutoHyphens w:val="0"/>
              <w:snapToGrid w:val="0"/>
              <w:spacing w:before="80" w:after="80" w:line="200" w:lineRule="exact"/>
              <w:rPr>
                <w:rFonts w:eastAsia="Gulim"/>
                <w:b/>
                <w:sz w:val="16"/>
                <w:szCs w:val="16"/>
                <w:lang w:val="en-US"/>
              </w:rPr>
            </w:pPr>
            <w:r w:rsidRPr="00222917">
              <w:rPr>
                <w:rFonts w:eastAsia="Gulim"/>
                <w:b/>
                <w:sz w:val="16"/>
                <w:szCs w:val="16"/>
                <w:lang w:val="en-US"/>
              </w:rPr>
              <w:t>Subtotal</w:t>
            </w:r>
          </w:p>
        </w:tc>
        <w:tc>
          <w:tcPr>
            <w:tcW w:w="567" w:type="dxa"/>
            <w:tcBorders>
              <w:top w:val="single" w:sz="4" w:space="0" w:color="000000"/>
              <w:bottom w:val="single" w:sz="4" w:space="0" w:color="000000"/>
            </w:tcBorders>
            <w:shd w:val="clear" w:color="auto" w:fill="auto"/>
          </w:tcPr>
          <w:p w:rsidR="006E1F63" w:rsidRPr="00222917" w:rsidRDefault="006E1F63" w:rsidP="00D17669">
            <w:pPr>
              <w:suppressAutoHyphens w:val="0"/>
              <w:snapToGrid w:val="0"/>
              <w:spacing w:before="80" w:after="80" w:line="200" w:lineRule="exact"/>
              <w:jc w:val="right"/>
              <w:rPr>
                <w:rFonts w:eastAsia="Gulim"/>
                <w:b/>
                <w:sz w:val="16"/>
                <w:szCs w:val="16"/>
                <w:lang w:val="en-US"/>
              </w:rPr>
            </w:pPr>
            <w:r w:rsidRPr="00222917">
              <w:rPr>
                <w:rFonts w:eastAsia="Gulim"/>
                <w:b/>
                <w:sz w:val="16"/>
                <w:szCs w:val="16"/>
                <w:lang w:val="en-US"/>
              </w:rPr>
              <w:t>1,911</w:t>
            </w:r>
          </w:p>
        </w:tc>
        <w:tc>
          <w:tcPr>
            <w:tcW w:w="567" w:type="dxa"/>
            <w:tcBorders>
              <w:top w:val="single" w:sz="4" w:space="0" w:color="000000"/>
              <w:bottom w:val="single" w:sz="4" w:space="0" w:color="000000"/>
            </w:tcBorders>
            <w:shd w:val="clear" w:color="auto" w:fill="auto"/>
          </w:tcPr>
          <w:p w:rsidR="006E1F63" w:rsidRPr="00222917" w:rsidRDefault="006E1F63" w:rsidP="00D17669">
            <w:pPr>
              <w:suppressAutoHyphens w:val="0"/>
              <w:snapToGrid w:val="0"/>
              <w:spacing w:before="80" w:after="80" w:line="200" w:lineRule="exact"/>
              <w:jc w:val="right"/>
              <w:rPr>
                <w:rFonts w:eastAsia="Gulim"/>
                <w:b/>
                <w:sz w:val="16"/>
                <w:szCs w:val="16"/>
                <w:lang w:val="en-US"/>
              </w:rPr>
            </w:pPr>
            <w:r w:rsidRPr="00222917">
              <w:rPr>
                <w:rFonts w:eastAsia="Gulim"/>
                <w:b/>
                <w:sz w:val="16"/>
                <w:szCs w:val="16"/>
                <w:lang w:val="en-US"/>
              </w:rPr>
              <w:t>147</w:t>
            </w:r>
          </w:p>
        </w:tc>
        <w:tc>
          <w:tcPr>
            <w:tcW w:w="567" w:type="dxa"/>
            <w:tcBorders>
              <w:top w:val="single" w:sz="4" w:space="0" w:color="000000"/>
              <w:bottom w:val="single" w:sz="4" w:space="0" w:color="000000"/>
            </w:tcBorders>
            <w:shd w:val="clear" w:color="auto" w:fill="auto"/>
          </w:tcPr>
          <w:p w:rsidR="006E1F63" w:rsidRPr="00222917" w:rsidRDefault="006E1F63" w:rsidP="00D17669">
            <w:pPr>
              <w:suppressAutoHyphens w:val="0"/>
              <w:snapToGrid w:val="0"/>
              <w:spacing w:before="80" w:after="80" w:line="200" w:lineRule="exact"/>
              <w:jc w:val="right"/>
              <w:rPr>
                <w:rFonts w:eastAsia="Gulim"/>
                <w:b/>
                <w:sz w:val="16"/>
                <w:szCs w:val="16"/>
                <w:lang w:val="en-US"/>
              </w:rPr>
            </w:pPr>
            <w:r w:rsidRPr="00222917">
              <w:rPr>
                <w:rFonts w:eastAsia="Gulim"/>
                <w:b/>
                <w:sz w:val="16"/>
                <w:szCs w:val="16"/>
                <w:lang w:val="en-US"/>
              </w:rPr>
              <w:t>280</w:t>
            </w:r>
          </w:p>
        </w:tc>
        <w:tc>
          <w:tcPr>
            <w:tcW w:w="567" w:type="dxa"/>
            <w:tcBorders>
              <w:top w:val="single" w:sz="4" w:space="0" w:color="000000"/>
              <w:bottom w:val="single" w:sz="4" w:space="0" w:color="000000"/>
            </w:tcBorders>
            <w:shd w:val="clear" w:color="auto" w:fill="auto"/>
          </w:tcPr>
          <w:p w:rsidR="006E1F63" w:rsidRPr="00222917" w:rsidRDefault="006E1F63" w:rsidP="00D17669">
            <w:pPr>
              <w:suppressAutoHyphens w:val="0"/>
              <w:snapToGrid w:val="0"/>
              <w:spacing w:before="80" w:after="80" w:line="200" w:lineRule="exact"/>
              <w:jc w:val="right"/>
              <w:rPr>
                <w:rFonts w:eastAsia="Gulim"/>
                <w:b/>
                <w:sz w:val="16"/>
                <w:szCs w:val="16"/>
                <w:lang w:val="en-US"/>
              </w:rPr>
            </w:pPr>
            <w:r w:rsidRPr="00222917">
              <w:rPr>
                <w:rFonts w:eastAsia="Gulim"/>
                <w:b/>
                <w:sz w:val="16"/>
                <w:szCs w:val="16"/>
                <w:lang w:val="en-US"/>
              </w:rPr>
              <w:t>221</w:t>
            </w:r>
          </w:p>
        </w:tc>
        <w:tc>
          <w:tcPr>
            <w:tcW w:w="567" w:type="dxa"/>
            <w:tcBorders>
              <w:top w:val="single" w:sz="4" w:space="0" w:color="000000"/>
              <w:bottom w:val="single" w:sz="4" w:space="0" w:color="000000"/>
            </w:tcBorders>
            <w:shd w:val="clear" w:color="auto" w:fill="auto"/>
          </w:tcPr>
          <w:p w:rsidR="006E1F63" w:rsidRPr="00222917" w:rsidRDefault="006E1F63" w:rsidP="00D17669">
            <w:pPr>
              <w:suppressAutoHyphens w:val="0"/>
              <w:snapToGrid w:val="0"/>
              <w:spacing w:before="80" w:after="80" w:line="200" w:lineRule="exact"/>
              <w:jc w:val="right"/>
              <w:rPr>
                <w:rFonts w:eastAsia="Gulim"/>
                <w:b/>
                <w:sz w:val="16"/>
                <w:szCs w:val="16"/>
                <w:lang w:val="en-US"/>
              </w:rPr>
            </w:pPr>
            <w:r w:rsidRPr="00222917">
              <w:rPr>
                <w:rFonts w:eastAsia="Gulim"/>
                <w:b/>
                <w:sz w:val="16"/>
                <w:szCs w:val="16"/>
                <w:lang w:val="en-US"/>
              </w:rPr>
              <w:t>243</w:t>
            </w:r>
          </w:p>
        </w:tc>
        <w:tc>
          <w:tcPr>
            <w:tcW w:w="567" w:type="dxa"/>
            <w:tcBorders>
              <w:top w:val="single" w:sz="4" w:space="0" w:color="000000"/>
              <w:bottom w:val="single" w:sz="4" w:space="0" w:color="000000"/>
            </w:tcBorders>
            <w:shd w:val="clear" w:color="auto" w:fill="auto"/>
          </w:tcPr>
          <w:p w:rsidR="006E1F63" w:rsidRPr="00222917" w:rsidRDefault="006E1F63" w:rsidP="00D17669">
            <w:pPr>
              <w:suppressAutoHyphens w:val="0"/>
              <w:snapToGrid w:val="0"/>
              <w:spacing w:before="80" w:after="80" w:line="200" w:lineRule="exact"/>
              <w:jc w:val="right"/>
              <w:rPr>
                <w:rFonts w:eastAsia="Gulim"/>
                <w:b/>
                <w:sz w:val="16"/>
                <w:szCs w:val="16"/>
                <w:lang w:val="en-US"/>
              </w:rPr>
            </w:pPr>
            <w:r w:rsidRPr="00222917">
              <w:rPr>
                <w:rFonts w:eastAsia="Gulim"/>
                <w:b/>
                <w:sz w:val="16"/>
                <w:szCs w:val="16"/>
                <w:lang w:val="en-US"/>
              </w:rPr>
              <w:t>319</w:t>
            </w:r>
          </w:p>
        </w:tc>
        <w:tc>
          <w:tcPr>
            <w:tcW w:w="567" w:type="dxa"/>
            <w:tcBorders>
              <w:top w:val="single" w:sz="4" w:space="0" w:color="000000"/>
              <w:bottom w:val="single" w:sz="4" w:space="0" w:color="000000"/>
            </w:tcBorders>
            <w:shd w:val="clear" w:color="auto" w:fill="auto"/>
          </w:tcPr>
          <w:p w:rsidR="006E1F63" w:rsidRPr="00222917" w:rsidRDefault="006E1F63" w:rsidP="00D17669">
            <w:pPr>
              <w:suppressAutoHyphens w:val="0"/>
              <w:snapToGrid w:val="0"/>
              <w:spacing w:before="80" w:after="80" w:line="200" w:lineRule="exact"/>
              <w:jc w:val="right"/>
              <w:rPr>
                <w:rFonts w:eastAsia="Gulim"/>
                <w:b/>
                <w:sz w:val="16"/>
                <w:szCs w:val="16"/>
                <w:lang w:val="en-US"/>
              </w:rPr>
            </w:pPr>
            <w:r w:rsidRPr="00222917">
              <w:rPr>
                <w:rFonts w:eastAsia="Gulim"/>
                <w:b/>
                <w:sz w:val="16"/>
                <w:szCs w:val="16"/>
                <w:lang w:val="en-US"/>
              </w:rPr>
              <w:t>369</w:t>
            </w:r>
          </w:p>
        </w:tc>
        <w:tc>
          <w:tcPr>
            <w:tcW w:w="567" w:type="dxa"/>
            <w:tcBorders>
              <w:top w:val="single" w:sz="4" w:space="0" w:color="000000"/>
              <w:bottom w:val="single" w:sz="4" w:space="0" w:color="000000"/>
            </w:tcBorders>
            <w:shd w:val="clear" w:color="auto" w:fill="auto"/>
          </w:tcPr>
          <w:p w:rsidR="006E1F63" w:rsidRPr="00222917" w:rsidRDefault="006E1F63" w:rsidP="00D17669">
            <w:pPr>
              <w:suppressAutoHyphens w:val="0"/>
              <w:snapToGrid w:val="0"/>
              <w:spacing w:before="80" w:after="80" w:line="200" w:lineRule="exact"/>
              <w:jc w:val="right"/>
              <w:rPr>
                <w:rFonts w:eastAsia="Gulim"/>
                <w:b/>
                <w:sz w:val="16"/>
                <w:szCs w:val="16"/>
                <w:lang w:val="en-US"/>
              </w:rPr>
            </w:pPr>
            <w:r w:rsidRPr="00222917">
              <w:rPr>
                <w:rFonts w:eastAsia="Gulim"/>
                <w:b/>
                <w:sz w:val="16"/>
                <w:szCs w:val="16"/>
                <w:lang w:val="en-US"/>
              </w:rPr>
              <w:t>332</w:t>
            </w:r>
          </w:p>
        </w:tc>
      </w:tr>
      <w:tr w:rsidR="006E1F63" w:rsidRPr="00222917" w:rsidTr="00F662F0">
        <w:trPr>
          <w:trHeight w:val="240"/>
        </w:trPr>
        <w:tc>
          <w:tcPr>
            <w:tcW w:w="1134" w:type="dxa"/>
            <w:vMerge/>
            <w:tcBorders>
              <w:top w:val="single" w:sz="4" w:space="0" w:color="000000"/>
            </w:tcBorders>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134" w:type="dxa"/>
            <w:vMerge/>
            <w:tcBorders>
              <w:top w:val="single" w:sz="4" w:space="0" w:color="000000"/>
            </w:tcBorders>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701" w:type="dxa"/>
            <w:tcBorders>
              <w:top w:val="single" w:sz="4" w:space="0" w:color="000000"/>
            </w:tcBorders>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r w:rsidRPr="00222917">
              <w:rPr>
                <w:rFonts w:eastAsia="Gulim"/>
                <w:sz w:val="16"/>
                <w:szCs w:val="16"/>
                <w:lang w:val="en-US"/>
              </w:rPr>
              <w:t>Police</w:t>
            </w:r>
          </w:p>
        </w:tc>
        <w:tc>
          <w:tcPr>
            <w:tcW w:w="567" w:type="dxa"/>
            <w:tcBorders>
              <w:top w:val="single" w:sz="4" w:space="0" w:color="000000"/>
            </w:tcBorders>
            <w:shd w:val="clear" w:color="auto" w:fill="auto"/>
          </w:tcPr>
          <w:p w:rsidR="006E1F63" w:rsidRPr="00222917" w:rsidRDefault="006E1F63" w:rsidP="00D17669">
            <w:pPr>
              <w:suppressAutoHyphens w:val="0"/>
              <w:snapToGrid w:val="0"/>
              <w:spacing w:before="40" w:after="40" w:line="200" w:lineRule="exact"/>
              <w:jc w:val="right"/>
              <w:rPr>
                <w:rFonts w:eastAsia="Gulim"/>
                <w:b/>
                <w:sz w:val="16"/>
                <w:szCs w:val="16"/>
                <w:lang w:val="en-US"/>
              </w:rPr>
            </w:pPr>
            <w:r w:rsidRPr="00222917">
              <w:rPr>
                <w:rFonts w:eastAsia="Gulim"/>
                <w:b/>
                <w:sz w:val="16"/>
                <w:szCs w:val="16"/>
                <w:lang w:val="en-US"/>
              </w:rPr>
              <w:t>728</w:t>
            </w:r>
          </w:p>
        </w:tc>
        <w:tc>
          <w:tcPr>
            <w:tcW w:w="567" w:type="dxa"/>
            <w:tcBorders>
              <w:top w:val="single" w:sz="4" w:space="0" w:color="000000"/>
            </w:tcBorders>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66</w:t>
            </w:r>
          </w:p>
        </w:tc>
        <w:tc>
          <w:tcPr>
            <w:tcW w:w="567" w:type="dxa"/>
            <w:tcBorders>
              <w:top w:val="single" w:sz="4" w:space="0" w:color="000000"/>
            </w:tcBorders>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76</w:t>
            </w:r>
          </w:p>
        </w:tc>
        <w:tc>
          <w:tcPr>
            <w:tcW w:w="567" w:type="dxa"/>
            <w:tcBorders>
              <w:top w:val="single" w:sz="4" w:space="0" w:color="000000"/>
            </w:tcBorders>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107</w:t>
            </w:r>
          </w:p>
        </w:tc>
        <w:tc>
          <w:tcPr>
            <w:tcW w:w="567" w:type="dxa"/>
            <w:tcBorders>
              <w:top w:val="single" w:sz="4" w:space="0" w:color="000000"/>
            </w:tcBorders>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99</w:t>
            </w:r>
          </w:p>
        </w:tc>
        <w:tc>
          <w:tcPr>
            <w:tcW w:w="567" w:type="dxa"/>
            <w:tcBorders>
              <w:top w:val="single" w:sz="4" w:space="0" w:color="000000"/>
            </w:tcBorders>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101</w:t>
            </w:r>
          </w:p>
        </w:tc>
        <w:tc>
          <w:tcPr>
            <w:tcW w:w="567" w:type="dxa"/>
            <w:tcBorders>
              <w:top w:val="single" w:sz="4" w:space="0" w:color="000000"/>
            </w:tcBorders>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174</w:t>
            </w:r>
          </w:p>
        </w:tc>
        <w:tc>
          <w:tcPr>
            <w:tcW w:w="567" w:type="dxa"/>
            <w:tcBorders>
              <w:top w:val="single" w:sz="4" w:space="0" w:color="000000"/>
            </w:tcBorders>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105</w:t>
            </w:r>
          </w:p>
        </w:tc>
      </w:tr>
      <w:tr w:rsidR="006E1F63" w:rsidRPr="00222917" w:rsidTr="00F662F0">
        <w:trPr>
          <w:trHeight w:val="240"/>
        </w:trPr>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701" w:type="dxa"/>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r w:rsidRPr="00222917">
              <w:rPr>
                <w:rFonts w:eastAsia="Gulim"/>
                <w:sz w:val="16"/>
                <w:szCs w:val="16"/>
                <w:lang w:val="en-US"/>
              </w:rPr>
              <w:t>Welfare facilities</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b/>
                <w:sz w:val="16"/>
                <w:szCs w:val="16"/>
                <w:lang w:val="en-US"/>
              </w:rPr>
            </w:pPr>
            <w:r w:rsidRPr="00222917">
              <w:rPr>
                <w:rFonts w:eastAsia="Gulim"/>
                <w:b/>
                <w:sz w:val="16"/>
                <w:szCs w:val="16"/>
                <w:lang w:val="en-US"/>
              </w:rPr>
              <w:t>373</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5</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35</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34</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38</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78</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65</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118</w:t>
            </w:r>
          </w:p>
        </w:tc>
      </w:tr>
      <w:tr w:rsidR="006E1F63" w:rsidRPr="00222917" w:rsidTr="00F662F0">
        <w:trPr>
          <w:trHeight w:val="240"/>
        </w:trPr>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701" w:type="dxa"/>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r w:rsidRPr="00222917">
              <w:rPr>
                <w:rFonts w:eastAsia="Gulim"/>
                <w:sz w:val="16"/>
                <w:szCs w:val="16"/>
                <w:lang w:val="en-US"/>
              </w:rPr>
              <w:t>Correctional</w:t>
            </w:r>
            <w:r w:rsidR="00974357" w:rsidRPr="00222917">
              <w:rPr>
                <w:rFonts w:eastAsia="Gulim"/>
                <w:sz w:val="16"/>
                <w:szCs w:val="16"/>
                <w:lang w:val="en-US"/>
              </w:rPr>
              <w:t xml:space="preserve"> </w:t>
            </w:r>
            <w:r w:rsidRPr="00222917">
              <w:rPr>
                <w:rFonts w:eastAsia="Gulim"/>
                <w:sz w:val="16"/>
                <w:szCs w:val="16"/>
                <w:lang w:val="en-US"/>
              </w:rPr>
              <w:t>Facilities</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b/>
                <w:sz w:val="16"/>
                <w:szCs w:val="16"/>
                <w:lang w:val="en-US"/>
              </w:rPr>
            </w:pPr>
            <w:r w:rsidRPr="00222917">
              <w:rPr>
                <w:rFonts w:eastAsia="Gulim"/>
                <w:b/>
                <w:sz w:val="16"/>
                <w:szCs w:val="16"/>
                <w:lang w:val="en-US"/>
              </w:rPr>
              <w:t>262</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41</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45</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24</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43</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44</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45</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20</w:t>
            </w:r>
          </w:p>
        </w:tc>
      </w:tr>
      <w:tr w:rsidR="006E1F63" w:rsidRPr="00222917" w:rsidTr="00F662F0">
        <w:trPr>
          <w:trHeight w:val="240"/>
        </w:trPr>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701" w:type="dxa"/>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r w:rsidRPr="00222917">
              <w:rPr>
                <w:rFonts w:eastAsia="Gulim"/>
                <w:sz w:val="16"/>
                <w:szCs w:val="16"/>
                <w:lang w:val="en-US"/>
              </w:rPr>
              <w:t>Other state agencies</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b/>
                <w:sz w:val="16"/>
                <w:szCs w:val="16"/>
                <w:lang w:val="en-US"/>
              </w:rPr>
            </w:pPr>
            <w:r w:rsidRPr="00222917">
              <w:rPr>
                <w:rFonts w:eastAsia="Gulim"/>
                <w:b/>
                <w:sz w:val="16"/>
                <w:szCs w:val="16"/>
                <w:lang w:val="en-US"/>
              </w:rPr>
              <w:t>207</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16</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83</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15</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11</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27</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40</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15</w:t>
            </w:r>
          </w:p>
        </w:tc>
      </w:tr>
      <w:tr w:rsidR="006E1F63" w:rsidRPr="00222917" w:rsidTr="00F662F0">
        <w:trPr>
          <w:trHeight w:val="240"/>
        </w:trPr>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701" w:type="dxa"/>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r w:rsidRPr="00222917">
              <w:rPr>
                <w:rFonts w:eastAsia="Gulim"/>
                <w:sz w:val="16"/>
                <w:szCs w:val="16"/>
                <w:lang w:val="en-US"/>
              </w:rPr>
              <w:t>Local governments</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b/>
                <w:sz w:val="16"/>
                <w:szCs w:val="16"/>
                <w:lang w:val="en-US"/>
              </w:rPr>
            </w:pPr>
            <w:r w:rsidRPr="00222917">
              <w:rPr>
                <w:rFonts w:eastAsia="Gulim"/>
                <w:b/>
                <w:sz w:val="16"/>
                <w:szCs w:val="16"/>
                <w:lang w:val="en-US"/>
              </w:rPr>
              <w:t>144</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6</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16</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16</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32</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30</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17</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27</w:t>
            </w:r>
          </w:p>
        </w:tc>
      </w:tr>
      <w:tr w:rsidR="006E1F63" w:rsidRPr="00222917" w:rsidTr="00F662F0">
        <w:trPr>
          <w:trHeight w:val="240"/>
        </w:trPr>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701" w:type="dxa"/>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r w:rsidRPr="00222917">
              <w:rPr>
                <w:rFonts w:eastAsia="Gulim"/>
                <w:sz w:val="16"/>
                <w:szCs w:val="16"/>
                <w:lang w:val="en-US"/>
              </w:rPr>
              <w:t>Prosecutors Office</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b/>
                <w:sz w:val="16"/>
                <w:szCs w:val="16"/>
                <w:lang w:val="en-US"/>
              </w:rPr>
            </w:pPr>
            <w:r w:rsidRPr="00222917">
              <w:rPr>
                <w:rFonts w:eastAsia="Gulim"/>
                <w:b/>
                <w:sz w:val="16"/>
                <w:szCs w:val="16"/>
                <w:lang w:val="en-US"/>
              </w:rPr>
              <w:t>65</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8</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10</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8</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11</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18</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5</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5</w:t>
            </w:r>
          </w:p>
        </w:tc>
      </w:tr>
      <w:tr w:rsidR="006E1F63" w:rsidRPr="00222917" w:rsidTr="00F662F0">
        <w:trPr>
          <w:trHeight w:val="240"/>
        </w:trPr>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701" w:type="dxa"/>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r w:rsidRPr="00222917">
              <w:rPr>
                <w:rFonts w:eastAsia="Gulim"/>
                <w:sz w:val="16"/>
                <w:szCs w:val="16"/>
                <w:lang w:val="en-US"/>
              </w:rPr>
              <w:t>Military</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b/>
                <w:sz w:val="16"/>
                <w:szCs w:val="16"/>
                <w:lang w:val="en-US"/>
              </w:rPr>
            </w:pPr>
            <w:r w:rsidRPr="00222917">
              <w:rPr>
                <w:rFonts w:eastAsia="Gulim"/>
                <w:b/>
                <w:sz w:val="16"/>
                <w:szCs w:val="16"/>
                <w:lang w:val="en-US"/>
              </w:rPr>
              <w:t>48</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3</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4</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10</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9</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12</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3</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7</w:t>
            </w:r>
          </w:p>
        </w:tc>
      </w:tr>
      <w:tr w:rsidR="006E1F63" w:rsidRPr="00222917" w:rsidTr="00F662F0">
        <w:trPr>
          <w:trHeight w:val="240"/>
        </w:trPr>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701" w:type="dxa"/>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r w:rsidRPr="00222917">
              <w:rPr>
                <w:rFonts w:eastAsia="Gulim"/>
                <w:sz w:val="16"/>
                <w:szCs w:val="16"/>
                <w:lang w:val="en-US"/>
              </w:rPr>
              <w:t>Schools</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b/>
                <w:sz w:val="16"/>
                <w:szCs w:val="16"/>
                <w:lang w:val="en-US"/>
              </w:rPr>
            </w:pPr>
            <w:r w:rsidRPr="00222917">
              <w:rPr>
                <w:rFonts w:eastAsia="Gulim"/>
                <w:b/>
                <w:sz w:val="16"/>
                <w:szCs w:val="16"/>
                <w:lang w:val="en-US"/>
              </w:rPr>
              <w:t>16</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14</w:t>
            </w:r>
          </w:p>
        </w:tc>
      </w:tr>
      <w:tr w:rsidR="006E1F63" w:rsidRPr="00222917" w:rsidTr="00F662F0">
        <w:trPr>
          <w:trHeight w:val="240"/>
        </w:trPr>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701" w:type="dxa"/>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r w:rsidRPr="00222917">
              <w:rPr>
                <w:rFonts w:eastAsia="Gulim"/>
                <w:sz w:val="16"/>
                <w:szCs w:val="16"/>
                <w:lang w:val="en-US"/>
              </w:rPr>
              <w:t>Special judicial police</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b/>
                <w:sz w:val="16"/>
                <w:szCs w:val="16"/>
                <w:lang w:val="en-US"/>
              </w:rPr>
            </w:pPr>
            <w:r w:rsidRPr="00222917">
              <w:rPr>
                <w:rFonts w:eastAsia="Gulim"/>
                <w:b/>
                <w:sz w:val="16"/>
                <w:szCs w:val="16"/>
                <w:lang w:val="en-US"/>
              </w:rPr>
              <w:t>13</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5</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w:t>
            </w:r>
          </w:p>
        </w:tc>
      </w:tr>
      <w:tr w:rsidR="006E1F63" w:rsidRPr="00222917" w:rsidTr="00F662F0">
        <w:trPr>
          <w:trHeight w:val="240"/>
        </w:trPr>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701" w:type="dxa"/>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r w:rsidRPr="00222917">
              <w:rPr>
                <w:rFonts w:eastAsia="Gulim"/>
                <w:sz w:val="16"/>
                <w:szCs w:val="16"/>
                <w:lang w:val="en-US"/>
              </w:rPr>
              <w:t>Judicial authorities</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b/>
                <w:sz w:val="16"/>
                <w:szCs w:val="16"/>
                <w:lang w:val="en-US"/>
              </w:rPr>
            </w:pPr>
            <w:r w:rsidRPr="00222917">
              <w:rPr>
                <w:rFonts w:eastAsia="Gulim"/>
                <w:b/>
                <w:sz w:val="16"/>
                <w:szCs w:val="16"/>
                <w:lang w:val="en-US"/>
              </w:rPr>
              <w:t>7</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4</w:t>
            </w:r>
          </w:p>
        </w:tc>
      </w:tr>
      <w:tr w:rsidR="006E1F63" w:rsidRPr="00222917" w:rsidTr="00F662F0">
        <w:trPr>
          <w:trHeight w:val="240"/>
        </w:trPr>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701" w:type="dxa"/>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r w:rsidRPr="00222917">
              <w:rPr>
                <w:rFonts w:eastAsia="Gulim"/>
                <w:sz w:val="16"/>
                <w:szCs w:val="16"/>
                <w:lang w:val="en-US"/>
              </w:rPr>
              <w:t>Legislative authorities</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b/>
                <w:sz w:val="16"/>
                <w:szCs w:val="16"/>
                <w:lang w:val="en-US"/>
              </w:rPr>
            </w:pPr>
            <w:r w:rsidRPr="00222917">
              <w:rPr>
                <w:rFonts w:eastAsia="Gulim"/>
                <w:b/>
                <w:sz w:val="16"/>
                <w:szCs w:val="16"/>
                <w:lang w:val="en-US"/>
              </w:rPr>
              <w:t>5</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5</w:t>
            </w:r>
          </w:p>
        </w:tc>
      </w:tr>
      <w:tr w:rsidR="006E1F63" w:rsidRPr="00222917" w:rsidTr="00F662F0">
        <w:trPr>
          <w:trHeight w:val="240"/>
        </w:trPr>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701" w:type="dxa"/>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r w:rsidRPr="00222917">
              <w:rPr>
                <w:rFonts w:eastAsia="Gulim"/>
                <w:sz w:val="16"/>
                <w:szCs w:val="16"/>
                <w:lang w:val="en-US"/>
              </w:rPr>
              <w:t>National Intelligence Service</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b/>
                <w:sz w:val="16"/>
                <w:szCs w:val="16"/>
                <w:lang w:val="en-US"/>
              </w:rPr>
            </w:pPr>
            <w:r w:rsidRPr="00222917">
              <w:rPr>
                <w:rFonts w:eastAsia="Gulim"/>
                <w:b/>
                <w:sz w:val="16"/>
                <w:szCs w:val="16"/>
                <w:lang w:val="en-US"/>
              </w:rPr>
              <w:t>4</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w:t>
            </w:r>
          </w:p>
        </w:tc>
      </w:tr>
      <w:tr w:rsidR="006E1F63" w:rsidRPr="00222917" w:rsidTr="00F662F0">
        <w:trPr>
          <w:trHeight w:val="240"/>
        </w:trPr>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701" w:type="dxa"/>
            <w:tcBorders>
              <w:bottom w:val="single" w:sz="4" w:space="0" w:color="000000"/>
            </w:tcBorders>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r w:rsidRPr="00222917">
              <w:rPr>
                <w:rFonts w:eastAsia="Gulim"/>
                <w:sz w:val="16"/>
                <w:szCs w:val="16"/>
                <w:lang w:val="en-US"/>
              </w:rPr>
              <w:t>Others</w:t>
            </w:r>
          </w:p>
        </w:tc>
        <w:tc>
          <w:tcPr>
            <w:tcW w:w="567" w:type="dxa"/>
            <w:tcBorders>
              <w:bottom w:val="single" w:sz="4" w:space="0" w:color="000000"/>
            </w:tcBorders>
            <w:shd w:val="clear" w:color="auto" w:fill="auto"/>
          </w:tcPr>
          <w:p w:rsidR="006E1F63" w:rsidRPr="00222917" w:rsidRDefault="006E1F63" w:rsidP="00D17669">
            <w:pPr>
              <w:suppressAutoHyphens w:val="0"/>
              <w:snapToGrid w:val="0"/>
              <w:spacing w:before="40" w:after="40" w:line="200" w:lineRule="exact"/>
              <w:jc w:val="right"/>
              <w:rPr>
                <w:rFonts w:eastAsia="Gulim"/>
                <w:b/>
                <w:sz w:val="16"/>
                <w:szCs w:val="16"/>
                <w:lang w:val="en-US"/>
              </w:rPr>
            </w:pPr>
            <w:r w:rsidRPr="00222917">
              <w:rPr>
                <w:rFonts w:eastAsia="Gulim"/>
                <w:b/>
                <w:sz w:val="16"/>
                <w:szCs w:val="16"/>
                <w:lang w:val="en-US"/>
              </w:rPr>
              <w:t>39</w:t>
            </w:r>
          </w:p>
        </w:tc>
        <w:tc>
          <w:tcPr>
            <w:tcW w:w="567" w:type="dxa"/>
            <w:tcBorders>
              <w:bottom w:val="single" w:sz="4" w:space="0" w:color="000000"/>
            </w:tcBorders>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w:t>
            </w:r>
          </w:p>
        </w:tc>
        <w:tc>
          <w:tcPr>
            <w:tcW w:w="567" w:type="dxa"/>
            <w:tcBorders>
              <w:bottom w:val="single" w:sz="4" w:space="0" w:color="000000"/>
            </w:tcBorders>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4</w:t>
            </w:r>
          </w:p>
        </w:tc>
        <w:tc>
          <w:tcPr>
            <w:tcW w:w="567" w:type="dxa"/>
            <w:tcBorders>
              <w:bottom w:val="single" w:sz="4" w:space="0" w:color="000000"/>
            </w:tcBorders>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4</w:t>
            </w:r>
          </w:p>
        </w:tc>
        <w:tc>
          <w:tcPr>
            <w:tcW w:w="567" w:type="dxa"/>
            <w:tcBorders>
              <w:bottom w:val="single" w:sz="4" w:space="0" w:color="000000"/>
            </w:tcBorders>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w:t>
            </w:r>
          </w:p>
        </w:tc>
        <w:tc>
          <w:tcPr>
            <w:tcW w:w="567" w:type="dxa"/>
            <w:tcBorders>
              <w:bottom w:val="single" w:sz="4" w:space="0" w:color="000000"/>
            </w:tcBorders>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5</w:t>
            </w:r>
          </w:p>
        </w:tc>
        <w:tc>
          <w:tcPr>
            <w:tcW w:w="567" w:type="dxa"/>
            <w:tcBorders>
              <w:bottom w:val="single" w:sz="4" w:space="0" w:color="000000"/>
            </w:tcBorders>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15</w:t>
            </w:r>
          </w:p>
        </w:tc>
        <w:tc>
          <w:tcPr>
            <w:tcW w:w="567" w:type="dxa"/>
            <w:tcBorders>
              <w:bottom w:val="single" w:sz="4" w:space="0" w:color="000000"/>
            </w:tcBorders>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10</w:t>
            </w:r>
          </w:p>
        </w:tc>
      </w:tr>
      <w:tr w:rsidR="006E1F63" w:rsidRPr="00222917" w:rsidTr="00F662F0">
        <w:trPr>
          <w:trHeight w:val="240"/>
        </w:trPr>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134" w:type="dxa"/>
            <w:vMerge w:val="restart"/>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r w:rsidRPr="00222917">
              <w:rPr>
                <w:rFonts w:eastAsia="Gulim"/>
                <w:sz w:val="16"/>
                <w:szCs w:val="16"/>
                <w:lang w:val="en-US"/>
              </w:rPr>
              <w:t>Rejected or</w:t>
            </w:r>
            <w:r w:rsidR="00DC7F48" w:rsidRPr="00222917">
              <w:rPr>
                <w:rFonts w:eastAsia="Gulim"/>
                <w:sz w:val="16"/>
                <w:szCs w:val="16"/>
                <w:lang w:val="en-US"/>
              </w:rPr>
              <w:t> </w:t>
            </w:r>
            <w:r w:rsidRPr="00222917">
              <w:rPr>
                <w:rFonts w:eastAsia="Gulim"/>
                <w:sz w:val="16"/>
                <w:szCs w:val="16"/>
                <w:lang w:val="en-US"/>
              </w:rPr>
              <w:t>others</w:t>
            </w:r>
          </w:p>
        </w:tc>
        <w:tc>
          <w:tcPr>
            <w:tcW w:w="1701" w:type="dxa"/>
            <w:tcBorders>
              <w:top w:val="single" w:sz="4" w:space="0" w:color="000000"/>
              <w:bottom w:val="single" w:sz="4" w:space="0" w:color="000000"/>
            </w:tcBorders>
            <w:shd w:val="clear" w:color="auto" w:fill="auto"/>
            <w:vAlign w:val="center"/>
          </w:tcPr>
          <w:p w:rsidR="006E1F63" w:rsidRPr="00222917" w:rsidRDefault="006E1F63" w:rsidP="00D17669">
            <w:pPr>
              <w:suppressAutoHyphens w:val="0"/>
              <w:snapToGrid w:val="0"/>
              <w:spacing w:before="80" w:after="80" w:line="200" w:lineRule="exact"/>
              <w:rPr>
                <w:rFonts w:eastAsia="Gulim"/>
                <w:b/>
                <w:sz w:val="16"/>
                <w:szCs w:val="16"/>
                <w:lang w:val="en-US"/>
              </w:rPr>
            </w:pPr>
            <w:r w:rsidRPr="00222917">
              <w:rPr>
                <w:rFonts w:eastAsia="Gulim"/>
                <w:b/>
                <w:sz w:val="16"/>
                <w:szCs w:val="16"/>
                <w:lang w:val="en-US"/>
              </w:rPr>
              <w:t>Subtotal</w:t>
            </w:r>
          </w:p>
        </w:tc>
        <w:tc>
          <w:tcPr>
            <w:tcW w:w="567" w:type="dxa"/>
            <w:tcBorders>
              <w:top w:val="single" w:sz="4" w:space="0" w:color="000000"/>
              <w:bottom w:val="single" w:sz="4" w:space="0" w:color="000000"/>
            </w:tcBorders>
            <w:shd w:val="clear" w:color="auto" w:fill="auto"/>
          </w:tcPr>
          <w:p w:rsidR="006E1F63" w:rsidRPr="00222917" w:rsidRDefault="006E1F63" w:rsidP="00D17669">
            <w:pPr>
              <w:suppressAutoHyphens w:val="0"/>
              <w:snapToGrid w:val="0"/>
              <w:spacing w:before="80" w:after="80" w:line="200" w:lineRule="exact"/>
              <w:jc w:val="right"/>
              <w:rPr>
                <w:rFonts w:eastAsia="Gulim"/>
                <w:b/>
                <w:sz w:val="16"/>
                <w:szCs w:val="16"/>
                <w:lang w:val="en-US"/>
              </w:rPr>
            </w:pPr>
            <w:r w:rsidRPr="00222917">
              <w:rPr>
                <w:rFonts w:eastAsia="Gulim"/>
                <w:b/>
                <w:sz w:val="16"/>
                <w:szCs w:val="16"/>
                <w:lang w:val="en-US"/>
              </w:rPr>
              <w:t>31,888</w:t>
            </w:r>
          </w:p>
        </w:tc>
        <w:tc>
          <w:tcPr>
            <w:tcW w:w="567" w:type="dxa"/>
            <w:tcBorders>
              <w:top w:val="single" w:sz="4" w:space="0" w:color="000000"/>
              <w:bottom w:val="single" w:sz="4" w:space="0" w:color="000000"/>
            </w:tcBorders>
            <w:shd w:val="clear" w:color="auto" w:fill="auto"/>
          </w:tcPr>
          <w:p w:rsidR="006E1F63" w:rsidRPr="00222917" w:rsidRDefault="006E1F63" w:rsidP="00D17669">
            <w:pPr>
              <w:suppressAutoHyphens w:val="0"/>
              <w:snapToGrid w:val="0"/>
              <w:spacing w:before="80" w:after="80" w:line="200" w:lineRule="exact"/>
              <w:jc w:val="right"/>
              <w:rPr>
                <w:rFonts w:eastAsia="Gulim"/>
                <w:b/>
                <w:sz w:val="16"/>
                <w:szCs w:val="16"/>
                <w:lang w:val="en-US"/>
              </w:rPr>
            </w:pPr>
            <w:r w:rsidRPr="00222917">
              <w:rPr>
                <w:rFonts w:eastAsia="Gulim"/>
                <w:b/>
                <w:sz w:val="16"/>
                <w:szCs w:val="16"/>
                <w:lang w:val="en-US"/>
              </w:rPr>
              <w:t>4,786</w:t>
            </w:r>
          </w:p>
        </w:tc>
        <w:tc>
          <w:tcPr>
            <w:tcW w:w="567" w:type="dxa"/>
            <w:tcBorders>
              <w:top w:val="single" w:sz="4" w:space="0" w:color="000000"/>
              <w:bottom w:val="single" w:sz="4" w:space="0" w:color="000000"/>
            </w:tcBorders>
            <w:shd w:val="clear" w:color="auto" w:fill="auto"/>
          </w:tcPr>
          <w:p w:rsidR="006E1F63" w:rsidRPr="00222917" w:rsidRDefault="006E1F63" w:rsidP="00D17669">
            <w:pPr>
              <w:suppressAutoHyphens w:val="0"/>
              <w:snapToGrid w:val="0"/>
              <w:spacing w:before="80" w:after="80" w:line="200" w:lineRule="exact"/>
              <w:jc w:val="right"/>
              <w:rPr>
                <w:rFonts w:eastAsia="Gulim"/>
                <w:b/>
                <w:sz w:val="16"/>
                <w:szCs w:val="16"/>
                <w:lang w:val="en-US"/>
              </w:rPr>
            </w:pPr>
            <w:r w:rsidRPr="00222917">
              <w:rPr>
                <w:rFonts w:eastAsia="Gulim"/>
                <w:b/>
                <w:sz w:val="16"/>
                <w:szCs w:val="16"/>
                <w:lang w:val="en-US"/>
              </w:rPr>
              <w:t>3,888</w:t>
            </w:r>
          </w:p>
        </w:tc>
        <w:tc>
          <w:tcPr>
            <w:tcW w:w="567" w:type="dxa"/>
            <w:tcBorders>
              <w:top w:val="single" w:sz="4" w:space="0" w:color="000000"/>
              <w:bottom w:val="single" w:sz="4" w:space="0" w:color="000000"/>
            </w:tcBorders>
            <w:shd w:val="clear" w:color="auto" w:fill="auto"/>
          </w:tcPr>
          <w:p w:rsidR="006E1F63" w:rsidRPr="00222917" w:rsidRDefault="006E1F63" w:rsidP="00D17669">
            <w:pPr>
              <w:suppressAutoHyphens w:val="0"/>
              <w:snapToGrid w:val="0"/>
              <w:spacing w:before="80" w:after="80" w:line="200" w:lineRule="exact"/>
              <w:jc w:val="right"/>
              <w:rPr>
                <w:rFonts w:eastAsia="Gulim"/>
                <w:b/>
                <w:sz w:val="16"/>
                <w:szCs w:val="16"/>
                <w:lang w:val="en-US"/>
              </w:rPr>
            </w:pPr>
            <w:r w:rsidRPr="00222917">
              <w:rPr>
                <w:rFonts w:eastAsia="Gulim"/>
                <w:b/>
                <w:sz w:val="16"/>
                <w:szCs w:val="16"/>
                <w:lang w:val="en-US"/>
              </w:rPr>
              <w:t>3,043</w:t>
            </w:r>
          </w:p>
        </w:tc>
        <w:tc>
          <w:tcPr>
            <w:tcW w:w="567" w:type="dxa"/>
            <w:tcBorders>
              <w:top w:val="single" w:sz="4" w:space="0" w:color="000000"/>
              <w:bottom w:val="single" w:sz="4" w:space="0" w:color="000000"/>
            </w:tcBorders>
            <w:shd w:val="clear" w:color="auto" w:fill="auto"/>
          </w:tcPr>
          <w:p w:rsidR="006E1F63" w:rsidRPr="00222917" w:rsidRDefault="006E1F63" w:rsidP="00D17669">
            <w:pPr>
              <w:suppressAutoHyphens w:val="0"/>
              <w:snapToGrid w:val="0"/>
              <w:spacing w:before="80" w:after="80" w:line="200" w:lineRule="exact"/>
              <w:jc w:val="right"/>
              <w:rPr>
                <w:rFonts w:eastAsia="Gulim"/>
                <w:b/>
                <w:sz w:val="16"/>
                <w:szCs w:val="16"/>
                <w:lang w:val="en-US"/>
              </w:rPr>
            </w:pPr>
            <w:r w:rsidRPr="00222917">
              <w:rPr>
                <w:rFonts w:eastAsia="Gulim"/>
                <w:b/>
                <w:sz w:val="16"/>
                <w:szCs w:val="16"/>
                <w:lang w:val="en-US"/>
              </w:rPr>
              <w:t>4,518</w:t>
            </w:r>
          </w:p>
        </w:tc>
        <w:tc>
          <w:tcPr>
            <w:tcW w:w="567" w:type="dxa"/>
            <w:tcBorders>
              <w:top w:val="single" w:sz="4" w:space="0" w:color="000000"/>
              <w:bottom w:val="single" w:sz="4" w:space="0" w:color="000000"/>
            </w:tcBorders>
            <w:shd w:val="clear" w:color="auto" w:fill="auto"/>
          </w:tcPr>
          <w:p w:rsidR="006E1F63" w:rsidRPr="00222917" w:rsidRDefault="006E1F63" w:rsidP="00D17669">
            <w:pPr>
              <w:suppressAutoHyphens w:val="0"/>
              <w:snapToGrid w:val="0"/>
              <w:spacing w:before="80" w:after="80" w:line="200" w:lineRule="exact"/>
              <w:jc w:val="right"/>
              <w:rPr>
                <w:rFonts w:eastAsia="Gulim"/>
                <w:b/>
                <w:sz w:val="16"/>
                <w:szCs w:val="16"/>
                <w:lang w:val="en-US"/>
              </w:rPr>
            </w:pPr>
            <w:r w:rsidRPr="00222917">
              <w:rPr>
                <w:rFonts w:eastAsia="Gulim"/>
                <w:b/>
                <w:sz w:val="16"/>
                <w:szCs w:val="16"/>
                <w:lang w:val="en-US"/>
              </w:rPr>
              <w:t>4,980</w:t>
            </w:r>
          </w:p>
        </w:tc>
        <w:tc>
          <w:tcPr>
            <w:tcW w:w="567" w:type="dxa"/>
            <w:tcBorders>
              <w:top w:val="single" w:sz="4" w:space="0" w:color="000000"/>
              <w:bottom w:val="single" w:sz="4" w:space="0" w:color="000000"/>
            </w:tcBorders>
            <w:shd w:val="clear" w:color="auto" w:fill="auto"/>
          </w:tcPr>
          <w:p w:rsidR="006E1F63" w:rsidRPr="00222917" w:rsidRDefault="006E1F63" w:rsidP="00D17669">
            <w:pPr>
              <w:suppressAutoHyphens w:val="0"/>
              <w:snapToGrid w:val="0"/>
              <w:spacing w:before="80" w:after="80" w:line="200" w:lineRule="exact"/>
              <w:jc w:val="right"/>
              <w:rPr>
                <w:rFonts w:eastAsia="Gulim"/>
                <w:b/>
                <w:sz w:val="16"/>
                <w:szCs w:val="16"/>
                <w:lang w:val="en-US"/>
              </w:rPr>
            </w:pPr>
            <w:r w:rsidRPr="00222917">
              <w:rPr>
                <w:rFonts w:eastAsia="Gulim"/>
                <w:b/>
                <w:sz w:val="16"/>
                <w:szCs w:val="16"/>
                <w:lang w:val="en-US"/>
              </w:rPr>
              <w:t>4,743</w:t>
            </w:r>
          </w:p>
        </w:tc>
        <w:tc>
          <w:tcPr>
            <w:tcW w:w="567" w:type="dxa"/>
            <w:tcBorders>
              <w:top w:val="single" w:sz="4" w:space="0" w:color="000000"/>
              <w:bottom w:val="single" w:sz="4" w:space="0" w:color="000000"/>
            </w:tcBorders>
            <w:shd w:val="clear" w:color="auto" w:fill="auto"/>
          </w:tcPr>
          <w:p w:rsidR="006E1F63" w:rsidRPr="00222917" w:rsidRDefault="006E1F63" w:rsidP="00D17669">
            <w:pPr>
              <w:suppressAutoHyphens w:val="0"/>
              <w:snapToGrid w:val="0"/>
              <w:spacing w:before="80" w:after="80" w:line="200" w:lineRule="exact"/>
              <w:jc w:val="right"/>
              <w:rPr>
                <w:rFonts w:eastAsia="Gulim"/>
                <w:b/>
                <w:sz w:val="16"/>
                <w:szCs w:val="16"/>
                <w:lang w:val="en-US"/>
              </w:rPr>
            </w:pPr>
            <w:r w:rsidRPr="00222917">
              <w:rPr>
                <w:rFonts w:eastAsia="Gulim"/>
                <w:b/>
                <w:sz w:val="16"/>
                <w:szCs w:val="16"/>
                <w:lang w:val="en-US"/>
              </w:rPr>
              <w:t>5,930</w:t>
            </w:r>
          </w:p>
        </w:tc>
      </w:tr>
      <w:tr w:rsidR="006E1F63" w:rsidRPr="00222917" w:rsidTr="00F662F0">
        <w:trPr>
          <w:trHeight w:val="240"/>
        </w:trPr>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701" w:type="dxa"/>
            <w:tcBorders>
              <w:top w:val="single" w:sz="4" w:space="0" w:color="000000"/>
            </w:tcBorders>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r w:rsidRPr="00222917">
              <w:rPr>
                <w:rFonts w:eastAsia="Gulim"/>
                <w:sz w:val="16"/>
                <w:szCs w:val="16"/>
                <w:lang w:val="en-US"/>
              </w:rPr>
              <w:t>Police</w:t>
            </w:r>
          </w:p>
        </w:tc>
        <w:tc>
          <w:tcPr>
            <w:tcW w:w="567" w:type="dxa"/>
            <w:tcBorders>
              <w:top w:val="single" w:sz="4" w:space="0" w:color="000000"/>
            </w:tcBorders>
            <w:shd w:val="clear" w:color="auto" w:fill="auto"/>
          </w:tcPr>
          <w:p w:rsidR="006E1F63" w:rsidRPr="00222917" w:rsidRDefault="006E1F63" w:rsidP="00D17669">
            <w:pPr>
              <w:suppressAutoHyphens w:val="0"/>
              <w:snapToGrid w:val="0"/>
              <w:spacing w:before="40" w:after="40" w:line="200" w:lineRule="exact"/>
              <w:jc w:val="right"/>
              <w:rPr>
                <w:rFonts w:eastAsia="Gulim"/>
                <w:b/>
                <w:sz w:val="16"/>
                <w:szCs w:val="16"/>
                <w:lang w:val="en-US"/>
              </w:rPr>
            </w:pPr>
            <w:r w:rsidRPr="00222917">
              <w:rPr>
                <w:rFonts w:eastAsia="Gulim"/>
                <w:b/>
                <w:sz w:val="16"/>
                <w:szCs w:val="16"/>
                <w:lang w:val="en-US"/>
              </w:rPr>
              <w:t>6,723</w:t>
            </w:r>
          </w:p>
        </w:tc>
        <w:tc>
          <w:tcPr>
            <w:tcW w:w="567" w:type="dxa"/>
            <w:tcBorders>
              <w:top w:val="single" w:sz="4" w:space="0" w:color="000000"/>
            </w:tcBorders>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692</w:t>
            </w:r>
          </w:p>
        </w:tc>
        <w:tc>
          <w:tcPr>
            <w:tcW w:w="567" w:type="dxa"/>
            <w:tcBorders>
              <w:top w:val="single" w:sz="4" w:space="0" w:color="000000"/>
            </w:tcBorders>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792</w:t>
            </w:r>
          </w:p>
        </w:tc>
        <w:tc>
          <w:tcPr>
            <w:tcW w:w="567" w:type="dxa"/>
            <w:tcBorders>
              <w:top w:val="single" w:sz="4" w:space="0" w:color="000000"/>
            </w:tcBorders>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673</w:t>
            </w:r>
          </w:p>
        </w:tc>
        <w:tc>
          <w:tcPr>
            <w:tcW w:w="567" w:type="dxa"/>
            <w:tcBorders>
              <w:top w:val="single" w:sz="4" w:space="0" w:color="000000"/>
            </w:tcBorders>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1,099</w:t>
            </w:r>
          </w:p>
        </w:tc>
        <w:tc>
          <w:tcPr>
            <w:tcW w:w="567" w:type="dxa"/>
            <w:tcBorders>
              <w:top w:val="single" w:sz="4" w:space="0" w:color="000000"/>
            </w:tcBorders>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984</w:t>
            </w:r>
          </w:p>
        </w:tc>
        <w:tc>
          <w:tcPr>
            <w:tcW w:w="567" w:type="dxa"/>
            <w:tcBorders>
              <w:top w:val="single" w:sz="4" w:space="0" w:color="000000"/>
            </w:tcBorders>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1,150</w:t>
            </w:r>
          </w:p>
        </w:tc>
        <w:tc>
          <w:tcPr>
            <w:tcW w:w="567" w:type="dxa"/>
            <w:tcBorders>
              <w:top w:val="single" w:sz="4" w:space="0" w:color="000000"/>
            </w:tcBorders>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1,333</w:t>
            </w:r>
          </w:p>
        </w:tc>
      </w:tr>
      <w:tr w:rsidR="006E1F63" w:rsidRPr="00222917" w:rsidTr="00F662F0">
        <w:trPr>
          <w:trHeight w:val="240"/>
        </w:trPr>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701" w:type="dxa"/>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r w:rsidRPr="00222917">
              <w:rPr>
                <w:rFonts w:eastAsia="Gulim"/>
                <w:sz w:val="16"/>
                <w:szCs w:val="16"/>
                <w:lang w:val="en-US"/>
              </w:rPr>
              <w:t>Welfare Facilities</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b/>
                <w:sz w:val="16"/>
                <w:szCs w:val="16"/>
                <w:lang w:val="en-US"/>
              </w:rPr>
            </w:pPr>
            <w:r w:rsidRPr="00222917">
              <w:rPr>
                <w:rFonts w:eastAsia="Gulim"/>
                <w:b/>
                <w:sz w:val="16"/>
                <w:szCs w:val="16"/>
                <w:lang w:val="en-US"/>
              </w:rPr>
              <w:t>3,143</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94</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170</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147</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329</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689</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592</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1,122</w:t>
            </w:r>
          </w:p>
        </w:tc>
      </w:tr>
      <w:tr w:rsidR="006E1F63" w:rsidRPr="00222917" w:rsidTr="00F662F0">
        <w:trPr>
          <w:trHeight w:val="240"/>
        </w:trPr>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701" w:type="dxa"/>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r w:rsidRPr="00222917">
              <w:rPr>
                <w:rFonts w:eastAsia="Gulim"/>
                <w:sz w:val="16"/>
                <w:szCs w:val="16"/>
                <w:lang w:val="en-US"/>
              </w:rPr>
              <w:t>Correctional facilities</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b/>
                <w:sz w:val="16"/>
                <w:szCs w:val="16"/>
                <w:lang w:val="en-US"/>
              </w:rPr>
            </w:pPr>
            <w:r w:rsidRPr="00222917">
              <w:rPr>
                <w:rFonts w:eastAsia="Gulim"/>
                <w:b/>
                <w:sz w:val="16"/>
                <w:szCs w:val="16"/>
                <w:lang w:val="en-US"/>
              </w:rPr>
              <w:t>13,046</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2,071</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1,914</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1,453</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1,852</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2,003</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1,858</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1,895</w:t>
            </w:r>
          </w:p>
        </w:tc>
      </w:tr>
      <w:tr w:rsidR="006E1F63" w:rsidRPr="00222917" w:rsidTr="00F662F0">
        <w:trPr>
          <w:trHeight w:val="240"/>
        </w:trPr>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701" w:type="dxa"/>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r w:rsidRPr="00222917">
              <w:rPr>
                <w:rFonts w:eastAsia="Gulim"/>
                <w:sz w:val="16"/>
                <w:szCs w:val="16"/>
                <w:lang w:val="en-US"/>
              </w:rPr>
              <w:t>Other state agencies</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b/>
                <w:sz w:val="16"/>
                <w:szCs w:val="16"/>
                <w:lang w:val="en-US"/>
              </w:rPr>
            </w:pPr>
            <w:r w:rsidRPr="00222917">
              <w:rPr>
                <w:rFonts w:eastAsia="Gulim"/>
                <w:b/>
                <w:sz w:val="16"/>
                <w:szCs w:val="16"/>
                <w:lang w:val="en-US"/>
              </w:rPr>
              <w:t>3,804</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1,513</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461</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386</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348</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360</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288</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448</w:t>
            </w:r>
          </w:p>
        </w:tc>
      </w:tr>
      <w:tr w:rsidR="006E1F63" w:rsidRPr="00222917" w:rsidTr="00F662F0">
        <w:trPr>
          <w:trHeight w:val="240"/>
        </w:trPr>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701" w:type="dxa"/>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r w:rsidRPr="00222917">
              <w:rPr>
                <w:rFonts w:eastAsia="Gulim"/>
                <w:sz w:val="16"/>
                <w:szCs w:val="16"/>
                <w:lang w:val="en-US"/>
              </w:rPr>
              <w:t>Local governments</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b/>
                <w:sz w:val="16"/>
                <w:szCs w:val="16"/>
                <w:lang w:val="en-US"/>
              </w:rPr>
            </w:pPr>
            <w:r w:rsidRPr="00222917">
              <w:rPr>
                <w:rFonts w:eastAsia="Gulim"/>
                <w:b/>
                <w:sz w:val="16"/>
                <w:szCs w:val="16"/>
                <w:lang w:val="en-US"/>
              </w:rPr>
              <w:t>1,564</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96</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170</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122</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364</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386</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166</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260</w:t>
            </w:r>
          </w:p>
        </w:tc>
      </w:tr>
      <w:tr w:rsidR="006E1F63" w:rsidRPr="00222917" w:rsidTr="00F662F0">
        <w:trPr>
          <w:trHeight w:val="240"/>
        </w:trPr>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701" w:type="dxa"/>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r w:rsidRPr="00222917">
              <w:rPr>
                <w:rFonts w:eastAsia="Gulim"/>
                <w:sz w:val="16"/>
                <w:szCs w:val="16"/>
                <w:lang w:val="en-US"/>
              </w:rPr>
              <w:t>Prosecutors Office</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b/>
                <w:sz w:val="16"/>
                <w:szCs w:val="16"/>
                <w:lang w:val="en-US"/>
              </w:rPr>
            </w:pPr>
            <w:r w:rsidRPr="00222917">
              <w:rPr>
                <w:rFonts w:eastAsia="Gulim"/>
                <w:b/>
                <w:sz w:val="16"/>
                <w:szCs w:val="16"/>
                <w:lang w:val="en-US"/>
              </w:rPr>
              <w:t>1,247</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175</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201</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123</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216</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195</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127</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210</w:t>
            </w:r>
          </w:p>
        </w:tc>
      </w:tr>
      <w:tr w:rsidR="006E1F63" w:rsidRPr="00222917" w:rsidTr="00F662F0">
        <w:trPr>
          <w:trHeight w:val="240"/>
        </w:trPr>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701" w:type="dxa"/>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r w:rsidRPr="00222917">
              <w:rPr>
                <w:rFonts w:eastAsia="Gulim"/>
                <w:sz w:val="16"/>
                <w:szCs w:val="16"/>
                <w:lang w:val="en-US"/>
              </w:rPr>
              <w:t>Military</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b/>
                <w:sz w:val="16"/>
                <w:szCs w:val="16"/>
                <w:lang w:val="en-US"/>
              </w:rPr>
            </w:pPr>
            <w:r w:rsidRPr="00222917">
              <w:rPr>
                <w:rFonts w:eastAsia="Gulim"/>
                <w:b/>
                <w:sz w:val="16"/>
                <w:szCs w:val="16"/>
                <w:lang w:val="en-US"/>
              </w:rPr>
              <w:t>567</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73</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77</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59</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75</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69</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75</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139</w:t>
            </w:r>
          </w:p>
        </w:tc>
      </w:tr>
      <w:tr w:rsidR="006E1F63" w:rsidRPr="00222917" w:rsidTr="00F662F0">
        <w:trPr>
          <w:trHeight w:val="240"/>
        </w:trPr>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701" w:type="dxa"/>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r w:rsidRPr="00222917">
              <w:rPr>
                <w:rFonts w:eastAsia="Gulim"/>
                <w:sz w:val="16"/>
                <w:szCs w:val="16"/>
                <w:lang w:val="en-US"/>
              </w:rPr>
              <w:t>Schools</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b/>
                <w:sz w:val="16"/>
                <w:szCs w:val="16"/>
                <w:lang w:val="en-US"/>
              </w:rPr>
            </w:pPr>
            <w:r w:rsidRPr="00222917">
              <w:rPr>
                <w:rFonts w:eastAsia="Gulim"/>
                <w:b/>
                <w:sz w:val="16"/>
                <w:szCs w:val="16"/>
                <w:lang w:val="en-US"/>
              </w:rPr>
              <w:t>149</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148</w:t>
            </w:r>
          </w:p>
        </w:tc>
      </w:tr>
      <w:tr w:rsidR="006E1F63" w:rsidRPr="00222917" w:rsidTr="00F662F0">
        <w:trPr>
          <w:trHeight w:val="240"/>
        </w:trPr>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701" w:type="dxa"/>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r w:rsidRPr="00222917">
              <w:rPr>
                <w:rFonts w:eastAsia="Gulim"/>
                <w:sz w:val="16"/>
                <w:szCs w:val="16"/>
                <w:lang w:val="en-US"/>
              </w:rPr>
              <w:t>Special judicial police</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b/>
                <w:sz w:val="16"/>
                <w:szCs w:val="16"/>
                <w:lang w:val="en-US"/>
              </w:rPr>
            </w:pPr>
            <w:r w:rsidRPr="00222917">
              <w:rPr>
                <w:rFonts w:eastAsia="Gulim"/>
                <w:b/>
                <w:sz w:val="16"/>
                <w:szCs w:val="16"/>
                <w:lang w:val="en-US"/>
              </w:rPr>
              <w:t>105</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23</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30</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11</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6</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21</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8</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6</w:t>
            </w:r>
          </w:p>
        </w:tc>
      </w:tr>
      <w:tr w:rsidR="006E1F63" w:rsidRPr="00222917" w:rsidTr="00F662F0">
        <w:trPr>
          <w:trHeight w:val="240"/>
        </w:trPr>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701" w:type="dxa"/>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r w:rsidRPr="00222917">
              <w:rPr>
                <w:rFonts w:eastAsia="Gulim"/>
                <w:sz w:val="16"/>
                <w:szCs w:val="16"/>
                <w:lang w:val="en-US"/>
              </w:rPr>
              <w:t>Judicial authorities</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b/>
                <w:sz w:val="16"/>
                <w:szCs w:val="16"/>
                <w:lang w:val="en-US"/>
              </w:rPr>
            </w:pPr>
            <w:r w:rsidRPr="00222917">
              <w:rPr>
                <w:rFonts w:eastAsia="Gulim"/>
                <w:b/>
                <w:sz w:val="16"/>
                <w:szCs w:val="16"/>
                <w:lang w:val="en-US"/>
              </w:rPr>
              <w:t>485</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35</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58</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56</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54</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89</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41</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152</w:t>
            </w:r>
          </w:p>
        </w:tc>
      </w:tr>
      <w:tr w:rsidR="006E1F63" w:rsidRPr="00222917" w:rsidTr="00F662F0">
        <w:trPr>
          <w:trHeight w:val="240"/>
        </w:trPr>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701" w:type="dxa"/>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r w:rsidRPr="00222917">
              <w:rPr>
                <w:rFonts w:eastAsia="Gulim"/>
                <w:sz w:val="16"/>
                <w:szCs w:val="16"/>
                <w:lang w:val="en-US"/>
              </w:rPr>
              <w:t>Legislative authorities</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b/>
                <w:sz w:val="16"/>
                <w:szCs w:val="16"/>
                <w:lang w:val="en-US"/>
              </w:rPr>
            </w:pPr>
            <w:r w:rsidRPr="00222917">
              <w:rPr>
                <w:rFonts w:eastAsia="Gulim"/>
                <w:b/>
                <w:sz w:val="16"/>
                <w:szCs w:val="16"/>
                <w:lang w:val="en-US"/>
              </w:rPr>
              <w:t>36</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8</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9</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3</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3</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10</w:t>
            </w:r>
          </w:p>
        </w:tc>
      </w:tr>
      <w:tr w:rsidR="006E1F63" w:rsidRPr="00222917" w:rsidTr="00F662F0">
        <w:trPr>
          <w:trHeight w:val="240"/>
        </w:trPr>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701" w:type="dxa"/>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r w:rsidRPr="00222917">
              <w:rPr>
                <w:rFonts w:eastAsia="Gulim"/>
                <w:sz w:val="16"/>
                <w:szCs w:val="16"/>
                <w:lang w:val="en-US"/>
              </w:rPr>
              <w:t>National Intelligence Service</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b/>
                <w:sz w:val="16"/>
                <w:szCs w:val="16"/>
                <w:lang w:val="en-US"/>
              </w:rPr>
            </w:pPr>
            <w:r w:rsidRPr="00222917">
              <w:rPr>
                <w:rFonts w:eastAsia="Gulim"/>
                <w:b/>
                <w:sz w:val="16"/>
                <w:szCs w:val="16"/>
                <w:lang w:val="en-US"/>
              </w:rPr>
              <w:t>123</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6</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13</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11</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40</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21</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17</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15</w:t>
            </w:r>
          </w:p>
        </w:tc>
      </w:tr>
      <w:tr w:rsidR="006E1F63" w:rsidRPr="00222917" w:rsidTr="00F662F0">
        <w:trPr>
          <w:trHeight w:val="240"/>
        </w:trPr>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701" w:type="dxa"/>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r w:rsidRPr="00222917">
              <w:rPr>
                <w:rFonts w:eastAsia="Gulim"/>
                <w:sz w:val="16"/>
                <w:szCs w:val="16"/>
                <w:lang w:val="en-US"/>
              </w:rPr>
              <w:t>Protection facilities</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b/>
                <w:sz w:val="16"/>
                <w:szCs w:val="16"/>
                <w:lang w:val="en-US"/>
              </w:rPr>
            </w:pPr>
            <w:r w:rsidRPr="00222917">
              <w:rPr>
                <w:rFonts w:eastAsia="Gulim"/>
                <w:b/>
                <w:sz w:val="16"/>
                <w:szCs w:val="16"/>
                <w:lang w:val="en-US"/>
              </w:rPr>
              <w:t>1</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w:t>
            </w:r>
          </w:p>
        </w:tc>
      </w:tr>
      <w:tr w:rsidR="006E1F63" w:rsidRPr="00222917" w:rsidTr="00F662F0">
        <w:trPr>
          <w:trHeight w:val="240"/>
        </w:trPr>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701" w:type="dxa"/>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r w:rsidRPr="00222917">
              <w:rPr>
                <w:rFonts w:eastAsia="Gulim"/>
                <w:sz w:val="16"/>
                <w:szCs w:val="16"/>
                <w:lang w:val="en-US"/>
              </w:rPr>
              <w:t>Others</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b/>
                <w:sz w:val="16"/>
                <w:szCs w:val="16"/>
                <w:lang w:val="en-US"/>
              </w:rPr>
            </w:pPr>
            <w:r w:rsidRPr="00222917">
              <w:rPr>
                <w:rFonts w:eastAsia="Gulim"/>
                <w:b/>
                <w:sz w:val="16"/>
                <w:szCs w:val="16"/>
                <w:lang w:val="en-US"/>
              </w:rPr>
              <w:t>895</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126</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160</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417</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191</w:t>
            </w:r>
          </w:p>
        </w:tc>
      </w:tr>
      <w:tr w:rsidR="006E1F63" w:rsidRPr="00222917" w:rsidTr="00F662F0">
        <w:trPr>
          <w:trHeight w:val="240"/>
        </w:trPr>
        <w:tc>
          <w:tcPr>
            <w:tcW w:w="1134" w:type="dxa"/>
            <w:vMerge w:val="restart"/>
            <w:shd w:val="clear" w:color="auto" w:fill="auto"/>
            <w:vAlign w:val="center"/>
          </w:tcPr>
          <w:p w:rsidR="006E1F63" w:rsidRPr="00222917" w:rsidRDefault="00682503" w:rsidP="00D17669">
            <w:pPr>
              <w:keepNext/>
              <w:suppressAutoHyphens w:val="0"/>
              <w:snapToGrid w:val="0"/>
              <w:spacing w:before="40" w:after="40" w:line="200" w:lineRule="exact"/>
              <w:rPr>
                <w:rFonts w:eastAsia="Gulim"/>
                <w:sz w:val="16"/>
                <w:szCs w:val="16"/>
                <w:lang w:val="en-US"/>
              </w:rPr>
            </w:pPr>
            <w:r w:rsidRPr="00222917">
              <w:rPr>
                <w:rFonts w:eastAsia="Gulim"/>
                <w:sz w:val="16"/>
                <w:szCs w:val="16"/>
                <w:lang w:val="en-US"/>
              </w:rPr>
              <w:t>Discrimi</w:t>
            </w:r>
            <w:r w:rsidR="006E1F63" w:rsidRPr="00222917">
              <w:rPr>
                <w:rFonts w:eastAsia="Gulim"/>
                <w:sz w:val="16"/>
                <w:szCs w:val="16"/>
                <w:lang w:val="en-US"/>
              </w:rPr>
              <w:t>nations</w:t>
            </w:r>
          </w:p>
        </w:tc>
        <w:tc>
          <w:tcPr>
            <w:tcW w:w="1134" w:type="dxa"/>
            <w:gridSpan w:val="2"/>
            <w:tcBorders>
              <w:bottom w:val="single" w:sz="4" w:space="0" w:color="000000"/>
            </w:tcBorders>
            <w:shd w:val="clear" w:color="auto" w:fill="auto"/>
            <w:vAlign w:val="center"/>
          </w:tcPr>
          <w:p w:rsidR="006E1F63" w:rsidRPr="00222917" w:rsidRDefault="006E1F63" w:rsidP="00D17669">
            <w:pPr>
              <w:suppressAutoHyphens w:val="0"/>
              <w:snapToGrid w:val="0"/>
              <w:spacing w:before="80" w:after="80" w:line="200" w:lineRule="exact"/>
              <w:rPr>
                <w:rFonts w:eastAsia="Gulim"/>
                <w:b/>
                <w:sz w:val="16"/>
                <w:szCs w:val="16"/>
                <w:lang w:val="en-US"/>
              </w:rPr>
            </w:pPr>
            <w:r w:rsidRPr="00222917">
              <w:rPr>
                <w:rFonts w:eastAsia="Gulim"/>
                <w:b/>
                <w:sz w:val="16"/>
                <w:szCs w:val="16"/>
                <w:lang w:val="en-US"/>
              </w:rPr>
              <w:t>Subtotal</w:t>
            </w:r>
          </w:p>
        </w:tc>
        <w:tc>
          <w:tcPr>
            <w:tcW w:w="567" w:type="dxa"/>
            <w:tcBorders>
              <w:bottom w:val="single" w:sz="4" w:space="0" w:color="000000"/>
            </w:tcBorders>
            <w:shd w:val="clear" w:color="auto" w:fill="auto"/>
          </w:tcPr>
          <w:p w:rsidR="006E1F63" w:rsidRPr="00222917" w:rsidRDefault="006E1F63" w:rsidP="00D17669">
            <w:pPr>
              <w:keepNext/>
              <w:suppressAutoHyphens w:val="0"/>
              <w:snapToGrid w:val="0"/>
              <w:spacing w:before="80" w:after="80" w:line="200" w:lineRule="exact"/>
              <w:jc w:val="right"/>
              <w:rPr>
                <w:rFonts w:eastAsia="Gulim"/>
                <w:b/>
                <w:sz w:val="16"/>
                <w:szCs w:val="16"/>
                <w:lang w:val="en-US"/>
              </w:rPr>
            </w:pPr>
            <w:r w:rsidRPr="00222917">
              <w:rPr>
                <w:rFonts w:eastAsia="Gulim"/>
                <w:b/>
                <w:sz w:val="16"/>
                <w:szCs w:val="16"/>
                <w:lang w:val="en-US"/>
              </w:rPr>
              <w:t>8,355</w:t>
            </w:r>
          </w:p>
        </w:tc>
        <w:tc>
          <w:tcPr>
            <w:tcW w:w="567" w:type="dxa"/>
            <w:tcBorders>
              <w:bottom w:val="single" w:sz="4" w:space="0" w:color="000000"/>
            </w:tcBorders>
            <w:shd w:val="clear" w:color="auto" w:fill="auto"/>
          </w:tcPr>
          <w:p w:rsidR="006E1F63" w:rsidRPr="00222917" w:rsidRDefault="006E1F63" w:rsidP="00D17669">
            <w:pPr>
              <w:keepNext/>
              <w:suppressAutoHyphens w:val="0"/>
              <w:snapToGrid w:val="0"/>
              <w:spacing w:before="80" w:after="80" w:line="200" w:lineRule="exact"/>
              <w:jc w:val="right"/>
              <w:rPr>
                <w:rFonts w:eastAsia="Gulim"/>
                <w:b/>
                <w:sz w:val="16"/>
                <w:szCs w:val="16"/>
                <w:lang w:val="en-US"/>
              </w:rPr>
            </w:pPr>
            <w:r w:rsidRPr="00222917">
              <w:rPr>
                <w:rFonts w:eastAsia="Gulim"/>
                <w:b/>
                <w:sz w:val="16"/>
                <w:szCs w:val="16"/>
                <w:lang w:val="en-US"/>
              </w:rPr>
              <w:t>369</w:t>
            </w:r>
          </w:p>
        </w:tc>
        <w:tc>
          <w:tcPr>
            <w:tcW w:w="567" w:type="dxa"/>
            <w:tcBorders>
              <w:bottom w:val="single" w:sz="4" w:space="0" w:color="000000"/>
            </w:tcBorders>
            <w:shd w:val="clear" w:color="auto" w:fill="auto"/>
          </w:tcPr>
          <w:p w:rsidR="006E1F63" w:rsidRPr="00222917" w:rsidRDefault="006E1F63" w:rsidP="00D17669">
            <w:pPr>
              <w:keepNext/>
              <w:suppressAutoHyphens w:val="0"/>
              <w:snapToGrid w:val="0"/>
              <w:spacing w:before="80" w:after="80" w:line="200" w:lineRule="exact"/>
              <w:jc w:val="right"/>
              <w:rPr>
                <w:rFonts w:eastAsia="Gulim"/>
                <w:b/>
                <w:sz w:val="16"/>
                <w:szCs w:val="16"/>
                <w:lang w:val="en-US"/>
              </w:rPr>
            </w:pPr>
            <w:r w:rsidRPr="00222917">
              <w:rPr>
                <w:rFonts w:eastAsia="Gulim"/>
                <w:b/>
                <w:sz w:val="16"/>
                <w:szCs w:val="16"/>
                <w:lang w:val="en-US"/>
              </w:rPr>
              <w:t>842</w:t>
            </w:r>
          </w:p>
        </w:tc>
        <w:tc>
          <w:tcPr>
            <w:tcW w:w="567" w:type="dxa"/>
            <w:tcBorders>
              <w:bottom w:val="single" w:sz="4" w:space="0" w:color="000000"/>
            </w:tcBorders>
            <w:shd w:val="clear" w:color="auto" w:fill="auto"/>
          </w:tcPr>
          <w:p w:rsidR="006E1F63" w:rsidRPr="00222917" w:rsidRDefault="006E1F63" w:rsidP="00D17669">
            <w:pPr>
              <w:keepNext/>
              <w:suppressAutoHyphens w:val="0"/>
              <w:snapToGrid w:val="0"/>
              <w:spacing w:before="80" w:after="80" w:line="200" w:lineRule="exact"/>
              <w:jc w:val="right"/>
              <w:rPr>
                <w:rFonts w:eastAsia="Gulim"/>
                <w:b/>
                <w:sz w:val="16"/>
                <w:szCs w:val="16"/>
                <w:lang w:val="en-US"/>
              </w:rPr>
            </w:pPr>
            <w:r w:rsidRPr="00222917">
              <w:rPr>
                <w:rFonts w:eastAsia="Gulim"/>
                <w:b/>
                <w:sz w:val="16"/>
                <w:szCs w:val="16"/>
                <w:lang w:val="en-US"/>
              </w:rPr>
              <w:t>968</w:t>
            </w:r>
          </w:p>
        </w:tc>
        <w:tc>
          <w:tcPr>
            <w:tcW w:w="567" w:type="dxa"/>
            <w:tcBorders>
              <w:bottom w:val="single" w:sz="4" w:space="0" w:color="000000"/>
            </w:tcBorders>
            <w:shd w:val="clear" w:color="auto" w:fill="auto"/>
          </w:tcPr>
          <w:p w:rsidR="006E1F63" w:rsidRPr="00222917" w:rsidRDefault="006E1F63" w:rsidP="00D17669">
            <w:pPr>
              <w:keepNext/>
              <w:suppressAutoHyphens w:val="0"/>
              <w:snapToGrid w:val="0"/>
              <w:spacing w:before="80" w:after="80" w:line="200" w:lineRule="exact"/>
              <w:jc w:val="right"/>
              <w:rPr>
                <w:rFonts w:eastAsia="Gulim"/>
                <w:b/>
                <w:sz w:val="16"/>
                <w:szCs w:val="16"/>
                <w:lang w:val="en-US"/>
              </w:rPr>
            </w:pPr>
            <w:r w:rsidRPr="00222917">
              <w:rPr>
                <w:rFonts w:eastAsia="Gulim"/>
                <w:b/>
                <w:sz w:val="16"/>
                <w:szCs w:val="16"/>
                <w:lang w:val="en-US"/>
              </w:rPr>
              <w:t>1,255</w:t>
            </w:r>
          </w:p>
        </w:tc>
        <w:tc>
          <w:tcPr>
            <w:tcW w:w="567" w:type="dxa"/>
            <w:tcBorders>
              <w:bottom w:val="single" w:sz="4" w:space="0" w:color="000000"/>
            </w:tcBorders>
            <w:shd w:val="clear" w:color="auto" w:fill="auto"/>
          </w:tcPr>
          <w:p w:rsidR="006E1F63" w:rsidRPr="00222917" w:rsidRDefault="006E1F63" w:rsidP="00D17669">
            <w:pPr>
              <w:keepNext/>
              <w:suppressAutoHyphens w:val="0"/>
              <w:snapToGrid w:val="0"/>
              <w:spacing w:before="80" w:after="80" w:line="200" w:lineRule="exact"/>
              <w:jc w:val="right"/>
              <w:rPr>
                <w:rFonts w:eastAsia="Gulim"/>
                <w:b/>
                <w:sz w:val="16"/>
                <w:szCs w:val="16"/>
                <w:lang w:val="en-US"/>
              </w:rPr>
            </w:pPr>
            <w:r w:rsidRPr="00222917">
              <w:rPr>
                <w:rFonts w:eastAsia="Gulim"/>
                <w:b/>
                <w:sz w:val="16"/>
                <w:szCs w:val="16"/>
                <w:lang w:val="en-US"/>
              </w:rPr>
              <w:t>1,150</w:t>
            </w:r>
          </w:p>
        </w:tc>
        <w:tc>
          <w:tcPr>
            <w:tcW w:w="567" w:type="dxa"/>
            <w:tcBorders>
              <w:bottom w:val="single" w:sz="4" w:space="0" w:color="000000"/>
            </w:tcBorders>
            <w:shd w:val="clear" w:color="auto" w:fill="auto"/>
          </w:tcPr>
          <w:p w:rsidR="006E1F63" w:rsidRPr="00222917" w:rsidRDefault="006E1F63" w:rsidP="00D17669">
            <w:pPr>
              <w:keepNext/>
              <w:suppressAutoHyphens w:val="0"/>
              <w:snapToGrid w:val="0"/>
              <w:spacing w:before="80" w:after="80" w:line="200" w:lineRule="exact"/>
              <w:jc w:val="right"/>
              <w:rPr>
                <w:rFonts w:eastAsia="Gulim"/>
                <w:b/>
                <w:sz w:val="16"/>
                <w:szCs w:val="16"/>
                <w:lang w:val="en-US"/>
              </w:rPr>
            </w:pPr>
            <w:r w:rsidRPr="00222917">
              <w:rPr>
                <w:rFonts w:eastAsia="Gulim"/>
                <w:b/>
                <w:sz w:val="16"/>
                <w:szCs w:val="16"/>
                <w:lang w:val="en-US"/>
              </w:rPr>
              <w:t>1,661</w:t>
            </w:r>
          </w:p>
        </w:tc>
        <w:tc>
          <w:tcPr>
            <w:tcW w:w="567" w:type="dxa"/>
            <w:tcBorders>
              <w:bottom w:val="single" w:sz="4" w:space="0" w:color="000000"/>
            </w:tcBorders>
            <w:shd w:val="clear" w:color="auto" w:fill="auto"/>
          </w:tcPr>
          <w:p w:rsidR="006E1F63" w:rsidRPr="00222917" w:rsidRDefault="006E1F63" w:rsidP="00D17669">
            <w:pPr>
              <w:keepNext/>
              <w:suppressAutoHyphens w:val="0"/>
              <w:snapToGrid w:val="0"/>
              <w:spacing w:before="80" w:after="80" w:line="200" w:lineRule="exact"/>
              <w:jc w:val="right"/>
              <w:rPr>
                <w:rFonts w:eastAsia="Gulim"/>
                <w:b/>
                <w:sz w:val="16"/>
                <w:szCs w:val="16"/>
                <w:lang w:val="en-US"/>
              </w:rPr>
            </w:pPr>
            <w:r w:rsidRPr="00222917">
              <w:rPr>
                <w:rFonts w:eastAsia="Gulim"/>
                <w:b/>
                <w:sz w:val="16"/>
                <w:szCs w:val="16"/>
                <w:lang w:val="en-US"/>
              </w:rPr>
              <w:t>2,110</w:t>
            </w:r>
          </w:p>
        </w:tc>
      </w:tr>
      <w:tr w:rsidR="006E1F63" w:rsidRPr="00222917" w:rsidTr="00F662F0">
        <w:trPr>
          <w:trHeight w:val="240"/>
        </w:trPr>
        <w:tc>
          <w:tcPr>
            <w:tcW w:w="1134" w:type="dxa"/>
            <w:vMerge/>
            <w:shd w:val="clear" w:color="auto" w:fill="auto"/>
            <w:vAlign w:val="center"/>
          </w:tcPr>
          <w:p w:rsidR="006E1F63" w:rsidRPr="00222917" w:rsidRDefault="006E1F63" w:rsidP="00D17669">
            <w:pPr>
              <w:keepNext/>
              <w:suppressAutoHyphens w:val="0"/>
              <w:snapToGrid w:val="0"/>
              <w:spacing w:before="40" w:after="40" w:line="200" w:lineRule="exact"/>
              <w:rPr>
                <w:rFonts w:eastAsia="Gulim"/>
                <w:sz w:val="16"/>
                <w:szCs w:val="16"/>
                <w:lang w:val="en-US"/>
              </w:rPr>
            </w:pPr>
          </w:p>
        </w:tc>
        <w:tc>
          <w:tcPr>
            <w:tcW w:w="1134" w:type="dxa"/>
            <w:vMerge w:val="restart"/>
            <w:tcBorders>
              <w:top w:val="single" w:sz="4" w:space="0" w:color="000000"/>
            </w:tcBorders>
            <w:shd w:val="clear" w:color="auto" w:fill="auto"/>
            <w:vAlign w:val="center"/>
          </w:tcPr>
          <w:p w:rsidR="006E1F63" w:rsidRPr="00222917" w:rsidRDefault="00DC7F48" w:rsidP="00D17669">
            <w:pPr>
              <w:keepNext/>
              <w:suppressAutoHyphens w:val="0"/>
              <w:snapToGrid w:val="0"/>
              <w:spacing w:before="40" w:after="40" w:line="200" w:lineRule="exact"/>
              <w:rPr>
                <w:rFonts w:eastAsia="Gulim"/>
                <w:sz w:val="16"/>
                <w:szCs w:val="16"/>
                <w:lang w:val="en-US"/>
              </w:rPr>
            </w:pPr>
            <w:r w:rsidRPr="00222917">
              <w:rPr>
                <w:rFonts w:eastAsia="Gulim"/>
                <w:sz w:val="16"/>
                <w:szCs w:val="16"/>
                <w:lang w:val="en-US"/>
              </w:rPr>
              <w:t>Accepted</w:t>
            </w:r>
          </w:p>
        </w:tc>
        <w:tc>
          <w:tcPr>
            <w:tcW w:w="1701" w:type="dxa"/>
            <w:tcBorders>
              <w:top w:val="single" w:sz="4" w:space="0" w:color="000000"/>
              <w:bottom w:val="single" w:sz="4" w:space="0" w:color="000000"/>
            </w:tcBorders>
            <w:shd w:val="clear" w:color="auto" w:fill="auto"/>
            <w:vAlign w:val="center"/>
          </w:tcPr>
          <w:p w:rsidR="006E1F63" w:rsidRPr="00222917" w:rsidRDefault="006E1F63" w:rsidP="00D17669">
            <w:pPr>
              <w:suppressAutoHyphens w:val="0"/>
              <w:snapToGrid w:val="0"/>
              <w:spacing w:before="80" w:after="80" w:line="200" w:lineRule="exact"/>
              <w:rPr>
                <w:rFonts w:eastAsia="Gulim"/>
                <w:b/>
                <w:sz w:val="16"/>
                <w:szCs w:val="16"/>
                <w:lang w:val="en-US"/>
              </w:rPr>
            </w:pPr>
            <w:r w:rsidRPr="00222917">
              <w:rPr>
                <w:rFonts w:eastAsia="Gulim"/>
                <w:b/>
                <w:sz w:val="16"/>
                <w:szCs w:val="16"/>
                <w:lang w:val="en-US"/>
              </w:rPr>
              <w:t>Subtotal</w:t>
            </w:r>
          </w:p>
        </w:tc>
        <w:tc>
          <w:tcPr>
            <w:tcW w:w="567" w:type="dxa"/>
            <w:tcBorders>
              <w:top w:val="single" w:sz="4" w:space="0" w:color="000000"/>
              <w:bottom w:val="single" w:sz="4" w:space="0" w:color="000000"/>
            </w:tcBorders>
            <w:shd w:val="clear" w:color="auto" w:fill="auto"/>
          </w:tcPr>
          <w:p w:rsidR="006E1F63" w:rsidRPr="00222917" w:rsidRDefault="006E1F63" w:rsidP="00D17669">
            <w:pPr>
              <w:keepNext/>
              <w:suppressAutoHyphens w:val="0"/>
              <w:snapToGrid w:val="0"/>
              <w:spacing w:before="80" w:after="80" w:line="200" w:lineRule="exact"/>
              <w:jc w:val="right"/>
              <w:rPr>
                <w:rFonts w:eastAsia="Gulim"/>
                <w:b/>
                <w:sz w:val="16"/>
                <w:szCs w:val="16"/>
                <w:lang w:val="en-US"/>
              </w:rPr>
            </w:pPr>
            <w:r w:rsidRPr="00222917">
              <w:rPr>
                <w:rFonts w:eastAsia="Gulim"/>
                <w:b/>
                <w:sz w:val="16"/>
                <w:szCs w:val="16"/>
                <w:lang w:val="en-US"/>
              </w:rPr>
              <w:t>953</w:t>
            </w:r>
          </w:p>
        </w:tc>
        <w:tc>
          <w:tcPr>
            <w:tcW w:w="567" w:type="dxa"/>
            <w:tcBorders>
              <w:top w:val="single" w:sz="4" w:space="0" w:color="000000"/>
              <w:bottom w:val="single" w:sz="4" w:space="0" w:color="000000"/>
            </w:tcBorders>
            <w:shd w:val="clear" w:color="auto" w:fill="auto"/>
          </w:tcPr>
          <w:p w:rsidR="006E1F63" w:rsidRPr="00222917" w:rsidRDefault="006E1F63" w:rsidP="00D17669">
            <w:pPr>
              <w:keepNext/>
              <w:suppressAutoHyphens w:val="0"/>
              <w:snapToGrid w:val="0"/>
              <w:spacing w:before="80" w:after="80" w:line="200" w:lineRule="exact"/>
              <w:jc w:val="right"/>
              <w:rPr>
                <w:rFonts w:eastAsia="Gulim"/>
                <w:b/>
                <w:sz w:val="16"/>
                <w:szCs w:val="16"/>
                <w:lang w:val="en-US"/>
              </w:rPr>
            </w:pPr>
            <w:r w:rsidRPr="00222917">
              <w:rPr>
                <w:rFonts w:eastAsia="Gulim"/>
                <w:b/>
                <w:sz w:val="16"/>
                <w:szCs w:val="16"/>
                <w:lang w:val="en-US"/>
              </w:rPr>
              <w:t>26</w:t>
            </w:r>
          </w:p>
        </w:tc>
        <w:tc>
          <w:tcPr>
            <w:tcW w:w="567" w:type="dxa"/>
            <w:tcBorders>
              <w:top w:val="single" w:sz="4" w:space="0" w:color="000000"/>
              <w:bottom w:val="single" w:sz="4" w:space="0" w:color="000000"/>
            </w:tcBorders>
            <w:shd w:val="clear" w:color="auto" w:fill="auto"/>
          </w:tcPr>
          <w:p w:rsidR="006E1F63" w:rsidRPr="00222917" w:rsidRDefault="006E1F63" w:rsidP="00D17669">
            <w:pPr>
              <w:keepNext/>
              <w:suppressAutoHyphens w:val="0"/>
              <w:snapToGrid w:val="0"/>
              <w:spacing w:before="80" w:after="80" w:line="200" w:lineRule="exact"/>
              <w:jc w:val="right"/>
              <w:rPr>
                <w:rFonts w:eastAsia="Gulim"/>
                <w:b/>
                <w:sz w:val="16"/>
                <w:szCs w:val="16"/>
                <w:lang w:val="en-US"/>
              </w:rPr>
            </w:pPr>
            <w:r w:rsidRPr="00222917">
              <w:rPr>
                <w:rFonts w:eastAsia="Gulim"/>
                <w:b/>
                <w:sz w:val="16"/>
                <w:szCs w:val="16"/>
                <w:lang w:val="en-US"/>
              </w:rPr>
              <w:t>63</w:t>
            </w:r>
          </w:p>
        </w:tc>
        <w:tc>
          <w:tcPr>
            <w:tcW w:w="567" w:type="dxa"/>
            <w:tcBorders>
              <w:top w:val="single" w:sz="4" w:space="0" w:color="000000"/>
              <w:bottom w:val="single" w:sz="4" w:space="0" w:color="000000"/>
            </w:tcBorders>
            <w:shd w:val="clear" w:color="auto" w:fill="auto"/>
          </w:tcPr>
          <w:p w:rsidR="006E1F63" w:rsidRPr="00222917" w:rsidRDefault="006E1F63" w:rsidP="00D17669">
            <w:pPr>
              <w:keepNext/>
              <w:suppressAutoHyphens w:val="0"/>
              <w:snapToGrid w:val="0"/>
              <w:spacing w:before="80" w:after="80" w:line="200" w:lineRule="exact"/>
              <w:jc w:val="right"/>
              <w:rPr>
                <w:rFonts w:eastAsia="Gulim"/>
                <w:b/>
                <w:sz w:val="16"/>
                <w:szCs w:val="16"/>
                <w:lang w:val="en-US"/>
              </w:rPr>
            </w:pPr>
            <w:r w:rsidRPr="00222917">
              <w:rPr>
                <w:rFonts w:eastAsia="Gulim"/>
                <w:b/>
                <w:sz w:val="16"/>
                <w:szCs w:val="16"/>
                <w:lang w:val="en-US"/>
              </w:rPr>
              <w:t>210</w:t>
            </w:r>
          </w:p>
        </w:tc>
        <w:tc>
          <w:tcPr>
            <w:tcW w:w="567" w:type="dxa"/>
            <w:tcBorders>
              <w:top w:val="single" w:sz="4" w:space="0" w:color="000000"/>
              <w:bottom w:val="single" w:sz="4" w:space="0" w:color="000000"/>
            </w:tcBorders>
            <w:shd w:val="clear" w:color="auto" w:fill="auto"/>
          </w:tcPr>
          <w:p w:rsidR="006E1F63" w:rsidRPr="00222917" w:rsidRDefault="006E1F63" w:rsidP="00D17669">
            <w:pPr>
              <w:keepNext/>
              <w:suppressAutoHyphens w:val="0"/>
              <w:snapToGrid w:val="0"/>
              <w:spacing w:before="80" w:after="80" w:line="200" w:lineRule="exact"/>
              <w:jc w:val="right"/>
              <w:rPr>
                <w:rFonts w:eastAsia="Gulim"/>
                <w:b/>
                <w:sz w:val="16"/>
                <w:szCs w:val="16"/>
                <w:lang w:val="en-US"/>
              </w:rPr>
            </w:pPr>
            <w:r w:rsidRPr="00222917">
              <w:rPr>
                <w:rFonts w:eastAsia="Gulim"/>
                <w:b/>
                <w:sz w:val="16"/>
                <w:szCs w:val="16"/>
                <w:lang w:val="en-US"/>
              </w:rPr>
              <w:t>154</w:t>
            </w:r>
          </w:p>
        </w:tc>
        <w:tc>
          <w:tcPr>
            <w:tcW w:w="567" w:type="dxa"/>
            <w:tcBorders>
              <w:top w:val="single" w:sz="4" w:space="0" w:color="000000"/>
              <w:bottom w:val="single" w:sz="4" w:space="0" w:color="000000"/>
            </w:tcBorders>
            <w:shd w:val="clear" w:color="auto" w:fill="auto"/>
          </w:tcPr>
          <w:p w:rsidR="006E1F63" w:rsidRPr="00222917" w:rsidRDefault="006E1F63" w:rsidP="00D17669">
            <w:pPr>
              <w:keepNext/>
              <w:suppressAutoHyphens w:val="0"/>
              <w:snapToGrid w:val="0"/>
              <w:spacing w:before="80" w:after="80" w:line="200" w:lineRule="exact"/>
              <w:jc w:val="right"/>
              <w:rPr>
                <w:rFonts w:eastAsia="Gulim"/>
                <w:b/>
                <w:sz w:val="16"/>
                <w:szCs w:val="16"/>
                <w:lang w:val="en-US"/>
              </w:rPr>
            </w:pPr>
            <w:r w:rsidRPr="00222917">
              <w:rPr>
                <w:rFonts w:eastAsia="Gulim"/>
                <w:b/>
                <w:sz w:val="16"/>
                <w:szCs w:val="16"/>
                <w:lang w:val="en-US"/>
              </w:rPr>
              <w:t>126</w:t>
            </w:r>
          </w:p>
        </w:tc>
        <w:tc>
          <w:tcPr>
            <w:tcW w:w="567" w:type="dxa"/>
            <w:tcBorders>
              <w:top w:val="single" w:sz="4" w:space="0" w:color="000000"/>
              <w:bottom w:val="single" w:sz="4" w:space="0" w:color="000000"/>
            </w:tcBorders>
            <w:shd w:val="clear" w:color="auto" w:fill="auto"/>
          </w:tcPr>
          <w:p w:rsidR="006E1F63" w:rsidRPr="00222917" w:rsidRDefault="006E1F63" w:rsidP="00D17669">
            <w:pPr>
              <w:keepNext/>
              <w:suppressAutoHyphens w:val="0"/>
              <w:snapToGrid w:val="0"/>
              <w:spacing w:before="80" w:after="80" w:line="200" w:lineRule="exact"/>
              <w:jc w:val="right"/>
              <w:rPr>
                <w:rFonts w:eastAsia="Gulim"/>
                <w:b/>
                <w:sz w:val="16"/>
                <w:szCs w:val="16"/>
                <w:lang w:val="en-US"/>
              </w:rPr>
            </w:pPr>
            <w:r w:rsidRPr="00222917">
              <w:rPr>
                <w:rFonts w:eastAsia="Gulim"/>
                <w:b/>
                <w:sz w:val="16"/>
                <w:szCs w:val="16"/>
                <w:lang w:val="en-US"/>
              </w:rPr>
              <w:t>165</w:t>
            </w:r>
          </w:p>
        </w:tc>
        <w:tc>
          <w:tcPr>
            <w:tcW w:w="567" w:type="dxa"/>
            <w:tcBorders>
              <w:top w:val="single" w:sz="4" w:space="0" w:color="000000"/>
              <w:bottom w:val="single" w:sz="4" w:space="0" w:color="000000"/>
            </w:tcBorders>
            <w:shd w:val="clear" w:color="auto" w:fill="auto"/>
          </w:tcPr>
          <w:p w:rsidR="006E1F63" w:rsidRPr="00222917" w:rsidRDefault="006E1F63" w:rsidP="00D17669">
            <w:pPr>
              <w:keepNext/>
              <w:suppressAutoHyphens w:val="0"/>
              <w:snapToGrid w:val="0"/>
              <w:spacing w:before="80" w:after="80" w:line="200" w:lineRule="exact"/>
              <w:jc w:val="right"/>
              <w:rPr>
                <w:rFonts w:eastAsia="Gulim"/>
                <w:b/>
                <w:sz w:val="16"/>
                <w:szCs w:val="16"/>
                <w:lang w:val="en-US"/>
              </w:rPr>
            </w:pPr>
            <w:r w:rsidRPr="00222917">
              <w:rPr>
                <w:rFonts w:eastAsia="Gulim"/>
                <w:b/>
                <w:sz w:val="16"/>
                <w:szCs w:val="16"/>
                <w:lang w:val="en-US"/>
              </w:rPr>
              <w:t>209</w:t>
            </w:r>
          </w:p>
        </w:tc>
      </w:tr>
      <w:tr w:rsidR="006E1F63" w:rsidRPr="00222917" w:rsidTr="00F662F0">
        <w:trPr>
          <w:trHeight w:val="240"/>
        </w:trPr>
        <w:tc>
          <w:tcPr>
            <w:tcW w:w="1134" w:type="dxa"/>
            <w:vMerge/>
            <w:tcBorders>
              <w:top w:val="single" w:sz="4" w:space="0" w:color="000000"/>
            </w:tcBorders>
            <w:shd w:val="clear" w:color="auto" w:fill="auto"/>
            <w:vAlign w:val="center"/>
          </w:tcPr>
          <w:p w:rsidR="006E1F63" w:rsidRPr="00222917" w:rsidRDefault="006E1F63" w:rsidP="00D17669">
            <w:pPr>
              <w:keepNext/>
              <w:suppressAutoHyphens w:val="0"/>
              <w:snapToGrid w:val="0"/>
              <w:spacing w:before="40" w:after="40" w:line="200" w:lineRule="exact"/>
              <w:rPr>
                <w:rFonts w:eastAsia="Gulim"/>
                <w:sz w:val="16"/>
                <w:szCs w:val="16"/>
                <w:lang w:val="en-US"/>
              </w:rPr>
            </w:pPr>
          </w:p>
        </w:tc>
        <w:tc>
          <w:tcPr>
            <w:tcW w:w="1134" w:type="dxa"/>
            <w:vMerge/>
            <w:tcBorders>
              <w:top w:val="single" w:sz="4" w:space="0" w:color="000000"/>
            </w:tcBorders>
            <w:shd w:val="clear" w:color="auto" w:fill="auto"/>
            <w:vAlign w:val="center"/>
          </w:tcPr>
          <w:p w:rsidR="006E1F63" w:rsidRPr="00222917" w:rsidRDefault="006E1F63" w:rsidP="00D17669">
            <w:pPr>
              <w:keepNext/>
              <w:suppressAutoHyphens w:val="0"/>
              <w:snapToGrid w:val="0"/>
              <w:spacing w:before="40" w:after="40" w:line="200" w:lineRule="exact"/>
              <w:rPr>
                <w:rFonts w:eastAsia="Gulim"/>
                <w:sz w:val="16"/>
                <w:szCs w:val="16"/>
                <w:lang w:val="en-US"/>
              </w:rPr>
            </w:pPr>
          </w:p>
        </w:tc>
        <w:tc>
          <w:tcPr>
            <w:tcW w:w="1701" w:type="dxa"/>
            <w:tcBorders>
              <w:top w:val="single" w:sz="4" w:space="0" w:color="000000"/>
            </w:tcBorders>
            <w:shd w:val="clear" w:color="auto" w:fill="auto"/>
            <w:vAlign w:val="center"/>
          </w:tcPr>
          <w:p w:rsidR="006E1F63" w:rsidRPr="00222917" w:rsidRDefault="006E1F63" w:rsidP="00D17669">
            <w:pPr>
              <w:keepNext/>
              <w:suppressAutoHyphens w:val="0"/>
              <w:snapToGrid w:val="0"/>
              <w:spacing w:before="40" w:after="40" w:line="200" w:lineRule="exact"/>
              <w:rPr>
                <w:rFonts w:eastAsia="Gulim"/>
                <w:sz w:val="16"/>
                <w:szCs w:val="16"/>
                <w:lang w:val="en-US"/>
              </w:rPr>
            </w:pPr>
            <w:r w:rsidRPr="00222917">
              <w:rPr>
                <w:rFonts w:eastAsia="Gulim"/>
                <w:sz w:val="16"/>
                <w:szCs w:val="16"/>
                <w:lang w:val="en-US"/>
              </w:rPr>
              <w:t>Juridical persons of</w:t>
            </w:r>
            <w:r w:rsidR="00E170DB" w:rsidRPr="00222917">
              <w:rPr>
                <w:rFonts w:eastAsia="Gulim"/>
                <w:sz w:val="16"/>
                <w:szCs w:val="16"/>
                <w:lang w:val="en-US"/>
              </w:rPr>
              <w:t> </w:t>
            </w:r>
            <w:r w:rsidRPr="00222917">
              <w:rPr>
                <w:rFonts w:eastAsia="Gulim"/>
                <w:sz w:val="16"/>
                <w:szCs w:val="16"/>
                <w:lang w:val="en-US"/>
              </w:rPr>
              <w:t>private law</w:t>
            </w:r>
          </w:p>
        </w:tc>
        <w:tc>
          <w:tcPr>
            <w:tcW w:w="567" w:type="dxa"/>
            <w:tcBorders>
              <w:top w:val="single" w:sz="4" w:space="0" w:color="000000"/>
            </w:tcBorders>
            <w:shd w:val="clear" w:color="auto" w:fill="auto"/>
          </w:tcPr>
          <w:p w:rsidR="006E1F63" w:rsidRPr="00222917" w:rsidRDefault="006E1F63" w:rsidP="00D17669">
            <w:pPr>
              <w:keepNext/>
              <w:suppressAutoHyphens w:val="0"/>
              <w:snapToGrid w:val="0"/>
              <w:spacing w:before="40" w:after="40" w:line="200" w:lineRule="exact"/>
              <w:jc w:val="right"/>
              <w:rPr>
                <w:rFonts w:eastAsia="Gulim"/>
                <w:b/>
                <w:sz w:val="16"/>
                <w:szCs w:val="16"/>
                <w:lang w:val="en-US"/>
              </w:rPr>
            </w:pPr>
            <w:r w:rsidRPr="00222917">
              <w:rPr>
                <w:rFonts w:eastAsia="Gulim"/>
                <w:b/>
                <w:sz w:val="16"/>
                <w:szCs w:val="16"/>
                <w:lang w:val="en-US"/>
              </w:rPr>
              <w:t>228</w:t>
            </w:r>
          </w:p>
        </w:tc>
        <w:tc>
          <w:tcPr>
            <w:tcW w:w="567" w:type="dxa"/>
            <w:tcBorders>
              <w:top w:val="single" w:sz="4" w:space="0" w:color="000000"/>
            </w:tcBorders>
            <w:shd w:val="clear" w:color="auto" w:fill="auto"/>
          </w:tcPr>
          <w:p w:rsidR="006E1F63" w:rsidRPr="00222917" w:rsidRDefault="006E1F63" w:rsidP="00D17669">
            <w:pPr>
              <w:keepNext/>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w:t>
            </w:r>
          </w:p>
        </w:tc>
        <w:tc>
          <w:tcPr>
            <w:tcW w:w="567" w:type="dxa"/>
            <w:tcBorders>
              <w:top w:val="single" w:sz="4" w:space="0" w:color="000000"/>
            </w:tcBorders>
            <w:shd w:val="clear" w:color="auto" w:fill="auto"/>
          </w:tcPr>
          <w:p w:rsidR="006E1F63" w:rsidRPr="00222917" w:rsidRDefault="006E1F63" w:rsidP="00D17669">
            <w:pPr>
              <w:keepNext/>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6</w:t>
            </w:r>
          </w:p>
        </w:tc>
        <w:tc>
          <w:tcPr>
            <w:tcW w:w="567" w:type="dxa"/>
            <w:tcBorders>
              <w:top w:val="single" w:sz="4" w:space="0" w:color="000000"/>
            </w:tcBorders>
            <w:shd w:val="clear" w:color="auto" w:fill="auto"/>
          </w:tcPr>
          <w:p w:rsidR="006E1F63" w:rsidRPr="00222917" w:rsidRDefault="006E1F63" w:rsidP="00D17669">
            <w:pPr>
              <w:keepNext/>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32</w:t>
            </w:r>
          </w:p>
        </w:tc>
        <w:tc>
          <w:tcPr>
            <w:tcW w:w="567" w:type="dxa"/>
            <w:tcBorders>
              <w:top w:val="single" w:sz="4" w:space="0" w:color="000000"/>
            </w:tcBorders>
            <w:shd w:val="clear" w:color="auto" w:fill="auto"/>
          </w:tcPr>
          <w:p w:rsidR="006E1F63" w:rsidRPr="00222917" w:rsidRDefault="006E1F63" w:rsidP="00D17669">
            <w:pPr>
              <w:keepNext/>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36</w:t>
            </w:r>
          </w:p>
        </w:tc>
        <w:tc>
          <w:tcPr>
            <w:tcW w:w="567" w:type="dxa"/>
            <w:tcBorders>
              <w:top w:val="single" w:sz="4" w:space="0" w:color="000000"/>
            </w:tcBorders>
            <w:shd w:val="clear" w:color="auto" w:fill="auto"/>
          </w:tcPr>
          <w:p w:rsidR="006E1F63" w:rsidRPr="00222917" w:rsidRDefault="006E1F63" w:rsidP="00D17669">
            <w:pPr>
              <w:keepNext/>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32</w:t>
            </w:r>
          </w:p>
        </w:tc>
        <w:tc>
          <w:tcPr>
            <w:tcW w:w="567" w:type="dxa"/>
            <w:tcBorders>
              <w:top w:val="single" w:sz="4" w:space="0" w:color="000000"/>
            </w:tcBorders>
            <w:shd w:val="clear" w:color="auto" w:fill="auto"/>
          </w:tcPr>
          <w:p w:rsidR="006E1F63" w:rsidRPr="00222917" w:rsidRDefault="006E1F63" w:rsidP="00D17669">
            <w:pPr>
              <w:keepNext/>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46</w:t>
            </w:r>
          </w:p>
        </w:tc>
        <w:tc>
          <w:tcPr>
            <w:tcW w:w="567" w:type="dxa"/>
            <w:tcBorders>
              <w:top w:val="single" w:sz="4" w:space="0" w:color="000000"/>
            </w:tcBorders>
            <w:shd w:val="clear" w:color="auto" w:fill="auto"/>
          </w:tcPr>
          <w:p w:rsidR="006E1F63" w:rsidRPr="00222917" w:rsidRDefault="006E1F63" w:rsidP="00D17669">
            <w:pPr>
              <w:keepNext/>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76</w:t>
            </w:r>
          </w:p>
        </w:tc>
      </w:tr>
      <w:tr w:rsidR="006E1F63" w:rsidRPr="00222917" w:rsidTr="00F662F0">
        <w:trPr>
          <w:trHeight w:val="240"/>
        </w:trPr>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701" w:type="dxa"/>
            <w:shd w:val="clear" w:color="auto" w:fill="auto"/>
            <w:vAlign w:val="center"/>
          </w:tcPr>
          <w:p w:rsidR="006E1F63" w:rsidRPr="00222917" w:rsidRDefault="006E1F63" w:rsidP="0014767D">
            <w:pPr>
              <w:suppressAutoHyphens w:val="0"/>
              <w:snapToGrid w:val="0"/>
              <w:spacing w:before="40" w:after="40" w:line="200" w:lineRule="exact"/>
              <w:rPr>
                <w:rFonts w:eastAsia="Gulim"/>
                <w:sz w:val="16"/>
                <w:szCs w:val="16"/>
                <w:lang w:val="en-US"/>
              </w:rPr>
            </w:pPr>
            <w:r w:rsidRPr="00222917">
              <w:rPr>
                <w:rFonts w:eastAsia="Gulim"/>
                <w:sz w:val="16"/>
                <w:szCs w:val="16"/>
                <w:lang w:val="en-US"/>
              </w:rPr>
              <w:t>Educational institutes</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b/>
                <w:sz w:val="16"/>
                <w:szCs w:val="16"/>
                <w:lang w:val="en-US"/>
              </w:rPr>
            </w:pPr>
            <w:r w:rsidRPr="00222917">
              <w:rPr>
                <w:rFonts w:eastAsia="Gulim"/>
                <w:b/>
                <w:sz w:val="16"/>
                <w:szCs w:val="16"/>
                <w:lang w:val="en-US"/>
              </w:rPr>
              <w:t>132</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9</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10</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23</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17</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27</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14</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32</w:t>
            </w:r>
          </w:p>
        </w:tc>
      </w:tr>
      <w:tr w:rsidR="006E1F63" w:rsidRPr="00222917" w:rsidTr="00F662F0">
        <w:trPr>
          <w:trHeight w:val="240"/>
        </w:trPr>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701" w:type="dxa"/>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r w:rsidRPr="00222917">
              <w:rPr>
                <w:rFonts w:eastAsia="Gulim"/>
                <w:sz w:val="16"/>
                <w:szCs w:val="16"/>
                <w:lang w:val="en-US"/>
              </w:rPr>
              <w:t>Other state agencies</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b/>
                <w:sz w:val="16"/>
                <w:szCs w:val="16"/>
                <w:lang w:val="en-US"/>
              </w:rPr>
            </w:pPr>
            <w:r w:rsidRPr="00222917">
              <w:rPr>
                <w:rFonts w:eastAsia="Gulim"/>
                <w:b/>
                <w:sz w:val="16"/>
                <w:szCs w:val="16"/>
                <w:lang w:val="en-US"/>
              </w:rPr>
              <w:t>130</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8</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14</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33</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28</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17</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19</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11</w:t>
            </w:r>
          </w:p>
        </w:tc>
      </w:tr>
      <w:tr w:rsidR="006E1F63" w:rsidRPr="00222917" w:rsidTr="00F662F0">
        <w:trPr>
          <w:trHeight w:val="240"/>
        </w:trPr>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701" w:type="dxa"/>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r w:rsidRPr="00222917">
              <w:rPr>
                <w:rFonts w:eastAsia="Gulim"/>
                <w:sz w:val="16"/>
                <w:szCs w:val="16"/>
                <w:lang w:val="en-US"/>
              </w:rPr>
              <w:t>Local governments</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b/>
                <w:sz w:val="16"/>
                <w:szCs w:val="16"/>
                <w:lang w:val="en-US"/>
              </w:rPr>
            </w:pPr>
            <w:r w:rsidRPr="00222917">
              <w:rPr>
                <w:rFonts w:eastAsia="Gulim"/>
                <w:b/>
                <w:sz w:val="16"/>
                <w:szCs w:val="16"/>
                <w:lang w:val="en-US"/>
              </w:rPr>
              <w:t>122</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5</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10</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39</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20</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10</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18</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20</w:t>
            </w:r>
          </w:p>
        </w:tc>
      </w:tr>
      <w:tr w:rsidR="006E1F63" w:rsidRPr="00222917" w:rsidTr="00F662F0">
        <w:trPr>
          <w:trHeight w:val="240"/>
        </w:trPr>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701" w:type="dxa"/>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r w:rsidRPr="00222917">
              <w:rPr>
                <w:rFonts w:eastAsia="Gulim"/>
                <w:sz w:val="16"/>
                <w:szCs w:val="16"/>
                <w:lang w:val="en-US"/>
              </w:rPr>
              <w:t>Public institutions</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b/>
                <w:sz w:val="16"/>
                <w:szCs w:val="16"/>
                <w:lang w:val="en-US"/>
              </w:rPr>
            </w:pPr>
            <w:r w:rsidRPr="00222917">
              <w:rPr>
                <w:rFonts w:eastAsia="Gulim"/>
                <w:b/>
                <w:sz w:val="16"/>
                <w:szCs w:val="16"/>
                <w:lang w:val="en-US"/>
              </w:rPr>
              <w:t>66</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13</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18</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9</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11</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11</w:t>
            </w:r>
          </w:p>
        </w:tc>
      </w:tr>
      <w:tr w:rsidR="006E1F63" w:rsidRPr="00222917" w:rsidTr="00F662F0">
        <w:trPr>
          <w:trHeight w:val="240"/>
        </w:trPr>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701" w:type="dxa"/>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r w:rsidRPr="00222917">
              <w:rPr>
                <w:rFonts w:eastAsia="Gulim"/>
                <w:sz w:val="16"/>
                <w:szCs w:val="16"/>
                <w:lang w:val="en-US"/>
              </w:rPr>
              <w:t>Private companies</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b/>
                <w:sz w:val="16"/>
                <w:szCs w:val="16"/>
                <w:lang w:val="en-US"/>
              </w:rPr>
            </w:pPr>
            <w:r w:rsidRPr="00222917">
              <w:rPr>
                <w:rFonts w:eastAsia="Gulim"/>
                <w:b/>
                <w:sz w:val="16"/>
                <w:szCs w:val="16"/>
                <w:lang w:val="en-US"/>
              </w:rPr>
              <w:t>65</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5</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11</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11</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21</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16</w:t>
            </w:r>
          </w:p>
        </w:tc>
      </w:tr>
      <w:tr w:rsidR="006E1F63" w:rsidRPr="00222917" w:rsidTr="00F662F0">
        <w:trPr>
          <w:trHeight w:val="240"/>
        </w:trPr>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701" w:type="dxa"/>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r w:rsidRPr="00222917">
              <w:rPr>
                <w:rFonts w:eastAsia="Gulim"/>
                <w:sz w:val="16"/>
                <w:szCs w:val="16"/>
                <w:lang w:val="en-US"/>
              </w:rPr>
              <w:t>Private individuals</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b/>
                <w:sz w:val="16"/>
                <w:szCs w:val="16"/>
                <w:lang w:val="en-US"/>
              </w:rPr>
            </w:pPr>
            <w:r w:rsidRPr="00222917">
              <w:rPr>
                <w:rFonts w:eastAsia="Gulim"/>
                <w:b/>
                <w:sz w:val="16"/>
                <w:szCs w:val="16"/>
                <w:lang w:val="en-US"/>
              </w:rPr>
              <w:t>39</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3</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7</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7</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9</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13</w:t>
            </w:r>
          </w:p>
        </w:tc>
      </w:tr>
      <w:tr w:rsidR="006E1F63" w:rsidRPr="00222917" w:rsidTr="00F662F0">
        <w:trPr>
          <w:trHeight w:val="240"/>
        </w:trPr>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701" w:type="dxa"/>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r w:rsidRPr="00222917">
              <w:rPr>
                <w:rFonts w:eastAsia="Gulim"/>
                <w:sz w:val="16"/>
                <w:szCs w:val="16"/>
                <w:lang w:val="en-US"/>
              </w:rPr>
              <w:t>Police</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b/>
                <w:sz w:val="16"/>
                <w:szCs w:val="16"/>
                <w:lang w:val="en-US"/>
              </w:rPr>
            </w:pPr>
            <w:r w:rsidRPr="00222917">
              <w:rPr>
                <w:rFonts w:eastAsia="Gulim"/>
                <w:b/>
                <w:sz w:val="16"/>
                <w:szCs w:val="16"/>
                <w:lang w:val="en-US"/>
              </w:rPr>
              <w:t>37</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15</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7</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9</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3</w:t>
            </w:r>
          </w:p>
        </w:tc>
      </w:tr>
      <w:tr w:rsidR="006E1F63" w:rsidRPr="00222917" w:rsidTr="00F662F0">
        <w:trPr>
          <w:trHeight w:val="240"/>
        </w:trPr>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701" w:type="dxa"/>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r w:rsidRPr="00222917">
              <w:rPr>
                <w:rFonts w:eastAsia="Gulim"/>
                <w:sz w:val="16"/>
                <w:szCs w:val="16"/>
                <w:lang w:val="en-US"/>
              </w:rPr>
              <w:t>Organizations</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b/>
                <w:sz w:val="16"/>
                <w:szCs w:val="16"/>
                <w:lang w:val="en-US"/>
              </w:rPr>
            </w:pPr>
            <w:r w:rsidRPr="00222917">
              <w:rPr>
                <w:rFonts w:eastAsia="Gulim"/>
                <w:b/>
                <w:sz w:val="16"/>
                <w:szCs w:val="16"/>
                <w:lang w:val="en-US"/>
              </w:rPr>
              <w:t>20</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5</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7</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5</w:t>
            </w:r>
          </w:p>
        </w:tc>
      </w:tr>
      <w:tr w:rsidR="006E1F63" w:rsidRPr="00222917" w:rsidTr="00F662F0">
        <w:trPr>
          <w:trHeight w:val="240"/>
        </w:trPr>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701" w:type="dxa"/>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r w:rsidRPr="00222917">
              <w:rPr>
                <w:rFonts w:eastAsia="Gulim"/>
                <w:sz w:val="16"/>
                <w:szCs w:val="16"/>
                <w:lang w:val="en-US"/>
              </w:rPr>
              <w:t>Prosecutors Office</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b/>
                <w:sz w:val="16"/>
                <w:szCs w:val="16"/>
                <w:lang w:val="en-US"/>
              </w:rPr>
            </w:pPr>
            <w:r w:rsidRPr="00222917">
              <w:rPr>
                <w:rFonts w:eastAsia="Gulim"/>
                <w:b/>
                <w:sz w:val="16"/>
                <w:szCs w:val="16"/>
                <w:lang w:val="en-US"/>
              </w:rPr>
              <w:t>10</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6</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w:t>
            </w:r>
          </w:p>
        </w:tc>
      </w:tr>
      <w:tr w:rsidR="006E1F63" w:rsidRPr="00222917" w:rsidTr="00F662F0">
        <w:trPr>
          <w:trHeight w:val="240"/>
        </w:trPr>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701" w:type="dxa"/>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r w:rsidRPr="00222917">
              <w:rPr>
                <w:rFonts w:eastAsia="Gulim"/>
                <w:sz w:val="16"/>
                <w:szCs w:val="16"/>
                <w:lang w:val="en-US"/>
              </w:rPr>
              <w:t>Correctional facilities</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b/>
                <w:sz w:val="16"/>
                <w:szCs w:val="16"/>
                <w:lang w:val="en-US"/>
              </w:rPr>
            </w:pPr>
            <w:r w:rsidRPr="00222917">
              <w:rPr>
                <w:rFonts w:eastAsia="Gulim"/>
                <w:b/>
                <w:sz w:val="16"/>
                <w:szCs w:val="16"/>
                <w:lang w:val="en-US"/>
              </w:rPr>
              <w:t>6</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w:t>
            </w:r>
          </w:p>
        </w:tc>
      </w:tr>
      <w:tr w:rsidR="006E1F63" w:rsidRPr="00222917" w:rsidTr="00F662F0">
        <w:trPr>
          <w:trHeight w:val="240"/>
        </w:trPr>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701" w:type="dxa"/>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r w:rsidRPr="00222917">
              <w:rPr>
                <w:rFonts w:eastAsia="Gulim"/>
                <w:sz w:val="16"/>
                <w:szCs w:val="16"/>
                <w:lang w:val="en-US"/>
              </w:rPr>
              <w:t>Military</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b/>
                <w:sz w:val="16"/>
                <w:szCs w:val="16"/>
                <w:lang w:val="en-US"/>
              </w:rPr>
            </w:pPr>
            <w:r w:rsidRPr="00222917">
              <w:rPr>
                <w:rFonts w:eastAsia="Gulim"/>
                <w:b/>
                <w:sz w:val="16"/>
                <w:szCs w:val="16"/>
                <w:lang w:val="en-US"/>
              </w:rPr>
              <w:t>6</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w:t>
            </w:r>
          </w:p>
        </w:tc>
      </w:tr>
      <w:tr w:rsidR="006E1F63" w:rsidRPr="00222917" w:rsidTr="00F662F0">
        <w:trPr>
          <w:trHeight w:val="240"/>
        </w:trPr>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701" w:type="dxa"/>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r w:rsidRPr="00222917">
              <w:rPr>
                <w:rFonts w:eastAsia="Gulim"/>
                <w:sz w:val="16"/>
                <w:szCs w:val="16"/>
                <w:lang w:val="en-US"/>
              </w:rPr>
              <w:t>Protection facilities</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b/>
                <w:sz w:val="16"/>
                <w:szCs w:val="16"/>
                <w:lang w:val="en-US"/>
              </w:rPr>
            </w:pPr>
            <w:r w:rsidRPr="00222917">
              <w:rPr>
                <w:rFonts w:eastAsia="Gulim"/>
                <w:b/>
                <w:sz w:val="16"/>
                <w:szCs w:val="16"/>
                <w:lang w:val="en-US"/>
              </w:rPr>
              <w:t>3</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w:t>
            </w:r>
          </w:p>
        </w:tc>
      </w:tr>
      <w:tr w:rsidR="006E1F63" w:rsidRPr="00222917" w:rsidTr="00F662F0">
        <w:trPr>
          <w:trHeight w:val="240"/>
        </w:trPr>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701" w:type="dxa"/>
            <w:tcBorders>
              <w:bottom w:val="single" w:sz="4" w:space="0" w:color="000000"/>
            </w:tcBorders>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r w:rsidRPr="00222917">
              <w:rPr>
                <w:rFonts w:eastAsia="Gulim"/>
                <w:sz w:val="16"/>
                <w:szCs w:val="16"/>
                <w:lang w:val="en-US"/>
              </w:rPr>
              <w:t>Others</w:t>
            </w:r>
          </w:p>
        </w:tc>
        <w:tc>
          <w:tcPr>
            <w:tcW w:w="567" w:type="dxa"/>
            <w:tcBorders>
              <w:bottom w:val="single" w:sz="4" w:space="0" w:color="000000"/>
            </w:tcBorders>
            <w:shd w:val="clear" w:color="auto" w:fill="auto"/>
          </w:tcPr>
          <w:p w:rsidR="006E1F63" w:rsidRPr="00222917" w:rsidRDefault="006E1F63" w:rsidP="00D17669">
            <w:pPr>
              <w:suppressAutoHyphens w:val="0"/>
              <w:snapToGrid w:val="0"/>
              <w:spacing w:before="40" w:after="40" w:line="200" w:lineRule="exact"/>
              <w:jc w:val="right"/>
              <w:rPr>
                <w:rFonts w:eastAsia="Gulim"/>
                <w:b/>
                <w:sz w:val="16"/>
                <w:szCs w:val="16"/>
                <w:lang w:val="en-US"/>
              </w:rPr>
            </w:pPr>
            <w:r w:rsidRPr="00222917">
              <w:rPr>
                <w:rFonts w:eastAsia="Gulim"/>
                <w:b/>
                <w:sz w:val="16"/>
                <w:szCs w:val="16"/>
                <w:lang w:val="en-US"/>
              </w:rPr>
              <w:t>89</w:t>
            </w:r>
          </w:p>
        </w:tc>
        <w:tc>
          <w:tcPr>
            <w:tcW w:w="567" w:type="dxa"/>
            <w:tcBorders>
              <w:bottom w:val="single" w:sz="4" w:space="0" w:color="000000"/>
            </w:tcBorders>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w:t>
            </w:r>
          </w:p>
        </w:tc>
        <w:tc>
          <w:tcPr>
            <w:tcW w:w="567" w:type="dxa"/>
            <w:tcBorders>
              <w:bottom w:val="single" w:sz="4" w:space="0" w:color="000000"/>
            </w:tcBorders>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w:t>
            </w:r>
          </w:p>
        </w:tc>
        <w:tc>
          <w:tcPr>
            <w:tcW w:w="567" w:type="dxa"/>
            <w:tcBorders>
              <w:bottom w:val="single" w:sz="4" w:space="0" w:color="000000"/>
            </w:tcBorders>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45</w:t>
            </w:r>
          </w:p>
        </w:tc>
        <w:tc>
          <w:tcPr>
            <w:tcW w:w="567" w:type="dxa"/>
            <w:tcBorders>
              <w:bottom w:val="single" w:sz="4" w:space="0" w:color="000000"/>
            </w:tcBorders>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5</w:t>
            </w:r>
          </w:p>
        </w:tc>
        <w:tc>
          <w:tcPr>
            <w:tcW w:w="567" w:type="dxa"/>
            <w:tcBorders>
              <w:bottom w:val="single" w:sz="4" w:space="0" w:color="000000"/>
            </w:tcBorders>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7</w:t>
            </w:r>
          </w:p>
        </w:tc>
        <w:tc>
          <w:tcPr>
            <w:tcW w:w="567" w:type="dxa"/>
            <w:tcBorders>
              <w:bottom w:val="single" w:sz="4" w:space="0" w:color="000000"/>
            </w:tcBorders>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12</w:t>
            </w:r>
          </w:p>
        </w:tc>
        <w:tc>
          <w:tcPr>
            <w:tcW w:w="567" w:type="dxa"/>
            <w:tcBorders>
              <w:bottom w:val="single" w:sz="4" w:space="0" w:color="000000"/>
            </w:tcBorders>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19</w:t>
            </w:r>
          </w:p>
        </w:tc>
      </w:tr>
      <w:tr w:rsidR="006E1F63" w:rsidRPr="00222917" w:rsidTr="00F662F0">
        <w:trPr>
          <w:trHeight w:val="240"/>
        </w:trPr>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134" w:type="dxa"/>
            <w:vMerge w:val="restart"/>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r w:rsidRPr="00222917">
              <w:rPr>
                <w:rFonts w:eastAsia="Gulim"/>
                <w:sz w:val="16"/>
                <w:szCs w:val="16"/>
                <w:lang w:val="en-US"/>
              </w:rPr>
              <w:t>Rejected or</w:t>
            </w:r>
            <w:r w:rsidR="00DC7F48" w:rsidRPr="00222917">
              <w:rPr>
                <w:rFonts w:eastAsia="Gulim"/>
                <w:sz w:val="16"/>
                <w:szCs w:val="16"/>
                <w:lang w:val="en-US"/>
              </w:rPr>
              <w:t> </w:t>
            </w:r>
            <w:r w:rsidRPr="00222917">
              <w:rPr>
                <w:rFonts w:eastAsia="Gulim"/>
                <w:sz w:val="16"/>
                <w:szCs w:val="16"/>
                <w:lang w:val="en-US"/>
              </w:rPr>
              <w:t>others</w:t>
            </w:r>
          </w:p>
        </w:tc>
        <w:tc>
          <w:tcPr>
            <w:tcW w:w="1701" w:type="dxa"/>
            <w:tcBorders>
              <w:top w:val="single" w:sz="4" w:space="0" w:color="000000"/>
              <w:bottom w:val="single" w:sz="4" w:space="0" w:color="000000"/>
            </w:tcBorders>
            <w:shd w:val="clear" w:color="auto" w:fill="auto"/>
            <w:vAlign w:val="center"/>
          </w:tcPr>
          <w:p w:rsidR="006E1F63" w:rsidRPr="00222917" w:rsidRDefault="006E1F63" w:rsidP="00D17669">
            <w:pPr>
              <w:suppressAutoHyphens w:val="0"/>
              <w:snapToGrid w:val="0"/>
              <w:spacing w:before="80" w:after="80" w:line="200" w:lineRule="exact"/>
              <w:rPr>
                <w:rFonts w:eastAsia="Gulim"/>
                <w:b/>
                <w:sz w:val="16"/>
                <w:szCs w:val="16"/>
                <w:lang w:val="en-US"/>
              </w:rPr>
            </w:pPr>
            <w:r w:rsidRPr="00222917">
              <w:rPr>
                <w:rFonts w:eastAsia="Gulim"/>
                <w:b/>
                <w:sz w:val="16"/>
                <w:szCs w:val="16"/>
                <w:lang w:val="en-US"/>
              </w:rPr>
              <w:t>Subtotal</w:t>
            </w:r>
          </w:p>
        </w:tc>
        <w:tc>
          <w:tcPr>
            <w:tcW w:w="567" w:type="dxa"/>
            <w:tcBorders>
              <w:top w:val="single" w:sz="4" w:space="0" w:color="000000"/>
              <w:bottom w:val="single" w:sz="4" w:space="0" w:color="000000"/>
            </w:tcBorders>
            <w:shd w:val="clear" w:color="auto" w:fill="auto"/>
          </w:tcPr>
          <w:p w:rsidR="006E1F63" w:rsidRPr="00222917" w:rsidRDefault="006E1F63" w:rsidP="00D17669">
            <w:pPr>
              <w:suppressAutoHyphens w:val="0"/>
              <w:snapToGrid w:val="0"/>
              <w:spacing w:before="80" w:after="80" w:line="200" w:lineRule="exact"/>
              <w:jc w:val="right"/>
              <w:rPr>
                <w:rFonts w:eastAsia="Gulim"/>
                <w:b/>
                <w:sz w:val="16"/>
                <w:szCs w:val="16"/>
                <w:lang w:val="en-US"/>
              </w:rPr>
            </w:pPr>
            <w:r w:rsidRPr="00222917">
              <w:rPr>
                <w:rFonts w:eastAsia="Gulim"/>
                <w:b/>
                <w:sz w:val="16"/>
                <w:szCs w:val="16"/>
                <w:lang w:val="en-US"/>
              </w:rPr>
              <w:t>7,402</w:t>
            </w:r>
          </w:p>
        </w:tc>
        <w:tc>
          <w:tcPr>
            <w:tcW w:w="567" w:type="dxa"/>
            <w:tcBorders>
              <w:top w:val="single" w:sz="4" w:space="0" w:color="000000"/>
              <w:bottom w:val="single" w:sz="4" w:space="0" w:color="000000"/>
            </w:tcBorders>
            <w:shd w:val="clear" w:color="auto" w:fill="auto"/>
          </w:tcPr>
          <w:p w:rsidR="006E1F63" w:rsidRPr="00222917" w:rsidRDefault="006E1F63" w:rsidP="00D17669">
            <w:pPr>
              <w:suppressAutoHyphens w:val="0"/>
              <w:snapToGrid w:val="0"/>
              <w:spacing w:before="80" w:after="80" w:line="200" w:lineRule="exact"/>
              <w:jc w:val="right"/>
              <w:rPr>
                <w:rFonts w:eastAsia="Gulim"/>
                <w:b/>
                <w:sz w:val="16"/>
                <w:szCs w:val="16"/>
                <w:lang w:val="en-US"/>
              </w:rPr>
            </w:pPr>
            <w:r w:rsidRPr="00222917">
              <w:rPr>
                <w:rFonts w:eastAsia="Gulim"/>
                <w:b/>
                <w:sz w:val="16"/>
                <w:szCs w:val="16"/>
                <w:lang w:val="en-US"/>
              </w:rPr>
              <w:t>343</w:t>
            </w:r>
          </w:p>
        </w:tc>
        <w:tc>
          <w:tcPr>
            <w:tcW w:w="567" w:type="dxa"/>
            <w:tcBorders>
              <w:top w:val="single" w:sz="4" w:space="0" w:color="000000"/>
              <w:bottom w:val="single" w:sz="4" w:space="0" w:color="000000"/>
            </w:tcBorders>
            <w:shd w:val="clear" w:color="auto" w:fill="auto"/>
          </w:tcPr>
          <w:p w:rsidR="006E1F63" w:rsidRPr="00222917" w:rsidRDefault="006E1F63" w:rsidP="00D17669">
            <w:pPr>
              <w:suppressAutoHyphens w:val="0"/>
              <w:snapToGrid w:val="0"/>
              <w:spacing w:before="80" w:after="80" w:line="200" w:lineRule="exact"/>
              <w:jc w:val="right"/>
              <w:rPr>
                <w:rFonts w:eastAsia="Gulim"/>
                <w:b/>
                <w:sz w:val="16"/>
                <w:szCs w:val="16"/>
                <w:lang w:val="en-US"/>
              </w:rPr>
            </w:pPr>
            <w:r w:rsidRPr="00222917">
              <w:rPr>
                <w:rFonts w:eastAsia="Gulim"/>
                <w:b/>
                <w:sz w:val="16"/>
                <w:szCs w:val="16"/>
                <w:lang w:val="en-US"/>
              </w:rPr>
              <w:t>779</w:t>
            </w:r>
          </w:p>
        </w:tc>
        <w:tc>
          <w:tcPr>
            <w:tcW w:w="567" w:type="dxa"/>
            <w:tcBorders>
              <w:top w:val="single" w:sz="4" w:space="0" w:color="000000"/>
              <w:bottom w:val="single" w:sz="4" w:space="0" w:color="000000"/>
            </w:tcBorders>
            <w:shd w:val="clear" w:color="auto" w:fill="auto"/>
          </w:tcPr>
          <w:p w:rsidR="006E1F63" w:rsidRPr="00222917" w:rsidRDefault="006E1F63" w:rsidP="00D17669">
            <w:pPr>
              <w:suppressAutoHyphens w:val="0"/>
              <w:snapToGrid w:val="0"/>
              <w:spacing w:before="80" w:after="80" w:line="200" w:lineRule="exact"/>
              <w:jc w:val="right"/>
              <w:rPr>
                <w:rFonts w:eastAsia="Gulim"/>
                <w:b/>
                <w:sz w:val="16"/>
                <w:szCs w:val="16"/>
                <w:lang w:val="en-US"/>
              </w:rPr>
            </w:pPr>
            <w:r w:rsidRPr="00222917">
              <w:rPr>
                <w:rFonts w:eastAsia="Gulim"/>
                <w:b/>
                <w:sz w:val="16"/>
                <w:szCs w:val="16"/>
                <w:lang w:val="en-US"/>
              </w:rPr>
              <w:t>758</w:t>
            </w:r>
          </w:p>
        </w:tc>
        <w:tc>
          <w:tcPr>
            <w:tcW w:w="567" w:type="dxa"/>
            <w:tcBorders>
              <w:top w:val="single" w:sz="4" w:space="0" w:color="000000"/>
              <w:bottom w:val="single" w:sz="4" w:space="0" w:color="000000"/>
            </w:tcBorders>
            <w:shd w:val="clear" w:color="auto" w:fill="auto"/>
          </w:tcPr>
          <w:p w:rsidR="006E1F63" w:rsidRPr="00222917" w:rsidRDefault="006E1F63" w:rsidP="00D17669">
            <w:pPr>
              <w:suppressAutoHyphens w:val="0"/>
              <w:snapToGrid w:val="0"/>
              <w:spacing w:before="80" w:after="80" w:line="200" w:lineRule="exact"/>
              <w:jc w:val="right"/>
              <w:rPr>
                <w:rFonts w:eastAsia="Gulim"/>
                <w:b/>
                <w:sz w:val="16"/>
                <w:szCs w:val="16"/>
                <w:lang w:val="en-US"/>
              </w:rPr>
            </w:pPr>
            <w:r w:rsidRPr="00222917">
              <w:rPr>
                <w:rFonts w:eastAsia="Gulim"/>
                <w:b/>
                <w:sz w:val="16"/>
                <w:szCs w:val="16"/>
                <w:lang w:val="en-US"/>
              </w:rPr>
              <w:t>1,101</w:t>
            </w:r>
          </w:p>
        </w:tc>
        <w:tc>
          <w:tcPr>
            <w:tcW w:w="567" w:type="dxa"/>
            <w:tcBorders>
              <w:top w:val="single" w:sz="4" w:space="0" w:color="000000"/>
              <w:bottom w:val="single" w:sz="4" w:space="0" w:color="000000"/>
            </w:tcBorders>
            <w:shd w:val="clear" w:color="auto" w:fill="auto"/>
          </w:tcPr>
          <w:p w:rsidR="006E1F63" w:rsidRPr="00222917" w:rsidRDefault="006E1F63" w:rsidP="00D17669">
            <w:pPr>
              <w:suppressAutoHyphens w:val="0"/>
              <w:snapToGrid w:val="0"/>
              <w:spacing w:before="80" w:after="80" w:line="200" w:lineRule="exact"/>
              <w:jc w:val="right"/>
              <w:rPr>
                <w:rFonts w:eastAsia="Gulim"/>
                <w:b/>
                <w:sz w:val="16"/>
                <w:szCs w:val="16"/>
                <w:lang w:val="en-US"/>
              </w:rPr>
            </w:pPr>
            <w:r w:rsidRPr="00222917">
              <w:rPr>
                <w:rFonts w:eastAsia="Gulim"/>
                <w:b/>
                <w:sz w:val="16"/>
                <w:szCs w:val="16"/>
                <w:lang w:val="en-US"/>
              </w:rPr>
              <w:t>1,024</w:t>
            </w:r>
          </w:p>
        </w:tc>
        <w:tc>
          <w:tcPr>
            <w:tcW w:w="567" w:type="dxa"/>
            <w:tcBorders>
              <w:top w:val="single" w:sz="4" w:space="0" w:color="000000"/>
              <w:bottom w:val="single" w:sz="4" w:space="0" w:color="000000"/>
            </w:tcBorders>
            <w:shd w:val="clear" w:color="auto" w:fill="auto"/>
          </w:tcPr>
          <w:p w:rsidR="006E1F63" w:rsidRPr="00222917" w:rsidRDefault="006E1F63" w:rsidP="00D17669">
            <w:pPr>
              <w:suppressAutoHyphens w:val="0"/>
              <w:snapToGrid w:val="0"/>
              <w:spacing w:before="80" w:after="80" w:line="200" w:lineRule="exact"/>
              <w:jc w:val="right"/>
              <w:rPr>
                <w:rFonts w:eastAsia="Gulim"/>
                <w:b/>
                <w:sz w:val="16"/>
                <w:szCs w:val="16"/>
                <w:lang w:val="en-US"/>
              </w:rPr>
            </w:pPr>
            <w:r w:rsidRPr="00222917">
              <w:rPr>
                <w:rFonts w:eastAsia="Gulim"/>
                <w:b/>
                <w:sz w:val="16"/>
                <w:szCs w:val="16"/>
                <w:lang w:val="en-US"/>
              </w:rPr>
              <w:t>1,496</w:t>
            </w:r>
          </w:p>
        </w:tc>
        <w:tc>
          <w:tcPr>
            <w:tcW w:w="567" w:type="dxa"/>
            <w:tcBorders>
              <w:top w:val="single" w:sz="4" w:space="0" w:color="000000"/>
              <w:bottom w:val="single" w:sz="4" w:space="0" w:color="000000"/>
            </w:tcBorders>
            <w:shd w:val="clear" w:color="auto" w:fill="auto"/>
          </w:tcPr>
          <w:p w:rsidR="006E1F63" w:rsidRPr="00222917" w:rsidRDefault="006E1F63" w:rsidP="00D17669">
            <w:pPr>
              <w:suppressAutoHyphens w:val="0"/>
              <w:snapToGrid w:val="0"/>
              <w:spacing w:before="80" w:after="80" w:line="200" w:lineRule="exact"/>
              <w:jc w:val="right"/>
              <w:rPr>
                <w:rFonts w:eastAsia="Gulim"/>
                <w:b/>
                <w:sz w:val="16"/>
                <w:szCs w:val="16"/>
                <w:lang w:val="en-US"/>
              </w:rPr>
            </w:pPr>
            <w:r w:rsidRPr="00222917">
              <w:rPr>
                <w:rFonts w:eastAsia="Gulim"/>
                <w:b/>
                <w:sz w:val="16"/>
                <w:szCs w:val="16"/>
                <w:lang w:val="en-US"/>
              </w:rPr>
              <w:t>1,901</w:t>
            </w:r>
          </w:p>
        </w:tc>
      </w:tr>
      <w:tr w:rsidR="006E1F63" w:rsidRPr="00222917" w:rsidTr="00F662F0">
        <w:trPr>
          <w:trHeight w:val="240"/>
        </w:trPr>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701" w:type="dxa"/>
            <w:tcBorders>
              <w:top w:val="single" w:sz="4" w:space="0" w:color="000000"/>
            </w:tcBorders>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r w:rsidRPr="00222917">
              <w:rPr>
                <w:rFonts w:eastAsia="Gulim"/>
                <w:sz w:val="16"/>
                <w:szCs w:val="16"/>
                <w:lang w:val="en-US"/>
              </w:rPr>
              <w:t>Juridical persons of</w:t>
            </w:r>
            <w:r w:rsidR="00E170DB" w:rsidRPr="00222917">
              <w:rPr>
                <w:rFonts w:eastAsia="Gulim"/>
                <w:sz w:val="16"/>
                <w:szCs w:val="16"/>
                <w:lang w:val="en-US"/>
              </w:rPr>
              <w:t> </w:t>
            </w:r>
            <w:r w:rsidRPr="00222917">
              <w:rPr>
                <w:rFonts w:eastAsia="Gulim"/>
                <w:sz w:val="16"/>
                <w:szCs w:val="16"/>
                <w:lang w:val="en-US"/>
              </w:rPr>
              <w:t>private law</w:t>
            </w:r>
          </w:p>
        </w:tc>
        <w:tc>
          <w:tcPr>
            <w:tcW w:w="567" w:type="dxa"/>
            <w:tcBorders>
              <w:top w:val="single" w:sz="4" w:space="0" w:color="000000"/>
            </w:tcBorders>
            <w:shd w:val="clear" w:color="auto" w:fill="auto"/>
          </w:tcPr>
          <w:p w:rsidR="006E1F63" w:rsidRPr="00222917" w:rsidRDefault="006E1F63" w:rsidP="00D17669">
            <w:pPr>
              <w:suppressAutoHyphens w:val="0"/>
              <w:snapToGrid w:val="0"/>
              <w:spacing w:before="40" w:after="40" w:line="200" w:lineRule="exact"/>
              <w:jc w:val="right"/>
              <w:rPr>
                <w:rFonts w:eastAsia="Gulim"/>
                <w:b/>
                <w:sz w:val="16"/>
                <w:szCs w:val="16"/>
                <w:lang w:val="en-US"/>
              </w:rPr>
            </w:pPr>
            <w:r w:rsidRPr="00222917">
              <w:rPr>
                <w:rFonts w:eastAsia="Gulim"/>
                <w:b/>
                <w:sz w:val="16"/>
                <w:szCs w:val="16"/>
                <w:lang w:val="en-US"/>
              </w:rPr>
              <w:t>1,677</w:t>
            </w:r>
          </w:p>
        </w:tc>
        <w:tc>
          <w:tcPr>
            <w:tcW w:w="567" w:type="dxa"/>
            <w:tcBorders>
              <w:top w:val="single" w:sz="4" w:space="0" w:color="000000"/>
            </w:tcBorders>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49</w:t>
            </w:r>
          </w:p>
        </w:tc>
        <w:tc>
          <w:tcPr>
            <w:tcW w:w="567" w:type="dxa"/>
            <w:tcBorders>
              <w:top w:val="single" w:sz="4" w:space="0" w:color="000000"/>
            </w:tcBorders>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145</w:t>
            </w:r>
          </w:p>
        </w:tc>
        <w:tc>
          <w:tcPr>
            <w:tcW w:w="567" w:type="dxa"/>
            <w:tcBorders>
              <w:top w:val="single" w:sz="4" w:space="0" w:color="000000"/>
            </w:tcBorders>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143</w:t>
            </w:r>
          </w:p>
        </w:tc>
        <w:tc>
          <w:tcPr>
            <w:tcW w:w="567" w:type="dxa"/>
            <w:tcBorders>
              <w:top w:val="single" w:sz="4" w:space="0" w:color="000000"/>
            </w:tcBorders>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255</w:t>
            </w:r>
          </w:p>
        </w:tc>
        <w:tc>
          <w:tcPr>
            <w:tcW w:w="567" w:type="dxa"/>
            <w:tcBorders>
              <w:top w:val="single" w:sz="4" w:space="0" w:color="000000"/>
            </w:tcBorders>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225</w:t>
            </w:r>
          </w:p>
        </w:tc>
        <w:tc>
          <w:tcPr>
            <w:tcW w:w="567" w:type="dxa"/>
            <w:tcBorders>
              <w:top w:val="single" w:sz="4" w:space="0" w:color="000000"/>
            </w:tcBorders>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418</w:t>
            </w:r>
          </w:p>
        </w:tc>
        <w:tc>
          <w:tcPr>
            <w:tcW w:w="567" w:type="dxa"/>
            <w:tcBorders>
              <w:top w:val="single" w:sz="4" w:space="0" w:color="000000"/>
            </w:tcBorders>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442</w:t>
            </w:r>
          </w:p>
        </w:tc>
      </w:tr>
      <w:tr w:rsidR="006E1F63" w:rsidRPr="00222917" w:rsidTr="00F662F0">
        <w:trPr>
          <w:trHeight w:val="240"/>
        </w:trPr>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701" w:type="dxa"/>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r w:rsidRPr="00222917">
              <w:rPr>
                <w:rFonts w:eastAsia="Gulim"/>
                <w:sz w:val="16"/>
                <w:szCs w:val="16"/>
                <w:lang w:val="en-US"/>
              </w:rPr>
              <w:t>Educational institutes</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b/>
                <w:sz w:val="16"/>
                <w:szCs w:val="16"/>
                <w:lang w:val="en-US"/>
              </w:rPr>
            </w:pPr>
            <w:r w:rsidRPr="00222917">
              <w:rPr>
                <w:rFonts w:eastAsia="Gulim"/>
                <w:b/>
                <w:sz w:val="16"/>
                <w:szCs w:val="16"/>
                <w:lang w:val="en-US"/>
              </w:rPr>
              <w:t>921</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39</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75</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95</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188</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137</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215</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172</w:t>
            </w:r>
          </w:p>
        </w:tc>
      </w:tr>
      <w:tr w:rsidR="006E1F63" w:rsidRPr="00222917" w:rsidTr="00F662F0">
        <w:trPr>
          <w:trHeight w:val="240"/>
        </w:trPr>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701" w:type="dxa"/>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r w:rsidRPr="00222917">
              <w:rPr>
                <w:rFonts w:eastAsia="Gulim"/>
                <w:sz w:val="16"/>
                <w:szCs w:val="16"/>
                <w:lang w:val="en-US"/>
              </w:rPr>
              <w:t>Other state agencies</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b/>
                <w:sz w:val="16"/>
                <w:szCs w:val="16"/>
                <w:lang w:val="en-US"/>
              </w:rPr>
            </w:pPr>
            <w:r w:rsidRPr="00222917">
              <w:rPr>
                <w:rFonts w:eastAsia="Gulim"/>
                <w:b/>
                <w:sz w:val="16"/>
                <w:szCs w:val="16"/>
                <w:lang w:val="en-US"/>
              </w:rPr>
              <w:t>1,780</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106</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292</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247</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244</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201</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237</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453</w:t>
            </w:r>
          </w:p>
        </w:tc>
      </w:tr>
      <w:tr w:rsidR="006E1F63" w:rsidRPr="00222917" w:rsidTr="00F662F0">
        <w:trPr>
          <w:trHeight w:val="240"/>
        </w:trPr>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701" w:type="dxa"/>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r w:rsidRPr="00222917">
              <w:rPr>
                <w:rFonts w:eastAsia="Gulim"/>
                <w:sz w:val="16"/>
                <w:szCs w:val="16"/>
                <w:lang w:val="en-US"/>
              </w:rPr>
              <w:t>Local governments</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b/>
                <w:sz w:val="16"/>
                <w:szCs w:val="16"/>
                <w:lang w:val="en-US"/>
              </w:rPr>
            </w:pPr>
            <w:r w:rsidRPr="00222917">
              <w:rPr>
                <w:rFonts w:eastAsia="Gulim"/>
                <w:b/>
                <w:sz w:val="16"/>
                <w:szCs w:val="16"/>
                <w:lang w:val="en-US"/>
              </w:rPr>
              <w:t>876</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27</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77</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103</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159</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123</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179</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208</w:t>
            </w:r>
          </w:p>
        </w:tc>
      </w:tr>
      <w:tr w:rsidR="006E1F63" w:rsidRPr="00222917" w:rsidTr="00F662F0">
        <w:trPr>
          <w:trHeight w:val="240"/>
        </w:trPr>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701" w:type="dxa"/>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r w:rsidRPr="00222917">
              <w:rPr>
                <w:rFonts w:eastAsia="Gulim"/>
                <w:sz w:val="16"/>
                <w:szCs w:val="16"/>
                <w:lang w:val="en-US"/>
              </w:rPr>
              <w:t>Public institutions</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b/>
                <w:sz w:val="16"/>
                <w:szCs w:val="16"/>
                <w:lang w:val="en-US"/>
              </w:rPr>
            </w:pPr>
            <w:r w:rsidRPr="00222917">
              <w:rPr>
                <w:rFonts w:eastAsia="Gulim"/>
                <w:b/>
                <w:sz w:val="16"/>
                <w:szCs w:val="16"/>
                <w:lang w:val="en-US"/>
              </w:rPr>
              <w:t>501</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46</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56</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65</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62</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69</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101</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102</w:t>
            </w:r>
          </w:p>
        </w:tc>
      </w:tr>
      <w:tr w:rsidR="006E1F63" w:rsidRPr="00222917" w:rsidTr="00F662F0">
        <w:trPr>
          <w:trHeight w:val="240"/>
        </w:trPr>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701" w:type="dxa"/>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r w:rsidRPr="00222917">
              <w:rPr>
                <w:rFonts w:eastAsia="Gulim"/>
                <w:sz w:val="16"/>
                <w:szCs w:val="16"/>
                <w:lang w:val="en-US"/>
              </w:rPr>
              <w:t>Private companies</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b/>
                <w:sz w:val="16"/>
                <w:szCs w:val="16"/>
                <w:lang w:val="en-US"/>
              </w:rPr>
            </w:pPr>
            <w:r w:rsidRPr="00222917">
              <w:rPr>
                <w:rFonts w:eastAsia="Gulim"/>
                <w:b/>
                <w:sz w:val="16"/>
                <w:szCs w:val="16"/>
                <w:lang w:val="en-US"/>
              </w:rPr>
              <w:t>291</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7</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12</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14</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50</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52</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61</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95</w:t>
            </w:r>
          </w:p>
        </w:tc>
      </w:tr>
      <w:tr w:rsidR="006E1F63" w:rsidRPr="00222917" w:rsidTr="00F662F0">
        <w:trPr>
          <w:trHeight w:val="240"/>
        </w:trPr>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701" w:type="dxa"/>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r w:rsidRPr="00222917">
              <w:rPr>
                <w:rFonts w:eastAsia="Gulim"/>
                <w:sz w:val="16"/>
                <w:szCs w:val="16"/>
                <w:lang w:val="en-US"/>
              </w:rPr>
              <w:t>Private individuals</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b/>
                <w:sz w:val="16"/>
                <w:szCs w:val="16"/>
                <w:lang w:val="en-US"/>
              </w:rPr>
            </w:pPr>
            <w:r w:rsidRPr="00222917">
              <w:rPr>
                <w:rFonts w:eastAsia="Gulim"/>
                <w:b/>
                <w:sz w:val="16"/>
                <w:szCs w:val="16"/>
                <w:lang w:val="en-US"/>
              </w:rPr>
              <w:t>358</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5</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7</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8</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16</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50</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104</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168</w:t>
            </w:r>
          </w:p>
        </w:tc>
      </w:tr>
      <w:tr w:rsidR="006E1F63" w:rsidRPr="00222917" w:rsidTr="00F662F0">
        <w:trPr>
          <w:trHeight w:val="240"/>
        </w:trPr>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701" w:type="dxa"/>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r w:rsidRPr="00222917">
              <w:rPr>
                <w:rFonts w:eastAsia="Gulim"/>
                <w:sz w:val="16"/>
                <w:szCs w:val="16"/>
                <w:lang w:val="en-US"/>
              </w:rPr>
              <w:t>Police</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b/>
                <w:sz w:val="16"/>
                <w:szCs w:val="16"/>
                <w:lang w:val="en-US"/>
              </w:rPr>
            </w:pPr>
            <w:r w:rsidRPr="00222917">
              <w:rPr>
                <w:rFonts w:eastAsia="Gulim"/>
                <w:b/>
                <w:sz w:val="16"/>
                <w:szCs w:val="16"/>
                <w:lang w:val="en-US"/>
              </w:rPr>
              <w:t>197</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9</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36</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18</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23</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14</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28</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69</w:t>
            </w:r>
          </w:p>
        </w:tc>
      </w:tr>
      <w:tr w:rsidR="006E1F63" w:rsidRPr="00222917" w:rsidTr="00F662F0">
        <w:trPr>
          <w:trHeight w:val="240"/>
        </w:trPr>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701" w:type="dxa"/>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r w:rsidRPr="00222917">
              <w:rPr>
                <w:rFonts w:eastAsia="Gulim"/>
                <w:sz w:val="16"/>
                <w:szCs w:val="16"/>
                <w:lang w:val="en-US"/>
              </w:rPr>
              <w:t>Organizations</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b/>
                <w:sz w:val="16"/>
                <w:szCs w:val="16"/>
                <w:lang w:val="en-US"/>
              </w:rPr>
            </w:pPr>
            <w:r w:rsidRPr="00222917">
              <w:rPr>
                <w:rFonts w:eastAsia="Gulim"/>
                <w:b/>
                <w:sz w:val="16"/>
                <w:szCs w:val="16"/>
                <w:lang w:val="en-US"/>
              </w:rPr>
              <w:t>119</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13</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5</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11</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19</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23</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47</w:t>
            </w:r>
          </w:p>
        </w:tc>
      </w:tr>
      <w:tr w:rsidR="006E1F63" w:rsidRPr="00222917" w:rsidTr="00F662F0">
        <w:trPr>
          <w:trHeight w:val="240"/>
        </w:trPr>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701" w:type="dxa"/>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r w:rsidRPr="00222917">
              <w:rPr>
                <w:rFonts w:eastAsia="Gulim"/>
                <w:sz w:val="16"/>
                <w:szCs w:val="16"/>
                <w:lang w:val="en-US"/>
              </w:rPr>
              <w:t>Prosecutors Office</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b/>
                <w:sz w:val="16"/>
                <w:szCs w:val="16"/>
                <w:lang w:val="en-US"/>
              </w:rPr>
            </w:pPr>
            <w:r w:rsidRPr="00222917">
              <w:rPr>
                <w:rFonts w:eastAsia="Gulim"/>
                <w:b/>
                <w:sz w:val="16"/>
                <w:szCs w:val="16"/>
                <w:lang w:val="en-US"/>
              </w:rPr>
              <w:t>75</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12</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12</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14</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20</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9</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6</w:t>
            </w:r>
          </w:p>
        </w:tc>
      </w:tr>
      <w:tr w:rsidR="006E1F63" w:rsidRPr="00222917" w:rsidTr="00F662F0">
        <w:trPr>
          <w:trHeight w:val="240"/>
        </w:trPr>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701" w:type="dxa"/>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r w:rsidRPr="00222917">
              <w:rPr>
                <w:rFonts w:eastAsia="Gulim"/>
                <w:sz w:val="16"/>
                <w:szCs w:val="16"/>
                <w:lang w:val="en-US"/>
              </w:rPr>
              <w:t>Correctional facilities</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b/>
                <w:sz w:val="16"/>
                <w:szCs w:val="16"/>
                <w:lang w:val="en-US"/>
              </w:rPr>
            </w:pPr>
            <w:r w:rsidRPr="00222917">
              <w:rPr>
                <w:rFonts w:eastAsia="Gulim"/>
                <w:b/>
                <w:sz w:val="16"/>
                <w:szCs w:val="16"/>
                <w:lang w:val="en-US"/>
              </w:rPr>
              <w:t>137</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37</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39</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19</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10</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15</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17</w:t>
            </w:r>
          </w:p>
        </w:tc>
      </w:tr>
      <w:tr w:rsidR="006E1F63" w:rsidRPr="00222917" w:rsidTr="00F662F0">
        <w:trPr>
          <w:trHeight w:val="240"/>
        </w:trPr>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701" w:type="dxa"/>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r w:rsidRPr="00222917">
              <w:rPr>
                <w:rFonts w:eastAsia="Gulim"/>
                <w:sz w:val="16"/>
                <w:szCs w:val="16"/>
                <w:lang w:val="en-US"/>
              </w:rPr>
              <w:t>Military</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b/>
                <w:sz w:val="16"/>
                <w:szCs w:val="16"/>
                <w:lang w:val="en-US"/>
              </w:rPr>
            </w:pPr>
            <w:r w:rsidRPr="00222917">
              <w:rPr>
                <w:rFonts w:eastAsia="Gulim"/>
                <w:b/>
                <w:sz w:val="16"/>
                <w:szCs w:val="16"/>
                <w:lang w:val="en-US"/>
              </w:rPr>
              <w:t>78</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7</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7</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24</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12</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14</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13</w:t>
            </w:r>
          </w:p>
        </w:tc>
      </w:tr>
      <w:tr w:rsidR="006E1F63" w:rsidRPr="00222917" w:rsidTr="00F662F0">
        <w:trPr>
          <w:trHeight w:val="240"/>
        </w:trPr>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701" w:type="dxa"/>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r w:rsidRPr="00222917">
              <w:rPr>
                <w:rFonts w:eastAsia="Gulim"/>
                <w:sz w:val="16"/>
                <w:szCs w:val="16"/>
                <w:lang w:val="en-US"/>
              </w:rPr>
              <w:t>Protection facilities</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b/>
                <w:sz w:val="16"/>
                <w:szCs w:val="16"/>
                <w:lang w:val="en-US"/>
              </w:rPr>
            </w:pPr>
            <w:r w:rsidRPr="00222917">
              <w:rPr>
                <w:rFonts w:eastAsia="Gulim"/>
                <w:b/>
                <w:sz w:val="16"/>
                <w:szCs w:val="16"/>
                <w:lang w:val="en-US"/>
              </w:rPr>
              <w:t>11</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4</w:t>
            </w:r>
          </w:p>
        </w:tc>
        <w:tc>
          <w:tcPr>
            <w:tcW w:w="567" w:type="dxa"/>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w:t>
            </w:r>
          </w:p>
        </w:tc>
      </w:tr>
      <w:tr w:rsidR="006E1F63" w:rsidRPr="00222917" w:rsidTr="00F662F0">
        <w:trPr>
          <w:trHeight w:val="240"/>
        </w:trPr>
        <w:tc>
          <w:tcPr>
            <w:tcW w:w="1134" w:type="dxa"/>
            <w:vMerge/>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134" w:type="dxa"/>
            <w:vMerge/>
            <w:tcBorders>
              <w:bottom w:val="single" w:sz="4" w:space="0" w:color="000000"/>
            </w:tcBorders>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701" w:type="dxa"/>
            <w:tcBorders>
              <w:bottom w:val="single" w:sz="4" w:space="0" w:color="000000"/>
            </w:tcBorders>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r w:rsidRPr="00222917">
              <w:rPr>
                <w:rFonts w:eastAsia="Gulim"/>
                <w:sz w:val="16"/>
                <w:szCs w:val="16"/>
                <w:lang w:val="en-US"/>
              </w:rPr>
              <w:t>Others</w:t>
            </w:r>
          </w:p>
        </w:tc>
        <w:tc>
          <w:tcPr>
            <w:tcW w:w="567" w:type="dxa"/>
            <w:tcBorders>
              <w:bottom w:val="single" w:sz="4" w:space="0" w:color="000000"/>
            </w:tcBorders>
            <w:shd w:val="clear" w:color="auto" w:fill="auto"/>
          </w:tcPr>
          <w:p w:rsidR="006E1F63" w:rsidRPr="00222917" w:rsidRDefault="006E1F63" w:rsidP="00D17669">
            <w:pPr>
              <w:suppressAutoHyphens w:val="0"/>
              <w:snapToGrid w:val="0"/>
              <w:spacing w:before="40" w:after="40" w:line="200" w:lineRule="exact"/>
              <w:jc w:val="right"/>
              <w:rPr>
                <w:rFonts w:eastAsia="Gulim"/>
                <w:b/>
                <w:sz w:val="16"/>
                <w:szCs w:val="16"/>
                <w:lang w:val="en-US"/>
              </w:rPr>
            </w:pPr>
            <w:r w:rsidRPr="00222917">
              <w:rPr>
                <w:rFonts w:eastAsia="Gulim"/>
                <w:b/>
                <w:sz w:val="16"/>
                <w:szCs w:val="16"/>
                <w:lang w:val="en-US"/>
              </w:rPr>
              <w:t>381</w:t>
            </w:r>
          </w:p>
        </w:tc>
        <w:tc>
          <w:tcPr>
            <w:tcW w:w="567" w:type="dxa"/>
            <w:tcBorders>
              <w:bottom w:val="single" w:sz="4" w:space="0" w:color="000000"/>
            </w:tcBorders>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4</w:t>
            </w:r>
          </w:p>
        </w:tc>
        <w:tc>
          <w:tcPr>
            <w:tcW w:w="567" w:type="dxa"/>
            <w:tcBorders>
              <w:bottom w:val="single" w:sz="4" w:space="0" w:color="000000"/>
            </w:tcBorders>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8</w:t>
            </w:r>
          </w:p>
        </w:tc>
        <w:tc>
          <w:tcPr>
            <w:tcW w:w="567" w:type="dxa"/>
            <w:tcBorders>
              <w:bottom w:val="single" w:sz="4" w:space="0" w:color="000000"/>
            </w:tcBorders>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30</w:t>
            </w:r>
          </w:p>
        </w:tc>
        <w:tc>
          <w:tcPr>
            <w:tcW w:w="567" w:type="dxa"/>
            <w:tcBorders>
              <w:bottom w:val="single" w:sz="4" w:space="0" w:color="000000"/>
            </w:tcBorders>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54</w:t>
            </w:r>
          </w:p>
        </w:tc>
        <w:tc>
          <w:tcPr>
            <w:tcW w:w="567" w:type="dxa"/>
            <w:tcBorders>
              <w:bottom w:val="single" w:sz="4" w:space="0" w:color="000000"/>
            </w:tcBorders>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90</w:t>
            </w:r>
          </w:p>
        </w:tc>
        <w:tc>
          <w:tcPr>
            <w:tcW w:w="567" w:type="dxa"/>
            <w:tcBorders>
              <w:bottom w:val="single" w:sz="4" w:space="0" w:color="000000"/>
            </w:tcBorders>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88</w:t>
            </w:r>
          </w:p>
        </w:tc>
        <w:tc>
          <w:tcPr>
            <w:tcW w:w="567" w:type="dxa"/>
            <w:tcBorders>
              <w:bottom w:val="single" w:sz="4" w:space="0" w:color="000000"/>
            </w:tcBorders>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107</w:t>
            </w:r>
          </w:p>
        </w:tc>
      </w:tr>
      <w:tr w:rsidR="006E1F63" w:rsidRPr="00222917" w:rsidTr="00F662F0">
        <w:trPr>
          <w:trHeight w:val="240"/>
        </w:trPr>
        <w:tc>
          <w:tcPr>
            <w:tcW w:w="1134" w:type="dxa"/>
            <w:vMerge w:val="restart"/>
            <w:tcBorders>
              <w:bottom w:val="single" w:sz="12" w:space="0" w:color="000000"/>
            </w:tcBorders>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r w:rsidRPr="00222917">
              <w:rPr>
                <w:rFonts w:eastAsia="Gulim"/>
                <w:sz w:val="16"/>
                <w:szCs w:val="16"/>
                <w:lang w:val="en-US"/>
              </w:rPr>
              <w:t>Others</w:t>
            </w:r>
          </w:p>
        </w:tc>
        <w:tc>
          <w:tcPr>
            <w:tcW w:w="1134" w:type="dxa"/>
            <w:gridSpan w:val="2"/>
            <w:tcBorders>
              <w:top w:val="single" w:sz="4" w:space="0" w:color="000000"/>
              <w:bottom w:val="single" w:sz="4" w:space="0" w:color="000000"/>
            </w:tcBorders>
            <w:shd w:val="clear" w:color="auto" w:fill="auto"/>
            <w:vAlign w:val="center"/>
          </w:tcPr>
          <w:p w:rsidR="006E1F63" w:rsidRPr="00222917" w:rsidRDefault="006E1F63" w:rsidP="00D17669">
            <w:pPr>
              <w:suppressAutoHyphens w:val="0"/>
              <w:snapToGrid w:val="0"/>
              <w:spacing w:before="80" w:after="80" w:line="200" w:lineRule="exact"/>
              <w:rPr>
                <w:rFonts w:eastAsia="Gulim"/>
                <w:b/>
                <w:sz w:val="16"/>
                <w:szCs w:val="16"/>
                <w:lang w:val="en-US"/>
              </w:rPr>
            </w:pPr>
            <w:r w:rsidRPr="00222917">
              <w:rPr>
                <w:rFonts w:eastAsia="Gulim"/>
                <w:b/>
                <w:sz w:val="16"/>
                <w:szCs w:val="16"/>
                <w:lang w:val="en-US"/>
              </w:rPr>
              <w:t>Subtotal</w:t>
            </w:r>
          </w:p>
        </w:tc>
        <w:tc>
          <w:tcPr>
            <w:tcW w:w="567" w:type="dxa"/>
            <w:tcBorders>
              <w:top w:val="single" w:sz="4" w:space="0" w:color="000000"/>
              <w:bottom w:val="single" w:sz="4" w:space="0" w:color="000000"/>
            </w:tcBorders>
            <w:shd w:val="clear" w:color="auto" w:fill="auto"/>
          </w:tcPr>
          <w:p w:rsidR="006E1F63" w:rsidRPr="00222917" w:rsidRDefault="006E1F63" w:rsidP="00D17669">
            <w:pPr>
              <w:suppressAutoHyphens w:val="0"/>
              <w:snapToGrid w:val="0"/>
              <w:spacing w:before="80" w:after="80" w:line="200" w:lineRule="exact"/>
              <w:jc w:val="right"/>
              <w:rPr>
                <w:rFonts w:eastAsia="Gulim"/>
                <w:b/>
                <w:sz w:val="16"/>
                <w:szCs w:val="16"/>
                <w:lang w:val="en-US"/>
              </w:rPr>
            </w:pPr>
            <w:r w:rsidRPr="00222917">
              <w:rPr>
                <w:rFonts w:eastAsia="Gulim"/>
                <w:b/>
                <w:sz w:val="16"/>
                <w:szCs w:val="16"/>
                <w:lang w:val="en-US"/>
              </w:rPr>
              <w:t>1,078</w:t>
            </w:r>
          </w:p>
        </w:tc>
        <w:tc>
          <w:tcPr>
            <w:tcW w:w="567" w:type="dxa"/>
            <w:tcBorders>
              <w:top w:val="single" w:sz="4" w:space="0" w:color="000000"/>
              <w:bottom w:val="single" w:sz="4" w:space="0" w:color="000000"/>
            </w:tcBorders>
            <w:shd w:val="clear" w:color="auto" w:fill="auto"/>
          </w:tcPr>
          <w:p w:rsidR="006E1F63" w:rsidRPr="00222917" w:rsidRDefault="006E1F63" w:rsidP="00D17669">
            <w:pPr>
              <w:suppressAutoHyphens w:val="0"/>
              <w:snapToGrid w:val="0"/>
              <w:spacing w:before="80" w:after="80" w:line="200" w:lineRule="exact"/>
              <w:jc w:val="right"/>
              <w:rPr>
                <w:rFonts w:eastAsia="Gulim"/>
                <w:b/>
                <w:sz w:val="16"/>
                <w:szCs w:val="16"/>
                <w:lang w:val="en-US"/>
              </w:rPr>
            </w:pPr>
            <w:r w:rsidRPr="00222917">
              <w:rPr>
                <w:rFonts w:eastAsia="Gulim"/>
                <w:b/>
                <w:sz w:val="16"/>
                <w:szCs w:val="16"/>
                <w:lang w:val="en-US"/>
              </w:rPr>
              <w:t>505</w:t>
            </w:r>
          </w:p>
        </w:tc>
        <w:tc>
          <w:tcPr>
            <w:tcW w:w="567" w:type="dxa"/>
            <w:tcBorders>
              <w:top w:val="single" w:sz="4" w:space="0" w:color="000000"/>
              <w:bottom w:val="single" w:sz="4" w:space="0" w:color="000000"/>
            </w:tcBorders>
            <w:shd w:val="clear" w:color="auto" w:fill="auto"/>
          </w:tcPr>
          <w:p w:rsidR="006E1F63" w:rsidRPr="00222917" w:rsidRDefault="006E1F63" w:rsidP="00D17669">
            <w:pPr>
              <w:suppressAutoHyphens w:val="0"/>
              <w:snapToGrid w:val="0"/>
              <w:spacing w:before="80" w:after="80" w:line="200" w:lineRule="exact"/>
              <w:jc w:val="right"/>
              <w:rPr>
                <w:rFonts w:eastAsia="Gulim"/>
                <w:b/>
                <w:sz w:val="16"/>
                <w:szCs w:val="16"/>
                <w:lang w:val="en-US"/>
              </w:rPr>
            </w:pPr>
            <w:r w:rsidRPr="00222917">
              <w:rPr>
                <w:rFonts w:eastAsia="Gulim"/>
                <w:b/>
                <w:sz w:val="16"/>
                <w:szCs w:val="16"/>
                <w:lang w:val="en-US"/>
              </w:rPr>
              <w:t>381</w:t>
            </w:r>
          </w:p>
        </w:tc>
        <w:tc>
          <w:tcPr>
            <w:tcW w:w="567" w:type="dxa"/>
            <w:tcBorders>
              <w:top w:val="single" w:sz="4" w:space="0" w:color="000000"/>
              <w:bottom w:val="single" w:sz="4" w:space="0" w:color="000000"/>
            </w:tcBorders>
            <w:shd w:val="clear" w:color="auto" w:fill="auto"/>
          </w:tcPr>
          <w:p w:rsidR="006E1F63" w:rsidRPr="00222917" w:rsidRDefault="006E1F63" w:rsidP="00D17669">
            <w:pPr>
              <w:suppressAutoHyphens w:val="0"/>
              <w:snapToGrid w:val="0"/>
              <w:spacing w:before="80" w:after="80" w:line="200" w:lineRule="exact"/>
              <w:jc w:val="right"/>
              <w:rPr>
                <w:rFonts w:eastAsia="Gulim"/>
                <w:b/>
                <w:sz w:val="16"/>
                <w:szCs w:val="16"/>
                <w:lang w:val="en-US"/>
              </w:rPr>
            </w:pPr>
            <w:r w:rsidRPr="00222917">
              <w:rPr>
                <w:rFonts w:eastAsia="Gulim"/>
                <w:b/>
                <w:sz w:val="16"/>
                <w:szCs w:val="16"/>
                <w:lang w:val="en-US"/>
              </w:rPr>
              <w:t>57</w:t>
            </w:r>
          </w:p>
        </w:tc>
        <w:tc>
          <w:tcPr>
            <w:tcW w:w="567" w:type="dxa"/>
            <w:tcBorders>
              <w:top w:val="single" w:sz="4" w:space="0" w:color="000000"/>
              <w:bottom w:val="single" w:sz="4" w:space="0" w:color="000000"/>
            </w:tcBorders>
            <w:shd w:val="clear" w:color="auto" w:fill="auto"/>
          </w:tcPr>
          <w:p w:rsidR="006E1F63" w:rsidRPr="00222917" w:rsidRDefault="006E1F63" w:rsidP="00D17669">
            <w:pPr>
              <w:suppressAutoHyphens w:val="0"/>
              <w:snapToGrid w:val="0"/>
              <w:spacing w:before="80" w:after="80" w:line="200" w:lineRule="exact"/>
              <w:jc w:val="right"/>
              <w:rPr>
                <w:rFonts w:eastAsia="Gulim"/>
                <w:b/>
                <w:sz w:val="16"/>
                <w:szCs w:val="16"/>
                <w:lang w:val="en-US"/>
              </w:rPr>
            </w:pPr>
            <w:r w:rsidRPr="00222917">
              <w:rPr>
                <w:rFonts w:eastAsia="Gulim"/>
                <w:b/>
                <w:sz w:val="16"/>
                <w:szCs w:val="16"/>
                <w:lang w:val="en-US"/>
              </w:rPr>
              <w:t>54</w:t>
            </w:r>
          </w:p>
        </w:tc>
        <w:tc>
          <w:tcPr>
            <w:tcW w:w="567" w:type="dxa"/>
            <w:tcBorders>
              <w:top w:val="single" w:sz="4" w:space="0" w:color="000000"/>
              <w:bottom w:val="single" w:sz="4" w:space="0" w:color="000000"/>
            </w:tcBorders>
            <w:shd w:val="clear" w:color="auto" w:fill="auto"/>
          </w:tcPr>
          <w:p w:rsidR="006E1F63" w:rsidRPr="00222917" w:rsidRDefault="006E1F63" w:rsidP="00D17669">
            <w:pPr>
              <w:suppressAutoHyphens w:val="0"/>
              <w:snapToGrid w:val="0"/>
              <w:spacing w:before="80" w:after="80" w:line="200" w:lineRule="exact"/>
              <w:jc w:val="right"/>
              <w:rPr>
                <w:rFonts w:eastAsia="Gulim"/>
                <w:b/>
                <w:sz w:val="16"/>
                <w:szCs w:val="16"/>
                <w:lang w:val="en-US"/>
              </w:rPr>
            </w:pPr>
            <w:r w:rsidRPr="00222917">
              <w:rPr>
                <w:rFonts w:eastAsia="Gulim"/>
                <w:b/>
                <w:sz w:val="16"/>
                <w:szCs w:val="16"/>
                <w:lang w:val="en-US"/>
              </w:rPr>
              <w:t>35</w:t>
            </w:r>
          </w:p>
        </w:tc>
        <w:tc>
          <w:tcPr>
            <w:tcW w:w="567" w:type="dxa"/>
            <w:tcBorders>
              <w:top w:val="single" w:sz="4" w:space="0" w:color="000000"/>
              <w:bottom w:val="single" w:sz="4" w:space="0" w:color="000000"/>
            </w:tcBorders>
            <w:shd w:val="clear" w:color="auto" w:fill="auto"/>
          </w:tcPr>
          <w:p w:rsidR="006E1F63" w:rsidRPr="00222917" w:rsidRDefault="006E1F63" w:rsidP="00D17669">
            <w:pPr>
              <w:suppressAutoHyphens w:val="0"/>
              <w:snapToGrid w:val="0"/>
              <w:spacing w:before="80" w:after="80" w:line="200" w:lineRule="exact"/>
              <w:jc w:val="right"/>
              <w:rPr>
                <w:rFonts w:eastAsia="Gulim"/>
                <w:b/>
                <w:sz w:val="16"/>
                <w:szCs w:val="16"/>
                <w:lang w:val="en-US"/>
              </w:rPr>
            </w:pPr>
            <w:r w:rsidRPr="00222917">
              <w:rPr>
                <w:rFonts w:eastAsia="Gulim"/>
                <w:b/>
                <w:sz w:val="16"/>
                <w:szCs w:val="16"/>
                <w:lang w:val="en-US"/>
              </w:rPr>
              <w:t>20</w:t>
            </w:r>
          </w:p>
        </w:tc>
        <w:tc>
          <w:tcPr>
            <w:tcW w:w="567" w:type="dxa"/>
            <w:tcBorders>
              <w:top w:val="single" w:sz="4" w:space="0" w:color="000000"/>
              <w:bottom w:val="single" w:sz="4" w:space="0" w:color="000000"/>
            </w:tcBorders>
            <w:shd w:val="clear" w:color="auto" w:fill="auto"/>
          </w:tcPr>
          <w:p w:rsidR="006E1F63" w:rsidRPr="00222917" w:rsidRDefault="006E1F63" w:rsidP="00D17669">
            <w:pPr>
              <w:suppressAutoHyphens w:val="0"/>
              <w:snapToGrid w:val="0"/>
              <w:spacing w:before="80" w:after="80" w:line="200" w:lineRule="exact"/>
              <w:jc w:val="right"/>
              <w:rPr>
                <w:rFonts w:eastAsia="Gulim"/>
                <w:b/>
                <w:sz w:val="16"/>
                <w:szCs w:val="16"/>
                <w:lang w:val="en-US"/>
              </w:rPr>
            </w:pPr>
            <w:r w:rsidRPr="00222917">
              <w:rPr>
                <w:rFonts w:eastAsia="Gulim"/>
                <w:b/>
                <w:sz w:val="16"/>
                <w:szCs w:val="16"/>
                <w:lang w:val="en-US"/>
              </w:rPr>
              <w:t>26</w:t>
            </w:r>
          </w:p>
        </w:tc>
      </w:tr>
      <w:tr w:rsidR="006E1F63" w:rsidRPr="00222917" w:rsidTr="00F662F0">
        <w:trPr>
          <w:trHeight w:val="240"/>
        </w:trPr>
        <w:tc>
          <w:tcPr>
            <w:tcW w:w="1134" w:type="dxa"/>
            <w:vMerge/>
            <w:tcBorders>
              <w:bottom w:val="single" w:sz="12" w:space="0" w:color="000000"/>
            </w:tcBorders>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134" w:type="dxa"/>
            <w:gridSpan w:val="2"/>
            <w:tcBorders>
              <w:top w:val="single" w:sz="4" w:space="0" w:color="000000"/>
            </w:tcBorders>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r w:rsidRPr="00222917">
              <w:rPr>
                <w:rFonts w:eastAsia="Gulim"/>
                <w:sz w:val="16"/>
                <w:szCs w:val="16"/>
                <w:lang w:val="en-US"/>
              </w:rPr>
              <w:t>Accepted</w:t>
            </w:r>
          </w:p>
        </w:tc>
        <w:tc>
          <w:tcPr>
            <w:tcW w:w="567" w:type="dxa"/>
            <w:tcBorders>
              <w:top w:val="single" w:sz="4" w:space="0" w:color="000000"/>
            </w:tcBorders>
            <w:shd w:val="clear" w:color="auto" w:fill="auto"/>
          </w:tcPr>
          <w:p w:rsidR="006E1F63" w:rsidRPr="00222917" w:rsidRDefault="006E1F63" w:rsidP="00D17669">
            <w:pPr>
              <w:suppressAutoHyphens w:val="0"/>
              <w:snapToGrid w:val="0"/>
              <w:spacing w:before="40" w:after="40" w:line="200" w:lineRule="exact"/>
              <w:jc w:val="right"/>
              <w:rPr>
                <w:rFonts w:eastAsia="Gulim"/>
                <w:b/>
                <w:sz w:val="16"/>
                <w:szCs w:val="16"/>
                <w:lang w:val="en-US"/>
              </w:rPr>
            </w:pPr>
            <w:r w:rsidRPr="00222917">
              <w:rPr>
                <w:rFonts w:eastAsia="Gulim"/>
                <w:b/>
                <w:sz w:val="16"/>
                <w:szCs w:val="16"/>
                <w:lang w:val="en-US"/>
              </w:rPr>
              <w:t>22</w:t>
            </w:r>
          </w:p>
        </w:tc>
        <w:tc>
          <w:tcPr>
            <w:tcW w:w="567" w:type="dxa"/>
            <w:tcBorders>
              <w:top w:val="single" w:sz="4" w:space="0" w:color="000000"/>
            </w:tcBorders>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10</w:t>
            </w:r>
          </w:p>
        </w:tc>
        <w:tc>
          <w:tcPr>
            <w:tcW w:w="567" w:type="dxa"/>
            <w:tcBorders>
              <w:top w:val="single" w:sz="4" w:space="0" w:color="000000"/>
            </w:tcBorders>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11</w:t>
            </w:r>
          </w:p>
        </w:tc>
        <w:tc>
          <w:tcPr>
            <w:tcW w:w="567" w:type="dxa"/>
            <w:tcBorders>
              <w:top w:val="single" w:sz="4" w:space="0" w:color="000000"/>
            </w:tcBorders>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w:t>
            </w:r>
          </w:p>
        </w:tc>
        <w:tc>
          <w:tcPr>
            <w:tcW w:w="567" w:type="dxa"/>
            <w:tcBorders>
              <w:top w:val="single" w:sz="4" w:space="0" w:color="000000"/>
            </w:tcBorders>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w:t>
            </w:r>
          </w:p>
        </w:tc>
        <w:tc>
          <w:tcPr>
            <w:tcW w:w="567" w:type="dxa"/>
            <w:tcBorders>
              <w:top w:val="single" w:sz="4" w:space="0" w:color="000000"/>
            </w:tcBorders>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w:t>
            </w:r>
          </w:p>
        </w:tc>
        <w:tc>
          <w:tcPr>
            <w:tcW w:w="567" w:type="dxa"/>
            <w:tcBorders>
              <w:top w:val="single" w:sz="4" w:space="0" w:color="000000"/>
            </w:tcBorders>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w:t>
            </w:r>
          </w:p>
        </w:tc>
        <w:tc>
          <w:tcPr>
            <w:tcW w:w="567" w:type="dxa"/>
            <w:tcBorders>
              <w:top w:val="single" w:sz="4" w:space="0" w:color="000000"/>
            </w:tcBorders>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w:t>
            </w:r>
          </w:p>
        </w:tc>
      </w:tr>
      <w:tr w:rsidR="006E1F63" w:rsidRPr="00222917" w:rsidTr="00F662F0">
        <w:trPr>
          <w:trHeight w:val="240"/>
        </w:trPr>
        <w:tc>
          <w:tcPr>
            <w:tcW w:w="1134" w:type="dxa"/>
            <w:vMerge/>
            <w:tcBorders>
              <w:bottom w:val="single" w:sz="12" w:space="0" w:color="000000"/>
            </w:tcBorders>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p>
        </w:tc>
        <w:tc>
          <w:tcPr>
            <w:tcW w:w="1134" w:type="dxa"/>
            <w:gridSpan w:val="2"/>
            <w:tcBorders>
              <w:bottom w:val="single" w:sz="12" w:space="0" w:color="000000"/>
            </w:tcBorders>
            <w:shd w:val="clear" w:color="auto" w:fill="auto"/>
            <w:vAlign w:val="center"/>
          </w:tcPr>
          <w:p w:rsidR="006E1F63" w:rsidRPr="00222917" w:rsidRDefault="006E1F63" w:rsidP="00D17669">
            <w:pPr>
              <w:suppressAutoHyphens w:val="0"/>
              <w:snapToGrid w:val="0"/>
              <w:spacing w:before="40" w:after="40" w:line="200" w:lineRule="exact"/>
              <w:rPr>
                <w:rFonts w:eastAsia="Gulim"/>
                <w:sz w:val="16"/>
                <w:szCs w:val="16"/>
                <w:lang w:val="en-US"/>
              </w:rPr>
            </w:pPr>
            <w:r w:rsidRPr="00222917">
              <w:rPr>
                <w:rFonts w:eastAsia="Gulim"/>
                <w:sz w:val="16"/>
                <w:szCs w:val="16"/>
                <w:lang w:val="en-US"/>
              </w:rPr>
              <w:t>Rejected or others</w:t>
            </w:r>
          </w:p>
        </w:tc>
        <w:tc>
          <w:tcPr>
            <w:tcW w:w="567" w:type="dxa"/>
            <w:tcBorders>
              <w:bottom w:val="single" w:sz="12" w:space="0" w:color="000000"/>
            </w:tcBorders>
            <w:shd w:val="clear" w:color="auto" w:fill="auto"/>
          </w:tcPr>
          <w:p w:rsidR="006E1F63" w:rsidRPr="00222917" w:rsidRDefault="006E1F63" w:rsidP="00D17669">
            <w:pPr>
              <w:suppressAutoHyphens w:val="0"/>
              <w:snapToGrid w:val="0"/>
              <w:spacing w:before="40" w:after="40" w:line="200" w:lineRule="exact"/>
              <w:jc w:val="right"/>
              <w:rPr>
                <w:rFonts w:eastAsia="Gulim"/>
                <w:b/>
                <w:sz w:val="16"/>
                <w:szCs w:val="16"/>
                <w:lang w:val="en-US"/>
              </w:rPr>
            </w:pPr>
            <w:r w:rsidRPr="00222917">
              <w:rPr>
                <w:rFonts w:eastAsia="Gulim"/>
                <w:b/>
                <w:sz w:val="16"/>
                <w:szCs w:val="16"/>
                <w:lang w:val="en-US"/>
              </w:rPr>
              <w:t>1,056</w:t>
            </w:r>
          </w:p>
        </w:tc>
        <w:tc>
          <w:tcPr>
            <w:tcW w:w="567" w:type="dxa"/>
            <w:tcBorders>
              <w:bottom w:val="single" w:sz="12" w:space="0" w:color="000000"/>
            </w:tcBorders>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495</w:t>
            </w:r>
          </w:p>
        </w:tc>
        <w:tc>
          <w:tcPr>
            <w:tcW w:w="567" w:type="dxa"/>
            <w:tcBorders>
              <w:bottom w:val="single" w:sz="12" w:space="0" w:color="000000"/>
            </w:tcBorders>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370</w:t>
            </w:r>
          </w:p>
        </w:tc>
        <w:tc>
          <w:tcPr>
            <w:tcW w:w="567" w:type="dxa"/>
            <w:tcBorders>
              <w:bottom w:val="single" w:sz="12" w:space="0" w:color="000000"/>
            </w:tcBorders>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57</w:t>
            </w:r>
          </w:p>
        </w:tc>
        <w:tc>
          <w:tcPr>
            <w:tcW w:w="567" w:type="dxa"/>
            <w:tcBorders>
              <w:bottom w:val="single" w:sz="12" w:space="0" w:color="000000"/>
            </w:tcBorders>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53</w:t>
            </w:r>
          </w:p>
        </w:tc>
        <w:tc>
          <w:tcPr>
            <w:tcW w:w="567" w:type="dxa"/>
            <w:tcBorders>
              <w:bottom w:val="single" w:sz="12" w:space="0" w:color="000000"/>
            </w:tcBorders>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35</w:t>
            </w:r>
          </w:p>
        </w:tc>
        <w:tc>
          <w:tcPr>
            <w:tcW w:w="567" w:type="dxa"/>
            <w:tcBorders>
              <w:bottom w:val="single" w:sz="12" w:space="0" w:color="000000"/>
            </w:tcBorders>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20</w:t>
            </w:r>
          </w:p>
        </w:tc>
        <w:tc>
          <w:tcPr>
            <w:tcW w:w="567" w:type="dxa"/>
            <w:tcBorders>
              <w:bottom w:val="single" w:sz="12" w:space="0" w:color="000000"/>
            </w:tcBorders>
            <w:shd w:val="clear" w:color="auto" w:fill="auto"/>
          </w:tcPr>
          <w:p w:rsidR="006E1F63" w:rsidRPr="00222917" w:rsidRDefault="006E1F63" w:rsidP="00D1766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26</w:t>
            </w:r>
          </w:p>
        </w:tc>
      </w:tr>
    </w:tbl>
    <w:p w:rsidR="002D5BB0" w:rsidRPr="00222917" w:rsidRDefault="00547908" w:rsidP="00547908">
      <w:pPr>
        <w:pStyle w:val="SingleTxtG"/>
        <w:spacing w:before="240"/>
        <w:rPr>
          <w:lang w:val="en-US"/>
        </w:rPr>
      </w:pPr>
      <w:r w:rsidRPr="00222917">
        <w:rPr>
          <w:lang w:val="en-US"/>
        </w:rPr>
        <w:t>21.</w:t>
      </w:r>
      <w:r w:rsidRPr="00222917">
        <w:rPr>
          <w:lang w:val="en-US"/>
        </w:rPr>
        <w:tab/>
      </w:r>
      <w:r w:rsidR="002D5BB0" w:rsidRPr="00222917">
        <w:rPr>
          <w:lang w:val="en-US"/>
        </w:rPr>
        <w:t xml:space="preserve">Since it joined the International Coordinating Committee (ICC) of the National Institutions for the Promotion and Protection of Human Rights in 2004, the National Human Rights Commission of Korea has maintained A status accreditation with regard to independence </w:t>
      </w:r>
      <w:r w:rsidR="002D5BB0" w:rsidRPr="00222917">
        <w:rPr>
          <w:bCs/>
          <w:lang w:val="en-US"/>
        </w:rPr>
        <w:t>and</w:t>
      </w:r>
      <w:r w:rsidR="002D5BB0" w:rsidRPr="00222917">
        <w:rPr>
          <w:lang w:val="en-US"/>
        </w:rPr>
        <w:t xml:space="preserve"> effectiveness of national human rights institutions. In addition to serving as chair of the Asia-Pacific Forum of National Human Rights Institutions, the Commission served as vice-chair of the ICC from 2007 to 2009, and is an Asia-Pacific member of the ICC Sub-Committee on Accreditation under the Committee. </w:t>
      </w:r>
    </w:p>
    <w:p w:rsidR="002D5BB0" w:rsidRPr="00222917" w:rsidRDefault="006A6ADD" w:rsidP="00505C89">
      <w:pPr>
        <w:pStyle w:val="H1G"/>
        <w:rPr>
          <w:lang w:val="en-US"/>
        </w:rPr>
      </w:pPr>
      <w:r w:rsidRPr="00222917">
        <w:rPr>
          <w:lang w:val="en-US"/>
        </w:rPr>
        <w:tab/>
      </w:r>
      <w:r w:rsidR="008E73D3">
        <w:rPr>
          <w:lang w:val="en-US"/>
        </w:rPr>
        <w:t>G.</w:t>
      </w:r>
      <w:r w:rsidRPr="00222917">
        <w:rPr>
          <w:lang w:val="en-US"/>
        </w:rPr>
        <w:tab/>
      </w:r>
      <w:r w:rsidR="002D5BB0" w:rsidRPr="00222917">
        <w:rPr>
          <w:lang w:val="en-US"/>
        </w:rPr>
        <w:t xml:space="preserve">Effect of the Covenant and </w:t>
      </w:r>
      <w:r w:rsidR="00505C89">
        <w:rPr>
          <w:lang w:val="en-US"/>
        </w:rPr>
        <w:t>c</w:t>
      </w:r>
      <w:r w:rsidR="002D5BB0" w:rsidRPr="00222917">
        <w:rPr>
          <w:lang w:val="en-US"/>
        </w:rPr>
        <w:t xml:space="preserve">ases </w:t>
      </w:r>
      <w:r w:rsidR="00505C89">
        <w:rPr>
          <w:lang w:val="en-US"/>
        </w:rPr>
        <w:t>in which it has been i</w:t>
      </w:r>
      <w:r w:rsidR="002D5BB0" w:rsidRPr="00222917">
        <w:rPr>
          <w:lang w:val="en-US"/>
        </w:rPr>
        <w:t xml:space="preserve">nvoked in </w:t>
      </w:r>
      <w:r w:rsidR="00505C89">
        <w:rPr>
          <w:lang w:val="en-US"/>
        </w:rPr>
        <w:t>t</w:t>
      </w:r>
      <w:r w:rsidR="002D5BB0" w:rsidRPr="00222917">
        <w:rPr>
          <w:lang w:val="en-US"/>
        </w:rPr>
        <w:t>rials</w:t>
      </w:r>
    </w:p>
    <w:p w:rsidR="002D5BB0" w:rsidRPr="00222917" w:rsidRDefault="00547908" w:rsidP="00547908">
      <w:pPr>
        <w:pStyle w:val="SingleTxtG"/>
        <w:rPr>
          <w:lang w:val="en-US"/>
        </w:rPr>
      </w:pPr>
      <w:r w:rsidRPr="00222917">
        <w:rPr>
          <w:lang w:val="en-US"/>
        </w:rPr>
        <w:t>22.</w:t>
      </w:r>
      <w:r w:rsidRPr="00222917">
        <w:rPr>
          <w:lang w:val="en-US"/>
        </w:rPr>
        <w:tab/>
      </w:r>
      <w:r w:rsidR="002D5BB0" w:rsidRPr="00222917">
        <w:rPr>
          <w:lang w:val="en-US"/>
        </w:rPr>
        <w:t xml:space="preserve">As explained in the third periodic report, the Covenant has the same effect as domestic law under the Constitution. All draft legislation is placed under review to ensure compliance with international treaties of which the </w:t>
      </w:r>
      <w:smartTag w:uri="urn:schemas-microsoft-com:office:smarttags" w:element="place">
        <w:smartTag w:uri="urn:schemas-microsoft-com:office:smarttags" w:element="PlaceType">
          <w:r w:rsidR="002D5BB0" w:rsidRPr="00222917">
            <w:rPr>
              <w:lang w:val="en-US"/>
            </w:rPr>
            <w:t>Republic</w:t>
          </w:r>
        </w:smartTag>
        <w:r w:rsidR="002D5BB0" w:rsidRPr="00222917">
          <w:rPr>
            <w:lang w:val="en-US"/>
          </w:rPr>
          <w:t xml:space="preserve"> of </w:t>
        </w:r>
        <w:smartTag w:uri="urn:schemas-microsoft-com:office:smarttags" w:element="PlaceName">
          <w:r w:rsidR="002D5BB0" w:rsidRPr="00222917">
            <w:rPr>
              <w:lang w:val="en-US"/>
            </w:rPr>
            <w:t>Korea</w:t>
          </w:r>
        </w:smartTag>
      </w:smartTag>
      <w:r w:rsidR="002D5BB0" w:rsidRPr="00222917">
        <w:rPr>
          <w:lang w:val="en-US"/>
        </w:rPr>
        <w:t xml:space="preserve"> is a party, including the Covenant. Such </w:t>
      </w:r>
      <w:r w:rsidR="002D5BB0" w:rsidRPr="00222917">
        <w:rPr>
          <w:bCs/>
          <w:lang w:val="en-US"/>
        </w:rPr>
        <w:t>procedure</w:t>
      </w:r>
      <w:r w:rsidR="002D5BB0" w:rsidRPr="00222917">
        <w:rPr>
          <w:lang w:val="en-US"/>
        </w:rPr>
        <w:t xml:space="preserve"> leaves little room for the enactment of legislations in conflict with the Covena</w:t>
      </w:r>
      <w:r w:rsidR="006A6ADD" w:rsidRPr="00222917">
        <w:rPr>
          <w:lang w:val="en-US"/>
        </w:rPr>
        <w:t>nt (CCPR/C/KOR/2005/3, para. </w:t>
      </w:r>
      <w:r w:rsidR="002D5BB0" w:rsidRPr="00222917">
        <w:rPr>
          <w:lang w:val="en-US"/>
        </w:rPr>
        <w:t xml:space="preserve">11). If an enacted legislation is in conflict with the Covenant, such legislations will lose the effect upon the ruling of unconstitutionality by the </w:t>
      </w:r>
      <w:smartTag w:uri="urn:schemas-microsoft-com:office:smarttags" w:element="Street">
        <w:smartTag w:uri="urn:schemas-microsoft-com:office:smarttags" w:element="address">
          <w:r w:rsidR="002D5BB0" w:rsidRPr="00222917">
            <w:rPr>
              <w:lang w:val="en-US"/>
            </w:rPr>
            <w:t>Constitutional Court</w:t>
          </w:r>
        </w:smartTag>
      </w:smartTag>
      <w:r w:rsidR="002D5BB0" w:rsidRPr="00222917">
        <w:rPr>
          <w:lang w:val="en-US"/>
        </w:rPr>
        <w:t xml:space="preserve"> because most rights under the Covenant are guaranteed as basic rights under the Constitution. Meanwhile, the Committee on Economic, Social and Cultural Rights, at its consideration of the </w:t>
      </w:r>
      <w:smartTag w:uri="urn:schemas-microsoft-com:office:smarttags" w:element="place">
        <w:smartTag w:uri="urn:schemas-microsoft-com:office:smarttags" w:element="PlaceType">
          <w:r w:rsidR="002D5BB0" w:rsidRPr="00222917">
            <w:rPr>
              <w:lang w:val="en-US"/>
            </w:rPr>
            <w:t>Republic</w:t>
          </w:r>
        </w:smartTag>
        <w:r w:rsidR="002D5BB0" w:rsidRPr="00222917">
          <w:rPr>
            <w:lang w:val="en-US"/>
          </w:rPr>
          <w:t xml:space="preserve"> of </w:t>
        </w:r>
        <w:smartTag w:uri="urn:schemas-microsoft-com:office:smarttags" w:element="PlaceName">
          <w:r w:rsidR="002D5BB0" w:rsidRPr="00222917">
            <w:rPr>
              <w:lang w:val="en-US"/>
            </w:rPr>
            <w:t>Korea</w:t>
          </w:r>
        </w:smartTag>
      </w:smartTag>
      <w:r w:rsidR="002D5BB0" w:rsidRPr="00222917">
        <w:rPr>
          <w:lang w:val="en-US"/>
        </w:rPr>
        <w:t xml:space="preserve">’s third periodic report in November 2010, reiterated its concern on the exclusive application of the Constitution to citizens. In this regard, the Constitutional Court of Korea ruled in several decisions (99 HUN-MA 494, 2004 HUN-MA 570, 2003 HUN-BA 51) that foreigners are also entitled to basic rights under the Constitution, with exceptions such as suffrage. </w:t>
      </w:r>
    </w:p>
    <w:p w:rsidR="002D5BB0" w:rsidRPr="00222917" w:rsidRDefault="00547908" w:rsidP="00547908">
      <w:pPr>
        <w:pStyle w:val="SingleTxtG"/>
        <w:rPr>
          <w:lang w:val="en-US"/>
        </w:rPr>
      </w:pPr>
      <w:r w:rsidRPr="00222917">
        <w:rPr>
          <w:lang w:val="en-US"/>
        </w:rPr>
        <w:t>23.</w:t>
      </w:r>
      <w:r w:rsidRPr="00222917">
        <w:rPr>
          <w:lang w:val="en-US"/>
        </w:rPr>
        <w:tab/>
      </w:r>
      <w:r w:rsidR="002D5BB0" w:rsidRPr="00222917">
        <w:rPr>
          <w:lang w:val="en-US"/>
        </w:rPr>
        <w:t xml:space="preserve">Ratified international human rights treaties are invoked as judicial sources for judgment. The </w:t>
      </w:r>
      <w:r w:rsidR="002D5BB0" w:rsidRPr="00222917">
        <w:rPr>
          <w:bCs/>
          <w:lang w:val="en-US"/>
        </w:rPr>
        <w:t>cases</w:t>
      </w:r>
      <w:r w:rsidR="002D5BB0" w:rsidRPr="00222917">
        <w:rPr>
          <w:lang w:val="en-US"/>
        </w:rPr>
        <w:t xml:space="preserve"> in which the Covenant was invoke</w:t>
      </w:r>
      <w:r w:rsidR="006A6ADD" w:rsidRPr="00222917">
        <w:rPr>
          <w:lang w:val="en-US"/>
        </w:rPr>
        <w:t>d in judgments are as follows:</w:t>
      </w:r>
    </w:p>
    <w:p w:rsidR="002D5BB0" w:rsidRPr="00222917" w:rsidRDefault="00547908" w:rsidP="00547908">
      <w:pPr>
        <w:pStyle w:val="SingleTxtG"/>
        <w:rPr>
          <w:lang w:val="en-US"/>
        </w:rPr>
      </w:pPr>
      <w:r w:rsidRPr="00222917">
        <w:rPr>
          <w:lang w:val="en-US"/>
        </w:rPr>
        <w:t>24.</w:t>
      </w:r>
      <w:r w:rsidRPr="00222917">
        <w:rPr>
          <w:lang w:val="en-US"/>
        </w:rPr>
        <w:tab/>
      </w:r>
      <w:r w:rsidR="006A6ADD" w:rsidRPr="00222917">
        <w:rPr>
          <w:lang w:val="en-US"/>
        </w:rPr>
        <w:t xml:space="preserve">With regard to </w:t>
      </w:r>
      <w:r w:rsidR="00664558" w:rsidRPr="00222917">
        <w:rPr>
          <w:lang w:val="en-US"/>
        </w:rPr>
        <w:t>a</w:t>
      </w:r>
      <w:r w:rsidR="006A6ADD" w:rsidRPr="00222917">
        <w:rPr>
          <w:lang w:val="en-US"/>
        </w:rPr>
        <w:t>rticle </w:t>
      </w:r>
      <w:r w:rsidR="002D5BB0" w:rsidRPr="00222917">
        <w:rPr>
          <w:lang w:val="en-US"/>
        </w:rPr>
        <w:t>13</w:t>
      </w:r>
      <w:r w:rsidR="00664558" w:rsidRPr="00222917">
        <w:rPr>
          <w:lang w:val="en-US"/>
        </w:rPr>
        <w:t xml:space="preserve"> </w:t>
      </w:r>
      <w:r w:rsidR="002D5BB0" w:rsidRPr="00222917">
        <w:rPr>
          <w:lang w:val="en-US"/>
        </w:rPr>
        <w:t xml:space="preserve">(2) of the former </w:t>
      </w:r>
      <w:r w:rsidR="002D5BB0" w:rsidRPr="00222917">
        <w:rPr>
          <w:iCs/>
          <w:lang w:val="en-US"/>
        </w:rPr>
        <w:t>Labor Dispute Adjustment Act</w:t>
      </w:r>
      <w:r w:rsidR="002D5BB0" w:rsidRPr="00222917">
        <w:rPr>
          <w:lang w:val="en-US"/>
        </w:rPr>
        <w:t xml:space="preserve"> on prohibition of involvement by a third party, the Supreme Court ruled on 13 November 2008 that it limited the </w:t>
      </w:r>
      <w:r w:rsidR="002D5BB0" w:rsidRPr="00222917">
        <w:rPr>
          <w:bCs/>
          <w:lang w:val="en-US"/>
        </w:rPr>
        <w:t>freedom</w:t>
      </w:r>
      <w:r w:rsidR="002D5BB0" w:rsidRPr="00222917">
        <w:rPr>
          <w:lang w:val="en-US"/>
        </w:rPr>
        <w:t xml:space="preserve"> of expression gua</w:t>
      </w:r>
      <w:r w:rsidR="006A6ADD" w:rsidRPr="00222917">
        <w:rPr>
          <w:lang w:val="en-US"/>
        </w:rPr>
        <w:t>ranteed by the Covenant (</w:t>
      </w:r>
      <w:r w:rsidR="00664558" w:rsidRPr="00222917">
        <w:rPr>
          <w:lang w:val="en-US"/>
        </w:rPr>
        <w:t>a</w:t>
      </w:r>
      <w:r w:rsidR="006A6ADD" w:rsidRPr="00222917">
        <w:rPr>
          <w:lang w:val="en-US"/>
        </w:rPr>
        <w:t>rticle </w:t>
      </w:r>
      <w:r w:rsidR="002D5BB0" w:rsidRPr="00222917">
        <w:rPr>
          <w:lang w:val="en-US"/>
        </w:rPr>
        <w:t>19</w:t>
      </w:r>
      <w:r w:rsidR="00EC46D5" w:rsidRPr="00222917">
        <w:rPr>
          <w:lang w:val="en-US"/>
        </w:rPr>
        <w:t xml:space="preserve"> </w:t>
      </w:r>
      <w:r w:rsidR="002D5BB0" w:rsidRPr="00222917">
        <w:rPr>
          <w:lang w:val="en-US"/>
        </w:rPr>
        <w:t xml:space="preserve">(2)) and the Annex of the Constitution of the International Labour Organization, but that it was not deemed in conflict with </w:t>
      </w:r>
      <w:r w:rsidR="00664558" w:rsidRPr="00222917">
        <w:rPr>
          <w:lang w:val="en-US"/>
        </w:rPr>
        <w:t>a</w:t>
      </w:r>
      <w:r w:rsidR="002D5BB0" w:rsidRPr="00222917">
        <w:rPr>
          <w:lang w:val="en-US"/>
        </w:rPr>
        <w:t>rticle 19 of the Covenant or the said Annex, given the legislative purpose</w:t>
      </w:r>
      <w:r w:rsidR="006A6ADD" w:rsidRPr="00222917">
        <w:rPr>
          <w:lang w:val="en-US"/>
        </w:rPr>
        <w:t xml:space="preserve"> of such limitation and </w:t>
      </w:r>
      <w:r w:rsidR="00664558" w:rsidRPr="00222917">
        <w:rPr>
          <w:lang w:val="en-US"/>
        </w:rPr>
        <w:t>a</w:t>
      </w:r>
      <w:r w:rsidR="006A6ADD" w:rsidRPr="00222917">
        <w:rPr>
          <w:lang w:val="en-US"/>
        </w:rPr>
        <w:t>rticle </w:t>
      </w:r>
      <w:r w:rsidR="002D5BB0" w:rsidRPr="00222917">
        <w:rPr>
          <w:lang w:val="en-US"/>
        </w:rPr>
        <w:t>19</w:t>
      </w:r>
      <w:r w:rsidR="00EC46D5" w:rsidRPr="00222917">
        <w:rPr>
          <w:lang w:val="en-US"/>
        </w:rPr>
        <w:t xml:space="preserve"> </w:t>
      </w:r>
      <w:r w:rsidR="002D5BB0" w:rsidRPr="00222917">
        <w:rPr>
          <w:lang w:val="en-US"/>
        </w:rPr>
        <w:t xml:space="preserve">(3) of the Covenant, which also provides for certain restrictions on freedom of expression by law when necessary for the maintenance of public order and other reasons. (2006 DO 755). </w:t>
      </w:r>
    </w:p>
    <w:p w:rsidR="002D5BB0" w:rsidRPr="00222917" w:rsidRDefault="00547908" w:rsidP="00547908">
      <w:pPr>
        <w:pStyle w:val="SingleTxtG"/>
        <w:rPr>
          <w:lang w:val="en-US"/>
        </w:rPr>
      </w:pPr>
      <w:r w:rsidRPr="00222917">
        <w:rPr>
          <w:lang w:val="en-US"/>
        </w:rPr>
        <w:t>25.</w:t>
      </w:r>
      <w:r w:rsidRPr="00222917">
        <w:rPr>
          <w:lang w:val="en-US"/>
        </w:rPr>
        <w:tab/>
      </w:r>
      <w:r w:rsidR="00D6334A" w:rsidRPr="00222917">
        <w:rPr>
          <w:lang w:val="en-US"/>
        </w:rPr>
        <w:t>On 16 </w:t>
      </w:r>
      <w:r w:rsidR="002D5BB0" w:rsidRPr="00222917">
        <w:rPr>
          <w:lang w:val="en-US"/>
        </w:rPr>
        <w:t xml:space="preserve">December 2004, the Constitutional Court ruled that absolute denial of physical exercise of prisoners who are subject to disciplinary action for misconduct is unconstitutional, since it violates the human dignity </w:t>
      </w:r>
      <w:r w:rsidR="00974357" w:rsidRPr="00222917">
        <w:rPr>
          <w:lang w:val="en-US"/>
        </w:rPr>
        <w:t xml:space="preserve">and worth stipulated in </w:t>
      </w:r>
      <w:r w:rsidR="00664558" w:rsidRPr="00222917">
        <w:rPr>
          <w:lang w:val="en-US"/>
        </w:rPr>
        <w:t>a</w:t>
      </w:r>
      <w:r w:rsidR="00974357" w:rsidRPr="00222917">
        <w:rPr>
          <w:lang w:val="en-US"/>
        </w:rPr>
        <w:t>rticle </w:t>
      </w:r>
      <w:r w:rsidR="002D5BB0" w:rsidRPr="00222917">
        <w:rPr>
          <w:lang w:val="en-US"/>
        </w:rPr>
        <w:t>10 of the Constitution and the right to liberty including securit</w:t>
      </w:r>
      <w:r w:rsidR="00974357" w:rsidRPr="00222917">
        <w:rPr>
          <w:lang w:val="en-US"/>
        </w:rPr>
        <w:t xml:space="preserve">y of person provided in </w:t>
      </w:r>
      <w:r w:rsidR="00664558" w:rsidRPr="00222917">
        <w:rPr>
          <w:lang w:val="en-US"/>
        </w:rPr>
        <w:t>a</w:t>
      </w:r>
      <w:r w:rsidR="00974357" w:rsidRPr="00222917">
        <w:rPr>
          <w:lang w:val="en-US"/>
        </w:rPr>
        <w:t>rticle </w:t>
      </w:r>
      <w:r w:rsidR="002D5BB0" w:rsidRPr="00222917">
        <w:rPr>
          <w:lang w:val="en-US"/>
        </w:rPr>
        <w:t xml:space="preserve">12 (2002 HUN-MA 478) by employing excessive means and method of discipline even if the purpose of such </w:t>
      </w:r>
      <w:r w:rsidR="002D5BB0" w:rsidRPr="00222917">
        <w:rPr>
          <w:bCs/>
          <w:lang w:val="en-US"/>
        </w:rPr>
        <w:t>disciplinary</w:t>
      </w:r>
      <w:r w:rsidR="002D5BB0" w:rsidRPr="00222917">
        <w:rPr>
          <w:lang w:val="en-US"/>
        </w:rPr>
        <w:t xml:space="preserve"> action is acceptable. In this ruling,</w:t>
      </w:r>
      <w:r w:rsidR="00974357" w:rsidRPr="00222917">
        <w:rPr>
          <w:lang w:val="en-US"/>
        </w:rPr>
        <w:t xml:space="preserve"> the Court referred to </w:t>
      </w:r>
      <w:r w:rsidR="00681EC0" w:rsidRPr="00222917">
        <w:rPr>
          <w:lang w:val="en-US"/>
        </w:rPr>
        <w:t>a</w:t>
      </w:r>
      <w:r w:rsidR="00974357" w:rsidRPr="00222917">
        <w:rPr>
          <w:lang w:val="en-US"/>
        </w:rPr>
        <w:t>rticles </w:t>
      </w:r>
      <w:r w:rsidR="002D5BB0" w:rsidRPr="00222917">
        <w:rPr>
          <w:lang w:val="en-US"/>
        </w:rPr>
        <w:t>10 and 7 of the Covenant, which manifest universal respect for the fundamental human dignity, and declared that basic human dignity and value of inmates is not to be infringed, even when a disciplinary action is required for their misconduct.</w:t>
      </w:r>
    </w:p>
    <w:p w:rsidR="002D5BB0" w:rsidRPr="00222917" w:rsidRDefault="006A6ADD" w:rsidP="00505C89">
      <w:pPr>
        <w:pStyle w:val="H1G"/>
        <w:rPr>
          <w:lang w:val="en-US"/>
        </w:rPr>
      </w:pPr>
      <w:r w:rsidRPr="00222917">
        <w:rPr>
          <w:lang w:val="en-US"/>
        </w:rPr>
        <w:tab/>
      </w:r>
      <w:r w:rsidR="008E73D3">
        <w:rPr>
          <w:lang w:val="en-US"/>
        </w:rPr>
        <w:t>H.</w:t>
      </w:r>
      <w:r w:rsidRPr="00222917">
        <w:rPr>
          <w:lang w:val="en-US"/>
        </w:rPr>
        <w:tab/>
      </w:r>
      <w:r w:rsidR="002D5BB0" w:rsidRPr="00222917">
        <w:rPr>
          <w:lang w:val="en-US"/>
        </w:rPr>
        <w:t xml:space="preserve">Individual Communications and </w:t>
      </w:r>
      <w:r w:rsidR="00505C89">
        <w:rPr>
          <w:lang w:val="en-US"/>
        </w:rPr>
        <w:t>e</w:t>
      </w:r>
      <w:r w:rsidR="002D5BB0" w:rsidRPr="00222917">
        <w:rPr>
          <w:lang w:val="en-US"/>
        </w:rPr>
        <w:t xml:space="preserve">ndeavors for </w:t>
      </w:r>
      <w:r w:rsidR="00505C89">
        <w:rPr>
          <w:lang w:val="en-US"/>
        </w:rPr>
        <w:t>i</w:t>
      </w:r>
      <w:r w:rsidR="002D5BB0" w:rsidRPr="00222917">
        <w:rPr>
          <w:lang w:val="en-US"/>
        </w:rPr>
        <w:t xml:space="preserve">mplementation </w:t>
      </w:r>
      <w:r w:rsidR="004A3006" w:rsidRPr="00222917">
        <w:rPr>
          <w:lang w:val="en-US"/>
        </w:rPr>
        <w:br/>
      </w:r>
      <w:r w:rsidR="002D5BB0" w:rsidRPr="00222917">
        <w:rPr>
          <w:lang w:val="en-US"/>
        </w:rPr>
        <w:t>of the Views</w:t>
      </w:r>
    </w:p>
    <w:p w:rsidR="002D5BB0" w:rsidRPr="00222917" w:rsidRDefault="00547908" w:rsidP="00547908">
      <w:pPr>
        <w:pStyle w:val="SingleTxtG"/>
        <w:rPr>
          <w:lang w:val="en-US"/>
        </w:rPr>
      </w:pPr>
      <w:r w:rsidRPr="00222917">
        <w:rPr>
          <w:lang w:val="en-US"/>
        </w:rPr>
        <w:t>26.</w:t>
      </w:r>
      <w:r w:rsidRPr="00222917">
        <w:rPr>
          <w:lang w:val="en-US"/>
        </w:rPr>
        <w:tab/>
      </w:r>
      <w:r w:rsidR="002D5BB0" w:rsidRPr="00222917">
        <w:rPr>
          <w:lang w:val="en-US"/>
        </w:rPr>
        <w:t xml:space="preserve">In its consideration of the third report, the Committee was concerned about the absence of domestic measures giving effect to the Views on Communications adopted by the Committee. It recommended that </w:t>
      </w:r>
      <w:r w:rsidR="002D5BB0" w:rsidRPr="00222917">
        <w:rPr>
          <w:bCs/>
          <w:lang w:val="en-US"/>
        </w:rPr>
        <w:t xml:space="preserve">the </w:t>
      </w:r>
      <w:smartTag w:uri="urn:schemas-microsoft-com:office:smarttags" w:element="place">
        <w:smartTag w:uri="urn:schemas-microsoft-com:office:smarttags" w:element="PlaceType">
          <w:r w:rsidR="002D5BB0" w:rsidRPr="00222917">
            <w:rPr>
              <w:bCs/>
              <w:lang w:val="en-US"/>
            </w:rPr>
            <w:t>Republic</w:t>
          </w:r>
        </w:smartTag>
        <w:r w:rsidR="002D5BB0" w:rsidRPr="00222917">
          <w:rPr>
            <w:bCs/>
            <w:lang w:val="en-US"/>
          </w:rPr>
          <w:t xml:space="preserve"> of </w:t>
        </w:r>
        <w:smartTag w:uri="urn:schemas-microsoft-com:office:smarttags" w:element="PlaceName">
          <w:r w:rsidR="002D5BB0" w:rsidRPr="00222917">
            <w:rPr>
              <w:bCs/>
              <w:lang w:val="en-US"/>
            </w:rPr>
            <w:t>Korea</w:t>
          </w:r>
        </w:smartTag>
      </w:smartTag>
      <w:r w:rsidR="002D5BB0" w:rsidRPr="00222917">
        <w:rPr>
          <w:bCs/>
          <w:lang w:val="en-US"/>
        </w:rPr>
        <w:t xml:space="preserve"> proceed to give effect to them</w:t>
      </w:r>
      <w:r w:rsidR="006A6ADD" w:rsidRPr="00222917">
        <w:rPr>
          <w:lang w:val="en-US"/>
        </w:rPr>
        <w:t xml:space="preserve"> (CCPR/C/KOR/CO/3, para. </w:t>
      </w:r>
      <w:r w:rsidR="002D5BB0" w:rsidRPr="00222917">
        <w:rPr>
          <w:lang w:val="en-US"/>
        </w:rPr>
        <w:t xml:space="preserve">7). </w:t>
      </w:r>
    </w:p>
    <w:p w:rsidR="002D5BB0" w:rsidRPr="00222917" w:rsidRDefault="00547908" w:rsidP="00547908">
      <w:pPr>
        <w:pStyle w:val="SingleTxtG"/>
        <w:rPr>
          <w:lang w:val="en-US"/>
        </w:rPr>
      </w:pPr>
      <w:r w:rsidRPr="00222917">
        <w:rPr>
          <w:lang w:val="en-US"/>
        </w:rPr>
        <w:t>27.</w:t>
      </w:r>
      <w:r w:rsidRPr="00222917">
        <w:rPr>
          <w:lang w:val="en-US"/>
        </w:rPr>
        <w:tab/>
      </w:r>
      <w:r w:rsidR="002D5BB0" w:rsidRPr="00222917">
        <w:rPr>
          <w:lang w:val="en-US"/>
        </w:rPr>
        <w:t xml:space="preserve">Since the submission of the third report, decisions on individual communications under the First </w:t>
      </w:r>
      <w:r w:rsidR="002D5BB0" w:rsidRPr="00222917">
        <w:rPr>
          <w:bCs/>
          <w:lang w:val="en-US"/>
        </w:rPr>
        <w:t>Optional</w:t>
      </w:r>
      <w:r w:rsidR="002D5BB0" w:rsidRPr="00222917">
        <w:rPr>
          <w:lang w:val="en-US"/>
        </w:rPr>
        <w:t xml:space="preserve"> Protocol to the </w:t>
      </w:r>
      <w:r w:rsidR="0071109D" w:rsidRPr="0071109D">
        <w:rPr>
          <w:lang w:val="en-US"/>
        </w:rPr>
        <w:t>International Covenant on Civil and Political Rights</w:t>
      </w:r>
      <w:r w:rsidR="002D5BB0" w:rsidRPr="00222917">
        <w:rPr>
          <w:lang w:val="en-US"/>
        </w:rPr>
        <w:t xml:space="preserve"> were made with regard to cases involving Chung Eui-min and</w:t>
      </w:r>
      <w:r w:rsidR="006A6ADD" w:rsidRPr="00222917">
        <w:rPr>
          <w:lang w:val="en-US"/>
        </w:rPr>
        <w:t xml:space="preserve"> ten others</w:t>
      </w:r>
      <w:r w:rsidR="0071109D">
        <w:rPr>
          <w:lang w:val="en-US"/>
        </w:rPr>
        <w:t xml:space="preserve"> </w:t>
      </w:r>
      <w:r w:rsidR="006A6ADD" w:rsidRPr="00222917">
        <w:rPr>
          <w:lang w:val="en-US"/>
        </w:rPr>
        <w:t>(Communications Nos. 1953/2007-</w:t>
      </w:r>
      <w:r w:rsidR="002D5BB0" w:rsidRPr="00222917">
        <w:rPr>
          <w:lang w:val="en-US"/>
        </w:rPr>
        <w:t>1603/2007), Shin Hak-cheol (Communication No.</w:t>
      </w:r>
      <w:r w:rsidR="006A6ADD" w:rsidRPr="00222917">
        <w:rPr>
          <w:lang w:val="en-US"/>
        </w:rPr>
        <w:t> </w:t>
      </w:r>
      <w:r w:rsidR="002D5BB0" w:rsidRPr="00222917">
        <w:rPr>
          <w:lang w:val="en-US"/>
        </w:rPr>
        <w:t>926/2000), Kim Jong-cheol (Communication No.</w:t>
      </w:r>
      <w:r w:rsidR="006A6ADD" w:rsidRPr="00222917">
        <w:rPr>
          <w:lang w:val="en-US"/>
        </w:rPr>
        <w:t> </w:t>
      </w:r>
      <w:r w:rsidR="002D5BB0" w:rsidRPr="00222917">
        <w:rPr>
          <w:lang w:val="en-US"/>
        </w:rPr>
        <w:t>968/2001), Lee Jeo</w:t>
      </w:r>
      <w:r w:rsidR="006A6ADD" w:rsidRPr="00222917">
        <w:rPr>
          <w:lang w:val="en-US"/>
        </w:rPr>
        <w:t>ng-eun (Communication No. </w:t>
      </w:r>
      <w:r w:rsidR="002D5BB0" w:rsidRPr="00222917">
        <w:rPr>
          <w:lang w:val="en-US"/>
        </w:rPr>
        <w:t>1119/2002), and Choi Myung-jin</w:t>
      </w:r>
      <w:r w:rsidR="0020568A">
        <w:rPr>
          <w:lang w:val="en-US"/>
        </w:rPr>
        <w:t xml:space="preserve"> and </w:t>
      </w:r>
      <w:r w:rsidR="002D5BB0" w:rsidRPr="00222917">
        <w:rPr>
          <w:lang w:val="en-US"/>
        </w:rPr>
        <w:t>Yoon Yeo</w:t>
      </w:r>
      <w:r w:rsidR="006A6ADD" w:rsidRPr="00222917">
        <w:rPr>
          <w:lang w:val="en-US"/>
        </w:rPr>
        <w:t>-beom (Communications Nos. </w:t>
      </w:r>
      <w:r w:rsidR="002D5BB0" w:rsidRPr="00222917">
        <w:rPr>
          <w:lang w:val="en-US"/>
        </w:rPr>
        <w:t>1321/2004 and 1322/2004). I</w:t>
      </w:r>
      <w:r w:rsidR="006A6ADD" w:rsidRPr="00222917">
        <w:rPr>
          <w:lang w:val="en-US"/>
        </w:rPr>
        <w:t>ndividual communications by 100 </w:t>
      </w:r>
      <w:r w:rsidR="002D5BB0" w:rsidRPr="00222917">
        <w:rPr>
          <w:lang w:val="en-US"/>
        </w:rPr>
        <w:t>persons including Chung Min-gyu (Communications Nos.</w:t>
      </w:r>
      <w:r w:rsidR="006A6ADD" w:rsidRPr="00222917">
        <w:rPr>
          <w:lang w:val="en-US"/>
        </w:rPr>
        <w:t> </w:t>
      </w:r>
      <w:r w:rsidR="002D5BB0" w:rsidRPr="00222917">
        <w:rPr>
          <w:lang w:val="en-US"/>
        </w:rPr>
        <w:t>1642/2007~1741/2007), individual communications by 387 persons including K</w:t>
      </w:r>
      <w:r w:rsidR="006A6ADD" w:rsidRPr="00222917">
        <w:rPr>
          <w:lang w:val="en-US"/>
        </w:rPr>
        <w:t>im Jong-nam (Communication No. </w:t>
      </w:r>
      <w:r w:rsidR="002D5BB0" w:rsidRPr="00222917">
        <w:rPr>
          <w:lang w:val="en-US"/>
        </w:rPr>
        <w:t>1786/2008), and a deportation case (Communication No.</w:t>
      </w:r>
      <w:r w:rsidR="006A6ADD" w:rsidRPr="00222917">
        <w:rPr>
          <w:lang w:val="en-US"/>
        </w:rPr>
        <w:t> </w:t>
      </w:r>
      <w:r w:rsidR="002D5BB0" w:rsidRPr="00222917">
        <w:rPr>
          <w:lang w:val="en-US"/>
        </w:rPr>
        <w:t xml:space="preserve">1908/2009) are under review by the Committee. </w:t>
      </w:r>
    </w:p>
    <w:p w:rsidR="002D5BB0" w:rsidRPr="00222917" w:rsidRDefault="00547908" w:rsidP="00547908">
      <w:pPr>
        <w:pStyle w:val="SingleTxtG"/>
        <w:rPr>
          <w:lang w:val="en-US"/>
        </w:rPr>
      </w:pPr>
      <w:r w:rsidRPr="00222917">
        <w:rPr>
          <w:lang w:val="en-US"/>
        </w:rPr>
        <w:t>28.</w:t>
      </w:r>
      <w:r w:rsidRPr="00222917">
        <w:rPr>
          <w:lang w:val="en-US"/>
        </w:rPr>
        <w:tab/>
      </w:r>
      <w:r w:rsidR="002D5BB0" w:rsidRPr="00222917">
        <w:rPr>
          <w:lang w:val="en-US"/>
        </w:rPr>
        <w:t>Setting apart the dismissed case of Kim Jong-cheol, the above</w:t>
      </w:r>
      <w:r w:rsidR="0020568A">
        <w:rPr>
          <w:lang w:val="en-US"/>
        </w:rPr>
        <w:t>-</w:t>
      </w:r>
      <w:r w:rsidR="002D5BB0" w:rsidRPr="00222917">
        <w:rPr>
          <w:lang w:val="en-US"/>
        </w:rPr>
        <w:t>mentioned cases concern either the</w:t>
      </w:r>
      <w:r w:rsidR="002D5BB0" w:rsidRPr="00222917">
        <w:rPr>
          <w:i/>
          <w:lang w:val="en-US"/>
        </w:rPr>
        <w:t xml:space="preserve"> </w:t>
      </w:r>
      <w:r w:rsidR="002D5BB0" w:rsidRPr="00222917">
        <w:rPr>
          <w:iCs/>
          <w:lang w:val="en-US"/>
        </w:rPr>
        <w:t>National Security Act</w:t>
      </w:r>
      <w:r w:rsidR="002D5BB0" w:rsidRPr="00222917">
        <w:rPr>
          <w:i/>
          <w:lang w:val="en-US"/>
        </w:rPr>
        <w:t xml:space="preserve"> </w:t>
      </w:r>
      <w:r w:rsidR="002D5BB0" w:rsidRPr="00222917">
        <w:rPr>
          <w:lang w:val="en-US"/>
        </w:rPr>
        <w:t>(cases of</w:t>
      </w:r>
      <w:r w:rsidR="002D5BB0" w:rsidRPr="00222917">
        <w:rPr>
          <w:i/>
          <w:lang w:val="en-US"/>
        </w:rPr>
        <w:t xml:space="preserve"> </w:t>
      </w:r>
      <w:r w:rsidR="002D5BB0" w:rsidRPr="00222917">
        <w:rPr>
          <w:lang w:val="en-US"/>
        </w:rPr>
        <w:t xml:space="preserve">Lee Jeong-eun and Shin Hak-cheol) or conscientious objection to military service (cases of Choi Myung-jin/Yoon Yeo-beom and Chung Eui-nin and others). The Committee’s decisions on all these cases contradict the final and conclusive judgments by domestic courts, but the views of the Committee cannot nullify such judgments. Unless the National Assembly takes a legislative measure, it is hard to provide effective domestic remedies with regard to such cases within the current framework of the Constitution. </w:t>
      </w:r>
    </w:p>
    <w:p w:rsidR="002D5BB0" w:rsidRPr="00222917" w:rsidRDefault="00547908" w:rsidP="00547908">
      <w:pPr>
        <w:pStyle w:val="SingleTxtG"/>
        <w:rPr>
          <w:lang w:val="en-US"/>
        </w:rPr>
      </w:pPr>
      <w:r w:rsidRPr="00222917">
        <w:rPr>
          <w:lang w:val="en-US"/>
        </w:rPr>
        <w:t>29.</w:t>
      </w:r>
      <w:r w:rsidRPr="00222917">
        <w:rPr>
          <w:lang w:val="en-US"/>
        </w:rPr>
        <w:tab/>
      </w:r>
      <w:r w:rsidR="002D5BB0" w:rsidRPr="00222917">
        <w:rPr>
          <w:lang w:val="en-US"/>
        </w:rPr>
        <w:t xml:space="preserve">Meanwhile, concerning the follow-up measures required when a violation is acknowledged by the Committee in the View, </w:t>
      </w:r>
      <w:r w:rsidR="0084438C" w:rsidRPr="00222917">
        <w:rPr>
          <w:lang w:val="en-US"/>
        </w:rPr>
        <w:t>the Government established the “</w:t>
      </w:r>
      <w:r w:rsidR="002D5BB0" w:rsidRPr="00222917">
        <w:rPr>
          <w:lang w:val="en-US"/>
        </w:rPr>
        <w:t>Task Force on individual communications</w:t>
      </w:r>
      <w:r w:rsidR="0084438C" w:rsidRPr="00222917">
        <w:rPr>
          <w:lang w:val="en-US"/>
        </w:rPr>
        <w:t>”</w:t>
      </w:r>
      <w:r w:rsidR="002D5BB0" w:rsidRPr="00222917">
        <w:rPr>
          <w:lang w:val="en-US"/>
        </w:rPr>
        <w:t xml:space="preserve"> in June 2006, with the participation of the Ministry of Justice, the </w:t>
      </w:r>
      <w:r w:rsidR="002D5BB0" w:rsidRPr="00222917">
        <w:rPr>
          <w:bCs/>
          <w:lang w:val="en-US"/>
        </w:rPr>
        <w:t>Ministry</w:t>
      </w:r>
      <w:r w:rsidR="002D5BB0" w:rsidRPr="00222917">
        <w:rPr>
          <w:lang w:val="en-US"/>
        </w:rPr>
        <w:t xml:space="preserve"> of Foreign Affairs and Trade, the National Court Administration, and the National Human Rights Commission of Korea. The Task Force examined individual communications filed against the Government, the effective and reasonable follow-up measures to implement the Committee’s views, and the challenges arising during the implementation. In addition, on 18 September 2007, the Ministry of Justice held a public hearing on ways to domestically implement the views on individual communications in order to collect opinions from the legal and academic communities as well as domestic NGOs. By conducting a comparative analysis of merits and demerits of proposals put forward and by consulting applicable cases concerning other countries, the Government exerts its utmost efforts to devise reasonable methods to implement the vie</w:t>
      </w:r>
      <w:r w:rsidR="0084438C" w:rsidRPr="00222917">
        <w:rPr>
          <w:lang w:val="en-US"/>
        </w:rPr>
        <w:t>ws presented by the Committee.</w:t>
      </w:r>
    </w:p>
    <w:p w:rsidR="002D5BB0" w:rsidRPr="00222917" w:rsidRDefault="00547908" w:rsidP="00547908">
      <w:pPr>
        <w:pStyle w:val="SingleTxtG"/>
        <w:rPr>
          <w:lang w:val="en-US"/>
        </w:rPr>
      </w:pPr>
      <w:r w:rsidRPr="00222917">
        <w:rPr>
          <w:lang w:val="en-US"/>
        </w:rPr>
        <w:t>30.</w:t>
      </w:r>
      <w:r w:rsidRPr="00222917">
        <w:rPr>
          <w:lang w:val="en-US"/>
        </w:rPr>
        <w:tab/>
      </w:r>
      <w:r w:rsidR="002D5BB0" w:rsidRPr="00222917">
        <w:rPr>
          <w:lang w:val="en-US"/>
        </w:rPr>
        <w:t xml:space="preserve">The Government has translated the full text of the Committee’s views in the Korean language and </w:t>
      </w:r>
      <w:r w:rsidR="002D5BB0" w:rsidRPr="00222917">
        <w:rPr>
          <w:bCs/>
          <w:lang w:val="en-US"/>
        </w:rPr>
        <w:t>published</w:t>
      </w:r>
      <w:r w:rsidR="002D5BB0" w:rsidRPr="00222917">
        <w:rPr>
          <w:lang w:val="en-US"/>
        </w:rPr>
        <w:t xml:space="preserve"> it in the official gazette to make it easily comprehensible to and accessible by the general public, and the legislative, judicial and administrative authorities. In addition, major Korean daily newspapers and broadcasting companies reported</w:t>
      </w:r>
      <w:r w:rsidR="00D6334A" w:rsidRPr="00222917">
        <w:rPr>
          <w:lang w:val="en-US"/>
        </w:rPr>
        <w:t xml:space="preserve"> the gist of such views.</w:t>
      </w:r>
    </w:p>
    <w:p w:rsidR="002D5BB0" w:rsidRPr="00222917" w:rsidRDefault="0084438C" w:rsidP="00423A3F">
      <w:pPr>
        <w:pStyle w:val="H1G"/>
        <w:rPr>
          <w:lang w:val="en-US"/>
        </w:rPr>
      </w:pPr>
      <w:r w:rsidRPr="00222917">
        <w:rPr>
          <w:lang w:val="en-US"/>
        </w:rPr>
        <w:tab/>
      </w:r>
      <w:r w:rsidR="008E73D3">
        <w:rPr>
          <w:lang w:val="en-US"/>
        </w:rPr>
        <w:t>I.</w:t>
      </w:r>
      <w:r w:rsidRPr="00222917">
        <w:rPr>
          <w:lang w:val="en-US"/>
        </w:rPr>
        <w:tab/>
      </w:r>
      <w:r w:rsidR="002D5BB0" w:rsidRPr="00222917">
        <w:rPr>
          <w:lang w:val="en-US"/>
        </w:rPr>
        <w:t>Reservations to the Covenant</w:t>
      </w:r>
    </w:p>
    <w:p w:rsidR="002D5BB0" w:rsidRPr="00222917" w:rsidRDefault="00547908" w:rsidP="00547908">
      <w:pPr>
        <w:pStyle w:val="SingleTxtG"/>
        <w:rPr>
          <w:lang w:val="en-US"/>
        </w:rPr>
      </w:pPr>
      <w:r w:rsidRPr="00222917">
        <w:rPr>
          <w:lang w:val="en-US"/>
        </w:rPr>
        <w:t>31.</w:t>
      </w:r>
      <w:r w:rsidRPr="00222917">
        <w:rPr>
          <w:lang w:val="en-US"/>
        </w:rPr>
        <w:tab/>
      </w:r>
      <w:r w:rsidR="002D5BB0" w:rsidRPr="00222917">
        <w:rPr>
          <w:lang w:val="en-US"/>
        </w:rPr>
        <w:t xml:space="preserve">In its consideration of the third report, the Committee invited the </w:t>
      </w:r>
      <w:smartTag w:uri="urn:schemas-microsoft-com:office:smarttags" w:element="place">
        <w:smartTag w:uri="urn:schemas-microsoft-com:office:smarttags" w:element="PlaceType">
          <w:r w:rsidR="002D5BB0" w:rsidRPr="00222917">
            <w:rPr>
              <w:lang w:val="en-US"/>
            </w:rPr>
            <w:t>Republic</w:t>
          </w:r>
        </w:smartTag>
        <w:r w:rsidR="002D5BB0" w:rsidRPr="00222917">
          <w:rPr>
            <w:lang w:val="en-US"/>
          </w:rPr>
          <w:t xml:space="preserve"> of </w:t>
        </w:r>
        <w:smartTag w:uri="urn:schemas-microsoft-com:office:smarttags" w:element="PlaceName">
          <w:r w:rsidR="002D5BB0" w:rsidRPr="00222917">
            <w:rPr>
              <w:lang w:val="en-US"/>
            </w:rPr>
            <w:t>Korea</w:t>
          </w:r>
        </w:smartTag>
      </w:smartTag>
      <w:r w:rsidR="002D5BB0" w:rsidRPr="00222917">
        <w:rPr>
          <w:lang w:val="en-US"/>
        </w:rPr>
        <w:t xml:space="preserve"> to with</w:t>
      </w:r>
      <w:r w:rsidR="0084438C" w:rsidRPr="00222917">
        <w:rPr>
          <w:lang w:val="en-US"/>
        </w:rPr>
        <w:t xml:space="preserve">draw its reservation to </w:t>
      </w:r>
      <w:r w:rsidR="00EC46D5" w:rsidRPr="00222917">
        <w:rPr>
          <w:lang w:val="en-US"/>
        </w:rPr>
        <w:t>a</w:t>
      </w:r>
      <w:r w:rsidR="0084438C" w:rsidRPr="00222917">
        <w:rPr>
          <w:lang w:val="en-US"/>
        </w:rPr>
        <w:t>rticle </w:t>
      </w:r>
      <w:r w:rsidR="002D5BB0" w:rsidRPr="00222917">
        <w:rPr>
          <w:lang w:val="en-US"/>
        </w:rPr>
        <w:t>14</w:t>
      </w:r>
      <w:r w:rsidR="00EC46D5" w:rsidRPr="00222917">
        <w:rPr>
          <w:lang w:val="en-US"/>
        </w:rPr>
        <w:t xml:space="preserve"> </w:t>
      </w:r>
      <w:r w:rsidR="002D5BB0" w:rsidRPr="00222917">
        <w:rPr>
          <w:lang w:val="en-US"/>
        </w:rPr>
        <w:t xml:space="preserve">(5) of the Covenant and </w:t>
      </w:r>
      <w:r w:rsidR="002D5BB0" w:rsidRPr="00222917">
        <w:rPr>
          <w:bCs/>
          <w:lang w:val="en-US"/>
        </w:rPr>
        <w:t xml:space="preserve">encouraged it to withdraw its reservation to </w:t>
      </w:r>
      <w:r w:rsidR="00EC46D5" w:rsidRPr="00222917">
        <w:rPr>
          <w:bCs/>
          <w:lang w:val="en-US"/>
        </w:rPr>
        <w:t>a</w:t>
      </w:r>
      <w:r w:rsidR="002D5BB0" w:rsidRPr="00222917">
        <w:rPr>
          <w:bCs/>
          <w:lang w:val="en-US"/>
        </w:rPr>
        <w:t>rticle</w:t>
      </w:r>
      <w:r w:rsidR="001A2BB2" w:rsidRPr="00222917">
        <w:rPr>
          <w:bCs/>
          <w:lang w:val="en-US"/>
        </w:rPr>
        <w:t> </w:t>
      </w:r>
      <w:r w:rsidR="002D5BB0" w:rsidRPr="00222917">
        <w:rPr>
          <w:bCs/>
          <w:lang w:val="en-US"/>
        </w:rPr>
        <w:t>22 of the Covenant</w:t>
      </w:r>
      <w:r w:rsidR="0084438C" w:rsidRPr="00222917">
        <w:rPr>
          <w:lang w:val="en-US"/>
        </w:rPr>
        <w:t xml:space="preserve"> (CCPR/C/KOR/CO/3, para. </w:t>
      </w:r>
      <w:r w:rsidR="002D5BB0" w:rsidRPr="00222917">
        <w:rPr>
          <w:lang w:val="en-US"/>
        </w:rPr>
        <w:t xml:space="preserve">8). </w:t>
      </w:r>
    </w:p>
    <w:p w:rsidR="002D5BB0" w:rsidRPr="00222917" w:rsidRDefault="00547908" w:rsidP="00547908">
      <w:pPr>
        <w:pStyle w:val="SingleTxtG"/>
        <w:rPr>
          <w:lang w:val="en-US"/>
        </w:rPr>
      </w:pPr>
      <w:r w:rsidRPr="00222917">
        <w:rPr>
          <w:lang w:val="en-US"/>
        </w:rPr>
        <w:t>32.</w:t>
      </w:r>
      <w:r w:rsidRPr="00222917">
        <w:rPr>
          <w:lang w:val="en-US"/>
        </w:rPr>
        <w:tab/>
      </w:r>
      <w:r w:rsidR="002D5BB0" w:rsidRPr="00222917">
        <w:rPr>
          <w:lang w:val="en-US"/>
        </w:rPr>
        <w:t>On 2 April 2007, the Government with</w:t>
      </w:r>
      <w:r w:rsidR="0084438C" w:rsidRPr="00222917">
        <w:rPr>
          <w:lang w:val="en-US"/>
        </w:rPr>
        <w:t xml:space="preserve">drew its reservation to </w:t>
      </w:r>
      <w:r w:rsidR="00EC46D5" w:rsidRPr="00222917">
        <w:rPr>
          <w:lang w:val="en-US"/>
        </w:rPr>
        <w:t>a</w:t>
      </w:r>
      <w:r w:rsidR="0084438C" w:rsidRPr="00222917">
        <w:rPr>
          <w:lang w:val="en-US"/>
        </w:rPr>
        <w:t>rticle </w:t>
      </w:r>
      <w:r w:rsidR="002D5BB0" w:rsidRPr="00222917">
        <w:rPr>
          <w:lang w:val="en-US"/>
        </w:rPr>
        <w:t>14</w:t>
      </w:r>
      <w:r w:rsidR="00EC46D5" w:rsidRPr="00222917">
        <w:rPr>
          <w:lang w:val="en-US"/>
        </w:rPr>
        <w:t xml:space="preserve"> </w:t>
      </w:r>
      <w:r w:rsidR="002D5BB0" w:rsidRPr="00222917">
        <w:rPr>
          <w:lang w:val="en-US"/>
        </w:rPr>
        <w:t xml:space="preserve">(5) of the Covenant </w:t>
      </w:r>
      <w:r w:rsidR="002D5BB0" w:rsidRPr="00222917">
        <w:rPr>
          <w:bCs/>
          <w:lang w:val="en-US"/>
        </w:rPr>
        <w:t>stipulating</w:t>
      </w:r>
      <w:r w:rsidR="002D5BB0" w:rsidRPr="00222917">
        <w:rPr>
          <w:lang w:val="en-US"/>
        </w:rPr>
        <w:t xml:space="preserve"> everyone convicted of a crime shall have the right to his conviction and sentence being reviewed by a higher tribunal according to law. </w:t>
      </w:r>
    </w:p>
    <w:p w:rsidR="002D5BB0" w:rsidRPr="00222917" w:rsidRDefault="00547908" w:rsidP="00547908">
      <w:pPr>
        <w:pStyle w:val="SingleTxtG"/>
        <w:rPr>
          <w:lang w:val="en-US"/>
        </w:rPr>
      </w:pPr>
      <w:r w:rsidRPr="00222917">
        <w:rPr>
          <w:lang w:val="en-US"/>
        </w:rPr>
        <w:t>33.</w:t>
      </w:r>
      <w:r w:rsidRPr="00222917">
        <w:rPr>
          <w:lang w:val="en-US"/>
        </w:rPr>
        <w:tab/>
      </w:r>
      <w:r w:rsidR="002D5BB0" w:rsidRPr="00222917">
        <w:rPr>
          <w:lang w:val="en-US"/>
        </w:rPr>
        <w:t>As explained in the initial rep</w:t>
      </w:r>
      <w:r w:rsidR="0084438C" w:rsidRPr="00222917">
        <w:rPr>
          <w:lang w:val="en-US"/>
        </w:rPr>
        <w:t xml:space="preserve">ort, the reservation to </w:t>
      </w:r>
      <w:r w:rsidR="00681EC0" w:rsidRPr="00222917">
        <w:rPr>
          <w:lang w:val="en-US"/>
        </w:rPr>
        <w:t>a</w:t>
      </w:r>
      <w:r w:rsidR="0084438C" w:rsidRPr="00222917">
        <w:rPr>
          <w:lang w:val="en-US"/>
        </w:rPr>
        <w:t>rticle </w:t>
      </w:r>
      <w:r w:rsidR="002D5BB0" w:rsidRPr="00222917">
        <w:rPr>
          <w:lang w:val="en-US"/>
        </w:rPr>
        <w:t>22 has been maintained as it conflicts with domestic legi</w:t>
      </w:r>
      <w:r w:rsidR="0084438C" w:rsidRPr="00222917">
        <w:rPr>
          <w:lang w:val="en-US"/>
        </w:rPr>
        <w:t>slation (CCPR/C/68/Add.1, para. </w:t>
      </w:r>
      <w:r w:rsidR="002D5BB0" w:rsidRPr="00222917">
        <w:rPr>
          <w:lang w:val="en-US"/>
        </w:rPr>
        <w:t>276). The Government’s efforts concerning the reservation will be detail</w:t>
      </w:r>
      <w:r w:rsidR="00974357" w:rsidRPr="00222917">
        <w:rPr>
          <w:lang w:val="en-US"/>
        </w:rPr>
        <w:t xml:space="preserve">ed in </w:t>
      </w:r>
      <w:r w:rsidR="003D0168" w:rsidRPr="00222917">
        <w:rPr>
          <w:lang w:val="en-US"/>
        </w:rPr>
        <w:t>paragraph </w:t>
      </w:r>
      <w:r w:rsidR="00974357" w:rsidRPr="00222917">
        <w:rPr>
          <w:lang w:val="en-US"/>
        </w:rPr>
        <w:t>308 and below.</w:t>
      </w:r>
    </w:p>
    <w:p w:rsidR="002D5BB0" w:rsidRPr="00222917" w:rsidRDefault="00D6334A" w:rsidP="0084438C">
      <w:pPr>
        <w:pStyle w:val="HChG"/>
        <w:rPr>
          <w:bCs/>
          <w:lang w:val="en-US"/>
        </w:rPr>
      </w:pPr>
      <w:r w:rsidRPr="00222917">
        <w:rPr>
          <w:rFonts w:eastAsia="MS Mincho"/>
          <w:lang w:val="en-US"/>
        </w:rPr>
        <w:tab/>
        <w:t>II</w:t>
      </w:r>
      <w:r w:rsidR="0084438C" w:rsidRPr="00222917">
        <w:rPr>
          <w:lang w:val="en-US"/>
        </w:rPr>
        <w:t>.</w:t>
      </w:r>
      <w:r w:rsidR="0084438C" w:rsidRPr="00222917">
        <w:rPr>
          <w:lang w:val="en-US"/>
        </w:rPr>
        <w:tab/>
        <w:t xml:space="preserve">Information relating to each article </w:t>
      </w:r>
      <w:r w:rsidR="0084438C" w:rsidRPr="00222917">
        <w:rPr>
          <w:bCs/>
          <w:lang w:val="en-US"/>
        </w:rPr>
        <w:t>of the Covenant</w:t>
      </w:r>
    </w:p>
    <w:p w:rsidR="002D5BB0" w:rsidRPr="00222917" w:rsidRDefault="005C3911" w:rsidP="00207251">
      <w:pPr>
        <w:pStyle w:val="H1G"/>
        <w:rPr>
          <w:lang w:val="en-US"/>
        </w:rPr>
      </w:pPr>
      <w:r w:rsidRPr="00222917">
        <w:rPr>
          <w:lang w:val="en-US"/>
        </w:rPr>
        <w:tab/>
      </w:r>
      <w:r w:rsidRPr="00222917">
        <w:rPr>
          <w:lang w:val="en-US"/>
        </w:rPr>
        <w:tab/>
      </w:r>
      <w:r w:rsidR="002D5BB0" w:rsidRPr="00222917">
        <w:rPr>
          <w:lang w:val="en-US"/>
        </w:rPr>
        <w:t>Article 1</w:t>
      </w:r>
    </w:p>
    <w:p w:rsidR="002D5BB0" w:rsidRPr="00222917" w:rsidRDefault="00547908" w:rsidP="00547908">
      <w:pPr>
        <w:pStyle w:val="SingleTxtG"/>
        <w:rPr>
          <w:lang w:val="en-US"/>
        </w:rPr>
      </w:pPr>
      <w:r w:rsidRPr="00222917">
        <w:rPr>
          <w:lang w:val="en-US"/>
        </w:rPr>
        <w:t>34.</w:t>
      </w:r>
      <w:r w:rsidRPr="00222917">
        <w:rPr>
          <w:lang w:val="en-US"/>
        </w:rPr>
        <w:tab/>
      </w:r>
      <w:r w:rsidR="002D5BB0" w:rsidRPr="00222917">
        <w:rPr>
          <w:lang w:val="en-US"/>
        </w:rPr>
        <w:t>As expounded in the initial and second repo</w:t>
      </w:r>
      <w:r w:rsidR="005C3911" w:rsidRPr="00222917">
        <w:rPr>
          <w:lang w:val="en-US"/>
        </w:rPr>
        <w:t>rts (CCPR/C/68/Add.1, paras. 21 and 22</w:t>
      </w:r>
      <w:r w:rsidR="00BE6191">
        <w:rPr>
          <w:lang w:val="en-US"/>
        </w:rPr>
        <w:t>;</w:t>
      </w:r>
      <w:r w:rsidR="005C3911" w:rsidRPr="00222917">
        <w:rPr>
          <w:lang w:val="en-US"/>
        </w:rPr>
        <w:t xml:space="preserve"> CCPR/C/114/Add.1, paras. 17 and </w:t>
      </w:r>
      <w:r w:rsidR="002D5BB0" w:rsidRPr="00222917">
        <w:rPr>
          <w:lang w:val="en-US"/>
        </w:rPr>
        <w:t>18), the Government values the right to self-determination of all people at home and abroad.</w:t>
      </w:r>
      <w:r w:rsidR="00120D8B" w:rsidRPr="00222917">
        <w:rPr>
          <w:lang w:val="en-US"/>
        </w:rPr>
        <w:t xml:space="preserve"> </w:t>
      </w:r>
    </w:p>
    <w:p w:rsidR="002D5BB0" w:rsidRPr="00222917" w:rsidRDefault="00547908" w:rsidP="00547908">
      <w:pPr>
        <w:pStyle w:val="SingleTxtG"/>
        <w:rPr>
          <w:lang w:val="en-US"/>
        </w:rPr>
      </w:pPr>
      <w:r w:rsidRPr="00222917">
        <w:rPr>
          <w:lang w:val="en-US"/>
        </w:rPr>
        <w:t>35.</w:t>
      </w:r>
      <w:r w:rsidRPr="00222917">
        <w:rPr>
          <w:lang w:val="en-US"/>
        </w:rPr>
        <w:tab/>
      </w:r>
      <w:r w:rsidR="002D5BB0" w:rsidRPr="00222917">
        <w:rPr>
          <w:lang w:val="en-US"/>
        </w:rPr>
        <w:t xml:space="preserve">To support the realization of </w:t>
      </w:r>
      <w:r w:rsidR="00370D72" w:rsidRPr="00222917">
        <w:rPr>
          <w:lang w:val="en-US"/>
        </w:rPr>
        <w:t xml:space="preserve">the State of </w:t>
      </w:r>
      <w:r w:rsidR="002D5BB0" w:rsidRPr="00222917">
        <w:rPr>
          <w:lang w:val="en-US"/>
        </w:rPr>
        <w:t xml:space="preserve">Palestine’s right to self-determination, alleviate its poverty, and </w:t>
      </w:r>
      <w:r w:rsidR="002D5BB0" w:rsidRPr="00222917">
        <w:rPr>
          <w:bCs/>
          <w:lang w:val="en-US"/>
        </w:rPr>
        <w:t>promote</w:t>
      </w:r>
      <w:r w:rsidR="002D5BB0" w:rsidRPr="00222917">
        <w:rPr>
          <w:lang w:val="en-US"/>
        </w:rPr>
        <w:t xml:space="preserve"> its economic and social development, the Governm</w:t>
      </w:r>
      <w:r w:rsidR="005C3911" w:rsidRPr="00222917">
        <w:rPr>
          <w:lang w:val="en-US"/>
        </w:rPr>
        <w:t xml:space="preserve">ent provided </w:t>
      </w:r>
      <w:r w:rsidR="00370D72" w:rsidRPr="00222917">
        <w:rPr>
          <w:lang w:val="en-US"/>
        </w:rPr>
        <w:t xml:space="preserve">the State of </w:t>
      </w:r>
      <w:r w:rsidR="005C3911" w:rsidRPr="00222917">
        <w:rPr>
          <w:lang w:val="en-US"/>
        </w:rPr>
        <w:t>Palestine with USD </w:t>
      </w:r>
      <w:r w:rsidR="002D5BB0" w:rsidRPr="00222917">
        <w:rPr>
          <w:lang w:val="en-US"/>
        </w:rPr>
        <w:t>25.92 million in grants-in-aid from 2004 to 2010. Designating</w:t>
      </w:r>
      <w:r w:rsidR="00370D72" w:rsidRPr="00222917">
        <w:rPr>
          <w:lang w:val="en-US"/>
        </w:rPr>
        <w:t xml:space="preserve"> the State of</w:t>
      </w:r>
      <w:r w:rsidR="002D5BB0" w:rsidRPr="00222917">
        <w:rPr>
          <w:lang w:val="en-US"/>
        </w:rPr>
        <w:t xml:space="preserve"> Palestine as a recipient of rehabilitation assistance, the Government pledged to provide USD</w:t>
      </w:r>
      <w:r w:rsidR="00E82FE4" w:rsidRPr="00222917">
        <w:rPr>
          <w:lang w:val="en-US"/>
        </w:rPr>
        <w:t> </w:t>
      </w:r>
      <w:r w:rsidR="002D5BB0" w:rsidRPr="00222917">
        <w:rPr>
          <w:lang w:val="en-US"/>
        </w:rPr>
        <w:t>20</w:t>
      </w:r>
      <w:r w:rsidR="005C3911" w:rsidRPr="00222917">
        <w:rPr>
          <w:lang w:val="en-US"/>
        </w:rPr>
        <w:t> million (2008-</w:t>
      </w:r>
      <w:r w:rsidR="002D5BB0" w:rsidRPr="00222917">
        <w:rPr>
          <w:lang w:val="en-US"/>
        </w:rPr>
        <w:t xml:space="preserve">2010) at the Donors’ Conference on the </w:t>
      </w:r>
      <w:smartTag w:uri="urn:schemas-microsoft-com:office:smarttags" w:element="place">
        <w:smartTag w:uri="urn:schemas-microsoft-com:office:smarttags" w:element="PlaceName">
          <w:r w:rsidR="002D5BB0" w:rsidRPr="00222917">
            <w:rPr>
              <w:lang w:val="en-US"/>
            </w:rPr>
            <w:t>Palestinian</w:t>
          </w:r>
        </w:smartTag>
        <w:r w:rsidR="002D5BB0" w:rsidRPr="00222917">
          <w:rPr>
            <w:lang w:val="en-US"/>
          </w:rPr>
          <w:t xml:space="preserve"> </w:t>
        </w:r>
        <w:smartTag w:uri="urn:schemas-microsoft-com:office:smarttags" w:element="PlaceType">
          <w:r w:rsidR="002D5BB0" w:rsidRPr="00222917">
            <w:rPr>
              <w:lang w:val="en-US"/>
            </w:rPr>
            <w:t>Territories</w:t>
          </w:r>
        </w:smartTag>
      </w:smartTag>
      <w:r w:rsidR="002D5BB0" w:rsidRPr="00222917">
        <w:rPr>
          <w:lang w:val="en-US"/>
        </w:rPr>
        <w:t xml:space="preserve"> in December 2007. During the visit to </w:t>
      </w:r>
      <w:smartTag w:uri="urn:schemas-microsoft-com:office:smarttags" w:element="place">
        <w:smartTag w:uri="urn:schemas-microsoft-com:office:smarttags" w:element="country-region">
          <w:r w:rsidR="002D5BB0" w:rsidRPr="00222917">
            <w:rPr>
              <w:lang w:val="en-US"/>
            </w:rPr>
            <w:t>Korea</w:t>
          </w:r>
        </w:smartTag>
      </w:smartTag>
      <w:r w:rsidR="002D5BB0" w:rsidRPr="00222917">
        <w:rPr>
          <w:lang w:val="en-US"/>
        </w:rPr>
        <w:t xml:space="preserve"> by President </w:t>
      </w:r>
      <w:r w:rsidR="002D5BB0" w:rsidRPr="0005151A">
        <w:rPr>
          <w:iCs/>
          <w:lang w:val="en-US"/>
        </w:rPr>
        <w:t>Abbas</w:t>
      </w:r>
      <w:r w:rsidR="002D5BB0" w:rsidRPr="0005151A">
        <w:rPr>
          <w:bCs/>
          <w:iCs/>
          <w:lang w:val="en-US"/>
        </w:rPr>
        <w:t xml:space="preserve"> </w:t>
      </w:r>
      <w:r w:rsidR="002D5BB0" w:rsidRPr="00222917">
        <w:rPr>
          <w:bCs/>
          <w:lang w:val="en-US"/>
        </w:rPr>
        <w:t xml:space="preserve">of the </w:t>
      </w:r>
      <w:r w:rsidR="002D5BB0" w:rsidRPr="00222917">
        <w:rPr>
          <w:lang w:val="en-US"/>
        </w:rPr>
        <w:t xml:space="preserve">Palestinian </w:t>
      </w:r>
      <w:r w:rsidR="002D5BB0" w:rsidRPr="00222917">
        <w:rPr>
          <w:bCs/>
          <w:lang w:val="en-US"/>
        </w:rPr>
        <w:t>National Authority in</w:t>
      </w:r>
      <w:r w:rsidR="002D5BB0" w:rsidRPr="00222917">
        <w:rPr>
          <w:lang w:val="en-US"/>
        </w:rPr>
        <w:t xml:space="preserve"> February 2010, the Government announced its plan to provide USD</w:t>
      </w:r>
      <w:r w:rsidR="00E82FE4" w:rsidRPr="00222917">
        <w:rPr>
          <w:lang w:val="en-US"/>
        </w:rPr>
        <w:t> </w:t>
      </w:r>
      <w:r w:rsidR="002D5BB0" w:rsidRPr="00222917">
        <w:rPr>
          <w:lang w:val="en-US"/>
        </w:rPr>
        <w:t xml:space="preserve">20 million in total from 2011 to 2015. </w:t>
      </w:r>
    </w:p>
    <w:p w:rsidR="002D5BB0" w:rsidRPr="00222917" w:rsidRDefault="005C3911" w:rsidP="005C3911">
      <w:pPr>
        <w:pStyle w:val="H23G"/>
        <w:rPr>
          <w:b w:val="0"/>
          <w:sz w:val="16"/>
          <w:szCs w:val="16"/>
          <w:lang w:val="en-US"/>
        </w:rPr>
      </w:pPr>
      <w:r w:rsidRPr="00222917">
        <w:rPr>
          <w:lang w:val="en-US"/>
        </w:rPr>
        <w:tab/>
      </w:r>
      <w:r w:rsidRPr="00222917">
        <w:rPr>
          <w:lang w:val="en-US"/>
        </w:rPr>
        <w:tab/>
      </w:r>
      <w:r w:rsidR="002D5BB0" w:rsidRPr="00222917">
        <w:rPr>
          <w:lang w:val="en-US"/>
        </w:rPr>
        <w:t xml:space="preserve">Assistance to </w:t>
      </w:r>
      <w:r w:rsidR="00207251" w:rsidRPr="00222917">
        <w:rPr>
          <w:lang w:val="en-US"/>
        </w:rPr>
        <w:t xml:space="preserve">the State of </w:t>
      </w:r>
      <w:smartTag w:uri="urn:schemas-microsoft-com:office:smarttags" w:element="place">
        <w:smartTag w:uri="urn:schemas-microsoft-com:office:smarttags" w:element="City">
          <w:r w:rsidR="002D5BB0" w:rsidRPr="00222917">
            <w:rPr>
              <w:lang w:val="en-US"/>
            </w:rPr>
            <w:t>Palestine</w:t>
          </w:r>
        </w:smartTag>
      </w:smartTag>
      <w:r w:rsidR="002D5BB0" w:rsidRPr="00222917">
        <w:rPr>
          <w:lang w:val="en-US"/>
        </w:rPr>
        <w:t xml:space="preserve"> per Year</w:t>
      </w:r>
      <w:r w:rsidRPr="00222917">
        <w:rPr>
          <w:lang w:val="en-US"/>
        </w:rPr>
        <w:br/>
      </w:r>
      <w:r w:rsidR="002D5BB0" w:rsidRPr="00222917">
        <w:rPr>
          <w:b w:val="0"/>
          <w:sz w:val="16"/>
          <w:szCs w:val="16"/>
          <w:lang w:val="en-US"/>
        </w:rPr>
        <w:t xml:space="preserve">(In 10,000 USD) </w:t>
      </w:r>
    </w:p>
    <w:tbl>
      <w:tblPr>
        <w:tblW w:w="7371"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000"/>
      </w:tblPr>
      <w:tblGrid>
        <w:gridCol w:w="1020"/>
        <w:gridCol w:w="793"/>
        <w:gridCol w:w="794"/>
        <w:gridCol w:w="794"/>
        <w:gridCol w:w="794"/>
        <w:gridCol w:w="794"/>
        <w:gridCol w:w="794"/>
        <w:gridCol w:w="794"/>
        <w:gridCol w:w="794"/>
      </w:tblGrid>
      <w:tr w:rsidR="006E1F63" w:rsidRPr="00222917" w:rsidTr="005C3911">
        <w:trPr>
          <w:trHeight w:val="240"/>
          <w:tblHeader/>
        </w:trPr>
        <w:tc>
          <w:tcPr>
            <w:tcW w:w="1021" w:type="dxa"/>
            <w:shd w:val="clear" w:color="auto" w:fill="auto"/>
            <w:vAlign w:val="bottom"/>
          </w:tcPr>
          <w:p w:rsidR="002D5BB0" w:rsidRPr="00222917" w:rsidRDefault="002D5BB0" w:rsidP="00242694">
            <w:pPr>
              <w:pStyle w:val="SingleTxtG"/>
              <w:suppressAutoHyphens w:val="0"/>
              <w:spacing w:before="80" w:after="80" w:line="200" w:lineRule="exact"/>
              <w:ind w:left="0" w:right="0"/>
              <w:jc w:val="left"/>
              <w:rPr>
                <w:i/>
                <w:sz w:val="16"/>
                <w:lang w:val="en-US"/>
              </w:rPr>
            </w:pPr>
            <w:r w:rsidRPr="00222917">
              <w:rPr>
                <w:bCs/>
                <w:i/>
                <w:sz w:val="16"/>
                <w:lang w:val="en-US"/>
              </w:rPr>
              <w:t>Year</w:t>
            </w:r>
          </w:p>
        </w:tc>
        <w:tc>
          <w:tcPr>
            <w:tcW w:w="794" w:type="dxa"/>
            <w:shd w:val="clear" w:color="auto" w:fill="auto"/>
            <w:vAlign w:val="bottom"/>
          </w:tcPr>
          <w:p w:rsidR="002D5BB0" w:rsidRPr="00222917" w:rsidRDefault="002D5BB0" w:rsidP="00242694">
            <w:pPr>
              <w:pStyle w:val="SingleTxtG"/>
              <w:suppressAutoHyphens w:val="0"/>
              <w:spacing w:before="80" w:after="80" w:line="200" w:lineRule="exact"/>
              <w:ind w:left="0" w:right="0"/>
              <w:jc w:val="right"/>
              <w:rPr>
                <w:i/>
                <w:sz w:val="16"/>
                <w:lang w:val="en-US"/>
              </w:rPr>
            </w:pPr>
            <w:r w:rsidRPr="00222917">
              <w:rPr>
                <w:bCs/>
                <w:i/>
                <w:sz w:val="16"/>
                <w:lang w:val="en-US"/>
              </w:rPr>
              <w:t>2004</w:t>
            </w:r>
          </w:p>
        </w:tc>
        <w:tc>
          <w:tcPr>
            <w:tcW w:w="794" w:type="dxa"/>
            <w:shd w:val="clear" w:color="auto" w:fill="auto"/>
            <w:vAlign w:val="bottom"/>
          </w:tcPr>
          <w:p w:rsidR="002D5BB0" w:rsidRPr="00222917" w:rsidRDefault="002D5BB0" w:rsidP="00242694">
            <w:pPr>
              <w:pStyle w:val="SingleTxtG"/>
              <w:suppressAutoHyphens w:val="0"/>
              <w:spacing w:before="80" w:after="80" w:line="200" w:lineRule="exact"/>
              <w:ind w:left="0" w:right="0"/>
              <w:jc w:val="right"/>
              <w:rPr>
                <w:i/>
                <w:sz w:val="16"/>
                <w:lang w:val="en-US"/>
              </w:rPr>
            </w:pPr>
            <w:r w:rsidRPr="00222917">
              <w:rPr>
                <w:bCs/>
                <w:i/>
                <w:sz w:val="16"/>
                <w:lang w:val="en-US"/>
              </w:rPr>
              <w:t>2005</w:t>
            </w:r>
          </w:p>
        </w:tc>
        <w:tc>
          <w:tcPr>
            <w:tcW w:w="794" w:type="dxa"/>
            <w:shd w:val="clear" w:color="auto" w:fill="auto"/>
            <w:vAlign w:val="bottom"/>
          </w:tcPr>
          <w:p w:rsidR="002D5BB0" w:rsidRPr="00222917" w:rsidRDefault="002D5BB0" w:rsidP="00242694">
            <w:pPr>
              <w:pStyle w:val="SingleTxtG"/>
              <w:suppressAutoHyphens w:val="0"/>
              <w:spacing w:before="80" w:after="80" w:line="200" w:lineRule="exact"/>
              <w:ind w:left="0" w:right="0"/>
              <w:jc w:val="right"/>
              <w:rPr>
                <w:i/>
                <w:sz w:val="16"/>
                <w:lang w:val="en-US"/>
              </w:rPr>
            </w:pPr>
            <w:r w:rsidRPr="00222917">
              <w:rPr>
                <w:bCs/>
                <w:i/>
                <w:sz w:val="16"/>
                <w:lang w:val="en-US"/>
              </w:rPr>
              <w:t>2006</w:t>
            </w:r>
          </w:p>
        </w:tc>
        <w:tc>
          <w:tcPr>
            <w:tcW w:w="794" w:type="dxa"/>
            <w:shd w:val="clear" w:color="auto" w:fill="auto"/>
            <w:vAlign w:val="bottom"/>
          </w:tcPr>
          <w:p w:rsidR="002D5BB0" w:rsidRPr="00222917" w:rsidRDefault="002D5BB0" w:rsidP="00242694">
            <w:pPr>
              <w:pStyle w:val="SingleTxtG"/>
              <w:suppressAutoHyphens w:val="0"/>
              <w:spacing w:before="80" w:after="80" w:line="200" w:lineRule="exact"/>
              <w:ind w:left="0" w:right="0"/>
              <w:jc w:val="right"/>
              <w:rPr>
                <w:i/>
                <w:sz w:val="16"/>
                <w:lang w:val="en-US"/>
              </w:rPr>
            </w:pPr>
            <w:r w:rsidRPr="00222917">
              <w:rPr>
                <w:bCs/>
                <w:i/>
                <w:sz w:val="16"/>
                <w:lang w:val="en-US"/>
              </w:rPr>
              <w:t>2007</w:t>
            </w:r>
          </w:p>
        </w:tc>
        <w:tc>
          <w:tcPr>
            <w:tcW w:w="794" w:type="dxa"/>
            <w:shd w:val="clear" w:color="auto" w:fill="auto"/>
            <w:vAlign w:val="bottom"/>
          </w:tcPr>
          <w:p w:rsidR="002D5BB0" w:rsidRPr="00222917" w:rsidRDefault="002D5BB0" w:rsidP="00242694">
            <w:pPr>
              <w:pStyle w:val="SingleTxtG"/>
              <w:suppressAutoHyphens w:val="0"/>
              <w:spacing w:before="80" w:after="80" w:line="200" w:lineRule="exact"/>
              <w:ind w:left="0" w:right="0"/>
              <w:jc w:val="right"/>
              <w:rPr>
                <w:i/>
                <w:sz w:val="16"/>
                <w:lang w:val="en-US"/>
              </w:rPr>
            </w:pPr>
            <w:r w:rsidRPr="00222917">
              <w:rPr>
                <w:bCs/>
                <w:i/>
                <w:sz w:val="16"/>
                <w:lang w:val="en-US"/>
              </w:rPr>
              <w:t>2008</w:t>
            </w:r>
          </w:p>
        </w:tc>
        <w:tc>
          <w:tcPr>
            <w:tcW w:w="794" w:type="dxa"/>
            <w:shd w:val="clear" w:color="auto" w:fill="auto"/>
            <w:vAlign w:val="bottom"/>
          </w:tcPr>
          <w:p w:rsidR="002D5BB0" w:rsidRPr="00222917" w:rsidRDefault="002D5BB0" w:rsidP="00242694">
            <w:pPr>
              <w:pStyle w:val="SingleTxtG"/>
              <w:suppressAutoHyphens w:val="0"/>
              <w:spacing w:before="80" w:after="80" w:line="200" w:lineRule="exact"/>
              <w:ind w:left="0" w:right="0"/>
              <w:jc w:val="right"/>
              <w:rPr>
                <w:i/>
                <w:sz w:val="16"/>
                <w:lang w:val="en-US"/>
              </w:rPr>
            </w:pPr>
            <w:r w:rsidRPr="00222917">
              <w:rPr>
                <w:bCs/>
                <w:i/>
                <w:sz w:val="16"/>
                <w:lang w:val="en-US"/>
              </w:rPr>
              <w:t>2009</w:t>
            </w:r>
          </w:p>
        </w:tc>
        <w:tc>
          <w:tcPr>
            <w:tcW w:w="794" w:type="dxa"/>
            <w:shd w:val="clear" w:color="auto" w:fill="auto"/>
            <w:vAlign w:val="bottom"/>
          </w:tcPr>
          <w:p w:rsidR="002D5BB0" w:rsidRPr="00222917" w:rsidRDefault="002D5BB0" w:rsidP="00242694">
            <w:pPr>
              <w:pStyle w:val="SingleTxtG"/>
              <w:suppressAutoHyphens w:val="0"/>
              <w:spacing w:before="80" w:after="80" w:line="200" w:lineRule="exact"/>
              <w:ind w:left="0" w:right="0"/>
              <w:jc w:val="right"/>
              <w:rPr>
                <w:i/>
                <w:sz w:val="16"/>
                <w:lang w:val="en-US"/>
              </w:rPr>
            </w:pPr>
            <w:r w:rsidRPr="00222917">
              <w:rPr>
                <w:bCs/>
                <w:i/>
                <w:sz w:val="16"/>
                <w:lang w:val="en-US"/>
              </w:rPr>
              <w:t>2010</w:t>
            </w:r>
          </w:p>
        </w:tc>
        <w:tc>
          <w:tcPr>
            <w:tcW w:w="794" w:type="dxa"/>
            <w:shd w:val="clear" w:color="auto" w:fill="auto"/>
            <w:vAlign w:val="bottom"/>
          </w:tcPr>
          <w:p w:rsidR="002D5BB0" w:rsidRPr="00222917" w:rsidRDefault="002D5BB0" w:rsidP="00242694">
            <w:pPr>
              <w:pStyle w:val="SingleTxtG"/>
              <w:suppressAutoHyphens w:val="0"/>
              <w:spacing w:before="80" w:after="80" w:line="200" w:lineRule="exact"/>
              <w:ind w:left="0" w:right="0"/>
              <w:jc w:val="right"/>
              <w:rPr>
                <w:b/>
                <w:i/>
                <w:sz w:val="16"/>
                <w:lang w:val="en-US"/>
              </w:rPr>
            </w:pPr>
            <w:r w:rsidRPr="00222917">
              <w:rPr>
                <w:b/>
                <w:bCs/>
                <w:i/>
                <w:sz w:val="16"/>
                <w:lang w:val="en-US"/>
              </w:rPr>
              <w:t>Total</w:t>
            </w:r>
          </w:p>
        </w:tc>
      </w:tr>
      <w:tr w:rsidR="006E1F63" w:rsidRPr="00222917" w:rsidTr="005C3911">
        <w:trPr>
          <w:trHeight w:val="240"/>
        </w:trPr>
        <w:tc>
          <w:tcPr>
            <w:tcW w:w="1021" w:type="dxa"/>
            <w:shd w:val="clear" w:color="auto" w:fill="auto"/>
          </w:tcPr>
          <w:p w:rsidR="002D5BB0" w:rsidRPr="00222917" w:rsidRDefault="002D5BB0" w:rsidP="00242694">
            <w:pPr>
              <w:pStyle w:val="SingleTxtG"/>
              <w:suppressAutoHyphens w:val="0"/>
              <w:spacing w:before="40" w:after="40" w:line="220" w:lineRule="exact"/>
              <w:ind w:left="0" w:right="0"/>
              <w:jc w:val="left"/>
              <w:rPr>
                <w:sz w:val="18"/>
                <w:lang w:val="en-US"/>
              </w:rPr>
            </w:pPr>
            <w:r w:rsidRPr="00222917">
              <w:rPr>
                <w:sz w:val="18"/>
                <w:lang w:val="en-US"/>
              </w:rPr>
              <w:t>Amount</w:t>
            </w:r>
          </w:p>
        </w:tc>
        <w:tc>
          <w:tcPr>
            <w:tcW w:w="794" w:type="dxa"/>
            <w:shd w:val="clear" w:color="auto" w:fill="auto"/>
            <w:vAlign w:val="bottom"/>
          </w:tcPr>
          <w:p w:rsidR="002D5BB0" w:rsidRPr="00222917" w:rsidRDefault="002D5BB0" w:rsidP="00242694">
            <w:pPr>
              <w:pStyle w:val="SingleTxtG"/>
              <w:suppressAutoHyphens w:val="0"/>
              <w:spacing w:before="40" w:after="40" w:line="220" w:lineRule="exact"/>
              <w:ind w:left="0" w:right="0"/>
              <w:jc w:val="right"/>
              <w:rPr>
                <w:sz w:val="18"/>
                <w:lang w:val="en-US"/>
              </w:rPr>
            </w:pPr>
            <w:r w:rsidRPr="00222917">
              <w:rPr>
                <w:sz w:val="18"/>
                <w:lang w:val="en-US"/>
              </w:rPr>
              <w:t>367</w:t>
            </w:r>
          </w:p>
        </w:tc>
        <w:tc>
          <w:tcPr>
            <w:tcW w:w="794" w:type="dxa"/>
            <w:shd w:val="clear" w:color="auto" w:fill="auto"/>
            <w:vAlign w:val="bottom"/>
          </w:tcPr>
          <w:p w:rsidR="002D5BB0" w:rsidRPr="00222917" w:rsidRDefault="002D5BB0" w:rsidP="0014767D">
            <w:pPr>
              <w:pStyle w:val="SingleTxtG"/>
              <w:suppressAutoHyphens w:val="0"/>
              <w:spacing w:before="40" w:after="40" w:line="220" w:lineRule="exact"/>
              <w:ind w:left="0" w:right="0"/>
              <w:jc w:val="right"/>
              <w:rPr>
                <w:sz w:val="18"/>
                <w:lang w:val="en-US"/>
              </w:rPr>
            </w:pPr>
            <w:r w:rsidRPr="00222917">
              <w:rPr>
                <w:sz w:val="18"/>
                <w:lang w:val="en-US"/>
              </w:rPr>
              <w:t>166</w:t>
            </w:r>
          </w:p>
        </w:tc>
        <w:tc>
          <w:tcPr>
            <w:tcW w:w="794" w:type="dxa"/>
            <w:shd w:val="clear" w:color="auto" w:fill="auto"/>
            <w:vAlign w:val="bottom"/>
          </w:tcPr>
          <w:p w:rsidR="002D5BB0" w:rsidRPr="00222917" w:rsidRDefault="002D5BB0" w:rsidP="00242694">
            <w:pPr>
              <w:pStyle w:val="SingleTxtG"/>
              <w:suppressAutoHyphens w:val="0"/>
              <w:spacing w:before="40" w:after="40" w:line="220" w:lineRule="exact"/>
              <w:ind w:left="0" w:right="0"/>
              <w:jc w:val="right"/>
              <w:rPr>
                <w:sz w:val="18"/>
                <w:lang w:val="en-US"/>
              </w:rPr>
            </w:pPr>
            <w:r w:rsidRPr="00222917">
              <w:rPr>
                <w:sz w:val="18"/>
                <w:lang w:val="en-US"/>
              </w:rPr>
              <w:t>121</w:t>
            </w:r>
          </w:p>
        </w:tc>
        <w:tc>
          <w:tcPr>
            <w:tcW w:w="794" w:type="dxa"/>
            <w:shd w:val="clear" w:color="auto" w:fill="auto"/>
            <w:vAlign w:val="bottom"/>
          </w:tcPr>
          <w:p w:rsidR="002D5BB0" w:rsidRPr="00222917" w:rsidRDefault="002D5BB0" w:rsidP="00242694">
            <w:pPr>
              <w:pStyle w:val="SingleTxtG"/>
              <w:suppressAutoHyphens w:val="0"/>
              <w:spacing w:before="40" w:after="40" w:line="220" w:lineRule="exact"/>
              <w:ind w:left="0" w:right="0"/>
              <w:jc w:val="right"/>
              <w:rPr>
                <w:sz w:val="18"/>
                <w:lang w:val="en-US"/>
              </w:rPr>
            </w:pPr>
            <w:r w:rsidRPr="00222917">
              <w:rPr>
                <w:sz w:val="18"/>
                <w:lang w:val="en-US"/>
              </w:rPr>
              <w:t>96</w:t>
            </w:r>
          </w:p>
        </w:tc>
        <w:tc>
          <w:tcPr>
            <w:tcW w:w="794" w:type="dxa"/>
            <w:shd w:val="clear" w:color="auto" w:fill="auto"/>
            <w:vAlign w:val="bottom"/>
          </w:tcPr>
          <w:p w:rsidR="002D5BB0" w:rsidRPr="00222917" w:rsidRDefault="002D5BB0" w:rsidP="00242694">
            <w:pPr>
              <w:pStyle w:val="SingleTxtG"/>
              <w:suppressAutoHyphens w:val="0"/>
              <w:spacing w:before="40" w:after="40" w:line="220" w:lineRule="exact"/>
              <w:ind w:left="0" w:right="0"/>
              <w:jc w:val="right"/>
              <w:rPr>
                <w:sz w:val="18"/>
                <w:lang w:val="en-US"/>
              </w:rPr>
            </w:pPr>
            <w:r w:rsidRPr="00222917">
              <w:rPr>
                <w:sz w:val="18"/>
                <w:lang w:val="en-US"/>
              </w:rPr>
              <w:t>241</w:t>
            </w:r>
          </w:p>
        </w:tc>
        <w:tc>
          <w:tcPr>
            <w:tcW w:w="794" w:type="dxa"/>
            <w:shd w:val="clear" w:color="auto" w:fill="auto"/>
            <w:vAlign w:val="bottom"/>
          </w:tcPr>
          <w:p w:rsidR="002D5BB0" w:rsidRPr="00222917" w:rsidRDefault="002D5BB0" w:rsidP="00242694">
            <w:pPr>
              <w:pStyle w:val="SingleTxtG"/>
              <w:suppressAutoHyphens w:val="0"/>
              <w:spacing w:before="40" w:after="40" w:line="220" w:lineRule="exact"/>
              <w:ind w:left="0" w:right="0"/>
              <w:jc w:val="right"/>
              <w:rPr>
                <w:sz w:val="18"/>
                <w:lang w:val="en-US"/>
              </w:rPr>
            </w:pPr>
            <w:r w:rsidRPr="00222917">
              <w:rPr>
                <w:sz w:val="18"/>
                <w:lang w:val="en-US"/>
              </w:rPr>
              <w:t>732</w:t>
            </w:r>
          </w:p>
        </w:tc>
        <w:tc>
          <w:tcPr>
            <w:tcW w:w="794" w:type="dxa"/>
            <w:shd w:val="clear" w:color="auto" w:fill="auto"/>
            <w:vAlign w:val="bottom"/>
          </w:tcPr>
          <w:p w:rsidR="002D5BB0" w:rsidRPr="00222917" w:rsidRDefault="002D5BB0" w:rsidP="00242694">
            <w:pPr>
              <w:pStyle w:val="SingleTxtG"/>
              <w:suppressAutoHyphens w:val="0"/>
              <w:spacing w:before="40" w:after="40" w:line="220" w:lineRule="exact"/>
              <w:ind w:left="0" w:right="0"/>
              <w:jc w:val="right"/>
              <w:rPr>
                <w:sz w:val="18"/>
                <w:lang w:val="en-US"/>
              </w:rPr>
            </w:pPr>
            <w:r w:rsidRPr="00222917">
              <w:rPr>
                <w:sz w:val="18"/>
                <w:lang w:val="en-US"/>
              </w:rPr>
              <w:t>869</w:t>
            </w:r>
          </w:p>
        </w:tc>
        <w:tc>
          <w:tcPr>
            <w:tcW w:w="794" w:type="dxa"/>
            <w:shd w:val="clear" w:color="auto" w:fill="auto"/>
            <w:vAlign w:val="bottom"/>
          </w:tcPr>
          <w:p w:rsidR="002D5BB0" w:rsidRPr="00222917" w:rsidRDefault="002D5BB0" w:rsidP="00242694">
            <w:pPr>
              <w:pStyle w:val="SingleTxtG"/>
              <w:suppressAutoHyphens w:val="0"/>
              <w:spacing w:before="40" w:after="40" w:line="220" w:lineRule="exact"/>
              <w:ind w:left="0" w:right="0"/>
              <w:jc w:val="right"/>
              <w:rPr>
                <w:b/>
                <w:sz w:val="18"/>
                <w:lang w:val="en-US"/>
              </w:rPr>
            </w:pPr>
            <w:r w:rsidRPr="00222917">
              <w:rPr>
                <w:b/>
                <w:sz w:val="18"/>
                <w:lang w:val="en-US"/>
              </w:rPr>
              <w:t>2,592</w:t>
            </w:r>
          </w:p>
        </w:tc>
      </w:tr>
    </w:tbl>
    <w:p w:rsidR="002D5BB0" w:rsidRPr="00222917" w:rsidRDefault="00547908" w:rsidP="00547908">
      <w:pPr>
        <w:pStyle w:val="SingleTxtG"/>
        <w:spacing w:before="240"/>
        <w:rPr>
          <w:lang w:val="en-US"/>
        </w:rPr>
      </w:pPr>
      <w:r w:rsidRPr="00222917">
        <w:rPr>
          <w:lang w:val="en-US"/>
        </w:rPr>
        <w:t>36.</w:t>
      </w:r>
      <w:r w:rsidRPr="00222917">
        <w:rPr>
          <w:lang w:val="en-US"/>
        </w:rPr>
        <w:tab/>
      </w:r>
      <w:r w:rsidR="002D5BB0" w:rsidRPr="00222917">
        <w:rPr>
          <w:lang w:val="en-US"/>
        </w:rPr>
        <w:t>The focus of above</w:t>
      </w:r>
      <w:r w:rsidR="0020568A">
        <w:rPr>
          <w:lang w:val="en-US"/>
        </w:rPr>
        <w:t>-</w:t>
      </w:r>
      <w:r w:rsidR="002D5BB0" w:rsidRPr="00222917">
        <w:rPr>
          <w:lang w:val="en-US"/>
        </w:rPr>
        <w:t xml:space="preserve">mentioned assistance has been placed on education and health sectors, such as improvement of the educational system, construction of an IT vocational training center, and reinforcement of basic health and medical services. In addition, to share </w:t>
      </w:r>
      <w:smartTag w:uri="urn:schemas-microsoft-com:office:smarttags" w:element="place">
        <w:smartTag w:uri="urn:schemas-microsoft-com:office:smarttags" w:element="country-region">
          <w:r w:rsidR="002D5BB0" w:rsidRPr="00222917">
            <w:rPr>
              <w:lang w:val="en-US"/>
            </w:rPr>
            <w:t>Korea</w:t>
          </w:r>
        </w:smartTag>
      </w:smartTag>
      <w:r w:rsidR="002D5BB0" w:rsidRPr="00222917">
        <w:rPr>
          <w:lang w:val="en-US"/>
        </w:rPr>
        <w:t xml:space="preserve">’s development experiences and help bolster </w:t>
      </w:r>
      <w:r w:rsidR="00370D72" w:rsidRPr="00222917">
        <w:rPr>
          <w:lang w:val="en-US"/>
        </w:rPr>
        <w:t xml:space="preserve">the State of </w:t>
      </w:r>
      <w:r w:rsidR="002D5BB0" w:rsidRPr="00222917">
        <w:rPr>
          <w:lang w:val="en-US"/>
        </w:rPr>
        <w:t xml:space="preserve">Palestine’s human resources development, </w:t>
      </w:r>
      <w:r w:rsidR="002D5BB0" w:rsidRPr="00222917">
        <w:rPr>
          <w:bCs/>
          <w:lang w:val="en-US"/>
        </w:rPr>
        <w:t>training</w:t>
      </w:r>
      <w:r w:rsidR="00E82FE4" w:rsidRPr="00222917">
        <w:rPr>
          <w:lang w:val="en-US"/>
        </w:rPr>
        <w:t xml:space="preserve"> program for 200 </w:t>
      </w:r>
      <w:r w:rsidR="002D5BB0" w:rsidRPr="00222917">
        <w:rPr>
          <w:lang w:val="en-US"/>
        </w:rPr>
        <w:t xml:space="preserve">civil servants and professionals has been in operation for three years since 2008 as </w:t>
      </w:r>
      <w:r w:rsidR="00E82FE4" w:rsidRPr="00222917">
        <w:rPr>
          <w:lang w:val="en-US"/>
        </w:rPr>
        <w:t>part of technical cooperation.</w:t>
      </w:r>
    </w:p>
    <w:p w:rsidR="004632C2" w:rsidRPr="00222917" w:rsidRDefault="004632C2" w:rsidP="004632C2">
      <w:pPr>
        <w:pStyle w:val="H23G"/>
        <w:rPr>
          <w:lang w:val="en-US"/>
        </w:rPr>
      </w:pPr>
      <w:r w:rsidRPr="00222917">
        <w:rPr>
          <w:lang w:val="en-US"/>
        </w:rPr>
        <w:tab/>
      </w:r>
      <w:r w:rsidRPr="00222917">
        <w:rPr>
          <w:lang w:val="en-US"/>
        </w:rPr>
        <w:tab/>
        <w:t xml:space="preserve">Details of Grants-in-Aid to </w:t>
      </w:r>
      <w:r w:rsidR="00370D72" w:rsidRPr="00222917">
        <w:rPr>
          <w:lang w:val="en-US"/>
        </w:rPr>
        <w:t xml:space="preserve">the State of </w:t>
      </w:r>
      <w:smartTag w:uri="urn:schemas-microsoft-com:office:smarttags" w:element="place">
        <w:smartTag w:uri="urn:schemas-microsoft-com:office:smarttags" w:element="City">
          <w:r w:rsidRPr="00222917">
            <w:rPr>
              <w:lang w:val="en-US"/>
            </w:rPr>
            <w:t>Palestine</w:t>
          </w:r>
        </w:smartTag>
      </w:smartTag>
      <w:r w:rsidRPr="00222917">
        <w:rPr>
          <w:lang w:val="en-US"/>
        </w:rPr>
        <w:t xml:space="preserve"> by Type</w:t>
      </w:r>
    </w:p>
    <w:tbl>
      <w:tblPr>
        <w:tblW w:w="7370" w:type="dxa"/>
        <w:tblInd w:w="1134" w:type="dxa"/>
        <w:tblLayout w:type="fixed"/>
        <w:tblCellMar>
          <w:left w:w="0" w:type="dxa"/>
          <w:right w:w="0" w:type="dxa"/>
        </w:tblCellMar>
        <w:tblLook w:val="04A0"/>
      </w:tblPr>
      <w:tblGrid>
        <w:gridCol w:w="1706"/>
        <w:gridCol w:w="1120"/>
        <w:gridCol w:w="568"/>
        <w:gridCol w:w="568"/>
        <w:gridCol w:w="568"/>
        <w:gridCol w:w="568"/>
        <w:gridCol w:w="568"/>
        <w:gridCol w:w="568"/>
        <w:gridCol w:w="568"/>
        <w:gridCol w:w="568"/>
      </w:tblGrid>
      <w:tr w:rsidR="009528CB" w:rsidRPr="00222917" w:rsidTr="00F662F0">
        <w:tc>
          <w:tcPr>
            <w:tcW w:w="1706" w:type="dxa"/>
            <w:tcBorders>
              <w:top w:val="single" w:sz="4" w:space="0" w:color="000000"/>
              <w:bottom w:val="single" w:sz="12" w:space="0" w:color="000000"/>
            </w:tcBorders>
            <w:shd w:val="clear" w:color="auto" w:fill="auto"/>
            <w:vAlign w:val="bottom"/>
          </w:tcPr>
          <w:p w:rsidR="009528CB" w:rsidRPr="00222917" w:rsidRDefault="009528CB" w:rsidP="00D17669">
            <w:pPr>
              <w:spacing w:before="80" w:after="80" w:line="180" w:lineRule="exact"/>
              <w:rPr>
                <w:i/>
                <w:sz w:val="14"/>
                <w:szCs w:val="14"/>
                <w:lang w:val="en-US"/>
              </w:rPr>
            </w:pPr>
            <w:r w:rsidRPr="00222917">
              <w:rPr>
                <w:i/>
                <w:sz w:val="14"/>
                <w:szCs w:val="14"/>
                <w:lang w:val="en-US"/>
              </w:rPr>
              <w:t>Type</w:t>
            </w:r>
          </w:p>
        </w:tc>
        <w:tc>
          <w:tcPr>
            <w:tcW w:w="5664" w:type="dxa"/>
            <w:gridSpan w:val="9"/>
            <w:tcBorders>
              <w:top w:val="single" w:sz="4" w:space="0" w:color="000000"/>
              <w:bottom w:val="single" w:sz="12" w:space="0" w:color="000000"/>
            </w:tcBorders>
            <w:shd w:val="clear" w:color="auto" w:fill="auto"/>
            <w:vAlign w:val="bottom"/>
          </w:tcPr>
          <w:p w:rsidR="009528CB" w:rsidRPr="00222917" w:rsidRDefault="009528CB" w:rsidP="00D17669">
            <w:pPr>
              <w:spacing w:before="80" w:after="80" w:line="180" w:lineRule="exact"/>
              <w:rPr>
                <w:i/>
                <w:sz w:val="14"/>
                <w:szCs w:val="14"/>
                <w:lang w:val="en-US"/>
              </w:rPr>
            </w:pPr>
            <w:r w:rsidRPr="00222917">
              <w:rPr>
                <w:i/>
                <w:sz w:val="14"/>
                <w:szCs w:val="14"/>
                <w:lang w:val="en-US"/>
              </w:rPr>
              <w:t>Details (period/amount of assistance)</w:t>
            </w:r>
          </w:p>
        </w:tc>
      </w:tr>
      <w:tr w:rsidR="000B5136" w:rsidRPr="00222917" w:rsidTr="00F662F0">
        <w:tc>
          <w:tcPr>
            <w:tcW w:w="1706" w:type="dxa"/>
            <w:vMerge w:val="restart"/>
            <w:tcBorders>
              <w:top w:val="single" w:sz="12" w:space="0" w:color="000000"/>
            </w:tcBorders>
            <w:shd w:val="clear" w:color="auto" w:fill="auto"/>
            <w:vAlign w:val="center"/>
          </w:tcPr>
          <w:p w:rsidR="000B5136" w:rsidRPr="00222917" w:rsidRDefault="000B5136" w:rsidP="000B5136">
            <w:pPr>
              <w:spacing w:before="40" w:after="40" w:line="200" w:lineRule="exact"/>
              <w:rPr>
                <w:sz w:val="16"/>
                <w:szCs w:val="16"/>
                <w:lang w:val="en-US"/>
              </w:rPr>
            </w:pPr>
            <w:r w:rsidRPr="00222917">
              <w:rPr>
                <w:sz w:val="16"/>
                <w:szCs w:val="16"/>
                <w:lang w:val="en-US"/>
              </w:rPr>
              <w:t>Projects</w:t>
            </w:r>
          </w:p>
        </w:tc>
        <w:tc>
          <w:tcPr>
            <w:tcW w:w="1120" w:type="dxa"/>
            <w:tcBorders>
              <w:top w:val="single" w:sz="12" w:space="0" w:color="000000"/>
            </w:tcBorders>
            <w:shd w:val="clear" w:color="auto" w:fill="auto"/>
            <w:vAlign w:val="bottom"/>
          </w:tcPr>
          <w:p w:rsidR="000B5136" w:rsidRPr="00222917" w:rsidRDefault="000B5136" w:rsidP="00D17669">
            <w:pPr>
              <w:spacing w:before="40" w:after="40" w:line="200" w:lineRule="exact"/>
              <w:rPr>
                <w:sz w:val="16"/>
                <w:szCs w:val="16"/>
                <w:lang w:val="en-US"/>
              </w:rPr>
            </w:pPr>
            <w:r w:rsidRPr="00222917">
              <w:rPr>
                <w:sz w:val="16"/>
                <w:szCs w:val="16"/>
                <w:lang w:val="en-US"/>
              </w:rPr>
              <w:t>Six projects</w:t>
            </w:r>
            <w:r w:rsidR="00201AC9" w:rsidRPr="00222917">
              <w:rPr>
                <w:sz w:val="16"/>
                <w:szCs w:val="16"/>
                <w:lang w:val="en-US"/>
              </w:rPr>
              <w:t>:</w:t>
            </w:r>
          </w:p>
        </w:tc>
        <w:tc>
          <w:tcPr>
            <w:tcW w:w="568" w:type="dxa"/>
            <w:tcBorders>
              <w:top w:val="single" w:sz="12" w:space="0" w:color="000000"/>
            </w:tcBorders>
            <w:shd w:val="clear" w:color="auto" w:fill="auto"/>
            <w:vAlign w:val="bottom"/>
          </w:tcPr>
          <w:p w:rsidR="000B5136" w:rsidRPr="00222917" w:rsidRDefault="000B5136" w:rsidP="00D17669">
            <w:pPr>
              <w:spacing w:before="40" w:after="40" w:line="200" w:lineRule="exact"/>
              <w:jc w:val="right"/>
              <w:rPr>
                <w:sz w:val="16"/>
                <w:szCs w:val="16"/>
                <w:lang w:val="en-US"/>
              </w:rPr>
            </w:pPr>
          </w:p>
        </w:tc>
        <w:tc>
          <w:tcPr>
            <w:tcW w:w="568" w:type="dxa"/>
            <w:tcBorders>
              <w:top w:val="single" w:sz="12" w:space="0" w:color="000000"/>
            </w:tcBorders>
            <w:shd w:val="clear" w:color="auto" w:fill="auto"/>
            <w:vAlign w:val="bottom"/>
          </w:tcPr>
          <w:p w:rsidR="000B5136" w:rsidRPr="00222917" w:rsidRDefault="000B5136" w:rsidP="00D17669">
            <w:pPr>
              <w:spacing w:before="40" w:after="40" w:line="200" w:lineRule="exact"/>
              <w:jc w:val="right"/>
              <w:rPr>
                <w:sz w:val="16"/>
                <w:szCs w:val="16"/>
                <w:lang w:val="en-US"/>
              </w:rPr>
            </w:pPr>
          </w:p>
        </w:tc>
        <w:tc>
          <w:tcPr>
            <w:tcW w:w="568" w:type="dxa"/>
            <w:tcBorders>
              <w:top w:val="single" w:sz="12" w:space="0" w:color="000000"/>
            </w:tcBorders>
            <w:shd w:val="clear" w:color="auto" w:fill="auto"/>
            <w:vAlign w:val="bottom"/>
          </w:tcPr>
          <w:p w:rsidR="000B5136" w:rsidRPr="00222917" w:rsidRDefault="000B5136" w:rsidP="00D17669">
            <w:pPr>
              <w:spacing w:before="40" w:after="40" w:line="200" w:lineRule="exact"/>
              <w:jc w:val="right"/>
              <w:rPr>
                <w:sz w:val="16"/>
                <w:szCs w:val="16"/>
                <w:lang w:val="en-US"/>
              </w:rPr>
            </w:pPr>
          </w:p>
        </w:tc>
        <w:tc>
          <w:tcPr>
            <w:tcW w:w="568" w:type="dxa"/>
            <w:tcBorders>
              <w:top w:val="single" w:sz="12" w:space="0" w:color="000000"/>
            </w:tcBorders>
            <w:shd w:val="clear" w:color="auto" w:fill="auto"/>
            <w:vAlign w:val="bottom"/>
          </w:tcPr>
          <w:p w:rsidR="000B5136" w:rsidRPr="00222917" w:rsidRDefault="000B5136" w:rsidP="00D17669">
            <w:pPr>
              <w:spacing w:before="40" w:after="40" w:line="200" w:lineRule="exact"/>
              <w:jc w:val="right"/>
              <w:rPr>
                <w:sz w:val="16"/>
                <w:szCs w:val="16"/>
                <w:lang w:val="en-US"/>
              </w:rPr>
            </w:pPr>
          </w:p>
        </w:tc>
        <w:tc>
          <w:tcPr>
            <w:tcW w:w="568" w:type="dxa"/>
            <w:tcBorders>
              <w:top w:val="single" w:sz="12" w:space="0" w:color="000000"/>
            </w:tcBorders>
            <w:shd w:val="clear" w:color="auto" w:fill="auto"/>
            <w:vAlign w:val="bottom"/>
          </w:tcPr>
          <w:p w:rsidR="000B5136" w:rsidRPr="00222917" w:rsidRDefault="000B5136" w:rsidP="00D17669">
            <w:pPr>
              <w:spacing w:before="40" w:after="40" w:line="200" w:lineRule="exact"/>
              <w:jc w:val="right"/>
              <w:rPr>
                <w:sz w:val="16"/>
                <w:szCs w:val="16"/>
                <w:lang w:val="en-US"/>
              </w:rPr>
            </w:pPr>
          </w:p>
        </w:tc>
        <w:tc>
          <w:tcPr>
            <w:tcW w:w="568" w:type="dxa"/>
            <w:tcBorders>
              <w:top w:val="single" w:sz="12" w:space="0" w:color="000000"/>
            </w:tcBorders>
            <w:shd w:val="clear" w:color="auto" w:fill="auto"/>
            <w:vAlign w:val="bottom"/>
          </w:tcPr>
          <w:p w:rsidR="000B5136" w:rsidRPr="00222917" w:rsidRDefault="000B5136" w:rsidP="00D17669">
            <w:pPr>
              <w:spacing w:before="40" w:after="40" w:line="200" w:lineRule="exact"/>
              <w:jc w:val="right"/>
              <w:rPr>
                <w:sz w:val="16"/>
                <w:szCs w:val="16"/>
                <w:lang w:val="en-US"/>
              </w:rPr>
            </w:pPr>
          </w:p>
        </w:tc>
        <w:tc>
          <w:tcPr>
            <w:tcW w:w="568" w:type="dxa"/>
            <w:tcBorders>
              <w:top w:val="single" w:sz="12" w:space="0" w:color="000000"/>
            </w:tcBorders>
            <w:shd w:val="clear" w:color="auto" w:fill="auto"/>
            <w:vAlign w:val="bottom"/>
          </w:tcPr>
          <w:p w:rsidR="000B5136" w:rsidRPr="00222917" w:rsidRDefault="000B5136" w:rsidP="00D17669">
            <w:pPr>
              <w:spacing w:before="40" w:after="40" w:line="200" w:lineRule="exact"/>
              <w:jc w:val="right"/>
              <w:rPr>
                <w:sz w:val="16"/>
                <w:szCs w:val="16"/>
                <w:lang w:val="en-US"/>
              </w:rPr>
            </w:pPr>
          </w:p>
        </w:tc>
        <w:tc>
          <w:tcPr>
            <w:tcW w:w="568" w:type="dxa"/>
            <w:tcBorders>
              <w:top w:val="single" w:sz="12" w:space="0" w:color="000000"/>
            </w:tcBorders>
            <w:shd w:val="clear" w:color="auto" w:fill="auto"/>
            <w:vAlign w:val="bottom"/>
          </w:tcPr>
          <w:p w:rsidR="000B5136" w:rsidRPr="00222917" w:rsidRDefault="000B5136" w:rsidP="00D17669">
            <w:pPr>
              <w:spacing w:before="40" w:after="40" w:line="200" w:lineRule="exact"/>
              <w:jc w:val="right"/>
              <w:rPr>
                <w:sz w:val="16"/>
                <w:szCs w:val="16"/>
                <w:lang w:val="en-US"/>
              </w:rPr>
            </w:pPr>
          </w:p>
        </w:tc>
      </w:tr>
      <w:tr w:rsidR="000B5136" w:rsidRPr="00222917" w:rsidTr="00F662F0">
        <w:tc>
          <w:tcPr>
            <w:tcW w:w="1706" w:type="dxa"/>
            <w:vMerge/>
            <w:shd w:val="clear" w:color="auto" w:fill="auto"/>
            <w:vAlign w:val="bottom"/>
          </w:tcPr>
          <w:p w:rsidR="000B5136" w:rsidRPr="00222917" w:rsidRDefault="000B5136" w:rsidP="00D17669">
            <w:pPr>
              <w:spacing w:before="40" w:after="40" w:line="200" w:lineRule="exact"/>
              <w:rPr>
                <w:sz w:val="16"/>
                <w:szCs w:val="16"/>
                <w:lang w:val="en-US"/>
              </w:rPr>
            </w:pPr>
          </w:p>
        </w:tc>
        <w:tc>
          <w:tcPr>
            <w:tcW w:w="5664" w:type="dxa"/>
            <w:gridSpan w:val="9"/>
            <w:shd w:val="clear" w:color="auto" w:fill="auto"/>
            <w:vAlign w:val="bottom"/>
          </w:tcPr>
          <w:p w:rsidR="000B5136" w:rsidRPr="00222917" w:rsidRDefault="00547908" w:rsidP="00547908">
            <w:pPr>
              <w:spacing w:before="40" w:after="40" w:line="200" w:lineRule="exact"/>
              <w:ind w:left="170" w:hanging="170"/>
              <w:rPr>
                <w:sz w:val="16"/>
                <w:szCs w:val="16"/>
                <w:lang w:val="en-US"/>
              </w:rPr>
            </w:pPr>
            <w:r w:rsidRPr="00222917">
              <w:rPr>
                <w:rFonts w:ascii="Wingdings" w:hAnsi="Wingdings"/>
                <w:sz w:val="16"/>
                <w:szCs w:val="16"/>
                <w:lang w:val="en-US"/>
              </w:rPr>
              <w:t></w:t>
            </w:r>
            <w:r w:rsidRPr="00222917">
              <w:rPr>
                <w:rFonts w:ascii="Wingdings" w:hAnsi="Wingdings"/>
                <w:sz w:val="16"/>
                <w:szCs w:val="16"/>
                <w:lang w:val="en-US"/>
              </w:rPr>
              <w:tab/>
            </w:r>
            <w:r w:rsidR="000B5136" w:rsidRPr="00222917">
              <w:rPr>
                <w:sz w:val="16"/>
                <w:szCs w:val="16"/>
                <w:lang w:val="en-US"/>
              </w:rPr>
              <w:t>Educational system improvement (2004-2006/USD 2.30 million)</w:t>
            </w:r>
          </w:p>
        </w:tc>
      </w:tr>
      <w:tr w:rsidR="000B5136" w:rsidRPr="00222917" w:rsidTr="00F662F0">
        <w:tc>
          <w:tcPr>
            <w:tcW w:w="1706" w:type="dxa"/>
            <w:vMerge/>
            <w:shd w:val="clear" w:color="auto" w:fill="auto"/>
            <w:vAlign w:val="bottom"/>
          </w:tcPr>
          <w:p w:rsidR="000B5136" w:rsidRPr="00222917" w:rsidRDefault="000B5136" w:rsidP="00D17669">
            <w:pPr>
              <w:spacing w:before="40" w:after="40" w:line="200" w:lineRule="exact"/>
              <w:rPr>
                <w:sz w:val="16"/>
                <w:szCs w:val="16"/>
                <w:lang w:val="en-US"/>
              </w:rPr>
            </w:pPr>
          </w:p>
        </w:tc>
        <w:tc>
          <w:tcPr>
            <w:tcW w:w="5664" w:type="dxa"/>
            <w:gridSpan w:val="9"/>
            <w:shd w:val="clear" w:color="auto" w:fill="auto"/>
            <w:vAlign w:val="bottom"/>
          </w:tcPr>
          <w:p w:rsidR="000B5136" w:rsidRPr="00222917" w:rsidRDefault="00547908" w:rsidP="00547908">
            <w:pPr>
              <w:spacing w:before="40" w:after="40" w:line="200" w:lineRule="exact"/>
              <w:ind w:left="170" w:hanging="170"/>
              <w:rPr>
                <w:sz w:val="16"/>
                <w:szCs w:val="16"/>
                <w:lang w:val="en-US"/>
              </w:rPr>
            </w:pPr>
            <w:r w:rsidRPr="00222917">
              <w:rPr>
                <w:rFonts w:ascii="Wingdings" w:hAnsi="Wingdings"/>
                <w:sz w:val="16"/>
                <w:szCs w:val="16"/>
                <w:lang w:val="en-US"/>
              </w:rPr>
              <w:t></w:t>
            </w:r>
            <w:r w:rsidRPr="00222917">
              <w:rPr>
                <w:rFonts w:ascii="Wingdings" w:hAnsi="Wingdings"/>
                <w:sz w:val="16"/>
                <w:szCs w:val="16"/>
                <w:lang w:val="en-US"/>
              </w:rPr>
              <w:tab/>
            </w:r>
            <w:r w:rsidR="000B5136" w:rsidRPr="00222917">
              <w:rPr>
                <w:sz w:val="16"/>
                <w:szCs w:val="16"/>
                <w:lang w:val="en-US"/>
              </w:rPr>
              <w:t>IT vocational training center construction (2004-2006/USD 1.60 million)</w:t>
            </w:r>
          </w:p>
        </w:tc>
      </w:tr>
      <w:tr w:rsidR="000B5136" w:rsidRPr="00222917" w:rsidTr="00F662F0">
        <w:tc>
          <w:tcPr>
            <w:tcW w:w="1706" w:type="dxa"/>
            <w:vMerge/>
            <w:shd w:val="clear" w:color="auto" w:fill="auto"/>
            <w:vAlign w:val="bottom"/>
          </w:tcPr>
          <w:p w:rsidR="000B5136" w:rsidRPr="00222917" w:rsidRDefault="000B5136" w:rsidP="00D17669">
            <w:pPr>
              <w:spacing w:before="40" w:after="40" w:line="200" w:lineRule="exact"/>
              <w:rPr>
                <w:sz w:val="16"/>
                <w:szCs w:val="16"/>
                <w:lang w:val="en-US"/>
              </w:rPr>
            </w:pPr>
          </w:p>
        </w:tc>
        <w:tc>
          <w:tcPr>
            <w:tcW w:w="5664" w:type="dxa"/>
            <w:gridSpan w:val="9"/>
            <w:shd w:val="clear" w:color="auto" w:fill="auto"/>
            <w:vAlign w:val="bottom"/>
          </w:tcPr>
          <w:p w:rsidR="000B5136" w:rsidRPr="00222917" w:rsidRDefault="00547908" w:rsidP="00547908">
            <w:pPr>
              <w:spacing w:before="40" w:after="40" w:line="200" w:lineRule="exact"/>
              <w:ind w:left="170" w:hanging="170"/>
              <w:rPr>
                <w:sz w:val="16"/>
                <w:szCs w:val="16"/>
                <w:lang w:val="en-US"/>
              </w:rPr>
            </w:pPr>
            <w:r w:rsidRPr="00222917">
              <w:rPr>
                <w:rFonts w:ascii="Wingdings" w:hAnsi="Wingdings"/>
                <w:sz w:val="16"/>
                <w:szCs w:val="16"/>
                <w:lang w:val="en-US"/>
              </w:rPr>
              <w:t></w:t>
            </w:r>
            <w:r w:rsidRPr="00222917">
              <w:rPr>
                <w:rFonts w:ascii="Wingdings" w:hAnsi="Wingdings"/>
                <w:sz w:val="16"/>
                <w:szCs w:val="16"/>
                <w:lang w:val="en-US"/>
              </w:rPr>
              <w:tab/>
            </w:r>
            <w:r w:rsidR="000B5136" w:rsidRPr="00222917">
              <w:rPr>
                <w:sz w:val="16"/>
                <w:szCs w:val="16"/>
                <w:lang w:val="en-US"/>
              </w:rPr>
              <w:t>Technical high school establishment in Jenin (2007-2009/USD 2.50 million)</w:t>
            </w:r>
          </w:p>
        </w:tc>
      </w:tr>
      <w:tr w:rsidR="000B5136" w:rsidRPr="00222917" w:rsidTr="00F662F0">
        <w:tc>
          <w:tcPr>
            <w:tcW w:w="1706" w:type="dxa"/>
            <w:vMerge/>
            <w:shd w:val="clear" w:color="auto" w:fill="auto"/>
            <w:vAlign w:val="bottom"/>
          </w:tcPr>
          <w:p w:rsidR="000B5136" w:rsidRPr="00222917" w:rsidRDefault="000B5136" w:rsidP="00D17669">
            <w:pPr>
              <w:spacing w:before="40" w:after="40" w:line="200" w:lineRule="exact"/>
              <w:rPr>
                <w:sz w:val="16"/>
                <w:szCs w:val="16"/>
                <w:lang w:val="en-US"/>
              </w:rPr>
            </w:pPr>
          </w:p>
        </w:tc>
        <w:tc>
          <w:tcPr>
            <w:tcW w:w="5664" w:type="dxa"/>
            <w:gridSpan w:val="9"/>
            <w:shd w:val="clear" w:color="auto" w:fill="auto"/>
            <w:vAlign w:val="bottom"/>
          </w:tcPr>
          <w:p w:rsidR="000B5136" w:rsidRPr="00222917" w:rsidRDefault="00547908" w:rsidP="00547908">
            <w:pPr>
              <w:spacing w:before="40" w:after="40" w:line="200" w:lineRule="exact"/>
              <w:ind w:left="170" w:hanging="170"/>
              <w:rPr>
                <w:sz w:val="16"/>
                <w:szCs w:val="16"/>
                <w:lang w:val="en-US"/>
              </w:rPr>
            </w:pPr>
            <w:r w:rsidRPr="00222917">
              <w:rPr>
                <w:rFonts w:ascii="Wingdings" w:hAnsi="Wingdings"/>
                <w:sz w:val="16"/>
                <w:szCs w:val="16"/>
                <w:lang w:val="en-US"/>
              </w:rPr>
              <w:t></w:t>
            </w:r>
            <w:r w:rsidRPr="00222917">
              <w:rPr>
                <w:rFonts w:ascii="Wingdings" w:hAnsi="Wingdings"/>
                <w:sz w:val="16"/>
                <w:szCs w:val="16"/>
                <w:lang w:val="en-US"/>
              </w:rPr>
              <w:tab/>
            </w:r>
            <w:r w:rsidR="000B5136" w:rsidRPr="00222917">
              <w:rPr>
                <w:sz w:val="16"/>
                <w:szCs w:val="16"/>
                <w:lang w:val="en-US"/>
              </w:rPr>
              <w:t>Economic development research center construction (2008-2009/USD 2.50 million)</w:t>
            </w:r>
          </w:p>
        </w:tc>
      </w:tr>
      <w:tr w:rsidR="000B5136" w:rsidRPr="00222917" w:rsidTr="00F662F0">
        <w:tc>
          <w:tcPr>
            <w:tcW w:w="1706" w:type="dxa"/>
            <w:vMerge/>
            <w:shd w:val="clear" w:color="auto" w:fill="auto"/>
            <w:vAlign w:val="bottom"/>
          </w:tcPr>
          <w:p w:rsidR="000B5136" w:rsidRPr="00222917" w:rsidRDefault="000B5136" w:rsidP="00D17669">
            <w:pPr>
              <w:spacing w:before="40" w:after="40" w:line="200" w:lineRule="exact"/>
              <w:rPr>
                <w:sz w:val="16"/>
                <w:szCs w:val="16"/>
                <w:lang w:val="en-US"/>
              </w:rPr>
            </w:pPr>
          </w:p>
        </w:tc>
        <w:tc>
          <w:tcPr>
            <w:tcW w:w="5664" w:type="dxa"/>
            <w:gridSpan w:val="9"/>
            <w:shd w:val="clear" w:color="auto" w:fill="auto"/>
            <w:vAlign w:val="bottom"/>
          </w:tcPr>
          <w:p w:rsidR="000B5136" w:rsidRPr="00222917" w:rsidRDefault="00547908" w:rsidP="00547908">
            <w:pPr>
              <w:spacing w:before="40" w:after="40" w:line="200" w:lineRule="exact"/>
              <w:ind w:left="170" w:hanging="170"/>
              <w:rPr>
                <w:sz w:val="16"/>
                <w:szCs w:val="16"/>
                <w:lang w:val="en-US"/>
              </w:rPr>
            </w:pPr>
            <w:r w:rsidRPr="00222917">
              <w:rPr>
                <w:rFonts w:ascii="Wingdings" w:hAnsi="Wingdings"/>
                <w:sz w:val="16"/>
                <w:szCs w:val="16"/>
                <w:lang w:val="en-US"/>
              </w:rPr>
              <w:t></w:t>
            </w:r>
            <w:r w:rsidRPr="00222917">
              <w:rPr>
                <w:rFonts w:ascii="Wingdings" w:hAnsi="Wingdings"/>
                <w:sz w:val="16"/>
                <w:szCs w:val="16"/>
                <w:lang w:val="en-US"/>
              </w:rPr>
              <w:tab/>
            </w:r>
            <w:r w:rsidR="000B5136" w:rsidRPr="00222917">
              <w:rPr>
                <w:sz w:val="16"/>
                <w:szCs w:val="16"/>
                <w:lang w:val="en-US"/>
              </w:rPr>
              <w:t xml:space="preserve">Local school and youth center construction in </w:t>
            </w:r>
            <w:smartTag w:uri="urn:schemas-microsoft-com:office:smarttags" w:element="place">
              <w:smartTag w:uri="urn:schemas-microsoft-com:office:smarttags" w:element="City">
                <w:r w:rsidR="000B5136" w:rsidRPr="00222917">
                  <w:rPr>
                    <w:sz w:val="16"/>
                    <w:szCs w:val="16"/>
                    <w:lang w:val="en-US"/>
                  </w:rPr>
                  <w:t>Hebron</w:t>
                </w:r>
              </w:smartTag>
            </w:smartTag>
            <w:r w:rsidR="000B5136" w:rsidRPr="00222917">
              <w:rPr>
                <w:sz w:val="16"/>
                <w:szCs w:val="16"/>
                <w:lang w:val="en-US"/>
              </w:rPr>
              <w:t xml:space="preserve"> (2009-2010/USD 6 million)</w:t>
            </w:r>
          </w:p>
        </w:tc>
      </w:tr>
      <w:tr w:rsidR="000B5136" w:rsidRPr="00222917" w:rsidTr="00F662F0">
        <w:tc>
          <w:tcPr>
            <w:tcW w:w="1706" w:type="dxa"/>
            <w:vMerge/>
            <w:shd w:val="clear" w:color="auto" w:fill="auto"/>
            <w:vAlign w:val="bottom"/>
          </w:tcPr>
          <w:p w:rsidR="000B5136" w:rsidRPr="00222917" w:rsidRDefault="000B5136" w:rsidP="00D17669">
            <w:pPr>
              <w:spacing w:before="40" w:after="40" w:line="200" w:lineRule="exact"/>
              <w:rPr>
                <w:sz w:val="16"/>
                <w:szCs w:val="16"/>
                <w:lang w:val="en-US"/>
              </w:rPr>
            </w:pPr>
          </w:p>
        </w:tc>
        <w:tc>
          <w:tcPr>
            <w:tcW w:w="5664" w:type="dxa"/>
            <w:gridSpan w:val="9"/>
            <w:tcBorders>
              <w:bottom w:val="single" w:sz="4" w:space="0" w:color="000000"/>
            </w:tcBorders>
            <w:shd w:val="clear" w:color="auto" w:fill="auto"/>
            <w:vAlign w:val="bottom"/>
          </w:tcPr>
          <w:p w:rsidR="000B5136" w:rsidRPr="00222917" w:rsidRDefault="00547908" w:rsidP="00547908">
            <w:pPr>
              <w:spacing w:before="40" w:after="40" w:line="200" w:lineRule="exact"/>
              <w:ind w:left="170" w:hanging="170"/>
              <w:rPr>
                <w:sz w:val="16"/>
                <w:szCs w:val="16"/>
                <w:lang w:val="en-US"/>
              </w:rPr>
            </w:pPr>
            <w:r w:rsidRPr="00222917">
              <w:rPr>
                <w:rFonts w:ascii="Wingdings" w:hAnsi="Wingdings"/>
                <w:sz w:val="16"/>
                <w:szCs w:val="16"/>
                <w:lang w:val="en-US"/>
              </w:rPr>
              <w:t></w:t>
            </w:r>
            <w:r w:rsidRPr="00222917">
              <w:rPr>
                <w:rFonts w:ascii="Wingdings" w:hAnsi="Wingdings"/>
                <w:sz w:val="16"/>
                <w:szCs w:val="16"/>
                <w:lang w:val="en-US"/>
              </w:rPr>
              <w:tab/>
            </w:r>
            <w:r w:rsidR="000B5136" w:rsidRPr="00222917">
              <w:rPr>
                <w:sz w:val="16"/>
                <w:szCs w:val="16"/>
                <w:lang w:val="en-US"/>
              </w:rPr>
              <w:t>Basic health and medical service reinforcement in Jenin (2009-1010/USD 3 million)</w:t>
            </w:r>
          </w:p>
        </w:tc>
      </w:tr>
      <w:tr w:rsidR="006E6AC9" w:rsidRPr="00222917" w:rsidTr="00F662F0">
        <w:tc>
          <w:tcPr>
            <w:tcW w:w="1706" w:type="dxa"/>
            <w:vMerge w:val="restart"/>
            <w:shd w:val="clear" w:color="auto" w:fill="auto"/>
            <w:vAlign w:val="center"/>
          </w:tcPr>
          <w:p w:rsidR="006E6AC9" w:rsidRPr="00222917" w:rsidRDefault="006E6AC9" w:rsidP="0014767D">
            <w:pPr>
              <w:spacing w:before="40" w:after="40" w:line="200" w:lineRule="exact"/>
              <w:rPr>
                <w:sz w:val="16"/>
                <w:szCs w:val="16"/>
                <w:lang w:val="en-US"/>
              </w:rPr>
            </w:pPr>
            <w:r w:rsidRPr="00222917">
              <w:rPr>
                <w:bCs/>
                <w:sz w:val="16"/>
                <w:szCs w:val="16"/>
                <w:lang w:val="en-US"/>
              </w:rPr>
              <w:t>Goods in assistance</w:t>
            </w:r>
            <w:r w:rsidRPr="00222917">
              <w:rPr>
                <w:bCs/>
                <w:sz w:val="16"/>
                <w:szCs w:val="16"/>
                <w:lang w:val="en-US"/>
              </w:rPr>
              <w:br/>
              <w:t>(USD 3.16 million in total)</w:t>
            </w:r>
          </w:p>
        </w:tc>
        <w:tc>
          <w:tcPr>
            <w:tcW w:w="1120" w:type="dxa"/>
            <w:tcBorders>
              <w:top w:val="single" w:sz="4" w:space="0" w:color="000000"/>
              <w:bottom w:val="single" w:sz="4" w:space="0" w:color="000000"/>
            </w:tcBorders>
            <w:shd w:val="clear" w:color="auto" w:fill="auto"/>
            <w:vAlign w:val="bottom"/>
          </w:tcPr>
          <w:p w:rsidR="006E6AC9" w:rsidRPr="00222917" w:rsidRDefault="006E6AC9" w:rsidP="00D17669">
            <w:pPr>
              <w:spacing w:before="40" w:after="40" w:line="200" w:lineRule="exact"/>
              <w:rPr>
                <w:i/>
                <w:sz w:val="14"/>
                <w:szCs w:val="14"/>
                <w:lang w:val="en-US"/>
              </w:rPr>
            </w:pPr>
            <w:r w:rsidRPr="00222917">
              <w:rPr>
                <w:i/>
                <w:sz w:val="14"/>
                <w:szCs w:val="14"/>
                <w:lang w:val="en-US"/>
              </w:rPr>
              <w:t>Year</w:t>
            </w:r>
          </w:p>
        </w:tc>
        <w:tc>
          <w:tcPr>
            <w:tcW w:w="568" w:type="dxa"/>
            <w:tcBorders>
              <w:top w:val="single" w:sz="4" w:space="0" w:color="000000"/>
              <w:bottom w:val="single" w:sz="4" w:space="0" w:color="000000"/>
            </w:tcBorders>
            <w:shd w:val="clear" w:color="auto" w:fill="auto"/>
            <w:vAlign w:val="bottom"/>
          </w:tcPr>
          <w:p w:rsidR="006E6AC9" w:rsidRPr="00222917" w:rsidRDefault="006E6AC9" w:rsidP="00D17669">
            <w:pPr>
              <w:spacing w:before="40" w:after="40" w:line="200" w:lineRule="exact"/>
              <w:jc w:val="right"/>
              <w:rPr>
                <w:i/>
                <w:sz w:val="14"/>
                <w:szCs w:val="14"/>
                <w:lang w:val="en-US"/>
              </w:rPr>
            </w:pPr>
            <w:r w:rsidRPr="00222917">
              <w:rPr>
                <w:i/>
                <w:sz w:val="14"/>
                <w:szCs w:val="14"/>
                <w:lang w:val="en-US"/>
              </w:rPr>
              <w:t>2004</w:t>
            </w:r>
          </w:p>
        </w:tc>
        <w:tc>
          <w:tcPr>
            <w:tcW w:w="568" w:type="dxa"/>
            <w:tcBorders>
              <w:top w:val="single" w:sz="4" w:space="0" w:color="000000"/>
              <w:bottom w:val="single" w:sz="4" w:space="0" w:color="000000"/>
            </w:tcBorders>
            <w:shd w:val="clear" w:color="auto" w:fill="auto"/>
            <w:vAlign w:val="bottom"/>
          </w:tcPr>
          <w:p w:rsidR="006E6AC9" w:rsidRPr="00222917" w:rsidRDefault="006E6AC9" w:rsidP="00D17669">
            <w:pPr>
              <w:spacing w:before="40" w:after="40" w:line="200" w:lineRule="exact"/>
              <w:jc w:val="right"/>
              <w:rPr>
                <w:i/>
                <w:sz w:val="14"/>
                <w:szCs w:val="14"/>
                <w:lang w:val="en-US"/>
              </w:rPr>
            </w:pPr>
            <w:r w:rsidRPr="00222917">
              <w:rPr>
                <w:i/>
                <w:sz w:val="14"/>
                <w:szCs w:val="14"/>
                <w:lang w:val="en-US"/>
              </w:rPr>
              <w:t>2005</w:t>
            </w:r>
          </w:p>
        </w:tc>
        <w:tc>
          <w:tcPr>
            <w:tcW w:w="568" w:type="dxa"/>
            <w:tcBorders>
              <w:top w:val="single" w:sz="4" w:space="0" w:color="000000"/>
              <w:bottom w:val="single" w:sz="4" w:space="0" w:color="000000"/>
            </w:tcBorders>
            <w:shd w:val="clear" w:color="auto" w:fill="auto"/>
            <w:vAlign w:val="bottom"/>
          </w:tcPr>
          <w:p w:rsidR="006E6AC9" w:rsidRPr="00222917" w:rsidRDefault="006E6AC9" w:rsidP="00D17669">
            <w:pPr>
              <w:spacing w:before="40" w:after="40" w:line="200" w:lineRule="exact"/>
              <w:jc w:val="right"/>
              <w:rPr>
                <w:i/>
                <w:sz w:val="14"/>
                <w:szCs w:val="14"/>
                <w:lang w:val="en-US"/>
              </w:rPr>
            </w:pPr>
            <w:r w:rsidRPr="00222917">
              <w:rPr>
                <w:i/>
                <w:sz w:val="14"/>
                <w:szCs w:val="14"/>
                <w:lang w:val="en-US"/>
              </w:rPr>
              <w:t>2006</w:t>
            </w:r>
          </w:p>
        </w:tc>
        <w:tc>
          <w:tcPr>
            <w:tcW w:w="568" w:type="dxa"/>
            <w:tcBorders>
              <w:top w:val="single" w:sz="4" w:space="0" w:color="000000"/>
              <w:bottom w:val="single" w:sz="4" w:space="0" w:color="000000"/>
            </w:tcBorders>
            <w:shd w:val="clear" w:color="auto" w:fill="auto"/>
            <w:vAlign w:val="bottom"/>
          </w:tcPr>
          <w:p w:rsidR="006E6AC9" w:rsidRPr="00222917" w:rsidRDefault="006E6AC9" w:rsidP="00D17669">
            <w:pPr>
              <w:spacing w:before="40" w:after="40" w:line="200" w:lineRule="exact"/>
              <w:jc w:val="right"/>
              <w:rPr>
                <w:i/>
                <w:sz w:val="14"/>
                <w:szCs w:val="14"/>
                <w:lang w:val="en-US"/>
              </w:rPr>
            </w:pPr>
            <w:r w:rsidRPr="00222917">
              <w:rPr>
                <w:i/>
                <w:sz w:val="14"/>
                <w:szCs w:val="14"/>
                <w:lang w:val="en-US"/>
              </w:rPr>
              <w:t>2007</w:t>
            </w:r>
          </w:p>
        </w:tc>
        <w:tc>
          <w:tcPr>
            <w:tcW w:w="568" w:type="dxa"/>
            <w:tcBorders>
              <w:top w:val="single" w:sz="4" w:space="0" w:color="000000"/>
              <w:bottom w:val="single" w:sz="4" w:space="0" w:color="000000"/>
            </w:tcBorders>
            <w:shd w:val="clear" w:color="auto" w:fill="auto"/>
            <w:vAlign w:val="bottom"/>
          </w:tcPr>
          <w:p w:rsidR="006E6AC9" w:rsidRPr="00222917" w:rsidRDefault="006E6AC9" w:rsidP="00D17669">
            <w:pPr>
              <w:spacing w:before="40" w:after="40" w:line="200" w:lineRule="exact"/>
              <w:jc w:val="right"/>
              <w:rPr>
                <w:i/>
                <w:sz w:val="14"/>
                <w:szCs w:val="14"/>
                <w:lang w:val="en-US"/>
              </w:rPr>
            </w:pPr>
            <w:r w:rsidRPr="00222917">
              <w:rPr>
                <w:i/>
                <w:sz w:val="14"/>
                <w:szCs w:val="14"/>
                <w:lang w:val="en-US"/>
              </w:rPr>
              <w:t>2008</w:t>
            </w:r>
          </w:p>
        </w:tc>
        <w:tc>
          <w:tcPr>
            <w:tcW w:w="568" w:type="dxa"/>
            <w:tcBorders>
              <w:top w:val="single" w:sz="4" w:space="0" w:color="000000"/>
              <w:bottom w:val="single" w:sz="4" w:space="0" w:color="000000"/>
            </w:tcBorders>
            <w:shd w:val="clear" w:color="auto" w:fill="auto"/>
            <w:vAlign w:val="bottom"/>
          </w:tcPr>
          <w:p w:rsidR="006E6AC9" w:rsidRPr="00222917" w:rsidRDefault="006E6AC9" w:rsidP="00D17669">
            <w:pPr>
              <w:spacing w:before="40" w:after="40" w:line="200" w:lineRule="exact"/>
              <w:jc w:val="right"/>
              <w:rPr>
                <w:i/>
                <w:sz w:val="14"/>
                <w:szCs w:val="14"/>
                <w:lang w:val="en-US"/>
              </w:rPr>
            </w:pPr>
            <w:r w:rsidRPr="00222917">
              <w:rPr>
                <w:i/>
                <w:sz w:val="14"/>
                <w:szCs w:val="14"/>
                <w:lang w:val="en-US"/>
              </w:rPr>
              <w:t>2009</w:t>
            </w:r>
          </w:p>
        </w:tc>
        <w:tc>
          <w:tcPr>
            <w:tcW w:w="568" w:type="dxa"/>
            <w:tcBorders>
              <w:top w:val="single" w:sz="4" w:space="0" w:color="000000"/>
              <w:bottom w:val="single" w:sz="4" w:space="0" w:color="000000"/>
            </w:tcBorders>
            <w:shd w:val="clear" w:color="auto" w:fill="auto"/>
            <w:vAlign w:val="bottom"/>
          </w:tcPr>
          <w:p w:rsidR="006E6AC9" w:rsidRPr="00222917" w:rsidRDefault="006E6AC9" w:rsidP="00D17669">
            <w:pPr>
              <w:spacing w:before="40" w:after="40" w:line="200" w:lineRule="exact"/>
              <w:jc w:val="right"/>
              <w:rPr>
                <w:i/>
                <w:sz w:val="14"/>
                <w:szCs w:val="14"/>
                <w:lang w:val="en-US"/>
              </w:rPr>
            </w:pPr>
            <w:r w:rsidRPr="00222917">
              <w:rPr>
                <w:i/>
                <w:sz w:val="14"/>
                <w:szCs w:val="14"/>
                <w:lang w:val="en-US"/>
              </w:rPr>
              <w:t>2010</w:t>
            </w:r>
          </w:p>
        </w:tc>
        <w:tc>
          <w:tcPr>
            <w:tcW w:w="568" w:type="dxa"/>
            <w:tcBorders>
              <w:top w:val="single" w:sz="4" w:space="0" w:color="000000"/>
              <w:bottom w:val="single" w:sz="4" w:space="0" w:color="000000"/>
            </w:tcBorders>
            <w:shd w:val="clear" w:color="auto" w:fill="auto"/>
            <w:vAlign w:val="bottom"/>
          </w:tcPr>
          <w:p w:rsidR="006E6AC9" w:rsidRPr="00222917" w:rsidRDefault="006E6AC9" w:rsidP="00D17669">
            <w:pPr>
              <w:spacing w:before="40" w:after="40" w:line="200" w:lineRule="exact"/>
              <w:jc w:val="right"/>
              <w:rPr>
                <w:b/>
                <w:i/>
                <w:sz w:val="14"/>
                <w:szCs w:val="14"/>
                <w:lang w:val="en-US"/>
              </w:rPr>
            </w:pPr>
            <w:r w:rsidRPr="00222917">
              <w:rPr>
                <w:b/>
                <w:i/>
                <w:sz w:val="14"/>
                <w:szCs w:val="14"/>
                <w:lang w:val="en-US"/>
              </w:rPr>
              <w:t>Total</w:t>
            </w:r>
          </w:p>
        </w:tc>
      </w:tr>
      <w:tr w:rsidR="006E6AC9" w:rsidRPr="00222917" w:rsidTr="00F662F0">
        <w:tc>
          <w:tcPr>
            <w:tcW w:w="1706" w:type="dxa"/>
            <w:vMerge/>
            <w:shd w:val="clear" w:color="auto" w:fill="auto"/>
            <w:vAlign w:val="bottom"/>
          </w:tcPr>
          <w:p w:rsidR="006E6AC9" w:rsidRPr="00222917" w:rsidRDefault="006E6AC9" w:rsidP="00D17669">
            <w:pPr>
              <w:spacing w:before="40" w:after="40" w:line="200" w:lineRule="exact"/>
              <w:rPr>
                <w:sz w:val="16"/>
                <w:szCs w:val="16"/>
                <w:lang w:val="en-US"/>
              </w:rPr>
            </w:pPr>
          </w:p>
        </w:tc>
        <w:tc>
          <w:tcPr>
            <w:tcW w:w="1120" w:type="dxa"/>
            <w:tcBorders>
              <w:top w:val="single" w:sz="4" w:space="0" w:color="000000"/>
              <w:bottom w:val="single" w:sz="4" w:space="0" w:color="000000"/>
            </w:tcBorders>
            <w:shd w:val="clear" w:color="auto" w:fill="auto"/>
            <w:vAlign w:val="bottom"/>
          </w:tcPr>
          <w:p w:rsidR="006E6AC9" w:rsidRPr="00222917" w:rsidRDefault="006E6AC9" w:rsidP="00D17669">
            <w:pPr>
              <w:spacing w:before="40" w:after="40" w:line="200" w:lineRule="exact"/>
              <w:rPr>
                <w:sz w:val="16"/>
                <w:szCs w:val="16"/>
                <w:lang w:val="en-US"/>
              </w:rPr>
            </w:pPr>
            <w:r w:rsidRPr="00222917">
              <w:rPr>
                <w:sz w:val="16"/>
                <w:szCs w:val="16"/>
                <w:lang w:val="en-US"/>
              </w:rPr>
              <w:t>Amount</w:t>
            </w:r>
          </w:p>
        </w:tc>
        <w:tc>
          <w:tcPr>
            <w:tcW w:w="568" w:type="dxa"/>
            <w:tcBorders>
              <w:top w:val="single" w:sz="4" w:space="0" w:color="000000"/>
              <w:bottom w:val="single" w:sz="4" w:space="0" w:color="000000"/>
            </w:tcBorders>
            <w:shd w:val="clear" w:color="auto" w:fill="auto"/>
            <w:vAlign w:val="bottom"/>
          </w:tcPr>
          <w:p w:rsidR="006E6AC9" w:rsidRPr="00222917" w:rsidRDefault="006E6AC9" w:rsidP="00D17669">
            <w:pPr>
              <w:spacing w:before="40" w:after="40" w:line="200" w:lineRule="exact"/>
              <w:jc w:val="right"/>
              <w:rPr>
                <w:sz w:val="16"/>
                <w:szCs w:val="16"/>
                <w:lang w:val="en-US"/>
              </w:rPr>
            </w:pPr>
            <w:r w:rsidRPr="00222917">
              <w:rPr>
                <w:sz w:val="16"/>
                <w:szCs w:val="16"/>
                <w:lang w:val="en-US"/>
              </w:rPr>
              <w:t>130</w:t>
            </w:r>
          </w:p>
        </w:tc>
        <w:tc>
          <w:tcPr>
            <w:tcW w:w="568" w:type="dxa"/>
            <w:tcBorders>
              <w:top w:val="single" w:sz="4" w:space="0" w:color="000000"/>
              <w:bottom w:val="single" w:sz="4" w:space="0" w:color="000000"/>
            </w:tcBorders>
            <w:shd w:val="clear" w:color="auto" w:fill="auto"/>
            <w:vAlign w:val="bottom"/>
          </w:tcPr>
          <w:p w:rsidR="006E6AC9" w:rsidRPr="00222917" w:rsidRDefault="006E6AC9" w:rsidP="00D17669">
            <w:pPr>
              <w:spacing w:before="40" w:after="40" w:line="200" w:lineRule="exact"/>
              <w:jc w:val="right"/>
              <w:rPr>
                <w:sz w:val="16"/>
                <w:szCs w:val="16"/>
                <w:lang w:val="en-US"/>
              </w:rPr>
            </w:pPr>
            <w:r w:rsidRPr="00222917">
              <w:rPr>
                <w:sz w:val="16"/>
                <w:szCs w:val="16"/>
                <w:lang w:val="en-US"/>
              </w:rPr>
              <w:t>86</w:t>
            </w:r>
          </w:p>
        </w:tc>
        <w:tc>
          <w:tcPr>
            <w:tcW w:w="568" w:type="dxa"/>
            <w:tcBorders>
              <w:top w:val="single" w:sz="4" w:space="0" w:color="000000"/>
              <w:bottom w:val="single" w:sz="4" w:space="0" w:color="000000"/>
            </w:tcBorders>
            <w:shd w:val="clear" w:color="auto" w:fill="auto"/>
            <w:vAlign w:val="bottom"/>
          </w:tcPr>
          <w:p w:rsidR="006E6AC9" w:rsidRPr="00222917" w:rsidRDefault="006E6AC9" w:rsidP="00D17669">
            <w:pPr>
              <w:spacing w:before="40" w:after="40" w:line="200" w:lineRule="exact"/>
              <w:jc w:val="right"/>
              <w:rPr>
                <w:sz w:val="16"/>
                <w:szCs w:val="16"/>
                <w:lang w:val="en-US"/>
              </w:rPr>
            </w:pPr>
            <w:r w:rsidRPr="00222917">
              <w:rPr>
                <w:sz w:val="16"/>
                <w:szCs w:val="16"/>
                <w:lang w:val="en-US"/>
              </w:rPr>
              <w:t>52</w:t>
            </w:r>
          </w:p>
        </w:tc>
        <w:tc>
          <w:tcPr>
            <w:tcW w:w="568" w:type="dxa"/>
            <w:tcBorders>
              <w:top w:val="single" w:sz="4" w:space="0" w:color="000000"/>
              <w:bottom w:val="single" w:sz="4" w:space="0" w:color="000000"/>
            </w:tcBorders>
            <w:shd w:val="clear" w:color="auto" w:fill="auto"/>
            <w:vAlign w:val="bottom"/>
          </w:tcPr>
          <w:p w:rsidR="006E6AC9" w:rsidRPr="00222917" w:rsidRDefault="006E6AC9" w:rsidP="00D17669">
            <w:pPr>
              <w:spacing w:before="40" w:after="40" w:line="200" w:lineRule="exact"/>
              <w:jc w:val="right"/>
              <w:rPr>
                <w:sz w:val="16"/>
                <w:szCs w:val="16"/>
                <w:lang w:val="en-US"/>
              </w:rPr>
            </w:pPr>
            <w:r w:rsidRPr="00222917">
              <w:rPr>
                <w:sz w:val="16"/>
                <w:szCs w:val="16"/>
                <w:lang w:val="en-US"/>
              </w:rPr>
              <w:t>-</w:t>
            </w:r>
          </w:p>
        </w:tc>
        <w:tc>
          <w:tcPr>
            <w:tcW w:w="568" w:type="dxa"/>
            <w:tcBorders>
              <w:top w:val="single" w:sz="4" w:space="0" w:color="000000"/>
              <w:bottom w:val="single" w:sz="4" w:space="0" w:color="000000"/>
            </w:tcBorders>
            <w:shd w:val="clear" w:color="auto" w:fill="auto"/>
            <w:vAlign w:val="bottom"/>
          </w:tcPr>
          <w:p w:rsidR="006E6AC9" w:rsidRPr="00222917" w:rsidRDefault="006E6AC9" w:rsidP="00D17669">
            <w:pPr>
              <w:spacing w:before="40" w:after="40" w:line="200" w:lineRule="exact"/>
              <w:jc w:val="right"/>
              <w:rPr>
                <w:sz w:val="16"/>
                <w:szCs w:val="16"/>
                <w:lang w:val="en-US"/>
              </w:rPr>
            </w:pPr>
            <w:r w:rsidRPr="00222917">
              <w:rPr>
                <w:sz w:val="16"/>
                <w:szCs w:val="16"/>
                <w:lang w:val="en-US"/>
              </w:rPr>
              <w:t>48</w:t>
            </w:r>
          </w:p>
        </w:tc>
        <w:tc>
          <w:tcPr>
            <w:tcW w:w="568" w:type="dxa"/>
            <w:tcBorders>
              <w:top w:val="single" w:sz="4" w:space="0" w:color="000000"/>
              <w:bottom w:val="single" w:sz="4" w:space="0" w:color="000000"/>
            </w:tcBorders>
            <w:shd w:val="clear" w:color="auto" w:fill="auto"/>
            <w:vAlign w:val="bottom"/>
          </w:tcPr>
          <w:p w:rsidR="006E6AC9" w:rsidRPr="00222917" w:rsidRDefault="006E6AC9" w:rsidP="00D17669">
            <w:pPr>
              <w:spacing w:before="40" w:after="40" w:line="200" w:lineRule="exact"/>
              <w:jc w:val="right"/>
              <w:rPr>
                <w:sz w:val="16"/>
                <w:szCs w:val="16"/>
                <w:lang w:val="en-US"/>
              </w:rPr>
            </w:pPr>
            <w:r w:rsidRPr="00222917">
              <w:rPr>
                <w:sz w:val="16"/>
                <w:szCs w:val="16"/>
                <w:lang w:val="en-US"/>
              </w:rPr>
              <w:t>-</w:t>
            </w:r>
          </w:p>
        </w:tc>
        <w:tc>
          <w:tcPr>
            <w:tcW w:w="568" w:type="dxa"/>
            <w:tcBorders>
              <w:top w:val="single" w:sz="4" w:space="0" w:color="000000"/>
              <w:bottom w:val="single" w:sz="4" w:space="0" w:color="000000"/>
            </w:tcBorders>
            <w:shd w:val="clear" w:color="auto" w:fill="auto"/>
            <w:vAlign w:val="bottom"/>
          </w:tcPr>
          <w:p w:rsidR="006E6AC9" w:rsidRPr="00222917" w:rsidRDefault="006E6AC9" w:rsidP="00D17669">
            <w:pPr>
              <w:spacing w:before="40" w:after="40" w:line="200" w:lineRule="exact"/>
              <w:jc w:val="right"/>
              <w:rPr>
                <w:sz w:val="16"/>
                <w:szCs w:val="16"/>
                <w:lang w:val="en-US"/>
              </w:rPr>
            </w:pPr>
            <w:r w:rsidRPr="00222917">
              <w:rPr>
                <w:sz w:val="16"/>
                <w:szCs w:val="16"/>
                <w:lang w:val="en-US"/>
              </w:rPr>
              <w:t>-</w:t>
            </w:r>
          </w:p>
        </w:tc>
        <w:tc>
          <w:tcPr>
            <w:tcW w:w="568" w:type="dxa"/>
            <w:tcBorders>
              <w:top w:val="single" w:sz="4" w:space="0" w:color="000000"/>
              <w:bottom w:val="single" w:sz="4" w:space="0" w:color="000000"/>
            </w:tcBorders>
            <w:shd w:val="clear" w:color="auto" w:fill="auto"/>
            <w:vAlign w:val="bottom"/>
          </w:tcPr>
          <w:p w:rsidR="006E6AC9" w:rsidRPr="00222917" w:rsidRDefault="006E6AC9" w:rsidP="00D17669">
            <w:pPr>
              <w:spacing w:before="40" w:after="40" w:line="200" w:lineRule="exact"/>
              <w:jc w:val="right"/>
              <w:rPr>
                <w:b/>
                <w:sz w:val="16"/>
                <w:szCs w:val="16"/>
                <w:lang w:val="en-US"/>
              </w:rPr>
            </w:pPr>
            <w:r w:rsidRPr="00222917">
              <w:rPr>
                <w:b/>
                <w:sz w:val="16"/>
                <w:szCs w:val="16"/>
                <w:lang w:val="en-US"/>
              </w:rPr>
              <w:t>316</w:t>
            </w:r>
          </w:p>
        </w:tc>
      </w:tr>
      <w:tr w:rsidR="006E6AC9" w:rsidRPr="00222917" w:rsidTr="00F662F0">
        <w:tc>
          <w:tcPr>
            <w:tcW w:w="1706" w:type="dxa"/>
            <w:vMerge w:val="restart"/>
            <w:shd w:val="clear" w:color="auto" w:fill="auto"/>
            <w:vAlign w:val="center"/>
          </w:tcPr>
          <w:p w:rsidR="006E6AC9" w:rsidRPr="00222917" w:rsidRDefault="006E6AC9" w:rsidP="00D17669">
            <w:pPr>
              <w:spacing w:before="40" w:after="40" w:line="200" w:lineRule="exact"/>
              <w:rPr>
                <w:sz w:val="16"/>
                <w:szCs w:val="16"/>
                <w:lang w:val="en-US"/>
              </w:rPr>
            </w:pPr>
            <w:r w:rsidRPr="00222917">
              <w:rPr>
                <w:bCs/>
                <w:sz w:val="16"/>
                <w:szCs w:val="16"/>
                <w:lang w:val="en-US"/>
              </w:rPr>
              <w:t>Invitations for training in </w:t>
            </w:r>
            <w:smartTag w:uri="urn:schemas-microsoft-com:office:smarttags" w:element="place">
              <w:smartTag w:uri="urn:schemas-microsoft-com:office:smarttags" w:element="country-region">
                <w:r w:rsidRPr="00222917">
                  <w:rPr>
                    <w:bCs/>
                    <w:sz w:val="16"/>
                    <w:szCs w:val="16"/>
                    <w:lang w:val="en-US"/>
                  </w:rPr>
                  <w:t>Korea</w:t>
                </w:r>
              </w:smartTag>
            </w:smartTag>
            <w:r w:rsidRPr="00222917">
              <w:rPr>
                <w:bCs/>
                <w:sz w:val="16"/>
                <w:szCs w:val="16"/>
                <w:lang w:val="en-US"/>
              </w:rPr>
              <w:t xml:space="preserve"> (225 persons in</w:t>
            </w:r>
            <w:r w:rsidR="00DB4F65" w:rsidRPr="00222917">
              <w:rPr>
                <w:bCs/>
                <w:sz w:val="16"/>
                <w:szCs w:val="16"/>
                <w:lang w:val="en-US"/>
              </w:rPr>
              <w:t> </w:t>
            </w:r>
            <w:r w:rsidRPr="00222917">
              <w:rPr>
                <w:bCs/>
                <w:sz w:val="16"/>
                <w:szCs w:val="16"/>
                <w:lang w:val="en-US"/>
              </w:rPr>
              <w:t>total)</w:t>
            </w:r>
          </w:p>
        </w:tc>
        <w:tc>
          <w:tcPr>
            <w:tcW w:w="1120" w:type="dxa"/>
            <w:tcBorders>
              <w:top w:val="single" w:sz="4" w:space="0" w:color="000000"/>
              <w:bottom w:val="single" w:sz="4" w:space="0" w:color="000000"/>
            </w:tcBorders>
            <w:shd w:val="clear" w:color="auto" w:fill="auto"/>
            <w:vAlign w:val="bottom"/>
          </w:tcPr>
          <w:p w:rsidR="006E6AC9" w:rsidRPr="00222917" w:rsidRDefault="006E6AC9" w:rsidP="00D17669">
            <w:pPr>
              <w:spacing w:before="40" w:after="40" w:line="200" w:lineRule="exact"/>
              <w:rPr>
                <w:i/>
                <w:sz w:val="14"/>
                <w:szCs w:val="14"/>
                <w:lang w:val="en-US"/>
              </w:rPr>
            </w:pPr>
            <w:r w:rsidRPr="00222917">
              <w:rPr>
                <w:i/>
                <w:sz w:val="14"/>
                <w:szCs w:val="14"/>
                <w:lang w:val="en-US"/>
              </w:rPr>
              <w:t>Year</w:t>
            </w:r>
          </w:p>
        </w:tc>
        <w:tc>
          <w:tcPr>
            <w:tcW w:w="568" w:type="dxa"/>
            <w:tcBorders>
              <w:top w:val="single" w:sz="4" w:space="0" w:color="000000"/>
              <w:bottom w:val="single" w:sz="4" w:space="0" w:color="000000"/>
            </w:tcBorders>
            <w:shd w:val="clear" w:color="auto" w:fill="auto"/>
            <w:vAlign w:val="bottom"/>
          </w:tcPr>
          <w:p w:rsidR="006E6AC9" w:rsidRPr="00222917" w:rsidRDefault="006E6AC9" w:rsidP="00D17669">
            <w:pPr>
              <w:spacing w:before="40" w:after="40" w:line="200" w:lineRule="exact"/>
              <w:jc w:val="right"/>
              <w:rPr>
                <w:i/>
                <w:sz w:val="14"/>
                <w:szCs w:val="14"/>
                <w:lang w:val="en-US"/>
              </w:rPr>
            </w:pPr>
            <w:r w:rsidRPr="00222917">
              <w:rPr>
                <w:i/>
                <w:sz w:val="14"/>
                <w:szCs w:val="14"/>
                <w:lang w:val="en-US"/>
              </w:rPr>
              <w:t>2004</w:t>
            </w:r>
          </w:p>
        </w:tc>
        <w:tc>
          <w:tcPr>
            <w:tcW w:w="568" w:type="dxa"/>
            <w:tcBorders>
              <w:top w:val="single" w:sz="4" w:space="0" w:color="000000"/>
              <w:bottom w:val="single" w:sz="4" w:space="0" w:color="000000"/>
            </w:tcBorders>
            <w:shd w:val="clear" w:color="auto" w:fill="auto"/>
            <w:vAlign w:val="bottom"/>
          </w:tcPr>
          <w:p w:rsidR="006E6AC9" w:rsidRPr="00222917" w:rsidRDefault="006E6AC9" w:rsidP="00D17669">
            <w:pPr>
              <w:spacing w:before="40" w:after="40" w:line="200" w:lineRule="exact"/>
              <w:jc w:val="right"/>
              <w:rPr>
                <w:i/>
                <w:sz w:val="14"/>
                <w:szCs w:val="14"/>
                <w:lang w:val="en-US"/>
              </w:rPr>
            </w:pPr>
            <w:r w:rsidRPr="00222917">
              <w:rPr>
                <w:i/>
                <w:sz w:val="14"/>
                <w:szCs w:val="14"/>
                <w:lang w:val="en-US"/>
              </w:rPr>
              <w:t>2005</w:t>
            </w:r>
          </w:p>
        </w:tc>
        <w:tc>
          <w:tcPr>
            <w:tcW w:w="568" w:type="dxa"/>
            <w:tcBorders>
              <w:top w:val="single" w:sz="4" w:space="0" w:color="000000"/>
              <w:bottom w:val="single" w:sz="4" w:space="0" w:color="000000"/>
            </w:tcBorders>
            <w:shd w:val="clear" w:color="auto" w:fill="auto"/>
            <w:vAlign w:val="bottom"/>
          </w:tcPr>
          <w:p w:rsidR="006E6AC9" w:rsidRPr="00222917" w:rsidRDefault="006E6AC9" w:rsidP="00D17669">
            <w:pPr>
              <w:spacing w:before="40" w:after="40" w:line="200" w:lineRule="exact"/>
              <w:jc w:val="right"/>
              <w:rPr>
                <w:i/>
                <w:sz w:val="14"/>
                <w:szCs w:val="14"/>
                <w:lang w:val="en-US"/>
              </w:rPr>
            </w:pPr>
            <w:r w:rsidRPr="00222917">
              <w:rPr>
                <w:i/>
                <w:sz w:val="14"/>
                <w:szCs w:val="14"/>
                <w:lang w:val="en-US"/>
              </w:rPr>
              <w:t>2006</w:t>
            </w:r>
          </w:p>
        </w:tc>
        <w:tc>
          <w:tcPr>
            <w:tcW w:w="568" w:type="dxa"/>
            <w:tcBorders>
              <w:top w:val="single" w:sz="4" w:space="0" w:color="000000"/>
              <w:bottom w:val="single" w:sz="4" w:space="0" w:color="000000"/>
            </w:tcBorders>
            <w:shd w:val="clear" w:color="auto" w:fill="auto"/>
            <w:vAlign w:val="bottom"/>
          </w:tcPr>
          <w:p w:rsidR="006E6AC9" w:rsidRPr="00222917" w:rsidRDefault="006E6AC9" w:rsidP="00D17669">
            <w:pPr>
              <w:spacing w:before="40" w:after="40" w:line="200" w:lineRule="exact"/>
              <w:jc w:val="right"/>
              <w:rPr>
                <w:i/>
                <w:sz w:val="14"/>
                <w:szCs w:val="14"/>
                <w:lang w:val="en-US"/>
              </w:rPr>
            </w:pPr>
            <w:r w:rsidRPr="00222917">
              <w:rPr>
                <w:i/>
                <w:sz w:val="14"/>
                <w:szCs w:val="14"/>
                <w:lang w:val="en-US"/>
              </w:rPr>
              <w:t>2007</w:t>
            </w:r>
          </w:p>
        </w:tc>
        <w:tc>
          <w:tcPr>
            <w:tcW w:w="568" w:type="dxa"/>
            <w:tcBorders>
              <w:top w:val="single" w:sz="4" w:space="0" w:color="000000"/>
              <w:bottom w:val="single" w:sz="4" w:space="0" w:color="000000"/>
            </w:tcBorders>
            <w:shd w:val="clear" w:color="auto" w:fill="auto"/>
            <w:vAlign w:val="bottom"/>
          </w:tcPr>
          <w:p w:rsidR="006E6AC9" w:rsidRPr="00222917" w:rsidRDefault="006E6AC9" w:rsidP="00D17669">
            <w:pPr>
              <w:spacing w:before="40" w:after="40" w:line="200" w:lineRule="exact"/>
              <w:jc w:val="right"/>
              <w:rPr>
                <w:i/>
                <w:sz w:val="14"/>
                <w:szCs w:val="14"/>
                <w:lang w:val="en-US"/>
              </w:rPr>
            </w:pPr>
            <w:r w:rsidRPr="00222917">
              <w:rPr>
                <w:i/>
                <w:sz w:val="14"/>
                <w:szCs w:val="14"/>
                <w:lang w:val="en-US"/>
              </w:rPr>
              <w:t>2008</w:t>
            </w:r>
          </w:p>
        </w:tc>
        <w:tc>
          <w:tcPr>
            <w:tcW w:w="568" w:type="dxa"/>
            <w:tcBorders>
              <w:top w:val="single" w:sz="4" w:space="0" w:color="000000"/>
              <w:bottom w:val="single" w:sz="4" w:space="0" w:color="000000"/>
            </w:tcBorders>
            <w:shd w:val="clear" w:color="auto" w:fill="auto"/>
            <w:vAlign w:val="bottom"/>
          </w:tcPr>
          <w:p w:rsidR="006E6AC9" w:rsidRPr="00222917" w:rsidRDefault="006E6AC9" w:rsidP="00D17669">
            <w:pPr>
              <w:spacing w:before="40" w:after="40" w:line="200" w:lineRule="exact"/>
              <w:jc w:val="right"/>
              <w:rPr>
                <w:i/>
                <w:sz w:val="14"/>
                <w:szCs w:val="14"/>
                <w:lang w:val="en-US"/>
              </w:rPr>
            </w:pPr>
            <w:r w:rsidRPr="00222917">
              <w:rPr>
                <w:i/>
                <w:sz w:val="14"/>
                <w:szCs w:val="14"/>
                <w:lang w:val="en-US"/>
              </w:rPr>
              <w:t>2009</w:t>
            </w:r>
          </w:p>
        </w:tc>
        <w:tc>
          <w:tcPr>
            <w:tcW w:w="568" w:type="dxa"/>
            <w:tcBorders>
              <w:top w:val="single" w:sz="4" w:space="0" w:color="000000"/>
              <w:bottom w:val="single" w:sz="4" w:space="0" w:color="000000"/>
            </w:tcBorders>
            <w:shd w:val="clear" w:color="auto" w:fill="auto"/>
            <w:vAlign w:val="bottom"/>
          </w:tcPr>
          <w:p w:rsidR="006E6AC9" w:rsidRPr="00222917" w:rsidRDefault="006E6AC9" w:rsidP="00D17669">
            <w:pPr>
              <w:spacing w:before="40" w:after="40" w:line="200" w:lineRule="exact"/>
              <w:jc w:val="right"/>
              <w:rPr>
                <w:i/>
                <w:sz w:val="14"/>
                <w:szCs w:val="14"/>
                <w:lang w:val="en-US"/>
              </w:rPr>
            </w:pPr>
            <w:r w:rsidRPr="00222917">
              <w:rPr>
                <w:i/>
                <w:sz w:val="14"/>
                <w:szCs w:val="14"/>
                <w:lang w:val="en-US"/>
              </w:rPr>
              <w:t>2010</w:t>
            </w:r>
          </w:p>
        </w:tc>
        <w:tc>
          <w:tcPr>
            <w:tcW w:w="568" w:type="dxa"/>
            <w:tcBorders>
              <w:top w:val="single" w:sz="4" w:space="0" w:color="000000"/>
              <w:bottom w:val="single" w:sz="4" w:space="0" w:color="000000"/>
            </w:tcBorders>
            <w:shd w:val="clear" w:color="auto" w:fill="auto"/>
            <w:vAlign w:val="bottom"/>
          </w:tcPr>
          <w:p w:rsidR="006E6AC9" w:rsidRPr="00222917" w:rsidRDefault="006E6AC9" w:rsidP="00D17669">
            <w:pPr>
              <w:spacing w:before="40" w:after="40" w:line="200" w:lineRule="exact"/>
              <w:jc w:val="right"/>
              <w:rPr>
                <w:b/>
                <w:i/>
                <w:sz w:val="14"/>
                <w:szCs w:val="14"/>
                <w:lang w:val="en-US"/>
              </w:rPr>
            </w:pPr>
            <w:r w:rsidRPr="00222917">
              <w:rPr>
                <w:b/>
                <w:i/>
                <w:sz w:val="14"/>
                <w:szCs w:val="14"/>
                <w:lang w:val="en-US"/>
              </w:rPr>
              <w:t>Total</w:t>
            </w:r>
          </w:p>
        </w:tc>
      </w:tr>
      <w:tr w:rsidR="006E6AC9" w:rsidRPr="00222917" w:rsidTr="00F662F0">
        <w:tc>
          <w:tcPr>
            <w:tcW w:w="1706" w:type="dxa"/>
            <w:vMerge/>
            <w:tcBorders>
              <w:bottom w:val="single" w:sz="12" w:space="0" w:color="000000"/>
            </w:tcBorders>
            <w:shd w:val="clear" w:color="auto" w:fill="auto"/>
            <w:vAlign w:val="bottom"/>
          </w:tcPr>
          <w:p w:rsidR="006E6AC9" w:rsidRPr="00222917" w:rsidRDefault="006E6AC9" w:rsidP="00D17669">
            <w:pPr>
              <w:spacing w:before="40" w:after="40" w:line="200" w:lineRule="exact"/>
              <w:rPr>
                <w:sz w:val="16"/>
                <w:szCs w:val="16"/>
                <w:lang w:val="en-US"/>
              </w:rPr>
            </w:pPr>
          </w:p>
        </w:tc>
        <w:tc>
          <w:tcPr>
            <w:tcW w:w="1120" w:type="dxa"/>
            <w:tcBorders>
              <w:top w:val="single" w:sz="4" w:space="0" w:color="000000"/>
              <w:bottom w:val="single" w:sz="12" w:space="0" w:color="000000"/>
            </w:tcBorders>
            <w:shd w:val="clear" w:color="auto" w:fill="auto"/>
            <w:vAlign w:val="bottom"/>
          </w:tcPr>
          <w:p w:rsidR="006E6AC9" w:rsidRPr="00222917" w:rsidRDefault="00513E45" w:rsidP="00D17669">
            <w:pPr>
              <w:spacing w:before="40" w:after="40" w:line="200" w:lineRule="exact"/>
              <w:rPr>
                <w:sz w:val="16"/>
                <w:szCs w:val="16"/>
                <w:lang w:val="en-US"/>
              </w:rPr>
            </w:pPr>
            <w:r w:rsidRPr="00222917">
              <w:rPr>
                <w:sz w:val="16"/>
                <w:szCs w:val="16"/>
                <w:lang w:val="en-US"/>
              </w:rPr>
              <w:t>Number of </w:t>
            </w:r>
            <w:r w:rsidR="006E6AC9" w:rsidRPr="00222917">
              <w:rPr>
                <w:sz w:val="16"/>
                <w:szCs w:val="16"/>
                <w:lang w:val="en-US"/>
              </w:rPr>
              <w:t>persons</w:t>
            </w:r>
          </w:p>
        </w:tc>
        <w:tc>
          <w:tcPr>
            <w:tcW w:w="568" w:type="dxa"/>
            <w:tcBorders>
              <w:top w:val="single" w:sz="4" w:space="0" w:color="000000"/>
              <w:bottom w:val="single" w:sz="12" w:space="0" w:color="000000"/>
            </w:tcBorders>
            <w:shd w:val="clear" w:color="auto" w:fill="auto"/>
            <w:vAlign w:val="bottom"/>
          </w:tcPr>
          <w:p w:rsidR="006E6AC9" w:rsidRPr="00222917" w:rsidRDefault="006E6AC9" w:rsidP="00D17669">
            <w:pPr>
              <w:spacing w:before="40" w:after="40" w:line="200" w:lineRule="exact"/>
              <w:jc w:val="right"/>
              <w:rPr>
                <w:sz w:val="16"/>
                <w:szCs w:val="16"/>
                <w:lang w:val="en-US"/>
              </w:rPr>
            </w:pPr>
            <w:r w:rsidRPr="00222917">
              <w:rPr>
                <w:sz w:val="16"/>
                <w:szCs w:val="16"/>
                <w:lang w:val="en-US"/>
              </w:rPr>
              <w:t>1</w:t>
            </w:r>
          </w:p>
        </w:tc>
        <w:tc>
          <w:tcPr>
            <w:tcW w:w="568" w:type="dxa"/>
            <w:tcBorders>
              <w:top w:val="single" w:sz="4" w:space="0" w:color="000000"/>
              <w:bottom w:val="single" w:sz="12" w:space="0" w:color="000000"/>
            </w:tcBorders>
            <w:shd w:val="clear" w:color="auto" w:fill="auto"/>
            <w:vAlign w:val="bottom"/>
          </w:tcPr>
          <w:p w:rsidR="006E6AC9" w:rsidRPr="00222917" w:rsidRDefault="006E6AC9" w:rsidP="00D17669">
            <w:pPr>
              <w:spacing w:before="40" w:after="40" w:line="200" w:lineRule="exact"/>
              <w:jc w:val="right"/>
              <w:rPr>
                <w:sz w:val="16"/>
                <w:szCs w:val="16"/>
                <w:lang w:val="en-US"/>
              </w:rPr>
            </w:pPr>
            <w:r w:rsidRPr="00222917">
              <w:rPr>
                <w:sz w:val="16"/>
                <w:szCs w:val="16"/>
                <w:lang w:val="en-US"/>
              </w:rPr>
              <w:t>23</w:t>
            </w:r>
          </w:p>
        </w:tc>
        <w:tc>
          <w:tcPr>
            <w:tcW w:w="568" w:type="dxa"/>
            <w:tcBorders>
              <w:top w:val="single" w:sz="4" w:space="0" w:color="000000"/>
              <w:bottom w:val="single" w:sz="12" w:space="0" w:color="000000"/>
            </w:tcBorders>
            <w:shd w:val="clear" w:color="auto" w:fill="auto"/>
            <w:vAlign w:val="bottom"/>
          </w:tcPr>
          <w:p w:rsidR="006E6AC9" w:rsidRPr="00222917" w:rsidRDefault="006E6AC9" w:rsidP="00D17669">
            <w:pPr>
              <w:spacing w:before="40" w:after="40" w:line="200" w:lineRule="exact"/>
              <w:jc w:val="right"/>
              <w:rPr>
                <w:sz w:val="16"/>
                <w:szCs w:val="16"/>
                <w:lang w:val="en-US"/>
              </w:rPr>
            </w:pPr>
            <w:r w:rsidRPr="00222917">
              <w:rPr>
                <w:sz w:val="16"/>
                <w:szCs w:val="16"/>
                <w:lang w:val="en-US"/>
              </w:rPr>
              <w:t>2</w:t>
            </w:r>
          </w:p>
        </w:tc>
        <w:tc>
          <w:tcPr>
            <w:tcW w:w="568" w:type="dxa"/>
            <w:tcBorders>
              <w:top w:val="single" w:sz="4" w:space="0" w:color="000000"/>
              <w:bottom w:val="single" w:sz="12" w:space="0" w:color="000000"/>
            </w:tcBorders>
            <w:shd w:val="clear" w:color="auto" w:fill="auto"/>
            <w:vAlign w:val="bottom"/>
          </w:tcPr>
          <w:p w:rsidR="006E6AC9" w:rsidRPr="00222917" w:rsidRDefault="006E6AC9" w:rsidP="00D17669">
            <w:pPr>
              <w:spacing w:before="40" w:after="40" w:line="200" w:lineRule="exact"/>
              <w:jc w:val="right"/>
              <w:rPr>
                <w:sz w:val="16"/>
                <w:szCs w:val="16"/>
                <w:lang w:val="en-US"/>
              </w:rPr>
            </w:pPr>
            <w:r w:rsidRPr="00222917">
              <w:rPr>
                <w:sz w:val="16"/>
                <w:szCs w:val="16"/>
                <w:lang w:val="en-US"/>
              </w:rPr>
              <w:t>13</w:t>
            </w:r>
          </w:p>
        </w:tc>
        <w:tc>
          <w:tcPr>
            <w:tcW w:w="568" w:type="dxa"/>
            <w:tcBorders>
              <w:top w:val="single" w:sz="4" w:space="0" w:color="000000"/>
              <w:bottom w:val="single" w:sz="12" w:space="0" w:color="000000"/>
            </w:tcBorders>
            <w:shd w:val="clear" w:color="auto" w:fill="auto"/>
            <w:vAlign w:val="bottom"/>
          </w:tcPr>
          <w:p w:rsidR="006E6AC9" w:rsidRPr="00222917" w:rsidRDefault="006E6AC9" w:rsidP="00D17669">
            <w:pPr>
              <w:spacing w:before="40" w:after="40" w:line="200" w:lineRule="exact"/>
              <w:jc w:val="right"/>
              <w:rPr>
                <w:sz w:val="16"/>
                <w:szCs w:val="16"/>
                <w:lang w:val="en-US"/>
              </w:rPr>
            </w:pPr>
            <w:r w:rsidRPr="00222917">
              <w:rPr>
                <w:sz w:val="16"/>
                <w:szCs w:val="16"/>
                <w:lang w:val="en-US"/>
              </w:rPr>
              <w:t>25</w:t>
            </w:r>
          </w:p>
        </w:tc>
        <w:tc>
          <w:tcPr>
            <w:tcW w:w="568" w:type="dxa"/>
            <w:tcBorders>
              <w:top w:val="single" w:sz="4" w:space="0" w:color="000000"/>
              <w:bottom w:val="single" w:sz="12" w:space="0" w:color="000000"/>
            </w:tcBorders>
            <w:shd w:val="clear" w:color="auto" w:fill="auto"/>
            <w:vAlign w:val="bottom"/>
          </w:tcPr>
          <w:p w:rsidR="006E6AC9" w:rsidRPr="00222917" w:rsidRDefault="006E6AC9" w:rsidP="00D17669">
            <w:pPr>
              <w:spacing w:before="40" w:after="40" w:line="200" w:lineRule="exact"/>
              <w:jc w:val="right"/>
              <w:rPr>
                <w:sz w:val="16"/>
                <w:szCs w:val="16"/>
                <w:lang w:val="en-US"/>
              </w:rPr>
            </w:pPr>
            <w:r w:rsidRPr="00222917">
              <w:rPr>
                <w:sz w:val="16"/>
                <w:szCs w:val="16"/>
                <w:lang w:val="en-US"/>
              </w:rPr>
              <w:t>69</w:t>
            </w:r>
          </w:p>
        </w:tc>
        <w:tc>
          <w:tcPr>
            <w:tcW w:w="568" w:type="dxa"/>
            <w:tcBorders>
              <w:top w:val="single" w:sz="4" w:space="0" w:color="000000"/>
              <w:bottom w:val="single" w:sz="12" w:space="0" w:color="000000"/>
            </w:tcBorders>
            <w:shd w:val="clear" w:color="auto" w:fill="auto"/>
            <w:vAlign w:val="bottom"/>
          </w:tcPr>
          <w:p w:rsidR="006E6AC9" w:rsidRPr="00222917" w:rsidRDefault="006E6AC9" w:rsidP="00D17669">
            <w:pPr>
              <w:spacing w:before="40" w:after="40" w:line="200" w:lineRule="exact"/>
              <w:jc w:val="right"/>
              <w:rPr>
                <w:sz w:val="16"/>
                <w:szCs w:val="16"/>
                <w:lang w:val="en-US"/>
              </w:rPr>
            </w:pPr>
            <w:r w:rsidRPr="00222917">
              <w:rPr>
                <w:sz w:val="16"/>
                <w:szCs w:val="16"/>
                <w:lang w:val="en-US"/>
              </w:rPr>
              <w:t>92</w:t>
            </w:r>
          </w:p>
        </w:tc>
        <w:tc>
          <w:tcPr>
            <w:tcW w:w="568" w:type="dxa"/>
            <w:tcBorders>
              <w:top w:val="single" w:sz="4" w:space="0" w:color="000000"/>
              <w:bottom w:val="single" w:sz="12" w:space="0" w:color="000000"/>
            </w:tcBorders>
            <w:shd w:val="clear" w:color="auto" w:fill="auto"/>
            <w:vAlign w:val="bottom"/>
          </w:tcPr>
          <w:p w:rsidR="006E6AC9" w:rsidRPr="00222917" w:rsidRDefault="006E6AC9" w:rsidP="00D17669">
            <w:pPr>
              <w:spacing w:before="40" w:after="40" w:line="200" w:lineRule="exact"/>
              <w:jc w:val="right"/>
              <w:rPr>
                <w:b/>
                <w:sz w:val="16"/>
                <w:szCs w:val="16"/>
                <w:lang w:val="en-US"/>
              </w:rPr>
            </w:pPr>
            <w:r w:rsidRPr="00222917">
              <w:rPr>
                <w:b/>
                <w:sz w:val="16"/>
                <w:szCs w:val="16"/>
                <w:lang w:val="en-US"/>
              </w:rPr>
              <w:t>225</w:t>
            </w:r>
          </w:p>
        </w:tc>
      </w:tr>
    </w:tbl>
    <w:p w:rsidR="002D5BB0" w:rsidRPr="00222917" w:rsidRDefault="00FA5EC1" w:rsidP="00207251">
      <w:pPr>
        <w:pStyle w:val="H1G"/>
        <w:rPr>
          <w:lang w:val="en-US"/>
        </w:rPr>
      </w:pPr>
      <w:r w:rsidRPr="00222917">
        <w:rPr>
          <w:lang w:val="en-US"/>
        </w:rPr>
        <w:tab/>
      </w:r>
      <w:r w:rsidRPr="00222917">
        <w:rPr>
          <w:lang w:val="en-US"/>
        </w:rPr>
        <w:tab/>
      </w:r>
      <w:r w:rsidR="002D5BB0" w:rsidRPr="00222917">
        <w:rPr>
          <w:lang w:val="en-US"/>
        </w:rPr>
        <w:t>Article 2</w:t>
      </w:r>
    </w:p>
    <w:p w:rsidR="002D5BB0" w:rsidRPr="00222917" w:rsidRDefault="00FA5EC1" w:rsidP="00423A3F">
      <w:pPr>
        <w:pStyle w:val="H1G"/>
        <w:rPr>
          <w:lang w:val="en-US"/>
        </w:rPr>
      </w:pPr>
      <w:r w:rsidRPr="00222917">
        <w:rPr>
          <w:lang w:val="en-US"/>
        </w:rPr>
        <w:tab/>
      </w:r>
      <w:r w:rsidRPr="00222917">
        <w:rPr>
          <w:lang w:val="en-US"/>
        </w:rPr>
        <w:tab/>
      </w:r>
      <w:r w:rsidR="002D5BB0" w:rsidRPr="00222917">
        <w:rPr>
          <w:lang w:val="en-US"/>
        </w:rPr>
        <w:t>Paragraph 1</w:t>
      </w:r>
    </w:p>
    <w:p w:rsidR="002D5BB0" w:rsidRPr="00222917" w:rsidRDefault="00547908" w:rsidP="00547908">
      <w:pPr>
        <w:pStyle w:val="SingleTxtG"/>
        <w:rPr>
          <w:lang w:val="en-US"/>
        </w:rPr>
      </w:pPr>
      <w:r w:rsidRPr="00222917">
        <w:rPr>
          <w:lang w:val="en-US"/>
        </w:rPr>
        <w:t>37.</w:t>
      </w:r>
      <w:r w:rsidRPr="00222917">
        <w:rPr>
          <w:lang w:val="en-US"/>
        </w:rPr>
        <w:tab/>
      </w:r>
      <w:r w:rsidR="002D5BB0" w:rsidRPr="00222917">
        <w:rPr>
          <w:lang w:val="en-US"/>
        </w:rPr>
        <w:t xml:space="preserve">As explained in the initial report, the right to equality in political, economic, and social spheres </w:t>
      </w:r>
      <w:r w:rsidR="002D5BB0" w:rsidRPr="00222917">
        <w:rPr>
          <w:bCs/>
          <w:lang w:val="en-US"/>
        </w:rPr>
        <w:t>is</w:t>
      </w:r>
      <w:r w:rsidR="002D5BB0" w:rsidRPr="00222917">
        <w:rPr>
          <w:lang w:val="en-US"/>
        </w:rPr>
        <w:t xml:space="preserve"> guaranteed by the Constitution and persons with disabilities are entitled to the right along with welfare programs f</w:t>
      </w:r>
      <w:r w:rsidR="00FA5EC1" w:rsidRPr="00222917">
        <w:rPr>
          <w:lang w:val="en-US"/>
        </w:rPr>
        <w:t>or them(CCPR/C/68/Add.1, paras. 26-</w:t>
      </w:r>
      <w:r w:rsidR="002D5BB0" w:rsidRPr="00222917">
        <w:rPr>
          <w:lang w:val="en-US"/>
        </w:rPr>
        <w:t xml:space="preserve">37). </w:t>
      </w:r>
    </w:p>
    <w:p w:rsidR="002D5BB0" w:rsidRPr="00222917" w:rsidRDefault="00547908" w:rsidP="00547908">
      <w:pPr>
        <w:pStyle w:val="SingleTxtG"/>
        <w:rPr>
          <w:lang w:val="en-US"/>
        </w:rPr>
      </w:pPr>
      <w:r w:rsidRPr="00222917">
        <w:rPr>
          <w:lang w:val="en-US"/>
        </w:rPr>
        <w:t>38.</w:t>
      </w:r>
      <w:r w:rsidRPr="00222917">
        <w:rPr>
          <w:lang w:val="en-US"/>
        </w:rPr>
        <w:tab/>
      </w:r>
      <w:r w:rsidR="002D5BB0" w:rsidRPr="00222917">
        <w:rPr>
          <w:lang w:val="en-US"/>
        </w:rPr>
        <w:t xml:space="preserve">On 10 April 2007, the </w:t>
      </w:r>
      <w:r w:rsidR="002D5BB0" w:rsidRPr="00222917">
        <w:rPr>
          <w:iCs/>
          <w:lang w:val="en-US"/>
        </w:rPr>
        <w:t xml:space="preserve">Anti-Discrimination against and Remedies for Persons with Disabilities Act </w:t>
      </w:r>
      <w:r w:rsidR="002D5BB0" w:rsidRPr="00222917">
        <w:rPr>
          <w:lang w:val="en-US"/>
        </w:rPr>
        <w:t>was enacted for disabled persons’ social participation and realization of their right of equality. With the act, discrimination on the ground of disability is forbidden in such areas as employment, education, and provision and use of goods and services. Persons who suffer discrimination may file a petition with the National Human Rights Commission. If recommendations for correction made by the Commission are not implemented, the Ministry of Justice ma</w:t>
      </w:r>
      <w:r w:rsidR="00120D8B" w:rsidRPr="00222917">
        <w:rPr>
          <w:lang w:val="en-US"/>
        </w:rPr>
        <w:t xml:space="preserve">y issue orders to that effect. </w:t>
      </w:r>
    </w:p>
    <w:p w:rsidR="002D5BB0" w:rsidRPr="00222917" w:rsidRDefault="00547908" w:rsidP="00547908">
      <w:pPr>
        <w:pStyle w:val="SingleTxtG"/>
        <w:rPr>
          <w:lang w:val="en-US"/>
        </w:rPr>
      </w:pPr>
      <w:r w:rsidRPr="00222917">
        <w:rPr>
          <w:lang w:val="en-US"/>
        </w:rPr>
        <w:t>39.</w:t>
      </w:r>
      <w:r w:rsidRPr="00222917">
        <w:rPr>
          <w:lang w:val="en-US"/>
        </w:rPr>
        <w:tab/>
      </w:r>
      <w:r w:rsidR="002D5BB0" w:rsidRPr="00222917">
        <w:rPr>
          <w:lang w:val="en-US"/>
        </w:rPr>
        <w:t xml:space="preserve">On 17 May 2007, the </w:t>
      </w:r>
      <w:r w:rsidR="002D5BB0" w:rsidRPr="00222917">
        <w:rPr>
          <w:iCs/>
          <w:lang w:val="en-US"/>
        </w:rPr>
        <w:t xml:space="preserve">Framework Act on Treatment of Foreigners Residing in the </w:t>
      </w:r>
      <w:smartTag w:uri="urn:schemas-microsoft-com:office:smarttags" w:element="place">
        <w:smartTag w:uri="urn:schemas-microsoft-com:office:smarttags" w:element="PlaceType">
          <w:r w:rsidR="002D5BB0" w:rsidRPr="00222917">
            <w:rPr>
              <w:iCs/>
              <w:lang w:val="en-US"/>
            </w:rPr>
            <w:t>Republic</w:t>
          </w:r>
        </w:smartTag>
        <w:r w:rsidR="002D5BB0" w:rsidRPr="00222917">
          <w:rPr>
            <w:iCs/>
            <w:lang w:val="en-US"/>
          </w:rPr>
          <w:t xml:space="preserve"> of </w:t>
        </w:r>
        <w:smartTag w:uri="urn:schemas-microsoft-com:office:smarttags" w:element="PlaceName">
          <w:r w:rsidR="002D5BB0" w:rsidRPr="00222917">
            <w:rPr>
              <w:iCs/>
              <w:lang w:val="en-US"/>
            </w:rPr>
            <w:t>Korea</w:t>
          </w:r>
        </w:smartTag>
      </w:smartTag>
      <w:r w:rsidR="002D5BB0" w:rsidRPr="00222917">
        <w:rPr>
          <w:iCs/>
          <w:lang w:val="en-US"/>
        </w:rPr>
        <w:t xml:space="preserve"> </w:t>
      </w:r>
      <w:r w:rsidR="002D5BB0" w:rsidRPr="00222917">
        <w:rPr>
          <w:bCs/>
          <w:lang w:val="en-US"/>
        </w:rPr>
        <w:t>was</w:t>
      </w:r>
      <w:r w:rsidR="002D5BB0" w:rsidRPr="00222917">
        <w:rPr>
          <w:lang w:val="en-US"/>
        </w:rPr>
        <w:t xml:space="preserve"> enacted, aiming to help resident foreigners adapt to the Korean society and attain their full potential, and facilitate an environment favorable to mutual understanding and respect with Korean nationals. Further details are provided in paragraphs</w:t>
      </w:r>
      <w:r w:rsidR="003D0168" w:rsidRPr="00222917">
        <w:rPr>
          <w:lang w:val="en-US"/>
        </w:rPr>
        <w:t> </w:t>
      </w:r>
      <w:r w:rsidR="002D5BB0" w:rsidRPr="00222917">
        <w:rPr>
          <w:lang w:val="en-US"/>
        </w:rPr>
        <w:t xml:space="preserve">382 to 385. </w:t>
      </w:r>
    </w:p>
    <w:p w:rsidR="002D5BB0" w:rsidRPr="00222917" w:rsidRDefault="00547908" w:rsidP="00547908">
      <w:pPr>
        <w:pStyle w:val="SingleTxtG"/>
        <w:rPr>
          <w:lang w:val="en-US"/>
        </w:rPr>
      </w:pPr>
      <w:r w:rsidRPr="00222917">
        <w:rPr>
          <w:lang w:val="en-US"/>
        </w:rPr>
        <w:t>40.</w:t>
      </w:r>
      <w:r w:rsidRPr="00222917">
        <w:rPr>
          <w:lang w:val="en-US"/>
        </w:rPr>
        <w:tab/>
      </w:r>
      <w:r w:rsidR="002D5BB0" w:rsidRPr="00222917">
        <w:rPr>
          <w:lang w:val="en-US"/>
        </w:rPr>
        <w:t xml:space="preserve">On 21 March 2008, the </w:t>
      </w:r>
      <w:r w:rsidR="002D5BB0" w:rsidRPr="00222917">
        <w:rPr>
          <w:iCs/>
          <w:lang w:val="en-US"/>
        </w:rPr>
        <w:t>Act on Prohibition of Age Discrimination in Employment and Elderly</w:t>
      </w:r>
      <w:r w:rsidR="002D5BB0" w:rsidRPr="00222917">
        <w:rPr>
          <w:i/>
          <w:lang w:val="en-US"/>
        </w:rPr>
        <w:t xml:space="preserve"> </w:t>
      </w:r>
      <w:r w:rsidR="002D5BB0" w:rsidRPr="00222917">
        <w:rPr>
          <w:bCs/>
          <w:lang w:val="en-US"/>
        </w:rPr>
        <w:t>Employment</w:t>
      </w:r>
      <w:r w:rsidR="002D5BB0" w:rsidRPr="00222917">
        <w:rPr>
          <w:i/>
          <w:lang w:val="en-US"/>
        </w:rPr>
        <w:t xml:space="preserve"> </w:t>
      </w:r>
      <w:r w:rsidR="002D5BB0" w:rsidRPr="00222917">
        <w:rPr>
          <w:iCs/>
          <w:lang w:val="en-US"/>
        </w:rPr>
        <w:t>Promotion</w:t>
      </w:r>
      <w:r w:rsidR="002D5BB0" w:rsidRPr="00222917">
        <w:rPr>
          <w:lang w:val="en-US"/>
        </w:rPr>
        <w:t xml:space="preserve"> was amended to improve employment conditions for elderly persons. The amendment prohibits age-based discrimination at all stages of employment including indirect discrimination (</w:t>
      </w:r>
      <w:r w:rsidR="00681EC0" w:rsidRPr="00222917">
        <w:rPr>
          <w:lang w:val="en-US"/>
        </w:rPr>
        <w:t>a</w:t>
      </w:r>
      <w:r w:rsidR="002D5BB0" w:rsidRPr="00222917">
        <w:rPr>
          <w:lang w:val="en-US"/>
        </w:rPr>
        <w:t>rticle</w:t>
      </w:r>
      <w:r w:rsidR="001A2BB2" w:rsidRPr="00222917">
        <w:rPr>
          <w:lang w:val="en-US"/>
        </w:rPr>
        <w:t> </w:t>
      </w:r>
      <w:r w:rsidR="002D5BB0" w:rsidRPr="00222917">
        <w:rPr>
          <w:lang w:val="en-US"/>
        </w:rPr>
        <w:t>4-4) while stipulating circumstances when different treatment concerning is not</w:t>
      </w:r>
      <w:r w:rsidR="00120D8B" w:rsidRPr="00222917">
        <w:rPr>
          <w:lang w:val="en-US"/>
        </w:rPr>
        <w:t xml:space="preserve"> deemed discriminatory (</w:t>
      </w:r>
      <w:r w:rsidR="00681EC0" w:rsidRPr="00222917">
        <w:rPr>
          <w:lang w:val="en-US"/>
        </w:rPr>
        <w:t>a</w:t>
      </w:r>
      <w:r w:rsidR="00120D8B" w:rsidRPr="00222917">
        <w:rPr>
          <w:lang w:val="en-US"/>
        </w:rPr>
        <w:t>rticle </w:t>
      </w:r>
      <w:r w:rsidR="002D5BB0" w:rsidRPr="00222917">
        <w:rPr>
          <w:lang w:val="en-US"/>
        </w:rPr>
        <w:t xml:space="preserve">4-5). </w:t>
      </w:r>
    </w:p>
    <w:p w:rsidR="002D5BB0" w:rsidRPr="00222917" w:rsidRDefault="00547908" w:rsidP="00547908">
      <w:pPr>
        <w:pStyle w:val="SingleTxtG"/>
        <w:rPr>
          <w:lang w:val="en-US"/>
        </w:rPr>
      </w:pPr>
      <w:r w:rsidRPr="00222917">
        <w:rPr>
          <w:lang w:val="en-US"/>
        </w:rPr>
        <w:t>41.</w:t>
      </w:r>
      <w:r w:rsidRPr="00222917">
        <w:rPr>
          <w:lang w:val="en-US"/>
        </w:rPr>
        <w:tab/>
      </w:r>
      <w:r w:rsidR="002D5BB0" w:rsidRPr="00222917">
        <w:rPr>
          <w:lang w:val="en-US"/>
        </w:rPr>
        <w:t xml:space="preserve">On 18 September 2008, the </w:t>
      </w:r>
      <w:r w:rsidR="002D5BB0" w:rsidRPr="00222917">
        <w:rPr>
          <w:iCs/>
          <w:lang w:val="en-US"/>
        </w:rPr>
        <w:t xml:space="preserve">Regulations on Service of Government Employees </w:t>
      </w:r>
      <w:r w:rsidR="002D5BB0" w:rsidRPr="00222917">
        <w:rPr>
          <w:lang w:val="en-US"/>
        </w:rPr>
        <w:t xml:space="preserve">were amended to ensure that government employees perform their duties in a fair manner without </w:t>
      </w:r>
      <w:r w:rsidR="002D5BB0" w:rsidRPr="00222917">
        <w:rPr>
          <w:bCs/>
          <w:lang w:val="en-US"/>
        </w:rPr>
        <w:t>discrimination</w:t>
      </w:r>
      <w:r w:rsidR="002D5BB0" w:rsidRPr="00222917">
        <w:rPr>
          <w:lang w:val="en-US"/>
        </w:rPr>
        <w:t xml:space="preserve"> based on reli</w:t>
      </w:r>
      <w:r w:rsidR="00453C6E" w:rsidRPr="00222917">
        <w:rPr>
          <w:lang w:val="en-US"/>
        </w:rPr>
        <w:t>gion and other reasons (</w:t>
      </w:r>
      <w:r w:rsidR="00681EC0" w:rsidRPr="00222917">
        <w:rPr>
          <w:lang w:val="en-US"/>
        </w:rPr>
        <w:t>a</w:t>
      </w:r>
      <w:r w:rsidR="00453C6E" w:rsidRPr="00222917">
        <w:rPr>
          <w:lang w:val="en-US"/>
        </w:rPr>
        <w:t>rticle </w:t>
      </w:r>
      <w:r w:rsidR="002D5BB0" w:rsidRPr="00222917">
        <w:rPr>
          <w:lang w:val="en-US"/>
        </w:rPr>
        <w:t>4</w:t>
      </w:r>
      <w:r w:rsidR="00681EC0" w:rsidRPr="00222917">
        <w:rPr>
          <w:lang w:val="en-US"/>
        </w:rPr>
        <w:t xml:space="preserve"> </w:t>
      </w:r>
      <w:r w:rsidR="002D5BB0" w:rsidRPr="00222917">
        <w:rPr>
          <w:lang w:val="en-US"/>
        </w:rPr>
        <w:t xml:space="preserve">(2)). The amendment was expected to help service provided by government employees reach the general public in an impartial manner. </w:t>
      </w:r>
    </w:p>
    <w:p w:rsidR="002D5BB0" w:rsidRPr="00222917" w:rsidRDefault="00FA5EC1" w:rsidP="00423A3F">
      <w:pPr>
        <w:pStyle w:val="H23G"/>
        <w:rPr>
          <w:lang w:val="en-US"/>
        </w:rPr>
      </w:pPr>
      <w:r w:rsidRPr="00222917">
        <w:rPr>
          <w:lang w:val="en-US"/>
        </w:rPr>
        <w:tab/>
      </w:r>
      <w:r w:rsidRPr="00222917">
        <w:rPr>
          <w:lang w:val="en-US"/>
        </w:rPr>
        <w:tab/>
      </w:r>
      <w:r w:rsidR="002D5BB0" w:rsidRPr="00222917">
        <w:rPr>
          <w:lang w:val="en-US"/>
        </w:rPr>
        <w:t>Protection of Migrant Workers</w:t>
      </w:r>
    </w:p>
    <w:p w:rsidR="002D5BB0" w:rsidRPr="00222917" w:rsidRDefault="00547908" w:rsidP="00547908">
      <w:pPr>
        <w:pStyle w:val="SingleTxtG"/>
        <w:rPr>
          <w:lang w:val="en-US"/>
        </w:rPr>
      </w:pPr>
      <w:r w:rsidRPr="00222917">
        <w:rPr>
          <w:lang w:val="en-US"/>
        </w:rPr>
        <w:t>42.</w:t>
      </w:r>
      <w:r w:rsidRPr="00222917">
        <w:rPr>
          <w:lang w:val="en-US"/>
        </w:rPr>
        <w:tab/>
      </w:r>
      <w:r w:rsidR="002D5BB0" w:rsidRPr="00222917">
        <w:rPr>
          <w:lang w:val="en-US"/>
        </w:rPr>
        <w:t xml:space="preserve">In its consideration of the third report, the Committee expressed its concern that migrant workers face persistent discrimination and abuse in the workplace without adequate protection and redress. The confiscation and retention of official identification papers of such workers was also of concern. The Committee recommended that the Government </w:t>
      </w:r>
      <w:r w:rsidR="002D5BB0" w:rsidRPr="00222917">
        <w:rPr>
          <w:bCs/>
          <w:lang w:val="en-US"/>
        </w:rPr>
        <w:t xml:space="preserve">ensure that migrant workers enjoy the rights contained in the Covenant without discrimination and that, in this regard, particular attention should be paid to ensuring equal access to social services and educational facilities, as well as the right to form trade unions and the provision of adequate forms of redress </w:t>
      </w:r>
      <w:r w:rsidR="005727B1" w:rsidRPr="00222917">
        <w:rPr>
          <w:lang w:val="en-US"/>
        </w:rPr>
        <w:t>(CCPR/C/KOR/CO/3, para. </w:t>
      </w:r>
      <w:r w:rsidR="002D5BB0" w:rsidRPr="00222917">
        <w:rPr>
          <w:lang w:val="en-US"/>
        </w:rPr>
        <w:t xml:space="preserve">12). </w:t>
      </w:r>
    </w:p>
    <w:p w:rsidR="002D5BB0" w:rsidRPr="00222917" w:rsidRDefault="00547908" w:rsidP="00547908">
      <w:pPr>
        <w:pStyle w:val="SingleTxtG"/>
        <w:rPr>
          <w:lang w:val="en-US"/>
        </w:rPr>
      </w:pPr>
      <w:r w:rsidRPr="00222917">
        <w:rPr>
          <w:lang w:val="en-US"/>
        </w:rPr>
        <w:t>43.</w:t>
      </w:r>
      <w:r w:rsidRPr="00222917">
        <w:rPr>
          <w:lang w:val="en-US"/>
        </w:rPr>
        <w:tab/>
      </w:r>
      <w:r w:rsidR="002D5BB0" w:rsidRPr="00222917">
        <w:rPr>
          <w:lang w:val="en-US"/>
        </w:rPr>
        <w:t xml:space="preserve">As stated in the third report, the employment permit system for foreign workers and the </w:t>
      </w:r>
      <w:r w:rsidR="002D5BB0" w:rsidRPr="00222917">
        <w:rPr>
          <w:iCs/>
          <w:lang w:val="en-US"/>
        </w:rPr>
        <w:t>Act on the Employment and other matters of Foreign Workers</w:t>
      </w:r>
      <w:r w:rsidR="002D5BB0" w:rsidRPr="00222917">
        <w:rPr>
          <w:i/>
          <w:lang w:val="en-US"/>
        </w:rPr>
        <w:t xml:space="preserve"> </w:t>
      </w:r>
      <w:r w:rsidR="002D5BB0" w:rsidRPr="00222917">
        <w:rPr>
          <w:lang w:val="en-US"/>
        </w:rPr>
        <w:t xml:space="preserve">are in place. Labor laws and the four </w:t>
      </w:r>
      <w:r w:rsidR="002D5BB0" w:rsidRPr="00222917">
        <w:rPr>
          <w:bCs/>
          <w:lang w:val="en-US"/>
        </w:rPr>
        <w:t>basic</w:t>
      </w:r>
      <w:r w:rsidR="002D5BB0" w:rsidRPr="00222917">
        <w:rPr>
          <w:lang w:val="en-US"/>
        </w:rPr>
        <w:t xml:space="preserve"> social insurance schemes </w:t>
      </w:r>
      <w:r w:rsidR="002D5BB0" w:rsidRPr="00222917">
        <w:rPr>
          <w:bCs/>
          <w:lang w:val="en-US"/>
        </w:rPr>
        <w:t xml:space="preserve">(Workmen’s Accident and Compensation Insurance, Employment Insurance, National Pension, and National Health Insurance) cover foreign workers as equally as Korean workers </w:t>
      </w:r>
      <w:r w:rsidR="005727B1" w:rsidRPr="00222917">
        <w:rPr>
          <w:lang w:val="en-US"/>
        </w:rPr>
        <w:t>(CCPR/C/KOR/2005/3, paras. 33 and</w:t>
      </w:r>
      <w:r w:rsidR="00F662F0" w:rsidRPr="00222917">
        <w:rPr>
          <w:lang w:val="en-US"/>
        </w:rPr>
        <w:t xml:space="preserve"> </w:t>
      </w:r>
      <w:r w:rsidR="002D5BB0" w:rsidRPr="00222917">
        <w:rPr>
          <w:lang w:val="en-US"/>
        </w:rPr>
        <w:t xml:space="preserve">34). </w:t>
      </w:r>
    </w:p>
    <w:p w:rsidR="002D5BB0" w:rsidRPr="00222917" w:rsidRDefault="00547908" w:rsidP="00547908">
      <w:pPr>
        <w:pStyle w:val="SingleTxtG"/>
        <w:rPr>
          <w:lang w:val="en-US"/>
        </w:rPr>
      </w:pPr>
      <w:r w:rsidRPr="00222917">
        <w:rPr>
          <w:lang w:val="en-US"/>
        </w:rPr>
        <w:t>44.</w:t>
      </w:r>
      <w:r w:rsidRPr="00222917">
        <w:rPr>
          <w:lang w:val="en-US"/>
        </w:rPr>
        <w:tab/>
      </w:r>
      <w:r w:rsidR="002D5BB0" w:rsidRPr="00222917">
        <w:rPr>
          <w:lang w:val="en-US"/>
        </w:rPr>
        <w:t xml:space="preserve">Under the employment permit system, migrant workers are protected by labor laws including the Labor Standards Act, Minimum Wage Act, Occupational Safety and Health Act, and Industrial Accident Compensation Insurance Act on par with Korean nationals and legally sojourning </w:t>
      </w:r>
      <w:r w:rsidR="002D5BB0" w:rsidRPr="00222917">
        <w:rPr>
          <w:bCs/>
          <w:lang w:val="en-US"/>
        </w:rPr>
        <w:t>migrant</w:t>
      </w:r>
      <w:r w:rsidR="002D5BB0" w:rsidRPr="00222917">
        <w:rPr>
          <w:lang w:val="en-US"/>
        </w:rPr>
        <w:t xml:space="preserve"> workers have the right to form a labor union. The eligibility of migrant workers to the health insurance scheme was expanded. In 2005, free-of-charge medical services for migrant workers were also expanded, thus providing financial assistance to migrant workers who do not have access to health insurance and medical benefits when they are admitted to a hospital and/or undertake medical operation. In July 2006, children of migrant workers became entitled to such assistance. In addition, migrant workers are allowed to change workplaces three times during their sojourns in case they are not able to continue their work at the same workplace due to reasons such as suspension or closure of the business of their workplace. To strengthen protection of the labor rights of migrant workers with regard to changes of workplaces, a change of workplace whose cause is not attributable to migrant workers is not counted in the three times allowed since December 2009.</w:t>
      </w:r>
    </w:p>
    <w:p w:rsidR="002D5BB0" w:rsidRPr="00222917" w:rsidRDefault="00547908" w:rsidP="00547908">
      <w:pPr>
        <w:pStyle w:val="SingleTxtG"/>
        <w:rPr>
          <w:lang w:val="en-US"/>
        </w:rPr>
      </w:pPr>
      <w:r w:rsidRPr="00222917">
        <w:rPr>
          <w:lang w:val="en-US"/>
        </w:rPr>
        <w:t>45.</w:t>
      </w:r>
      <w:r w:rsidRPr="00222917">
        <w:rPr>
          <w:lang w:val="en-US"/>
        </w:rPr>
        <w:tab/>
      </w:r>
      <w:r w:rsidR="002D5BB0" w:rsidRPr="00222917">
        <w:rPr>
          <w:lang w:val="en-US"/>
        </w:rPr>
        <w:t xml:space="preserve">The amendment of the </w:t>
      </w:r>
      <w:r w:rsidR="002D5BB0" w:rsidRPr="00222917">
        <w:rPr>
          <w:iCs/>
          <w:lang w:val="en-US"/>
        </w:rPr>
        <w:t xml:space="preserve">Immigration Control Act </w:t>
      </w:r>
      <w:r w:rsidR="002D5BB0" w:rsidRPr="00222917">
        <w:rPr>
          <w:lang w:val="en-US"/>
        </w:rPr>
        <w:t>on 5 December 2002 prohibits holding or demanding passports or alien registration certificates as security to an employment contract or liability, which is punishable by a prison term with or without labor for no longer than three years or by a fine of no more than KRW 20 million (</w:t>
      </w:r>
      <w:r w:rsidR="00681EC0" w:rsidRPr="00222917">
        <w:rPr>
          <w:lang w:val="en-US"/>
        </w:rPr>
        <w:t>a</w:t>
      </w:r>
      <w:r w:rsidR="002D5BB0" w:rsidRPr="00222917">
        <w:rPr>
          <w:lang w:val="en-US"/>
        </w:rPr>
        <w:t>rticles</w:t>
      </w:r>
      <w:r w:rsidR="00453C6E" w:rsidRPr="00222917">
        <w:rPr>
          <w:lang w:val="en-US"/>
        </w:rPr>
        <w:t> </w:t>
      </w:r>
      <w:r w:rsidR="002D5BB0" w:rsidRPr="00222917">
        <w:rPr>
          <w:lang w:val="en-US"/>
        </w:rPr>
        <w:t xml:space="preserve">33-2 and 94). The </w:t>
      </w:r>
      <w:r w:rsidR="002D5BB0" w:rsidRPr="00222917">
        <w:rPr>
          <w:bCs/>
          <w:lang w:val="en-US"/>
        </w:rPr>
        <w:t>Government</w:t>
      </w:r>
      <w:r w:rsidR="002D5BB0" w:rsidRPr="00222917">
        <w:rPr>
          <w:lang w:val="en-US"/>
        </w:rPr>
        <w:t xml:space="preserve"> makes efforts to provide redress to grievances of foreigners and protect their human rights, by addressing difficulties they face during their stay through grievance counseling centers for foreigners, in operation at immigration offices and immigration detention centers. </w:t>
      </w:r>
    </w:p>
    <w:p w:rsidR="002D5BB0" w:rsidRPr="00222917" w:rsidRDefault="00FA5EC1" w:rsidP="00423A3F">
      <w:pPr>
        <w:pStyle w:val="H23G"/>
        <w:rPr>
          <w:lang w:val="en-US"/>
        </w:rPr>
      </w:pPr>
      <w:r w:rsidRPr="00222917">
        <w:rPr>
          <w:lang w:val="en-US"/>
        </w:rPr>
        <w:tab/>
      </w:r>
      <w:r w:rsidRPr="00222917">
        <w:rPr>
          <w:lang w:val="en-US"/>
        </w:rPr>
        <w:tab/>
      </w:r>
      <w:r w:rsidR="002D5BB0" w:rsidRPr="00222917">
        <w:rPr>
          <w:lang w:val="en-US"/>
        </w:rPr>
        <w:t>Protection of Non-Regular Workers</w:t>
      </w:r>
    </w:p>
    <w:p w:rsidR="002D5BB0" w:rsidRPr="00222917" w:rsidRDefault="00547908" w:rsidP="00547908">
      <w:pPr>
        <w:pStyle w:val="SingleTxtG"/>
        <w:rPr>
          <w:lang w:val="en-US"/>
        </w:rPr>
      </w:pPr>
      <w:r w:rsidRPr="00222917">
        <w:rPr>
          <w:lang w:val="en-US"/>
        </w:rPr>
        <w:t>46.</w:t>
      </w:r>
      <w:r w:rsidRPr="00222917">
        <w:rPr>
          <w:lang w:val="en-US"/>
        </w:rPr>
        <w:tab/>
      </w:r>
      <w:r w:rsidR="002D5BB0" w:rsidRPr="00222917">
        <w:rPr>
          <w:lang w:val="en-US"/>
        </w:rPr>
        <w:t xml:space="preserve">In a bid to cope with a steady increase in non-regular workers and to bridge the wage gap between regular and non-regular workers, the Government enacted the </w:t>
      </w:r>
      <w:r w:rsidR="002D5BB0" w:rsidRPr="00222917">
        <w:rPr>
          <w:iCs/>
          <w:lang w:val="en-US"/>
        </w:rPr>
        <w:t>Act on the Protection and other matters of Fixed-Term and Part-Time Employees</w:t>
      </w:r>
      <w:r w:rsidR="002D5BB0" w:rsidRPr="00222917">
        <w:rPr>
          <w:i/>
          <w:lang w:val="en-US"/>
        </w:rPr>
        <w:t xml:space="preserve"> </w:t>
      </w:r>
      <w:r w:rsidR="002D5BB0" w:rsidRPr="00222917">
        <w:rPr>
          <w:lang w:val="en-US"/>
        </w:rPr>
        <w:t xml:space="preserve">and amended the </w:t>
      </w:r>
      <w:r w:rsidR="002D5BB0" w:rsidRPr="00222917">
        <w:rPr>
          <w:iCs/>
          <w:lang w:val="en-US"/>
        </w:rPr>
        <w:t>Act on the Protection and other matters of Dispatched Workers</w:t>
      </w:r>
      <w:r w:rsidR="002D5BB0" w:rsidRPr="00222917">
        <w:rPr>
          <w:i/>
          <w:lang w:val="en-US"/>
        </w:rPr>
        <w:t xml:space="preserve"> </w:t>
      </w:r>
      <w:r w:rsidR="002D5BB0" w:rsidRPr="00222917">
        <w:rPr>
          <w:lang w:val="en-US"/>
        </w:rPr>
        <w:t xml:space="preserve">on 21 December 2006. With the legislations, the Government introduced a scheme to address discrimination against fixed-term, dispatched, and part-time employees (hereinafter referred to as “fixed-term employees, etc.”). Under the </w:t>
      </w:r>
      <w:r w:rsidR="002D5BB0" w:rsidRPr="00222917">
        <w:rPr>
          <w:iCs/>
          <w:lang w:val="en-US"/>
        </w:rPr>
        <w:t>Act on the Protection and other matters of Fixed-Term and Part-Time Employees</w:t>
      </w:r>
      <w:r w:rsidR="002D5BB0" w:rsidRPr="00222917">
        <w:rPr>
          <w:lang w:val="en-US"/>
        </w:rPr>
        <w:t xml:space="preserve">, it is prohibited to treat, without reasonable grounds, fixed-term employees, etc. less favorably </w:t>
      </w:r>
      <w:r w:rsidR="002D5BB0" w:rsidRPr="00222917">
        <w:rPr>
          <w:bCs/>
          <w:lang w:val="en-US"/>
        </w:rPr>
        <w:t>than</w:t>
      </w:r>
      <w:r w:rsidR="002D5BB0" w:rsidRPr="00222917">
        <w:rPr>
          <w:lang w:val="en-US"/>
        </w:rPr>
        <w:t xml:space="preserve"> regular workers engaged in the same or similar duties </w:t>
      </w:r>
      <w:r w:rsidR="001A2BB2" w:rsidRPr="00222917">
        <w:rPr>
          <w:lang w:val="en-US"/>
        </w:rPr>
        <w:t>at a place of business (</w:t>
      </w:r>
      <w:r w:rsidR="00681EC0" w:rsidRPr="00222917">
        <w:rPr>
          <w:lang w:val="en-US"/>
        </w:rPr>
        <w:t>a</w:t>
      </w:r>
      <w:r w:rsidR="001A2BB2" w:rsidRPr="00222917">
        <w:rPr>
          <w:lang w:val="en-US"/>
        </w:rPr>
        <w:t>rticle </w:t>
      </w:r>
      <w:r w:rsidR="002D5BB0" w:rsidRPr="00222917">
        <w:rPr>
          <w:lang w:val="en-US"/>
        </w:rPr>
        <w:t>8). The Act also allows fixed-term employees, etc. to make a complaint for correction of discrimination to the Labor Relations Commissions within three months from the date of</w:t>
      </w:r>
      <w:r w:rsidR="001A2BB2" w:rsidRPr="00222917">
        <w:rPr>
          <w:lang w:val="en-US"/>
        </w:rPr>
        <w:t xml:space="preserve"> the incident at issue (</w:t>
      </w:r>
      <w:r w:rsidR="00681EC0" w:rsidRPr="00222917">
        <w:rPr>
          <w:lang w:val="en-US"/>
        </w:rPr>
        <w:t>a</w:t>
      </w:r>
      <w:r w:rsidR="001A2BB2" w:rsidRPr="00222917">
        <w:rPr>
          <w:lang w:val="en-US"/>
        </w:rPr>
        <w:t>rticle </w:t>
      </w:r>
      <w:r w:rsidR="002D5BB0" w:rsidRPr="00222917">
        <w:rPr>
          <w:lang w:val="en-US"/>
        </w:rPr>
        <w:t>9). The Government is considering revision of the legislation to improve the anti-discrimination scheme including extension of the period of corrective implementation and grant of represen</w:t>
      </w:r>
      <w:r w:rsidR="00242694" w:rsidRPr="00222917">
        <w:rPr>
          <w:lang w:val="en-US"/>
        </w:rPr>
        <w:t>tation rights to labor unions.</w:t>
      </w:r>
    </w:p>
    <w:p w:rsidR="002D5BB0" w:rsidRPr="00222917" w:rsidRDefault="00FA5EC1" w:rsidP="00FA5EC1">
      <w:pPr>
        <w:pStyle w:val="H23G"/>
        <w:rPr>
          <w:b w:val="0"/>
          <w:sz w:val="16"/>
          <w:szCs w:val="16"/>
          <w:lang w:val="en-US"/>
        </w:rPr>
      </w:pPr>
      <w:r w:rsidRPr="00222917">
        <w:rPr>
          <w:lang w:val="en-US"/>
        </w:rPr>
        <w:tab/>
      </w:r>
      <w:r w:rsidRPr="00222917">
        <w:rPr>
          <w:lang w:val="en-US"/>
        </w:rPr>
        <w:tab/>
      </w:r>
      <w:r w:rsidR="002D5BB0" w:rsidRPr="00222917">
        <w:rPr>
          <w:lang w:val="en-US"/>
        </w:rPr>
        <w:t>Complaints filed on Discrimination against non-regular workers and their handling</w:t>
      </w:r>
      <w:r w:rsidRPr="00222917">
        <w:rPr>
          <w:lang w:val="en-US"/>
        </w:rPr>
        <w:br/>
      </w:r>
      <w:r w:rsidR="00B51F2A" w:rsidRPr="00222917">
        <w:rPr>
          <w:b w:val="0"/>
          <w:sz w:val="16"/>
          <w:szCs w:val="16"/>
          <w:lang w:val="en-US"/>
        </w:rPr>
        <w:t>(Period: 1 July 2007-</w:t>
      </w:r>
      <w:r w:rsidR="002D5BB0" w:rsidRPr="00222917">
        <w:rPr>
          <w:b w:val="0"/>
          <w:sz w:val="16"/>
          <w:szCs w:val="16"/>
          <w:lang w:val="en-US"/>
        </w:rPr>
        <w:t xml:space="preserve">31 </w:t>
      </w:r>
      <w:r w:rsidR="00D26808" w:rsidRPr="00222917">
        <w:rPr>
          <w:b w:val="0"/>
          <w:sz w:val="16"/>
          <w:szCs w:val="16"/>
          <w:lang w:val="en-US"/>
        </w:rPr>
        <w:t>December 2010, Number of cases)</w:t>
      </w:r>
    </w:p>
    <w:tbl>
      <w:tblPr>
        <w:tblW w:w="7371" w:type="dxa"/>
        <w:tblInd w:w="1134" w:type="dxa"/>
        <w:tblBorders>
          <w:top w:val="single" w:sz="4" w:space="0" w:color="auto"/>
        </w:tblBorders>
        <w:tblLayout w:type="fixed"/>
        <w:tblCellMar>
          <w:left w:w="0" w:type="dxa"/>
          <w:right w:w="0" w:type="dxa"/>
        </w:tblCellMar>
        <w:tblLook w:val="0000"/>
      </w:tblPr>
      <w:tblGrid>
        <w:gridCol w:w="792"/>
        <w:gridCol w:w="731"/>
        <w:gridCol w:w="731"/>
        <w:gridCol w:w="731"/>
        <w:gridCol w:w="731"/>
        <w:gridCol w:w="731"/>
        <w:gridCol w:w="731"/>
        <w:gridCol w:w="731"/>
        <w:gridCol w:w="731"/>
        <w:gridCol w:w="731"/>
      </w:tblGrid>
      <w:tr w:rsidR="00DB5371" w:rsidRPr="00222917" w:rsidTr="0054076C">
        <w:trPr>
          <w:trHeight w:val="240"/>
        </w:trPr>
        <w:tc>
          <w:tcPr>
            <w:tcW w:w="737" w:type="dxa"/>
            <w:vMerge w:val="restart"/>
            <w:tcBorders>
              <w:top w:val="single" w:sz="4" w:space="0" w:color="000000"/>
              <w:bottom w:val="single" w:sz="12" w:space="0" w:color="auto"/>
            </w:tcBorders>
            <w:shd w:val="clear" w:color="auto" w:fill="auto"/>
            <w:vAlign w:val="bottom"/>
          </w:tcPr>
          <w:p w:rsidR="00DB5371" w:rsidRPr="00222917" w:rsidRDefault="00DB5371" w:rsidP="0014767D">
            <w:pPr>
              <w:spacing w:before="80" w:after="80" w:line="180" w:lineRule="exact"/>
              <w:rPr>
                <w:rFonts w:eastAsia="Gulim"/>
                <w:i/>
                <w:sz w:val="14"/>
                <w:szCs w:val="14"/>
                <w:lang w:val="en-US"/>
              </w:rPr>
            </w:pPr>
            <w:r w:rsidRPr="00222917">
              <w:rPr>
                <w:rFonts w:eastAsia="Gulim"/>
                <w:bCs/>
                <w:i/>
                <w:sz w:val="14"/>
                <w:szCs w:val="14"/>
                <w:lang w:val="en-US"/>
              </w:rPr>
              <w:t>Received</w:t>
            </w:r>
          </w:p>
        </w:tc>
        <w:tc>
          <w:tcPr>
            <w:tcW w:w="680" w:type="dxa"/>
            <w:gridSpan w:val="8"/>
            <w:tcBorders>
              <w:top w:val="single" w:sz="4" w:space="0" w:color="000000"/>
              <w:bottom w:val="single" w:sz="4" w:space="0" w:color="000000"/>
            </w:tcBorders>
            <w:shd w:val="clear" w:color="auto" w:fill="auto"/>
            <w:vAlign w:val="bottom"/>
          </w:tcPr>
          <w:p w:rsidR="00DB5371" w:rsidRPr="00222917" w:rsidRDefault="00DB5371" w:rsidP="0014767D">
            <w:pPr>
              <w:suppressAutoHyphens w:val="0"/>
              <w:spacing w:before="80" w:after="80" w:line="180" w:lineRule="exact"/>
              <w:jc w:val="center"/>
              <w:rPr>
                <w:rFonts w:eastAsia="Gulim"/>
                <w:i/>
                <w:sz w:val="14"/>
                <w:szCs w:val="14"/>
                <w:lang w:val="en-US"/>
              </w:rPr>
            </w:pPr>
            <w:r w:rsidRPr="00222917">
              <w:rPr>
                <w:rFonts w:eastAsia="Gulim"/>
                <w:i/>
                <w:sz w:val="14"/>
                <w:szCs w:val="14"/>
                <w:lang w:val="en-US"/>
              </w:rPr>
              <w:t>Processed</w:t>
            </w:r>
          </w:p>
        </w:tc>
        <w:tc>
          <w:tcPr>
            <w:tcW w:w="680" w:type="dxa"/>
            <w:vMerge w:val="restart"/>
            <w:tcBorders>
              <w:top w:val="single" w:sz="4" w:space="0" w:color="000000"/>
              <w:bottom w:val="single" w:sz="12" w:space="0" w:color="auto"/>
            </w:tcBorders>
            <w:shd w:val="clear" w:color="auto" w:fill="auto"/>
            <w:vAlign w:val="bottom"/>
          </w:tcPr>
          <w:p w:rsidR="00DB5371" w:rsidRPr="00222917" w:rsidRDefault="00DB5371" w:rsidP="0014767D">
            <w:pPr>
              <w:spacing w:before="80" w:after="80" w:line="180" w:lineRule="exact"/>
              <w:jc w:val="right"/>
              <w:rPr>
                <w:rFonts w:eastAsia="Gulim"/>
                <w:i/>
                <w:sz w:val="14"/>
                <w:szCs w:val="14"/>
                <w:lang w:val="en-US"/>
              </w:rPr>
            </w:pPr>
            <w:r w:rsidRPr="00222917">
              <w:rPr>
                <w:rFonts w:eastAsia="Gulim"/>
                <w:i/>
                <w:sz w:val="14"/>
                <w:szCs w:val="14"/>
                <w:lang w:val="en-US"/>
              </w:rPr>
              <w:t>Pending</w:t>
            </w:r>
          </w:p>
        </w:tc>
      </w:tr>
      <w:tr w:rsidR="00DB5371" w:rsidRPr="00222917" w:rsidTr="0054076C">
        <w:trPr>
          <w:trHeight w:val="240"/>
        </w:trPr>
        <w:tc>
          <w:tcPr>
            <w:tcW w:w="737" w:type="dxa"/>
            <w:vMerge/>
            <w:tcBorders>
              <w:top w:val="nil"/>
              <w:bottom w:val="single" w:sz="12" w:space="0" w:color="auto"/>
            </w:tcBorders>
            <w:shd w:val="clear" w:color="auto" w:fill="auto"/>
          </w:tcPr>
          <w:p w:rsidR="00DB5371" w:rsidRPr="00222917" w:rsidRDefault="00DB5371" w:rsidP="0014767D">
            <w:pPr>
              <w:spacing w:before="80" w:after="80" w:line="180" w:lineRule="exact"/>
              <w:rPr>
                <w:rFonts w:eastAsia="Gulim"/>
                <w:i/>
                <w:sz w:val="14"/>
                <w:szCs w:val="14"/>
                <w:lang w:val="en-US"/>
              </w:rPr>
            </w:pPr>
          </w:p>
        </w:tc>
        <w:tc>
          <w:tcPr>
            <w:tcW w:w="680" w:type="dxa"/>
            <w:vMerge w:val="restart"/>
            <w:tcBorders>
              <w:top w:val="single" w:sz="4" w:space="0" w:color="000000"/>
            </w:tcBorders>
            <w:shd w:val="clear" w:color="auto" w:fill="auto"/>
            <w:vAlign w:val="bottom"/>
          </w:tcPr>
          <w:p w:rsidR="00DB5371" w:rsidRPr="00222917" w:rsidRDefault="00DB5371" w:rsidP="0014767D">
            <w:pPr>
              <w:spacing w:before="80" w:after="80" w:line="180" w:lineRule="exact"/>
              <w:jc w:val="right"/>
              <w:rPr>
                <w:rFonts w:eastAsia="Gulim"/>
                <w:b/>
                <w:i/>
                <w:sz w:val="14"/>
                <w:szCs w:val="14"/>
                <w:lang w:val="en-US"/>
              </w:rPr>
            </w:pPr>
            <w:r w:rsidRPr="00222917">
              <w:rPr>
                <w:rFonts w:eastAsia="Gulim"/>
                <w:b/>
                <w:bCs/>
                <w:i/>
                <w:sz w:val="14"/>
                <w:szCs w:val="14"/>
                <w:lang w:val="en-US"/>
              </w:rPr>
              <w:t>Total</w:t>
            </w:r>
          </w:p>
        </w:tc>
        <w:tc>
          <w:tcPr>
            <w:tcW w:w="680" w:type="dxa"/>
            <w:gridSpan w:val="4"/>
            <w:tcBorders>
              <w:top w:val="single" w:sz="4" w:space="0" w:color="000000"/>
              <w:bottom w:val="single" w:sz="4" w:space="0" w:color="000000"/>
            </w:tcBorders>
            <w:shd w:val="clear" w:color="auto" w:fill="auto"/>
            <w:vAlign w:val="bottom"/>
          </w:tcPr>
          <w:p w:rsidR="00DB5371" w:rsidRPr="00222917" w:rsidRDefault="00DB5371" w:rsidP="0014767D">
            <w:pPr>
              <w:suppressAutoHyphens w:val="0"/>
              <w:spacing w:before="80" w:after="80" w:line="180" w:lineRule="exact"/>
              <w:jc w:val="center"/>
              <w:rPr>
                <w:rFonts w:eastAsia="Gulim"/>
                <w:i/>
                <w:sz w:val="14"/>
                <w:szCs w:val="14"/>
                <w:lang w:val="en-US"/>
              </w:rPr>
            </w:pPr>
            <w:r w:rsidRPr="00222917">
              <w:rPr>
                <w:rFonts w:eastAsia="Gulim"/>
                <w:i/>
                <w:sz w:val="14"/>
                <w:szCs w:val="14"/>
                <w:lang w:val="en-US"/>
              </w:rPr>
              <w:t>Decision</w:t>
            </w:r>
          </w:p>
        </w:tc>
        <w:tc>
          <w:tcPr>
            <w:tcW w:w="680" w:type="dxa"/>
            <w:vMerge w:val="restart"/>
            <w:tcBorders>
              <w:top w:val="single" w:sz="4" w:space="0" w:color="000000"/>
            </w:tcBorders>
            <w:shd w:val="clear" w:color="auto" w:fill="auto"/>
            <w:vAlign w:val="bottom"/>
          </w:tcPr>
          <w:p w:rsidR="00DB5371" w:rsidRPr="00222917" w:rsidRDefault="00DB5371" w:rsidP="0014767D">
            <w:pPr>
              <w:spacing w:before="80" w:after="80" w:line="180" w:lineRule="exact"/>
              <w:jc w:val="right"/>
              <w:rPr>
                <w:rFonts w:eastAsia="Gulim"/>
                <w:i/>
                <w:sz w:val="14"/>
                <w:szCs w:val="14"/>
                <w:lang w:val="en-US"/>
              </w:rPr>
            </w:pPr>
            <w:r w:rsidRPr="00222917">
              <w:rPr>
                <w:rFonts w:eastAsia="Gulim"/>
                <w:i/>
                <w:sz w:val="14"/>
                <w:szCs w:val="14"/>
                <w:lang w:val="en-US"/>
              </w:rPr>
              <w:t>Withdrawal</w:t>
            </w:r>
          </w:p>
        </w:tc>
        <w:tc>
          <w:tcPr>
            <w:tcW w:w="680" w:type="dxa"/>
            <w:vMerge w:val="restart"/>
            <w:tcBorders>
              <w:top w:val="single" w:sz="4" w:space="0" w:color="000000"/>
            </w:tcBorders>
            <w:shd w:val="clear" w:color="auto" w:fill="auto"/>
            <w:vAlign w:val="bottom"/>
          </w:tcPr>
          <w:p w:rsidR="00DB5371" w:rsidRPr="00222917" w:rsidRDefault="00DB5371" w:rsidP="0014767D">
            <w:pPr>
              <w:spacing w:before="80" w:after="80" w:line="180" w:lineRule="exact"/>
              <w:jc w:val="right"/>
              <w:rPr>
                <w:rFonts w:eastAsia="Gulim"/>
                <w:i/>
                <w:sz w:val="14"/>
                <w:szCs w:val="14"/>
                <w:lang w:val="en-US"/>
              </w:rPr>
            </w:pPr>
            <w:r w:rsidRPr="00222917">
              <w:rPr>
                <w:rFonts w:eastAsia="Gulim"/>
                <w:i/>
                <w:sz w:val="14"/>
                <w:szCs w:val="14"/>
                <w:lang w:val="en-US"/>
              </w:rPr>
              <w:t>Mediation</w:t>
            </w:r>
          </w:p>
        </w:tc>
        <w:tc>
          <w:tcPr>
            <w:tcW w:w="680" w:type="dxa"/>
            <w:vMerge w:val="restart"/>
            <w:tcBorders>
              <w:top w:val="single" w:sz="4" w:space="0" w:color="000000"/>
            </w:tcBorders>
            <w:vAlign w:val="bottom"/>
          </w:tcPr>
          <w:p w:rsidR="00DB5371" w:rsidRPr="00222917" w:rsidRDefault="00DB5371" w:rsidP="0014767D">
            <w:pPr>
              <w:spacing w:before="80" w:after="80" w:line="180" w:lineRule="exact"/>
              <w:jc w:val="right"/>
              <w:rPr>
                <w:rFonts w:eastAsia="Gulim"/>
                <w:i/>
                <w:sz w:val="14"/>
                <w:szCs w:val="14"/>
                <w:lang w:val="en-US"/>
              </w:rPr>
            </w:pPr>
            <w:r w:rsidRPr="00222917">
              <w:rPr>
                <w:rFonts w:eastAsia="Gulim"/>
                <w:i/>
                <w:sz w:val="14"/>
                <w:szCs w:val="14"/>
                <w:lang w:val="en-US"/>
              </w:rPr>
              <w:t>Arbitration</w:t>
            </w:r>
          </w:p>
        </w:tc>
        <w:tc>
          <w:tcPr>
            <w:tcW w:w="680" w:type="dxa"/>
            <w:vMerge/>
            <w:tcBorders>
              <w:top w:val="nil"/>
              <w:bottom w:val="single" w:sz="12" w:space="0" w:color="auto"/>
            </w:tcBorders>
            <w:shd w:val="clear" w:color="auto" w:fill="auto"/>
            <w:vAlign w:val="bottom"/>
          </w:tcPr>
          <w:p w:rsidR="00DB5371" w:rsidRPr="00222917" w:rsidRDefault="00DB5371" w:rsidP="0014767D">
            <w:pPr>
              <w:spacing w:before="80" w:after="80" w:line="180" w:lineRule="exact"/>
              <w:jc w:val="right"/>
              <w:rPr>
                <w:rFonts w:eastAsia="Gulim"/>
                <w:i/>
                <w:sz w:val="14"/>
                <w:szCs w:val="14"/>
                <w:lang w:val="en-US"/>
              </w:rPr>
            </w:pPr>
          </w:p>
        </w:tc>
      </w:tr>
      <w:tr w:rsidR="00DB5371" w:rsidRPr="00222917" w:rsidTr="0054076C">
        <w:trPr>
          <w:trHeight w:val="240"/>
        </w:trPr>
        <w:tc>
          <w:tcPr>
            <w:tcW w:w="737" w:type="dxa"/>
            <w:vMerge/>
            <w:tcBorders>
              <w:top w:val="nil"/>
              <w:bottom w:val="single" w:sz="12" w:space="0" w:color="auto"/>
            </w:tcBorders>
            <w:shd w:val="clear" w:color="auto" w:fill="auto"/>
          </w:tcPr>
          <w:p w:rsidR="00DB5371" w:rsidRPr="00222917" w:rsidRDefault="00DB5371" w:rsidP="0014767D">
            <w:pPr>
              <w:suppressAutoHyphens w:val="0"/>
              <w:spacing w:before="80" w:after="80" w:line="180" w:lineRule="exact"/>
              <w:rPr>
                <w:rFonts w:eastAsia="Gulim"/>
                <w:i/>
                <w:sz w:val="14"/>
                <w:szCs w:val="14"/>
                <w:lang w:val="en-US"/>
              </w:rPr>
            </w:pPr>
          </w:p>
        </w:tc>
        <w:tc>
          <w:tcPr>
            <w:tcW w:w="680" w:type="dxa"/>
            <w:vMerge/>
            <w:tcBorders>
              <w:bottom w:val="single" w:sz="12" w:space="0" w:color="auto"/>
            </w:tcBorders>
            <w:shd w:val="clear" w:color="auto" w:fill="auto"/>
            <w:vAlign w:val="bottom"/>
          </w:tcPr>
          <w:p w:rsidR="00DB5371" w:rsidRPr="00222917" w:rsidRDefault="00DB5371" w:rsidP="0014767D">
            <w:pPr>
              <w:suppressAutoHyphens w:val="0"/>
              <w:spacing w:before="80" w:after="80" w:line="180" w:lineRule="exact"/>
              <w:jc w:val="right"/>
              <w:rPr>
                <w:rFonts w:eastAsia="Gulim"/>
                <w:b/>
                <w:i/>
                <w:sz w:val="14"/>
                <w:szCs w:val="14"/>
                <w:lang w:val="en-US"/>
              </w:rPr>
            </w:pPr>
          </w:p>
        </w:tc>
        <w:tc>
          <w:tcPr>
            <w:tcW w:w="680" w:type="dxa"/>
            <w:tcBorders>
              <w:top w:val="single" w:sz="4" w:space="0" w:color="000000"/>
              <w:bottom w:val="single" w:sz="12" w:space="0" w:color="auto"/>
            </w:tcBorders>
            <w:shd w:val="clear" w:color="auto" w:fill="auto"/>
            <w:vAlign w:val="bottom"/>
          </w:tcPr>
          <w:p w:rsidR="00DB5371" w:rsidRPr="00222917" w:rsidRDefault="00DB5371" w:rsidP="0014767D">
            <w:pPr>
              <w:suppressAutoHyphens w:val="0"/>
              <w:spacing w:before="80" w:after="80" w:line="180" w:lineRule="exact"/>
              <w:jc w:val="right"/>
              <w:rPr>
                <w:rFonts w:eastAsia="Gulim"/>
                <w:i/>
                <w:sz w:val="14"/>
                <w:szCs w:val="14"/>
                <w:lang w:val="en-US"/>
              </w:rPr>
            </w:pPr>
            <w:r w:rsidRPr="00222917">
              <w:rPr>
                <w:rFonts w:eastAsia="Gulim"/>
                <w:i/>
                <w:sz w:val="14"/>
                <w:szCs w:val="14"/>
                <w:lang w:val="en-US"/>
              </w:rPr>
              <w:t>Subtotal</w:t>
            </w:r>
          </w:p>
        </w:tc>
        <w:tc>
          <w:tcPr>
            <w:tcW w:w="680" w:type="dxa"/>
            <w:tcBorders>
              <w:top w:val="single" w:sz="4" w:space="0" w:color="000000"/>
              <w:bottom w:val="single" w:sz="12" w:space="0" w:color="auto"/>
            </w:tcBorders>
            <w:shd w:val="clear" w:color="auto" w:fill="auto"/>
            <w:vAlign w:val="bottom"/>
          </w:tcPr>
          <w:p w:rsidR="00DB5371" w:rsidRPr="00222917" w:rsidRDefault="00DB5371" w:rsidP="0014767D">
            <w:pPr>
              <w:suppressAutoHyphens w:val="0"/>
              <w:spacing w:before="80" w:after="80" w:line="180" w:lineRule="exact"/>
              <w:jc w:val="right"/>
              <w:rPr>
                <w:rFonts w:eastAsia="Gulim"/>
                <w:i/>
                <w:sz w:val="14"/>
                <w:szCs w:val="14"/>
                <w:lang w:val="en-US"/>
              </w:rPr>
            </w:pPr>
            <w:r w:rsidRPr="00222917">
              <w:rPr>
                <w:rFonts w:eastAsia="Gulim"/>
                <w:i/>
                <w:sz w:val="14"/>
                <w:szCs w:val="14"/>
                <w:lang w:val="en-US"/>
              </w:rPr>
              <w:t>Correction Order</w:t>
            </w:r>
          </w:p>
        </w:tc>
        <w:tc>
          <w:tcPr>
            <w:tcW w:w="680" w:type="dxa"/>
            <w:tcBorders>
              <w:top w:val="single" w:sz="4" w:space="0" w:color="000000"/>
              <w:bottom w:val="single" w:sz="12" w:space="0" w:color="auto"/>
            </w:tcBorders>
            <w:shd w:val="clear" w:color="auto" w:fill="auto"/>
            <w:vAlign w:val="bottom"/>
          </w:tcPr>
          <w:p w:rsidR="00DB5371" w:rsidRPr="00222917" w:rsidRDefault="00DB5371" w:rsidP="0014767D">
            <w:pPr>
              <w:suppressAutoHyphens w:val="0"/>
              <w:spacing w:before="80" w:after="80" w:line="180" w:lineRule="exact"/>
              <w:jc w:val="right"/>
              <w:rPr>
                <w:rFonts w:eastAsia="Gulim"/>
                <w:i/>
                <w:sz w:val="14"/>
                <w:szCs w:val="14"/>
                <w:lang w:val="en-US"/>
              </w:rPr>
            </w:pPr>
            <w:r w:rsidRPr="00222917">
              <w:rPr>
                <w:rFonts w:eastAsia="Gulim"/>
                <w:i/>
                <w:sz w:val="14"/>
                <w:szCs w:val="14"/>
                <w:lang w:val="en-US"/>
              </w:rPr>
              <w:t>Dismissal</w:t>
            </w:r>
          </w:p>
        </w:tc>
        <w:tc>
          <w:tcPr>
            <w:tcW w:w="680" w:type="dxa"/>
            <w:tcBorders>
              <w:top w:val="single" w:sz="4" w:space="0" w:color="000000"/>
              <w:bottom w:val="single" w:sz="12" w:space="0" w:color="auto"/>
            </w:tcBorders>
            <w:shd w:val="clear" w:color="auto" w:fill="auto"/>
            <w:vAlign w:val="bottom"/>
          </w:tcPr>
          <w:p w:rsidR="00DB5371" w:rsidRPr="00222917" w:rsidRDefault="00DB5371" w:rsidP="0014767D">
            <w:pPr>
              <w:suppressAutoHyphens w:val="0"/>
              <w:spacing w:before="80" w:after="80" w:line="180" w:lineRule="exact"/>
              <w:jc w:val="right"/>
              <w:rPr>
                <w:rFonts w:eastAsia="Gulim"/>
                <w:i/>
                <w:sz w:val="14"/>
                <w:szCs w:val="14"/>
                <w:lang w:val="en-US"/>
              </w:rPr>
            </w:pPr>
            <w:r w:rsidRPr="00222917">
              <w:rPr>
                <w:rFonts w:eastAsia="Gulim"/>
                <w:i/>
                <w:sz w:val="14"/>
                <w:szCs w:val="14"/>
                <w:lang w:val="en-US"/>
              </w:rPr>
              <w:t>Rejection</w:t>
            </w:r>
          </w:p>
        </w:tc>
        <w:tc>
          <w:tcPr>
            <w:tcW w:w="680" w:type="dxa"/>
            <w:vMerge/>
            <w:tcBorders>
              <w:bottom w:val="single" w:sz="12" w:space="0" w:color="auto"/>
            </w:tcBorders>
            <w:shd w:val="clear" w:color="auto" w:fill="auto"/>
            <w:vAlign w:val="bottom"/>
          </w:tcPr>
          <w:p w:rsidR="00DB5371" w:rsidRPr="00222917" w:rsidRDefault="00DB5371" w:rsidP="0014767D">
            <w:pPr>
              <w:suppressAutoHyphens w:val="0"/>
              <w:spacing w:before="80" w:after="80" w:line="180" w:lineRule="exact"/>
              <w:jc w:val="right"/>
              <w:rPr>
                <w:rFonts w:eastAsia="Gulim"/>
                <w:i/>
                <w:sz w:val="14"/>
                <w:szCs w:val="14"/>
                <w:lang w:val="en-US"/>
              </w:rPr>
            </w:pPr>
          </w:p>
        </w:tc>
        <w:tc>
          <w:tcPr>
            <w:tcW w:w="680" w:type="dxa"/>
            <w:vMerge/>
            <w:tcBorders>
              <w:bottom w:val="single" w:sz="12" w:space="0" w:color="auto"/>
            </w:tcBorders>
            <w:shd w:val="clear" w:color="auto" w:fill="auto"/>
            <w:vAlign w:val="bottom"/>
          </w:tcPr>
          <w:p w:rsidR="00DB5371" w:rsidRPr="00222917" w:rsidRDefault="00DB5371" w:rsidP="0014767D">
            <w:pPr>
              <w:suppressAutoHyphens w:val="0"/>
              <w:spacing w:before="80" w:after="80" w:line="180" w:lineRule="exact"/>
              <w:jc w:val="right"/>
              <w:rPr>
                <w:rFonts w:eastAsia="Gulim"/>
                <w:i/>
                <w:sz w:val="14"/>
                <w:szCs w:val="14"/>
                <w:lang w:val="en-US"/>
              </w:rPr>
            </w:pPr>
          </w:p>
        </w:tc>
        <w:tc>
          <w:tcPr>
            <w:tcW w:w="680" w:type="dxa"/>
            <w:vMerge/>
            <w:tcBorders>
              <w:bottom w:val="single" w:sz="12" w:space="0" w:color="auto"/>
            </w:tcBorders>
          </w:tcPr>
          <w:p w:rsidR="00DB5371" w:rsidRPr="00222917" w:rsidRDefault="00DB5371" w:rsidP="0014767D">
            <w:pPr>
              <w:suppressAutoHyphens w:val="0"/>
              <w:spacing w:before="80" w:after="80" w:line="180" w:lineRule="exact"/>
              <w:jc w:val="right"/>
              <w:rPr>
                <w:rFonts w:eastAsia="Gulim"/>
                <w:i/>
                <w:sz w:val="14"/>
                <w:szCs w:val="14"/>
                <w:lang w:val="en-US"/>
              </w:rPr>
            </w:pPr>
          </w:p>
        </w:tc>
        <w:tc>
          <w:tcPr>
            <w:tcW w:w="680" w:type="dxa"/>
            <w:vMerge/>
            <w:tcBorders>
              <w:top w:val="nil"/>
              <w:bottom w:val="single" w:sz="12" w:space="0" w:color="auto"/>
            </w:tcBorders>
            <w:shd w:val="clear" w:color="auto" w:fill="auto"/>
            <w:vAlign w:val="bottom"/>
          </w:tcPr>
          <w:p w:rsidR="00DB5371" w:rsidRPr="00222917" w:rsidRDefault="00DB5371" w:rsidP="0014767D">
            <w:pPr>
              <w:suppressAutoHyphens w:val="0"/>
              <w:spacing w:before="80" w:after="80" w:line="180" w:lineRule="exact"/>
              <w:jc w:val="right"/>
              <w:rPr>
                <w:rFonts w:eastAsia="Gulim"/>
                <w:i/>
                <w:sz w:val="14"/>
                <w:szCs w:val="14"/>
                <w:lang w:val="en-US"/>
              </w:rPr>
            </w:pPr>
          </w:p>
        </w:tc>
      </w:tr>
      <w:tr w:rsidR="00453C6E" w:rsidRPr="00222917" w:rsidTr="00EB3979">
        <w:trPr>
          <w:trHeight w:val="240"/>
        </w:trPr>
        <w:tc>
          <w:tcPr>
            <w:tcW w:w="737" w:type="dxa"/>
            <w:tcBorders>
              <w:top w:val="single" w:sz="12" w:space="0" w:color="000000"/>
              <w:bottom w:val="single" w:sz="12" w:space="0" w:color="auto"/>
            </w:tcBorders>
            <w:shd w:val="clear" w:color="auto" w:fill="auto"/>
          </w:tcPr>
          <w:p w:rsidR="00453C6E" w:rsidRPr="00222917" w:rsidRDefault="00453C6E" w:rsidP="0014767D">
            <w:pPr>
              <w:suppressAutoHyphens w:val="0"/>
              <w:spacing w:before="40" w:after="40" w:line="200" w:lineRule="exact"/>
              <w:rPr>
                <w:rFonts w:eastAsia="Gulim"/>
                <w:sz w:val="16"/>
                <w:szCs w:val="16"/>
                <w:lang w:val="en-US"/>
              </w:rPr>
            </w:pPr>
            <w:r w:rsidRPr="00222917">
              <w:rPr>
                <w:rFonts w:eastAsia="Gulim"/>
                <w:sz w:val="16"/>
                <w:szCs w:val="16"/>
                <w:lang w:val="en-US"/>
              </w:rPr>
              <w:t>2,387</w:t>
            </w:r>
          </w:p>
        </w:tc>
        <w:tc>
          <w:tcPr>
            <w:tcW w:w="680" w:type="dxa"/>
            <w:tcBorders>
              <w:top w:val="single" w:sz="12" w:space="0" w:color="000000"/>
              <w:bottom w:val="single" w:sz="12" w:space="0" w:color="auto"/>
            </w:tcBorders>
            <w:shd w:val="clear" w:color="auto" w:fill="auto"/>
            <w:vAlign w:val="bottom"/>
          </w:tcPr>
          <w:p w:rsidR="00453C6E" w:rsidRPr="00222917" w:rsidRDefault="00453C6E" w:rsidP="0014767D">
            <w:pPr>
              <w:suppressAutoHyphens w:val="0"/>
              <w:spacing w:before="40" w:after="40" w:line="200" w:lineRule="exact"/>
              <w:jc w:val="right"/>
              <w:rPr>
                <w:rFonts w:eastAsia="Gulim"/>
                <w:b/>
                <w:sz w:val="16"/>
                <w:szCs w:val="16"/>
                <w:lang w:val="en-US"/>
              </w:rPr>
            </w:pPr>
            <w:r w:rsidRPr="00222917">
              <w:rPr>
                <w:rFonts w:eastAsia="Gulim"/>
                <w:b/>
                <w:sz w:val="16"/>
                <w:szCs w:val="16"/>
                <w:lang w:val="en-US"/>
              </w:rPr>
              <w:t>2,340</w:t>
            </w:r>
          </w:p>
        </w:tc>
        <w:tc>
          <w:tcPr>
            <w:tcW w:w="680" w:type="dxa"/>
            <w:tcBorders>
              <w:top w:val="single" w:sz="12" w:space="0" w:color="000000"/>
              <w:bottom w:val="single" w:sz="12" w:space="0" w:color="auto"/>
            </w:tcBorders>
            <w:shd w:val="clear" w:color="auto" w:fill="auto"/>
            <w:vAlign w:val="bottom"/>
          </w:tcPr>
          <w:p w:rsidR="00453C6E" w:rsidRPr="00222917" w:rsidRDefault="00453C6E" w:rsidP="0014767D">
            <w:pPr>
              <w:suppressAutoHyphens w:val="0"/>
              <w:spacing w:before="40" w:after="40" w:line="200" w:lineRule="exact"/>
              <w:jc w:val="right"/>
              <w:rPr>
                <w:rFonts w:eastAsia="Gulim"/>
                <w:sz w:val="16"/>
                <w:szCs w:val="16"/>
                <w:lang w:val="en-US"/>
              </w:rPr>
            </w:pPr>
            <w:r w:rsidRPr="00222917">
              <w:rPr>
                <w:rFonts w:eastAsia="Gulim"/>
                <w:sz w:val="16"/>
                <w:szCs w:val="16"/>
                <w:lang w:val="en-US"/>
              </w:rPr>
              <w:t>908</w:t>
            </w:r>
          </w:p>
        </w:tc>
        <w:tc>
          <w:tcPr>
            <w:tcW w:w="680" w:type="dxa"/>
            <w:tcBorders>
              <w:top w:val="single" w:sz="12" w:space="0" w:color="000000"/>
              <w:bottom w:val="single" w:sz="12" w:space="0" w:color="auto"/>
            </w:tcBorders>
            <w:shd w:val="clear" w:color="auto" w:fill="auto"/>
            <w:vAlign w:val="bottom"/>
          </w:tcPr>
          <w:p w:rsidR="00453C6E" w:rsidRPr="00222917" w:rsidRDefault="00453C6E" w:rsidP="0014767D">
            <w:pPr>
              <w:suppressAutoHyphens w:val="0"/>
              <w:spacing w:before="40" w:after="40" w:line="200" w:lineRule="exact"/>
              <w:jc w:val="right"/>
              <w:rPr>
                <w:rFonts w:eastAsia="Gulim"/>
                <w:sz w:val="16"/>
                <w:szCs w:val="16"/>
                <w:lang w:val="en-US"/>
              </w:rPr>
            </w:pPr>
            <w:r w:rsidRPr="00222917">
              <w:rPr>
                <w:rFonts w:eastAsia="Gulim"/>
                <w:sz w:val="16"/>
                <w:szCs w:val="16"/>
                <w:lang w:val="en-US"/>
              </w:rPr>
              <w:t>138</w:t>
            </w:r>
          </w:p>
        </w:tc>
        <w:tc>
          <w:tcPr>
            <w:tcW w:w="680" w:type="dxa"/>
            <w:tcBorders>
              <w:top w:val="single" w:sz="12" w:space="0" w:color="000000"/>
              <w:bottom w:val="single" w:sz="12" w:space="0" w:color="auto"/>
            </w:tcBorders>
            <w:shd w:val="clear" w:color="auto" w:fill="auto"/>
            <w:vAlign w:val="bottom"/>
          </w:tcPr>
          <w:p w:rsidR="00453C6E" w:rsidRPr="00222917" w:rsidRDefault="00453C6E" w:rsidP="0014767D">
            <w:pPr>
              <w:suppressAutoHyphens w:val="0"/>
              <w:spacing w:before="40" w:after="40" w:line="200" w:lineRule="exact"/>
              <w:jc w:val="right"/>
              <w:rPr>
                <w:rFonts w:eastAsia="Gulim"/>
                <w:sz w:val="16"/>
                <w:szCs w:val="16"/>
                <w:lang w:val="en-US"/>
              </w:rPr>
            </w:pPr>
            <w:r w:rsidRPr="00222917">
              <w:rPr>
                <w:rFonts w:eastAsia="Gulim"/>
                <w:sz w:val="16"/>
                <w:szCs w:val="16"/>
                <w:lang w:val="en-US"/>
              </w:rPr>
              <w:t>623</w:t>
            </w:r>
          </w:p>
        </w:tc>
        <w:tc>
          <w:tcPr>
            <w:tcW w:w="680" w:type="dxa"/>
            <w:tcBorders>
              <w:top w:val="single" w:sz="12" w:space="0" w:color="000000"/>
              <w:bottom w:val="single" w:sz="12" w:space="0" w:color="auto"/>
            </w:tcBorders>
            <w:shd w:val="clear" w:color="auto" w:fill="auto"/>
            <w:vAlign w:val="bottom"/>
          </w:tcPr>
          <w:p w:rsidR="00453C6E" w:rsidRPr="00222917" w:rsidRDefault="00453C6E" w:rsidP="0014767D">
            <w:pPr>
              <w:suppressAutoHyphens w:val="0"/>
              <w:spacing w:before="40" w:after="40" w:line="200" w:lineRule="exact"/>
              <w:jc w:val="right"/>
              <w:rPr>
                <w:rFonts w:eastAsia="Gulim"/>
                <w:sz w:val="16"/>
                <w:szCs w:val="16"/>
                <w:lang w:val="en-US"/>
              </w:rPr>
            </w:pPr>
            <w:r w:rsidRPr="00222917">
              <w:rPr>
                <w:rFonts w:eastAsia="Gulim"/>
                <w:sz w:val="16"/>
                <w:szCs w:val="16"/>
                <w:lang w:val="en-US"/>
              </w:rPr>
              <w:t>147</w:t>
            </w:r>
          </w:p>
        </w:tc>
        <w:tc>
          <w:tcPr>
            <w:tcW w:w="680" w:type="dxa"/>
            <w:tcBorders>
              <w:top w:val="single" w:sz="12" w:space="0" w:color="000000"/>
              <w:bottom w:val="single" w:sz="12" w:space="0" w:color="auto"/>
            </w:tcBorders>
            <w:shd w:val="clear" w:color="auto" w:fill="auto"/>
            <w:vAlign w:val="bottom"/>
          </w:tcPr>
          <w:p w:rsidR="00453C6E" w:rsidRPr="00222917" w:rsidRDefault="00453C6E" w:rsidP="0014767D">
            <w:pPr>
              <w:suppressAutoHyphens w:val="0"/>
              <w:spacing w:before="40" w:after="40" w:line="200" w:lineRule="exact"/>
              <w:jc w:val="right"/>
              <w:rPr>
                <w:rFonts w:eastAsia="Gulim"/>
                <w:sz w:val="16"/>
                <w:szCs w:val="16"/>
                <w:lang w:val="en-US"/>
              </w:rPr>
            </w:pPr>
            <w:r w:rsidRPr="00222917">
              <w:rPr>
                <w:rFonts w:eastAsia="Gulim"/>
                <w:sz w:val="16"/>
                <w:szCs w:val="16"/>
                <w:lang w:val="en-US"/>
              </w:rPr>
              <w:t>922</w:t>
            </w:r>
          </w:p>
        </w:tc>
        <w:tc>
          <w:tcPr>
            <w:tcW w:w="680" w:type="dxa"/>
            <w:tcBorders>
              <w:top w:val="single" w:sz="12" w:space="0" w:color="000000"/>
              <w:bottom w:val="single" w:sz="12" w:space="0" w:color="auto"/>
            </w:tcBorders>
            <w:shd w:val="clear" w:color="auto" w:fill="auto"/>
            <w:vAlign w:val="bottom"/>
          </w:tcPr>
          <w:p w:rsidR="00453C6E" w:rsidRPr="00222917" w:rsidRDefault="00453C6E" w:rsidP="0014767D">
            <w:pPr>
              <w:suppressAutoHyphens w:val="0"/>
              <w:spacing w:before="40" w:after="40" w:line="200" w:lineRule="exact"/>
              <w:jc w:val="right"/>
              <w:rPr>
                <w:rFonts w:eastAsia="Gulim"/>
                <w:sz w:val="16"/>
                <w:szCs w:val="16"/>
                <w:lang w:val="en-US"/>
              </w:rPr>
            </w:pPr>
            <w:r w:rsidRPr="00222917">
              <w:rPr>
                <w:rFonts w:eastAsia="Gulim"/>
                <w:sz w:val="16"/>
                <w:szCs w:val="16"/>
                <w:lang w:val="en-US"/>
              </w:rPr>
              <w:t>508</w:t>
            </w:r>
          </w:p>
        </w:tc>
        <w:tc>
          <w:tcPr>
            <w:tcW w:w="680" w:type="dxa"/>
            <w:tcBorders>
              <w:top w:val="single" w:sz="12" w:space="0" w:color="000000"/>
              <w:bottom w:val="single" w:sz="12" w:space="0" w:color="auto"/>
            </w:tcBorders>
          </w:tcPr>
          <w:p w:rsidR="00453C6E" w:rsidRPr="00222917" w:rsidRDefault="00453C6E" w:rsidP="0014767D">
            <w:pPr>
              <w:suppressAutoHyphens w:val="0"/>
              <w:spacing w:before="40" w:after="40" w:line="200" w:lineRule="exact"/>
              <w:jc w:val="right"/>
              <w:rPr>
                <w:rFonts w:eastAsia="Gulim"/>
                <w:sz w:val="16"/>
                <w:szCs w:val="16"/>
                <w:lang w:val="en-US"/>
              </w:rPr>
            </w:pPr>
            <w:r w:rsidRPr="00222917">
              <w:rPr>
                <w:rFonts w:eastAsia="Gulim"/>
                <w:sz w:val="16"/>
                <w:szCs w:val="16"/>
                <w:lang w:val="en-US"/>
              </w:rPr>
              <w:t>2</w:t>
            </w:r>
          </w:p>
        </w:tc>
        <w:tc>
          <w:tcPr>
            <w:tcW w:w="680" w:type="dxa"/>
            <w:tcBorders>
              <w:top w:val="single" w:sz="12" w:space="0" w:color="000000"/>
              <w:bottom w:val="single" w:sz="12" w:space="0" w:color="auto"/>
            </w:tcBorders>
            <w:shd w:val="clear" w:color="auto" w:fill="auto"/>
            <w:vAlign w:val="bottom"/>
          </w:tcPr>
          <w:p w:rsidR="00453C6E" w:rsidRPr="00222917" w:rsidRDefault="00453C6E" w:rsidP="0014767D">
            <w:pPr>
              <w:suppressAutoHyphens w:val="0"/>
              <w:spacing w:before="40" w:after="40" w:line="200" w:lineRule="exact"/>
              <w:jc w:val="right"/>
              <w:rPr>
                <w:rFonts w:eastAsia="Gulim"/>
                <w:sz w:val="16"/>
                <w:szCs w:val="16"/>
                <w:lang w:val="en-US"/>
              </w:rPr>
            </w:pPr>
            <w:r w:rsidRPr="00222917">
              <w:rPr>
                <w:rFonts w:eastAsia="Gulim"/>
                <w:sz w:val="16"/>
                <w:szCs w:val="16"/>
                <w:lang w:val="en-US"/>
              </w:rPr>
              <w:t>47</w:t>
            </w:r>
          </w:p>
        </w:tc>
      </w:tr>
    </w:tbl>
    <w:p w:rsidR="002D5BB0" w:rsidRPr="00222917" w:rsidRDefault="00547908" w:rsidP="00547908">
      <w:pPr>
        <w:pStyle w:val="SingleTxtG"/>
        <w:spacing w:before="240"/>
        <w:rPr>
          <w:lang w:val="en-US"/>
        </w:rPr>
      </w:pPr>
      <w:r w:rsidRPr="00222917">
        <w:rPr>
          <w:lang w:val="en-US"/>
        </w:rPr>
        <w:t>47.</w:t>
      </w:r>
      <w:r w:rsidRPr="00222917">
        <w:rPr>
          <w:lang w:val="en-US"/>
        </w:rPr>
        <w:tab/>
      </w:r>
      <w:r w:rsidR="002D5BB0" w:rsidRPr="00222917">
        <w:rPr>
          <w:lang w:val="en-US"/>
        </w:rPr>
        <w:t>Since April 2010, the Gov</w:t>
      </w:r>
      <w:r w:rsidR="0022368D" w:rsidRPr="00222917">
        <w:rPr>
          <w:lang w:val="en-US"/>
        </w:rPr>
        <w:t>ernment has been operating the “</w:t>
      </w:r>
      <w:smartTag w:uri="urn:schemas-microsoft-com:office:smarttags" w:element="place">
        <w:smartTag w:uri="urn:schemas-microsoft-com:office:smarttags" w:element="PlaceName">
          <w:r w:rsidR="002D5BB0" w:rsidRPr="00222917">
            <w:rPr>
              <w:lang w:val="en-US"/>
            </w:rPr>
            <w:t>Support</w:t>
          </w:r>
        </w:smartTag>
        <w:r w:rsidR="002D5BB0" w:rsidRPr="00222917">
          <w:rPr>
            <w:lang w:val="en-US"/>
          </w:rPr>
          <w:t xml:space="preserve"> </w:t>
        </w:r>
        <w:smartTag w:uri="urn:schemas-microsoft-com:office:smarttags" w:element="PlaceType">
          <w:r w:rsidR="002D5BB0" w:rsidRPr="00222917">
            <w:rPr>
              <w:lang w:val="en-US"/>
            </w:rPr>
            <w:t>Center</w:t>
          </w:r>
        </w:smartTag>
      </w:smartTag>
      <w:r w:rsidR="002D5BB0" w:rsidRPr="00222917">
        <w:rPr>
          <w:lang w:val="en-US"/>
        </w:rPr>
        <w:t xml:space="preserve"> for Discrimination-Free Workplace</w:t>
      </w:r>
      <w:r w:rsidR="0022368D" w:rsidRPr="00222917">
        <w:rPr>
          <w:lang w:val="en-US"/>
        </w:rPr>
        <w:t>”</w:t>
      </w:r>
      <w:r w:rsidR="002D5BB0" w:rsidRPr="00222917">
        <w:rPr>
          <w:lang w:val="en-US"/>
        </w:rPr>
        <w:t xml:space="preserve"> to prevent and rectify employment discrimination on grounds of gender, age, disability, and types of employment. The Government intends to provide education for the prevention of discrimination in employment and counseling and consulting services for addressing discrimination in employment, and conduct campaigns through organization of local networks in this regard.</w:t>
      </w:r>
      <w:r w:rsidR="00120D8B" w:rsidRPr="00222917">
        <w:rPr>
          <w:lang w:val="en-US"/>
        </w:rPr>
        <w:t xml:space="preserve"> </w:t>
      </w:r>
    </w:p>
    <w:p w:rsidR="002D5BB0" w:rsidRPr="00222917" w:rsidRDefault="00FA5EC1" w:rsidP="00423A3F">
      <w:pPr>
        <w:pStyle w:val="H1G"/>
        <w:rPr>
          <w:lang w:val="en-US"/>
        </w:rPr>
      </w:pPr>
      <w:r w:rsidRPr="00222917">
        <w:rPr>
          <w:lang w:val="en-US"/>
        </w:rPr>
        <w:tab/>
      </w:r>
      <w:r w:rsidRPr="00222917">
        <w:rPr>
          <w:lang w:val="en-US"/>
        </w:rPr>
        <w:tab/>
      </w:r>
      <w:r w:rsidR="002D5BB0" w:rsidRPr="00222917">
        <w:rPr>
          <w:lang w:val="en-US"/>
        </w:rPr>
        <w:t>Paragraph 2</w:t>
      </w:r>
    </w:p>
    <w:p w:rsidR="002D5BB0" w:rsidRPr="00222917" w:rsidRDefault="00FA5EC1" w:rsidP="00423A3F">
      <w:pPr>
        <w:pStyle w:val="H23G"/>
        <w:rPr>
          <w:lang w:val="en-US"/>
        </w:rPr>
      </w:pPr>
      <w:r w:rsidRPr="00222917">
        <w:rPr>
          <w:lang w:val="en-US"/>
        </w:rPr>
        <w:tab/>
      </w:r>
      <w:r w:rsidRPr="00222917">
        <w:rPr>
          <w:lang w:val="en-US"/>
        </w:rPr>
        <w:tab/>
      </w:r>
      <w:r w:rsidR="002D5BB0" w:rsidRPr="00222917">
        <w:rPr>
          <w:lang w:val="en-US"/>
        </w:rPr>
        <w:t>Bills and National Policy Related to Anti-Discrimination</w:t>
      </w:r>
    </w:p>
    <w:p w:rsidR="002D5BB0" w:rsidRPr="00222917" w:rsidRDefault="00547908" w:rsidP="00547908">
      <w:pPr>
        <w:pStyle w:val="SingleTxtG"/>
        <w:rPr>
          <w:lang w:val="en-US"/>
        </w:rPr>
      </w:pPr>
      <w:r w:rsidRPr="00222917">
        <w:rPr>
          <w:lang w:val="en-US"/>
        </w:rPr>
        <w:t>48.</w:t>
      </w:r>
      <w:r w:rsidRPr="00222917">
        <w:rPr>
          <w:lang w:val="en-US"/>
        </w:rPr>
        <w:tab/>
      </w:r>
      <w:r w:rsidR="002D5BB0" w:rsidRPr="00222917">
        <w:rPr>
          <w:lang w:val="en-US"/>
        </w:rPr>
        <w:t xml:space="preserve">The Government </w:t>
      </w:r>
      <w:r w:rsidR="002D5BB0" w:rsidRPr="00222917">
        <w:rPr>
          <w:bCs/>
          <w:lang w:val="en-US"/>
        </w:rPr>
        <w:t>examines</w:t>
      </w:r>
      <w:r w:rsidR="002D5BB0" w:rsidRPr="00222917">
        <w:rPr>
          <w:lang w:val="en-US"/>
        </w:rPr>
        <w:t xml:space="preserve"> the need for an enactment of a general and comprehensive anti-discrimination legislation and grounds and areas of discrimination. Details of legislation for anti-discrimi</w:t>
      </w:r>
      <w:r w:rsidR="001A2BB2" w:rsidRPr="00222917">
        <w:rPr>
          <w:lang w:val="en-US"/>
        </w:rPr>
        <w:t xml:space="preserve">nation are set forth in </w:t>
      </w:r>
      <w:r w:rsidR="00681EC0" w:rsidRPr="00222917">
        <w:rPr>
          <w:lang w:val="en-US"/>
        </w:rPr>
        <w:t>a</w:t>
      </w:r>
      <w:r w:rsidR="001A2BB2" w:rsidRPr="00222917">
        <w:rPr>
          <w:lang w:val="en-US"/>
        </w:rPr>
        <w:t>rticle </w:t>
      </w:r>
      <w:r w:rsidR="002D5BB0" w:rsidRPr="00222917">
        <w:rPr>
          <w:lang w:val="en-US"/>
        </w:rPr>
        <w:t xml:space="preserve">26. </w:t>
      </w:r>
    </w:p>
    <w:p w:rsidR="002D5BB0" w:rsidRPr="00222917" w:rsidRDefault="00FA5EC1" w:rsidP="00423A3F">
      <w:pPr>
        <w:pStyle w:val="H1G"/>
        <w:rPr>
          <w:lang w:val="en-US"/>
        </w:rPr>
      </w:pPr>
      <w:r w:rsidRPr="00222917">
        <w:rPr>
          <w:lang w:val="en-US"/>
        </w:rPr>
        <w:tab/>
      </w:r>
      <w:r w:rsidRPr="00222917">
        <w:rPr>
          <w:lang w:val="en-US"/>
        </w:rPr>
        <w:tab/>
      </w:r>
      <w:r w:rsidR="002D5BB0" w:rsidRPr="00222917">
        <w:rPr>
          <w:lang w:val="en-US"/>
        </w:rPr>
        <w:t>Paragraph 3</w:t>
      </w:r>
    </w:p>
    <w:p w:rsidR="002D5BB0" w:rsidRPr="00222917" w:rsidRDefault="00FA5EC1" w:rsidP="00423A3F">
      <w:pPr>
        <w:pStyle w:val="H23G"/>
        <w:rPr>
          <w:lang w:val="en-US"/>
        </w:rPr>
      </w:pPr>
      <w:r w:rsidRPr="00222917">
        <w:rPr>
          <w:lang w:val="en-US"/>
        </w:rPr>
        <w:tab/>
      </w:r>
      <w:r w:rsidRPr="00222917">
        <w:rPr>
          <w:lang w:val="en-US"/>
        </w:rPr>
        <w:tab/>
      </w:r>
      <w:r w:rsidR="002D5BB0" w:rsidRPr="00222917">
        <w:rPr>
          <w:lang w:val="en-US"/>
        </w:rPr>
        <w:t>Investigations and Recommendations by the National Human Rights Commission of</w:t>
      </w:r>
      <w:r w:rsidR="00423A3F" w:rsidRPr="00222917">
        <w:rPr>
          <w:lang w:val="en-US"/>
        </w:rPr>
        <w:t> </w:t>
      </w:r>
      <w:smartTag w:uri="urn:schemas-microsoft-com:office:smarttags" w:element="place">
        <w:smartTag w:uri="urn:schemas-microsoft-com:office:smarttags" w:element="country-region">
          <w:r w:rsidR="002D5BB0" w:rsidRPr="00222917">
            <w:rPr>
              <w:lang w:val="en-US"/>
            </w:rPr>
            <w:t>Korea</w:t>
          </w:r>
        </w:smartTag>
      </w:smartTag>
      <w:r w:rsidR="002D5BB0" w:rsidRPr="00222917">
        <w:rPr>
          <w:lang w:val="en-US"/>
        </w:rPr>
        <w:t xml:space="preserve"> in Respon</w:t>
      </w:r>
      <w:r w:rsidRPr="00222917">
        <w:rPr>
          <w:lang w:val="en-US"/>
        </w:rPr>
        <w:t>se to Discrimination Complaints</w:t>
      </w:r>
    </w:p>
    <w:p w:rsidR="002D5BB0" w:rsidRPr="00222917" w:rsidRDefault="00547908" w:rsidP="00547908">
      <w:pPr>
        <w:pStyle w:val="SingleTxtG"/>
        <w:rPr>
          <w:lang w:val="en-US"/>
        </w:rPr>
      </w:pPr>
      <w:r w:rsidRPr="00222917">
        <w:rPr>
          <w:lang w:val="en-US"/>
        </w:rPr>
        <w:t>49.</w:t>
      </w:r>
      <w:r w:rsidRPr="00222917">
        <w:rPr>
          <w:lang w:val="en-US"/>
        </w:rPr>
        <w:tab/>
      </w:r>
      <w:r w:rsidR="002D5BB0" w:rsidRPr="00222917">
        <w:rPr>
          <w:lang w:val="en-US"/>
        </w:rPr>
        <w:t xml:space="preserve">The National Human Rights Commission of </w:t>
      </w:r>
      <w:smartTag w:uri="urn:schemas-microsoft-com:office:smarttags" w:element="place">
        <w:smartTag w:uri="urn:schemas-microsoft-com:office:smarttags" w:element="country-region">
          <w:r w:rsidR="002D5BB0" w:rsidRPr="00222917">
            <w:rPr>
              <w:lang w:val="en-US"/>
            </w:rPr>
            <w:t>Korea</w:t>
          </w:r>
        </w:smartTag>
      </w:smartTag>
      <w:r w:rsidR="002D5BB0" w:rsidRPr="00222917">
        <w:rPr>
          <w:lang w:val="en-US"/>
        </w:rPr>
        <w:t>’s mandate to conduct investigations in response to complaints against human rights violations and discriminatory acts as well as the methods for complaints filing were explained in the third report (CCPR/C/KOR/2005/</w:t>
      </w:r>
      <w:r w:rsidR="00FA5EC1" w:rsidRPr="00222917">
        <w:rPr>
          <w:lang w:val="en-US"/>
        </w:rPr>
        <w:t xml:space="preserve">3, paras. 49 and </w:t>
      </w:r>
      <w:r w:rsidR="002D5BB0" w:rsidRPr="00222917">
        <w:rPr>
          <w:lang w:val="en-US"/>
        </w:rPr>
        <w:t xml:space="preserve">50). </w:t>
      </w:r>
    </w:p>
    <w:p w:rsidR="002D5BB0" w:rsidRPr="00222917" w:rsidRDefault="00547908" w:rsidP="00547908">
      <w:pPr>
        <w:pStyle w:val="SingleTxtG"/>
        <w:rPr>
          <w:lang w:val="en-US"/>
        </w:rPr>
      </w:pPr>
      <w:r w:rsidRPr="00222917">
        <w:rPr>
          <w:lang w:val="en-US"/>
        </w:rPr>
        <w:t>50.</w:t>
      </w:r>
      <w:r w:rsidRPr="00222917">
        <w:rPr>
          <w:lang w:val="en-US"/>
        </w:rPr>
        <w:tab/>
      </w:r>
      <w:r w:rsidR="002D5BB0" w:rsidRPr="00222917">
        <w:rPr>
          <w:lang w:val="en-US"/>
        </w:rPr>
        <w:t xml:space="preserve">The National Human Rights Commission of Korea issued 72 recommendations with respect to verbal and physical sexual harassments occurring in business and employment relations; 93 recommendations concerning age-based discrimination in employment and recruitment, and </w:t>
      </w:r>
      <w:r w:rsidR="002D5BB0" w:rsidRPr="00222917">
        <w:rPr>
          <w:bCs/>
          <w:lang w:val="en-US"/>
        </w:rPr>
        <w:t>discrimination</w:t>
      </w:r>
      <w:r w:rsidR="002D5BB0" w:rsidRPr="00222917">
        <w:rPr>
          <w:lang w:val="en-US"/>
        </w:rPr>
        <w:t xml:space="preserve"> in education, placement, promotion, and wages; and 84</w:t>
      </w:r>
      <w:r w:rsidR="00EB4B4B" w:rsidRPr="00222917">
        <w:rPr>
          <w:lang w:val="en-US"/>
        </w:rPr>
        <w:t> </w:t>
      </w:r>
      <w:r w:rsidR="002D5BB0" w:rsidRPr="00222917">
        <w:rPr>
          <w:lang w:val="en-US"/>
        </w:rPr>
        <w:t>recommendations regarding discriminatory acts against person with disabilities including in the process of detainment and investigation. The Commission recommended prohibition of discriminatory acts concerning 27 discrimination cases on grounds of gender in recruitment, wage, promotion, membership, and provision of services. It made recommendations regarding 11 discrimination cases concerning medical history, requesting the revision of rules that refuse to employ a person on ground</w:t>
      </w:r>
      <w:r w:rsidR="00CE6218" w:rsidRPr="00222917">
        <w:rPr>
          <w:lang w:val="en-US"/>
        </w:rPr>
        <w:t>s that he or she is a hepatitis </w:t>
      </w:r>
      <w:r w:rsidR="002D5BB0" w:rsidRPr="00222917">
        <w:rPr>
          <w:lang w:val="en-US"/>
        </w:rPr>
        <w:t xml:space="preserve">B virus carrier. In addition, the Commission issued recommendations regarding discriminatory acts based on country of origin, appearance, marital status, sexual orientation, educational background, and others. </w:t>
      </w:r>
    </w:p>
    <w:p w:rsidR="002D5BB0" w:rsidRPr="00222917" w:rsidRDefault="00EB4B4B" w:rsidP="00EB4B4B">
      <w:pPr>
        <w:pStyle w:val="H23G"/>
        <w:rPr>
          <w:b w:val="0"/>
          <w:sz w:val="16"/>
          <w:szCs w:val="16"/>
          <w:lang w:val="en-US"/>
        </w:rPr>
      </w:pPr>
      <w:r w:rsidRPr="00222917">
        <w:rPr>
          <w:lang w:val="en-US"/>
        </w:rPr>
        <w:tab/>
      </w:r>
      <w:r w:rsidRPr="00222917">
        <w:rPr>
          <w:lang w:val="en-US"/>
        </w:rPr>
        <w:tab/>
      </w:r>
      <w:r w:rsidR="002D5BB0" w:rsidRPr="00222917">
        <w:rPr>
          <w:lang w:val="en-US"/>
        </w:rPr>
        <w:t>Complaints Received Concerning Discriminatory Acts by Area</w:t>
      </w:r>
      <w:r w:rsidRPr="00222917">
        <w:rPr>
          <w:lang w:val="en-US"/>
        </w:rPr>
        <w:br/>
      </w:r>
      <w:r w:rsidR="002D5BB0" w:rsidRPr="00222917">
        <w:rPr>
          <w:b w:val="0"/>
          <w:sz w:val="16"/>
          <w:szCs w:val="16"/>
          <w:lang w:val="en-US"/>
        </w:rPr>
        <w:t>(Number of cases, %)</w:t>
      </w:r>
    </w:p>
    <w:tbl>
      <w:tblPr>
        <w:tblW w:w="7371" w:type="dxa"/>
        <w:tblInd w:w="1134" w:type="dxa"/>
        <w:tblBorders>
          <w:top w:val="single" w:sz="4" w:space="0" w:color="auto"/>
        </w:tblBorders>
        <w:tblLayout w:type="fixed"/>
        <w:tblCellMar>
          <w:left w:w="0" w:type="dxa"/>
          <w:right w:w="0" w:type="dxa"/>
        </w:tblCellMar>
        <w:tblLook w:val="0000"/>
      </w:tblPr>
      <w:tblGrid>
        <w:gridCol w:w="1417"/>
        <w:gridCol w:w="1418"/>
        <w:gridCol w:w="567"/>
        <w:gridCol w:w="567"/>
        <w:gridCol w:w="567"/>
        <w:gridCol w:w="567"/>
        <w:gridCol w:w="567"/>
        <w:gridCol w:w="567"/>
        <w:gridCol w:w="567"/>
        <w:gridCol w:w="567"/>
      </w:tblGrid>
      <w:tr w:rsidR="006E1F63" w:rsidRPr="00222917" w:rsidTr="00F651A1">
        <w:trPr>
          <w:trHeight w:val="240"/>
          <w:tblHeader/>
        </w:trPr>
        <w:tc>
          <w:tcPr>
            <w:tcW w:w="1418" w:type="dxa"/>
            <w:gridSpan w:val="2"/>
            <w:tcBorders>
              <w:top w:val="single" w:sz="4" w:space="0" w:color="auto"/>
              <w:bottom w:val="single" w:sz="12" w:space="0" w:color="auto"/>
            </w:tcBorders>
            <w:shd w:val="clear" w:color="auto" w:fill="auto"/>
            <w:vAlign w:val="bottom"/>
          </w:tcPr>
          <w:p w:rsidR="002D5BB0" w:rsidRPr="00222917" w:rsidRDefault="002D5BB0" w:rsidP="00A5088D">
            <w:pPr>
              <w:pStyle w:val="SingleTxtG"/>
              <w:suppressAutoHyphens w:val="0"/>
              <w:spacing w:before="80" w:after="80" w:line="200" w:lineRule="exact"/>
              <w:ind w:left="0" w:right="0"/>
              <w:jc w:val="left"/>
              <w:rPr>
                <w:i/>
                <w:sz w:val="16"/>
                <w:lang w:val="en-US"/>
              </w:rPr>
            </w:pPr>
            <w:r w:rsidRPr="00222917">
              <w:rPr>
                <w:i/>
                <w:sz w:val="16"/>
                <w:lang w:val="en-US"/>
              </w:rPr>
              <w:t>Description</w:t>
            </w:r>
          </w:p>
        </w:tc>
        <w:tc>
          <w:tcPr>
            <w:tcW w:w="567" w:type="dxa"/>
            <w:tcBorders>
              <w:top w:val="single" w:sz="4" w:space="0" w:color="auto"/>
              <w:bottom w:val="single" w:sz="12" w:space="0" w:color="auto"/>
            </w:tcBorders>
            <w:shd w:val="clear" w:color="auto" w:fill="auto"/>
            <w:vAlign w:val="bottom"/>
          </w:tcPr>
          <w:p w:rsidR="002D5BB0" w:rsidRPr="00222917" w:rsidRDefault="002D5BB0" w:rsidP="00A5088D">
            <w:pPr>
              <w:pStyle w:val="SingleTxtG"/>
              <w:suppressAutoHyphens w:val="0"/>
              <w:spacing w:before="80" w:after="80" w:line="200" w:lineRule="exact"/>
              <w:ind w:left="0" w:right="0"/>
              <w:jc w:val="right"/>
              <w:rPr>
                <w:b/>
                <w:i/>
                <w:sz w:val="16"/>
                <w:lang w:val="en-US"/>
              </w:rPr>
            </w:pPr>
            <w:r w:rsidRPr="00222917">
              <w:rPr>
                <w:b/>
                <w:i/>
                <w:sz w:val="16"/>
                <w:lang w:val="en-US"/>
              </w:rPr>
              <w:t>Total</w:t>
            </w:r>
          </w:p>
        </w:tc>
        <w:tc>
          <w:tcPr>
            <w:tcW w:w="567" w:type="dxa"/>
            <w:tcBorders>
              <w:top w:val="single" w:sz="4" w:space="0" w:color="auto"/>
              <w:bottom w:val="single" w:sz="12" w:space="0" w:color="auto"/>
            </w:tcBorders>
            <w:shd w:val="clear" w:color="auto" w:fill="auto"/>
            <w:vAlign w:val="bottom"/>
          </w:tcPr>
          <w:p w:rsidR="002D5BB0" w:rsidRPr="00222917" w:rsidRDefault="002D5BB0" w:rsidP="00A5088D">
            <w:pPr>
              <w:pStyle w:val="SingleTxtG"/>
              <w:suppressAutoHyphens w:val="0"/>
              <w:spacing w:before="80" w:after="80" w:line="200" w:lineRule="exact"/>
              <w:ind w:left="0" w:right="0"/>
              <w:jc w:val="right"/>
              <w:rPr>
                <w:i/>
                <w:sz w:val="16"/>
                <w:lang w:val="en-US"/>
              </w:rPr>
            </w:pPr>
            <w:r w:rsidRPr="00222917">
              <w:rPr>
                <w:i/>
                <w:sz w:val="16"/>
                <w:lang w:val="en-US"/>
              </w:rPr>
              <w:t>2004</w:t>
            </w:r>
          </w:p>
        </w:tc>
        <w:tc>
          <w:tcPr>
            <w:tcW w:w="567" w:type="dxa"/>
            <w:tcBorders>
              <w:top w:val="single" w:sz="4" w:space="0" w:color="auto"/>
              <w:bottom w:val="single" w:sz="12" w:space="0" w:color="auto"/>
            </w:tcBorders>
            <w:shd w:val="clear" w:color="auto" w:fill="auto"/>
            <w:vAlign w:val="bottom"/>
          </w:tcPr>
          <w:p w:rsidR="002D5BB0" w:rsidRPr="00222917" w:rsidRDefault="002D5BB0" w:rsidP="00A5088D">
            <w:pPr>
              <w:pStyle w:val="SingleTxtG"/>
              <w:suppressAutoHyphens w:val="0"/>
              <w:spacing w:before="80" w:after="80" w:line="200" w:lineRule="exact"/>
              <w:ind w:left="0" w:right="0"/>
              <w:jc w:val="right"/>
              <w:rPr>
                <w:i/>
                <w:sz w:val="16"/>
                <w:lang w:val="en-US"/>
              </w:rPr>
            </w:pPr>
            <w:r w:rsidRPr="00222917">
              <w:rPr>
                <w:i/>
                <w:sz w:val="16"/>
                <w:lang w:val="en-US"/>
              </w:rPr>
              <w:t>2005</w:t>
            </w:r>
          </w:p>
        </w:tc>
        <w:tc>
          <w:tcPr>
            <w:tcW w:w="567" w:type="dxa"/>
            <w:tcBorders>
              <w:top w:val="single" w:sz="4" w:space="0" w:color="auto"/>
              <w:bottom w:val="single" w:sz="12" w:space="0" w:color="auto"/>
            </w:tcBorders>
            <w:shd w:val="clear" w:color="auto" w:fill="auto"/>
            <w:vAlign w:val="bottom"/>
          </w:tcPr>
          <w:p w:rsidR="002D5BB0" w:rsidRPr="00222917" w:rsidRDefault="002D5BB0" w:rsidP="00A5088D">
            <w:pPr>
              <w:pStyle w:val="SingleTxtG"/>
              <w:suppressAutoHyphens w:val="0"/>
              <w:spacing w:before="80" w:after="80" w:line="200" w:lineRule="exact"/>
              <w:ind w:left="0" w:right="0"/>
              <w:jc w:val="right"/>
              <w:rPr>
                <w:i/>
                <w:sz w:val="16"/>
                <w:lang w:val="en-US"/>
              </w:rPr>
            </w:pPr>
            <w:r w:rsidRPr="00222917">
              <w:rPr>
                <w:i/>
                <w:sz w:val="16"/>
                <w:lang w:val="en-US"/>
              </w:rPr>
              <w:t>2006</w:t>
            </w:r>
          </w:p>
        </w:tc>
        <w:tc>
          <w:tcPr>
            <w:tcW w:w="567" w:type="dxa"/>
            <w:tcBorders>
              <w:top w:val="single" w:sz="4" w:space="0" w:color="auto"/>
              <w:bottom w:val="single" w:sz="12" w:space="0" w:color="auto"/>
            </w:tcBorders>
            <w:shd w:val="clear" w:color="auto" w:fill="auto"/>
            <w:vAlign w:val="bottom"/>
          </w:tcPr>
          <w:p w:rsidR="002D5BB0" w:rsidRPr="00222917" w:rsidRDefault="002D5BB0" w:rsidP="00A5088D">
            <w:pPr>
              <w:pStyle w:val="SingleTxtG"/>
              <w:suppressAutoHyphens w:val="0"/>
              <w:spacing w:before="80" w:after="80" w:line="200" w:lineRule="exact"/>
              <w:ind w:left="0" w:right="0"/>
              <w:jc w:val="right"/>
              <w:rPr>
                <w:i/>
                <w:sz w:val="16"/>
                <w:lang w:val="en-US"/>
              </w:rPr>
            </w:pPr>
            <w:r w:rsidRPr="00222917">
              <w:rPr>
                <w:i/>
                <w:sz w:val="16"/>
                <w:lang w:val="en-US"/>
              </w:rPr>
              <w:t>2007</w:t>
            </w:r>
          </w:p>
        </w:tc>
        <w:tc>
          <w:tcPr>
            <w:tcW w:w="567" w:type="dxa"/>
            <w:tcBorders>
              <w:top w:val="single" w:sz="4" w:space="0" w:color="auto"/>
              <w:bottom w:val="single" w:sz="12" w:space="0" w:color="auto"/>
            </w:tcBorders>
            <w:shd w:val="clear" w:color="auto" w:fill="auto"/>
            <w:vAlign w:val="bottom"/>
          </w:tcPr>
          <w:p w:rsidR="002D5BB0" w:rsidRPr="00222917" w:rsidRDefault="002D5BB0" w:rsidP="00A5088D">
            <w:pPr>
              <w:pStyle w:val="SingleTxtG"/>
              <w:suppressAutoHyphens w:val="0"/>
              <w:spacing w:before="80" w:after="80" w:line="200" w:lineRule="exact"/>
              <w:ind w:left="0" w:right="0"/>
              <w:jc w:val="right"/>
              <w:rPr>
                <w:i/>
                <w:sz w:val="16"/>
                <w:lang w:val="en-US"/>
              </w:rPr>
            </w:pPr>
            <w:r w:rsidRPr="00222917">
              <w:rPr>
                <w:i/>
                <w:sz w:val="16"/>
                <w:lang w:val="en-US"/>
              </w:rPr>
              <w:t>2008</w:t>
            </w:r>
          </w:p>
        </w:tc>
        <w:tc>
          <w:tcPr>
            <w:tcW w:w="567" w:type="dxa"/>
            <w:tcBorders>
              <w:top w:val="single" w:sz="4" w:space="0" w:color="auto"/>
              <w:bottom w:val="single" w:sz="12" w:space="0" w:color="auto"/>
            </w:tcBorders>
            <w:shd w:val="clear" w:color="auto" w:fill="auto"/>
            <w:vAlign w:val="bottom"/>
          </w:tcPr>
          <w:p w:rsidR="002D5BB0" w:rsidRPr="00222917" w:rsidRDefault="002D5BB0" w:rsidP="00A5088D">
            <w:pPr>
              <w:pStyle w:val="SingleTxtG"/>
              <w:suppressAutoHyphens w:val="0"/>
              <w:spacing w:before="80" w:after="80" w:line="200" w:lineRule="exact"/>
              <w:ind w:left="0" w:right="0"/>
              <w:jc w:val="right"/>
              <w:rPr>
                <w:i/>
                <w:sz w:val="16"/>
                <w:lang w:val="en-US"/>
              </w:rPr>
            </w:pPr>
            <w:r w:rsidRPr="00222917">
              <w:rPr>
                <w:i/>
                <w:sz w:val="16"/>
                <w:lang w:val="en-US"/>
              </w:rPr>
              <w:t>2009</w:t>
            </w:r>
          </w:p>
        </w:tc>
        <w:tc>
          <w:tcPr>
            <w:tcW w:w="567" w:type="dxa"/>
            <w:tcBorders>
              <w:top w:val="single" w:sz="4" w:space="0" w:color="auto"/>
              <w:bottom w:val="single" w:sz="12" w:space="0" w:color="auto"/>
            </w:tcBorders>
            <w:shd w:val="clear" w:color="auto" w:fill="auto"/>
            <w:vAlign w:val="bottom"/>
          </w:tcPr>
          <w:p w:rsidR="002D5BB0" w:rsidRPr="00222917" w:rsidRDefault="002D5BB0" w:rsidP="00A5088D">
            <w:pPr>
              <w:pStyle w:val="SingleTxtG"/>
              <w:suppressAutoHyphens w:val="0"/>
              <w:spacing w:before="80" w:after="80" w:line="200" w:lineRule="exact"/>
              <w:ind w:left="0" w:right="0"/>
              <w:jc w:val="right"/>
              <w:rPr>
                <w:i/>
                <w:sz w:val="16"/>
                <w:lang w:val="en-US"/>
              </w:rPr>
            </w:pPr>
            <w:r w:rsidRPr="00222917">
              <w:rPr>
                <w:i/>
                <w:sz w:val="16"/>
                <w:lang w:val="en-US"/>
              </w:rPr>
              <w:t>2010</w:t>
            </w:r>
          </w:p>
        </w:tc>
      </w:tr>
      <w:tr w:rsidR="006E1F63" w:rsidRPr="00222917" w:rsidTr="0054076C">
        <w:trPr>
          <w:trHeight w:val="240"/>
        </w:trPr>
        <w:tc>
          <w:tcPr>
            <w:tcW w:w="1418" w:type="dxa"/>
            <w:gridSpan w:val="2"/>
            <w:tcBorders>
              <w:top w:val="single" w:sz="12" w:space="0" w:color="auto"/>
              <w:bottom w:val="single" w:sz="4" w:space="0" w:color="000000"/>
            </w:tcBorders>
            <w:shd w:val="clear" w:color="auto" w:fill="auto"/>
          </w:tcPr>
          <w:p w:rsidR="002D5BB0" w:rsidRPr="00222917" w:rsidRDefault="002D5BB0" w:rsidP="00A5088D">
            <w:pPr>
              <w:pStyle w:val="SingleTxtG"/>
              <w:suppressAutoHyphens w:val="0"/>
              <w:spacing w:before="80" w:after="80" w:line="220" w:lineRule="exact"/>
              <w:ind w:left="284" w:right="0"/>
              <w:jc w:val="left"/>
              <w:rPr>
                <w:b/>
                <w:sz w:val="18"/>
                <w:lang w:val="en-US"/>
              </w:rPr>
            </w:pPr>
            <w:r w:rsidRPr="00222917">
              <w:rPr>
                <w:b/>
                <w:sz w:val="18"/>
                <w:lang w:val="en-US"/>
              </w:rPr>
              <w:t>Total</w:t>
            </w:r>
          </w:p>
        </w:tc>
        <w:tc>
          <w:tcPr>
            <w:tcW w:w="567" w:type="dxa"/>
            <w:tcBorders>
              <w:top w:val="single" w:sz="12" w:space="0" w:color="auto"/>
              <w:bottom w:val="single" w:sz="4" w:space="0" w:color="000000"/>
            </w:tcBorders>
            <w:shd w:val="clear" w:color="auto" w:fill="auto"/>
            <w:vAlign w:val="bottom"/>
          </w:tcPr>
          <w:p w:rsidR="002D5BB0" w:rsidRPr="00222917" w:rsidRDefault="002D5BB0" w:rsidP="00A5088D">
            <w:pPr>
              <w:pStyle w:val="SingleTxtG"/>
              <w:suppressAutoHyphens w:val="0"/>
              <w:spacing w:before="80" w:after="80" w:line="220" w:lineRule="exact"/>
              <w:ind w:left="0" w:right="0"/>
              <w:jc w:val="right"/>
              <w:rPr>
                <w:b/>
                <w:sz w:val="18"/>
                <w:lang w:val="en-US"/>
              </w:rPr>
            </w:pPr>
            <w:r w:rsidRPr="00222917">
              <w:rPr>
                <w:b/>
                <w:sz w:val="18"/>
                <w:lang w:val="en-US"/>
              </w:rPr>
              <w:t>625</w:t>
            </w:r>
          </w:p>
        </w:tc>
        <w:tc>
          <w:tcPr>
            <w:tcW w:w="567" w:type="dxa"/>
            <w:tcBorders>
              <w:top w:val="single" w:sz="12" w:space="0" w:color="auto"/>
              <w:bottom w:val="single" w:sz="4" w:space="0" w:color="000000"/>
            </w:tcBorders>
            <w:shd w:val="clear" w:color="auto" w:fill="auto"/>
            <w:vAlign w:val="bottom"/>
          </w:tcPr>
          <w:p w:rsidR="002D5BB0" w:rsidRPr="00222917" w:rsidRDefault="002D5BB0" w:rsidP="00A5088D">
            <w:pPr>
              <w:pStyle w:val="SingleTxtG"/>
              <w:suppressAutoHyphens w:val="0"/>
              <w:spacing w:before="80" w:after="80" w:line="220" w:lineRule="exact"/>
              <w:ind w:left="0" w:right="0"/>
              <w:jc w:val="right"/>
              <w:rPr>
                <w:b/>
                <w:sz w:val="18"/>
                <w:lang w:val="en-US"/>
              </w:rPr>
            </w:pPr>
            <w:r w:rsidRPr="00222917">
              <w:rPr>
                <w:b/>
                <w:sz w:val="18"/>
                <w:lang w:val="en-US"/>
              </w:rPr>
              <w:t>22</w:t>
            </w:r>
          </w:p>
        </w:tc>
        <w:tc>
          <w:tcPr>
            <w:tcW w:w="567" w:type="dxa"/>
            <w:tcBorders>
              <w:top w:val="single" w:sz="12" w:space="0" w:color="auto"/>
              <w:bottom w:val="single" w:sz="4" w:space="0" w:color="000000"/>
            </w:tcBorders>
            <w:shd w:val="clear" w:color="auto" w:fill="auto"/>
            <w:vAlign w:val="bottom"/>
          </w:tcPr>
          <w:p w:rsidR="002D5BB0" w:rsidRPr="00222917" w:rsidRDefault="002D5BB0" w:rsidP="00A5088D">
            <w:pPr>
              <w:pStyle w:val="SingleTxtG"/>
              <w:suppressAutoHyphens w:val="0"/>
              <w:spacing w:before="80" w:after="80" w:line="220" w:lineRule="exact"/>
              <w:ind w:left="0" w:right="0"/>
              <w:jc w:val="right"/>
              <w:rPr>
                <w:b/>
                <w:sz w:val="18"/>
                <w:lang w:val="en-US"/>
              </w:rPr>
            </w:pPr>
            <w:r w:rsidRPr="00222917">
              <w:rPr>
                <w:b/>
                <w:sz w:val="18"/>
                <w:lang w:val="en-US"/>
              </w:rPr>
              <w:t>55</w:t>
            </w:r>
          </w:p>
        </w:tc>
        <w:tc>
          <w:tcPr>
            <w:tcW w:w="567" w:type="dxa"/>
            <w:tcBorders>
              <w:top w:val="single" w:sz="12" w:space="0" w:color="auto"/>
              <w:bottom w:val="single" w:sz="4" w:space="0" w:color="000000"/>
            </w:tcBorders>
            <w:shd w:val="clear" w:color="auto" w:fill="auto"/>
            <w:vAlign w:val="bottom"/>
          </w:tcPr>
          <w:p w:rsidR="002D5BB0" w:rsidRPr="00222917" w:rsidRDefault="002D5BB0" w:rsidP="00A5088D">
            <w:pPr>
              <w:pStyle w:val="SingleTxtG"/>
              <w:suppressAutoHyphens w:val="0"/>
              <w:spacing w:before="80" w:after="80" w:line="220" w:lineRule="exact"/>
              <w:ind w:left="0" w:right="0"/>
              <w:jc w:val="right"/>
              <w:rPr>
                <w:b/>
                <w:sz w:val="18"/>
                <w:lang w:val="en-US"/>
              </w:rPr>
            </w:pPr>
            <w:r w:rsidRPr="00222917">
              <w:rPr>
                <w:b/>
                <w:sz w:val="18"/>
                <w:lang w:val="en-US"/>
              </w:rPr>
              <w:t>149</w:t>
            </w:r>
          </w:p>
        </w:tc>
        <w:tc>
          <w:tcPr>
            <w:tcW w:w="567" w:type="dxa"/>
            <w:tcBorders>
              <w:top w:val="single" w:sz="12" w:space="0" w:color="auto"/>
              <w:bottom w:val="single" w:sz="4" w:space="0" w:color="000000"/>
            </w:tcBorders>
            <w:shd w:val="clear" w:color="auto" w:fill="auto"/>
            <w:vAlign w:val="bottom"/>
          </w:tcPr>
          <w:p w:rsidR="002D5BB0" w:rsidRPr="00222917" w:rsidRDefault="002D5BB0" w:rsidP="00A5088D">
            <w:pPr>
              <w:pStyle w:val="SingleTxtG"/>
              <w:suppressAutoHyphens w:val="0"/>
              <w:spacing w:before="80" w:after="80" w:line="220" w:lineRule="exact"/>
              <w:ind w:left="0" w:right="0"/>
              <w:jc w:val="right"/>
              <w:rPr>
                <w:b/>
                <w:sz w:val="18"/>
                <w:lang w:val="en-US"/>
              </w:rPr>
            </w:pPr>
            <w:r w:rsidRPr="00222917">
              <w:rPr>
                <w:b/>
                <w:sz w:val="18"/>
                <w:lang w:val="en-US"/>
              </w:rPr>
              <w:t>116</w:t>
            </w:r>
          </w:p>
        </w:tc>
        <w:tc>
          <w:tcPr>
            <w:tcW w:w="567" w:type="dxa"/>
            <w:tcBorders>
              <w:top w:val="single" w:sz="12" w:space="0" w:color="auto"/>
              <w:bottom w:val="single" w:sz="4" w:space="0" w:color="000000"/>
            </w:tcBorders>
            <w:shd w:val="clear" w:color="auto" w:fill="auto"/>
            <w:vAlign w:val="bottom"/>
          </w:tcPr>
          <w:p w:rsidR="002D5BB0" w:rsidRPr="00222917" w:rsidRDefault="002D5BB0" w:rsidP="00A5088D">
            <w:pPr>
              <w:pStyle w:val="SingleTxtG"/>
              <w:suppressAutoHyphens w:val="0"/>
              <w:spacing w:before="80" w:after="80" w:line="220" w:lineRule="exact"/>
              <w:ind w:left="0" w:right="0"/>
              <w:jc w:val="right"/>
              <w:rPr>
                <w:b/>
                <w:sz w:val="18"/>
                <w:lang w:val="en-US"/>
              </w:rPr>
            </w:pPr>
            <w:r w:rsidRPr="00222917">
              <w:rPr>
                <w:b/>
                <w:sz w:val="18"/>
                <w:lang w:val="en-US"/>
              </w:rPr>
              <w:t>95</w:t>
            </w:r>
          </w:p>
        </w:tc>
        <w:tc>
          <w:tcPr>
            <w:tcW w:w="567" w:type="dxa"/>
            <w:tcBorders>
              <w:top w:val="single" w:sz="12" w:space="0" w:color="auto"/>
              <w:bottom w:val="single" w:sz="4" w:space="0" w:color="000000"/>
            </w:tcBorders>
            <w:shd w:val="clear" w:color="auto" w:fill="auto"/>
            <w:vAlign w:val="bottom"/>
          </w:tcPr>
          <w:p w:rsidR="002D5BB0" w:rsidRPr="00222917" w:rsidRDefault="002D5BB0" w:rsidP="00A5088D">
            <w:pPr>
              <w:pStyle w:val="SingleTxtG"/>
              <w:suppressAutoHyphens w:val="0"/>
              <w:spacing w:before="80" w:after="80" w:line="220" w:lineRule="exact"/>
              <w:ind w:left="0" w:right="0"/>
              <w:jc w:val="right"/>
              <w:rPr>
                <w:b/>
                <w:sz w:val="18"/>
                <w:lang w:val="en-US"/>
              </w:rPr>
            </w:pPr>
            <w:r w:rsidRPr="00222917">
              <w:rPr>
                <w:b/>
                <w:sz w:val="18"/>
                <w:lang w:val="en-US"/>
              </w:rPr>
              <w:t>80</w:t>
            </w:r>
          </w:p>
        </w:tc>
        <w:tc>
          <w:tcPr>
            <w:tcW w:w="567" w:type="dxa"/>
            <w:tcBorders>
              <w:top w:val="single" w:sz="12" w:space="0" w:color="auto"/>
              <w:bottom w:val="single" w:sz="4" w:space="0" w:color="000000"/>
            </w:tcBorders>
            <w:shd w:val="clear" w:color="auto" w:fill="auto"/>
            <w:vAlign w:val="bottom"/>
          </w:tcPr>
          <w:p w:rsidR="002D5BB0" w:rsidRPr="00222917" w:rsidRDefault="002D5BB0" w:rsidP="00A5088D">
            <w:pPr>
              <w:pStyle w:val="SingleTxtG"/>
              <w:suppressAutoHyphens w:val="0"/>
              <w:spacing w:before="80" w:after="80" w:line="220" w:lineRule="exact"/>
              <w:ind w:left="0" w:right="0"/>
              <w:jc w:val="right"/>
              <w:rPr>
                <w:b/>
                <w:sz w:val="18"/>
                <w:lang w:val="en-US"/>
              </w:rPr>
            </w:pPr>
            <w:r w:rsidRPr="00222917">
              <w:rPr>
                <w:b/>
                <w:sz w:val="18"/>
                <w:lang w:val="en-US"/>
              </w:rPr>
              <w:t>108</w:t>
            </w:r>
          </w:p>
        </w:tc>
      </w:tr>
      <w:tr w:rsidR="006E1F63" w:rsidRPr="00222917" w:rsidTr="0054076C">
        <w:trPr>
          <w:trHeight w:val="240"/>
        </w:trPr>
        <w:tc>
          <w:tcPr>
            <w:tcW w:w="1418" w:type="dxa"/>
            <w:vMerge w:val="restart"/>
            <w:tcBorders>
              <w:top w:val="single" w:sz="4" w:space="0" w:color="000000"/>
            </w:tcBorders>
            <w:shd w:val="clear" w:color="auto" w:fill="auto"/>
            <w:vAlign w:val="center"/>
          </w:tcPr>
          <w:p w:rsidR="002D5BB0" w:rsidRPr="00222917" w:rsidRDefault="002D5BB0" w:rsidP="00A5088D">
            <w:pPr>
              <w:pStyle w:val="SingleTxtG"/>
              <w:suppressAutoHyphens w:val="0"/>
              <w:spacing w:before="40" w:after="40" w:line="180" w:lineRule="exact"/>
              <w:ind w:left="0" w:right="0"/>
              <w:jc w:val="left"/>
              <w:rPr>
                <w:sz w:val="18"/>
                <w:lang w:val="en-US"/>
              </w:rPr>
            </w:pPr>
            <w:r w:rsidRPr="00222917">
              <w:rPr>
                <w:sz w:val="18"/>
                <w:lang w:val="en-US"/>
              </w:rPr>
              <w:t>Discrimination in</w:t>
            </w:r>
            <w:r w:rsidR="0022368D" w:rsidRPr="00222917">
              <w:rPr>
                <w:sz w:val="18"/>
                <w:lang w:val="en-US"/>
              </w:rPr>
              <w:t> </w:t>
            </w:r>
            <w:r w:rsidRPr="00222917">
              <w:rPr>
                <w:sz w:val="18"/>
                <w:lang w:val="en-US"/>
              </w:rPr>
              <w:t>employment</w:t>
            </w:r>
          </w:p>
        </w:tc>
        <w:tc>
          <w:tcPr>
            <w:tcW w:w="1418" w:type="dxa"/>
            <w:tcBorders>
              <w:top w:val="single" w:sz="4" w:space="0" w:color="000000"/>
              <w:bottom w:val="single" w:sz="4" w:space="0" w:color="000000"/>
            </w:tcBorders>
            <w:shd w:val="clear" w:color="auto" w:fill="auto"/>
          </w:tcPr>
          <w:p w:rsidR="002D5BB0" w:rsidRPr="00222917" w:rsidRDefault="002D5BB0" w:rsidP="00A5088D">
            <w:pPr>
              <w:pStyle w:val="SingleTxtG"/>
              <w:suppressAutoHyphens w:val="0"/>
              <w:spacing w:before="80" w:after="80" w:line="220" w:lineRule="exact"/>
              <w:ind w:left="284" w:right="0"/>
              <w:jc w:val="left"/>
              <w:rPr>
                <w:b/>
                <w:sz w:val="18"/>
                <w:lang w:val="en-US"/>
              </w:rPr>
            </w:pPr>
            <w:r w:rsidRPr="00222917">
              <w:rPr>
                <w:b/>
                <w:sz w:val="18"/>
                <w:lang w:val="en-US"/>
              </w:rPr>
              <w:t>Subtotal</w:t>
            </w:r>
          </w:p>
        </w:tc>
        <w:tc>
          <w:tcPr>
            <w:tcW w:w="567" w:type="dxa"/>
            <w:tcBorders>
              <w:top w:val="single" w:sz="4" w:space="0" w:color="000000"/>
              <w:bottom w:val="single" w:sz="4" w:space="0" w:color="000000"/>
            </w:tcBorders>
            <w:shd w:val="clear" w:color="auto" w:fill="auto"/>
            <w:vAlign w:val="bottom"/>
          </w:tcPr>
          <w:p w:rsidR="002D5BB0" w:rsidRPr="00222917" w:rsidRDefault="002D5BB0" w:rsidP="00A5088D">
            <w:pPr>
              <w:pStyle w:val="SingleTxtG"/>
              <w:suppressAutoHyphens w:val="0"/>
              <w:spacing w:before="80" w:after="80" w:line="220" w:lineRule="exact"/>
              <w:ind w:left="0" w:right="0"/>
              <w:jc w:val="right"/>
              <w:rPr>
                <w:b/>
                <w:sz w:val="18"/>
                <w:lang w:val="en-US"/>
              </w:rPr>
            </w:pPr>
            <w:r w:rsidRPr="00222917">
              <w:rPr>
                <w:b/>
                <w:sz w:val="18"/>
                <w:lang w:val="en-US"/>
              </w:rPr>
              <w:t>324</w:t>
            </w:r>
          </w:p>
        </w:tc>
        <w:tc>
          <w:tcPr>
            <w:tcW w:w="567" w:type="dxa"/>
            <w:tcBorders>
              <w:top w:val="single" w:sz="4" w:space="0" w:color="000000"/>
              <w:bottom w:val="single" w:sz="4" w:space="0" w:color="000000"/>
            </w:tcBorders>
            <w:shd w:val="clear" w:color="auto" w:fill="auto"/>
            <w:vAlign w:val="bottom"/>
          </w:tcPr>
          <w:p w:rsidR="002D5BB0" w:rsidRPr="00222917" w:rsidRDefault="002D5BB0" w:rsidP="00A5088D">
            <w:pPr>
              <w:pStyle w:val="SingleTxtG"/>
              <w:suppressAutoHyphens w:val="0"/>
              <w:spacing w:before="80" w:after="80" w:line="220" w:lineRule="exact"/>
              <w:ind w:left="0" w:right="0"/>
              <w:jc w:val="right"/>
              <w:rPr>
                <w:b/>
                <w:sz w:val="18"/>
                <w:lang w:val="en-US"/>
              </w:rPr>
            </w:pPr>
            <w:r w:rsidRPr="00222917">
              <w:rPr>
                <w:b/>
                <w:sz w:val="18"/>
                <w:lang w:val="en-US"/>
              </w:rPr>
              <w:t>13</w:t>
            </w:r>
          </w:p>
        </w:tc>
        <w:tc>
          <w:tcPr>
            <w:tcW w:w="567" w:type="dxa"/>
            <w:tcBorders>
              <w:top w:val="single" w:sz="4" w:space="0" w:color="000000"/>
              <w:bottom w:val="single" w:sz="4" w:space="0" w:color="000000"/>
            </w:tcBorders>
            <w:shd w:val="clear" w:color="auto" w:fill="auto"/>
            <w:vAlign w:val="bottom"/>
          </w:tcPr>
          <w:p w:rsidR="002D5BB0" w:rsidRPr="00222917" w:rsidRDefault="002D5BB0" w:rsidP="00A5088D">
            <w:pPr>
              <w:pStyle w:val="SingleTxtG"/>
              <w:suppressAutoHyphens w:val="0"/>
              <w:spacing w:before="80" w:after="80" w:line="220" w:lineRule="exact"/>
              <w:ind w:left="0" w:right="0"/>
              <w:jc w:val="right"/>
              <w:rPr>
                <w:b/>
                <w:sz w:val="18"/>
                <w:lang w:val="en-US"/>
              </w:rPr>
            </w:pPr>
            <w:r w:rsidRPr="00222917">
              <w:rPr>
                <w:b/>
                <w:sz w:val="18"/>
                <w:lang w:val="en-US"/>
              </w:rPr>
              <w:t>31</w:t>
            </w:r>
          </w:p>
        </w:tc>
        <w:tc>
          <w:tcPr>
            <w:tcW w:w="567" w:type="dxa"/>
            <w:tcBorders>
              <w:top w:val="single" w:sz="4" w:space="0" w:color="000000"/>
              <w:bottom w:val="single" w:sz="4" w:space="0" w:color="000000"/>
            </w:tcBorders>
            <w:shd w:val="clear" w:color="auto" w:fill="auto"/>
            <w:vAlign w:val="bottom"/>
          </w:tcPr>
          <w:p w:rsidR="002D5BB0" w:rsidRPr="00222917" w:rsidRDefault="002D5BB0" w:rsidP="00A5088D">
            <w:pPr>
              <w:pStyle w:val="SingleTxtG"/>
              <w:suppressAutoHyphens w:val="0"/>
              <w:spacing w:before="80" w:after="80" w:line="220" w:lineRule="exact"/>
              <w:ind w:left="0" w:right="0"/>
              <w:jc w:val="right"/>
              <w:rPr>
                <w:b/>
                <w:sz w:val="18"/>
                <w:lang w:val="en-US"/>
              </w:rPr>
            </w:pPr>
            <w:r w:rsidRPr="00222917">
              <w:rPr>
                <w:b/>
                <w:sz w:val="18"/>
                <w:lang w:val="en-US"/>
              </w:rPr>
              <w:t>81</w:t>
            </w:r>
          </w:p>
        </w:tc>
        <w:tc>
          <w:tcPr>
            <w:tcW w:w="567" w:type="dxa"/>
            <w:tcBorders>
              <w:top w:val="single" w:sz="4" w:space="0" w:color="000000"/>
              <w:bottom w:val="single" w:sz="4" w:space="0" w:color="000000"/>
            </w:tcBorders>
            <w:shd w:val="clear" w:color="auto" w:fill="auto"/>
            <w:vAlign w:val="bottom"/>
          </w:tcPr>
          <w:p w:rsidR="002D5BB0" w:rsidRPr="00222917" w:rsidRDefault="002D5BB0" w:rsidP="00A5088D">
            <w:pPr>
              <w:pStyle w:val="SingleTxtG"/>
              <w:suppressAutoHyphens w:val="0"/>
              <w:spacing w:before="80" w:after="80" w:line="220" w:lineRule="exact"/>
              <w:ind w:left="0" w:right="0"/>
              <w:jc w:val="right"/>
              <w:rPr>
                <w:b/>
                <w:sz w:val="18"/>
                <w:lang w:val="en-US"/>
              </w:rPr>
            </w:pPr>
            <w:r w:rsidRPr="00222917">
              <w:rPr>
                <w:b/>
                <w:sz w:val="18"/>
                <w:lang w:val="en-US"/>
              </w:rPr>
              <w:t>69</w:t>
            </w:r>
          </w:p>
        </w:tc>
        <w:tc>
          <w:tcPr>
            <w:tcW w:w="567" w:type="dxa"/>
            <w:tcBorders>
              <w:top w:val="single" w:sz="4" w:space="0" w:color="000000"/>
              <w:bottom w:val="single" w:sz="4" w:space="0" w:color="000000"/>
            </w:tcBorders>
            <w:shd w:val="clear" w:color="auto" w:fill="auto"/>
            <w:vAlign w:val="bottom"/>
          </w:tcPr>
          <w:p w:rsidR="002D5BB0" w:rsidRPr="00222917" w:rsidRDefault="002D5BB0" w:rsidP="00A5088D">
            <w:pPr>
              <w:pStyle w:val="SingleTxtG"/>
              <w:suppressAutoHyphens w:val="0"/>
              <w:spacing w:before="80" w:after="80" w:line="220" w:lineRule="exact"/>
              <w:ind w:left="0" w:right="0"/>
              <w:jc w:val="right"/>
              <w:rPr>
                <w:b/>
                <w:sz w:val="18"/>
                <w:lang w:val="en-US"/>
              </w:rPr>
            </w:pPr>
            <w:r w:rsidRPr="00222917">
              <w:rPr>
                <w:b/>
                <w:sz w:val="18"/>
                <w:lang w:val="en-US"/>
              </w:rPr>
              <w:t>36</w:t>
            </w:r>
          </w:p>
        </w:tc>
        <w:tc>
          <w:tcPr>
            <w:tcW w:w="567" w:type="dxa"/>
            <w:tcBorders>
              <w:top w:val="single" w:sz="4" w:space="0" w:color="000000"/>
              <w:bottom w:val="single" w:sz="4" w:space="0" w:color="000000"/>
            </w:tcBorders>
            <w:shd w:val="clear" w:color="auto" w:fill="auto"/>
            <w:vAlign w:val="bottom"/>
          </w:tcPr>
          <w:p w:rsidR="002D5BB0" w:rsidRPr="00222917" w:rsidRDefault="002D5BB0" w:rsidP="00A5088D">
            <w:pPr>
              <w:pStyle w:val="SingleTxtG"/>
              <w:suppressAutoHyphens w:val="0"/>
              <w:spacing w:before="80" w:after="80" w:line="220" w:lineRule="exact"/>
              <w:ind w:left="0" w:right="0"/>
              <w:jc w:val="right"/>
              <w:rPr>
                <w:b/>
                <w:sz w:val="18"/>
                <w:lang w:val="en-US"/>
              </w:rPr>
            </w:pPr>
            <w:r w:rsidRPr="00222917">
              <w:rPr>
                <w:b/>
                <w:sz w:val="18"/>
                <w:lang w:val="en-US"/>
              </w:rPr>
              <w:t>53</w:t>
            </w:r>
          </w:p>
        </w:tc>
        <w:tc>
          <w:tcPr>
            <w:tcW w:w="567" w:type="dxa"/>
            <w:tcBorders>
              <w:top w:val="single" w:sz="4" w:space="0" w:color="000000"/>
              <w:bottom w:val="single" w:sz="4" w:space="0" w:color="000000"/>
            </w:tcBorders>
            <w:shd w:val="clear" w:color="auto" w:fill="auto"/>
            <w:vAlign w:val="bottom"/>
          </w:tcPr>
          <w:p w:rsidR="002D5BB0" w:rsidRPr="00222917" w:rsidRDefault="002D5BB0" w:rsidP="00A5088D">
            <w:pPr>
              <w:pStyle w:val="SingleTxtG"/>
              <w:suppressAutoHyphens w:val="0"/>
              <w:spacing w:before="80" w:after="80" w:line="220" w:lineRule="exact"/>
              <w:ind w:left="0" w:right="0"/>
              <w:jc w:val="right"/>
              <w:rPr>
                <w:b/>
                <w:sz w:val="18"/>
                <w:lang w:val="en-US"/>
              </w:rPr>
            </w:pPr>
            <w:r w:rsidRPr="00222917">
              <w:rPr>
                <w:b/>
                <w:sz w:val="18"/>
                <w:lang w:val="en-US"/>
              </w:rPr>
              <w:t>41</w:t>
            </w:r>
          </w:p>
        </w:tc>
      </w:tr>
      <w:tr w:rsidR="006E1F63" w:rsidRPr="00222917" w:rsidTr="00F651A1">
        <w:trPr>
          <w:trHeight w:val="240"/>
        </w:trPr>
        <w:tc>
          <w:tcPr>
            <w:tcW w:w="1418" w:type="dxa"/>
            <w:vMerge/>
            <w:shd w:val="clear" w:color="auto" w:fill="auto"/>
          </w:tcPr>
          <w:p w:rsidR="002D5BB0" w:rsidRPr="00222917" w:rsidRDefault="002D5BB0" w:rsidP="00A5088D">
            <w:pPr>
              <w:pStyle w:val="SingleTxtG"/>
              <w:suppressAutoHyphens w:val="0"/>
              <w:spacing w:before="40" w:after="40" w:line="180" w:lineRule="exact"/>
              <w:ind w:left="0" w:right="0"/>
              <w:jc w:val="left"/>
              <w:rPr>
                <w:sz w:val="18"/>
                <w:lang w:val="en-US"/>
              </w:rPr>
            </w:pPr>
          </w:p>
        </w:tc>
        <w:tc>
          <w:tcPr>
            <w:tcW w:w="1418" w:type="dxa"/>
            <w:shd w:val="clear" w:color="auto" w:fill="auto"/>
          </w:tcPr>
          <w:p w:rsidR="002D5BB0" w:rsidRPr="00222917" w:rsidRDefault="002D5BB0" w:rsidP="00A5088D">
            <w:pPr>
              <w:pStyle w:val="SingleTxtG"/>
              <w:suppressAutoHyphens w:val="0"/>
              <w:spacing w:before="40" w:after="40" w:line="220" w:lineRule="exact"/>
              <w:ind w:left="0" w:right="0"/>
              <w:jc w:val="left"/>
              <w:rPr>
                <w:sz w:val="18"/>
                <w:lang w:val="en-US"/>
              </w:rPr>
            </w:pPr>
            <w:r w:rsidRPr="00222917">
              <w:rPr>
                <w:sz w:val="18"/>
                <w:lang w:val="en-US"/>
              </w:rPr>
              <w:t>Recruitment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b/>
                <w:sz w:val="18"/>
                <w:lang w:val="en-US"/>
              </w:rPr>
            </w:pPr>
            <w:r w:rsidRPr="00222917">
              <w:rPr>
                <w:b/>
                <w:sz w:val="18"/>
                <w:lang w:val="en-US"/>
              </w:rPr>
              <w:t>111</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3</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14</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41</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19</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14</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13</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7</w:t>
            </w:r>
          </w:p>
        </w:tc>
      </w:tr>
      <w:tr w:rsidR="006E1F63" w:rsidRPr="00222917" w:rsidTr="00F651A1">
        <w:trPr>
          <w:trHeight w:val="240"/>
        </w:trPr>
        <w:tc>
          <w:tcPr>
            <w:tcW w:w="1418" w:type="dxa"/>
            <w:vMerge/>
            <w:shd w:val="clear" w:color="auto" w:fill="auto"/>
          </w:tcPr>
          <w:p w:rsidR="002D5BB0" w:rsidRPr="00222917" w:rsidRDefault="002D5BB0" w:rsidP="00A5088D">
            <w:pPr>
              <w:pStyle w:val="SingleTxtG"/>
              <w:suppressAutoHyphens w:val="0"/>
              <w:spacing w:before="40" w:after="40" w:line="180" w:lineRule="exact"/>
              <w:ind w:left="0" w:right="0"/>
              <w:jc w:val="left"/>
              <w:rPr>
                <w:sz w:val="18"/>
                <w:lang w:val="en-US"/>
              </w:rPr>
            </w:pPr>
          </w:p>
        </w:tc>
        <w:tc>
          <w:tcPr>
            <w:tcW w:w="1418" w:type="dxa"/>
            <w:shd w:val="clear" w:color="auto" w:fill="auto"/>
          </w:tcPr>
          <w:p w:rsidR="002D5BB0" w:rsidRPr="00222917" w:rsidRDefault="002D5BB0" w:rsidP="00A5088D">
            <w:pPr>
              <w:pStyle w:val="SingleTxtG"/>
              <w:suppressAutoHyphens w:val="0"/>
              <w:spacing w:before="40" w:after="40" w:line="220" w:lineRule="exact"/>
              <w:ind w:left="0" w:right="0"/>
              <w:jc w:val="left"/>
              <w:rPr>
                <w:sz w:val="18"/>
                <w:lang w:val="en-US"/>
              </w:rPr>
            </w:pPr>
            <w:r w:rsidRPr="00222917">
              <w:rPr>
                <w:sz w:val="18"/>
                <w:lang w:val="en-US"/>
              </w:rPr>
              <w:t>Employment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b/>
                <w:sz w:val="18"/>
                <w:lang w:val="en-US"/>
              </w:rPr>
            </w:pPr>
            <w:r w:rsidRPr="00222917">
              <w:rPr>
                <w:b/>
                <w:sz w:val="18"/>
                <w:lang w:val="en-US"/>
              </w:rPr>
              <w:t>80</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9</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19</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24</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10</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14</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3</w:t>
            </w:r>
          </w:p>
        </w:tc>
      </w:tr>
      <w:tr w:rsidR="006E1F63" w:rsidRPr="00222917" w:rsidTr="00F651A1">
        <w:trPr>
          <w:trHeight w:val="240"/>
        </w:trPr>
        <w:tc>
          <w:tcPr>
            <w:tcW w:w="1418" w:type="dxa"/>
            <w:vMerge/>
            <w:shd w:val="clear" w:color="auto" w:fill="auto"/>
          </w:tcPr>
          <w:p w:rsidR="002D5BB0" w:rsidRPr="00222917" w:rsidRDefault="002D5BB0" w:rsidP="00A5088D">
            <w:pPr>
              <w:pStyle w:val="SingleTxtG"/>
              <w:suppressAutoHyphens w:val="0"/>
              <w:spacing w:before="40" w:after="40" w:line="180" w:lineRule="exact"/>
              <w:ind w:left="0" w:right="0"/>
              <w:jc w:val="left"/>
              <w:rPr>
                <w:sz w:val="18"/>
                <w:lang w:val="en-US"/>
              </w:rPr>
            </w:pPr>
          </w:p>
        </w:tc>
        <w:tc>
          <w:tcPr>
            <w:tcW w:w="1418" w:type="dxa"/>
            <w:shd w:val="clear" w:color="auto" w:fill="auto"/>
          </w:tcPr>
          <w:p w:rsidR="002D5BB0" w:rsidRPr="00222917" w:rsidRDefault="002D5BB0" w:rsidP="00A5088D">
            <w:pPr>
              <w:pStyle w:val="SingleTxtG"/>
              <w:suppressAutoHyphens w:val="0"/>
              <w:spacing w:before="40" w:after="40" w:line="220" w:lineRule="exact"/>
              <w:ind w:left="0" w:right="0"/>
              <w:jc w:val="left"/>
              <w:rPr>
                <w:sz w:val="18"/>
                <w:lang w:val="en-US"/>
              </w:rPr>
            </w:pPr>
            <w:r w:rsidRPr="00222917">
              <w:rPr>
                <w:sz w:val="18"/>
                <w:lang w:val="en-US"/>
              </w:rPr>
              <w:t>Retirement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b/>
                <w:sz w:val="18"/>
                <w:lang w:val="en-US"/>
              </w:rPr>
            </w:pPr>
            <w:r w:rsidRPr="00222917">
              <w:rPr>
                <w:b/>
                <w:sz w:val="18"/>
                <w:lang w:val="en-US"/>
              </w:rPr>
              <w:t>22</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3</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9</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9</w:t>
            </w:r>
          </w:p>
        </w:tc>
      </w:tr>
      <w:tr w:rsidR="006E1F63" w:rsidRPr="00222917" w:rsidTr="00F651A1">
        <w:trPr>
          <w:trHeight w:val="240"/>
        </w:trPr>
        <w:tc>
          <w:tcPr>
            <w:tcW w:w="1418" w:type="dxa"/>
            <w:vMerge/>
            <w:shd w:val="clear" w:color="auto" w:fill="auto"/>
          </w:tcPr>
          <w:p w:rsidR="002D5BB0" w:rsidRPr="00222917" w:rsidRDefault="002D5BB0" w:rsidP="00A5088D">
            <w:pPr>
              <w:pStyle w:val="SingleTxtG"/>
              <w:suppressAutoHyphens w:val="0"/>
              <w:spacing w:before="40" w:after="40" w:line="180" w:lineRule="exact"/>
              <w:ind w:left="0" w:right="0"/>
              <w:jc w:val="left"/>
              <w:rPr>
                <w:sz w:val="18"/>
                <w:lang w:val="en-US"/>
              </w:rPr>
            </w:pPr>
          </w:p>
        </w:tc>
        <w:tc>
          <w:tcPr>
            <w:tcW w:w="1418" w:type="dxa"/>
            <w:shd w:val="clear" w:color="auto" w:fill="auto"/>
          </w:tcPr>
          <w:p w:rsidR="002D5BB0" w:rsidRPr="00222917" w:rsidRDefault="002D5BB0" w:rsidP="00A5088D">
            <w:pPr>
              <w:pStyle w:val="SingleTxtG"/>
              <w:suppressAutoHyphens w:val="0"/>
              <w:spacing w:before="40" w:after="40" w:line="220" w:lineRule="exact"/>
              <w:ind w:left="0" w:right="0"/>
              <w:jc w:val="left"/>
              <w:rPr>
                <w:sz w:val="18"/>
                <w:lang w:val="en-US"/>
              </w:rPr>
            </w:pPr>
            <w:r w:rsidRPr="00222917">
              <w:rPr>
                <w:sz w:val="18"/>
                <w:lang w:val="en-US"/>
              </w:rPr>
              <w:t>Resignation</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b/>
                <w:sz w:val="18"/>
                <w:lang w:val="en-US"/>
              </w:rPr>
            </w:pPr>
            <w:r w:rsidRPr="00222917">
              <w:rPr>
                <w:b/>
                <w:sz w:val="18"/>
                <w:lang w:val="en-US"/>
              </w:rPr>
              <w:t>5</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3</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2</w:t>
            </w:r>
          </w:p>
        </w:tc>
      </w:tr>
      <w:tr w:rsidR="006E1F63" w:rsidRPr="00222917" w:rsidTr="00F651A1">
        <w:trPr>
          <w:trHeight w:val="240"/>
        </w:trPr>
        <w:tc>
          <w:tcPr>
            <w:tcW w:w="1418" w:type="dxa"/>
            <w:vMerge/>
            <w:shd w:val="clear" w:color="auto" w:fill="auto"/>
          </w:tcPr>
          <w:p w:rsidR="002D5BB0" w:rsidRPr="00222917" w:rsidRDefault="002D5BB0" w:rsidP="00A5088D">
            <w:pPr>
              <w:pStyle w:val="SingleTxtG"/>
              <w:suppressAutoHyphens w:val="0"/>
              <w:spacing w:before="40" w:after="40" w:line="180" w:lineRule="exact"/>
              <w:ind w:left="0" w:right="0"/>
              <w:jc w:val="left"/>
              <w:rPr>
                <w:sz w:val="18"/>
                <w:lang w:val="en-US"/>
              </w:rPr>
            </w:pPr>
          </w:p>
        </w:tc>
        <w:tc>
          <w:tcPr>
            <w:tcW w:w="1418" w:type="dxa"/>
            <w:shd w:val="clear" w:color="auto" w:fill="auto"/>
          </w:tcPr>
          <w:p w:rsidR="002D5BB0" w:rsidRPr="00222917" w:rsidRDefault="002D5BB0" w:rsidP="00A5088D">
            <w:pPr>
              <w:pStyle w:val="SingleTxtG"/>
              <w:suppressAutoHyphens w:val="0"/>
              <w:spacing w:before="40" w:after="40" w:line="220" w:lineRule="exact"/>
              <w:ind w:left="0" w:right="0"/>
              <w:jc w:val="left"/>
              <w:rPr>
                <w:sz w:val="18"/>
                <w:lang w:val="en-US"/>
              </w:rPr>
            </w:pPr>
            <w:r w:rsidRPr="00222917">
              <w:rPr>
                <w:sz w:val="18"/>
                <w:lang w:val="en-US"/>
              </w:rPr>
              <w:t>Dismissal</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b/>
                <w:sz w:val="18"/>
                <w:lang w:val="en-US"/>
              </w:rPr>
            </w:pPr>
            <w:r w:rsidRPr="00222917">
              <w:rPr>
                <w:b/>
                <w:sz w:val="18"/>
                <w:lang w:val="en-US"/>
              </w:rPr>
              <w:t>7</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2</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w:t>
            </w:r>
          </w:p>
        </w:tc>
      </w:tr>
      <w:tr w:rsidR="006E1F63" w:rsidRPr="00222917" w:rsidTr="00F651A1">
        <w:trPr>
          <w:trHeight w:val="240"/>
        </w:trPr>
        <w:tc>
          <w:tcPr>
            <w:tcW w:w="1418" w:type="dxa"/>
            <w:vMerge/>
            <w:shd w:val="clear" w:color="auto" w:fill="auto"/>
          </w:tcPr>
          <w:p w:rsidR="002D5BB0" w:rsidRPr="00222917" w:rsidRDefault="002D5BB0" w:rsidP="00A5088D">
            <w:pPr>
              <w:pStyle w:val="SingleTxtG"/>
              <w:suppressAutoHyphens w:val="0"/>
              <w:spacing w:before="40" w:after="40" w:line="180" w:lineRule="exact"/>
              <w:ind w:left="0" w:right="0"/>
              <w:jc w:val="left"/>
              <w:rPr>
                <w:sz w:val="18"/>
                <w:lang w:val="en-US"/>
              </w:rPr>
            </w:pPr>
          </w:p>
        </w:tc>
        <w:tc>
          <w:tcPr>
            <w:tcW w:w="1418" w:type="dxa"/>
            <w:shd w:val="clear" w:color="auto" w:fill="auto"/>
          </w:tcPr>
          <w:p w:rsidR="002D5BB0" w:rsidRPr="00222917" w:rsidRDefault="002D5BB0" w:rsidP="00A5088D">
            <w:pPr>
              <w:pStyle w:val="SingleTxtG"/>
              <w:suppressAutoHyphens w:val="0"/>
              <w:spacing w:before="40" w:after="40" w:line="220" w:lineRule="exact"/>
              <w:ind w:left="0" w:right="0"/>
              <w:jc w:val="left"/>
              <w:rPr>
                <w:sz w:val="18"/>
                <w:lang w:val="en-US"/>
              </w:rPr>
            </w:pPr>
            <w:r w:rsidRPr="00222917">
              <w:rPr>
                <w:sz w:val="18"/>
                <w:lang w:val="en-US"/>
              </w:rPr>
              <w:t>Placement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b/>
                <w:sz w:val="18"/>
                <w:lang w:val="en-US"/>
              </w:rPr>
            </w:pPr>
            <w:r w:rsidRPr="00222917">
              <w:rPr>
                <w:b/>
                <w:sz w:val="18"/>
                <w:lang w:val="en-US"/>
              </w:rPr>
              <w:t>10</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4</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2</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2</w:t>
            </w:r>
          </w:p>
        </w:tc>
      </w:tr>
      <w:tr w:rsidR="006E1F63" w:rsidRPr="00222917" w:rsidTr="00F651A1">
        <w:trPr>
          <w:trHeight w:val="240"/>
        </w:trPr>
        <w:tc>
          <w:tcPr>
            <w:tcW w:w="1418" w:type="dxa"/>
            <w:vMerge/>
            <w:shd w:val="clear" w:color="auto" w:fill="auto"/>
          </w:tcPr>
          <w:p w:rsidR="002D5BB0" w:rsidRPr="00222917" w:rsidRDefault="002D5BB0" w:rsidP="00A5088D">
            <w:pPr>
              <w:pStyle w:val="SingleTxtG"/>
              <w:suppressAutoHyphens w:val="0"/>
              <w:spacing w:before="40" w:after="40" w:line="180" w:lineRule="exact"/>
              <w:ind w:left="0" w:right="0"/>
              <w:jc w:val="left"/>
              <w:rPr>
                <w:sz w:val="18"/>
                <w:lang w:val="en-US"/>
              </w:rPr>
            </w:pPr>
          </w:p>
        </w:tc>
        <w:tc>
          <w:tcPr>
            <w:tcW w:w="1418" w:type="dxa"/>
            <w:shd w:val="clear" w:color="auto" w:fill="auto"/>
          </w:tcPr>
          <w:p w:rsidR="002D5BB0" w:rsidRPr="00222917" w:rsidRDefault="002D5BB0" w:rsidP="00A5088D">
            <w:pPr>
              <w:pStyle w:val="SingleTxtG"/>
              <w:suppressAutoHyphens w:val="0"/>
              <w:spacing w:before="40" w:after="40" w:line="220" w:lineRule="exact"/>
              <w:ind w:left="0" w:right="0"/>
              <w:jc w:val="left"/>
              <w:rPr>
                <w:sz w:val="18"/>
                <w:lang w:val="en-US"/>
              </w:rPr>
            </w:pPr>
            <w:r w:rsidRPr="00222917">
              <w:rPr>
                <w:sz w:val="18"/>
                <w:lang w:val="en-US"/>
              </w:rPr>
              <w:t>Promotion</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b/>
                <w:sz w:val="18"/>
                <w:lang w:val="en-US"/>
              </w:rPr>
            </w:pPr>
            <w:r w:rsidRPr="00222917">
              <w:rPr>
                <w:b/>
                <w:sz w:val="18"/>
                <w:lang w:val="en-US"/>
              </w:rPr>
              <w:t>10</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6</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2</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r>
      <w:tr w:rsidR="006E1F63" w:rsidRPr="00222917" w:rsidTr="00F651A1">
        <w:trPr>
          <w:trHeight w:val="240"/>
        </w:trPr>
        <w:tc>
          <w:tcPr>
            <w:tcW w:w="1418" w:type="dxa"/>
            <w:vMerge/>
            <w:shd w:val="clear" w:color="auto" w:fill="auto"/>
          </w:tcPr>
          <w:p w:rsidR="002D5BB0" w:rsidRPr="00222917" w:rsidRDefault="002D5BB0" w:rsidP="00A5088D">
            <w:pPr>
              <w:pStyle w:val="SingleTxtG"/>
              <w:suppressAutoHyphens w:val="0"/>
              <w:spacing w:before="40" w:after="40" w:line="180" w:lineRule="exact"/>
              <w:ind w:left="0" w:right="0"/>
              <w:jc w:val="left"/>
              <w:rPr>
                <w:sz w:val="18"/>
                <w:lang w:val="en-US"/>
              </w:rPr>
            </w:pPr>
          </w:p>
        </w:tc>
        <w:tc>
          <w:tcPr>
            <w:tcW w:w="1418" w:type="dxa"/>
            <w:shd w:val="clear" w:color="auto" w:fill="auto"/>
          </w:tcPr>
          <w:p w:rsidR="002D5BB0" w:rsidRPr="00222917" w:rsidRDefault="002D5BB0" w:rsidP="00A5088D">
            <w:pPr>
              <w:pStyle w:val="SingleTxtG"/>
              <w:suppressAutoHyphens w:val="0"/>
              <w:spacing w:before="40" w:after="40" w:line="220" w:lineRule="exact"/>
              <w:ind w:left="0" w:right="0"/>
              <w:jc w:val="left"/>
              <w:rPr>
                <w:sz w:val="18"/>
                <w:lang w:val="en-US"/>
              </w:rPr>
            </w:pPr>
            <w:r w:rsidRPr="00222917">
              <w:rPr>
                <w:sz w:val="18"/>
                <w:lang w:val="en-US"/>
              </w:rPr>
              <w:t>Education</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b/>
                <w:sz w:val="18"/>
                <w:lang w:val="en-US"/>
              </w:rPr>
            </w:pPr>
            <w:r w:rsidRPr="00222917">
              <w:rPr>
                <w:b/>
                <w:sz w:val="18"/>
                <w:lang w:val="en-US"/>
              </w:rPr>
              <w:t>3</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w:t>
            </w:r>
          </w:p>
        </w:tc>
      </w:tr>
      <w:tr w:rsidR="006E1F63" w:rsidRPr="00222917" w:rsidTr="00F651A1">
        <w:trPr>
          <w:trHeight w:val="240"/>
        </w:trPr>
        <w:tc>
          <w:tcPr>
            <w:tcW w:w="1418" w:type="dxa"/>
            <w:vMerge/>
            <w:shd w:val="clear" w:color="auto" w:fill="auto"/>
          </w:tcPr>
          <w:p w:rsidR="002D5BB0" w:rsidRPr="00222917" w:rsidRDefault="002D5BB0" w:rsidP="00A5088D">
            <w:pPr>
              <w:pStyle w:val="SingleTxtG"/>
              <w:suppressAutoHyphens w:val="0"/>
              <w:spacing w:before="40" w:after="40" w:line="180" w:lineRule="exact"/>
              <w:ind w:left="0" w:right="0"/>
              <w:jc w:val="left"/>
              <w:rPr>
                <w:sz w:val="18"/>
                <w:lang w:val="en-US"/>
              </w:rPr>
            </w:pPr>
          </w:p>
        </w:tc>
        <w:tc>
          <w:tcPr>
            <w:tcW w:w="1418" w:type="dxa"/>
            <w:shd w:val="clear" w:color="auto" w:fill="auto"/>
          </w:tcPr>
          <w:p w:rsidR="002D5BB0" w:rsidRPr="00222917" w:rsidRDefault="002D5BB0" w:rsidP="00A5088D">
            <w:pPr>
              <w:pStyle w:val="SingleTxtG"/>
              <w:suppressAutoHyphens w:val="0"/>
              <w:spacing w:before="40" w:after="40" w:line="220" w:lineRule="exact"/>
              <w:ind w:left="0" w:right="0"/>
              <w:jc w:val="left"/>
              <w:rPr>
                <w:sz w:val="18"/>
                <w:lang w:val="en-US"/>
              </w:rPr>
            </w:pPr>
            <w:r w:rsidRPr="00222917">
              <w:rPr>
                <w:sz w:val="18"/>
                <w:lang w:val="en-US"/>
              </w:rPr>
              <w:t>Wage payment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b/>
                <w:sz w:val="18"/>
                <w:lang w:val="en-US"/>
              </w:rPr>
            </w:pPr>
            <w:r w:rsidRPr="00222917">
              <w:rPr>
                <w:b/>
                <w:sz w:val="18"/>
                <w:lang w:val="en-US"/>
              </w:rPr>
              <w:t>38</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5</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2</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9</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10</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2</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7</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3</w:t>
            </w:r>
          </w:p>
        </w:tc>
      </w:tr>
      <w:tr w:rsidR="006E1F63" w:rsidRPr="00222917" w:rsidTr="00F651A1">
        <w:trPr>
          <w:trHeight w:val="240"/>
        </w:trPr>
        <w:tc>
          <w:tcPr>
            <w:tcW w:w="1418" w:type="dxa"/>
            <w:vMerge/>
            <w:shd w:val="clear" w:color="auto" w:fill="auto"/>
          </w:tcPr>
          <w:p w:rsidR="002D5BB0" w:rsidRPr="00222917" w:rsidRDefault="002D5BB0" w:rsidP="00A5088D">
            <w:pPr>
              <w:pStyle w:val="SingleTxtG"/>
              <w:suppressAutoHyphens w:val="0"/>
              <w:spacing w:before="40" w:after="40" w:line="180" w:lineRule="exact"/>
              <w:ind w:left="0" w:right="0"/>
              <w:jc w:val="left"/>
              <w:rPr>
                <w:sz w:val="18"/>
                <w:lang w:val="en-US"/>
              </w:rPr>
            </w:pPr>
          </w:p>
        </w:tc>
        <w:tc>
          <w:tcPr>
            <w:tcW w:w="1418" w:type="dxa"/>
            <w:shd w:val="clear" w:color="auto" w:fill="auto"/>
          </w:tcPr>
          <w:p w:rsidR="002D5BB0" w:rsidRPr="00222917" w:rsidRDefault="002D5BB0" w:rsidP="00A5088D">
            <w:pPr>
              <w:pStyle w:val="SingleTxtG"/>
              <w:suppressAutoHyphens w:val="0"/>
              <w:spacing w:before="40" w:after="40" w:line="220" w:lineRule="exact"/>
              <w:ind w:left="0" w:right="0"/>
              <w:jc w:val="left"/>
              <w:rPr>
                <w:sz w:val="18"/>
                <w:lang w:val="en-US"/>
              </w:rPr>
            </w:pPr>
            <w:r w:rsidRPr="00222917">
              <w:rPr>
                <w:sz w:val="18"/>
                <w:lang w:val="en-US"/>
              </w:rPr>
              <w:t>Non-wage payment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b/>
                <w:sz w:val="18"/>
                <w:lang w:val="en-US"/>
              </w:rPr>
            </w:pPr>
            <w:r w:rsidRPr="00222917">
              <w:rPr>
                <w:b/>
                <w:sz w:val="18"/>
                <w:lang w:val="en-US"/>
              </w:rPr>
              <w:t>3</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r>
      <w:tr w:rsidR="006E1F63" w:rsidRPr="00222917" w:rsidTr="0054076C">
        <w:trPr>
          <w:trHeight w:val="240"/>
        </w:trPr>
        <w:tc>
          <w:tcPr>
            <w:tcW w:w="1418" w:type="dxa"/>
            <w:vMerge/>
            <w:shd w:val="clear" w:color="auto" w:fill="auto"/>
          </w:tcPr>
          <w:p w:rsidR="002D5BB0" w:rsidRPr="00222917" w:rsidRDefault="002D5BB0" w:rsidP="00A5088D">
            <w:pPr>
              <w:pStyle w:val="SingleTxtG"/>
              <w:suppressAutoHyphens w:val="0"/>
              <w:spacing w:before="40" w:after="40" w:line="180" w:lineRule="exact"/>
              <w:ind w:left="0" w:right="0"/>
              <w:jc w:val="left"/>
              <w:rPr>
                <w:sz w:val="18"/>
                <w:lang w:val="en-US"/>
              </w:rPr>
            </w:pPr>
          </w:p>
        </w:tc>
        <w:tc>
          <w:tcPr>
            <w:tcW w:w="1418" w:type="dxa"/>
            <w:tcBorders>
              <w:bottom w:val="single" w:sz="4" w:space="0" w:color="000000"/>
            </w:tcBorders>
            <w:shd w:val="clear" w:color="auto" w:fill="auto"/>
          </w:tcPr>
          <w:p w:rsidR="002D5BB0" w:rsidRPr="00222917" w:rsidRDefault="002D5BB0" w:rsidP="00A5088D">
            <w:pPr>
              <w:pStyle w:val="SingleTxtG"/>
              <w:suppressAutoHyphens w:val="0"/>
              <w:spacing w:before="40" w:after="40" w:line="220" w:lineRule="exact"/>
              <w:ind w:left="0" w:right="0"/>
              <w:jc w:val="left"/>
              <w:rPr>
                <w:sz w:val="18"/>
                <w:lang w:val="en-US"/>
              </w:rPr>
            </w:pPr>
            <w:r w:rsidRPr="00222917">
              <w:rPr>
                <w:sz w:val="18"/>
                <w:lang w:val="en-US"/>
              </w:rPr>
              <w:t>Others</w:t>
            </w:r>
          </w:p>
        </w:tc>
        <w:tc>
          <w:tcPr>
            <w:tcW w:w="567" w:type="dxa"/>
            <w:tcBorders>
              <w:bottom w:val="single" w:sz="4" w:space="0" w:color="000000"/>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b/>
                <w:sz w:val="18"/>
                <w:lang w:val="en-US"/>
              </w:rPr>
            </w:pPr>
            <w:r w:rsidRPr="00222917">
              <w:rPr>
                <w:b/>
                <w:sz w:val="18"/>
                <w:lang w:val="en-US"/>
              </w:rPr>
              <w:t>35</w:t>
            </w:r>
          </w:p>
        </w:tc>
        <w:tc>
          <w:tcPr>
            <w:tcW w:w="567" w:type="dxa"/>
            <w:tcBorders>
              <w:bottom w:val="single" w:sz="4" w:space="0" w:color="000000"/>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2</w:t>
            </w:r>
          </w:p>
        </w:tc>
        <w:tc>
          <w:tcPr>
            <w:tcW w:w="567" w:type="dxa"/>
            <w:tcBorders>
              <w:bottom w:val="single" w:sz="4" w:space="0" w:color="000000"/>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4</w:t>
            </w:r>
          </w:p>
        </w:tc>
        <w:tc>
          <w:tcPr>
            <w:tcW w:w="567" w:type="dxa"/>
            <w:tcBorders>
              <w:bottom w:val="single" w:sz="4" w:space="0" w:color="000000"/>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3</w:t>
            </w:r>
          </w:p>
        </w:tc>
        <w:tc>
          <w:tcPr>
            <w:tcW w:w="567" w:type="dxa"/>
            <w:tcBorders>
              <w:bottom w:val="single" w:sz="4" w:space="0" w:color="000000"/>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2</w:t>
            </w:r>
          </w:p>
        </w:tc>
        <w:tc>
          <w:tcPr>
            <w:tcW w:w="567" w:type="dxa"/>
            <w:tcBorders>
              <w:bottom w:val="single" w:sz="4" w:space="0" w:color="000000"/>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6</w:t>
            </w:r>
          </w:p>
        </w:tc>
        <w:tc>
          <w:tcPr>
            <w:tcW w:w="567" w:type="dxa"/>
            <w:tcBorders>
              <w:bottom w:val="single" w:sz="4" w:space="0" w:color="000000"/>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5</w:t>
            </w:r>
          </w:p>
        </w:tc>
        <w:tc>
          <w:tcPr>
            <w:tcW w:w="567" w:type="dxa"/>
            <w:tcBorders>
              <w:bottom w:val="single" w:sz="4" w:space="0" w:color="000000"/>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13</w:t>
            </w:r>
          </w:p>
        </w:tc>
      </w:tr>
      <w:tr w:rsidR="006E1F63" w:rsidRPr="00222917" w:rsidTr="0054076C">
        <w:trPr>
          <w:trHeight w:val="240"/>
        </w:trPr>
        <w:tc>
          <w:tcPr>
            <w:tcW w:w="1418" w:type="dxa"/>
            <w:vMerge w:val="restart"/>
            <w:shd w:val="clear" w:color="auto" w:fill="auto"/>
            <w:vAlign w:val="center"/>
          </w:tcPr>
          <w:p w:rsidR="002D5BB0" w:rsidRPr="00222917" w:rsidRDefault="002D5BB0" w:rsidP="00A5088D">
            <w:pPr>
              <w:pStyle w:val="SingleTxtG"/>
              <w:keepNext/>
              <w:suppressAutoHyphens w:val="0"/>
              <w:spacing w:before="40" w:after="40" w:line="220" w:lineRule="exact"/>
              <w:ind w:left="0" w:right="0"/>
              <w:jc w:val="left"/>
              <w:rPr>
                <w:sz w:val="18"/>
                <w:lang w:val="en-US"/>
              </w:rPr>
            </w:pPr>
            <w:r w:rsidRPr="00222917">
              <w:rPr>
                <w:sz w:val="18"/>
                <w:lang w:val="en-US"/>
              </w:rPr>
              <w:t>Discrimination in</w:t>
            </w:r>
            <w:r w:rsidR="00BF38E1" w:rsidRPr="00222917">
              <w:rPr>
                <w:sz w:val="18"/>
                <w:lang w:val="en-US"/>
              </w:rPr>
              <w:t> </w:t>
            </w:r>
            <w:r w:rsidRPr="00222917">
              <w:rPr>
                <w:sz w:val="18"/>
                <w:lang w:val="en-US"/>
              </w:rPr>
              <w:t>supply or use of</w:t>
            </w:r>
            <w:r w:rsidR="00BF38E1" w:rsidRPr="00222917">
              <w:rPr>
                <w:sz w:val="18"/>
                <w:lang w:val="en-US"/>
              </w:rPr>
              <w:t> </w:t>
            </w:r>
            <w:r w:rsidRPr="00222917">
              <w:rPr>
                <w:sz w:val="18"/>
                <w:lang w:val="en-US"/>
              </w:rPr>
              <w:t>goods, etc.</w:t>
            </w:r>
          </w:p>
        </w:tc>
        <w:tc>
          <w:tcPr>
            <w:tcW w:w="1418" w:type="dxa"/>
            <w:tcBorders>
              <w:top w:val="single" w:sz="4" w:space="0" w:color="000000"/>
              <w:bottom w:val="single" w:sz="4" w:space="0" w:color="000000"/>
            </w:tcBorders>
            <w:shd w:val="clear" w:color="auto" w:fill="auto"/>
          </w:tcPr>
          <w:p w:rsidR="002D5BB0" w:rsidRPr="00222917" w:rsidRDefault="002D5BB0" w:rsidP="00A5088D">
            <w:pPr>
              <w:pStyle w:val="SingleTxtG"/>
              <w:suppressAutoHyphens w:val="0"/>
              <w:spacing w:before="80" w:after="80" w:line="220" w:lineRule="exact"/>
              <w:ind w:left="284" w:right="0"/>
              <w:jc w:val="left"/>
              <w:rPr>
                <w:b/>
                <w:sz w:val="18"/>
                <w:lang w:val="en-US"/>
              </w:rPr>
            </w:pPr>
            <w:r w:rsidRPr="00222917">
              <w:rPr>
                <w:b/>
                <w:sz w:val="18"/>
                <w:lang w:val="en-US"/>
              </w:rPr>
              <w:t>Subtotal</w:t>
            </w:r>
          </w:p>
        </w:tc>
        <w:tc>
          <w:tcPr>
            <w:tcW w:w="567" w:type="dxa"/>
            <w:tcBorders>
              <w:top w:val="single" w:sz="4" w:space="0" w:color="000000"/>
              <w:bottom w:val="single" w:sz="4" w:space="0" w:color="000000"/>
            </w:tcBorders>
            <w:shd w:val="clear" w:color="auto" w:fill="auto"/>
            <w:vAlign w:val="bottom"/>
          </w:tcPr>
          <w:p w:rsidR="002D5BB0" w:rsidRPr="00222917" w:rsidRDefault="002D5BB0" w:rsidP="00A5088D">
            <w:pPr>
              <w:pStyle w:val="SingleTxtG"/>
              <w:keepNext/>
              <w:keepLines/>
              <w:suppressAutoHyphens w:val="0"/>
              <w:spacing w:before="80" w:after="80" w:line="220" w:lineRule="exact"/>
              <w:ind w:left="0" w:right="0"/>
              <w:jc w:val="right"/>
              <w:rPr>
                <w:b/>
                <w:sz w:val="18"/>
                <w:lang w:val="en-US"/>
              </w:rPr>
            </w:pPr>
            <w:r w:rsidRPr="00222917">
              <w:rPr>
                <w:b/>
                <w:sz w:val="18"/>
                <w:lang w:val="en-US"/>
              </w:rPr>
              <w:t>152</w:t>
            </w:r>
          </w:p>
        </w:tc>
        <w:tc>
          <w:tcPr>
            <w:tcW w:w="567" w:type="dxa"/>
            <w:tcBorders>
              <w:top w:val="single" w:sz="4" w:space="0" w:color="000000"/>
              <w:bottom w:val="single" w:sz="4" w:space="0" w:color="000000"/>
            </w:tcBorders>
            <w:shd w:val="clear" w:color="auto" w:fill="auto"/>
            <w:vAlign w:val="bottom"/>
          </w:tcPr>
          <w:p w:rsidR="002D5BB0" w:rsidRPr="00222917" w:rsidRDefault="002D5BB0" w:rsidP="00A5088D">
            <w:pPr>
              <w:pStyle w:val="SingleTxtG"/>
              <w:keepNext/>
              <w:keepLines/>
              <w:suppressAutoHyphens w:val="0"/>
              <w:spacing w:before="80" w:after="80" w:line="220" w:lineRule="exact"/>
              <w:ind w:left="0" w:right="0"/>
              <w:jc w:val="right"/>
              <w:rPr>
                <w:b/>
                <w:sz w:val="18"/>
                <w:lang w:val="en-US"/>
              </w:rPr>
            </w:pPr>
            <w:r w:rsidRPr="00222917">
              <w:rPr>
                <w:b/>
                <w:sz w:val="18"/>
                <w:lang w:val="en-US"/>
              </w:rPr>
              <w:t>2</w:t>
            </w:r>
          </w:p>
        </w:tc>
        <w:tc>
          <w:tcPr>
            <w:tcW w:w="567" w:type="dxa"/>
            <w:tcBorders>
              <w:top w:val="single" w:sz="4" w:space="0" w:color="000000"/>
              <w:bottom w:val="single" w:sz="4" w:space="0" w:color="000000"/>
            </w:tcBorders>
            <w:shd w:val="clear" w:color="auto" w:fill="auto"/>
            <w:vAlign w:val="bottom"/>
          </w:tcPr>
          <w:p w:rsidR="002D5BB0" w:rsidRPr="00222917" w:rsidRDefault="002D5BB0" w:rsidP="00A5088D">
            <w:pPr>
              <w:pStyle w:val="SingleTxtG"/>
              <w:keepNext/>
              <w:keepLines/>
              <w:suppressAutoHyphens w:val="0"/>
              <w:spacing w:before="80" w:after="80" w:line="220" w:lineRule="exact"/>
              <w:ind w:left="0" w:right="0"/>
              <w:jc w:val="right"/>
              <w:rPr>
                <w:b/>
                <w:sz w:val="18"/>
                <w:lang w:val="en-US"/>
              </w:rPr>
            </w:pPr>
            <w:r w:rsidRPr="00222917">
              <w:rPr>
                <w:b/>
                <w:sz w:val="18"/>
                <w:lang w:val="en-US"/>
              </w:rPr>
              <w:t>5</w:t>
            </w:r>
          </w:p>
        </w:tc>
        <w:tc>
          <w:tcPr>
            <w:tcW w:w="567" w:type="dxa"/>
            <w:tcBorders>
              <w:top w:val="single" w:sz="4" w:space="0" w:color="000000"/>
              <w:bottom w:val="single" w:sz="4" w:space="0" w:color="000000"/>
            </w:tcBorders>
            <w:shd w:val="clear" w:color="auto" w:fill="auto"/>
            <w:vAlign w:val="bottom"/>
          </w:tcPr>
          <w:p w:rsidR="002D5BB0" w:rsidRPr="00222917" w:rsidRDefault="002D5BB0" w:rsidP="00A5088D">
            <w:pPr>
              <w:pStyle w:val="SingleTxtG"/>
              <w:keepNext/>
              <w:keepLines/>
              <w:suppressAutoHyphens w:val="0"/>
              <w:spacing w:before="80" w:after="80" w:line="220" w:lineRule="exact"/>
              <w:ind w:left="0" w:right="0"/>
              <w:jc w:val="right"/>
              <w:rPr>
                <w:b/>
                <w:sz w:val="18"/>
                <w:lang w:val="en-US"/>
              </w:rPr>
            </w:pPr>
            <w:r w:rsidRPr="00222917">
              <w:rPr>
                <w:b/>
                <w:sz w:val="18"/>
                <w:lang w:val="en-US"/>
              </w:rPr>
              <w:t>35</w:t>
            </w:r>
          </w:p>
        </w:tc>
        <w:tc>
          <w:tcPr>
            <w:tcW w:w="567" w:type="dxa"/>
            <w:tcBorders>
              <w:top w:val="single" w:sz="4" w:space="0" w:color="000000"/>
              <w:bottom w:val="single" w:sz="4" w:space="0" w:color="000000"/>
            </w:tcBorders>
            <w:shd w:val="clear" w:color="auto" w:fill="auto"/>
            <w:vAlign w:val="bottom"/>
          </w:tcPr>
          <w:p w:rsidR="002D5BB0" w:rsidRPr="00222917" w:rsidRDefault="002D5BB0" w:rsidP="00A5088D">
            <w:pPr>
              <w:pStyle w:val="SingleTxtG"/>
              <w:keepNext/>
              <w:keepLines/>
              <w:suppressAutoHyphens w:val="0"/>
              <w:spacing w:before="80" w:after="80" w:line="220" w:lineRule="exact"/>
              <w:ind w:left="0" w:right="0"/>
              <w:jc w:val="right"/>
              <w:rPr>
                <w:b/>
                <w:sz w:val="18"/>
                <w:lang w:val="en-US"/>
              </w:rPr>
            </w:pPr>
            <w:r w:rsidRPr="00222917">
              <w:rPr>
                <w:b/>
                <w:sz w:val="18"/>
                <w:lang w:val="en-US"/>
              </w:rPr>
              <w:t>25</w:t>
            </w:r>
          </w:p>
        </w:tc>
        <w:tc>
          <w:tcPr>
            <w:tcW w:w="567" w:type="dxa"/>
            <w:tcBorders>
              <w:top w:val="single" w:sz="4" w:space="0" w:color="000000"/>
              <w:bottom w:val="single" w:sz="4" w:space="0" w:color="000000"/>
            </w:tcBorders>
            <w:shd w:val="clear" w:color="auto" w:fill="auto"/>
            <w:vAlign w:val="bottom"/>
          </w:tcPr>
          <w:p w:rsidR="002D5BB0" w:rsidRPr="00222917" w:rsidRDefault="002D5BB0" w:rsidP="00A5088D">
            <w:pPr>
              <w:pStyle w:val="SingleTxtG"/>
              <w:keepNext/>
              <w:keepLines/>
              <w:suppressAutoHyphens w:val="0"/>
              <w:spacing w:before="80" w:after="80" w:line="220" w:lineRule="exact"/>
              <w:ind w:left="0" w:right="0"/>
              <w:jc w:val="right"/>
              <w:rPr>
                <w:b/>
                <w:sz w:val="18"/>
                <w:lang w:val="en-US"/>
              </w:rPr>
            </w:pPr>
            <w:r w:rsidRPr="00222917">
              <w:rPr>
                <w:b/>
                <w:sz w:val="18"/>
                <w:lang w:val="en-US"/>
              </w:rPr>
              <w:t>33</w:t>
            </w:r>
          </w:p>
        </w:tc>
        <w:tc>
          <w:tcPr>
            <w:tcW w:w="567" w:type="dxa"/>
            <w:tcBorders>
              <w:top w:val="single" w:sz="4" w:space="0" w:color="000000"/>
              <w:bottom w:val="single" w:sz="4" w:space="0" w:color="000000"/>
            </w:tcBorders>
            <w:shd w:val="clear" w:color="auto" w:fill="auto"/>
            <w:vAlign w:val="bottom"/>
          </w:tcPr>
          <w:p w:rsidR="002D5BB0" w:rsidRPr="00222917" w:rsidRDefault="002D5BB0" w:rsidP="00A5088D">
            <w:pPr>
              <w:pStyle w:val="SingleTxtG"/>
              <w:keepNext/>
              <w:keepLines/>
              <w:suppressAutoHyphens w:val="0"/>
              <w:spacing w:before="80" w:after="80" w:line="220" w:lineRule="exact"/>
              <w:ind w:left="0" w:right="0"/>
              <w:jc w:val="right"/>
              <w:rPr>
                <w:b/>
                <w:sz w:val="18"/>
                <w:lang w:val="en-US"/>
              </w:rPr>
            </w:pPr>
            <w:r w:rsidRPr="00222917">
              <w:rPr>
                <w:b/>
                <w:sz w:val="18"/>
                <w:lang w:val="en-US"/>
              </w:rPr>
              <w:t>16</w:t>
            </w:r>
          </w:p>
        </w:tc>
        <w:tc>
          <w:tcPr>
            <w:tcW w:w="567" w:type="dxa"/>
            <w:tcBorders>
              <w:top w:val="single" w:sz="4" w:space="0" w:color="000000"/>
              <w:bottom w:val="single" w:sz="4" w:space="0" w:color="000000"/>
            </w:tcBorders>
            <w:shd w:val="clear" w:color="auto" w:fill="auto"/>
            <w:vAlign w:val="bottom"/>
          </w:tcPr>
          <w:p w:rsidR="002D5BB0" w:rsidRPr="00222917" w:rsidRDefault="002D5BB0" w:rsidP="00A5088D">
            <w:pPr>
              <w:pStyle w:val="SingleTxtG"/>
              <w:keepNext/>
              <w:keepLines/>
              <w:suppressAutoHyphens w:val="0"/>
              <w:spacing w:before="80" w:after="80" w:line="220" w:lineRule="exact"/>
              <w:ind w:left="0" w:right="0"/>
              <w:jc w:val="right"/>
              <w:rPr>
                <w:b/>
                <w:sz w:val="18"/>
                <w:lang w:val="en-US"/>
              </w:rPr>
            </w:pPr>
            <w:r w:rsidRPr="00222917">
              <w:rPr>
                <w:b/>
                <w:sz w:val="18"/>
                <w:lang w:val="en-US"/>
              </w:rPr>
              <w:t>36</w:t>
            </w:r>
          </w:p>
        </w:tc>
      </w:tr>
      <w:tr w:rsidR="006E1F63" w:rsidRPr="00222917" w:rsidTr="0054076C">
        <w:trPr>
          <w:trHeight w:val="240"/>
        </w:trPr>
        <w:tc>
          <w:tcPr>
            <w:tcW w:w="1418" w:type="dxa"/>
            <w:vMerge/>
            <w:shd w:val="clear" w:color="auto" w:fill="auto"/>
          </w:tcPr>
          <w:p w:rsidR="002D5BB0" w:rsidRPr="00222917" w:rsidRDefault="002D5BB0" w:rsidP="00A5088D">
            <w:pPr>
              <w:pStyle w:val="SingleTxtG"/>
              <w:keepNext/>
              <w:suppressAutoHyphens w:val="0"/>
              <w:spacing w:before="40" w:after="40" w:line="220" w:lineRule="exact"/>
              <w:ind w:left="0" w:right="0"/>
              <w:jc w:val="left"/>
              <w:rPr>
                <w:sz w:val="18"/>
                <w:lang w:val="en-US"/>
              </w:rPr>
            </w:pPr>
          </w:p>
        </w:tc>
        <w:tc>
          <w:tcPr>
            <w:tcW w:w="1418" w:type="dxa"/>
            <w:tcBorders>
              <w:top w:val="single" w:sz="4" w:space="0" w:color="000000"/>
            </w:tcBorders>
            <w:shd w:val="clear" w:color="auto" w:fill="auto"/>
          </w:tcPr>
          <w:p w:rsidR="002D5BB0" w:rsidRPr="00222917" w:rsidRDefault="002D5BB0" w:rsidP="00A5088D">
            <w:pPr>
              <w:pStyle w:val="SingleTxtG"/>
              <w:keepNext/>
              <w:keepLines/>
              <w:suppressAutoHyphens w:val="0"/>
              <w:spacing w:before="40" w:after="40" w:line="220" w:lineRule="exact"/>
              <w:ind w:left="0" w:right="0"/>
              <w:jc w:val="left"/>
              <w:rPr>
                <w:sz w:val="18"/>
                <w:lang w:val="en-US"/>
              </w:rPr>
            </w:pPr>
            <w:r w:rsidRPr="00222917">
              <w:rPr>
                <w:sz w:val="18"/>
                <w:lang w:val="en-US"/>
              </w:rPr>
              <w:t>Supply/use of</w:t>
            </w:r>
            <w:r w:rsidR="003A68A5" w:rsidRPr="00222917">
              <w:rPr>
                <w:sz w:val="18"/>
                <w:lang w:val="en-US"/>
              </w:rPr>
              <w:t> </w:t>
            </w:r>
            <w:r w:rsidRPr="00222917">
              <w:rPr>
                <w:sz w:val="18"/>
                <w:lang w:val="en-US"/>
              </w:rPr>
              <w:t>goods</w:t>
            </w:r>
          </w:p>
        </w:tc>
        <w:tc>
          <w:tcPr>
            <w:tcW w:w="567" w:type="dxa"/>
            <w:tcBorders>
              <w:top w:val="single" w:sz="4" w:space="0" w:color="000000"/>
            </w:tcBorders>
            <w:shd w:val="clear" w:color="auto" w:fill="auto"/>
            <w:vAlign w:val="bottom"/>
          </w:tcPr>
          <w:p w:rsidR="002D5BB0" w:rsidRPr="00222917" w:rsidRDefault="002D5BB0" w:rsidP="00A5088D">
            <w:pPr>
              <w:pStyle w:val="SingleTxtG"/>
              <w:keepNext/>
              <w:keepLines/>
              <w:suppressAutoHyphens w:val="0"/>
              <w:spacing w:before="40" w:after="40" w:line="220" w:lineRule="exact"/>
              <w:ind w:left="0" w:right="0"/>
              <w:jc w:val="right"/>
              <w:rPr>
                <w:b/>
                <w:sz w:val="18"/>
                <w:lang w:val="en-US"/>
              </w:rPr>
            </w:pPr>
            <w:r w:rsidRPr="00222917">
              <w:rPr>
                <w:b/>
                <w:sz w:val="18"/>
                <w:lang w:val="en-US"/>
              </w:rPr>
              <w:t>53</w:t>
            </w:r>
          </w:p>
        </w:tc>
        <w:tc>
          <w:tcPr>
            <w:tcW w:w="567" w:type="dxa"/>
            <w:tcBorders>
              <w:top w:val="single" w:sz="4" w:space="0" w:color="000000"/>
            </w:tcBorders>
            <w:shd w:val="clear" w:color="auto" w:fill="auto"/>
            <w:vAlign w:val="bottom"/>
          </w:tcPr>
          <w:p w:rsidR="002D5BB0" w:rsidRPr="00222917" w:rsidRDefault="002D5BB0" w:rsidP="00A5088D">
            <w:pPr>
              <w:pStyle w:val="SingleTxtG"/>
              <w:keepNext/>
              <w:keepLines/>
              <w:suppressAutoHyphens w:val="0"/>
              <w:spacing w:before="40" w:after="40" w:line="220" w:lineRule="exact"/>
              <w:ind w:left="0" w:right="0"/>
              <w:jc w:val="right"/>
              <w:rPr>
                <w:sz w:val="18"/>
                <w:lang w:val="en-US"/>
              </w:rPr>
            </w:pPr>
            <w:r w:rsidRPr="00222917">
              <w:rPr>
                <w:sz w:val="18"/>
                <w:lang w:val="en-US"/>
              </w:rPr>
              <w:t>1</w:t>
            </w:r>
          </w:p>
        </w:tc>
        <w:tc>
          <w:tcPr>
            <w:tcW w:w="567" w:type="dxa"/>
            <w:tcBorders>
              <w:top w:val="single" w:sz="4" w:space="0" w:color="000000"/>
            </w:tcBorders>
            <w:shd w:val="clear" w:color="auto" w:fill="auto"/>
            <w:vAlign w:val="bottom"/>
          </w:tcPr>
          <w:p w:rsidR="002D5BB0" w:rsidRPr="00222917" w:rsidRDefault="002D5BB0" w:rsidP="00A5088D">
            <w:pPr>
              <w:pStyle w:val="SingleTxtG"/>
              <w:keepNext/>
              <w:keepLines/>
              <w:suppressAutoHyphens w:val="0"/>
              <w:spacing w:before="40" w:after="40" w:line="220" w:lineRule="exact"/>
              <w:ind w:left="0" w:right="0"/>
              <w:jc w:val="right"/>
              <w:rPr>
                <w:sz w:val="18"/>
                <w:lang w:val="en-US"/>
              </w:rPr>
            </w:pPr>
            <w:r w:rsidRPr="00222917">
              <w:rPr>
                <w:sz w:val="18"/>
                <w:lang w:val="en-US"/>
              </w:rPr>
              <w:t>-</w:t>
            </w:r>
          </w:p>
        </w:tc>
        <w:tc>
          <w:tcPr>
            <w:tcW w:w="567" w:type="dxa"/>
            <w:tcBorders>
              <w:top w:val="single" w:sz="4" w:space="0" w:color="000000"/>
            </w:tcBorders>
            <w:shd w:val="clear" w:color="auto" w:fill="auto"/>
            <w:vAlign w:val="bottom"/>
          </w:tcPr>
          <w:p w:rsidR="002D5BB0" w:rsidRPr="00222917" w:rsidRDefault="002D5BB0" w:rsidP="00A5088D">
            <w:pPr>
              <w:pStyle w:val="SingleTxtG"/>
              <w:keepNext/>
              <w:keepLines/>
              <w:suppressAutoHyphens w:val="0"/>
              <w:spacing w:before="40" w:after="40" w:line="220" w:lineRule="exact"/>
              <w:ind w:left="0" w:right="0"/>
              <w:jc w:val="right"/>
              <w:rPr>
                <w:sz w:val="18"/>
                <w:lang w:val="en-US"/>
              </w:rPr>
            </w:pPr>
            <w:r w:rsidRPr="00222917">
              <w:rPr>
                <w:sz w:val="18"/>
                <w:lang w:val="en-US"/>
              </w:rPr>
              <w:t>17</w:t>
            </w:r>
          </w:p>
        </w:tc>
        <w:tc>
          <w:tcPr>
            <w:tcW w:w="567" w:type="dxa"/>
            <w:tcBorders>
              <w:top w:val="single" w:sz="4" w:space="0" w:color="000000"/>
            </w:tcBorders>
            <w:shd w:val="clear" w:color="auto" w:fill="auto"/>
            <w:vAlign w:val="bottom"/>
          </w:tcPr>
          <w:p w:rsidR="002D5BB0" w:rsidRPr="00222917" w:rsidRDefault="002D5BB0" w:rsidP="00A5088D">
            <w:pPr>
              <w:pStyle w:val="SingleTxtG"/>
              <w:keepNext/>
              <w:keepLines/>
              <w:suppressAutoHyphens w:val="0"/>
              <w:spacing w:before="40" w:after="40" w:line="220" w:lineRule="exact"/>
              <w:ind w:left="0" w:right="0"/>
              <w:jc w:val="right"/>
              <w:rPr>
                <w:sz w:val="18"/>
                <w:lang w:val="en-US"/>
              </w:rPr>
            </w:pPr>
            <w:r w:rsidRPr="00222917">
              <w:rPr>
                <w:sz w:val="18"/>
                <w:lang w:val="en-US"/>
              </w:rPr>
              <w:t>7</w:t>
            </w:r>
          </w:p>
        </w:tc>
        <w:tc>
          <w:tcPr>
            <w:tcW w:w="567" w:type="dxa"/>
            <w:tcBorders>
              <w:top w:val="single" w:sz="4" w:space="0" w:color="000000"/>
            </w:tcBorders>
            <w:shd w:val="clear" w:color="auto" w:fill="auto"/>
            <w:vAlign w:val="bottom"/>
          </w:tcPr>
          <w:p w:rsidR="002D5BB0" w:rsidRPr="00222917" w:rsidRDefault="002D5BB0" w:rsidP="00A5088D">
            <w:pPr>
              <w:pStyle w:val="SingleTxtG"/>
              <w:keepNext/>
              <w:keepLines/>
              <w:suppressAutoHyphens w:val="0"/>
              <w:spacing w:before="40" w:after="40" w:line="220" w:lineRule="exact"/>
              <w:ind w:left="0" w:right="0"/>
              <w:jc w:val="right"/>
              <w:rPr>
                <w:sz w:val="18"/>
                <w:lang w:val="en-US"/>
              </w:rPr>
            </w:pPr>
            <w:r w:rsidRPr="00222917">
              <w:rPr>
                <w:sz w:val="18"/>
                <w:lang w:val="en-US"/>
              </w:rPr>
              <w:t>8</w:t>
            </w:r>
          </w:p>
        </w:tc>
        <w:tc>
          <w:tcPr>
            <w:tcW w:w="567" w:type="dxa"/>
            <w:tcBorders>
              <w:top w:val="single" w:sz="4" w:space="0" w:color="000000"/>
            </w:tcBorders>
            <w:shd w:val="clear" w:color="auto" w:fill="auto"/>
            <w:vAlign w:val="bottom"/>
          </w:tcPr>
          <w:p w:rsidR="002D5BB0" w:rsidRPr="00222917" w:rsidRDefault="002D5BB0" w:rsidP="00A5088D">
            <w:pPr>
              <w:pStyle w:val="SingleTxtG"/>
              <w:keepNext/>
              <w:keepLines/>
              <w:suppressAutoHyphens w:val="0"/>
              <w:spacing w:before="40" w:after="40" w:line="220" w:lineRule="exact"/>
              <w:ind w:left="0" w:right="0"/>
              <w:jc w:val="right"/>
              <w:rPr>
                <w:sz w:val="18"/>
                <w:lang w:val="en-US"/>
              </w:rPr>
            </w:pPr>
            <w:r w:rsidRPr="00222917">
              <w:rPr>
                <w:sz w:val="18"/>
                <w:lang w:val="en-US"/>
              </w:rPr>
              <w:t>7</w:t>
            </w:r>
          </w:p>
        </w:tc>
        <w:tc>
          <w:tcPr>
            <w:tcW w:w="567" w:type="dxa"/>
            <w:tcBorders>
              <w:top w:val="single" w:sz="4" w:space="0" w:color="000000"/>
            </w:tcBorders>
            <w:shd w:val="clear" w:color="auto" w:fill="auto"/>
            <w:vAlign w:val="bottom"/>
          </w:tcPr>
          <w:p w:rsidR="002D5BB0" w:rsidRPr="00222917" w:rsidRDefault="002D5BB0" w:rsidP="00A5088D">
            <w:pPr>
              <w:pStyle w:val="SingleTxtG"/>
              <w:keepNext/>
              <w:keepLines/>
              <w:suppressAutoHyphens w:val="0"/>
              <w:spacing w:before="40" w:after="40" w:line="220" w:lineRule="exact"/>
              <w:ind w:left="0" w:right="0"/>
              <w:jc w:val="right"/>
              <w:rPr>
                <w:sz w:val="18"/>
                <w:lang w:val="en-US"/>
              </w:rPr>
            </w:pPr>
            <w:r w:rsidRPr="00222917">
              <w:rPr>
                <w:sz w:val="18"/>
                <w:lang w:val="en-US"/>
              </w:rPr>
              <w:t>13</w:t>
            </w:r>
          </w:p>
        </w:tc>
      </w:tr>
      <w:tr w:rsidR="006E1F63" w:rsidRPr="00222917" w:rsidTr="00F651A1">
        <w:trPr>
          <w:trHeight w:val="240"/>
        </w:trPr>
        <w:tc>
          <w:tcPr>
            <w:tcW w:w="1418" w:type="dxa"/>
            <w:vMerge/>
            <w:shd w:val="clear" w:color="auto" w:fill="auto"/>
          </w:tcPr>
          <w:p w:rsidR="002D5BB0" w:rsidRPr="00222917" w:rsidRDefault="002D5BB0" w:rsidP="00A5088D">
            <w:pPr>
              <w:pStyle w:val="SingleTxtG"/>
              <w:keepNext/>
              <w:suppressAutoHyphens w:val="0"/>
              <w:spacing w:before="40" w:after="40" w:line="220" w:lineRule="exact"/>
              <w:ind w:left="0" w:right="0"/>
              <w:jc w:val="left"/>
              <w:rPr>
                <w:sz w:val="18"/>
                <w:lang w:val="en-US"/>
              </w:rPr>
            </w:pPr>
          </w:p>
        </w:tc>
        <w:tc>
          <w:tcPr>
            <w:tcW w:w="1418" w:type="dxa"/>
            <w:shd w:val="clear" w:color="auto" w:fill="auto"/>
          </w:tcPr>
          <w:p w:rsidR="002D5BB0" w:rsidRPr="00222917" w:rsidRDefault="002D5BB0" w:rsidP="00A5088D">
            <w:pPr>
              <w:pStyle w:val="SingleTxtG"/>
              <w:keepNext/>
              <w:keepLines/>
              <w:suppressAutoHyphens w:val="0"/>
              <w:spacing w:before="40" w:after="40" w:line="220" w:lineRule="exact"/>
              <w:ind w:left="0" w:right="0"/>
              <w:jc w:val="left"/>
              <w:rPr>
                <w:sz w:val="18"/>
                <w:lang w:val="en-US"/>
              </w:rPr>
            </w:pPr>
            <w:r w:rsidRPr="00222917">
              <w:rPr>
                <w:sz w:val="18"/>
                <w:lang w:val="en-US"/>
              </w:rPr>
              <w:t>Supply/use of</w:t>
            </w:r>
            <w:r w:rsidR="003A68A5" w:rsidRPr="00222917">
              <w:rPr>
                <w:sz w:val="18"/>
                <w:lang w:val="en-US"/>
              </w:rPr>
              <w:t> </w:t>
            </w:r>
            <w:r w:rsidRPr="00222917">
              <w:rPr>
                <w:sz w:val="18"/>
                <w:lang w:val="en-US"/>
              </w:rPr>
              <w:t>services</w:t>
            </w:r>
          </w:p>
        </w:tc>
        <w:tc>
          <w:tcPr>
            <w:tcW w:w="567" w:type="dxa"/>
            <w:shd w:val="clear" w:color="auto" w:fill="auto"/>
            <w:vAlign w:val="bottom"/>
          </w:tcPr>
          <w:p w:rsidR="002D5BB0" w:rsidRPr="00222917" w:rsidRDefault="002D5BB0" w:rsidP="00A5088D">
            <w:pPr>
              <w:pStyle w:val="SingleTxtG"/>
              <w:keepNext/>
              <w:keepLines/>
              <w:suppressAutoHyphens w:val="0"/>
              <w:spacing w:before="40" w:after="40" w:line="220" w:lineRule="exact"/>
              <w:ind w:left="0" w:right="0"/>
              <w:jc w:val="right"/>
              <w:rPr>
                <w:b/>
                <w:sz w:val="18"/>
                <w:lang w:val="en-US"/>
              </w:rPr>
            </w:pPr>
            <w:r w:rsidRPr="00222917">
              <w:rPr>
                <w:b/>
                <w:sz w:val="18"/>
                <w:lang w:val="en-US"/>
              </w:rPr>
              <w:t>35</w:t>
            </w:r>
          </w:p>
        </w:tc>
        <w:tc>
          <w:tcPr>
            <w:tcW w:w="567" w:type="dxa"/>
            <w:shd w:val="clear" w:color="auto" w:fill="auto"/>
            <w:vAlign w:val="bottom"/>
          </w:tcPr>
          <w:p w:rsidR="002D5BB0" w:rsidRPr="00222917" w:rsidRDefault="002D5BB0" w:rsidP="00A5088D">
            <w:pPr>
              <w:pStyle w:val="SingleTxtG"/>
              <w:keepNext/>
              <w:keepLines/>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keepNext/>
              <w:keepLines/>
              <w:suppressAutoHyphens w:val="0"/>
              <w:spacing w:before="40" w:after="40" w:line="220" w:lineRule="exact"/>
              <w:ind w:left="0" w:right="0"/>
              <w:jc w:val="right"/>
              <w:rPr>
                <w:sz w:val="18"/>
                <w:lang w:val="en-US"/>
              </w:rPr>
            </w:pPr>
            <w:r w:rsidRPr="00222917">
              <w:rPr>
                <w:sz w:val="18"/>
                <w:lang w:val="en-US"/>
              </w:rPr>
              <w:t>2</w:t>
            </w:r>
          </w:p>
        </w:tc>
        <w:tc>
          <w:tcPr>
            <w:tcW w:w="567" w:type="dxa"/>
            <w:shd w:val="clear" w:color="auto" w:fill="auto"/>
            <w:vAlign w:val="bottom"/>
          </w:tcPr>
          <w:p w:rsidR="002D5BB0" w:rsidRPr="00222917" w:rsidRDefault="002D5BB0" w:rsidP="00A5088D">
            <w:pPr>
              <w:pStyle w:val="SingleTxtG"/>
              <w:keepNext/>
              <w:keepLines/>
              <w:suppressAutoHyphens w:val="0"/>
              <w:spacing w:before="40" w:after="40" w:line="220" w:lineRule="exact"/>
              <w:ind w:left="0" w:right="0"/>
              <w:jc w:val="right"/>
              <w:rPr>
                <w:sz w:val="18"/>
                <w:lang w:val="en-US"/>
              </w:rPr>
            </w:pPr>
            <w:r w:rsidRPr="00222917">
              <w:rPr>
                <w:sz w:val="18"/>
                <w:lang w:val="en-US"/>
              </w:rPr>
              <w:t>5</w:t>
            </w:r>
          </w:p>
        </w:tc>
        <w:tc>
          <w:tcPr>
            <w:tcW w:w="567" w:type="dxa"/>
            <w:shd w:val="clear" w:color="auto" w:fill="auto"/>
            <w:vAlign w:val="bottom"/>
          </w:tcPr>
          <w:p w:rsidR="002D5BB0" w:rsidRPr="00222917" w:rsidRDefault="002D5BB0" w:rsidP="00A5088D">
            <w:pPr>
              <w:pStyle w:val="SingleTxtG"/>
              <w:keepNext/>
              <w:keepLines/>
              <w:suppressAutoHyphens w:val="0"/>
              <w:spacing w:before="40" w:after="40" w:line="220" w:lineRule="exact"/>
              <w:ind w:left="0" w:right="0"/>
              <w:jc w:val="right"/>
              <w:rPr>
                <w:sz w:val="18"/>
                <w:lang w:val="en-US"/>
              </w:rPr>
            </w:pPr>
            <w:r w:rsidRPr="00222917">
              <w:rPr>
                <w:sz w:val="18"/>
                <w:lang w:val="en-US"/>
              </w:rPr>
              <w:t>8</w:t>
            </w:r>
          </w:p>
        </w:tc>
        <w:tc>
          <w:tcPr>
            <w:tcW w:w="567" w:type="dxa"/>
            <w:shd w:val="clear" w:color="auto" w:fill="auto"/>
            <w:vAlign w:val="bottom"/>
          </w:tcPr>
          <w:p w:rsidR="002D5BB0" w:rsidRPr="00222917" w:rsidRDefault="002D5BB0" w:rsidP="00A5088D">
            <w:pPr>
              <w:pStyle w:val="SingleTxtG"/>
              <w:keepNext/>
              <w:keepLines/>
              <w:suppressAutoHyphens w:val="0"/>
              <w:spacing w:before="40" w:after="40" w:line="220" w:lineRule="exact"/>
              <w:ind w:left="0" w:right="0"/>
              <w:jc w:val="right"/>
              <w:rPr>
                <w:sz w:val="18"/>
                <w:lang w:val="en-US"/>
              </w:rPr>
            </w:pPr>
            <w:r w:rsidRPr="00222917">
              <w:rPr>
                <w:sz w:val="18"/>
                <w:lang w:val="en-US"/>
              </w:rPr>
              <w:t>7</w:t>
            </w:r>
          </w:p>
        </w:tc>
        <w:tc>
          <w:tcPr>
            <w:tcW w:w="567" w:type="dxa"/>
            <w:shd w:val="clear" w:color="auto" w:fill="auto"/>
            <w:vAlign w:val="bottom"/>
          </w:tcPr>
          <w:p w:rsidR="002D5BB0" w:rsidRPr="00222917" w:rsidRDefault="002D5BB0" w:rsidP="00A5088D">
            <w:pPr>
              <w:pStyle w:val="SingleTxtG"/>
              <w:keepNext/>
              <w:keepLines/>
              <w:suppressAutoHyphens w:val="0"/>
              <w:spacing w:before="40" w:after="40" w:line="220" w:lineRule="exact"/>
              <w:ind w:left="0" w:right="0"/>
              <w:jc w:val="right"/>
              <w:rPr>
                <w:sz w:val="18"/>
                <w:lang w:val="en-US"/>
              </w:rPr>
            </w:pPr>
            <w:r w:rsidRPr="00222917">
              <w:rPr>
                <w:sz w:val="18"/>
                <w:lang w:val="en-US"/>
              </w:rPr>
              <w:t>4</w:t>
            </w:r>
          </w:p>
        </w:tc>
        <w:tc>
          <w:tcPr>
            <w:tcW w:w="567" w:type="dxa"/>
            <w:shd w:val="clear" w:color="auto" w:fill="auto"/>
            <w:vAlign w:val="bottom"/>
          </w:tcPr>
          <w:p w:rsidR="002D5BB0" w:rsidRPr="00222917" w:rsidRDefault="002D5BB0" w:rsidP="00A5088D">
            <w:pPr>
              <w:pStyle w:val="SingleTxtG"/>
              <w:keepNext/>
              <w:keepLines/>
              <w:suppressAutoHyphens w:val="0"/>
              <w:spacing w:before="40" w:after="40" w:line="220" w:lineRule="exact"/>
              <w:ind w:left="0" w:right="0"/>
              <w:jc w:val="right"/>
              <w:rPr>
                <w:sz w:val="18"/>
                <w:lang w:val="en-US"/>
              </w:rPr>
            </w:pPr>
            <w:r w:rsidRPr="00222917">
              <w:rPr>
                <w:sz w:val="18"/>
                <w:lang w:val="en-US"/>
              </w:rPr>
              <w:t>9</w:t>
            </w:r>
          </w:p>
        </w:tc>
      </w:tr>
      <w:tr w:rsidR="006E1F63" w:rsidRPr="00222917" w:rsidTr="00F651A1">
        <w:trPr>
          <w:trHeight w:val="240"/>
        </w:trPr>
        <w:tc>
          <w:tcPr>
            <w:tcW w:w="1418" w:type="dxa"/>
            <w:vMerge/>
            <w:shd w:val="clear" w:color="auto" w:fill="auto"/>
          </w:tcPr>
          <w:p w:rsidR="002D5BB0" w:rsidRPr="00222917" w:rsidRDefault="002D5BB0" w:rsidP="00A5088D">
            <w:pPr>
              <w:pStyle w:val="SingleTxtG"/>
              <w:keepNext/>
              <w:suppressAutoHyphens w:val="0"/>
              <w:spacing w:before="40" w:after="40" w:line="220" w:lineRule="exact"/>
              <w:ind w:left="0" w:right="0"/>
              <w:jc w:val="left"/>
              <w:rPr>
                <w:sz w:val="18"/>
                <w:lang w:val="en-US"/>
              </w:rPr>
            </w:pPr>
          </w:p>
        </w:tc>
        <w:tc>
          <w:tcPr>
            <w:tcW w:w="1418" w:type="dxa"/>
            <w:shd w:val="clear" w:color="auto" w:fill="auto"/>
          </w:tcPr>
          <w:p w:rsidR="002D5BB0" w:rsidRPr="00222917" w:rsidRDefault="003A68A5" w:rsidP="00A5088D">
            <w:pPr>
              <w:pStyle w:val="SingleTxtG"/>
              <w:keepNext/>
              <w:keepLines/>
              <w:suppressAutoHyphens w:val="0"/>
              <w:spacing w:before="40" w:after="40" w:line="220" w:lineRule="exact"/>
              <w:ind w:left="0" w:right="0"/>
              <w:jc w:val="left"/>
              <w:rPr>
                <w:sz w:val="18"/>
                <w:lang w:val="en-US"/>
              </w:rPr>
            </w:pPr>
            <w:r w:rsidRPr="00222917">
              <w:rPr>
                <w:sz w:val="18"/>
                <w:lang w:val="en-US"/>
              </w:rPr>
              <w:t>Supply/use of </w:t>
            </w:r>
            <w:r w:rsidR="002D5BB0" w:rsidRPr="00222917">
              <w:rPr>
                <w:sz w:val="18"/>
                <w:lang w:val="en-US"/>
              </w:rPr>
              <w:t>transportation methods</w:t>
            </w:r>
          </w:p>
        </w:tc>
        <w:tc>
          <w:tcPr>
            <w:tcW w:w="567" w:type="dxa"/>
            <w:shd w:val="clear" w:color="auto" w:fill="auto"/>
            <w:vAlign w:val="bottom"/>
          </w:tcPr>
          <w:p w:rsidR="002D5BB0" w:rsidRPr="00222917" w:rsidRDefault="002D5BB0" w:rsidP="00A5088D">
            <w:pPr>
              <w:pStyle w:val="SingleTxtG"/>
              <w:keepNext/>
              <w:keepLines/>
              <w:suppressAutoHyphens w:val="0"/>
              <w:spacing w:before="40" w:after="40" w:line="220" w:lineRule="exact"/>
              <w:ind w:left="0" w:right="0"/>
              <w:jc w:val="right"/>
              <w:rPr>
                <w:b/>
                <w:sz w:val="18"/>
                <w:lang w:val="en-US"/>
              </w:rPr>
            </w:pPr>
            <w:r w:rsidRPr="00222917">
              <w:rPr>
                <w:b/>
                <w:sz w:val="18"/>
                <w:lang w:val="en-US"/>
              </w:rPr>
              <w:t>12</w:t>
            </w:r>
          </w:p>
        </w:tc>
        <w:tc>
          <w:tcPr>
            <w:tcW w:w="567" w:type="dxa"/>
            <w:shd w:val="clear" w:color="auto" w:fill="auto"/>
            <w:vAlign w:val="bottom"/>
          </w:tcPr>
          <w:p w:rsidR="002D5BB0" w:rsidRPr="00222917" w:rsidRDefault="002D5BB0" w:rsidP="00A5088D">
            <w:pPr>
              <w:pStyle w:val="SingleTxtG"/>
              <w:keepNext/>
              <w:keepLines/>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keepNext/>
              <w:keepLines/>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keepNext/>
              <w:keepLines/>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keepNext/>
              <w:keepLines/>
              <w:suppressAutoHyphens w:val="0"/>
              <w:spacing w:before="40" w:after="40" w:line="220" w:lineRule="exact"/>
              <w:ind w:left="0" w:right="0"/>
              <w:jc w:val="right"/>
              <w:rPr>
                <w:sz w:val="18"/>
                <w:lang w:val="en-US"/>
              </w:rPr>
            </w:pPr>
            <w:r w:rsidRPr="00222917">
              <w:rPr>
                <w:sz w:val="18"/>
                <w:lang w:val="en-US"/>
              </w:rPr>
              <w:t>4</w:t>
            </w:r>
          </w:p>
        </w:tc>
        <w:tc>
          <w:tcPr>
            <w:tcW w:w="567" w:type="dxa"/>
            <w:shd w:val="clear" w:color="auto" w:fill="auto"/>
            <w:vAlign w:val="bottom"/>
          </w:tcPr>
          <w:p w:rsidR="002D5BB0" w:rsidRPr="00222917" w:rsidRDefault="002D5BB0" w:rsidP="00A5088D">
            <w:pPr>
              <w:pStyle w:val="SingleTxtG"/>
              <w:keepNext/>
              <w:keepLines/>
              <w:suppressAutoHyphens w:val="0"/>
              <w:spacing w:before="40" w:after="40" w:line="220" w:lineRule="exact"/>
              <w:ind w:left="0" w:right="0"/>
              <w:jc w:val="right"/>
              <w:rPr>
                <w:sz w:val="18"/>
                <w:lang w:val="en-US"/>
              </w:rPr>
            </w:pPr>
            <w:r w:rsidRPr="00222917">
              <w:rPr>
                <w:sz w:val="18"/>
                <w:lang w:val="en-US"/>
              </w:rPr>
              <w:t>3</w:t>
            </w:r>
          </w:p>
        </w:tc>
        <w:tc>
          <w:tcPr>
            <w:tcW w:w="567" w:type="dxa"/>
            <w:shd w:val="clear" w:color="auto" w:fill="auto"/>
            <w:vAlign w:val="bottom"/>
          </w:tcPr>
          <w:p w:rsidR="002D5BB0" w:rsidRPr="00222917" w:rsidRDefault="002D5BB0" w:rsidP="00A5088D">
            <w:pPr>
              <w:pStyle w:val="SingleTxtG"/>
              <w:keepNext/>
              <w:keepLines/>
              <w:suppressAutoHyphens w:val="0"/>
              <w:spacing w:before="40" w:after="40" w:line="220" w:lineRule="exact"/>
              <w:ind w:left="0" w:right="0"/>
              <w:jc w:val="right"/>
              <w:rPr>
                <w:sz w:val="18"/>
                <w:lang w:val="en-US"/>
              </w:rPr>
            </w:pPr>
            <w:r w:rsidRPr="00222917">
              <w:rPr>
                <w:sz w:val="18"/>
                <w:lang w:val="en-US"/>
              </w:rPr>
              <w:t>2</w:t>
            </w:r>
          </w:p>
        </w:tc>
        <w:tc>
          <w:tcPr>
            <w:tcW w:w="567" w:type="dxa"/>
            <w:shd w:val="clear" w:color="auto" w:fill="auto"/>
            <w:vAlign w:val="bottom"/>
          </w:tcPr>
          <w:p w:rsidR="002D5BB0" w:rsidRPr="00222917" w:rsidRDefault="002D5BB0" w:rsidP="00A5088D">
            <w:pPr>
              <w:pStyle w:val="SingleTxtG"/>
              <w:keepNext/>
              <w:keepLines/>
              <w:suppressAutoHyphens w:val="0"/>
              <w:spacing w:before="40" w:after="40" w:line="220" w:lineRule="exact"/>
              <w:ind w:left="0" w:right="0"/>
              <w:jc w:val="right"/>
              <w:rPr>
                <w:sz w:val="18"/>
                <w:lang w:val="en-US"/>
              </w:rPr>
            </w:pPr>
            <w:r w:rsidRPr="00222917">
              <w:rPr>
                <w:sz w:val="18"/>
                <w:lang w:val="en-US"/>
              </w:rPr>
              <w:t>3</w:t>
            </w:r>
          </w:p>
        </w:tc>
      </w:tr>
      <w:tr w:rsidR="006E1F63" w:rsidRPr="00222917" w:rsidTr="00F651A1">
        <w:trPr>
          <w:trHeight w:val="240"/>
        </w:trPr>
        <w:tc>
          <w:tcPr>
            <w:tcW w:w="1418" w:type="dxa"/>
            <w:vMerge/>
            <w:shd w:val="clear" w:color="auto" w:fill="auto"/>
          </w:tcPr>
          <w:p w:rsidR="002D5BB0" w:rsidRPr="00222917" w:rsidRDefault="002D5BB0" w:rsidP="00A5088D">
            <w:pPr>
              <w:pStyle w:val="SingleTxtG"/>
              <w:keepNext/>
              <w:suppressAutoHyphens w:val="0"/>
              <w:spacing w:before="40" w:after="40" w:line="220" w:lineRule="exact"/>
              <w:ind w:left="0" w:right="0"/>
              <w:jc w:val="left"/>
              <w:rPr>
                <w:sz w:val="18"/>
                <w:lang w:val="en-US"/>
              </w:rPr>
            </w:pPr>
          </w:p>
        </w:tc>
        <w:tc>
          <w:tcPr>
            <w:tcW w:w="1418" w:type="dxa"/>
            <w:shd w:val="clear" w:color="auto" w:fill="auto"/>
          </w:tcPr>
          <w:p w:rsidR="002D5BB0" w:rsidRPr="00222917" w:rsidRDefault="002D5BB0" w:rsidP="00A5088D">
            <w:pPr>
              <w:pStyle w:val="SingleTxtG"/>
              <w:keepNext/>
              <w:keepLines/>
              <w:suppressAutoHyphens w:val="0"/>
              <w:spacing w:before="40" w:after="40" w:line="220" w:lineRule="exact"/>
              <w:ind w:left="0" w:right="0"/>
              <w:jc w:val="left"/>
              <w:rPr>
                <w:sz w:val="18"/>
                <w:lang w:val="en-US"/>
              </w:rPr>
            </w:pPr>
            <w:r w:rsidRPr="00222917">
              <w:rPr>
                <w:sz w:val="18"/>
                <w:lang w:val="en-US"/>
              </w:rPr>
              <w:t>Supply/use of</w:t>
            </w:r>
            <w:r w:rsidR="003A68A5" w:rsidRPr="00222917">
              <w:rPr>
                <w:sz w:val="18"/>
                <w:lang w:val="en-US"/>
              </w:rPr>
              <w:t> </w:t>
            </w:r>
            <w:r w:rsidRPr="00222917">
              <w:rPr>
                <w:sz w:val="18"/>
                <w:lang w:val="en-US"/>
              </w:rPr>
              <w:t>commercial facilities</w:t>
            </w:r>
          </w:p>
        </w:tc>
        <w:tc>
          <w:tcPr>
            <w:tcW w:w="567" w:type="dxa"/>
            <w:shd w:val="clear" w:color="auto" w:fill="auto"/>
            <w:vAlign w:val="bottom"/>
          </w:tcPr>
          <w:p w:rsidR="002D5BB0" w:rsidRPr="00222917" w:rsidRDefault="002D5BB0" w:rsidP="00A5088D">
            <w:pPr>
              <w:pStyle w:val="SingleTxtG"/>
              <w:keepNext/>
              <w:keepLines/>
              <w:suppressAutoHyphens w:val="0"/>
              <w:spacing w:before="40" w:after="40" w:line="220" w:lineRule="exact"/>
              <w:ind w:left="0" w:right="0"/>
              <w:jc w:val="right"/>
              <w:rPr>
                <w:b/>
                <w:sz w:val="18"/>
                <w:lang w:val="en-US"/>
              </w:rPr>
            </w:pPr>
            <w:r w:rsidRPr="00222917">
              <w:rPr>
                <w:b/>
                <w:sz w:val="18"/>
                <w:lang w:val="en-US"/>
              </w:rPr>
              <w:t>4</w:t>
            </w:r>
          </w:p>
        </w:tc>
        <w:tc>
          <w:tcPr>
            <w:tcW w:w="567" w:type="dxa"/>
            <w:shd w:val="clear" w:color="auto" w:fill="auto"/>
            <w:vAlign w:val="bottom"/>
          </w:tcPr>
          <w:p w:rsidR="002D5BB0" w:rsidRPr="00222917" w:rsidRDefault="002D5BB0" w:rsidP="00A5088D">
            <w:pPr>
              <w:pStyle w:val="SingleTxtG"/>
              <w:keepNext/>
              <w:keepLines/>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keepNext/>
              <w:keepLines/>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keepNext/>
              <w:keepLines/>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keepNext/>
              <w:keepLines/>
              <w:suppressAutoHyphens w:val="0"/>
              <w:spacing w:before="40" w:after="40" w:line="220" w:lineRule="exact"/>
              <w:ind w:left="0" w:right="0"/>
              <w:jc w:val="right"/>
              <w:rPr>
                <w:sz w:val="18"/>
                <w:lang w:val="en-US"/>
              </w:rPr>
            </w:pPr>
            <w:r w:rsidRPr="00222917">
              <w:rPr>
                <w:sz w:val="18"/>
                <w:lang w:val="en-US"/>
              </w:rPr>
              <w:t>1</w:t>
            </w:r>
          </w:p>
        </w:tc>
        <w:tc>
          <w:tcPr>
            <w:tcW w:w="567" w:type="dxa"/>
            <w:shd w:val="clear" w:color="auto" w:fill="auto"/>
            <w:vAlign w:val="bottom"/>
          </w:tcPr>
          <w:p w:rsidR="002D5BB0" w:rsidRPr="00222917" w:rsidRDefault="002D5BB0" w:rsidP="00A5088D">
            <w:pPr>
              <w:pStyle w:val="SingleTxtG"/>
              <w:keepNext/>
              <w:keepLines/>
              <w:suppressAutoHyphens w:val="0"/>
              <w:spacing w:before="40" w:after="40" w:line="220" w:lineRule="exact"/>
              <w:ind w:left="0" w:right="0"/>
              <w:jc w:val="right"/>
              <w:rPr>
                <w:sz w:val="18"/>
                <w:lang w:val="en-US"/>
              </w:rPr>
            </w:pPr>
            <w:r w:rsidRPr="00222917">
              <w:rPr>
                <w:sz w:val="18"/>
                <w:lang w:val="en-US"/>
              </w:rPr>
              <w:t>2</w:t>
            </w:r>
          </w:p>
        </w:tc>
        <w:tc>
          <w:tcPr>
            <w:tcW w:w="567" w:type="dxa"/>
            <w:shd w:val="clear" w:color="auto" w:fill="auto"/>
            <w:vAlign w:val="bottom"/>
          </w:tcPr>
          <w:p w:rsidR="002D5BB0" w:rsidRPr="00222917" w:rsidRDefault="002D5BB0" w:rsidP="00A5088D">
            <w:pPr>
              <w:pStyle w:val="SingleTxtG"/>
              <w:keepNext/>
              <w:keepLines/>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keepNext/>
              <w:keepLines/>
              <w:suppressAutoHyphens w:val="0"/>
              <w:spacing w:before="40" w:after="40" w:line="220" w:lineRule="exact"/>
              <w:ind w:left="0" w:right="0"/>
              <w:jc w:val="right"/>
              <w:rPr>
                <w:sz w:val="18"/>
                <w:lang w:val="en-US"/>
              </w:rPr>
            </w:pPr>
            <w:r w:rsidRPr="00222917">
              <w:rPr>
                <w:sz w:val="18"/>
                <w:lang w:val="en-US"/>
              </w:rPr>
              <w:t>1</w:t>
            </w:r>
          </w:p>
        </w:tc>
      </w:tr>
      <w:tr w:rsidR="006E1F63" w:rsidRPr="00222917" w:rsidTr="00F651A1">
        <w:trPr>
          <w:trHeight w:val="240"/>
        </w:trPr>
        <w:tc>
          <w:tcPr>
            <w:tcW w:w="1418" w:type="dxa"/>
            <w:vMerge/>
            <w:shd w:val="clear" w:color="auto" w:fill="auto"/>
          </w:tcPr>
          <w:p w:rsidR="002D5BB0" w:rsidRPr="00222917" w:rsidRDefault="002D5BB0" w:rsidP="00A5088D">
            <w:pPr>
              <w:pStyle w:val="SingleTxtG"/>
              <w:suppressAutoHyphens w:val="0"/>
              <w:spacing w:before="40" w:after="40" w:line="220" w:lineRule="exact"/>
              <w:ind w:left="0" w:right="0"/>
              <w:jc w:val="left"/>
              <w:rPr>
                <w:sz w:val="18"/>
                <w:lang w:val="en-US"/>
              </w:rPr>
            </w:pPr>
          </w:p>
        </w:tc>
        <w:tc>
          <w:tcPr>
            <w:tcW w:w="1418" w:type="dxa"/>
            <w:shd w:val="clear" w:color="auto" w:fill="auto"/>
          </w:tcPr>
          <w:p w:rsidR="002D5BB0" w:rsidRPr="00222917" w:rsidRDefault="002D5BB0" w:rsidP="00A5088D">
            <w:pPr>
              <w:pStyle w:val="SingleTxtG"/>
              <w:keepNext/>
              <w:keepLines/>
              <w:suppressAutoHyphens w:val="0"/>
              <w:spacing w:before="40" w:after="40" w:line="220" w:lineRule="exact"/>
              <w:ind w:left="0" w:right="0"/>
              <w:jc w:val="left"/>
              <w:rPr>
                <w:sz w:val="18"/>
                <w:lang w:val="en-US"/>
              </w:rPr>
            </w:pPr>
            <w:r w:rsidRPr="00222917">
              <w:rPr>
                <w:sz w:val="18"/>
                <w:lang w:val="en-US"/>
              </w:rPr>
              <w:t>Supply/use of land</w:t>
            </w:r>
          </w:p>
        </w:tc>
        <w:tc>
          <w:tcPr>
            <w:tcW w:w="567" w:type="dxa"/>
            <w:shd w:val="clear" w:color="auto" w:fill="auto"/>
            <w:vAlign w:val="bottom"/>
          </w:tcPr>
          <w:p w:rsidR="002D5BB0" w:rsidRPr="00222917" w:rsidRDefault="002D5BB0" w:rsidP="00A5088D">
            <w:pPr>
              <w:pStyle w:val="SingleTxtG"/>
              <w:keepNext/>
              <w:keepLines/>
              <w:suppressAutoHyphens w:val="0"/>
              <w:spacing w:before="40" w:after="40" w:line="220" w:lineRule="exact"/>
              <w:ind w:left="0" w:right="0"/>
              <w:jc w:val="right"/>
              <w:rPr>
                <w:b/>
                <w:sz w:val="18"/>
                <w:lang w:val="en-US"/>
              </w:rPr>
            </w:pPr>
            <w:r w:rsidRPr="00222917">
              <w:rPr>
                <w:b/>
                <w:sz w:val="18"/>
                <w:lang w:val="en-US"/>
              </w:rPr>
              <w:t>1</w:t>
            </w:r>
          </w:p>
        </w:tc>
        <w:tc>
          <w:tcPr>
            <w:tcW w:w="567" w:type="dxa"/>
            <w:shd w:val="clear" w:color="auto" w:fill="auto"/>
            <w:vAlign w:val="bottom"/>
          </w:tcPr>
          <w:p w:rsidR="002D5BB0" w:rsidRPr="00222917" w:rsidRDefault="002D5BB0" w:rsidP="00A5088D">
            <w:pPr>
              <w:pStyle w:val="SingleTxtG"/>
              <w:keepNext/>
              <w:keepLines/>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keepNext/>
              <w:keepLines/>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keepNext/>
              <w:keepLines/>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keepNext/>
              <w:keepLines/>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keepNext/>
              <w:keepLines/>
              <w:suppressAutoHyphens w:val="0"/>
              <w:spacing w:before="40" w:after="40" w:line="220" w:lineRule="exact"/>
              <w:ind w:left="0" w:right="0"/>
              <w:jc w:val="right"/>
              <w:rPr>
                <w:sz w:val="18"/>
                <w:lang w:val="en-US"/>
              </w:rPr>
            </w:pPr>
            <w:r w:rsidRPr="00222917">
              <w:rPr>
                <w:sz w:val="18"/>
                <w:lang w:val="en-US"/>
              </w:rPr>
              <w:t>1</w:t>
            </w:r>
          </w:p>
        </w:tc>
        <w:tc>
          <w:tcPr>
            <w:tcW w:w="567" w:type="dxa"/>
            <w:shd w:val="clear" w:color="auto" w:fill="auto"/>
            <w:vAlign w:val="bottom"/>
          </w:tcPr>
          <w:p w:rsidR="002D5BB0" w:rsidRPr="00222917" w:rsidRDefault="002D5BB0" w:rsidP="00A5088D">
            <w:pPr>
              <w:pStyle w:val="SingleTxtG"/>
              <w:keepNext/>
              <w:keepLines/>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keepNext/>
              <w:keepLines/>
              <w:suppressAutoHyphens w:val="0"/>
              <w:spacing w:before="40" w:after="40" w:line="220" w:lineRule="exact"/>
              <w:ind w:left="0" w:right="0"/>
              <w:jc w:val="right"/>
              <w:rPr>
                <w:sz w:val="18"/>
                <w:lang w:val="en-US"/>
              </w:rPr>
            </w:pPr>
            <w:r w:rsidRPr="00222917">
              <w:rPr>
                <w:sz w:val="18"/>
                <w:lang w:val="en-US"/>
              </w:rPr>
              <w:t>-</w:t>
            </w:r>
          </w:p>
        </w:tc>
      </w:tr>
      <w:tr w:rsidR="006E1F63" w:rsidRPr="00222917" w:rsidTr="00F651A1">
        <w:trPr>
          <w:trHeight w:val="240"/>
        </w:trPr>
        <w:tc>
          <w:tcPr>
            <w:tcW w:w="1418" w:type="dxa"/>
            <w:vMerge/>
            <w:shd w:val="clear" w:color="auto" w:fill="auto"/>
          </w:tcPr>
          <w:p w:rsidR="002D5BB0" w:rsidRPr="00222917" w:rsidRDefault="002D5BB0" w:rsidP="00A5088D">
            <w:pPr>
              <w:pStyle w:val="SingleTxtG"/>
              <w:suppressAutoHyphens w:val="0"/>
              <w:spacing w:before="40" w:after="40" w:line="220" w:lineRule="exact"/>
              <w:ind w:left="0" w:right="0"/>
              <w:jc w:val="left"/>
              <w:rPr>
                <w:sz w:val="18"/>
                <w:lang w:val="en-US"/>
              </w:rPr>
            </w:pPr>
          </w:p>
        </w:tc>
        <w:tc>
          <w:tcPr>
            <w:tcW w:w="1418" w:type="dxa"/>
            <w:shd w:val="clear" w:color="auto" w:fill="auto"/>
          </w:tcPr>
          <w:p w:rsidR="002D5BB0" w:rsidRPr="00222917" w:rsidRDefault="002D5BB0" w:rsidP="00A5088D">
            <w:pPr>
              <w:pStyle w:val="SingleTxtG"/>
              <w:suppressAutoHyphens w:val="0"/>
              <w:spacing w:before="40" w:after="40" w:line="220" w:lineRule="exact"/>
              <w:ind w:left="0" w:right="0"/>
              <w:jc w:val="left"/>
              <w:rPr>
                <w:sz w:val="18"/>
                <w:lang w:val="en-US"/>
              </w:rPr>
            </w:pPr>
            <w:r w:rsidRPr="00222917">
              <w:rPr>
                <w:sz w:val="18"/>
                <w:lang w:val="en-US"/>
              </w:rPr>
              <w:t>Supply/use of housing facilities</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b/>
                <w:sz w:val="18"/>
                <w:lang w:val="en-US"/>
              </w:rPr>
            </w:pPr>
            <w:r w:rsidRPr="00222917">
              <w:rPr>
                <w:b/>
                <w:sz w:val="18"/>
                <w:lang w:val="en-US"/>
              </w:rPr>
              <w:t>4</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3</w:t>
            </w:r>
          </w:p>
        </w:tc>
      </w:tr>
      <w:tr w:rsidR="006E1F63" w:rsidRPr="00222917" w:rsidTr="00F651A1">
        <w:trPr>
          <w:trHeight w:val="240"/>
        </w:trPr>
        <w:tc>
          <w:tcPr>
            <w:tcW w:w="1418" w:type="dxa"/>
            <w:vMerge/>
            <w:shd w:val="clear" w:color="auto" w:fill="auto"/>
          </w:tcPr>
          <w:p w:rsidR="002D5BB0" w:rsidRPr="00222917" w:rsidRDefault="002D5BB0" w:rsidP="00A5088D">
            <w:pPr>
              <w:pStyle w:val="SingleTxtG"/>
              <w:suppressAutoHyphens w:val="0"/>
              <w:spacing w:before="40" w:after="40" w:line="220" w:lineRule="exact"/>
              <w:ind w:left="0" w:right="0"/>
              <w:jc w:val="left"/>
              <w:rPr>
                <w:sz w:val="18"/>
                <w:lang w:val="en-US"/>
              </w:rPr>
            </w:pPr>
          </w:p>
        </w:tc>
        <w:tc>
          <w:tcPr>
            <w:tcW w:w="1418" w:type="dxa"/>
            <w:shd w:val="clear" w:color="auto" w:fill="auto"/>
          </w:tcPr>
          <w:p w:rsidR="002D5BB0" w:rsidRPr="00222917" w:rsidRDefault="002D5BB0" w:rsidP="00A5088D">
            <w:pPr>
              <w:pStyle w:val="SingleTxtG"/>
              <w:suppressAutoHyphens w:val="0"/>
              <w:spacing w:before="40" w:after="40" w:line="220" w:lineRule="exact"/>
              <w:ind w:left="0" w:right="0"/>
              <w:jc w:val="left"/>
              <w:rPr>
                <w:sz w:val="18"/>
                <w:lang w:val="en-US"/>
              </w:rPr>
            </w:pPr>
            <w:r w:rsidRPr="00222917">
              <w:rPr>
                <w:sz w:val="18"/>
                <w:lang w:val="en-US"/>
              </w:rPr>
              <w:t>Use of education facilities</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b/>
                <w:sz w:val="18"/>
                <w:lang w:val="en-US"/>
              </w:rPr>
            </w:pPr>
            <w:r w:rsidRPr="00222917">
              <w:rPr>
                <w:b/>
                <w:sz w:val="18"/>
                <w:lang w:val="en-US"/>
              </w:rPr>
              <w:t>42</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3</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12</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5</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11</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3</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7</w:t>
            </w:r>
          </w:p>
        </w:tc>
      </w:tr>
      <w:tr w:rsidR="006E1F63" w:rsidRPr="00222917" w:rsidTr="00F651A1">
        <w:trPr>
          <w:trHeight w:val="240"/>
        </w:trPr>
        <w:tc>
          <w:tcPr>
            <w:tcW w:w="1418" w:type="dxa"/>
            <w:vMerge/>
            <w:shd w:val="clear" w:color="auto" w:fill="auto"/>
          </w:tcPr>
          <w:p w:rsidR="002D5BB0" w:rsidRPr="00222917" w:rsidRDefault="002D5BB0" w:rsidP="00A5088D">
            <w:pPr>
              <w:pStyle w:val="SingleTxtG"/>
              <w:suppressAutoHyphens w:val="0"/>
              <w:spacing w:before="40" w:after="40" w:line="220" w:lineRule="exact"/>
              <w:ind w:left="0" w:right="0"/>
              <w:jc w:val="left"/>
              <w:rPr>
                <w:sz w:val="18"/>
                <w:lang w:val="en-US"/>
              </w:rPr>
            </w:pPr>
          </w:p>
        </w:tc>
        <w:tc>
          <w:tcPr>
            <w:tcW w:w="1418" w:type="dxa"/>
            <w:shd w:val="clear" w:color="auto" w:fill="auto"/>
          </w:tcPr>
          <w:p w:rsidR="002D5BB0" w:rsidRPr="00222917" w:rsidRDefault="002D5BB0" w:rsidP="00A5088D">
            <w:pPr>
              <w:pStyle w:val="SingleTxtG"/>
              <w:suppressAutoHyphens w:val="0"/>
              <w:spacing w:before="40" w:after="40" w:line="220" w:lineRule="exact"/>
              <w:ind w:left="0" w:right="0"/>
              <w:jc w:val="left"/>
              <w:rPr>
                <w:sz w:val="18"/>
                <w:lang w:val="en-US"/>
              </w:rPr>
            </w:pPr>
            <w:r w:rsidRPr="00222917">
              <w:rPr>
                <w:sz w:val="18"/>
                <w:lang w:val="en-US"/>
              </w:rPr>
              <w:t>Use of vocational training agencies</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b/>
                <w:sz w:val="18"/>
                <w:lang w:val="en-US"/>
              </w:rPr>
            </w:pPr>
            <w:r w:rsidRPr="00222917">
              <w:rPr>
                <w:b/>
                <w:sz w:val="18"/>
                <w:lang w:val="en-US"/>
              </w:rPr>
              <w:t>1</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r>
      <w:tr w:rsidR="006E1F63" w:rsidRPr="00222917" w:rsidTr="00F651A1">
        <w:trPr>
          <w:trHeight w:val="240"/>
        </w:trPr>
        <w:tc>
          <w:tcPr>
            <w:tcW w:w="1418" w:type="dxa"/>
            <w:gridSpan w:val="2"/>
            <w:tcBorders>
              <w:bottom w:val="single" w:sz="12" w:space="0" w:color="auto"/>
            </w:tcBorders>
            <w:shd w:val="clear" w:color="auto" w:fill="auto"/>
          </w:tcPr>
          <w:p w:rsidR="002D5BB0" w:rsidRPr="00222917" w:rsidRDefault="002D5BB0" w:rsidP="00A5088D">
            <w:pPr>
              <w:pStyle w:val="SingleTxtG"/>
              <w:suppressAutoHyphens w:val="0"/>
              <w:spacing w:before="40" w:after="40" w:line="220" w:lineRule="exact"/>
              <w:ind w:left="0" w:right="0"/>
              <w:jc w:val="left"/>
              <w:rPr>
                <w:sz w:val="18"/>
                <w:lang w:val="en-US"/>
              </w:rPr>
            </w:pPr>
            <w:r w:rsidRPr="00222917">
              <w:rPr>
                <w:sz w:val="18"/>
                <w:lang w:val="en-US"/>
              </w:rPr>
              <w:t>Others</w:t>
            </w:r>
          </w:p>
        </w:tc>
        <w:tc>
          <w:tcPr>
            <w:tcW w:w="567" w:type="dxa"/>
            <w:tcBorders>
              <w:bottom w:val="single" w:sz="12" w:space="0" w:color="auto"/>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b/>
                <w:sz w:val="18"/>
                <w:lang w:val="en-US"/>
              </w:rPr>
            </w:pPr>
            <w:r w:rsidRPr="00222917">
              <w:rPr>
                <w:b/>
                <w:sz w:val="18"/>
                <w:lang w:val="en-US"/>
              </w:rPr>
              <w:t>149</w:t>
            </w:r>
          </w:p>
        </w:tc>
        <w:tc>
          <w:tcPr>
            <w:tcW w:w="567" w:type="dxa"/>
            <w:tcBorders>
              <w:bottom w:val="single" w:sz="12" w:space="0" w:color="auto"/>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7</w:t>
            </w:r>
          </w:p>
        </w:tc>
        <w:tc>
          <w:tcPr>
            <w:tcW w:w="567" w:type="dxa"/>
            <w:tcBorders>
              <w:bottom w:val="single" w:sz="12" w:space="0" w:color="auto"/>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19</w:t>
            </w:r>
          </w:p>
        </w:tc>
        <w:tc>
          <w:tcPr>
            <w:tcW w:w="567" w:type="dxa"/>
            <w:tcBorders>
              <w:bottom w:val="single" w:sz="12" w:space="0" w:color="auto"/>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33</w:t>
            </w:r>
          </w:p>
        </w:tc>
        <w:tc>
          <w:tcPr>
            <w:tcW w:w="567" w:type="dxa"/>
            <w:tcBorders>
              <w:bottom w:val="single" w:sz="12" w:space="0" w:color="auto"/>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22</w:t>
            </w:r>
          </w:p>
        </w:tc>
        <w:tc>
          <w:tcPr>
            <w:tcW w:w="567" w:type="dxa"/>
            <w:tcBorders>
              <w:bottom w:val="single" w:sz="12" w:space="0" w:color="auto"/>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26</w:t>
            </w:r>
          </w:p>
        </w:tc>
        <w:tc>
          <w:tcPr>
            <w:tcW w:w="567" w:type="dxa"/>
            <w:tcBorders>
              <w:bottom w:val="single" w:sz="12" w:space="0" w:color="auto"/>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11</w:t>
            </w:r>
          </w:p>
        </w:tc>
        <w:tc>
          <w:tcPr>
            <w:tcW w:w="567" w:type="dxa"/>
            <w:tcBorders>
              <w:bottom w:val="single" w:sz="12" w:space="0" w:color="auto"/>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31</w:t>
            </w:r>
          </w:p>
        </w:tc>
      </w:tr>
    </w:tbl>
    <w:p w:rsidR="002D5BB0" w:rsidRPr="00222917" w:rsidRDefault="00EB4B4B" w:rsidP="00EB4B4B">
      <w:pPr>
        <w:pStyle w:val="H23G"/>
        <w:rPr>
          <w:b w:val="0"/>
          <w:sz w:val="16"/>
          <w:szCs w:val="16"/>
          <w:lang w:val="en-US"/>
        </w:rPr>
      </w:pPr>
      <w:r w:rsidRPr="00222917">
        <w:rPr>
          <w:lang w:val="en-US"/>
        </w:rPr>
        <w:tab/>
      </w:r>
      <w:r w:rsidRPr="00222917">
        <w:rPr>
          <w:lang w:val="en-US"/>
        </w:rPr>
        <w:tab/>
      </w:r>
      <w:r w:rsidR="002D5BB0" w:rsidRPr="00222917">
        <w:rPr>
          <w:lang w:val="en-US"/>
        </w:rPr>
        <w:t>Complaints Received Concerning Discriminatory Acts by Ground</w:t>
      </w:r>
      <w:r w:rsidRPr="00222917">
        <w:rPr>
          <w:lang w:val="en-US"/>
        </w:rPr>
        <w:br/>
      </w:r>
      <w:r w:rsidR="002D5BB0" w:rsidRPr="00222917">
        <w:rPr>
          <w:b w:val="0"/>
          <w:sz w:val="16"/>
          <w:szCs w:val="16"/>
          <w:lang w:val="en-US"/>
        </w:rPr>
        <w:t>(Number of cases, %)</w:t>
      </w:r>
    </w:p>
    <w:tbl>
      <w:tblPr>
        <w:tblW w:w="0" w:type="auto"/>
        <w:tblInd w:w="1134" w:type="dxa"/>
        <w:tblBorders>
          <w:top w:val="single" w:sz="4" w:space="0" w:color="auto"/>
        </w:tblBorders>
        <w:tblLayout w:type="fixed"/>
        <w:tblCellMar>
          <w:left w:w="0" w:type="dxa"/>
          <w:right w:w="0" w:type="dxa"/>
        </w:tblCellMar>
        <w:tblLook w:val="0000"/>
      </w:tblPr>
      <w:tblGrid>
        <w:gridCol w:w="2834"/>
        <w:gridCol w:w="567"/>
        <w:gridCol w:w="567"/>
        <w:gridCol w:w="567"/>
        <w:gridCol w:w="567"/>
        <w:gridCol w:w="567"/>
        <w:gridCol w:w="567"/>
        <w:gridCol w:w="567"/>
        <w:gridCol w:w="567"/>
      </w:tblGrid>
      <w:tr w:rsidR="006E1F63" w:rsidRPr="00222917" w:rsidTr="003E2CEC">
        <w:trPr>
          <w:trHeight w:val="240"/>
          <w:tblHeader/>
        </w:trPr>
        <w:tc>
          <w:tcPr>
            <w:tcW w:w="2834" w:type="dxa"/>
            <w:tcBorders>
              <w:top w:val="single" w:sz="4" w:space="0" w:color="auto"/>
              <w:bottom w:val="single" w:sz="12" w:space="0" w:color="auto"/>
            </w:tcBorders>
            <w:shd w:val="clear" w:color="auto" w:fill="auto"/>
            <w:vAlign w:val="bottom"/>
          </w:tcPr>
          <w:p w:rsidR="002D5BB0" w:rsidRPr="00222917" w:rsidRDefault="002D5BB0" w:rsidP="00A5088D">
            <w:pPr>
              <w:pStyle w:val="SingleTxtG"/>
              <w:suppressAutoHyphens w:val="0"/>
              <w:spacing w:before="80" w:after="80" w:line="200" w:lineRule="exact"/>
              <w:ind w:left="0" w:right="0"/>
              <w:jc w:val="left"/>
              <w:rPr>
                <w:i/>
                <w:sz w:val="16"/>
                <w:lang w:val="en-US"/>
              </w:rPr>
            </w:pPr>
            <w:r w:rsidRPr="00222917">
              <w:rPr>
                <w:i/>
                <w:sz w:val="16"/>
                <w:lang w:val="en-US"/>
              </w:rPr>
              <w:t>Description</w:t>
            </w:r>
          </w:p>
        </w:tc>
        <w:tc>
          <w:tcPr>
            <w:tcW w:w="567" w:type="dxa"/>
            <w:tcBorders>
              <w:top w:val="single" w:sz="4" w:space="0" w:color="auto"/>
              <w:bottom w:val="single" w:sz="12" w:space="0" w:color="auto"/>
            </w:tcBorders>
            <w:shd w:val="clear" w:color="auto" w:fill="auto"/>
            <w:vAlign w:val="bottom"/>
          </w:tcPr>
          <w:p w:rsidR="002D5BB0" w:rsidRPr="00222917" w:rsidRDefault="002D5BB0" w:rsidP="00A5088D">
            <w:pPr>
              <w:pStyle w:val="SingleTxtG"/>
              <w:suppressAutoHyphens w:val="0"/>
              <w:spacing w:before="80" w:after="80" w:line="200" w:lineRule="exact"/>
              <w:ind w:left="0" w:right="0"/>
              <w:jc w:val="right"/>
              <w:rPr>
                <w:b/>
                <w:i/>
                <w:sz w:val="16"/>
                <w:lang w:val="en-US"/>
              </w:rPr>
            </w:pPr>
            <w:r w:rsidRPr="00222917">
              <w:rPr>
                <w:b/>
                <w:i/>
                <w:sz w:val="16"/>
                <w:lang w:val="en-US"/>
              </w:rPr>
              <w:t>Total</w:t>
            </w:r>
          </w:p>
        </w:tc>
        <w:tc>
          <w:tcPr>
            <w:tcW w:w="567" w:type="dxa"/>
            <w:tcBorders>
              <w:top w:val="single" w:sz="4" w:space="0" w:color="auto"/>
              <w:bottom w:val="single" w:sz="12" w:space="0" w:color="auto"/>
            </w:tcBorders>
            <w:shd w:val="clear" w:color="auto" w:fill="auto"/>
            <w:vAlign w:val="bottom"/>
          </w:tcPr>
          <w:p w:rsidR="002D5BB0" w:rsidRPr="00222917" w:rsidRDefault="002D5BB0" w:rsidP="00A5088D">
            <w:pPr>
              <w:pStyle w:val="SingleTxtG"/>
              <w:suppressAutoHyphens w:val="0"/>
              <w:spacing w:before="80" w:after="80" w:line="200" w:lineRule="exact"/>
              <w:ind w:left="0" w:right="0"/>
              <w:jc w:val="right"/>
              <w:rPr>
                <w:i/>
                <w:sz w:val="16"/>
                <w:lang w:val="en-US"/>
              </w:rPr>
            </w:pPr>
            <w:r w:rsidRPr="00222917">
              <w:rPr>
                <w:i/>
                <w:sz w:val="16"/>
                <w:lang w:val="en-US"/>
              </w:rPr>
              <w:t>2004</w:t>
            </w:r>
          </w:p>
        </w:tc>
        <w:tc>
          <w:tcPr>
            <w:tcW w:w="567" w:type="dxa"/>
            <w:tcBorders>
              <w:top w:val="single" w:sz="4" w:space="0" w:color="auto"/>
              <w:bottom w:val="single" w:sz="12" w:space="0" w:color="auto"/>
            </w:tcBorders>
            <w:shd w:val="clear" w:color="auto" w:fill="auto"/>
            <w:vAlign w:val="bottom"/>
          </w:tcPr>
          <w:p w:rsidR="002D5BB0" w:rsidRPr="00222917" w:rsidRDefault="002D5BB0" w:rsidP="00A5088D">
            <w:pPr>
              <w:pStyle w:val="SingleTxtG"/>
              <w:suppressAutoHyphens w:val="0"/>
              <w:spacing w:before="80" w:after="80" w:line="200" w:lineRule="exact"/>
              <w:ind w:left="0" w:right="0"/>
              <w:jc w:val="right"/>
              <w:rPr>
                <w:i/>
                <w:sz w:val="16"/>
                <w:lang w:val="en-US"/>
              </w:rPr>
            </w:pPr>
            <w:r w:rsidRPr="00222917">
              <w:rPr>
                <w:i/>
                <w:sz w:val="16"/>
                <w:lang w:val="en-US"/>
              </w:rPr>
              <w:t>2005</w:t>
            </w:r>
          </w:p>
        </w:tc>
        <w:tc>
          <w:tcPr>
            <w:tcW w:w="567" w:type="dxa"/>
            <w:tcBorders>
              <w:top w:val="single" w:sz="4" w:space="0" w:color="auto"/>
              <w:bottom w:val="single" w:sz="12" w:space="0" w:color="auto"/>
            </w:tcBorders>
            <w:shd w:val="clear" w:color="auto" w:fill="auto"/>
            <w:vAlign w:val="bottom"/>
          </w:tcPr>
          <w:p w:rsidR="002D5BB0" w:rsidRPr="00222917" w:rsidRDefault="002D5BB0" w:rsidP="00A5088D">
            <w:pPr>
              <w:pStyle w:val="SingleTxtG"/>
              <w:suppressAutoHyphens w:val="0"/>
              <w:spacing w:before="80" w:after="80" w:line="200" w:lineRule="exact"/>
              <w:ind w:left="0" w:right="0"/>
              <w:jc w:val="right"/>
              <w:rPr>
                <w:i/>
                <w:sz w:val="16"/>
                <w:lang w:val="en-US"/>
              </w:rPr>
            </w:pPr>
            <w:r w:rsidRPr="00222917">
              <w:rPr>
                <w:i/>
                <w:sz w:val="16"/>
                <w:lang w:val="en-US"/>
              </w:rPr>
              <w:t>2006</w:t>
            </w:r>
          </w:p>
        </w:tc>
        <w:tc>
          <w:tcPr>
            <w:tcW w:w="567" w:type="dxa"/>
            <w:tcBorders>
              <w:top w:val="single" w:sz="4" w:space="0" w:color="auto"/>
              <w:bottom w:val="single" w:sz="12" w:space="0" w:color="auto"/>
            </w:tcBorders>
            <w:shd w:val="clear" w:color="auto" w:fill="auto"/>
            <w:vAlign w:val="bottom"/>
          </w:tcPr>
          <w:p w:rsidR="002D5BB0" w:rsidRPr="00222917" w:rsidRDefault="002D5BB0" w:rsidP="00A5088D">
            <w:pPr>
              <w:pStyle w:val="SingleTxtG"/>
              <w:suppressAutoHyphens w:val="0"/>
              <w:spacing w:before="80" w:after="80" w:line="200" w:lineRule="exact"/>
              <w:ind w:left="0" w:right="0"/>
              <w:jc w:val="right"/>
              <w:rPr>
                <w:i/>
                <w:sz w:val="16"/>
                <w:lang w:val="en-US"/>
              </w:rPr>
            </w:pPr>
            <w:r w:rsidRPr="00222917">
              <w:rPr>
                <w:i/>
                <w:sz w:val="16"/>
                <w:lang w:val="en-US"/>
              </w:rPr>
              <w:t>2007</w:t>
            </w:r>
          </w:p>
        </w:tc>
        <w:tc>
          <w:tcPr>
            <w:tcW w:w="567" w:type="dxa"/>
            <w:tcBorders>
              <w:top w:val="single" w:sz="4" w:space="0" w:color="auto"/>
              <w:bottom w:val="single" w:sz="12" w:space="0" w:color="auto"/>
            </w:tcBorders>
            <w:shd w:val="clear" w:color="auto" w:fill="auto"/>
            <w:vAlign w:val="bottom"/>
          </w:tcPr>
          <w:p w:rsidR="002D5BB0" w:rsidRPr="00222917" w:rsidRDefault="002D5BB0" w:rsidP="00A5088D">
            <w:pPr>
              <w:pStyle w:val="SingleTxtG"/>
              <w:suppressAutoHyphens w:val="0"/>
              <w:spacing w:before="80" w:after="80" w:line="200" w:lineRule="exact"/>
              <w:ind w:left="0" w:right="0"/>
              <w:jc w:val="right"/>
              <w:rPr>
                <w:i/>
                <w:sz w:val="16"/>
                <w:lang w:val="en-US"/>
              </w:rPr>
            </w:pPr>
            <w:r w:rsidRPr="00222917">
              <w:rPr>
                <w:i/>
                <w:sz w:val="16"/>
                <w:lang w:val="en-US"/>
              </w:rPr>
              <w:t>2008</w:t>
            </w:r>
          </w:p>
        </w:tc>
        <w:tc>
          <w:tcPr>
            <w:tcW w:w="567" w:type="dxa"/>
            <w:tcBorders>
              <w:top w:val="single" w:sz="4" w:space="0" w:color="auto"/>
              <w:bottom w:val="single" w:sz="12" w:space="0" w:color="auto"/>
            </w:tcBorders>
            <w:shd w:val="clear" w:color="auto" w:fill="auto"/>
            <w:vAlign w:val="bottom"/>
          </w:tcPr>
          <w:p w:rsidR="002D5BB0" w:rsidRPr="00222917" w:rsidRDefault="002D5BB0" w:rsidP="00A5088D">
            <w:pPr>
              <w:pStyle w:val="SingleTxtG"/>
              <w:suppressAutoHyphens w:val="0"/>
              <w:spacing w:before="80" w:after="80" w:line="200" w:lineRule="exact"/>
              <w:ind w:left="0" w:right="0"/>
              <w:jc w:val="right"/>
              <w:rPr>
                <w:i/>
                <w:sz w:val="16"/>
                <w:lang w:val="en-US"/>
              </w:rPr>
            </w:pPr>
            <w:r w:rsidRPr="00222917">
              <w:rPr>
                <w:i/>
                <w:sz w:val="16"/>
                <w:lang w:val="en-US"/>
              </w:rPr>
              <w:t>2009</w:t>
            </w:r>
          </w:p>
        </w:tc>
        <w:tc>
          <w:tcPr>
            <w:tcW w:w="567" w:type="dxa"/>
            <w:tcBorders>
              <w:top w:val="single" w:sz="4" w:space="0" w:color="auto"/>
              <w:bottom w:val="single" w:sz="12" w:space="0" w:color="auto"/>
            </w:tcBorders>
            <w:shd w:val="clear" w:color="auto" w:fill="auto"/>
            <w:vAlign w:val="bottom"/>
          </w:tcPr>
          <w:p w:rsidR="002D5BB0" w:rsidRPr="00222917" w:rsidRDefault="002D5BB0" w:rsidP="00A5088D">
            <w:pPr>
              <w:pStyle w:val="SingleTxtG"/>
              <w:suppressAutoHyphens w:val="0"/>
              <w:spacing w:before="80" w:after="80" w:line="200" w:lineRule="exact"/>
              <w:ind w:left="0" w:right="0"/>
              <w:jc w:val="right"/>
              <w:rPr>
                <w:i/>
                <w:sz w:val="16"/>
                <w:lang w:val="en-US"/>
              </w:rPr>
            </w:pPr>
            <w:r w:rsidRPr="00222917">
              <w:rPr>
                <w:i/>
                <w:sz w:val="16"/>
                <w:lang w:val="en-US"/>
              </w:rPr>
              <w:t>2010</w:t>
            </w:r>
          </w:p>
        </w:tc>
      </w:tr>
      <w:tr w:rsidR="006E1F63" w:rsidRPr="00222917" w:rsidTr="0054076C">
        <w:trPr>
          <w:trHeight w:val="240"/>
        </w:trPr>
        <w:tc>
          <w:tcPr>
            <w:tcW w:w="2834" w:type="dxa"/>
            <w:tcBorders>
              <w:top w:val="single" w:sz="12" w:space="0" w:color="auto"/>
              <w:bottom w:val="single" w:sz="4" w:space="0" w:color="000000"/>
            </w:tcBorders>
            <w:shd w:val="clear" w:color="auto" w:fill="auto"/>
          </w:tcPr>
          <w:p w:rsidR="002D5BB0" w:rsidRPr="00222917" w:rsidRDefault="002D5BB0" w:rsidP="00A5088D">
            <w:pPr>
              <w:pStyle w:val="SingleTxtG"/>
              <w:suppressAutoHyphens w:val="0"/>
              <w:spacing w:before="80" w:after="80" w:line="220" w:lineRule="exact"/>
              <w:ind w:left="0" w:right="0"/>
              <w:jc w:val="left"/>
              <w:rPr>
                <w:b/>
                <w:sz w:val="18"/>
                <w:lang w:val="en-US"/>
              </w:rPr>
            </w:pPr>
            <w:r w:rsidRPr="00222917">
              <w:rPr>
                <w:b/>
                <w:sz w:val="18"/>
                <w:lang w:val="en-US"/>
              </w:rPr>
              <w:t>Total</w:t>
            </w:r>
          </w:p>
        </w:tc>
        <w:tc>
          <w:tcPr>
            <w:tcW w:w="567" w:type="dxa"/>
            <w:tcBorders>
              <w:top w:val="single" w:sz="12" w:space="0" w:color="auto"/>
              <w:bottom w:val="single" w:sz="4" w:space="0" w:color="000000"/>
            </w:tcBorders>
            <w:shd w:val="clear" w:color="auto" w:fill="auto"/>
            <w:vAlign w:val="bottom"/>
          </w:tcPr>
          <w:p w:rsidR="002D5BB0" w:rsidRPr="00222917" w:rsidRDefault="002D5BB0" w:rsidP="00A5088D">
            <w:pPr>
              <w:pStyle w:val="SingleTxtG"/>
              <w:suppressAutoHyphens w:val="0"/>
              <w:spacing w:before="80" w:after="80" w:line="220" w:lineRule="exact"/>
              <w:ind w:left="0" w:right="0"/>
              <w:jc w:val="right"/>
              <w:rPr>
                <w:b/>
                <w:sz w:val="18"/>
                <w:lang w:val="en-US"/>
              </w:rPr>
            </w:pPr>
            <w:r w:rsidRPr="00222917">
              <w:rPr>
                <w:b/>
                <w:sz w:val="18"/>
                <w:lang w:val="en-US"/>
              </w:rPr>
              <w:t>625</w:t>
            </w:r>
          </w:p>
        </w:tc>
        <w:tc>
          <w:tcPr>
            <w:tcW w:w="567" w:type="dxa"/>
            <w:tcBorders>
              <w:top w:val="single" w:sz="12" w:space="0" w:color="auto"/>
              <w:bottom w:val="single" w:sz="4" w:space="0" w:color="000000"/>
            </w:tcBorders>
            <w:shd w:val="clear" w:color="auto" w:fill="auto"/>
            <w:vAlign w:val="bottom"/>
          </w:tcPr>
          <w:p w:rsidR="002D5BB0" w:rsidRPr="00222917" w:rsidRDefault="002D5BB0" w:rsidP="00A5088D">
            <w:pPr>
              <w:pStyle w:val="SingleTxtG"/>
              <w:suppressAutoHyphens w:val="0"/>
              <w:spacing w:before="80" w:after="80" w:line="220" w:lineRule="exact"/>
              <w:ind w:left="0" w:right="0"/>
              <w:jc w:val="right"/>
              <w:rPr>
                <w:b/>
                <w:sz w:val="18"/>
                <w:lang w:val="en-US"/>
              </w:rPr>
            </w:pPr>
            <w:r w:rsidRPr="00222917">
              <w:rPr>
                <w:b/>
                <w:sz w:val="18"/>
                <w:lang w:val="en-US"/>
              </w:rPr>
              <w:t>22</w:t>
            </w:r>
          </w:p>
        </w:tc>
        <w:tc>
          <w:tcPr>
            <w:tcW w:w="567" w:type="dxa"/>
            <w:tcBorders>
              <w:top w:val="single" w:sz="12" w:space="0" w:color="auto"/>
              <w:bottom w:val="single" w:sz="4" w:space="0" w:color="000000"/>
            </w:tcBorders>
            <w:shd w:val="clear" w:color="auto" w:fill="auto"/>
            <w:vAlign w:val="bottom"/>
          </w:tcPr>
          <w:p w:rsidR="002D5BB0" w:rsidRPr="00222917" w:rsidRDefault="002D5BB0" w:rsidP="00A5088D">
            <w:pPr>
              <w:pStyle w:val="SingleTxtG"/>
              <w:suppressAutoHyphens w:val="0"/>
              <w:spacing w:before="80" w:after="80" w:line="220" w:lineRule="exact"/>
              <w:ind w:left="0" w:right="0"/>
              <w:jc w:val="right"/>
              <w:rPr>
                <w:b/>
                <w:sz w:val="18"/>
                <w:lang w:val="en-US"/>
              </w:rPr>
            </w:pPr>
            <w:r w:rsidRPr="00222917">
              <w:rPr>
                <w:b/>
                <w:sz w:val="18"/>
                <w:lang w:val="en-US"/>
              </w:rPr>
              <w:t>55</w:t>
            </w:r>
          </w:p>
        </w:tc>
        <w:tc>
          <w:tcPr>
            <w:tcW w:w="567" w:type="dxa"/>
            <w:tcBorders>
              <w:top w:val="single" w:sz="12" w:space="0" w:color="auto"/>
              <w:bottom w:val="single" w:sz="4" w:space="0" w:color="000000"/>
            </w:tcBorders>
            <w:shd w:val="clear" w:color="auto" w:fill="auto"/>
            <w:vAlign w:val="bottom"/>
          </w:tcPr>
          <w:p w:rsidR="002D5BB0" w:rsidRPr="00222917" w:rsidRDefault="002D5BB0" w:rsidP="00A5088D">
            <w:pPr>
              <w:pStyle w:val="SingleTxtG"/>
              <w:suppressAutoHyphens w:val="0"/>
              <w:spacing w:before="80" w:after="80" w:line="220" w:lineRule="exact"/>
              <w:ind w:left="0" w:right="0"/>
              <w:jc w:val="right"/>
              <w:rPr>
                <w:b/>
                <w:sz w:val="18"/>
                <w:lang w:val="en-US"/>
              </w:rPr>
            </w:pPr>
            <w:r w:rsidRPr="00222917">
              <w:rPr>
                <w:b/>
                <w:sz w:val="18"/>
                <w:lang w:val="en-US"/>
              </w:rPr>
              <w:t>149</w:t>
            </w:r>
          </w:p>
        </w:tc>
        <w:tc>
          <w:tcPr>
            <w:tcW w:w="567" w:type="dxa"/>
            <w:tcBorders>
              <w:top w:val="single" w:sz="12" w:space="0" w:color="auto"/>
              <w:bottom w:val="single" w:sz="4" w:space="0" w:color="000000"/>
            </w:tcBorders>
            <w:shd w:val="clear" w:color="auto" w:fill="auto"/>
            <w:vAlign w:val="bottom"/>
          </w:tcPr>
          <w:p w:rsidR="002D5BB0" w:rsidRPr="00222917" w:rsidRDefault="002D5BB0" w:rsidP="00A5088D">
            <w:pPr>
              <w:pStyle w:val="SingleTxtG"/>
              <w:suppressAutoHyphens w:val="0"/>
              <w:spacing w:before="80" w:after="80" w:line="220" w:lineRule="exact"/>
              <w:ind w:left="0" w:right="0"/>
              <w:jc w:val="right"/>
              <w:rPr>
                <w:b/>
                <w:sz w:val="18"/>
                <w:lang w:val="en-US"/>
              </w:rPr>
            </w:pPr>
            <w:r w:rsidRPr="00222917">
              <w:rPr>
                <w:b/>
                <w:sz w:val="18"/>
                <w:lang w:val="en-US"/>
              </w:rPr>
              <w:t>116</w:t>
            </w:r>
          </w:p>
        </w:tc>
        <w:tc>
          <w:tcPr>
            <w:tcW w:w="567" w:type="dxa"/>
            <w:tcBorders>
              <w:top w:val="single" w:sz="12" w:space="0" w:color="auto"/>
              <w:bottom w:val="single" w:sz="4" w:space="0" w:color="000000"/>
            </w:tcBorders>
            <w:shd w:val="clear" w:color="auto" w:fill="auto"/>
            <w:vAlign w:val="bottom"/>
          </w:tcPr>
          <w:p w:rsidR="002D5BB0" w:rsidRPr="00222917" w:rsidRDefault="002D5BB0" w:rsidP="00A5088D">
            <w:pPr>
              <w:pStyle w:val="SingleTxtG"/>
              <w:suppressAutoHyphens w:val="0"/>
              <w:spacing w:before="80" w:after="80" w:line="220" w:lineRule="exact"/>
              <w:ind w:left="0" w:right="0"/>
              <w:jc w:val="right"/>
              <w:rPr>
                <w:b/>
                <w:sz w:val="18"/>
                <w:lang w:val="en-US"/>
              </w:rPr>
            </w:pPr>
            <w:r w:rsidRPr="00222917">
              <w:rPr>
                <w:b/>
                <w:sz w:val="18"/>
                <w:lang w:val="en-US"/>
              </w:rPr>
              <w:t>95</w:t>
            </w:r>
          </w:p>
        </w:tc>
        <w:tc>
          <w:tcPr>
            <w:tcW w:w="567" w:type="dxa"/>
            <w:tcBorders>
              <w:top w:val="single" w:sz="12" w:space="0" w:color="auto"/>
              <w:bottom w:val="single" w:sz="4" w:space="0" w:color="000000"/>
            </w:tcBorders>
            <w:shd w:val="clear" w:color="auto" w:fill="auto"/>
            <w:vAlign w:val="bottom"/>
          </w:tcPr>
          <w:p w:rsidR="002D5BB0" w:rsidRPr="00222917" w:rsidRDefault="002D5BB0" w:rsidP="00A5088D">
            <w:pPr>
              <w:pStyle w:val="SingleTxtG"/>
              <w:suppressAutoHyphens w:val="0"/>
              <w:spacing w:before="80" w:after="80" w:line="220" w:lineRule="exact"/>
              <w:ind w:left="0" w:right="0"/>
              <w:jc w:val="right"/>
              <w:rPr>
                <w:b/>
                <w:sz w:val="18"/>
                <w:lang w:val="en-US"/>
              </w:rPr>
            </w:pPr>
            <w:r w:rsidRPr="00222917">
              <w:rPr>
                <w:b/>
                <w:sz w:val="18"/>
                <w:lang w:val="en-US"/>
              </w:rPr>
              <w:t>80</w:t>
            </w:r>
          </w:p>
        </w:tc>
        <w:tc>
          <w:tcPr>
            <w:tcW w:w="567" w:type="dxa"/>
            <w:tcBorders>
              <w:top w:val="single" w:sz="12" w:space="0" w:color="auto"/>
              <w:bottom w:val="single" w:sz="4" w:space="0" w:color="000000"/>
            </w:tcBorders>
            <w:shd w:val="clear" w:color="auto" w:fill="auto"/>
            <w:vAlign w:val="bottom"/>
          </w:tcPr>
          <w:p w:rsidR="002D5BB0" w:rsidRPr="00222917" w:rsidRDefault="002D5BB0" w:rsidP="00A5088D">
            <w:pPr>
              <w:pStyle w:val="SingleTxtG"/>
              <w:suppressAutoHyphens w:val="0"/>
              <w:spacing w:before="80" w:after="80" w:line="220" w:lineRule="exact"/>
              <w:ind w:left="0" w:right="0"/>
              <w:jc w:val="right"/>
              <w:rPr>
                <w:b/>
                <w:sz w:val="18"/>
                <w:lang w:val="en-US"/>
              </w:rPr>
            </w:pPr>
            <w:r w:rsidRPr="00222917">
              <w:rPr>
                <w:b/>
                <w:sz w:val="18"/>
                <w:lang w:val="en-US"/>
              </w:rPr>
              <w:t>108</w:t>
            </w:r>
          </w:p>
        </w:tc>
      </w:tr>
      <w:tr w:rsidR="006E1F63" w:rsidRPr="00222917" w:rsidTr="0054076C">
        <w:trPr>
          <w:trHeight w:val="240"/>
        </w:trPr>
        <w:tc>
          <w:tcPr>
            <w:tcW w:w="2834" w:type="dxa"/>
            <w:tcBorders>
              <w:top w:val="single" w:sz="4" w:space="0" w:color="000000"/>
            </w:tcBorders>
            <w:shd w:val="clear" w:color="auto" w:fill="auto"/>
          </w:tcPr>
          <w:p w:rsidR="002D5BB0" w:rsidRPr="00222917" w:rsidRDefault="002D5BB0" w:rsidP="00A5088D">
            <w:pPr>
              <w:pStyle w:val="SingleTxtG"/>
              <w:suppressAutoHyphens w:val="0"/>
              <w:spacing w:before="40" w:after="40" w:line="220" w:lineRule="exact"/>
              <w:ind w:left="0" w:right="0"/>
              <w:jc w:val="left"/>
              <w:rPr>
                <w:sz w:val="18"/>
                <w:lang w:val="en-US"/>
              </w:rPr>
            </w:pPr>
            <w:r w:rsidRPr="00222917">
              <w:rPr>
                <w:sz w:val="18"/>
                <w:lang w:val="en-US"/>
              </w:rPr>
              <w:t>Gender</w:t>
            </w:r>
          </w:p>
        </w:tc>
        <w:tc>
          <w:tcPr>
            <w:tcW w:w="567" w:type="dxa"/>
            <w:tcBorders>
              <w:top w:val="single" w:sz="4" w:space="0" w:color="000000"/>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b/>
                <w:sz w:val="18"/>
                <w:lang w:val="en-US"/>
              </w:rPr>
            </w:pPr>
            <w:r w:rsidRPr="00222917">
              <w:rPr>
                <w:b/>
                <w:sz w:val="18"/>
                <w:lang w:val="en-US"/>
              </w:rPr>
              <w:t>36</w:t>
            </w:r>
          </w:p>
        </w:tc>
        <w:tc>
          <w:tcPr>
            <w:tcW w:w="567" w:type="dxa"/>
            <w:tcBorders>
              <w:top w:val="single" w:sz="4" w:space="0" w:color="000000"/>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3</w:t>
            </w:r>
          </w:p>
        </w:tc>
        <w:tc>
          <w:tcPr>
            <w:tcW w:w="567" w:type="dxa"/>
            <w:tcBorders>
              <w:top w:val="single" w:sz="4" w:space="0" w:color="000000"/>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5</w:t>
            </w:r>
          </w:p>
        </w:tc>
        <w:tc>
          <w:tcPr>
            <w:tcW w:w="567" w:type="dxa"/>
            <w:tcBorders>
              <w:top w:val="single" w:sz="4" w:space="0" w:color="000000"/>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7</w:t>
            </w:r>
          </w:p>
        </w:tc>
        <w:tc>
          <w:tcPr>
            <w:tcW w:w="567" w:type="dxa"/>
            <w:tcBorders>
              <w:top w:val="single" w:sz="4" w:space="0" w:color="000000"/>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4</w:t>
            </w:r>
          </w:p>
        </w:tc>
        <w:tc>
          <w:tcPr>
            <w:tcW w:w="567" w:type="dxa"/>
            <w:tcBorders>
              <w:top w:val="single" w:sz="4" w:space="0" w:color="000000"/>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6</w:t>
            </w:r>
          </w:p>
        </w:tc>
        <w:tc>
          <w:tcPr>
            <w:tcW w:w="567" w:type="dxa"/>
            <w:tcBorders>
              <w:top w:val="single" w:sz="4" w:space="0" w:color="000000"/>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6</w:t>
            </w:r>
          </w:p>
        </w:tc>
        <w:tc>
          <w:tcPr>
            <w:tcW w:w="567" w:type="dxa"/>
            <w:tcBorders>
              <w:top w:val="single" w:sz="4" w:space="0" w:color="000000"/>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5</w:t>
            </w:r>
          </w:p>
        </w:tc>
      </w:tr>
      <w:tr w:rsidR="006E1F63" w:rsidRPr="00222917" w:rsidTr="003E2CEC">
        <w:trPr>
          <w:trHeight w:val="240"/>
        </w:trPr>
        <w:tc>
          <w:tcPr>
            <w:tcW w:w="2834" w:type="dxa"/>
            <w:shd w:val="clear" w:color="auto" w:fill="auto"/>
          </w:tcPr>
          <w:p w:rsidR="002D5BB0" w:rsidRPr="00222917" w:rsidRDefault="002D5BB0" w:rsidP="00A5088D">
            <w:pPr>
              <w:pStyle w:val="SingleTxtG"/>
              <w:suppressAutoHyphens w:val="0"/>
              <w:spacing w:before="40" w:after="40" w:line="220" w:lineRule="exact"/>
              <w:ind w:left="0" w:right="0"/>
              <w:jc w:val="left"/>
              <w:rPr>
                <w:sz w:val="18"/>
                <w:lang w:val="en-US"/>
              </w:rPr>
            </w:pPr>
            <w:r w:rsidRPr="00222917">
              <w:rPr>
                <w:sz w:val="18"/>
                <w:lang w:val="en-US"/>
              </w:rPr>
              <w:t>Religion</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b/>
                <w:sz w:val="18"/>
                <w:lang w:val="en-US"/>
              </w:rPr>
            </w:pPr>
            <w:r w:rsidRPr="00222917">
              <w:rPr>
                <w:b/>
                <w:sz w:val="18"/>
                <w:lang w:val="en-US"/>
              </w:rPr>
              <w:t>7</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3</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2</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2</w:t>
            </w:r>
          </w:p>
        </w:tc>
      </w:tr>
      <w:tr w:rsidR="006E1F63" w:rsidRPr="00222917" w:rsidTr="003E2CEC">
        <w:trPr>
          <w:trHeight w:val="240"/>
        </w:trPr>
        <w:tc>
          <w:tcPr>
            <w:tcW w:w="2834" w:type="dxa"/>
            <w:shd w:val="clear" w:color="auto" w:fill="auto"/>
          </w:tcPr>
          <w:p w:rsidR="002D5BB0" w:rsidRPr="00222917" w:rsidRDefault="002D5BB0" w:rsidP="00A5088D">
            <w:pPr>
              <w:pStyle w:val="SingleTxtG"/>
              <w:suppressAutoHyphens w:val="0"/>
              <w:spacing w:before="40" w:after="40" w:line="220" w:lineRule="exact"/>
              <w:ind w:left="0" w:right="0"/>
              <w:jc w:val="left"/>
              <w:rPr>
                <w:sz w:val="18"/>
                <w:lang w:val="en-US"/>
              </w:rPr>
            </w:pPr>
            <w:r w:rsidRPr="00222917">
              <w:rPr>
                <w:sz w:val="18"/>
                <w:lang w:val="en-US"/>
              </w:rPr>
              <w:t>Disability</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b/>
                <w:sz w:val="18"/>
                <w:lang w:val="en-US"/>
              </w:rPr>
            </w:pPr>
            <w:r w:rsidRPr="00222917">
              <w:rPr>
                <w:b/>
                <w:sz w:val="18"/>
                <w:lang w:val="en-US"/>
              </w:rPr>
              <w:t>110</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4</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10</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11</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23</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23</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10</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29</w:t>
            </w:r>
          </w:p>
        </w:tc>
      </w:tr>
      <w:tr w:rsidR="006E1F63" w:rsidRPr="00222917" w:rsidTr="003E2CEC">
        <w:trPr>
          <w:trHeight w:val="240"/>
        </w:trPr>
        <w:tc>
          <w:tcPr>
            <w:tcW w:w="2834" w:type="dxa"/>
            <w:shd w:val="clear" w:color="auto" w:fill="auto"/>
          </w:tcPr>
          <w:p w:rsidR="002D5BB0" w:rsidRPr="00222917" w:rsidRDefault="002D5BB0" w:rsidP="00A5088D">
            <w:pPr>
              <w:pStyle w:val="SingleTxtG"/>
              <w:suppressAutoHyphens w:val="0"/>
              <w:spacing w:before="40" w:after="40" w:line="220" w:lineRule="exact"/>
              <w:ind w:left="0" w:right="0"/>
              <w:jc w:val="left"/>
              <w:rPr>
                <w:sz w:val="18"/>
                <w:lang w:val="en-US"/>
              </w:rPr>
            </w:pPr>
            <w:r w:rsidRPr="00222917">
              <w:rPr>
                <w:sz w:val="18"/>
                <w:lang w:val="en-US"/>
              </w:rPr>
              <w:t>Age</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b/>
                <w:sz w:val="18"/>
                <w:lang w:val="en-US"/>
              </w:rPr>
            </w:pPr>
            <w:r w:rsidRPr="00222917">
              <w:rPr>
                <w:b/>
                <w:sz w:val="18"/>
                <w:lang w:val="en-US"/>
              </w:rPr>
              <w:t>123</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7</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45</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31</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10</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19</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10</w:t>
            </w:r>
          </w:p>
        </w:tc>
      </w:tr>
      <w:tr w:rsidR="006E1F63" w:rsidRPr="00222917" w:rsidTr="003E2CEC">
        <w:trPr>
          <w:trHeight w:val="240"/>
        </w:trPr>
        <w:tc>
          <w:tcPr>
            <w:tcW w:w="2834" w:type="dxa"/>
            <w:shd w:val="clear" w:color="auto" w:fill="auto"/>
          </w:tcPr>
          <w:p w:rsidR="002D5BB0" w:rsidRPr="00222917" w:rsidRDefault="002D5BB0" w:rsidP="00A5088D">
            <w:pPr>
              <w:pStyle w:val="SingleTxtG"/>
              <w:suppressAutoHyphens w:val="0"/>
              <w:spacing w:before="40" w:after="40" w:line="220" w:lineRule="exact"/>
              <w:ind w:left="0" w:right="0"/>
              <w:jc w:val="left"/>
              <w:rPr>
                <w:sz w:val="18"/>
                <w:lang w:val="en-US"/>
              </w:rPr>
            </w:pPr>
            <w:r w:rsidRPr="00222917">
              <w:rPr>
                <w:sz w:val="18"/>
                <w:lang w:val="en-US"/>
              </w:rPr>
              <w:t>Social status</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b/>
                <w:sz w:val="18"/>
                <w:lang w:val="en-US"/>
              </w:rPr>
            </w:pPr>
            <w:r w:rsidRPr="00222917">
              <w:rPr>
                <w:b/>
                <w:sz w:val="18"/>
                <w:lang w:val="en-US"/>
              </w:rPr>
              <w:t>86</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9</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3</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41</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18</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11</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3</w:t>
            </w:r>
          </w:p>
        </w:tc>
      </w:tr>
      <w:tr w:rsidR="006E1F63" w:rsidRPr="00222917" w:rsidTr="003E2CEC">
        <w:trPr>
          <w:trHeight w:val="240"/>
        </w:trPr>
        <w:tc>
          <w:tcPr>
            <w:tcW w:w="2834" w:type="dxa"/>
            <w:shd w:val="clear" w:color="auto" w:fill="auto"/>
          </w:tcPr>
          <w:p w:rsidR="002D5BB0" w:rsidRPr="00222917" w:rsidRDefault="002D5BB0" w:rsidP="00A5088D">
            <w:pPr>
              <w:pStyle w:val="SingleTxtG"/>
              <w:suppressAutoHyphens w:val="0"/>
              <w:spacing w:before="40" w:after="40" w:line="220" w:lineRule="exact"/>
              <w:ind w:left="0" w:right="0"/>
              <w:jc w:val="left"/>
              <w:rPr>
                <w:sz w:val="18"/>
                <w:lang w:val="en-US"/>
              </w:rPr>
            </w:pPr>
            <w:r w:rsidRPr="00222917">
              <w:rPr>
                <w:sz w:val="18"/>
                <w:lang w:val="en-US"/>
              </w:rPr>
              <w:t>Region of origin</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b/>
                <w:sz w:val="18"/>
                <w:lang w:val="en-US"/>
              </w:rPr>
            </w:pPr>
            <w:r w:rsidRPr="00222917">
              <w:rPr>
                <w:b/>
                <w:sz w:val="18"/>
                <w:lang w:val="en-US"/>
              </w:rPr>
              <w:t>2</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r>
      <w:tr w:rsidR="006E1F63" w:rsidRPr="00222917" w:rsidTr="003E2CEC">
        <w:trPr>
          <w:trHeight w:val="240"/>
        </w:trPr>
        <w:tc>
          <w:tcPr>
            <w:tcW w:w="2834" w:type="dxa"/>
            <w:shd w:val="clear" w:color="auto" w:fill="auto"/>
          </w:tcPr>
          <w:p w:rsidR="002D5BB0" w:rsidRPr="00222917" w:rsidRDefault="002D5BB0" w:rsidP="00A5088D">
            <w:pPr>
              <w:pStyle w:val="SingleTxtG"/>
              <w:suppressAutoHyphens w:val="0"/>
              <w:spacing w:before="40" w:after="40" w:line="220" w:lineRule="exact"/>
              <w:ind w:left="0" w:right="0"/>
              <w:jc w:val="left"/>
              <w:rPr>
                <w:sz w:val="18"/>
                <w:lang w:val="en-US"/>
              </w:rPr>
            </w:pPr>
            <w:r w:rsidRPr="00222917">
              <w:rPr>
                <w:sz w:val="18"/>
                <w:lang w:val="en-US"/>
              </w:rPr>
              <w:t>Nationality of origin</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b/>
                <w:sz w:val="18"/>
                <w:lang w:val="en-US"/>
              </w:rPr>
            </w:pPr>
            <w:r w:rsidRPr="00222917">
              <w:rPr>
                <w:b/>
                <w:sz w:val="18"/>
                <w:lang w:val="en-US"/>
              </w:rPr>
              <w:t>7</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2</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w:t>
            </w:r>
          </w:p>
        </w:tc>
      </w:tr>
      <w:tr w:rsidR="006E1F63" w:rsidRPr="00222917" w:rsidTr="003E2CEC">
        <w:trPr>
          <w:trHeight w:val="240"/>
        </w:trPr>
        <w:tc>
          <w:tcPr>
            <w:tcW w:w="2834" w:type="dxa"/>
            <w:shd w:val="clear" w:color="auto" w:fill="auto"/>
          </w:tcPr>
          <w:p w:rsidR="002D5BB0" w:rsidRPr="00222917" w:rsidRDefault="002D5BB0" w:rsidP="00A5088D">
            <w:pPr>
              <w:pStyle w:val="SingleTxtG"/>
              <w:suppressAutoHyphens w:val="0"/>
              <w:spacing w:before="40" w:after="40" w:line="220" w:lineRule="exact"/>
              <w:ind w:left="0" w:right="0"/>
              <w:jc w:val="left"/>
              <w:rPr>
                <w:sz w:val="18"/>
                <w:lang w:val="en-US"/>
              </w:rPr>
            </w:pPr>
            <w:r w:rsidRPr="00222917">
              <w:rPr>
                <w:sz w:val="18"/>
                <w:lang w:val="en-US"/>
              </w:rPr>
              <w:t>Appearance and physical conditions</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b/>
                <w:sz w:val="18"/>
                <w:lang w:val="en-US"/>
              </w:rPr>
            </w:pPr>
            <w:r w:rsidRPr="00222917">
              <w:rPr>
                <w:b/>
                <w:sz w:val="18"/>
                <w:lang w:val="en-US"/>
              </w:rPr>
              <w:t>25</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12</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4</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2</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6</w:t>
            </w:r>
          </w:p>
        </w:tc>
      </w:tr>
      <w:tr w:rsidR="006E1F63" w:rsidRPr="00222917" w:rsidTr="003E2CEC">
        <w:trPr>
          <w:trHeight w:val="240"/>
        </w:trPr>
        <w:tc>
          <w:tcPr>
            <w:tcW w:w="2834" w:type="dxa"/>
            <w:shd w:val="clear" w:color="auto" w:fill="auto"/>
          </w:tcPr>
          <w:p w:rsidR="002D5BB0" w:rsidRPr="00222917" w:rsidRDefault="002D5BB0" w:rsidP="00A5088D">
            <w:pPr>
              <w:pStyle w:val="SingleTxtG"/>
              <w:suppressAutoHyphens w:val="0"/>
              <w:spacing w:before="40" w:after="40" w:line="220" w:lineRule="exact"/>
              <w:ind w:left="0" w:right="0"/>
              <w:jc w:val="left"/>
              <w:rPr>
                <w:sz w:val="18"/>
                <w:lang w:val="en-US"/>
              </w:rPr>
            </w:pPr>
            <w:r w:rsidRPr="00222917">
              <w:rPr>
                <w:sz w:val="18"/>
                <w:lang w:val="en-US"/>
              </w:rPr>
              <w:t>Marital status</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b/>
                <w:sz w:val="18"/>
                <w:lang w:val="en-US"/>
              </w:rPr>
            </w:pPr>
            <w:r w:rsidRPr="00222917">
              <w:rPr>
                <w:b/>
                <w:sz w:val="18"/>
                <w:lang w:val="en-US"/>
              </w:rPr>
              <w:t>4</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3</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r>
      <w:tr w:rsidR="006E1F63" w:rsidRPr="00222917" w:rsidTr="003E2CEC">
        <w:trPr>
          <w:trHeight w:val="240"/>
        </w:trPr>
        <w:tc>
          <w:tcPr>
            <w:tcW w:w="2834" w:type="dxa"/>
            <w:shd w:val="clear" w:color="auto" w:fill="auto"/>
          </w:tcPr>
          <w:p w:rsidR="002D5BB0" w:rsidRPr="00222917" w:rsidRDefault="002D5BB0" w:rsidP="00A5088D">
            <w:pPr>
              <w:pStyle w:val="SingleTxtG"/>
              <w:suppressAutoHyphens w:val="0"/>
              <w:spacing w:before="40" w:after="40" w:line="220" w:lineRule="exact"/>
              <w:ind w:left="0" w:right="0"/>
              <w:jc w:val="left"/>
              <w:rPr>
                <w:sz w:val="18"/>
                <w:lang w:val="en-US"/>
              </w:rPr>
            </w:pPr>
            <w:r w:rsidRPr="00222917">
              <w:rPr>
                <w:sz w:val="18"/>
                <w:lang w:val="en-US"/>
              </w:rPr>
              <w:t>Pregnancy/childbirth</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b/>
                <w:sz w:val="18"/>
                <w:lang w:val="en-US"/>
              </w:rPr>
            </w:pPr>
            <w:r w:rsidRPr="00222917">
              <w:rPr>
                <w:b/>
                <w:sz w:val="18"/>
                <w:lang w:val="en-US"/>
              </w:rPr>
              <w:t>9</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2</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2</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3</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r>
      <w:tr w:rsidR="006E1F63" w:rsidRPr="00222917" w:rsidTr="003E2CEC">
        <w:trPr>
          <w:trHeight w:val="240"/>
        </w:trPr>
        <w:tc>
          <w:tcPr>
            <w:tcW w:w="2834" w:type="dxa"/>
            <w:shd w:val="clear" w:color="auto" w:fill="auto"/>
          </w:tcPr>
          <w:p w:rsidR="002D5BB0" w:rsidRPr="00222917" w:rsidRDefault="002D5BB0" w:rsidP="00A5088D">
            <w:pPr>
              <w:pStyle w:val="SingleTxtG"/>
              <w:suppressAutoHyphens w:val="0"/>
              <w:spacing w:before="40" w:after="40" w:line="220" w:lineRule="exact"/>
              <w:ind w:left="0" w:right="0"/>
              <w:jc w:val="left"/>
              <w:rPr>
                <w:sz w:val="18"/>
                <w:lang w:val="en-US"/>
              </w:rPr>
            </w:pPr>
            <w:r w:rsidRPr="00222917">
              <w:rPr>
                <w:sz w:val="18"/>
                <w:lang w:val="en-US"/>
              </w:rPr>
              <w:t>Family status</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b/>
                <w:sz w:val="18"/>
                <w:lang w:val="en-US"/>
              </w:rPr>
            </w:pPr>
            <w:r w:rsidRPr="00222917">
              <w:rPr>
                <w:b/>
                <w:sz w:val="18"/>
                <w:lang w:val="en-US"/>
              </w:rPr>
              <w:t>7</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2</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2</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r>
      <w:tr w:rsidR="006E1F63" w:rsidRPr="00222917" w:rsidTr="003E2CEC">
        <w:trPr>
          <w:trHeight w:val="240"/>
        </w:trPr>
        <w:tc>
          <w:tcPr>
            <w:tcW w:w="2834" w:type="dxa"/>
            <w:shd w:val="clear" w:color="auto" w:fill="auto"/>
          </w:tcPr>
          <w:p w:rsidR="002D5BB0" w:rsidRPr="00222917" w:rsidRDefault="002D5BB0" w:rsidP="00A5088D">
            <w:pPr>
              <w:pStyle w:val="SingleTxtG"/>
              <w:suppressAutoHyphens w:val="0"/>
              <w:spacing w:before="40" w:after="40" w:line="220" w:lineRule="exact"/>
              <w:ind w:left="0" w:right="0"/>
              <w:jc w:val="left"/>
              <w:rPr>
                <w:sz w:val="18"/>
                <w:lang w:val="en-US"/>
              </w:rPr>
            </w:pPr>
            <w:r w:rsidRPr="00222917">
              <w:rPr>
                <w:sz w:val="18"/>
                <w:lang w:val="en-US"/>
              </w:rPr>
              <w:t>Race</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b/>
                <w:sz w:val="18"/>
                <w:lang w:val="en-US"/>
              </w:rPr>
            </w:pPr>
            <w:r w:rsidRPr="00222917">
              <w:rPr>
                <w:b/>
                <w:sz w:val="18"/>
                <w:lang w:val="en-US"/>
              </w:rPr>
              <w:t>1</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r>
      <w:tr w:rsidR="006E1F63" w:rsidRPr="00222917" w:rsidTr="003E2CEC">
        <w:trPr>
          <w:trHeight w:val="240"/>
        </w:trPr>
        <w:tc>
          <w:tcPr>
            <w:tcW w:w="2834" w:type="dxa"/>
            <w:shd w:val="clear" w:color="auto" w:fill="auto"/>
          </w:tcPr>
          <w:p w:rsidR="002D5BB0" w:rsidRPr="00222917" w:rsidRDefault="002D5BB0" w:rsidP="00A5088D">
            <w:pPr>
              <w:pStyle w:val="SingleTxtG"/>
              <w:suppressAutoHyphens w:val="0"/>
              <w:spacing w:before="40" w:after="40" w:line="220" w:lineRule="exact"/>
              <w:ind w:left="0" w:right="0"/>
              <w:jc w:val="left"/>
              <w:rPr>
                <w:sz w:val="18"/>
                <w:lang w:val="en-US"/>
              </w:rPr>
            </w:pPr>
            <w:r w:rsidRPr="00222917">
              <w:rPr>
                <w:sz w:val="18"/>
                <w:lang w:val="en-US"/>
              </w:rPr>
              <w:t>Ideological and political opinion</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b/>
                <w:sz w:val="18"/>
                <w:lang w:val="en-US"/>
              </w:rPr>
            </w:pPr>
            <w:r w:rsidRPr="00222917">
              <w:rPr>
                <w:b/>
                <w:sz w:val="18"/>
                <w:lang w:val="en-US"/>
              </w:rPr>
              <w:t>3</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2</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r>
      <w:tr w:rsidR="006E1F63" w:rsidRPr="00222917" w:rsidTr="003E2CEC">
        <w:trPr>
          <w:trHeight w:val="240"/>
        </w:trPr>
        <w:tc>
          <w:tcPr>
            <w:tcW w:w="2834" w:type="dxa"/>
            <w:shd w:val="clear" w:color="auto" w:fill="auto"/>
          </w:tcPr>
          <w:p w:rsidR="002D5BB0" w:rsidRPr="00222917" w:rsidRDefault="002D5BB0" w:rsidP="00A5088D">
            <w:pPr>
              <w:pStyle w:val="SingleTxtG"/>
              <w:suppressAutoHyphens w:val="0"/>
              <w:spacing w:before="40" w:after="40" w:line="220" w:lineRule="exact"/>
              <w:ind w:left="0" w:right="0"/>
              <w:jc w:val="left"/>
              <w:rPr>
                <w:sz w:val="18"/>
                <w:lang w:val="en-US"/>
              </w:rPr>
            </w:pPr>
            <w:r w:rsidRPr="00222917">
              <w:rPr>
                <w:sz w:val="18"/>
                <w:lang w:val="en-US"/>
              </w:rPr>
              <w:t>Criminal record</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b/>
                <w:sz w:val="18"/>
                <w:lang w:val="en-US"/>
              </w:rPr>
            </w:pPr>
            <w:r w:rsidRPr="00222917">
              <w:rPr>
                <w:b/>
                <w:sz w:val="18"/>
                <w:lang w:val="en-US"/>
              </w:rPr>
              <w:t>4</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2</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r>
      <w:tr w:rsidR="006E1F63" w:rsidRPr="00222917" w:rsidTr="003E2CEC">
        <w:trPr>
          <w:trHeight w:val="240"/>
        </w:trPr>
        <w:tc>
          <w:tcPr>
            <w:tcW w:w="2834" w:type="dxa"/>
            <w:shd w:val="clear" w:color="auto" w:fill="auto"/>
          </w:tcPr>
          <w:p w:rsidR="002D5BB0" w:rsidRPr="00222917" w:rsidRDefault="002D5BB0" w:rsidP="00A5088D">
            <w:pPr>
              <w:pStyle w:val="SingleTxtG"/>
              <w:suppressAutoHyphens w:val="0"/>
              <w:spacing w:before="40" w:after="40" w:line="220" w:lineRule="exact"/>
              <w:ind w:left="0" w:right="0"/>
              <w:jc w:val="left"/>
              <w:rPr>
                <w:sz w:val="18"/>
                <w:lang w:val="en-US"/>
              </w:rPr>
            </w:pPr>
            <w:r w:rsidRPr="00222917">
              <w:rPr>
                <w:sz w:val="18"/>
                <w:lang w:val="en-US"/>
              </w:rPr>
              <w:t>Sexual orientation</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b/>
                <w:sz w:val="18"/>
                <w:lang w:val="en-US"/>
              </w:rPr>
            </w:pPr>
            <w:r w:rsidRPr="00222917">
              <w:rPr>
                <w:b/>
                <w:sz w:val="18"/>
                <w:lang w:val="en-US"/>
              </w:rPr>
              <w:t>5</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2</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r>
      <w:tr w:rsidR="006E1F63" w:rsidRPr="00222917" w:rsidTr="003E2CEC">
        <w:trPr>
          <w:trHeight w:val="240"/>
        </w:trPr>
        <w:tc>
          <w:tcPr>
            <w:tcW w:w="2834" w:type="dxa"/>
            <w:shd w:val="clear" w:color="auto" w:fill="auto"/>
          </w:tcPr>
          <w:p w:rsidR="002D5BB0" w:rsidRPr="00222917" w:rsidRDefault="002D5BB0" w:rsidP="00A5088D">
            <w:pPr>
              <w:pStyle w:val="SingleTxtG"/>
              <w:suppressAutoHyphens w:val="0"/>
              <w:spacing w:before="40" w:after="40" w:line="220" w:lineRule="exact"/>
              <w:ind w:left="0" w:right="0"/>
              <w:jc w:val="left"/>
              <w:rPr>
                <w:sz w:val="18"/>
                <w:lang w:val="en-US"/>
              </w:rPr>
            </w:pPr>
            <w:r w:rsidRPr="00222917">
              <w:rPr>
                <w:sz w:val="18"/>
                <w:lang w:val="en-US"/>
              </w:rPr>
              <w:t>Medical history</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b/>
                <w:sz w:val="18"/>
                <w:lang w:val="en-US"/>
              </w:rPr>
            </w:pPr>
            <w:r w:rsidRPr="00222917">
              <w:rPr>
                <w:b/>
                <w:sz w:val="18"/>
                <w:lang w:val="en-US"/>
              </w:rPr>
              <w:t>13</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4</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5</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w:t>
            </w:r>
          </w:p>
        </w:tc>
      </w:tr>
      <w:tr w:rsidR="006E1F63" w:rsidRPr="00222917" w:rsidTr="003E2CEC">
        <w:trPr>
          <w:trHeight w:val="240"/>
        </w:trPr>
        <w:tc>
          <w:tcPr>
            <w:tcW w:w="2834" w:type="dxa"/>
            <w:shd w:val="clear" w:color="auto" w:fill="auto"/>
          </w:tcPr>
          <w:p w:rsidR="002D5BB0" w:rsidRPr="00222917" w:rsidRDefault="002D5BB0" w:rsidP="00A5088D">
            <w:pPr>
              <w:pStyle w:val="SingleTxtG"/>
              <w:suppressAutoHyphens w:val="0"/>
              <w:spacing w:before="40" w:after="40" w:line="220" w:lineRule="exact"/>
              <w:ind w:left="0" w:right="0"/>
              <w:jc w:val="left"/>
              <w:rPr>
                <w:sz w:val="18"/>
                <w:lang w:val="en-US"/>
              </w:rPr>
            </w:pPr>
            <w:r w:rsidRPr="00222917">
              <w:rPr>
                <w:sz w:val="18"/>
                <w:lang w:val="en-US"/>
              </w:rPr>
              <w:t>Educational background</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b/>
                <w:sz w:val="18"/>
                <w:lang w:val="en-US"/>
              </w:rPr>
            </w:pPr>
            <w:r w:rsidRPr="00222917">
              <w:rPr>
                <w:b/>
                <w:sz w:val="18"/>
                <w:lang w:val="en-US"/>
              </w:rPr>
              <w:t>18</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2</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7</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5</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2</w:t>
            </w:r>
          </w:p>
        </w:tc>
      </w:tr>
      <w:tr w:rsidR="006E1F63" w:rsidRPr="00222917" w:rsidTr="003E2CEC">
        <w:trPr>
          <w:trHeight w:val="240"/>
        </w:trPr>
        <w:tc>
          <w:tcPr>
            <w:tcW w:w="2834" w:type="dxa"/>
            <w:shd w:val="clear" w:color="auto" w:fill="auto"/>
          </w:tcPr>
          <w:p w:rsidR="002D5BB0" w:rsidRPr="00222917" w:rsidRDefault="002D5BB0" w:rsidP="00A5088D">
            <w:pPr>
              <w:pStyle w:val="SingleTxtG"/>
              <w:suppressAutoHyphens w:val="0"/>
              <w:spacing w:before="40" w:after="40" w:line="220" w:lineRule="exact"/>
              <w:ind w:left="0" w:right="0"/>
              <w:jc w:val="left"/>
              <w:rPr>
                <w:sz w:val="18"/>
                <w:lang w:val="en-US"/>
              </w:rPr>
            </w:pPr>
            <w:r w:rsidRPr="00222917">
              <w:rPr>
                <w:sz w:val="18"/>
                <w:lang w:val="en-US"/>
              </w:rPr>
              <w:t>Sexual harassment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b/>
                <w:sz w:val="18"/>
                <w:lang w:val="en-US"/>
              </w:rPr>
            </w:pPr>
            <w:r w:rsidRPr="00222917">
              <w:rPr>
                <w:b/>
                <w:sz w:val="18"/>
                <w:lang w:val="en-US"/>
              </w:rPr>
              <w:t>107</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2</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19</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16</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22</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12</w:t>
            </w:r>
          </w:p>
        </w:tc>
        <w:tc>
          <w:tcPr>
            <w:tcW w:w="56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36</w:t>
            </w:r>
          </w:p>
        </w:tc>
      </w:tr>
      <w:tr w:rsidR="006E1F63" w:rsidRPr="00222917" w:rsidTr="003E2CEC">
        <w:trPr>
          <w:trHeight w:val="240"/>
        </w:trPr>
        <w:tc>
          <w:tcPr>
            <w:tcW w:w="2834" w:type="dxa"/>
            <w:tcBorders>
              <w:bottom w:val="single" w:sz="12" w:space="0" w:color="auto"/>
            </w:tcBorders>
            <w:shd w:val="clear" w:color="auto" w:fill="auto"/>
          </w:tcPr>
          <w:p w:rsidR="002D5BB0" w:rsidRPr="00222917" w:rsidRDefault="002D5BB0" w:rsidP="00A5088D">
            <w:pPr>
              <w:pStyle w:val="SingleTxtG"/>
              <w:suppressAutoHyphens w:val="0"/>
              <w:spacing w:before="40" w:after="40" w:line="220" w:lineRule="exact"/>
              <w:ind w:left="0" w:right="0"/>
              <w:jc w:val="left"/>
              <w:rPr>
                <w:sz w:val="18"/>
                <w:lang w:val="en-US"/>
              </w:rPr>
            </w:pPr>
            <w:r w:rsidRPr="00222917">
              <w:rPr>
                <w:sz w:val="18"/>
                <w:lang w:val="en-US"/>
              </w:rPr>
              <w:t>Others</w:t>
            </w:r>
          </w:p>
        </w:tc>
        <w:tc>
          <w:tcPr>
            <w:tcW w:w="567" w:type="dxa"/>
            <w:tcBorders>
              <w:bottom w:val="single" w:sz="12" w:space="0" w:color="auto"/>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b/>
                <w:sz w:val="18"/>
                <w:lang w:val="en-US"/>
              </w:rPr>
            </w:pPr>
            <w:r w:rsidRPr="00222917">
              <w:rPr>
                <w:b/>
                <w:sz w:val="18"/>
                <w:lang w:val="en-US"/>
              </w:rPr>
              <w:t>58</w:t>
            </w:r>
          </w:p>
        </w:tc>
        <w:tc>
          <w:tcPr>
            <w:tcW w:w="567" w:type="dxa"/>
            <w:tcBorders>
              <w:bottom w:val="single" w:sz="12" w:space="0" w:color="auto"/>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2</w:t>
            </w:r>
          </w:p>
        </w:tc>
        <w:tc>
          <w:tcPr>
            <w:tcW w:w="567" w:type="dxa"/>
            <w:tcBorders>
              <w:bottom w:val="single" w:sz="12" w:space="0" w:color="auto"/>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7</w:t>
            </w:r>
          </w:p>
        </w:tc>
        <w:tc>
          <w:tcPr>
            <w:tcW w:w="567" w:type="dxa"/>
            <w:tcBorders>
              <w:bottom w:val="single" w:sz="12" w:space="0" w:color="auto"/>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7</w:t>
            </w:r>
          </w:p>
        </w:tc>
        <w:tc>
          <w:tcPr>
            <w:tcW w:w="567" w:type="dxa"/>
            <w:tcBorders>
              <w:bottom w:val="single" w:sz="12" w:space="0" w:color="auto"/>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8</w:t>
            </w:r>
          </w:p>
        </w:tc>
        <w:tc>
          <w:tcPr>
            <w:tcW w:w="567" w:type="dxa"/>
            <w:tcBorders>
              <w:bottom w:val="single" w:sz="12" w:space="0" w:color="auto"/>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14</w:t>
            </w:r>
          </w:p>
        </w:tc>
        <w:tc>
          <w:tcPr>
            <w:tcW w:w="567" w:type="dxa"/>
            <w:tcBorders>
              <w:bottom w:val="single" w:sz="12" w:space="0" w:color="auto"/>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7</w:t>
            </w:r>
          </w:p>
        </w:tc>
        <w:tc>
          <w:tcPr>
            <w:tcW w:w="567" w:type="dxa"/>
            <w:tcBorders>
              <w:bottom w:val="single" w:sz="12" w:space="0" w:color="auto"/>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13</w:t>
            </w:r>
          </w:p>
        </w:tc>
      </w:tr>
    </w:tbl>
    <w:p w:rsidR="002D5BB0" w:rsidRPr="00222917" w:rsidRDefault="00EB4B4B" w:rsidP="00423A3F">
      <w:pPr>
        <w:pStyle w:val="H23G"/>
        <w:rPr>
          <w:lang w:val="en-US"/>
        </w:rPr>
      </w:pPr>
      <w:r w:rsidRPr="00222917">
        <w:rPr>
          <w:lang w:val="en-US"/>
        </w:rPr>
        <w:tab/>
      </w:r>
      <w:r w:rsidRPr="00222917">
        <w:rPr>
          <w:lang w:val="en-US"/>
        </w:rPr>
        <w:tab/>
      </w:r>
      <w:r w:rsidR="002D5BB0" w:rsidRPr="00222917">
        <w:rPr>
          <w:lang w:val="en-US"/>
        </w:rPr>
        <w:t xml:space="preserve">Guarantee of Right of Equality by the Decisions of the </w:t>
      </w:r>
      <w:smartTag w:uri="urn:schemas-microsoft-com:office:smarttags" w:element="Street">
        <w:smartTag w:uri="urn:schemas-microsoft-com:office:smarttags" w:element="address">
          <w:r w:rsidR="002D5BB0" w:rsidRPr="00222917">
            <w:rPr>
              <w:lang w:val="en-US"/>
            </w:rPr>
            <w:t>Constitutional Court</w:t>
          </w:r>
        </w:smartTag>
      </w:smartTag>
    </w:p>
    <w:p w:rsidR="002D5BB0" w:rsidRPr="00222917" w:rsidRDefault="00547908" w:rsidP="00547908">
      <w:pPr>
        <w:pStyle w:val="SingleTxtG"/>
        <w:rPr>
          <w:lang w:val="en-US"/>
        </w:rPr>
      </w:pPr>
      <w:r w:rsidRPr="00222917">
        <w:rPr>
          <w:lang w:val="en-US"/>
        </w:rPr>
        <w:t>51.</w:t>
      </w:r>
      <w:r w:rsidRPr="00222917">
        <w:rPr>
          <w:lang w:val="en-US"/>
        </w:rPr>
        <w:tab/>
      </w:r>
      <w:r w:rsidR="002D5BB0" w:rsidRPr="00222917">
        <w:rPr>
          <w:lang w:val="en-US"/>
        </w:rPr>
        <w:t xml:space="preserve">After the submission of the third report, the Constitutional Court of Korea ruled on a number of occasions that some </w:t>
      </w:r>
      <w:r w:rsidR="002D5BB0" w:rsidRPr="00222917">
        <w:rPr>
          <w:bCs/>
          <w:lang w:val="en-US"/>
        </w:rPr>
        <w:t>laws</w:t>
      </w:r>
      <w:r w:rsidR="002D5BB0" w:rsidRPr="00222917">
        <w:rPr>
          <w:lang w:val="en-US"/>
        </w:rPr>
        <w:t xml:space="preserve"> violating the principle of equality were unconstitutional. </w:t>
      </w:r>
      <w:r w:rsidR="00423A3F" w:rsidRPr="00222917">
        <w:rPr>
          <w:lang w:val="en-US"/>
        </w:rPr>
        <w:t>Major examples are as follows:</w:t>
      </w:r>
    </w:p>
    <w:p w:rsidR="002D5BB0" w:rsidRPr="00222917" w:rsidRDefault="00547908" w:rsidP="00547908">
      <w:pPr>
        <w:pStyle w:val="Bullet1G"/>
        <w:numPr>
          <w:ilvl w:val="0"/>
          <w:numId w:val="0"/>
        </w:numPr>
        <w:tabs>
          <w:tab w:val="left" w:pos="1701"/>
        </w:tabs>
        <w:ind w:left="1701" w:hanging="170"/>
        <w:rPr>
          <w:lang w:val="en-US"/>
        </w:rPr>
      </w:pPr>
      <w:r w:rsidRPr="00222917">
        <w:rPr>
          <w:lang w:val="en-US"/>
        </w:rPr>
        <w:t>•</w:t>
      </w:r>
      <w:r w:rsidRPr="00222917">
        <w:rPr>
          <w:lang w:val="en-US"/>
        </w:rPr>
        <w:tab/>
      </w:r>
      <w:r w:rsidR="005E2D0C" w:rsidRPr="00222917">
        <w:rPr>
          <w:lang w:val="en-US"/>
        </w:rPr>
        <w:t>C</w:t>
      </w:r>
      <w:r w:rsidR="002D5BB0" w:rsidRPr="00222917">
        <w:rPr>
          <w:lang w:val="en-US"/>
        </w:rPr>
        <w:t>ase regarding basic labor right of foreign indu</w:t>
      </w:r>
      <w:r w:rsidR="005E2D0C" w:rsidRPr="00222917">
        <w:rPr>
          <w:lang w:val="en-US"/>
        </w:rPr>
        <w:t xml:space="preserve">strial trainees: </w:t>
      </w:r>
      <w:r w:rsidR="00EA4A97" w:rsidRPr="00222917">
        <w:rPr>
          <w:lang w:val="en-US"/>
        </w:rPr>
        <w:t>The “</w:t>
      </w:r>
      <w:r w:rsidR="002D5BB0" w:rsidRPr="00222917">
        <w:rPr>
          <w:lang w:val="en-US"/>
        </w:rPr>
        <w:t>Guidelines on Protection and Management of Foreign Industrial Trainees</w:t>
      </w:r>
      <w:r w:rsidR="00EA4A97" w:rsidRPr="00222917">
        <w:rPr>
          <w:lang w:val="en-US"/>
        </w:rPr>
        <w:t>”</w:t>
      </w:r>
      <w:r w:rsidR="002D5BB0" w:rsidRPr="00222917">
        <w:rPr>
          <w:lang w:val="en-US"/>
        </w:rPr>
        <w:t xml:space="preserve"> excluded foreign industrial trainees (hereinafter referred to as “industrial trainees”) from protections and benefits under the </w:t>
      </w:r>
      <w:r w:rsidR="002D5BB0" w:rsidRPr="00222917">
        <w:rPr>
          <w:iCs/>
          <w:lang w:val="en-US"/>
        </w:rPr>
        <w:t xml:space="preserve">Labor Standards Act </w:t>
      </w:r>
      <w:r w:rsidR="002D5BB0" w:rsidRPr="00222917">
        <w:rPr>
          <w:lang w:val="en-US"/>
        </w:rPr>
        <w:t>such as severance pay, preferential payment of wage claims and paid annual leaves, and maternity protection. The</w:t>
      </w:r>
      <w:r w:rsidR="00EA4A97" w:rsidRPr="00222917">
        <w:rPr>
          <w:lang w:val="en-US"/>
        </w:rPr>
        <w:t> </w:t>
      </w:r>
      <w:r w:rsidR="002D5BB0" w:rsidRPr="00222917">
        <w:rPr>
          <w:lang w:val="en-US"/>
        </w:rPr>
        <w:t>Constitutional Court ruled on 30 August 2007 that refusal to apply some provisions of the</w:t>
      </w:r>
      <w:r w:rsidR="002D5BB0" w:rsidRPr="00222917">
        <w:rPr>
          <w:i/>
          <w:lang w:val="en-US"/>
        </w:rPr>
        <w:t xml:space="preserve"> </w:t>
      </w:r>
      <w:r w:rsidR="002D5BB0" w:rsidRPr="00222917">
        <w:rPr>
          <w:iCs/>
          <w:lang w:val="en-US"/>
        </w:rPr>
        <w:t>Labor Standards Act</w:t>
      </w:r>
      <w:r w:rsidR="002D5BB0" w:rsidRPr="00222917">
        <w:rPr>
          <w:lang w:val="en-US"/>
        </w:rPr>
        <w:t xml:space="preserve"> to industrial trainees constituted arbitrary discrimination since industrial trainees were workers in practice(2004 HUN-MA</w:t>
      </w:r>
      <w:r w:rsidR="00F662F0" w:rsidRPr="00222917">
        <w:rPr>
          <w:lang w:val="en-US"/>
        </w:rPr>
        <w:t> </w:t>
      </w:r>
      <w:r w:rsidR="002D5BB0" w:rsidRPr="00222917">
        <w:rPr>
          <w:lang w:val="en-US"/>
        </w:rPr>
        <w:t xml:space="preserve">670). </w:t>
      </w:r>
    </w:p>
    <w:p w:rsidR="002D5BB0" w:rsidRPr="00222917" w:rsidRDefault="00547908" w:rsidP="00547908">
      <w:pPr>
        <w:pStyle w:val="Bullet1G"/>
        <w:numPr>
          <w:ilvl w:val="0"/>
          <w:numId w:val="0"/>
        </w:numPr>
        <w:tabs>
          <w:tab w:val="left" w:pos="1701"/>
        </w:tabs>
        <w:ind w:left="1701" w:hanging="170"/>
        <w:rPr>
          <w:lang w:val="en-US"/>
        </w:rPr>
      </w:pPr>
      <w:r w:rsidRPr="00222917">
        <w:rPr>
          <w:lang w:val="en-US"/>
        </w:rPr>
        <w:t>•</w:t>
      </w:r>
      <w:r w:rsidRPr="00222917">
        <w:rPr>
          <w:lang w:val="en-US"/>
        </w:rPr>
        <w:tab/>
      </w:r>
      <w:r w:rsidR="002D5BB0" w:rsidRPr="00222917">
        <w:rPr>
          <w:lang w:val="en-US"/>
        </w:rPr>
        <w:t>Case regarding determination of local constituencies for municipal an</w:t>
      </w:r>
      <w:r w:rsidR="005E2D0C" w:rsidRPr="00222917">
        <w:rPr>
          <w:lang w:val="en-US"/>
        </w:rPr>
        <w:t xml:space="preserve">d provincial council elections: </w:t>
      </w:r>
      <w:r w:rsidR="00681EC0" w:rsidRPr="00222917">
        <w:rPr>
          <w:lang w:val="en-US"/>
        </w:rPr>
        <w:t>a</w:t>
      </w:r>
      <w:r w:rsidR="001A2BB2" w:rsidRPr="00222917">
        <w:rPr>
          <w:lang w:val="en-US"/>
        </w:rPr>
        <w:t>rticle </w:t>
      </w:r>
      <w:r w:rsidR="002D5BB0" w:rsidRPr="00222917">
        <w:rPr>
          <w:lang w:val="en-US"/>
        </w:rPr>
        <w:t>22</w:t>
      </w:r>
      <w:r w:rsidR="00681EC0" w:rsidRPr="00222917">
        <w:rPr>
          <w:lang w:val="en-US"/>
        </w:rPr>
        <w:t xml:space="preserve"> </w:t>
      </w:r>
      <w:r w:rsidR="002D5BB0" w:rsidRPr="00222917">
        <w:rPr>
          <w:lang w:val="en-US"/>
        </w:rPr>
        <w:t xml:space="preserve">(1) of the </w:t>
      </w:r>
      <w:r w:rsidR="002D5BB0" w:rsidRPr="00222917">
        <w:rPr>
          <w:iCs/>
          <w:lang w:val="en-US"/>
        </w:rPr>
        <w:t>Public Official Election Act</w:t>
      </w:r>
      <w:r w:rsidR="002D5BB0" w:rsidRPr="00222917">
        <w:rPr>
          <w:lang w:val="en-US"/>
        </w:rPr>
        <w:t xml:space="preserve"> uniformly fixes the number of municipal and provincial council members at two for each administrative district, regardless of the difference in the sizes of population. Meanwhile, the Constitution stipulates that the admissible range of deviation in matters related with population is 60</w:t>
      </w:r>
      <w:r w:rsidR="00E92293" w:rsidRPr="00222917">
        <w:rPr>
          <w:lang w:val="en-US"/>
        </w:rPr>
        <w:t>%</w:t>
      </w:r>
      <w:r w:rsidR="002D5BB0" w:rsidRPr="00222917">
        <w:rPr>
          <w:lang w:val="en-US"/>
        </w:rPr>
        <w:t xml:space="preserve"> in either direction. The </w:t>
      </w:r>
      <w:smartTag w:uri="urn:schemas-microsoft-com:office:smarttags" w:element="Street">
        <w:smartTag w:uri="urn:schemas-microsoft-com:office:smarttags" w:element="address">
          <w:r w:rsidR="002D5BB0" w:rsidRPr="00222917">
            <w:rPr>
              <w:lang w:val="en-US"/>
            </w:rPr>
            <w:t>Constitutional Court</w:t>
          </w:r>
        </w:smartTag>
      </w:smartTag>
      <w:r w:rsidR="002D5BB0" w:rsidRPr="00222917">
        <w:rPr>
          <w:lang w:val="en-US"/>
        </w:rPr>
        <w:t xml:space="preserve"> ruled on 29 March 2007 that determination of local constituencies shall take into reasonable consideration the principle of population proportionality, local representation, and extreme differences in the sizes of population between urban and rural areas. Accordingly, determination of local constituencies exceeding the admissible deviation range of 60</w:t>
      </w:r>
      <w:r w:rsidR="00E92293" w:rsidRPr="00222917">
        <w:rPr>
          <w:lang w:val="en-US"/>
        </w:rPr>
        <w:t>%</w:t>
      </w:r>
      <w:r w:rsidR="002D5BB0" w:rsidRPr="00222917">
        <w:rPr>
          <w:lang w:val="en-US"/>
        </w:rPr>
        <w:t xml:space="preserve"> was ruled as unconstitutional for violation of suffrage and the right of equality guaranteed under the Constitution (2005 HUN-MA 985). </w:t>
      </w:r>
    </w:p>
    <w:p w:rsidR="002D5BB0" w:rsidRPr="00B40CE1" w:rsidRDefault="00EB4B4B" w:rsidP="00423A3F">
      <w:pPr>
        <w:pStyle w:val="HChG"/>
        <w:rPr>
          <w:sz w:val="24"/>
          <w:szCs w:val="24"/>
          <w:lang w:val="en-US"/>
        </w:rPr>
      </w:pPr>
      <w:r w:rsidRPr="00222917">
        <w:rPr>
          <w:lang w:val="en-US"/>
        </w:rPr>
        <w:tab/>
      </w:r>
      <w:r w:rsidRPr="00222917">
        <w:rPr>
          <w:lang w:val="en-US"/>
        </w:rPr>
        <w:tab/>
      </w:r>
      <w:r w:rsidR="002D5BB0" w:rsidRPr="00B40CE1">
        <w:rPr>
          <w:sz w:val="24"/>
          <w:szCs w:val="24"/>
          <w:lang w:val="en-US"/>
        </w:rPr>
        <w:t>Article 3</w:t>
      </w:r>
    </w:p>
    <w:p w:rsidR="002D5BB0" w:rsidRPr="00222917" w:rsidRDefault="00547908" w:rsidP="00547908">
      <w:pPr>
        <w:pStyle w:val="SingleTxtG"/>
        <w:rPr>
          <w:lang w:val="en-US"/>
        </w:rPr>
      </w:pPr>
      <w:r w:rsidRPr="00222917">
        <w:rPr>
          <w:lang w:val="en-US"/>
        </w:rPr>
        <w:t>52.</w:t>
      </w:r>
      <w:r w:rsidRPr="00222917">
        <w:rPr>
          <w:lang w:val="en-US"/>
        </w:rPr>
        <w:tab/>
      </w:r>
      <w:r w:rsidR="002D5BB0" w:rsidRPr="00222917">
        <w:rPr>
          <w:lang w:val="en-US"/>
        </w:rPr>
        <w:t xml:space="preserve">The third report explained the background of the establishment of the Ministry of Gender Equality (2001) and </w:t>
      </w:r>
      <w:r w:rsidR="002D5BB0" w:rsidRPr="00222917">
        <w:rPr>
          <w:bCs/>
          <w:lang w:val="en-US"/>
        </w:rPr>
        <w:t>formulation</w:t>
      </w:r>
      <w:r w:rsidR="002D5BB0" w:rsidRPr="00222917">
        <w:rPr>
          <w:lang w:val="en-US"/>
        </w:rPr>
        <w:t xml:space="preserve"> of the fir</w:t>
      </w:r>
      <w:r w:rsidR="00EA4A97" w:rsidRPr="00222917">
        <w:rPr>
          <w:lang w:val="en-US"/>
        </w:rPr>
        <w:t>st (1998-</w:t>
      </w:r>
      <w:r w:rsidR="00423A3F" w:rsidRPr="00222917">
        <w:rPr>
          <w:lang w:val="en-US"/>
        </w:rPr>
        <w:t>2002) and second (2003-</w:t>
      </w:r>
      <w:r w:rsidR="002D5BB0" w:rsidRPr="00222917">
        <w:rPr>
          <w:lang w:val="en-US"/>
        </w:rPr>
        <w:t>2007) Basic Plans for Policy on W</w:t>
      </w:r>
      <w:r w:rsidR="00EA4A97" w:rsidRPr="00222917">
        <w:rPr>
          <w:lang w:val="en-US"/>
        </w:rPr>
        <w:t>omen (CCPR/C/KOR/2005/3, paras. 60-</w:t>
      </w:r>
      <w:r w:rsidR="002D5BB0" w:rsidRPr="00222917">
        <w:rPr>
          <w:lang w:val="en-US"/>
        </w:rPr>
        <w:t>63). The Government mapped out the third Basic</w:t>
      </w:r>
      <w:r w:rsidR="00B51F2A" w:rsidRPr="00222917">
        <w:rPr>
          <w:lang w:val="en-US"/>
        </w:rPr>
        <w:t xml:space="preserve"> Plan for Policy on Women (2008-</w:t>
      </w:r>
      <w:r w:rsidR="002D5BB0" w:rsidRPr="00222917">
        <w:rPr>
          <w:lang w:val="en-US"/>
        </w:rPr>
        <w:t xml:space="preserve">2012) reflecting a decade of implementation of such plans. The plan entails 14 core policy tasks and 48 subtasks in three areas including mobilization of female workforce through support for reemployment of career-interrupted women, strengthened protection of migrant women such as protection from domestic violence, and reinforcement of the basis for policies on gender equality. The Ministry of Gender Equality oversees government-wide women’s policy through the work of the Women’s Policy Coordination Committee, which reviews the annual results and next year’s plans of implementation of central administrative agencies and local governments. </w:t>
      </w:r>
    </w:p>
    <w:p w:rsidR="002D5BB0" w:rsidRPr="00222917" w:rsidRDefault="00547908" w:rsidP="00547908">
      <w:pPr>
        <w:pStyle w:val="SingleTxtG"/>
        <w:rPr>
          <w:lang w:val="en-US"/>
        </w:rPr>
      </w:pPr>
      <w:r w:rsidRPr="00222917">
        <w:rPr>
          <w:lang w:val="en-US"/>
        </w:rPr>
        <w:t>53.</w:t>
      </w:r>
      <w:r w:rsidRPr="00222917">
        <w:rPr>
          <w:lang w:val="en-US"/>
        </w:rPr>
        <w:tab/>
      </w:r>
      <w:r w:rsidR="002D5BB0" w:rsidRPr="00222917">
        <w:rPr>
          <w:lang w:val="en-US"/>
        </w:rPr>
        <w:t>On 19 March 2010, the mandate of youth and family policy was transferred from the Ministry for Health, Welfare and Family Affairs to the Ministry of Gender Equality for comprehensive execution of policy on women, youth, and family. Accordingly, the ministries were reorganized into the Ministry of Health and Welfare and the Ministry of Gender Equality and Family. The budget for the Ministry of Gender Equality and Family was sharply increased from KRW 70.2 billion in 2008 to KRW 309.1 billion in 2010. Most of the increase is ascribable to a budget transfer of KRW 198.0 billion aligned with the reassignment of youth and family policy. However, the budget for policy on women including the promotion of women’s rights rose by about KRW 32 billion, from KRW 56</w:t>
      </w:r>
      <w:r w:rsidR="00EA4A97" w:rsidRPr="00222917">
        <w:rPr>
          <w:lang w:val="en-US"/>
        </w:rPr>
        <w:t> </w:t>
      </w:r>
      <w:r w:rsidR="002D5BB0" w:rsidRPr="00222917">
        <w:rPr>
          <w:lang w:val="en-US"/>
        </w:rPr>
        <w:t xml:space="preserve">billion in 2008 to KRW 88 billion in 2010. With the restructuring and budget increase, the Ministry of Gender Equality and Family sought to realize synergy through the integration of women, youth, and family </w:t>
      </w:r>
      <w:r w:rsidR="002D5BB0" w:rsidRPr="00222917">
        <w:rPr>
          <w:bCs/>
          <w:lang w:val="en-US"/>
        </w:rPr>
        <w:t>policies</w:t>
      </w:r>
      <w:r w:rsidR="002D5BB0" w:rsidRPr="00222917">
        <w:rPr>
          <w:lang w:val="en-US"/>
        </w:rPr>
        <w:t>; strengthen its function of policy supervision and coordination; proactively promote gender equality and women’s human rights across the society with broader effect; and proactively address risk factors such as the lower birth-rate and family disintegration.</w:t>
      </w:r>
    </w:p>
    <w:p w:rsidR="002D5BB0" w:rsidRPr="00222917" w:rsidRDefault="009C13AB" w:rsidP="00423A3F">
      <w:pPr>
        <w:pStyle w:val="H23G"/>
        <w:rPr>
          <w:lang w:val="en-US"/>
        </w:rPr>
      </w:pPr>
      <w:r w:rsidRPr="00222917">
        <w:rPr>
          <w:lang w:val="en-US"/>
        </w:rPr>
        <w:tab/>
      </w:r>
      <w:r w:rsidRPr="00222917">
        <w:rPr>
          <w:lang w:val="en-US"/>
        </w:rPr>
        <w:tab/>
      </w:r>
      <w:r w:rsidR="002D5BB0" w:rsidRPr="00222917">
        <w:rPr>
          <w:lang w:val="en-US"/>
        </w:rPr>
        <w:t>Rectification of Gender Discriminatory Legislation</w:t>
      </w:r>
    </w:p>
    <w:p w:rsidR="002D5BB0" w:rsidRPr="00222917" w:rsidRDefault="00547908" w:rsidP="00547908">
      <w:pPr>
        <w:pStyle w:val="SingleTxtG"/>
        <w:rPr>
          <w:lang w:val="en-US"/>
        </w:rPr>
      </w:pPr>
      <w:r w:rsidRPr="00222917">
        <w:rPr>
          <w:lang w:val="en-US"/>
        </w:rPr>
        <w:t>54.</w:t>
      </w:r>
      <w:r w:rsidRPr="00222917">
        <w:rPr>
          <w:lang w:val="en-US"/>
        </w:rPr>
        <w:tab/>
      </w:r>
      <w:r w:rsidR="002D5BB0" w:rsidRPr="00222917">
        <w:rPr>
          <w:lang w:val="en-US"/>
        </w:rPr>
        <w:t>With a view to consolidating the institutional basis for gender-equal culture, the Government identified gender-discriminatory legislations from 2005 to 2006, leading to the rectification of a total of 385 legal provisions. The rectif</w:t>
      </w:r>
      <w:r w:rsidR="00EA4A97" w:rsidRPr="00222917">
        <w:rPr>
          <w:lang w:val="en-US"/>
        </w:rPr>
        <w:t xml:space="preserve">ied provisions included </w:t>
      </w:r>
      <w:r w:rsidR="00681EC0" w:rsidRPr="00222917">
        <w:rPr>
          <w:lang w:val="en-US"/>
        </w:rPr>
        <w:t>a</w:t>
      </w:r>
      <w:r w:rsidR="00EA4A97" w:rsidRPr="00222917">
        <w:rPr>
          <w:lang w:val="en-US"/>
        </w:rPr>
        <w:t>rticle </w:t>
      </w:r>
      <w:r w:rsidR="002D5BB0" w:rsidRPr="00222917">
        <w:rPr>
          <w:lang w:val="en-US"/>
        </w:rPr>
        <w:t xml:space="preserve">801 of the </w:t>
      </w:r>
      <w:r w:rsidR="002D5BB0" w:rsidRPr="00222917">
        <w:rPr>
          <w:iCs/>
          <w:lang w:val="en-US"/>
        </w:rPr>
        <w:t xml:space="preserve">Civil Act </w:t>
      </w:r>
      <w:r w:rsidR="002D5BB0" w:rsidRPr="00222917">
        <w:rPr>
          <w:lang w:val="en-US"/>
        </w:rPr>
        <w:t>(eligible age for matr</w:t>
      </w:r>
      <w:r w:rsidR="001A2BB2" w:rsidRPr="00222917">
        <w:rPr>
          <w:lang w:val="en-US"/>
        </w:rPr>
        <w:t>imonial engagement) and Article </w:t>
      </w:r>
      <w:r w:rsidR="002D5BB0" w:rsidRPr="00222917">
        <w:rPr>
          <w:lang w:val="en-US"/>
        </w:rPr>
        <w:t xml:space="preserve">807 of the </w:t>
      </w:r>
      <w:r w:rsidR="002D5BB0" w:rsidRPr="00222917">
        <w:rPr>
          <w:iCs/>
          <w:lang w:val="en-US"/>
        </w:rPr>
        <w:t xml:space="preserve">Civil Act </w:t>
      </w:r>
      <w:r w:rsidR="002D5BB0" w:rsidRPr="00222917">
        <w:rPr>
          <w:lang w:val="en-US"/>
        </w:rPr>
        <w:t>(marriageable age) which set forth different ages</w:t>
      </w:r>
      <w:r w:rsidR="009C13AB" w:rsidRPr="00222917">
        <w:rPr>
          <w:lang w:val="en-US"/>
        </w:rPr>
        <w:t xml:space="preserve"> for men and women, and Article </w:t>
      </w:r>
      <w:r w:rsidR="002D5BB0" w:rsidRPr="00222917">
        <w:rPr>
          <w:lang w:val="en-US"/>
        </w:rPr>
        <w:t>6</w:t>
      </w:r>
      <w:r w:rsidR="00AE0F13" w:rsidRPr="00222917">
        <w:rPr>
          <w:lang w:val="en-US"/>
        </w:rPr>
        <w:t xml:space="preserve"> </w:t>
      </w:r>
      <w:r w:rsidR="002D5BB0" w:rsidRPr="00222917">
        <w:rPr>
          <w:lang w:val="en-US"/>
        </w:rPr>
        <w:t xml:space="preserve">(4) of the </w:t>
      </w:r>
      <w:r w:rsidR="002D5BB0" w:rsidRPr="00222917">
        <w:rPr>
          <w:iCs/>
          <w:lang w:val="en-US"/>
        </w:rPr>
        <w:t xml:space="preserve">Act on the Punishment of Sexual Crimes and Protection of Victims Thereof </w:t>
      </w:r>
      <w:r w:rsidR="002D5BB0" w:rsidRPr="00222917">
        <w:rPr>
          <w:lang w:val="en-US"/>
        </w:rPr>
        <w:t>which made only women the object of crimes. Legislations discriminating between men and women regarding the legally recognized scope of relatives were also revised with cooperation among the ministries concerned. This effort gained pace thanks to the Gender-Discriminatory Legislation Zero Plan and the rectification process of gender-discriminatory legis</w:t>
      </w:r>
      <w:r w:rsidR="009C13AB" w:rsidRPr="00222917">
        <w:rPr>
          <w:lang w:val="en-US"/>
        </w:rPr>
        <w:t>lations was completed in 2009.</w:t>
      </w:r>
    </w:p>
    <w:p w:rsidR="002D5BB0" w:rsidRPr="00222917" w:rsidRDefault="009C13AB" w:rsidP="00423A3F">
      <w:pPr>
        <w:pStyle w:val="H23G"/>
        <w:rPr>
          <w:lang w:val="en-US"/>
        </w:rPr>
      </w:pPr>
      <w:r w:rsidRPr="00222917">
        <w:rPr>
          <w:lang w:val="en-US"/>
        </w:rPr>
        <w:tab/>
      </w:r>
      <w:r w:rsidRPr="00222917">
        <w:rPr>
          <w:lang w:val="en-US"/>
        </w:rPr>
        <w:tab/>
      </w:r>
      <w:r w:rsidR="002D5BB0" w:rsidRPr="00222917">
        <w:rPr>
          <w:lang w:val="en-US"/>
        </w:rPr>
        <w:t>Enhancement of Women’s Representation in High-Level Positions</w:t>
      </w:r>
    </w:p>
    <w:p w:rsidR="002D5BB0" w:rsidRPr="00222917" w:rsidRDefault="00547908" w:rsidP="00547908">
      <w:pPr>
        <w:pStyle w:val="SingleTxtG"/>
        <w:rPr>
          <w:lang w:val="en-US"/>
        </w:rPr>
      </w:pPr>
      <w:r w:rsidRPr="00222917">
        <w:rPr>
          <w:lang w:val="en-US"/>
        </w:rPr>
        <w:t>55.</w:t>
      </w:r>
      <w:r w:rsidRPr="00222917">
        <w:rPr>
          <w:lang w:val="en-US"/>
        </w:rPr>
        <w:tab/>
      </w:r>
      <w:r w:rsidR="002D5BB0" w:rsidRPr="00222917">
        <w:rPr>
          <w:lang w:val="en-US"/>
        </w:rPr>
        <w:t>In its review of the third report, the Committee was concerned that women are under-represented in high-level positions in the political, legal, and judicial spheres. It</w:t>
      </w:r>
      <w:r w:rsidR="00CE6218" w:rsidRPr="00222917">
        <w:rPr>
          <w:lang w:val="en-US"/>
        </w:rPr>
        <w:t> </w:t>
      </w:r>
      <w:r w:rsidR="002D5BB0" w:rsidRPr="00222917">
        <w:rPr>
          <w:lang w:val="en-US"/>
        </w:rPr>
        <w:t xml:space="preserve">recommended that the </w:t>
      </w:r>
      <w:smartTag w:uri="urn:schemas-microsoft-com:office:smarttags" w:element="place">
        <w:smartTag w:uri="urn:schemas-microsoft-com:office:smarttags" w:element="PlaceType">
          <w:r w:rsidR="002D5BB0" w:rsidRPr="00222917">
            <w:rPr>
              <w:lang w:val="en-US"/>
            </w:rPr>
            <w:t>Republic</w:t>
          </w:r>
        </w:smartTag>
        <w:r w:rsidR="002D5BB0" w:rsidRPr="00222917">
          <w:rPr>
            <w:lang w:val="en-US"/>
          </w:rPr>
          <w:t xml:space="preserve"> of </w:t>
        </w:r>
        <w:smartTag w:uri="urn:schemas-microsoft-com:office:smarttags" w:element="PlaceName">
          <w:r w:rsidR="002D5BB0" w:rsidRPr="00222917">
            <w:rPr>
              <w:lang w:val="en-US"/>
            </w:rPr>
            <w:t>Korea</w:t>
          </w:r>
        </w:smartTag>
      </w:smartTag>
      <w:r w:rsidR="002D5BB0" w:rsidRPr="00222917">
        <w:rPr>
          <w:lang w:val="en-US"/>
        </w:rPr>
        <w:t xml:space="preserve"> </w:t>
      </w:r>
      <w:r w:rsidR="002D5BB0" w:rsidRPr="00222917">
        <w:rPr>
          <w:bCs/>
          <w:lang w:val="en-US"/>
        </w:rPr>
        <w:t xml:space="preserve">take legal and practical measures to increase the effective participation of women in politics, law, and the private sector, and undertake initiatives to increase the representation of women in high-level positions in the National Assembly and the judiciary </w:t>
      </w:r>
      <w:r w:rsidR="009C13AB" w:rsidRPr="00222917">
        <w:rPr>
          <w:lang w:val="en-US"/>
        </w:rPr>
        <w:t>(CCPR/C/KOR/CO/3, para. </w:t>
      </w:r>
      <w:r w:rsidR="002D5BB0" w:rsidRPr="00222917">
        <w:rPr>
          <w:lang w:val="en-US"/>
        </w:rPr>
        <w:t xml:space="preserve">10). </w:t>
      </w:r>
    </w:p>
    <w:p w:rsidR="002D5BB0" w:rsidRPr="00222917" w:rsidRDefault="00547908" w:rsidP="00547908">
      <w:pPr>
        <w:pStyle w:val="SingleTxtG"/>
        <w:rPr>
          <w:lang w:val="en-US"/>
        </w:rPr>
      </w:pPr>
      <w:r w:rsidRPr="00222917">
        <w:rPr>
          <w:lang w:val="en-US"/>
        </w:rPr>
        <w:t>56.</w:t>
      </w:r>
      <w:r w:rsidRPr="00222917">
        <w:rPr>
          <w:lang w:val="en-US"/>
        </w:rPr>
        <w:tab/>
      </w:r>
      <w:r w:rsidR="002D5BB0" w:rsidRPr="00222917">
        <w:rPr>
          <w:lang w:val="en-US"/>
        </w:rPr>
        <w:t xml:space="preserve">In politics, female representation in the National Assembly and </w:t>
      </w:r>
      <w:r w:rsidR="002D5BB0" w:rsidRPr="00222917">
        <w:rPr>
          <w:bCs/>
          <w:lang w:val="en-US"/>
        </w:rPr>
        <w:t>municipal and provincial councils increased as a result of the</w:t>
      </w:r>
      <w:r w:rsidR="002D5BB0" w:rsidRPr="00222917">
        <w:rPr>
          <w:lang w:val="en-US"/>
        </w:rPr>
        <w:t xml:space="preserve"> amendment of the </w:t>
      </w:r>
      <w:r w:rsidR="002D5BB0" w:rsidRPr="00222917">
        <w:rPr>
          <w:iCs/>
          <w:lang w:val="en-US"/>
        </w:rPr>
        <w:t xml:space="preserve">Political Parties Act </w:t>
      </w:r>
      <w:r w:rsidR="002D5BB0" w:rsidRPr="00222917">
        <w:rPr>
          <w:lang w:val="en-US"/>
        </w:rPr>
        <w:t xml:space="preserve">as stated in the third </w:t>
      </w:r>
      <w:r w:rsidR="009C13AB" w:rsidRPr="00222917">
        <w:rPr>
          <w:lang w:val="en-US"/>
        </w:rPr>
        <w:t>report (CCPR/C/KOR/2005/3 para. </w:t>
      </w:r>
      <w:r w:rsidR="002D5BB0" w:rsidRPr="00222917">
        <w:rPr>
          <w:lang w:val="en-US"/>
        </w:rPr>
        <w:t>69). The ratio of female legislators was 13.0% in the 17th National Assembly and 13.7% in the 18th National Assembly. The</w:t>
      </w:r>
      <w:r w:rsidR="009C13AB" w:rsidRPr="00222917">
        <w:rPr>
          <w:lang w:val="en-US"/>
        </w:rPr>
        <w:t> </w:t>
      </w:r>
      <w:r w:rsidR="002D5BB0" w:rsidRPr="00222917">
        <w:rPr>
          <w:lang w:val="en-US"/>
        </w:rPr>
        <w:t xml:space="preserve">ratio of female elects inched up to 13.6% at the 4th nationwide local council elections in 2006; to 15.0% at </w:t>
      </w:r>
      <w:r w:rsidR="002D5BB0" w:rsidRPr="00222917">
        <w:rPr>
          <w:i/>
          <w:lang w:val="en-US"/>
        </w:rPr>
        <w:t>Gu</w:t>
      </w:r>
      <w:r w:rsidR="002D5BB0" w:rsidRPr="00222917">
        <w:rPr>
          <w:lang w:val="en-US"/>
        </w:rPr>
        <w:t xml:space="preserve"> (district), </w:t>
      </w:r>
      <w:r w:rsidR="002D5BB0" w:rsidRPr="00222917">
        <w:rPr>
          <w:i/>
          <w:lang w:val="en-US"/>
        </w:rPr>
        <w:t>Si</w:t>
      </w:r>
      <w:r w:rsidR="002D5BB0" w:rsidRPr="00222917">
        <w:rPr>
          <w:lang w:val="en-US"/>
        </w:rPr>
        <w:t xml:space="preserve"> (city), and </w:t>
      </w:r>
      <w:r w:rsidR="002D5BB0" w:rsidRPr="0020568A">
        <w:rPr>
          <w:bCs/>
          <w:i/>
          <w:iCs/>
          <w:lang w:val="en-US"/>
        </w:rPr>
        <w:t>Gun</w:t>
      </w:r>
      <w:r w:rsidR="002D5BB0" w:rsidRPr="00222917">
        <w:rPr>
          <w:lang w:val="en-US"/>
        </w:rPr>
        <w:t xml:space="preserve"> (county) council elections at the primary unit level of local government; and to 4.7% in electoral constituencies of municipal and provincial council elections. On 2 March 2010, the </w:t>
      </w:r>
      <w:r w:rsidR="002D5BB0" w:rsidRPr="00222917">
        <w:rPr>
          <w:iCs/>
          <w:lang w:val="en-US"/>
        </w:rPr>
        <w:t xml:space="preserve">Public Official Election Act </w:t>
      </w:r>
      <w:r w:rsidR="002D5BB0" w:rsidRPr="00222917">
        <w:rPr>
          <w:lang w:val="en-US"/>
        </w:rPr>
        <w:t xml:space="preserve">was amended to establish a quota of female candidates for electoral constituencies at local council elections, making candidates’ registration completely nullified in </w:t>
      </w:r>
      <w:r w:rsidR="009C13AB" w:rsidRPr="00222917">
        <w:rPr>
          <w:lang w:val="en-US"/>
        </w:rPr>
        <w:t>the event of violation (</w:t>
      </w:r>
      <w:r w:rsidR="00681EC0" w:rsidRPr="00222917">
        <w:rPr>
          <w:lang w:val="en-US"/>
        </w:rPr>
        <w:t>a</w:t>
      </w:r>
      <w:r w:rsidR="009C13AB" w:rsidRPr="00222917">
        <w:rPr>
          <w:lang w:val="en-US"/>
        </w:rPr>
        <w:t>rticle </w:t>
      </w:r>
      <w:r w:rsidR="002D5BB0" w:rsidRPr="00222917">
        <w:rPr>
          <w:lang w:val="en-US"/>
        </w:rPr>
        <w:t>52</w:t>
      </w:r>
      <w:r w:rsidR="00681EC0" w:rsidRPr="00222917">
        <w:rPr>
          <w:lang w:val="en-US"/>
        </w:rPr>
        <w:t xml:space="preserve"> </w:t>
      </w:r>
      <w:r w:rsidR="002D5BB0" w:rsidRPr="00222917">
        <w:rPr>
          <w:lang w:val="en-US"/>
        </w:rPr>
        <w:t xml:space="preserve">(2)). </w:t>
      </w:r>
    </w:p>
    <w:p w:rsidR="002D5BB0" w:rsidRPr="00222917" w:rsidRDefault="009C13AB" w:rsidP="00A07D40">
      <w:pPr>
        <w:pStyle w:val="H23G"/>
        <w:rPr>
          <w:b w:val="0"/>
          <w:sz w:val="16"/>
          <w:szCs w:val="16"/>
          <w:lang w:val="en-US"/>
        </w:rPr>
      </w:pPr>
      <w:r w:rsidRPr="00222917">
        <w:rPr>
          <w:lang w:val="en-US"/>
        </w:rPr>
        <w:tab/>
      </w:r>
      <w:r w:rsidRPr="00222917">
        <w:rPr>
          <w:lang w:val="en-US"/>
        </w:rPr>
        <w:tab/>
      </w:r>
      <w:r w:rsidR="002D5BB0" w:rsidRPr="00222917">
        <w:rPr>
          <w:lang w:val="en-US"/>
        </w:rPr>
        <w:t>Status of National Assembly Women</w:t>
      </w:r>
      <w:r w:rsidRPr="00222917">
        <w:rPr>
          <w:lang w:val="en-US"/>
        </w:rPr>
        <w:br/>
      </w:r>
      <w:r w:rsidR="002D5BB0" w:rsidRPr="00222917">
        <w:rPr>
          <w:b w:val="0"/>
          <w:sz w:val="16"/>
          <w:szCs w:val="16"/>
          <w:lang w:val="en-US"/>
        </w:rPr>
        <w:t>(Number of persons, %)</w:t>
      </w:r>
    </w:p>
    <w:tbl>
      <w:tblPr>
        <w:tblW w:w="7371" w:type="dxa"/>
        <w:tblInd w:w="1134" w:type="dxa"/>
        <w:tblBorders>
          <w:top w:val="single" w:sz="4" w:space="0" w:color="auto"/>
        </w:tblBorders>
        <w:tblLayout w:type="fixed"/>
        <w:tblCellMar>
          <w:left w:w="0" w:type="dxa"/>
          <w:right w:w="0" w:type="dxa"/>
        </w:tblCellMar>
        <w:tblLook w:val="0000"/>
      </w:tblPr>
      <w:tblGrid>
        <w:gridCol w:w="1588"/>
        <w:gridCol w:w="1361"/>
        <w:gridCol w:w="737"/>
        <w:gridCol w:w="737"/>
        <w:gridCol w:w="737"/>
        <w:gridCol w:w="737"/>
        <w:gridCol w:w="737"/>
        <w:gridCol w:w="737"/>
      </w:tblGrid>
      <w:tr w:rsidR="006E1F63" w:rsidRPr="00222917" w:rsidTr="0054076C">
        <w:trPr>
          <w:trHeight w:val="240"/>
          <w:tblHeader/>
        </w:trPr>
        <w:tc>
          <w:tcPr>
            <w:tcW w:w="1588" w:type="dxa"/>
            <w:vMerge w:val="restart"/>
            <w:tcBorders>
              <w:top w:val="single" w:sz="4" w:space="0" w:color="auto"/>
              <w:bottom w:val="single" w:sz="12" w:space="0" w:color="auto"/>
            </w:tcBorders>
            <w:shd w:val="clear" w:color="auto" w:fill="auto"/>
            <w:vAlign w:val="bottom"/>
          </w:tcPr>
          <w:p w:rsidR="002D5BB0" w:rsidRPr="00222917" w:rsidRDefault="002D5BB0" w:rsidP="00A5088D">
            <w:pPr>
              <w:pStyle w:val="SingleTxtG"/>
              <w:suppressAutoHyphens w:val="0"/>
              <w:spacing w:before="80" w:after="80" w:line="200" w:lineRule="exact"/>
              <w:ind w:left="0" w:right="0"/>
              <w:jc w:val="left"/>
              <w:rPr>
                <w:i/>
                <w:sz w:val="16"/>
                <w:lang w:val="en-US"/>
              </w:rPr>
            </w:pPr>
            <w:r w:rsidRPr="00222917">
              <w:rPr>
                <w:bCs/>
                <w:i/>
                <w:sz w:val="16"/>
                <w:lang w:val="en-US"/>
              </w:rPr>
              <w:t xml:space="preserve">National </w:t>
            </w:r>
            <w:r w:rsidR="00205374" w:rsidRPr="00222917">
              <w:rPr>
                <w:bCs/>
                <w:i/>
                <w:sz w:val="16"/>
                <w:lang w:val="en-US"/>
              </w:rPr>
              <w:br/>
            </w:r>
            <w:r w:rsidRPr="00222917">
              <w:rPr>
                <w:bCs/>
                <w:i/>
                <w:sz w:val="16"/>
                <w:lang w:val="en-US"/>
              </w:rPr>
              <w:t>Assembly election</w:t>
            </w:r>
          </w:p>
        </w:tc>
        <w:tc>
          <w:tcPr>
            <w:tcW w:w="1361" w:type="dxa"/>
            <w:vMerge w:val="restart"/>
            <w:tcBorders>
              <w:top w:val="single" w:sz="4" w:space="0" w:color="auto"/>
              <w:bottom w:val="single" w:sz="12" w:space="0" w:color="auto"/>
            </w:tcBorders>
            <w:shd w:val="clear" w:color="auto" w:fill="auto"/>
            <w:vAlign w:val="bottom"/>
          </w:tcPr>
          <w:p w:rsidR="002D5BB0" w:rsidRPr="00222917" w:rsidRDefault="002D5BB0" w:rsidP="00A5088D">
            <w:pPr>
              <w:pStyle w:val="SingleTxtG"/>
              <w:suppressAutoHyphens w:val="0"/>
              <w:spacing w:before="80" w:after="80" w:line="200" w:lineRule="exact"/>
              <w:ind w:left="0" w:right="0"/>
              <w:jc w:val="right"/>
              <w:rPr>
                <w:bCs/>
                <w:i/>
                <w:sz w:val="16"/>
                <w:lang w:val="en-US"/>
              </w:rPr>
            </w:pPr>
            <w:r w:rsidRPr="00222917">
              <w:rPr>
                <w:bCs/>
                <w:i/>
                <w:sz w:val="16"/>
                <w:lang w:val="en-US"/>
              </w:rPr>
              <w:t xml:space="preserve">National </w:t>
            </w:r>
            <w:r w:rsidR="00205374" w:rsidRPr="00222917">
              <w:rPr>
                <w:bCs/>
                <w:i/>
                <w:sz w:val="16"/>
                <w:lang w:val="en-US"/>
              </w:rPr>
              <w:br/>
            </w:r>
            <w:r w:rsidRPr="00222917">
              <w:rPr>
                <w:bCs/>
                <w:i/>
                <w:sz w:val="16"/>
                <w:lang w:val="en-US"/>
              </w:rPr>
              <w:t>Assembly members</w:t>
            </w:r>
          </w:p>
        </w:tc>
        <w:tc>
          <w:tcPr>
            <w:tcW w:w="737" w:type="dxa"/>
            <w:gridSpan w:val="2"/>
            <w:tcBorders>
              <w:top w:val="single" w:sz="4" w:space="0" w:color="auto"/>
              <w:bottom w:val="single" w:sz="4" w:space="0" w:color="000000"/>
            </w:tcBorders>
            <w:shd w:val="clear" w:color="auto" w:fill="auto"/>
            <w:vAlign w:val="bottom"/>
          </w:tcPr>
          <w:p w:rsidR="002D5BB0" w:rsidRPr="00222917" w:rsidRDefault="002D5BB0" w:rsidP="00A5088D">
            <w:pPr>
              <w:pStyle w:val="SingleTxtG"/>
              <w:suppressAutoHyphens w:val="0"/>
              <w:spacing w:before="80" w:after="80" w:line="200" w:lineRule="exact"/>
              <w:ind w:left="0" w:right="0"/>
              <w:jc w:val="center"/>
              <w:rPr>
                <w:i/>
                <w:sz w:val="16"/>
                <w:lang w:val="en-US"/>
              </w:rPr>
            </w:pPr>
            <w:r w:rsidRPr="00222917">
              <w:rPr>
                <w:bCs/>
                <w:i/>
                <w:sz w:val="16"/>
                <w:lang w:val="en-US"/>
              </w:rPr>
              <w:t>Assembly</w:t>
            </w:r>
            <w:r w:rsidR="00205374" w:rsidRPr="00222917">
              <w:rPr>
                <w:bCs/>
                <w:i/>
                <w:sz w:val="16"/>
                <w:lang w:val="en-US"/>
              </w:rPr>
              <w:t xml:space="preserve"> </w:t>
            </w:r>
            <w:r w:rsidRPr="00222917">
              <w:rPr>
                <w:bCs/>
                <w:i/>
                <w:sz w:val="16"/>
                <w:lang w:val="en-US"/>
              </w:rPr>
              <w:t>women</w:t>
            </w:r>
          </w:p>
        </w:tc>
        <w:tc>
          <w:tcPr>
            <w:tcW w:w="737" w:type="dxa"/>
            <w:gridSpan w:val="2"/>
            <w:tcBorders>
              <w:top w:val="single" w:sz="4" w:space="0" w:color="auto"/>
              <w:bottom w:val="single" w:sz="4" w:space="0" w:color="000000"/>
            </w:tcBorders>
            <w:shd w:val="clear" w:color="auto" w:fill="auto"/>
            <w:vAlign w:val="bottom"/>
          </w:tcPr>
          <w:p w:rsidR="002D5BB0" w:rsidRPr="00222917" w:rsidRDefault="002D5BB0" w:rsidP="00A5088D">
            <w:pPr>
              <w:pStyle w:val="SingleTxtG"/>
              <w:suppressAutoHyphens w:val="0"/>
              <w:spacing w:before="80" w:after="80" w:line="200" w:lineRule="exact"/>
              <w:ind w:left="0" w:right="0"/>
              <w:jc w:val="center"/>
              <w:rPr>
                <w:i/>
                <w:sz w:val="16"/>
                <w:lang w:val="en-US"/>
              </w:rPr>
            </w:pPr>
            <w:r w:rsidRPr="00222917">
              <w:rPr>
                <w:bCs/>
                <w:i/>
                <w:sz w:val="16"/>
                <w:lang w:val="en-US"/>
              </w:rPr>
              <w:t>Women electoral constituency elects</w:t>
            </w:r>
          </w:p>
        </w:tc>
        <w:tc>
          <w:tcPr>
            <w:tcW w:w="737" w:type="dxa"/>
            <w:gridSpan w:val="2"/>
            <w:tcBorders>
              <w:top w:val="single" w:sz="4" w:space="0" w:color="auto"/>
              <w:bottom w:val="single" w:sz="4" w:space="0" w:color="000000"/>
            </w:tcBorders>
            <w:shd w:val="clear" w:color="auto" w:fill="auto"/>
            <w:vAlign w:val="bottom"/>
          </w:tcPr>
          <w:p w:rsidR="002D5BB0" w:rsidRPr="00222917" w:rsidRDefault="002D5BB0" w:rsidP="00A5088D">
            <w:pPr>
              <w:pStyle w:val="SingleTxtG"/>
              <w:suppressAutoHyphens w:val="0"/>
              <w:spacing w:before="80" w:after="80" w:line="200" w:lineRule="exact"/>
              <w:ind w:left="0" w:right="0"/>
              <w:jc w:val="center"/>
              <w:rPr>
                <w:i/>
                <w:sz w:val="16"/>
                <w:lang w:val="en-US"/>
              </w:rPr>
            </w:pPr>
            <w:r w:rsidRPr="00222917">
              <w:rPr>
                <w:bCs/>
                <w:i/>
                <w:sz w:val="16"/>
                <w:lang w:val="en-US"/>
              </w:rPr>
              <w:t>Women proportional representation elects</w:t>
            </w:r>
          </w:p>
        </w:tc>
      </w:tr>
      <w:tr w:rsidR="006E1F63" w:rsidRPr="00222917" w:rsidTr="0054076C">
        <w:trPr>
          <w:trHeight w:val="240"/>
          <w:tblHeader/>
        </w:trPr>
        <w:tc>
          <w:tcPr>
            <w:tcW w:w="1588" w:type="dxa"/>
            <w:vMerge/>
            <w:tcBorders>
              <w:top w:val="single" w:sz="12" w:space="0" w:color="auto"/>
              <w:bottom w:val="single" w:sz="12" w:space="0" w:color="000000"/>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left"/>
              <w:rPr>
                <w:sz w:val="18"/>
                <w:lang w:val="en-US"/>
              </w:rPr>
            </w:pPr>
          </w:p>
        </w:tc>
        <w:tc>
          <w:tcPr>
            <w:tcW w:w="1361" w:type="dxa"/>
            <w:vMerge/>
            <w:tcBorders>
              <w:top w:val="single" w:sz="12" w:space="0" w:color="auto"/>
              <w:bottom w:val="single" w:sz="12" w:space="0" w:color="000000"/>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p>
        </w:tc>
        <w:tc>
          <w:tcPr>
            <w:tcW w:w="737" w:type="dxa"/>
            <w:tcBorders>
              <w:top w:val="single" w:sz="4" w:space="0" w:color="000000"/>
              <w:bottom w:val="single" w:sz="12" w:space="0" w:color="000000"/>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i/>
                <w:sz w:val="16"/>
                <w:szCs w:val="16"/>
                <w:lang w:val="en-US"/>
              </w:rPr>
            </w:pPr>
            <w:r w:rsidRPr="00222917">
              <w:rPr>
                <w:bCs/>
                <w:i/>
                <w:sz w:val="16"/>
                <w:szCs w:val="16"/>
                <w:lang w:val="en-US"/>
              </w:rPr>
              <w:t>Number</w:t>
            </w:r>
          </w:p>
        </w:tc>
        <w:tc>
          <w:tcPr>
            <w:tcW w:w="737" w:type="dxa"/>
            <w:tcBorders>
              <w:top w:val="single" w:sz="4" w:space="0" w:color="000000"/>
              <w:bottom w:val="single" w:sz="12" w:space="0" w:color="000000"/>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i/>
                <w:sz w:val="16"/>
                <w:szCs w:val="16"/>
                <w:lang w:val="en-US"/>
              </w:rPr>
            </w:pPr>
            <w:r w:rsidRPr="00222917">
              <w:rPr>
                <w:bCs/>
                <w:i/>
                <w:sz w:val="16"/>
                <w:szCs w:val="16"/>
                <w:lang w:val="en-US"/>
              </w:rPr>
              <w:t>Ratio</w:t>
            </w:r>
          </w:p>
        </w:tc>
        <w:tc>
          <w:tcPr>
            <w:tcW w:w="737" w:type="dxa"/>
            <w:tcBorders>
              <w:top w:val="single" w:sz="4" w:space="0" w:color="000000"/>
              <w:bottom w:val="single" w:sz="12" w:space="0" w:color="000000"/>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i/>
                <w:sz w:val="16"/>
                <w:szCs w:val="16"/>
                <w:lang w:val="en-US"/>
              </w:rPr>
            </w:pPr>
            <w:r w:rsidRPr="00222917">
              <w:rPr>
                <w:bCs/>
                <w:i/>
                <w:sz w:val="16"/>
                <w:szCs w:val="16"/>
                <w:lang w:val="en-US"/>
              </w:rPr>
              <w:t>Number</w:t>
            </w:r>
          </w:p>
        </w:tc>
        <w:tc>
          <w:tcPr>
            <w:tcW w:w="737" w:type="dxa"/>
            <w:tcBorders>
              <w:top w:val="single" w:sz="4" w:space="0" w:color="000000"/>
              <w:bottom w:val="single" w:sz="12" w:space="0" w:color="000000"/>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i/>
                <w:sz w:val="16"/>
                <w:szCs w:val="16"/>
                <w:lang w:val="en-US"/>
              </w:rPr>
            </w:pPr>
            <w:r w:rsidRPr="00222917">
              <w:rPr>
                <w:bCs/>
                <w:i/>
                <w:sz w:val="16"/>
                <w:szCs w:val="16"/>
                <w:lang w:val="en-US"/>
              </w:rPr>
              <w:t>Ratio</w:t>
            </w:r>
          </w:p>
        </w:tc>
        <w:tc>
          <w:tcPr>
            <w:tcW w:w="737" w:type="dxa"/>
            <w:tcBorders>
              <w:top w:val="single" w:sz="4" w:space="0" w:color="000000"/>
              <w:bottom w:val="single" w:sz="12" w:space="0" w:color="000000"/>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i/>
                <w:sz w:val="16"/>
                <w:szCs w:val="16"/>
                <w:lang w:val="en-US"/>
              </w:rPr>
            </w:pPr>
            <w:r w:rsidRPr="00222917">
              <w:rPr>
                <w:bCs/>
                <w:i/>
                <w:sz w:val="16"/>
                <w:szCs w:val="16"/>
                <w:lang w:val="en-US"/>
              </w:rPr>
              <w:t>Number</w:t>
            </w:r>
          </w:p>
        </w:tc>
        <w:tc>
          <w:tcPr>
            <w:tcW w:w="737" w:type="dxa"/>
            <w:tcBorders>
              <w:top w:val="single" w:sz="4" w:space="0" w:color="000000"/>
              <w:bottom w:val="single" w:sz="12" w:space="0" w:color="000000"/>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i/>
                <w:sz w:val="16"/>
                <w:szCs w:val="16"/>
                <w:lang w:val="en-US"/>
              </w:rPr>
            </w:pPr>
            <w:r w:rsidRPr="00222917">
              <w:rPr>
                <w:bCs/>
                <w:i/>
                <w:sz w:val="16"/>
                <w:szCs w:val="16"/>
                <w:lang w:val="en-US"/>
              </w:rPr>
              <w:t>Ratio</w:t>
            </w:r>
          </w:p>
        </w:tc>
      </w:tr>
      <w:tr w:rsidR="006E1F63" w:rsidRPr="00222917" w:rsidTr="0054076C">
        <w:trPr>
          <w:trHeight w:val="240"/>
        </w:trPr>
        <w:tc>
          <w:tcPr>
            <w:tcW w:w="1588" w:type="dxa"/>
            <w:tcBorders>
              <w:top w:val="single" w:sz="12" w:space="0" w:color="000000"/>
            </w:tcBorders>
            <w:shd w:val="clear" w:color="auto" w:fill="auto"/>
          </w:tcPr>
          <w:p w:rsidR="002D5BB0" w:rsidRPr="00222917" w:rsidRDefault="002D5BB0" w:rsidP="00A5088D">
            <w:pPr>
              <w:pStyle w:val="SingleTxtG"/>
              <w:suppressAutoHyphens w:val="0"/>
              <w:spacing w:before="40" w:after="40" w:line="220" w:lineRule="exact"/>
              <w:ind w:left="0" w:right="0"/>
              <w:jc w:val="left"/>
              <w:rPr>
                <w:sz w:val="18"/>
                <w:lang w:val="en-US"/>
              </w:rPr>
            </w:pPr>
            <w:r w:rsidRPr="00222917">
              <w:rPr>
                <w:sz w:val="18"/>
                <w:lang w:val="en-US"/>
              </w:rPr>
              <w:t>16th (2000~2004)</w:t>
            </w:r>
          </w:p>
        </w:tc>
        <w:tc>
          <w:tcPr>
            <w:tcW w:w="1361" w:type="dxa"/>
            <w:tcBorders>
              <w:top w:val="single" w:sz="12" w:space="0" w:color="000000"/>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273</w:t>
            </w:r>
          </w:p>
        </w:tc>
        <w:tc>
          <w:tcPr>
            <w:tcW w:w="737" w:type="dxa"/>
            <w:tcBorders>
              <w:top w:val="single" w:sz="12" w:space="0" w:color="000000"/>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16</w:t>
            </w:r>
          </w:p>
        </w:tc>
        <w:tc>
          <w:tcPr>
            <w:tcW w:w="737" w:type="dxa"/>
            <w:tcBorders>
              <w:top w:val="single" w:sz="12" w:space="0" w:color="000000"/>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5.9</w:t>
            </w:r>
          </w:p>
        </w:tc>
        <w:tc>
          <w:tcPr>
            <w:tcW w:w="737" w:type="dxa"/>
            <w:tcBorders>
              <w:top w:val="single" w:sz="12" w:space="0" w:color="000000"/>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5</w:t>
            </w:r>
          </w:p>
        </w:tc>
        <w:tc>
          <w:tcPr>
            <w:tcW w:w="737" w:type="dxa"/>
            <w:tcBorders>
              <w:top w:val="single" w:sz="12" w:space="0" w:color="000000"/>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2.2</w:t>
            </w:r>
          </w:p>
        </w:tc>
        <w:tc>
          <w:tcPr>
            <w:tcW w:w="737" w:type="dxa"/>
            <w:tcBorders>
              <w:top w:val="single" w:sz="12" w:space="0" w:color="000000"/>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11</w:t>
            </w:r>
          </w:p>
        </w:tc>
        <w:tc>
          <w:tcPr>
            <w:tcW w:w="737" w:type="dxa"/>
            <w:tcBorders>
              <w:top w:val="single" w:sz="12" w:space="0" w:color="000000"/>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23.9</w:t>
            </w:r>
          </w:p>
        </w:tc>
      </w:tr>
      <w:tr w:rsidR="006E1F63" w:rsidRPr="00222917" w:rsidTr="00C54F21">
        <w:trPr>
          <w:trHeight w:val="240"/>
        </w:trPr>
        <w:tc>
          <w:tcPr>
            <w:tcW w:w="1588" w:type="dxa"/>
            <w:shd w:val="clear" w:color="auto" w:fill="auto"/>
          </w:tcPr>
          <w:p w:rsidR="002D5BB0" w:rsidRPr="00222917" w:rsidRDefault="002D5BB0" w:rsidP="00A5088D">
            <w:pPr>
              <w:pStyle w:val="SingleTxtG"/>
              <w:suppressAutoHyphens w:val="0"/>
              <w:spacing w:before="40" w:after="40" w:line="220" w:lineRule="exact"/>
              <w:ind w:left="0" w:right="0"/>
              <w:jc w:val="left"/>
              <w:rPr>
                <w:sz w:val="18"/>
                <w:lang w:val="en-US"/>
              </w:rPr>
            </w:pPr>
            <w:r w:rsidRPr="00222917">
              <w:rPr>
                <w:sz w:val="18"/>
                <w:lang w:val="en-US"/>
              </w:rPr>
              <w:t>17th (2004~2008)</w:t>
            </w:r>
          </w:p>
        </w:tc>
        <w:tc>
          <w:tcPr>
            <w:tcW w:w="1361"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299</w:t>
            </w:r>
          </w:p>
        </w:tc>
        <w:tc>
          <w:tcPr>
            <w:tcW w:w="73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39</w:t>
            </w:r>
          </w:p>
        </w:tc>
        <w:tc>
          <w:tcPr>
            <w:tcW w:w="73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13.0</w:t>
            </w:r>
          </w:p>
        </w:tc>
        <w:tc>
          <w:tcPr>
            <w:tcW w:w="73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10</w:t>
            </w:r>
          </w:p>
        </w:tc>
        <w:tc>
          <w:tcPr>
            <w:tcW w:w="73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4.1</w:t>
            </w:r>
          </w:p>
        </w:tc>
        <w:tc>
          <w:tcPr>
            <w:tcW w:w="73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29</w:t>
            </w:r>
          </w:p>
        </w:tc>
        <w:tc>
          <w:tcPr>
            <w:tcW w:w="737"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51.8</w:t>
            </w:r>
          </w:p>
        </w:tc>
      </w:tr>
      <w:tr w:rsidR="006E1F63" w:rsidRPr="00222917" w:rsidTr="00C54F21">
        <w:trPr>
          <w:trHeight w:val="240"/>
        </w:trPr>
        <w:tc>
          <w:tcPr>
            <w:tcW w:w="1588" w:type="dxa"/>
            <w:tcBorders>
              <w:bottom w:val="single" w:sz="12" w:space="0" w:color="auto"/>
            </w:tcBorders>
            <w:shd w:val="clear" w:color="auto" w:fill="auto"/>
          </w:tcPr>
          <w:p w:rsidR="002D5BB0" w:rsidRPr="00222917" w:rsidRDefault="002D5BB0" w:rsidP="00A5088D">
            <w:pPr>
              <w:pStyle w:val="SingleTxtG"/>
              <w:suppressAutoHyphens w:val="0"/>
              <w:spacing w:before="40" w:after="40" w:line="220" w:lineRule="exact"/>
              <w:ind w:left="0" w:right="0"/>
              <w:jc w:val="left"/>
              <w:rPr>
                <w:sz w:val="18"/>
                <w:lang w:val="en-US"/>
              </w:rPr>
            </w:pPr>
            <w:r w:rsidRPr="00222917">
              <w:rPr>
                <w:sz w:val="18"/>
                <w:lang w:val="en-US"/>
              </w:rPr>
              <w:t>18th (2008~2012)</w:t>
            </w:r>
          </w:p>
        </w:tc>
        <w:tc>
          <w:tcPr>
            <w:tcW w:w="1361" w:type="dxa"/>
            <w:tcBorders>
              <w:bottom w:val="single" w:sz="12" w:space="0" w:color="auto"/>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299</w:t>
            </w:r>
          </w:p>
        </w:tc>
        <w:tc>
          <w:tcPr>
            <w:tcW w:w="737" w:type="dxa"/>
            <w:tcBorders>
              <w:bottom w:val="single" w:sz="12" w:space="0" w:color="auto"/>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41</w:t>
            </w:r>
          </w:p>
        </w:tc>
        <w:tc>
          <w:tcPr>
            <w:tcW w:w="737" w:type="dxa"/>
            <w:tcBorders>
              <w:bottom w:val="single" w:sz="12" w:space="0" w:color="auto"/>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13.7</w:t>
            </w:r>
          </w:p>
        </w:tc>
        <w:tc>
          <w:tcPr>
            <w:tcW w:w="737" w:type="dxa"/>
            <w:tcBorders>
              <w:bottom w:val="single" w:sz="12" w:space="0" w:color="auto"/>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14</w:t>
            </w:r>
          </w:p>
        </w:tc>
        <w:tc>
          <w:tcPr>
            <w:tcW w:w="737" w:type="dxa"/>
            <w:tcBorders>
              <w:bottom w:val="single" w:sz="12" w:space="0" w:color="auto"/>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5.7</w:t>
            </w:r>
          </w:p>
        </w:tc>
        <w:tc>
          <w:tcPr>
            <w:tcW w:w="737" w:type="dxa"/>
            <w:tcBorders>
              <w:bottom w:val="single" w:sz="12" w:space="0" w:color="auto"/>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27</w:t>
            </w:r>
          </w:p>
        </w:tc>
        <w:tc>
          <w:tcPr>
            <w:tcW w:w="737" w:type="dxa"/>
            <w:tcBorders>
              <w:bottom w:val="single" w:sz="12" w:space="0" w:color="auto"/>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50.0</w:t>
            </w:r>
          </w:p>
        </w:tc>
      </w:tr>
    </w:tbl>
    <w:p w:rsidR="002D5BB0" w:rsidRPr="00222917" w:rsidRDefault="002D5BB0" w:rsidP="003B0FAE">
      <w:pPr>
        <w:pStyle w:val="SingleTxtG"/>
        <w:spacing w:before="120" w:after="240"/>
        <w:ind w:firstLine="170"/>
        <w:jc w:val="left"/>
        <w:rPr>
          <w:sz w:val="18"/>
          <w:szCs w:val="18"/>
          <w:lang w:val="en-US"/>
        </w:rPr>
      </w:pPr>
      <w:r w:rsidRPr="00222917">
        <w:rPr>
          <w:i/>
          <w:sz w:val="18"/>
          <w:szCs w:val="18"/>
          <w:lang w:val="en-US"/>
        </w:rPr>
        <w:t>Source</w:t>
      </w:r>
      <w:r w:rsidRPr="00222917">
        <w:rPr>
          <w:sz w:val="18"/>
          <w:szCs w:val="18"/>
          <w:lang w:val="en-US"/>
        </w:rPr>
        <w:t xml:space="preserve">: National Election Commission </w:t>
      </w:r>
      <w:r w:rsidR="009C13AB" w:rsidRPr="00222917">
        <w:rPr>
          <w:rFonts w:eastAsia="MS Mincho"/>
          <w:sz w:val="18"/>
          <w:szCs w:val="18"/>
          <w:lang w:val="en-US"/>
        </w:rPr>
        <w:t>(</w:t>
      </w:r>
      <w:r w:rsidRPr="00222917">
        <w:rPr>
          <w:sz w:val="18"/>
          <w:szCs w:val="18"/>
          <w:lang w:val="en-US"/>
        </w:rPr>
        <w:t>Conspectus on Elections of the 12</w:t>
      </w:r>
      <w:r w:rsidRPr="00222917">
        <w:rPr>
          <w:sz w:val="18"/>
          <w:szCs w:val="18"/>
          <w:vertAlign w:val="superscript"/>
          <w:lang w:val="en-US"/>
        </w:rPr>
        <w:t>th</w:t>
      </w:r>
      <w:r w:rsidRPr="00222917">
        <w:rPr>
          <w:sz w:val="18"/>
          <w:szCs w:val="18"/>
          <w:lang w:val="en-US"/>
        </w:rPr>
        <w:t xml:space="preserve"> to 15</w:t>
      </w:r>
      <w:r w:rsidRPr="00222917">
        <w:rPr>
          <w:sz w:val="18"/>
          <w:szCs w:val="18"/>
          <w:vertAlign w:val="superscript"/>
          <w:lang w:val="en-US"/>
        </w:rPr>
        <w:t>th</w:t>
      </w:r>
      <w:r w:rsidR="000D4F69" w:rsidRPr="00222917">
        <w:rPr>
          <w:sz w:val="18"/>
          <w:szCs w:val="18"/>
          <w:lang w:val="en-US"/>
        </w:rPr>
        <w:t xml:space="preserve"> </w:t>
      </w:r>
      <w:r w:rsidRPr="00222917">
        <w:rPr>
          <w:sz w:val="18"/>
          <w:szCs w:val="18"/>
          <w:lang w:val="en-US"/>
        </w:rPr>
        <w:t>National Assembly Members</w:t>
      </w:r>
      <w:r w:rsidR="009C13AB" w:rsidRPr="00222917">
        <w:rPr>
          <w:sz w:val="18"/>
          <w:szCs w:val="18"/>
          <w:lang w:val="en-US"/>
        </w:rPr>
        <w:t>)</w:t>
      </w:r>
      <w:r w:rsidRPr="00222917">
        <w:rPr>
          <w:sz w:val="18"/>
          <w:szCs w:val="18"/>
          <w:lang w:val="en-US"/>
        </w:rPr>
        <w:t>, Korean Women</w:t>
      </w:r>
      <w:r w:rsidR="000D4F69" w:rsidRPr="00222917">
        <w:rPr>
          <w:sz w:val="18"/>
          <w:szCs w:val="18"/>
          <w:lang w:val="en-US"/>
        </w:rPr>
        <w:t>’s Development Institute (2008)</w:t>
      </w:r>
      <w:r w:rsidRPr="00222917">
        <w:rPr>
          <w:sz w:val="18"/>
          <w:szCs w:val="18"/>
          <w:lang w:val="en-US"/>
        </w:rPr>
        <w:t xml:space="preserve"> </w:t>
      </w:r>
      <w:r w:rsidR="009C13AB" w:rsidRPr="00222917">
        <w:rPr>
          <w:rFonts w:eastAsia="MS Mincho"/>
          <w:sz w:val="18"/>
          <w:szCs w:val="18"/>
          <w:lang w:val="en-US"/>
        </w:rPr>
        <w:t>(</w:t>
      </w:r>
      <w:r w:rsidRPr="00222917">
        <w:rPr>
          <w:sz w:val="18"/>
          <w:szCs w:val="18"/>
          <w:lang w:val="en-US"/>
        </w:rPr>
        <w:t xml:space="preserve">Statistics on </w:t>
      </w:r>
      <w:smartTag w:uri="urn:schemas-microsoft-com:office:smarttags" w:element="place">
        <w:smartTag w:uri="urn:schemas-microsoft-com:office:smarttags" w:element="country-region">
          <w:r w:rsidRPr="00222917">
            <w:rPr>
              <w:sz w:val="18"/>
              <w:szCs w:val="18"/>
              <w:lang w:val="en-US"/>
            </w:rPr>
            <w:t>Korea</w:t>
          </w:r>
        </w:smartTag>
      </w:smartTag>
      <w:r w:rsidRPr="00222917">
        <w:rPr>
          <w:sz w:val="18"/>
          <w:szCs w:val="18"/>
          <w:lang w:val="en-US"/>
        </w:rPr>
        <w:t>’s Gender Sensitivity in 2008</w:t>
      </w:r>
      <w:r w:rsidR="009C13AB" w:rsidRPr="00222917">
        <w:rPr>
          <w:rFonts w:eastAsia="MS Mincho"/>
          <w:sz w:val="18"/>
          <w:szCs w:val="18"/>
          <w:lang w:val="en-US"/>
        </w:rPr>
        <w:t>)</w:t>
      </w:r>
      <w:r w:rsidR="000D4F69" w:rsidRPr="00222917">
        <w:rPr>
          <w:rFonts w:eastAsia="MS Mincho"/>
          <w:sz w:val="18"/>
          <w:szCs w:val="18"/>
          <w:lang w:val="en-US"/>
        </w:rPr>
        <w:t>.</w:t>
      </w:r>
    </w:p>
    <w:p w:rsidR="002D5BB0" w:rsidRPr="00222917" w:rsidRDefault="00547908" w:rsidP="00547908">
      <w:pPr>
        <w:pStyle w:val="SingleTxtG"/>
        <w:rPr>
          <w:lang w:val="en-US"/>
        </w:rPr>
      </w:pPr>
      <w:r w:rsidRPr="00222917">
        <w:rPr>
          <w:lang w:val="en-US"/>
        </w:rPr>
        <w:t>57.</w:t>
      </w:r>
      <w:r w:rsidRPr="00222917">
        <w:rPr>
          <w:lang w:val="en-US"/>
        </w:rPr>
        <w:tab/>
      </w:r>
      <w:r w:rsidR="002D5BB0" w:rsidRPr="00222917">
        <w:rPr>
          <w:lang w:val="en-US"/>
        </w:rPr>
        <w:t xml:space="preserve">The Gender-Equal Recruitment Target System for governmental officials, </w:t>
      </w:r>
      <w:r w:rsidR="002D5BB0" w:rsidRPr="00222917">
        <w:rPr>
          <w:bCs/>
          <w:lang w:val="en-US"/>
        </w:rPr>
        <w:t>explained in the third r</w:t>
      </w:r>
      <w:r w:rsidR="003B0FAE" w:rsidRPr="00222917">
        <w:rPr>
          <w:bCs/>
          <w:lang w:val="en-US"/>
        </w:rPr>
        <w:t>eport (CCPR/C/KOR/2005/3, para. </w:t>
      </w:r>
      <w:r w:rsidR="002D5BB0" w:rsidRPr="00222917">
        <w:rPr>
          <w:bCs/>
          <w:lang w:val="en-US"/>
        </w:rPr>
        <w:t>68), was firmly put in place, resulting in the employment of 151 women from 2003 to 2010. In addition, five-year plans to increase the number of women at the managerial level are executed both at central administrative agencies and local governments. As a result, the number of female managers at central administrative agencies went up from 340 (5.4%) in 2006 to 593 (7.4%) in 2010 and female managers at local governments accounted for 1,730 (8.6%) in 2010 compared with 1,199 (6.5%) in 2006. The ratios of female managers vary to some degree among central administrative agencies reflecting the nature of functions of each agency and female officials’ preferences. The ratios were over 20% in four agencies, 10 to 20% in five agencies, 5 to 10% in twelve agencies, and less than 5% in nineteen agencies. The</w:t>
      </w:r>
      <w:r w:rsidR="00072FB5" w:rsidRPr="00222917">
        <w:rPr>
          <w:bCs/>
          <w:lang w:val="en-US"/>
        </w:rPr>
        <w:t> </w:t>
      </w:r>
      <w:r w:rsidR="002D5BB0" w:rsidRPr="00222917">
        <w:rPr>
          <w:bCs/>
          <w:lang w:val="en-US"/>
        </w:rPr>
        <w:t>Government plans to continue proactively increase the number of female officials at managerial level. In addition, it is recommended that women be assigned to major or preferred departments to reinforce their participation in decision-making process through relevant regulations.</w:t>
      </w:r>
    </w:p>
    <w:p w:rsidR="002D5BB0" w:rsidRPr="00222917" w:rsidRDefault="006368ED" w:rsidP="006368ED">
      <w:pPr>
        <w:pStyle w:val="H23G"/>
        <w:rPr>
          <w:lang w:val="en-US"/>
        </w:rPr>
      </w:pPr>
      <w:r w:rsidRPr="00222917">
        <w:rPr>
          <w:lang w:val="en-US"/>
        </w:rPr>
        <w:tab/>
      </w:r>
      <w:r w:rsidRPr="00222917">
        <w:rPr>
          <w:lang w:val="en-US"/>
        </w:rPr>
        <w:tab/>
      </w:r>
      <w:r w:rsidR="002D5BB0" w:rsidRPr="00222917">
        <w:rPr>
          <w:lang w:val="en-US"/>
        </w:rPr>
        <w:t>Targets and Achievements of the Recruitment Target System for Female Managers at</w:t>
      </w:r>
      <w:r w:rsidR="00423A3F" w:rsidRPr="00222917">
        <w:rPr>
          <w:lang w:val="en-US"/>
        </w:rPr>
        <w:t> </w:t>
      </w:r>
      <w:r w:rsidR="002D5BB0" w:rsidRPr="00222917">
        <w:rPr>
          <w:lang w:val="en-US"/>
        </w:rPr>
        <w:t>Managerial Level (Grade 4 or Higher) at Central Administrative Agencies by Year</w:t>
      </w:r>
    </w:p>
    <w:tbl>
      <w:tblPr>
        <w:tblW w:w="0" w:type="auto"/>
        <w:tblInd w:w="1134" w:type="dxa"/>
        <w:tblBorders>
          <w:top w:val="single" w:sz="4" w:space="0" w:color="auto"/>
        </w:tblBorders>
        <w:tblLayout w:type="fixed"/>
        <w:tblCellMar>
          <w:left w:w="0" w:type="dxa"/>
          <w:right w:w="0" w:type="dxa"/>
        </w:tblCellMar>
        <w:tblLook w:val="0000"/>
      </w:tblPr>
      <w:tblGrid>
        <w:gridCol w:w="1701"/>
        <w:gridCol w:w="1418"/>
        <w:gridCol w:w="851"/>
        <w:gridCol w:w="851"/>
        <w:gridCol w:w="851"/>
        <w:gridCol w:w="851"/>
        <w:gridCol w:w="851"/>
      </w:tblGrid>
      <w:tr w:rsidR="006E1F63" w:rsidRPr="00222917" w:rsidTr="00072FB5">
        <w:trPr>
          <w:trHeight w:val="240"/>
          <w:tblHeader/>
        </w:trPr>
        <w:tc>
          <w:tcPr>
            <w:tcW w:w="3119" w:type="dxa"/>
            <w:gridSpan w:val="2"/>
            <w:tcBorders>
              <w:top w:val="single" w:sz="4" w:space="0" w:color="auto"/>
              <w:bottom w:val="single" w:sz="12" w:space="0" w:color="auto"/>
            </w:tcBorders>
            <w:shd w:val="clear" w:color="auto" w:fill="auto"/>
            <w:vAlign w:val="bottom"/>
          </w:tcPr>
          <w:p w:rsidR="002D5BB0" w:rsidRPr="00222917" w:rsidRDefault="002D5BB0" w:rsidP="00A5088D">
            <w:pPr>
              <w:pStyle w:val="SingleTxtG"/>
              <w:suppressAutoHyphens w:val="0"/>
              <w:spacing w:before="80" w:after="80" w:line="200" w:lineRule="exact"/>
              <w:ind w:left="0" w:right="0"/>
              <w:jc w:val="left"/>
              <w:rPr>
                <w:i/>
                <w:sz w:val="16"/>
                <w:lang w:val="en-US"/>
              </w:rPr>
            </w:pPr>
            <w:r w:rsidRPr="00222917">
              <w:rPr>
                <w:i/>
                <w:sz w:val="16"/>
                <w:lang w:val="en-US"/>
              </w:rPr>
              <w:t>Year</w:t>
            </w:r>
          </w:p>
        </w:tc>
        <w:tc>
          <w:tcPr>
            <w:tcW w:w="851" w:type="dxa"/>
            <w:tcBorders>
              <w:top w:val="single" w:sz="4" w:space="0" w:color="auto"/>
              <w:bottom w:val="single" w:sz="12" w:space="0" w:color="auto"/>
            </w:tcBorders>
            <w:shd w:val="clear" w:color="auto" w:fill="auto"/>
            <w:vAlign w:val="bottom"/>
          </w:tcPr>
          <w:p w:rsidR="002D5BB0" w:rsidRPr="00222917" w:rsidRDefault="002D5BB0" w:rsidP="00A5088D">
            <w:pPr>
              <w:pStyle w:val="SingleTxtG"/>
              <w:suppressAutoHyphens w:val="0"/>
              <w:spacing w:before="80" w:after="80" w:line="200" w:lineRule="exact"/>
              <w:ind w:left="0" w:right="0"/>
              <w:jc w:val="right"/>
              <w:rPr>
                <w:i/>
                <w:sz w:val="16"/>
                <w:lang w:val="en-US"/>
              </w:rPr>
            </w:pPr>
            <w:r w:rsidRPr="00222917">
              <w:rPr>
                <w:bCs/>
                <w:i/>
                <w:sz w:val="16"/>
                <w:lang w:val="en-US"/>
              </w:rPr>
              <w:t>2007</w:t>
            </w:r>
          </w:p>
        </w:tc>
        <w:tc>
          <w:tcPr>
            <w:tcW w:w="851" w:type="dxa"/>
            <w:tcBorders>
              <w:top w:val="single" w:sz="4" w:space="0" w:color="auto"/>
              <w:bottom w:val="single" w:sz="12" w:space="0" w:color="auto"/>
            </w:tcBorders>
            <w:shd w:val="clear" w:color="auto" w:fill="auto"/>
            <w:vAlign w:val="bottom"/>
          </w:tcPr>
          <w:p w:rsidR="002D5BB0" w:rsidRPr="00222917" w:rsidRDefault="002D5BB0" w:rsidP="00A5088D">
            <w:pPr>
              <w:pStyle w:val="SingleTxtG"/>
              <w:suppressAutoHyphens w:val="0"/>
              <w:spacing w:before="80" w:after="80" w:line="200" w:lineRule="exact"/>
              <w:ind w:left="0" w:right="0"/>
              <w:jc w:val="right"/>
              <w:rPr>
                <w:i/>
                <w:sz w:val="16"/>
                <w:lang w:val="en-US"/>
              </w:rPr>
            </w:pPr>
            <w:r w:rsidRPr="00222917">
              <w:rPr>
                <w:bCs/>
                <w:i/>
                <w:sz w:val="16"/>
                <w:lang w:val="en-US"/>
              </w:rPr>
              <w:t>2008</w:t>
            </w:r>
          </w:p>
        </w:tc>
        <w:tc>
          <w:tcPr>
            <w:tcW w:w="851" w:type="dxa"/>
            <w:tcBorders>
              <w:top w:val="single" w:sz="4" w:space="0" w:color="auto"/>
              <w:bottom w:val="single" w:sz="12" w:space="0" w:color="auto"/>
            </w:tcBorders>
            <w:shd w:val="clear" w:color="auto" w:fill="auto"/>
            <w:vAlign w:val="bottom"/>
          </w:tcPr>
          <w:p w:rsidR="002D5BB0" w:rsidRPr="00222917" w:rsidRDefault="002D5BB0" w:rsidP="00A5088D">
            <w:pPr>
              <w:pStyle w:val="SingleTxtG"/>
              <w:suppressAutoHyphens w:val="0"/>
              <w:spacing w:before="80" w:after="80" w:line="200" w:lineRule="exact"/>
              <w:ind w:left="0" w:right="0"/>
              <w:jc w:val="right"/>
              <w:rPr>
                <w:i/>
                <w:sz w:val="16"/>
                <w:lang w:val="en-US"/>
              </w:rPr>
            </w:pPr>
            <w:r w:rsidRPr="00222917">
              <w:rPr>
                <w:bCs/>
                <w:i/>
                <w:sz w:val="16"/>
                <w:lang w:val="en-US"/>
              </w:rPr>
              <w:t>2009</w:t>
            </w:r>
          </w:p>
        </w:tc>
        <w:tc>
          <w:tcPr>
            <w:tcW w:w="851" w:type="dxa"/>
            <w:tcBorders>
              <w:top w:val="single" w:sz="4" w:space="0" w:color="auto"/>
              <w:bottom w:val="single" w:sz="12" w:space="0" w:color="auto"/>
            </w:tcBorders>
            <w:shd w:val="clear" w:color="auto" w:fill="auto"/>
            <w:vAlign w:val="bottom"/>
          </w:tcPr>
          <w:p w:rsidR="002D5BB0" w:rsidRPr="00222917" w:rsidRDefault="002D5BB0" w:rsidP="00A5088D">
            <w:pPr>
              <w:pStyle w:val="SingleTxtG"/>
              <w:suppressAutoHyphens w:val="0"/>
              <w:spacing w:before="80" w:after="80" w:line="200" w:lineRule="exact"/>
              <w:ind w:left="0" w:right="0"/>
              <w:jc w:val="right"/>
              <w:rPr>
                <w:i/>
                <w:sz w:val="16"/>
                <w:lang w:val="en-US"/>
              </w:rPr>
            </w:pPr>
            <w:r w:rsidRPr="00222917">
              <w:rPr>
                <w:bCs/>
                <w:i/>
                <w:sz w:val="16"/>
                <w:lang w:val="en-US"/>
              </w:rPr>
              <w:t>2010</w:t>
            </w:r>
          </w:p>
        </w:tc>
        <w:tc>
          <w:tcPr>
            <w:tcW w:w="851" w:type="dxa"/>
            <w:tcBorders>
              <w:top w:val="single" w:sz="4" w:space="0" w:color="auto"/>
              <w:bottom w:val="single" w:sz="12" w:space="0" w:color="auto"/>
            </w:tcBorders>
            <w:shd w:val="clear" w:color="auto" w:fill="auto"/>
            <w:vAlign w:val="bottom"/>
          </w:tcPr>
          <w:p w:rsidR="002D5BB0" w:rsidRPr="00222917" w:rsidRDefault="002D5BB0" w:rsidP="00A5088D">
            <w:pPr>
              <w:pStyle w:val="SingleTxtG"/>
              <w:suppressAutoHyphens w:val="0"/>
              <w:spacing w:before="80" w:after="80" w:line="200" w:lineRule="exact"/>
              <w:ind w:left="0" w:right="0"/>
              <w:jc w:val="right"/>
              <w:rPr>
                <w:i/>
                <w:sz w:val="16"/>
                <w:lang w:val="en-US"/>
              </w:rPr>
            </w:pPr>
            <w:r w:rsidRPr="00222917">
              <w:rPr>
                <w:bCs/>
                <w:i/>
                <w:sz w:val="16"/>
                <w:lang w:val="en-US"/>
              </w:rPr>
              <w:t>2011</w:t>
            </w:r>
          </w:p>
        </w:tc>
      </w:tr>
      <w:tr w:rsidR="006E1F63" w:rsidRPr="00222917" w:rsidTr="00D8493A">
        <w:trPr>
          <w:trHeight w:val="240"/>
        </w:trPr>
        <w:tc>
          <w:tcPr>
            <w:tcW w:w="1701" w:type="dxa"/>
            <w:vMerge w:val="restart"/>
            <w:tcBorders>
              <w:top w:val="single" w:sz="12" w:space="0" w:color="auto"/>
            </w:tcBorders>
            <w:shd w:val="clear" w:color="auto" w:fill="auto"/>
            <w:vAlign w:val="center"/>
          </w:tcPr>
          <w:p w:rsidR="002D5BB0" w:rsidRPr="00222917" w:rsidRDefault="002D5BB0" w:rsidP="00A5088D">
            <w:pPr>
              <w:pStyle w:val="SingleTxtG"/>
              <w:suppressAutoHyphens w:val="0"/>
              <w:spacing w:before="40" w:after="40" w:line="220" w:lineRule="exact"/>
              <w:ind w:left="0" w:right="0"/>
              <w:jc w:val="left"/>
              <w:rPr>
                <w:sz w:val="18"/>
                <w:lang w:val="en-US"/>
              </w:rPr>
            </w:pPr>
            <w:r w:rsidRPr="00222917">
              <w:rPr>
                <w:sz w:val="18"/>
                <w:lang w:val="en-US"/>
              </w:rPr>
              <w:t>Target</w:t>
            </w:r>
          </w:p>
        </w:tc>
        <w:tc>
          <w:tcPr>
            <w:tcW w:w="1418" w:type="dxa"/>
            <w:tcBorders>
              <w:top w:val="single" w:sz="12" w:space="0" w:color="auto"/>
            </w:tcBorders>
            <w:shd w:val="clear" w:color="auto" w:fill="auto"/>
          </w:tcPr>
          <w:p w:rsidR="002D5BB0" w:rsidRPr="00222917" w:rsidRDefault="002D5BB0" w:rsidP="00A5088D">
            <w:pPr>
              <w:pStyle w:val="SingleTxtG"/>
              <w:suppressAutoHyphens w:val="0"/>
              <w:spacing w:before="40" w:after="40" w:line="220" w:lineRule="exact"/>
              <w:ind w:left="0" w:right="0"/>
              <w:jc w:val="left"/>
              <w:rPr>
                <w:sz w:val="18"/>
                <w:lang w:val="en-US"/>
              </w:rPr>
            </w:pPr>
            <w:r w:rsidRPr="00222917">
              <w:rPr>
                <w:sz w:val="18"/>
                <w:lang w:val="en-US"/>
              </w:rPr>
              <w:t>Persons</w:t>
            </w:r>
          </w:p>
        </w:tc>
        <w:tc>
          <w:tcPr>
            <w:tcW w:w="851" w:type="dxa"/>
            <w:tcBorders>
              <w:top w:val="single" w:sz="12" w:space="0" w:color="auto"/>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402</w:t>
            </w:r>
          </w:p>
        </w:tc>
        <w:tc>
          <w:tcPr>
            <w:tcW w:w="851" w:type="dxa"/>
            <w:tcBorders>
              <w:top w:val="single" w:sz="12" w:space="0" w:color="auto"/>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458</w:t>
            </w:r>
          </w:p>
        </w:tc>
        <w:tc>
          <w:tcPr>
            <w:tcW w:w="851" w:type="dxa"/>
            <w:tcBorders>
              <w:top w:val="single" w:sz="12" w:space="0" w:color="auto"/>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520</w:t>
            </w:r>
          </w:p>
        </w:tc>
        <w:tc>
          <w:tcPr>
            <w:tcW w:w="851" w:type="dxa"/>
            <w:tcBorders>
              <w:top w:val="single" w:sz="12" w:space="0" w:color="auto"/>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599</w:t>
            </w:r>
          </w:p>
        </w:tc>
        <w:tc>
          <w:tcPr>
            <w:tcW w:w="851" w:type="dxa"/>
            <w:tcBorders>
              <w:top w:val="single" w:sz="12" w:space="0" w:color="auto"/>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753</w:t>
            </w:r>
          </w:p>
        </w:tc>
      </w:tr>
      <w:tr w:rsidR="006E1F63" w:rsidRPr="00222917" w:rsidTr="00D8493A">
        <w:trPr>
          <w:trHeight w:val="240"/>
        </w:trPr>
        <w:tc>
          <w:tcPr>
            <w:tcW w:w="1701" w:type="dxa"/>
            <w:vMerge/>
            <w:shd w:val="clear" w:color="auto" w:fill="auto"/>
          </w:tcPr>
          <w:p w:rsidR="002D5BB0" w:rsidRPr="00222917" w:rsidRDefault="002D5BB0" w:rsidP="00A5088D">
            <w:pPr>
              <w:pStyle w:val="SingleTxtG"/>
              <w:suppressAutoHyphens w:val="0"/>
              <w:spacing w:before="40" w:after="40" w:line="220" w:lineRule="exact"/>
              <w:ind w:left="0" w:right="0"/>
              <w:jc w:val="left"/>
              <w:rPr>
                <w:sz w:val="18"/>
                <w:lang w:val="en-US"/>
              </w:rPr>
            </w:pPr>
          </w:p>
        </w:tc>
        <w:tc>
          <w:tcPr>
            <w:tcW w:w="1418" w:type="dxa"/>
            <w:shd w:val="clear" w:color="auto" w:fill="auto"/>
          </w:tcPr>
          <w:p w:rsidR="002D5BB0" w:rsidRPr="00222917" w:rsidRDefault="002D5BB0" w:rsidP="00A5088D">
            <w:pPr>
              <w:pStyle w:val="SingleTxtG"/>
              <w:suppressAutoHyphens w:val="0"/>
              <w:spacing w:before="40" w:after="40" w:line="220" w:lineRule="exact"/>
              <w:ind w:left="0" w:right="0"/>
              <w:jc w:val="left"/>
              <w:rPr>
                <w:sz w:val="18"/>
                <w:lang w:val="en-US"/>
              </w:rPr>
            </w:pPr>
            <w:r w:rsidRPr="00222917">
              <w:rPr>
                <w:sz w:val="18"/>
                <w:lang w:val="en-US"/>
              </w:rPr>
              <w:t>Ratio</w:t>
            </w:r>
          </w:p>
        </w:tc>
        <w:tc>
          <w:tcPr>
            <w:tcW w:w="851"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6.2%</w:t>
            </w:r>
          </w:p>
        </w:tc>
        <w:tc>
          <w:tcPr>
            <w:tcW w:w="851"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6.1%</w:t>
            </w:r>
          </w:p>
        </w:tc>
        <w:tc>
          <w:tcPr>
            <w:tcW w:w="851"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6.9%</w:t>
            </w:r>
          </w:p>
        </w:tc>
        <w:tc>
          <w:tcPr>
            <w:tcW w:w="851"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7.9%</w:t>
            </w:r>
          </w:p>
        </w:tc>
        <w:tc>
          <w:tcPr>
            <w:tcW w:w="851"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10.0%</w:t>
            </w:r>
          </w:p>
        </w:tc>
      </w:tr>
      <w:tr w:rsidR="006E1F63" w:rsidRPr="00222917" w:rsidTr="00D8493A">
        <w:trPr>
          <w:trHeight w:val="240"/>
        </w:trPr>
        <w:tc>
          <w:tcPr>
            <w:tcW w:w="1701" w:type="dxa"/>
            <w:vMerge w:val="restart"/>
            <w:shd w:val="clear" w:color="auto" w:fill="auto"/>
            <w:vAlign w:val="center"/>
          </w:tcPr>
          <w:p w:rsidR="002D5BB0" w:rsidRPr="00222917" w:rsidRDefault="002D5BB0" w:rsidP="00A5088D">
            <w:pPr>
              <w:pStyle w:val="SingleTxtG"/>
              <w:suppressAutoHyphens w:val="0"/>
              <w:spacing w:before="40" w:after="40" w:line="220" w:lineRule="exact"/>
              <w:ind w:left="0" w:right="0"/>
              <w:jc w:val="left"/>
              <w:rPr>
                <w:sz w:val="18"/>
                <w:lang w:val="en-US"/>
              </w:rPr>
            </w:pPr>
            <w:r w:rsidRPr="00222917">
              <w:rPr>
                <w:sz w:val="18"/>
                <w:lang w:val="en-US"/>
              </w:rPr>
              <w:t>Performance</w:t>
            </w:r>
          </w:p>
        </w:tc>
        <w:tc>
          <w:tcPr>
            <w:tcW w:w="1418" w:type="dxa"/>
            <w:shd w:val="clear" w:color="auto" w:fill="auto"/>
          </w:tcPr>
          <w:p w:rsidR="002D5BB0" w:rsidRPr="00222917" w:rsidRDefault="002D5BB0" w:rsidP="00A5088D">
            <w:pPr>
              <w:pStyle w:val="SingleTxtG"/>
              <w:suppressAutoHyphens w:val="0"/>
              <w:spacing w:before="40" w:after="40" w:line="220" w:lineRule="exact"/>
              <w:ind w:left="0" w:right="0"/>
              <w:jc w:val="left"/>
              <w:rPr>
                <w:sz w:val="18"/>
                <w:lang w:val="en-US"/>
              </w:rPr>
            </w:pPr>
            <w:r w:rsidRPr="00222917">
              <w:rPr>
                <w:sz w:val="18"/>
                <w:lang w:val="en-US"/>
              </w:rPr>
              <w:t>Persons</w:t>
            </w:r>
          </w:p>
        </w:tc>
        <w:tc>
          <w:tcPr>
            <w:tcW w:w="851"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454</w:t>
            </w:r>
          </w:p>
        </w:tc>
        <w:tc>
          <w:tcPr>
            <w:tcW w:w="851"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476</w:t>
            </w:r>
          </w:p>
        </w:tc>
        <w:tc>
          <w:tcPr>
            <w:tcW w:w="851"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544</w:t>
            </w:r>
          </w:p>
        </w:tc>
        <w:tc>
          <w:tcPr>
            <w:tcW w:w="851"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593</w:t>
            </w:r>
          </w:p>
        </w:tc>
        <w:tc>
          <w:tcPr>
            <w:tcW w:w="851"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r>
      <w:tr w:rsidR="006E1F63" w:rsidRPr="00222917" w:rsidTr="00D8493A">
        <w:trPr>
          <w:trHeight w:val="240"/>
        </w:trPr>
        <w:tc>
          <w:tcPr>
            <w:tcW w:w="1701" w:type="dxa"/>
            <w:vMerge/>
            <w:tcBorders>
              <w:bottom w:val="single" w:sz="12" w:space="0" w:color="auto"/>
            </w:tcBorders>
            <w:shd w:val="clear" w:color="auto" w:fill="auto"/>
          </w:tcPr>
          <w:p w:rsidR="002D5BB0" w:rsidRPr="00222917" w:rsidRDefault="002D5BB0" w:rsidP="00A5088D">
            <w:pPr>
              <w:pStyle w:val="SingleTxtG"/>
              <w:suppressAutoHyphens w:val="0"/>
              <w:spacing w:before="40" w:after="40" w:line="220" w:lineRule="exact"/>
              <w:ind w:left="0" w:right="0"/>
              <w:jc w:val="left"/>
              <w:rPr>
                <w:sz w:val="18"/>
                <w:lang w:val="en-US"/>
              </w:rPr>
            </w:pPr>
          </w:p>
        </w:tc>
        <w:tc>
          <w:tcPr>
            <w:tcW w:w="1418" w:type="dxa"/>
            <w:tcBorders>
              <w:bottom w:val="single" w:sz="12" w:space="0" w:color="auto"/>
            </w:tcBorders>
            <w:shd w:val="clear" w:color="auto" w:fill="auto"/>
          </w:tcPr>
          <w:p w:rsidR="002D5BB0" w:rsidRPr="00222917" w:rsidRDefault="002D5BB0" w:rsidP="00A5088D">
            <w:pPr>
              <w:pStyle w:val="SingleTxtG"/>
              <w:suppressAutoHyphens w:val="0"/>
              <w:spacing w:before="40" w:after="40" w:line="220" w:lineRule="exact"/>
              <w:ind w:left="0" w:right="0"/>
              <w:jc w:val="left"/>
              <w:rPr>
                <w:sz w:val="18"/>
                <w:lang w:val="en-US"/>
              </w:rPr>
            </w:pPr>
            <w:r w:rsidRPr="00222917">
              <w:rPr>
                <w:sz w:val="18"/>
                <w:lang w:val="en-US"/>
              </w:rPr>
              <w:t>Ratio</w:t>
            </w:r>
          </w:p>
        </w:tc>
        <w:tc>
          <w:tcPr>
            <w:tcW w:w="851" w:type="dxa"/>
            <w:tcBorders>
              <w:bottom w:val="single" w:sz="12" w:space="0" w:color="auto"/>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6.2%</w:t>
            </w:r>
          </w:p>
        </w:tc>
        <w:tc>
          <w:tcPr>
            <w:tcW w:w="851" w:type="dxa"/>
            <w:tcBorders>
              <w:bottom w:val="single" w:sz="12" w:space="0" w:color="auto"/>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6.1%</w:t>
            </w:r>
          </w:p>
        </w:tc>
        <w:tc>
          <w:tcPr>
            <w:tcW w:w="851" w:type="dxa"/>
            <w:tcBorders>
              <w:bottom w:val="single" w:sz="12" w:space="0" w:color="auto"/>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6.8%</w:t>
            </w:r>
          </w:p>
        </w:tc>
        <w:tc>
          <w:tcPr>
            <w:tcW w:w="851" w:type="dxa"/>
            <w:tcBorders>
              <w:bottom w:val="single" w:sz="12" w:space="0" w:color="auto"/>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7.4%</w:t>
            </w:r>
          </w:p>
        </w:tc>
        <w:tc>
          <w:tcPr>
            <w:tcW w:w="851" w:type="dxa"/>
            <w:tcBorders>
              <w:bottom w:val="single" w:sz="12" w:space="0" w:color="auto"/>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r>
    </w:tbl>
    <w:p w:rsidR="002D5BB0" w:rsidRPr="00222917" w:rsidRDefault="006368ED" w:rsidP="006368ED">
      <w:pPr>
        <w:pStyle w:val="H23G"/>
        <w:rPr>
          <w:lang w:val="en-US"/>
        </w:rPr>
      </w:pPr>
      <w:r w:rsidRPr="00222917">
        <w:rPr>
          <w:lang w:val="en-US"/>
        </w:rPr>
        <w:tab/>
      </w:r>
      <w:r w:rsidRPr="00222917">
        <w:rPr>
          <w:lang w:val="en-US"/>
        </w:rPr>
        <w:tab/>
      </w:r>
      <w:r w:rsidR="002D5BB0" w:rsidRPr="00222917">
        <w:rPr>
          <w:lang w:val="en-US"/>
        </w:rPr>
        <w:t>Targets and Achievements of the Recruitment Target System for Female Managers at</w:t>
      </w:r>
      <w:r w:rsidR="00423A3F" w:rsidRPr="00222917">
        <w:rPr>
          <w:lang w:val="en-US"/>
        </w:rPr>
        <w:t> </w:t>
      </w:r>
      <w:r w:rsidR="002D5BB0" w:rsidRPr="00222917">
        <w:rPr>
          <w:lang w:val="en-US"/>
        </w:rPr>
        <w:t>Managerial Level (Grades 5 and 6) at Local Governments by Year</w:t>
      </w:r>
    </w:p>
    <w:tbl>
      <w:tblPr>
        <w:tblW w:w="0" w:type="auto"/>
        <w:tblInd w:w="1134" w:type="dxa"/>
        <w:tblBorders>
          <w:top w:val="single" w:sz="4" w:space="0" w:color="auto"/>
        </w:tblBorders>
        <w:tblLayout w:type="fixed"/>
        <w:tblCellMar>
          <w:left w:w="0" w:type="dxa"/>
          <w:right w:w="0" w:type="dxa"/>
        </w:tblCellMar>
        <w:tblLook w:val="0000"/>
      </w:tblPr>
      <w:tblGrid>
        <w:gridCol w:w="1701"/>
        <w:gridCol w:w="1418"/>
        <w:gridCol w:w="851"/>
        <w:gridCol w:w="851"/>
        <w:gridCol w:w="851"/>
        <w:gridCol w:w="851"/>
        <w:gridCol w:w="851"/>
      </w:tblGrid>
      <w:tr w:rsidR="006E1F63" w:rsidRPr="00222917" w:rsidTr="00D8493A">
        <w:trPr>
          <w:trHeight w:val="240"/>
          <w:tblHeader/>
        </w:trPr>
        <w:tc>
          <w:tcPr>
            <w:tcW w:w="1701" w:type="dxa"/>
            <w:gridSpan w:val="2"/>
            <w:tcBorders>
              <w:top w:val="single" w:sz="4" w:space="0" w:color="auto"/>
              <w:bottom w:val="single" w:sz="12" w:space="0" w:color="auto"/>
            </w:tcBorders>
            <w:shd w:val="clear" w:color="auto" w:fill="auto"/>
            <w:vAlign w:val="bottom"/>
          </w:tcPr>
          <w:p w:rsidR="002D5BB0" w:rsidRPr="00222917" w:rsidRDefault="002D5BB0" w:rsidP="00A5088D">
            <w:pPr>
              <w:pStyle w:val="SingleTxtG"/>
              <w:suppressAutoHyphens w:val="0"/>
              <w:spacing w:before="80" w:after="80" w:line="200" w:lineRule="exact"/>
              <w:ind w:left="0" w:right="0"/>
              <w:jc w:val="left"/>
              <w:rPr>
                <w:i/>
                <w:sz w:val="16"/>
                <w:lang w:val="en-US"/>
              </w:rPr>
            </w:pPr>
            <w:r w:rsidRPr="00222917">
              <w:rPr>
                <w:bCs/>
                <w:i/>
                <w:sz w:val="16"/>
                <w:lang w:val="en-US"/>
              </w:rPr>
              <w:t>Description</w:t>
            </w:r>
          </w:p>
        </w:tc>
        <w:tc>
          <w:tcPr>
            <w:tcW w:w="851" w:type="dxa"/>
            <w:tcBorders>
              <w:top w:val="single" w:sz="4" w:space="0" w:color="auto"/>
              <w:bottom w:val="single" w:sz="12" w:space="0" w:color="auto"/>
            </w:tcBorders>
            <w:shd w:val="clear" w:color="auto" w:fill="auto"/>
            <w:vAlign w:val="bottom"/>
          </w:tcPr>
          <w:p w:rsidR="002D5BB0" w:rsidRPr="00222917" w:rsidRDefault="002D5BB0" w:rsidP="00A5088D">
            <w:pPr>
              <w:pStyle w:val="SingleTxtG"/>
              <w:suppressAutoHyphens w:val="0"/>
              <w:spacing w:before="80" w:after="80" w:line="200" w:lineRule="exact"/>
              <w:ind w:left="0" w:right="0"/>
              <w:jc w:val="right"/>
              <w:rPr>
                <w:i/>
                <w:sz w:val="16"/>
                <w:lang w:val="en-US"/>
              </w:rPr>
            </w:pPr>
            <w:r w:rsidRPr="00222917">
              <w:rPr>
                <w:bCs/>
                <w:i/>
                <w:sz w:val="16"/>
                <w:lang w:val="en-US"/>
              </w:rPr>
              <w:t>2007</w:t>
            </w:r>
          </w:p>
        </w:tc>
        <w:tc>
          <w:tcPr>
            <w:tcW w:w="851" w:type="dxa"/>
            <w:tcBorders>
              <w:top w:val="single" w:sz="4" w:space="0" w:color="auto"/>
              <w:bottom w:val="single" w:sz="12" w:space="0" w:color="auto"/>
            </w:tcBorders>
            <w:shd w:val="clear" w:color="auto" w:fill="auto"/>
            <w:vAlign w:val="bottom"/>
          </w:tcPr>
          <w:p w:rsidR="002D5BB0" w:rsidRPr="00222917" w:rsidRDefault="002D5BB0" w:rsidP="00A5088D">
            <w:pPr>
              <w:pStyle w:val="SingleTxtG"/>
              <w:suppressAutoHyphens w:val="0"/>
              <w:spacing w:before="80" w:after="80" w:line="200" w:lineRule="exact"/>
              <w:ind w:left="0" w:right="0"/>
              <w:jc w:val="right"/>
              <w:rPr>
                <w:i/>
                <w:sz w:val="16"/>
                <w:lang w:val="en-US"/>
              </w:rPr>
            </w:pPr>
            <w:r w:rsidRPr="00222917">
              <w:rPr>
                <w:bCs/>
                <w:i/>
                <w:sz w:val="16"/>
                <w:lang w:val="en-US"/>
              </w:rPr>
              <w:t>2008</w:t>
            </w:r>
          </w:p>
        </w:tc>
        <w:tc>
          <w:tcPr>
            <w:tcW w:w="851" w:type="dxa"/>
            <w:tcBorders>
              <w:top w:val="single" w:sz="4" w:space="0" w:color="auto"/>
              <w:bottom w:val="single" w:sz="12" w:space="0" w:color="auto"/>
            </w:tcBorders>
            <w:shd w:val="clear" w:color="auto" w:fill="auto"/>
            <w:vAlign w:val="bottom"/>
          </w:tcPr>
          <w:p w:rsidR="002D5BB0" w:rsidRPr="00222917" w:rsidRDefault="002D5BB0" w:rsidP="00A5088D">
            <w:pPr>
              <w:pStyle w:val="SingleTxtG"/>
              <w:suppressAutoHyphens w:val="0"/>
              <w:spacing w:before="80" w:after="80" w:line="200" w:lineRule="exact"/>
              <w:ind w:left="0" w:right="0"/>
              <w:jc w:val="right"/>
              <w:rPr>
                <w:i/>
                <w:sz w:val="16"/>
                <w:lang w:val="en-US"/>
              </w:rPr>
            </w:pPr>
            <w:r w:rsidRPr="00222917">
              <w:rPr>
                <w:bCs/>
                <w:i/>
                <w:sz w:val="16"/>
                <w:lang w:val="en-US"/>
              </w:rPr>
              <w:t>2009</w:t>
            </w:r>
          </w:p>
        </w:tc>
        <w:tc>
          <w:tcPr>
            <w:tcW w:w="851" w:type="dxa"/>
            <w:tcBorders>
              <w:top w:val="single" w:sz="4" w:space="0" w:color="auto"/>
              <w:bottom w:val="single" w:sz="12" w:space="0" w:color="auto"/>
            </w:tcBorders>
            <w:shd w:val="clear" w:color="auto" w:fill="auto"/>
            <w:vAlign w:val="bottom"/>
          </w:tcPr>
          <w:p w:rsidR="002D5BB0" w:rsidRPr="00222917" w:rsidRDefault="002D5BB0" w:rsidP="00A5088D">
            <w:pPr>
              <w:pStyle w:val="SingleTxtG"/>
              <w:suppressAutoHyphens w:val="0"/>
              <w:spacing w:before="80" w:after="80" w:line="200" w:lineRule="exact"/>
              <w:ind w:left="0" w:right="0"/>
              <w:jc w:val="right"/>
              <w:rPr>
                <w:i/>
                <w:sz w:val="16"/>
                <w:lang w:val="en-US"/>
              </w:rPr>
            </w:pPr>
            <w:r w:rsidRPr="00222917">
              <w:rPr>
                <w:bCs/>
                <w:i/>
                <w:sz w:val="16"/>
                <w:lang w:val="en-US"/>
              </w:rPr>
              <w:t>2010</w:t>
            </w:r>
          </w:p>
        </w:tc>
        <w:tc>
          <w:tcPr>
            <w:tcW w:w="851" w:type="dxa"/>
            <w:tcBorders>
              <w:top w:val="single" w:sz="4" w:space="0" w:color="auto"/>
              <w:bottom w:val="single" w:sz="12" w:space="0" w:color="auto"/>
            </w:tcBorders>
            <w:shd w:val="clear" w:color="auto" w:fill="auto"/>
            <w:vAlign w:val="bottom"/>
          </w:tcPr>
          <w:p w:rsidR="002D5BB0" w:rsidRPr="00222917" w:rsidRDefault="002D5BB0" w:rsidP="00A5088D">
            <w:pPr>
              <w:pStyle w:val="SingleTxtG"/>
              <w:suppressAutoHyphens w:val="0"/>
              <w:spacing w:before="80" w:after="80" w:line="200" w:lineRule="exact"/>
              <w:ind w:left="0" w:right="0"/>
              <w:jc w:val="right"/>
              <w:rPr>
                <w:i/>
                <w:sz w:val="16"/>
                <w:lang w:val="en-US"/>
              </w:rPr>
            </w:pPr>
            <w:r w:rsidRPr="00222917">
              <w:rPr>
                <w:bCs/>
                <w:i/>
                <w:sz w:val="16"/>
                <w:lang w:val="en-US"/>
              </w:rPr>
              <w:t>2011</w:t>
            </w:r>
          </w:p>
        </w:tc>
      </w:tr>
      <w:tr w:rsidR="006E1F63" w:rsidRPr="00222917" w:rsidTr="00D8493A">
        <w:trPr>
          <w:trHeight w:val="240"/>
        </w:trPr>
        <w:tc>
          <w:tcPr>
            <w:tcW w:w="1701" w:type="dxa"/>
            <w:vMerge w:val="restart"/>
            <w:tcBorders>
              <w:top w:val="single" w:sz="12" w:space="0" w:color="auto"/>
            </w:tcBorders>
            <w:shd w:val="clear" w:color="auto" w:fill="auto"/>
            <w:vAlign w:val="center"/>
          </w:tcPr>
          <w:p w:rsidR="002D5BB0" w:rsidRPr="00222917" w:rsidRDefault="002D5BB0" w:rsidP="00A5088D">
            <w:pPr>
              <w:pStyle w:val="SingleTxtG"/>
              <w:suppressAutoHyphens w:val="0"/>
              <w:spacing w:before="40" w:after="40" w:line="220" w:lineRule="exact"/>
              <w:ind w:left="0" w:right="0"/>
              <w:jc w:val="left"/>
              <w:rPr>
                <w:sz w:val="18"/>
                <w:lang w:val="en-US"/>
              </w:rPr>
            </w:pPr>
            <w:r w:rsidRPr="00222917">
              <w:rPr>
                <w:sz w:val="18"/>
                <w:lang w:val="en-US"/>
              </w:rPr>
              <w:t>Grade 5 or higher</w:t>
            </w:r>
          </w:p>
        </w:tc>
        <w:tc>
          <w:tcPr>
            <w:tcW w:w="1418" w:type="dxa"/>
            <w:tcBorders>
              <w:top w:val="single" w:sz="12" w:space="0" w:color="auto"/>
            </w:tcBorders>
            <w:shd w:val="clear" w:color="auto" w:fill="auto"/>
          </w:tcPr>
          <w:p w:rsidR="002D5BB0" w:rsidRPr="00222917" w:rsidRDefault="002D5BB0" w:rsidP="00A5088D">
            <w:pPr>
              <w:pStyle w:val="SingleTxtG"/>
              <w:suppressAutoHyphens w:val="0"/>
              <w:spacing w:before="40" w:after="40" w:line="220" w:lineRule="exact"/>
              <w:ind w:left="0" w:right="0"/>
              <w:jc w:val="left"/>
              <w:rPr>
                <w:sz w:val="18"/>
                <w:lang w:val="en-US"/>
              </w:rPr>
            </w:pPr>
            <w:r w:rsidRPr="00222917">
              <w:rPr>
                <w:sz w:val="18"/>
                <w:lang w:val="en-US"/>
              </w:rPr>
              <w:t>Target ratio</w:t>
            </w:r>
          </w:p>
        </w:tc>
        <w:tc>
          <w:tcPr>
            <w:tcW w:w="851" w:type="dxa"/>
            <w:tcBorders>
              <w:top w:val="single" w:sz="12" w:space="0" w:color="auto"/>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7.1%</w:t>
            </w:r>
          </w:p>
        </w:tc>
        <w:tc>
          <w:tcPr>
            <w:tcW w:w="851" w:type="dxa"/>
            <w:tcBorders>
              <w:top w:val="single" w:sz="12" w:space="0" w:color="auto"/>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7.6%</w:t>
            </w:r>
          </w:p>
        </w:tc>
        <w:tc>
          <w:tcPr>
            <w:tcW w:w="851" w:type="dxa"/>
            <w:tcBorders>
              <w:top w:val="single" w:sz="12" w:space="0" w:color="auto"/>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8.3%</w:t>
            </w:r>
          </w:p>
        </w:tc>
        <w:tc>
          <w:tcPr>
            <w:tcW w:w="851" w:type="dxa"/>
            <w:tcBorders>
              <w:top w:val="single" w:sz="12" w:space="0" w:color="auto"/>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8.9%</w:t>
            </w:r>
          </w:p>
        </w:tc>
        <w:tc>
          <w:tcPr>
            <w:tcW w:w="851" w:type="dxa"/>
            <w:tcBorders>
              <w:top w:val="single" w:sz="12" w:space="0" w:color="auto"/>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9.6%</w:t>
            </w:r>
          </w:p>
        </w:tc>
      </w:tr>
      <w:tr w:rsidR="006E1F63" w:rsidRPr="00222917" w:rsidTr="00D8493A">
        <w:trPr>
          <w:trHeight w:val="240"/>
        </w:trPr>
        <w:tc>
          <w:tcPr>
            <w:tcW w:w="1701" w:type="dxa"/>
            <w:vMerge/>
            <w:shd w:val="clear" w:color="auto" w:fill="auto"/>
          </w:tcPr>
          <w:p w:rsidR="002D5BB0" w:rsidRPr="00222917" w:rsidRDefault="002D5BB0" w:rsidP="00A5088D">
            <w:pPr>
              <w:pStyle w:val="SingleTxtG"/>
              <w:suppressAutoHyphens w:val="0"/>
              <w:spacing w:before="40" w:after="40" w:line="220" w:lineRule="exact"/>
              <w:ind w:left="0" w:right="0"/>
              <w:jc w:val="left"/>
              <w:rPr>
                <w:sz w:val="18"/>
                <w:lang w:val="en-US"/>
              </w:rPr>
            </w:pPr>
          </w:p>
        </w:tc>
        <w:tc>
          <w:tcPr>
            <w:tcW w:w="1418" w:type="dxa"/>
            <w:shd w:val="clear" w:color="auto" w:fill="auto"/>
          </w:tcPr>
          <w:p w:rsidR="002D5BB0" w:rsidRPr="00222917" w:rsidRDefault="002D5BB0" w:rsidP="00A5088D">
            <w:pPr>
              <w:pStyle w:val="SingleTxtG"/>
              <w:suppressAutoHyphens w:val="0"/>
              <w:spacing w:before="40" w:after="40" w:line="220" w:lineRule="exact"/>
              <w:ind w:left="0" w:right="0"/>
              <w:jc w:val="left"/>
              <w:rPr>
                <w:sz w:val="18"/>
                <w:lang w:val="en-US"/>
              </w:rPr>
            </w:pPr>
            <w:r w:rsidRPr="00222917">
              <w:rPr>
                <w:sz w:val="18"/>
                <w:lang w:val="en-US"/>
              </w:rPr>
              <w:t>Achievement</w:t>
            </w:r>
            <w:r w:rsidR="006368ED" w:rsidRPr="00222917">
              <w:rPr>
                <w:sz w:val="18"/>
                <w:lang w:val="en-US"/>
              </w:rPr>
              <w:br/>
            </w:r>
            <w:r w:rsidRPr="00222917">
              <w:rPr>
                <w:sz w:val="18"/>
                <w:lang w:val="en-US"/>
              </w:rPr>
              <w:t>(persons)</w:t>
            </w:r>
          </w:p>
        </w:tc>
        <w:tc>
          <w:tcPr>
            <w:tcW w:w="851"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7.1%</w:t>
            </w:r>
          </w:p>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(1,349)</w:t>
            </w:r>
          </w:p>
        </w:tc>
        <w:tc>
          <w:tcPr>
            <w:tcW w:w="851"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7.6%</w:t>
            </w:r>
          </w:p>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(1,457)</w:t>
            </w:r>
          </w:p>
        </w:tc>
        <w:tc>
          <w:tcPr>
            <w:tcW w:w="851"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8.1%</w:t>
            </w:r>
          </w:p>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(1,595)</w:t>
            </w:r>
          </w:p>
        </w:tc>
        <w:tc>
          <w:tcPr>
            <w:tcW w:w="851"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8.5%</w:t>
            </w:r>
          </w:p>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(1,205)</w:t>
            </w:r>
          </w:p>
        </w:tc>
        <w:tc>
          <w:tcPr>
            <w:tcW w:w="851"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r>
      <w:tr w:rsidR="006E1F63" w:rsidRPr="00222917" w:rsidTr="00D8493A">
        <w:trPr>
          <w:trHeight w:val="240"/>
        </w:trPr>
        <w:tc>
          <w:tcPr>
            <w:tcW w:w="1701" w:type="dxa"/>
            <w:vMerge w:val="restart"/>
            <w:shd w:val="clear" w:color="auto" w:fill="auto"/>
            <w:vAlign w:val="center"/>
          </w:tcPr>
          <w:p w:rsidR="002D5BB0" w:rsidRPr="00222917" w:rsidRDefault="002D5BB0" w:rsidP="00A5088D">
            <w:pPr>
              <w:pStyle w:val="SingleTxtG"/>
              <w:suppressAutoHyphens w:val="0"/>
              <w:spacing w:before="40" w:after="40" w:line="220" w:lineRule="exact"/>
              <w:ind w:left="0" w:right="0"/>
              <w:jc w:val="left"/>
              <w:rPr>
                <w:sz w:val="18"/>
                <w:lang w:val="en-US"/>
              </w:rPr>
            </w:pPr>
            <w:r w:rsidRPr="00222917">
              <w:rPr>
                <w:sz w:val="18"/>
                <w:lang w:val="en-US"/>
              </w:rPr>
              <w:t>Grade 6 or higher</w:t>
            </w:r>
          </w:p>
        </w:tc>
        <w:tc>
          <w:tcPr>
            <w:tcW w:w="1418" w:type="dxa"/>
            <w:shd w:val="clear" w:color="auto" w:fill="auto"/>
          </w:tcPr>
          <w:p w:rsidR="002D5BB0" w:rsidRPr="00222917" w:rsidRDefault="002D5BB0" w:rsidP="00A5088D">
            <w:pPr>
              <w:pStyle w:val="SingleTxtG"/>
              <w:suppressAutoHyphens w:val="0"/>
              <w:spacing w:before="40" w:after="40" w:line="220" w:lineRule="exact"/>
              <w:ind w:left="0" w:right="0"/>
              <w:jc w:val="left"/>
              <w:rPr>
                <w:sz w:val="18"/>
                <w:lang w:val="en-US"/>
              </w:rPr>
            </w:pPr>
            <w:r w:rsidRPr="00222917">
              <w:rPr>
                <w:sz w:val="18"/>
                <w:lang w:val="en-US"/>
              </w:rPr>
              <w:t>Target ratio</w:t>
            </w:r>
          </w:p>
        </w:tc>
        <w:tc>
          <w:tcPr>
            <w:tcW w:w="851"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12.2%</w:t>
            </w:r>
          </w:p>
        </w:tc>
        <w:tc>
          <w:tcPr>
            <w:tcW w:w="851"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13.0%</w:t>
            </w:r>
          </w:p>
        </w:tc>
        <w:tc>
          <w:tcPr>
            <w:tcW w:w="851"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14.0%</w:t>
            </w:r>
          </w:p>
        </w:tc>
        <w:tc>
          <w:tcPr>
            <w:tcW w:w="851"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15.2%</w:t>
            </w:r>
          </w:p>
        </w:tc>
        <w:tc>
          <w:tcPr>
            <w:tcW w:w="851"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16.5%</w:t>
            </w:r>
          </w:p>
        </w:tc>
      </w:tr>
      <w:tr w:rsidR="006E1F63" w:rsidRPr="00222917" w:rsidTr="00D8493A">
        <w:trPr>
          <w:trHeight w:val="240"/>
        </w:trPr>
        <w:tc>
          <w:tcPr>
            <w:tcW w:w="1701" w:type="dxa"/>
            <w:vMerge/>
            <w:tcBorders>
              <w:bottom w:val="single" w:sz="12" w:space="0" w:color="auto"/>
            </w:tcBorders>
            <w:shd w:val="clear" w:color="auto" w:fill="auto"/>
          </w:tcPr>
          <w:p w:rsidR="002D5BB0" w:rsidRPr="00222917" w:rsidRDefault="002D5BB0" w:rsidP="00A5088D">
            <w:pPr>
              <w:pStyle w:val="SingleTxtG"/>
              <w:suppressAutoHyphens w:val="0"/>
              <w:spacing w:before="40" w:after="40" w:line="220" w:lineRule="exact"/>
              <w:ind w:left="0" w:right="0"/>
              <w:jc w:val="left"/>
              <w:rPr>
                <w:sz w:val="18"/>
                <w:lang w:val="en-US"/>
              </w:rPr>
            </w:pPr>
          </w:p>
        </w:tc>
        <w:tc>
          <w:tcPr>
            <w:tcW w:w="1418" w:type="dxa"/>
            <w:tcBorders>
              <w:bottom w:val="single" w:sz="12" w:space="0" w:color="auto"/>
            </w:tcBorders>
            <w:shd w:val="clear" w:color="auto" w:fill="auto"/>
          </w:tcPr>
          <w:p w:rsidR="002D5BB0" w:rsidRPr="00222917" w:rsidRDefault="002D5BB0" w:rsidP="00A5088D">
            <w:pPr>
              <w:pStyle w:val="SingleTxtG"/>
              <w:suppressAutoHyphens w:val="0"/>
              <w:spacing w:before="40" w:after="40" w:line="220" w:lineRule="exact"/>
              <w:ind w:left="0" w:right="0"/>
              <w:jc w:val="left"/>
              <w:rPr>
                <w:sz w:val="18"/>
                <w:lang w:val="en-US"/>
              </w:rPr>
            </w:pPr>
            <w:r w:rsidRPr="00222917">
              <w:rPr>
                <w:sz w:val="18"/>
                <w:lang w:val="en-US"/>
              </w:rPr>
              <w:t>Achievement</w:t>
            </w:r>
            <w:r w:rsidR="006368ED" w:rsidRPr="00222917">
              <w:rPr>
                <w:sz w:val="18"/>
                <w:lang w:val="en-US"/>
              </w:rPr>
              <w:br/>
            </w:r>
            <w:r w:rsidRPr="00222917">
              <w:rPr>
                <w:sz w:val="18"/>
                <w:lang w:val="en-US"/>
              </w:rPr>
              <w:t>(persons)</w:t>
            </w:r>
          </w:p>
        </w:tc>
        <w:tc>
          <w:tcPr>
            <w:tcW w:w="851" w:type="dxa"/>
            <w:tcBorders>
              <w:bottom w:val="single" w:sz="12" w:space="0" w:color="auto"/>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11.8%</w:t>
            </w:r>
          </w:p>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(7,741)</w:t>
            </w:r>
          </w:p>
        </w:tc>
        <w:tc>
          <w:tcPr>
            <w:tcW w:w="851" w:type="dxa"/>
            <w:tcBorders>
              <w:bottom w:val="single" w:sz="12" w:space="0" w:color="auto"/>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12.6%</w:t>
            </w:r>
          </w:p>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(8,285)</w:t>
            </w:r>
          </w:p>
        </w:tc>
        <w:tc>
          <w:tcPr>
            <w:tcW w:w="851" w:type="dxa"/>
            <w:tcBorders>
              <w:bottom w:val="single" w:sz="12" w:space="0" w:color="auto"/>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13.4%</w:t>
            </w:r>
          </w:p>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(9,121)</w:t>
            </w:r>
          </w:p>
        </w:tc>
        <w:tc>
          <w:tcPr>
            <w:tcW w:w="851" w:type="dxa"/>
            <w:tcBorders>
              <w:bottom w:val="single" w:sz="12" w:space="0" w:color="auto"/>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14.4%</w:t>
            </w:r>
          </w:p>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(9,960)</w:t>
            </w:r>
          </w:p>
        </w:tc>
        <w:tc>
          <w:tcPr>
            <w:tcW w:w="851" w:type="dxa"/>
            <w:tcBorders>
              <w:bottom w:val="single" w:sz="12" w:space="0" w:color="auto"/>
            </w:tcBorders>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w:t>
            </w:r>
          </w:p>
        </w:tc>
      </w:tr>
    </w:tbl>
    <w:p w:rsidR="002D5BB0" w:rsidRPr="00222917" w:rsidRDefault="00547908" w:rsidP="00547908">
      <w:pPr>
        <w:pStyle w:val="SingleTxtG"/>
        <w:spacing w:before="240"/>
        <w:rPr>
          <w:lang w:val="en-US"/>
        </w:rPr>
      </w:pPr>
      <w:r w:rsidRPr="00222917">
        <w:rPr>
          <w:lang w:val="en-US"/>
        </w:rPr>
        <w:t>58.</w:t>
      </w:r>
      <w:r w:rsidRPr="00222917">
        <w:rPr>
          <w:lang w:val="en-US"/>
        </w:rPr>
        <w:tab/>
      </w:r>
      <w:r w:rsidR="002D5BB0" w:rsidRPr="00222917">
        <w:rPr>
          <w:lang w:val="en-US"/>
        </w:rPr>
        <w:t xml:space="preserve">In the legal profession, appointments of female judges and prosecutors are on increase. Among the judges appointed in 2006, women accounted for 26.6%. The ratio rose to 39.3% in 2009. 32.5% of prosecutors appointed in 2007 were women, and increased to 43.6% in 2009. As of the end of 2010, 20.8% (363 persons) of all prosecutors and 24.3% (606 persons) of all judges were female. </w:t>
      </w:r>
    </w:p>
    <w:p w:rsidR="002D5BB0" w:rsidRPr="00222917" w:rsidRDefault="00547908" w:rsidP="00547908">
      <w:pPr>
        <w:pStyle w:val="SingleTxtG"/>
        <w:rPr>
          <w:lang w:val="en-US"/>
        </w:rPr>
      </w:pPr>
      <w:r w:rsidRPr="00222917">
        <w:rPr>
          <w:lang w:val="en-US"/>
        </w:rPr>
        <w:t>59.</w:t>
      </w:r>
      <w:r w:rsidRPr="00222917">
        <w:rPr>
          <w:lang w:val="en-US"/>
        </w:rPr>
        <w:tab/>
      </w:r>
      <w:r w:rsidR="002D5BB0" w:rsidRPr="00222917">
        <w:rPr>
          <w:lang w:val="en-US"/>
        </w:rPr>
        <w:t>The Government has also undertaken affirmative action to address gender discrimination in work place and promote equal employment in the private sector. The</w:t>
      </w:r>
      <w:r w:rsidR="00A07D40" w:rsidRPr="00222917">
        <w:rPr>
          <w:lang w:val="en-US"/>
        </w:rPr>
        <w:t> </w:t>
      </w:r>
      <w:r w:rsidR="002D5BB0" w:rsidRPr="00222917">
        <w:rPr>
          <w:lang w:val="en-US"/>
        </w:rPr>
        <w:t xml:space="preserve">Government recommends businesses of a certain size that employ much less women or have a lower rate of female managers compared </w:t>
      </w:r>
      <w:r w:rsidR="002D5BB0" w:rsidRPr="00222917">
        <w:rPr>
          <w:bCs/>
          <w:lang w:val="en-US"/>
        </w:rPr>
        <w:t>with</w:t>
      </w:r>
      <w:r w:rsidR="002D5BB0" w:rsidRPr="00222917">
        <w:rPr>
          <w:lang w:val="en-US"/>
        </w:rPr>
        <w:t xml:space="preserve"> similar-sized companies in the same business sector to enhance gender equal employment. First applied to government-invested companies and government-affiliated enterprises with 1,000 or more employees in 2006, the recommendation on affirmative action expanded its application to private companies with 500 or more employees, and government-invested or government-affiliated companies with 50 or more employees since March 2008. As of the end of 2010, businesses subject to affirmative action edged up to 225 government-invested or affiliated enterprises and 1,576</w:t>
      </w:r>
      <w:r w:rsidR="00CB2087" w:rsidRPr="00222917">
        <w:rPr>
          <w:lang w:val="en-US"/>
        </w:rPr>
        <w:t> </w:t>
      </w:r>
      <w:r w:rsidR="002D5BB0" w:rsidRPr="00222917">
        <w:rPr>
          <w:lang w:val="en-US"/>
        </w:rPr>
        <w:t xml:space="preserve">private companies including 1,321 with 500 or more employees. The percentage of female workers is 34.12 in average, rising by 0.11% from 2009, and that of female managers is 15.09%, rising by 0.96% from 2009. </w:t>
      </w:r>
    </w:p>
    <w:p w:rsidR="002D5BB0" w:rsidRPr="00222917" w:rsidRDefault="00CB2087" w:rsidP="00A07D40">
      <w:pPr>
        <w:pStyle w:val="H23G"/>
        <w:rPr>
          <w:lang w:val="en-US"/>
        </w:rPr>
      </w:pPr>
      <w:r w:rsidRPr="00222917">
        <w:rPr>
          <w:lang w:val="en-US"/>
        </w:rPr>
        <w:tab/>
      </w:r>
      <w:r w:rsidRPr="00222917">
        <w:rPr>
          <w:lang w:val="en-US"/>
        </w:rPr>
        <w:tab/>
      </w:r>
      <w:r w:rsidR="002D5BB0" w:rsidRPr="00222917">
        <w:rPr>
          <w:lang w:val="en-US"/>
        </w:rPr>
        <w:t>Promotion of Gender-Sensitive Policy</w:t>
      </w:r>
    </w:p>
    <w:p w:rsidR="002D5BB0" w:rsidRPr="00222917" w:rsidRDefault="00547908" w:rsidP="00547908">
      <w:pPr>
        <w:pStyle w:val="SingleTxtG"/>
        <w:rPr>
          <w:lang w:val="en-US"/>
        </w:rPr>
      </w:pPr>
      <w:r w:rsidRPr="00222917">
        <w:rPr>
          <w:lang w:val="en-US"/>
        </w:rPr>
        <w:t>60.</w:t>
      </w:r>
      <w:r w:rsidRPr="00222917">
        <w:rPr>
          <w:lang w:val="en-US"/>
        </w:rPr>
        <w:tab/>
      </w:r>
      <w:r w:rsidR="00CB2087" w:rsidRPr="00222917">
        <w:rPr>
          <w:lang w:val="en-US"/>
        </w:rPr>
        <w:t>The introduction of the “</w:t>
      </w:r>
      <w:r w:rsidR="002D5BB0" w:rsidRPr="00222917">
        <w:rPr>
          <w:lang w:val="en-US"/>
        </w:rPr>
        <w:t>gender impact assessment system</w:t>
      </w:r>
      <w:r w:rsidR="00CB2087" w:rsidRPr="00222917">
        <w:rPr>
          <w:lang w:val="en-US"/>
        </w:rPr>
        <w:t>”</w:t>
      </w:r>
      <w:r w:rsidR="002D5BB0" w:rsidRPr="00222917">
        <w:rPr>
          <w:lang w:val="en-US"/>
        </w:rPr>
        <w:t xml:space="preserve"> was explained in the third repo</w:t>
      </w:r>
      <w:r w:rsidR="003D0168" w:rsidRPr="00222917">
        <w:rPr>
          <w:lang w:val="en-US"/>
        </w:rPr>
        <w:t>rt (CCPR/C/KOR/2005/3, para. </w:t>
      </w:r>
      <w:r w:rsidR="002D5BB0" w:rsidRPr="00222917">
        <w:rPr>
          <w:lang w:val="en-US"/>
        </w:rPr>
        <w:t>64). Following its pilot execution concerning 10</w:t>
      </w:r>
      <w:r w:rsidR="005F5775" w:rsidRPr="00222917">
        <w:rPr>
          <w:lang w:val="en-US"/>
        </w:rPr>
        <w:t> </w:t>
      </w:r>
      <w:r w:rsidR="002D5BB0" w:rsidRPr="00222917">
        <w:rPr>
          <w:lang w:val="en-US"/>
        </w:rPr>
        <w:t xml:space="preserve">projects at nine agencies including the Ministry of Health and Welfare in 2004, the number of participant organizations and tasks has been increasing each year. In 2009, gender impact assessment was carried out concerning 1,908 projects of 298 organizations including central administrative agencies, local governments, and provincial and municipal offices of education. Gender impact assessment analyzes gender discriminatory factors, thereby ensuring that gender-neutral policy is developed and implemented. From 2004 to the first half of 2010, 3,310 government employees in charge of gender impact assessment participated in the relevant training course. The findings of gender impact assessment led to notable progress such as use of female-friendly pavement materials in newly constructed cities and installation of </w:t>
      </w:r>
      <w:r w:rsidR="0020568A" w:rsidRPr="0020568A">
        <w:rPr>
          <w:lang w:val="en-US"/>
        </w:rPr>
        <w:t>closed-circuit television</w:t>
      </w:r>
      <w:r w:rsidR="002D5BB0" w:rsidRPr="00222917">
        <w:rPr>
          <w:lang w:val="en-US"/>
        </w:rPr>
        <w:t xml:space="preserve">s in dark places for the safety of women. Starting in 2011, the Government plans to conduct gender impact assessment of selective gender-discriminatory policies which require focused management due to low gender equality indices, so as to promote gender-equal government policies through a government-wide general and comprehensive analysis. </w:t>
      </w:r>
    </w:p>
    <w:p w:rsidR="002D5BB0" w:rsidRPr="00222917" w:rsidRDefault="00547908" w:rsidP="00547908">
      <w:pPr>
        <w:pStyle w:val="SingleTxtG"/>
        <w:rPr>
          <w:lang w:val="en-US"/>
        </w:rPr>
      </w:pPr>
      <w:r w:rsidRPr="00222917">
        <w:rPr>
          <w:lang w:val="en-US"/>
        </w:rPr>
        <w:t>61.</w:t>
      </w:r>
      <w:r w:rsidRPr="00222917">
        <w:rPr>
          <w:lang w:val="en-US"/>
        </w:rPr>
        <w:tab/>
      </w:r>
      <w:r w:rsidR="002D5BB0" w:rsidRPr="00222917">
        <w:rPr>
          <w:lang w:val="en-US"/>
        </w:rPr>
        <w:t xml:space="preserve">In October 2006, the gender responsive budgeting scheme was introduced through the amendment of the </w:t>
      </w:r>
      <w:r w:rsidR="002D5BB0" w:rsidRPr="00222917">
        <w:rPr>
          <w:iCs/>
          <w:lang w:val="en-US"/>
        </w:rPr>
        <w:t>National Finance Act</w:t>
      </w:r>
      <w:r w:rsidR="002D5BB0" w:rsidRPr="00222917">
        <w:rPr>
          <w:lang w:val="en-US"/>
        </w:rPr>
        <w:t xml:space="preserve">, by which a budget is programmed and executed to enhance gender equality based on the analysis of its impact on men and women. A gender responsive budgeting form and standards to select projects for gender responsive budgeting were formulated through a basic research in 2007, the work of the gender responsive budgeting joint task force comprising relevant agencies and experts in 2008, and a pilot program in 2009 </w:t>
      </w:r>
      <w:r w:rsidR="002D5BB0" w:rsidRPr="00222917">
        <w:rPr>
          <w:bCs/>
          <w:lang w:val="en-US"/>
        </w:rPr>
        <w:t>concerning</w:t>
      </w:r>
      <w:r w:rsidR="002D5BB0" w:rsidRPr="00222917">
        <w:rPr>
          <w:lang w:val="en-US"/>
        </w:rPr>
        <w:t xml:space="preserve"> 105 projects at 25 agencies. In October 2009, the first gender responsive budget was submitted to the National Assembly concerning 195</w:t>
      </w:r>
      <w:r w:rsidR="00CB2087" w:rsidRPr="00222917">
        <w:rPr>
          <w:lang w:val="en-US"/>
        </w:rPr>
        <w:t> </w:t>
      </w:r>
      <w:r w:rsidR="002D5BB0" w:rsidRPr="00222917">
        <w:rPr>
          <w:lang w:val="en-US"/>
        </w:rPr>
        <w:t xml:space="preserve">projects at 29 agencies in the fiscal year of 2010. In May 2010, the </w:t>
      </w:r>
      <w:r w:rsidR="002D5BB0" w:rsidRPr="00222917">
        <w:rPr>
          <w:iCs/>
          <w:lang w:val="en-US"/>
        </w:rPr>
        <w:t>National Finance Act</w:t>
      </w:r>
      <w:r w:rsidR="002D5BB0" w:rsidRPr="00222917">
        <w:rPr>
          <w:lang w:val="en-US"/>
        </w:rPr>
        <w:t xml:space="preserve"> was amended to expand the coverage of the scheme to governmental funds and to ensure expected effects on gender equality, analysis of gender-based benefits, and targets to be clarified in the budgeting form. The gender responsive budget for 2011, submitted to the National Assembly in October 2010, covered 245 projects at 34 agencies. </w:t>
      </w:r>
    </w:p>
    <w:p w:rsidR="002D5BB0" w:rsidRPr="00222917" w:rsidRDefault="00CB2087" w:rsidP="00A07D40">
      <w:pPr>
        <w:pStyle w:val="H23G"/>
        <w:rPr>
          <w:lang w:val="en-US"/>
        </w:rPr>
      </w:pPr>
      <w:r w:rsidRPr="00222917">
        <w:rPr>
          <w:lang w:val="en-US"/>
        </w:rPr>
        <w:tab/>
      </w:r>
      <w:r w:rsidRPr="00222917">
        <w:rPr>
          <w:lang w:val="en-US"/>
        </w:rPr>
        <w:tab/>
      </w:r>
      <w:r w:rsidR="002D5BB0" w:rsidRPr="00222917">
        <w:rPr>
          <w:lang w:val="en-US"/>
        </w:rPr>
        <w:t>Enhancement of Gender Equality Awareness</w:t>
      </w:r>
    </w:p>
    <w:p w:rsidR="002D5BB0" w:rsidRPr="00222917" w:rsidRDefault="00547908" w:rsidP="00547908">
      <w:pPr>
        <w:pStyle w:val="SingleTxtG"/>
        <w:rPr>
          <w:lang w:val="en-US"/>
        </w:rPr>
      </w:pPr>
      <w:r w:rsidRPr="00222917">
        <w:rPr>
          <w:lang w:val="en-US"/>
        </w:rPr>
        <w:t>62.</w:t>
      </w:r>
      <w:r w:rsidRPr="00222917">
        <w:rPr>
          <w:lang w:val="en-US"/>
        </w:rPr>
        <w:tab/>
      </w:r>
      <w:r w:rsidR="002D5BB0" w:rsidRPr="00222917">
        <w:rPr>
          <w:lang w:val="en-US"/>
        </w:rPr>
        <w:t>The establishment of the Korean Institute for Gender Equality Promotion and Education and its curricula were explained in the third report (CCPR/C/KOR/2005/3, para.</w:t>
      </w:r>
      <w:r w:rsidR="00CB2087" w:rsidRPr="00222917">
        <w:rPr>
          <w:lang w:val="en-US"/>
        </w:rPr>
        <w:t> </w:t>
      </w:r>
      <w:r w:rsidR="002D5BB0" w:rsidRPr="00222917">
        <w:rPr>
          <w:lang w:val="en-US"/>
        </w:rPr>
        <w:t xml:space="preserve">88). Gender equality awareness education was provided to about 196,000 government employees and citizens from 2003 to </w:t>
      </w:r>
      <w:r w:rsidR="002D5BB0" w:rsidRPr="00222917">
        <w:rPr>
          <w:bCs/>
          <w:lang w:val="en-US"/>
        </w:rPr>
        <w:t>2009</w:t>
      </w:r>
      <w:r w:rsidR="002D5BB0" w:rsidRPr="00222917">
        <w:rPr>
          <w:lang w:val="en-US"/>
        </w:rPr>
        <w:t>. The number of participants in cyber education launched in 2004 has been on a gradual rise, reaching</w:t>
      </w:r>
      <w:r w:rsidR="00CB2087" w:rsidRPr="00222917">
        <w:rPr>
          <w:lang w:val="en-US"/>
        </w:rPr>
        <w:t xml:space="preserve"> 11,000 as of the end of 2010.</w:t>
      </w:r>
    </w:p>
    <w:p w:rsidR="002D5BB0" w:rsidRPr="00222917" w:rsidRDefault="00547908" w:rsidP="00547908">
      <w:pPr>
        <w:pStyle w:val="SingleTxtG"/>
        <w:rPr>
          <w:lang w:val="en-US"/>
        </w:rPr>
      </w:pPr>
      <w:r w:rsidRPr="00222917">
        <w:rPr>
          <w:lang w:val="en-US"/>
        </w:rPr>
        <w:t>63.</w:t>
      </w:r>
      <w:r w:rsidRPr="00222917">
        <w:rPr>
          <w:lang w:val="en-US"/>
        </w:rPr>
        <w:tab/>
      </w:r>
      <w:r w:rsidR="002D5BB0" w:rsidRPr="00222917">
        <w:rPr>
          <w:lang w:val="en-US"/>
        </w:rPr>
        <w:t xml:space="preserve">Education to raise gender equality awareness of the general public has been provided since 2003, with the development of gender equality awareness education programs based on life cycle from infancy to childhood, adolescence, early adulthood, middle age, and old age. Gender equality awareness education based on life cycle, in conjunction with private educational institutes, employs various methods and plays an important role in raising the </w:t>
      </w:r>
      <w:r w:rsidR="002D5BB0" w:rsidRPr="00222917">
        <w:rPr>
          <w:bCs/>
          <w:lang w:val="en-US"/>
        </w:rPr>
        <w:t>awareness</w:t>
      </w:r>
      <w:r w:rsidR="002D5BB0" w:rsidRPr="00222917">
        <w:rPr>
          <w:lang w:val="en-US"/>
        </w:rPr>
        <w:t xml:space="preserve"> of gender equality of workers in related areas through various on-site education programs that are appropriate for each life cycle including workshops, instructor education, and school education programs taught by instructors. From 2008 to 2010, education courses were provided for more than 70,000</w:t>
      </w:r>
      <w:r w:rsidR="00CB2087" w:rsidRPr="00222917">
        <w:rPr>
          <w:lang w:val="en-US"/>
        </w:rPr>
        <w:t> </w:t>
      </w:r>
      <w:r w:rsidR="002D5BB0" w:rsidRPr="00222917">
        <w:rPr>
          <w:lang w:val="en-US"/>
        </w:rPr>
        <w:t>persons in areas where gender equality awareness is especially low, including schools in remote or island areas, correctional institutions, military units, and juvenile reformatories. The Government hosted international symposiums on gender issues, provided training courses for foreign government employees, and published teaching materials on gender equality.</w:t>
      </w:r>
      <w:r w:rsidR="006E1F63" w:rsidRPr="00222917">
        <w:rPr>
          <w:lang w:val="en-US"/>
        </w:rPr>
        <w:t xml:space="preserve"> </w:t>
      </w:r>
    </w:p>
    <w:p w:rsidR="002D5BB0" w:rsidRPr="00222917" w:rsidRDefault="00CB2087" w:rsidP="00CB2087">
      <w:pPr>
        <w:pStyle w:val="H23G"/>
        <w:rPr>
          <w:lang w:val="en-US"/>
        </w:rPr>
      </w:pPr>
      <w:r w:rsidRPr="00222917">
        <w:rPr>
          <w:lang w:val="en-US"/>
        </w:rPr>
        <w:tab/>
      </w:r>
      <w:r w:rsidRPr="00222917">
        <w:rPr>
          <w:lang w:val="en-US"/>
        </w:rPr>
        <w:tab/>
      </w:r>
      <w:r w:rsidR="002D5BB0" w:rsidRPr="00222917">
        <w:rPr>
          <w:lang w:val="en-US"/>
        </w:rPr>
        <w:t>Gender Equality Awareness Education based on Life Cycle</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000"/>
      </w:tblPr>
      <w:tblGrid>
        <w:gridCol w:w="1418"/>
        <w:gridCol w:w="851"/>
        <w:gridCol w:w="851"/>
        <w:gridCol w:w="850"/>
        <w:gridCol w:w="850"/>
        <w:gridCol w:w="850"/>
        <w:gridCol w:w="850"/>
        <w:gridCol w:w="850"/>
      </w:tblGrid>
      <w:tr w:rsidR="006E1F63" w:rsidRPr="00222917" w:rsidTr="00CB2087">
        <w:trPr>
          <w:trHeight w:val="240"/>
          <w:tblHeader/>
        </w:trPr>
        <w:tc>
          <w:tcPr>
            <w:tcW w:w="1418" w:type="dxa"/>
            <w:shd w:val="clear" w:color="auto" w:fill="auto"/>
            <w:vAlign w:val="bottom"/>
          </w:tcPr>
          <w:p w:rsidR="002D5BB0" w:rsidRPr="00222917" w:rsidRDefault="002D5BB0" w:rsidP="00A5088D">
            <w:pPr>
              <w:pStyle w:val="SingleTxtG"/>
              <w:suppressAutoHyphens w:val="0"/>
              <w:spacing w:before="80" w:after="80" w:line="200" w:lineRule="exact"/>
              <w:ind w:left="0" w:right="0"/>
              <w:jc w:val="left"/>
              <w:rPr>
                <w:i/>
                <w:sz w:val="16"/>
                <w:lang w:val="en-US"/>
              </w:rPr>
            </w:pPr>
            <w:r w:rsidRPr="00222917">
              <w:rPr>
                <w:bCs/>
                <w:i/>
                <w:sz w:val="16"/>
                <w:lang w:val="en-US"/>
              </w:rPr>
              <w:t>Year</w:t>
            </w:r>
          </w:p>
        </w:tc>
        <w:tc>
          <w:tcPr>
            <w:tcW w:w="851" w:type="dxa"/>
            <w:shd w:val="clear" w:color="auto" w:fill="auto"/>
            <w:vAlign w:val="bottom"/>
          </w:tcPr>
          <w:p w:rsidR="002D5BB0" w:rsidRPr="00222917" w:rsidRDefault="002D5BB0" w:rsidP="00A5088D">
            <w:pPr>
              <w:pStyle w:val="SingleTxtG"/>
              <w:suppressAutoHyphens w:val="0"/>
              <w:spacing w:before="80" w:after="80" w:line="200" w:lineRule="exact"/>
              <w:ind w:left="0" w:right="0"/>
              <w:jc w:val="right"/>
              <w:rPr>
                <w:i/>
                <w:sz w:val="16"/>
                <w:lang w:val="en-US"/>
              </w:rPr>
            </w:pPr>
            <w:r w:rsidRPr="00222917">
              <w:rPr>
                <w:bCs/>
                <w:i/>
                <w:sz w:val="16"/>
                <w:lang w:val="en-US"/>
              </w:rPr>
              <w:t>2004</w:t>
            </w:r>
          </w:p>
        </w:tc>
        <w:tc>
          <w:tcPr>
            <w:tcW w:w="851" w:type="dxa"/>
            <w:shd w:val="clear" w:color="auto" w:fill="auto"/>
            <w:vAlign w:val="bottom"/>
          </w:tcPr>
          <w:p w:rsidR="002D5BB0" w:rsidRPr="00222917" w:rsidRDefault="002D5BB0" w:rsidP="00A5088D">
            <w:pPr>
              <w:pStyle w:val="SingleTxtG"/>
              <w:suppressAutoHyphens w:val="0"/>
              <w:spacing w:before="80" w:after="80" w:line="200" w:lineRule="exact"/>
              <w:ind w:left="0" w:right="0"/>
              <w:jc w:val="right"/>
              <w:rPr>
                <w:i/>
                <w:sz w:val="16"/>
                <w:lang w:val="en-US"/>
              </w:rPr>
            </w:pPr>
            <w:r w:rsidRPr="00222917">
              <w:rPr>
                <w:bCs/>
                <w:i/>
                <w:sz w:val="16"/>
                <w:lang w:val="en-US"/>
              </w:rPr>
              <w:t>2005</w:t>
            </w:r>
          </w:p>
        </w:tc>
        <w:tc>
          <w:tcPr>
            <w:tcW w:w="851" w:type="dxa"/>
            <w:shd w:val="clear" w:color="auto" w:fill="auto"/>
            <w:vAlign w:val="bottom"/>
          </w:tcPr>
          <w:p w:rsidR="002D5BB0" w:rsidRPr="00222917" w:rsidRDefault="002D5BB0" w:rsidP="00A5088D">
            <w:pPr>
              <w:pStyle w:val="SingleTxtG"/>
              <w:suppressAutoHyphens w:val="0"/>
              <w:spacing w:before="80" w:after="80" w:line="200" w:lineRule="exact"/>
              <w:ind w:left="0" w:right="0"/>
              <w:jc w:val="right"/>
              <w:rPr>
                <w:i/>
                <w:sz w:val="16"/>
                <w:lang w:val="en-US"/>
              </w:rPr>
            </w:pPr>
            <w:r w:rsidRPr="00222917">
              <w:rPr>
                <w:bCs/>
                <w:i/>
                <w:sz w:val="16"/>
                <w:lang w:val="en-US"/>
              </w:rPr>
              <w:t>2006</w:t>
            </w:r>
          </w:p>
        </w:tc>
        <w:tc>
          <w:tcPr>
            <w:tcW w:w="851" w:type="dxa"/>
            <w:shd w:val="clear" w:color="auto" w:fill="auto"/>
            <w:vAlign w:val="bottom"/>
          </w:tcPr>
          <w:p w:rsidR="002D5BB0" w:rsidRPr="00222917" w:rsidRDefault="002D5BB0" w:rsidP="00A5088D">
            <w:pPr>
              <w:pStyle w:val="SingleTxtG"/>
              <w:suppressAutoHyphens w:val="0"/>
              <w:spacing w:before="80" w:after="80" w:line="200" w:lineRule="exact"/>
              <w:ind w:left="0" w:right="0"/>
              <w:jc w:val="right"/>
              <w:rPr>
                <w:i/>
                <w:sz w:val="16"/>
                <w:lang w:val="en-US"/>
              </w:rPr>
            </w:pPr>
            <w:r w:rsidRPr="00222917">
              <w:rPr>
                <w:bCs/>
                <w:i/>
                <w:sz w:val="16"/>
                <w:lang w:val="en-US"/>
              </w:rPr>
              <w:t>2007</w:t>
            </w:r>
          </w:p>
        </w:tc>
        <w:tc>
          <w:tcPr>
            <w:tcW w:w="851" w:type="dxa"/>
            <w:shd w:val="clear" w:color="auto" w:fill="auto"/>
            <w:vAlign w:val="bottom"/>
          </w:tcPr>
          <w:p w:rsidR="002D5BB0" w:rsidRPr="00222917" w:rsidRDefault="002D5BB0" w:rsidP="00A5088D">
            <w:pPr>
              <w:pStyle w:val="SingleTxtG"/>
              <w:suppressAutoHyphens w:val="0"/>
              <w:spacing w:before="80" w:after="80" w:line="200" w:lineRule="exact"/>
              <w:ind w:left="0" w:right="0"/>
              <w:jc w:val="right"/>
              <w:rPr>
                <w:i/>
                <w:sz w:val="16"/>
                <w:lang w:val="en-US"/>
              </w:rPr>
            </w:pPr>
            <w:r w:rsidRPr="00222917">
              <w:rPr>
                <w:bCs/>
                <w:i/>
                <w:sz w:val="16"/>
                <w:lang w:val="en-US"/>
              </w:rPr>
              <w:t>2008</w:t>
            </w:r>
          </w:p>
        </w:tc>
        <w:tc>
          <w:tcPr>
            <w:tcW w:w="851" w:type="dxa"/>
            <w:shd w:val="clear" w:color="auto" w:fill="auto"/>
            <w:vAlign w:val="bottom"/>
          </w:tcPr>
          <w:p w:rsidR="002D5BB0" w:rsidRPr="00222917" w:rsidRDefault="002D5BB0" w:rsidP="00A5088D">
            <w:pPr>
              <w:pStyle w:val="SingleTxtG"/>
              <w:suppressAutoHyphens w:val="0"/>
              <w:spacing w:before="80" w:after="80" w:line="200" w:lineRule="exact"/>
              <w:ind w:left="0" w:right="0"/>
              <w:jc w:val="right"/>
              <w:rPr>
                <w:i/>
                <w:sz w:val="16"/>
                <w:lang w:val="en-US"/>
              </w:rPr>
            </w:pPr>
            <w:r w:rsidRPr="00222917">
              <w:rPr>
                <w:bCs/>
                <w:i/>
                <w:sz w:val="16"/>
                <w:lang w:val="en-US"/>
              </w:rPr>
              <w:t>2009</w:t>
            </w:r>
          </w:p>
        </w:tc>
        <w:tc>
          <w:tcPr>
            <w:tcW w:w="851" w:type="dxa"/>
            <w:shd w:val="clear" w:color="auto" w:fill="auto"/>
            <w:vAlign w:val="bottom"/>
          </w:tcPr>
          <w:p w:rsidR="002D5BB0" w:rsidRPr="00222917" w:rsidRDefault="002D5BB0" w:rsidP="00A5088D">
            <w:pPr>
              <w:pStyle w:val="SingleTxtG"/>
              <w:suppressAutoHyphens w:val="0"/>
              <w:spacing w:before="80" w:after="80" w:line="200" w:lineRule="exact"/>
              <w:ind w:left="0" w:right="0"/>
              <w:jc w:val="right"/>
              <w:rPr>
                <w:i/>
                <w:sz w:val="16"/>
                <w:lang w:val="en-US"/>
              </w:rPr>
            </w:pPr>
            <w:r w:rsidRPr="00222917">
              <w:rPr>
                <w:i/>
                <w:sz w:val="16"/>
                <w:lang w:val="en-US"/>
              </w:rPr>
              <w:t>2010</w:t>
            </w:r>
          </w:p>
        </w:tc>
      </w:tr>
      <w:tr w:rsidR="006E1F63" w:rsidRPr="00222917" w:rsidTr="00CB2087">
        <w:trPr>
          <w:trHeight w:val="240"/>
        </w:trPr>
        <w:tc>
          <w:tcPr>
            <w:tcW w:w="1418" w:type="dxa"/>
            <w:shd w:val="clear" w:color="auto" w:fill="auto"/>
          </w:tcPr>
          <w:p w:rsidR="002D5BB0" w:rsidRPr="00222917" w:rsidRDefault="002D5BB0" w:rsidP="00A5088D">
            <w:pPr>
              <w:pStyle w:val="SingleTxtG"/>
              <w:suppressAutoHyphens w:val="0"/>
              <w:spacing w:before="40" w:after="40" w:line="220" w:lineRule="exact"/>
              <w:ind w:left="0" w:right="0"/>
              <w:jc w:val="left"/>
              <w:rPr>
                <w:sz w:val="18"/>
                <w:lang w:val="en-US"/>
              </w:rPr>
            </w:pPr>
            <w:r w:rsidRPr="00222917">
              <w:rPr>
                <w:sz w:val="18"/>
                <w:lang w:val="en-US"/>
              </w:rPr>
              <w:t>Number of persons</w:t>
            </w:r>
          </w:p>
        </w:tc>
        <w:tc>
          <w:tcPr>
            <w:tcW w:w="851"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60</w:t>
            </w:r>
          </w:p>
        </w:tc>
        <w:tc>
          <w:tcPr>
            <w:tcW w:w="851"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107</w:t>
            </w:r>
          </w:p>
        </w:tc>
        <w:tc>
          <w:tcPr>
            <w:tcW w:w="851"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287</w:t>
            </w:r>
          </w:p>
        </w:tc>
        <w:tc>
          <w:tcPr>
            <w:tcW w:w="851"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371</w:t>
            </w:r>
          </w:p>
        </w:tc>
        <w:tc>
          <w:tcPr>
            <w:tcW w:w="851"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2,423</w:t>
            </w:r>
          </w:p>
        </w:tc>
        <w:tc>
          <w:tcPr>
            <w:tcW w:w="851"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1,561</w:t>
            </w:r>
          </w:p>
        </w:tc>
        <w:tc>
          <w:tcPr>
            <w:tcW w:w="851" w:type="dxa"/>
            <w:shd w:val="clear" w:color="auto" w:fill="auto"/>
            <w:vAlign w:val="bottom"/>
          </w:tcPr>
          <w:p w:rsidR="002D5BB0" w:rsidRPr="00222917" w:rsidRDefault="002D5BB0" w:rsidP="00A5088D">
            <w:pPr>
              <w:pStyle w:val="SingleTxtG"/>
              <w:suppressAutoHyphens w:val="0"/>
              <w:spacing w:before="40" w:after="40" w:line="220" w:lineRule="exact"/>
              <w:ind w:left="0" w:right="0"/>
              <w:jc w:val="right"/>
              <w:rPr>
                <w:sz w:val="18"/>
                <w:lang w:val="en-US"/>
              </w:rPr>
            </w:pPr>
            <w:r w:rsidRPr="00222917">
              <w:rPr>
                <w:sz w:val="18"/>
                <w:lang w:val="en-US"/>
              </w:rPr>
              <w:t>2,482</w:t>
            </w:r>
          </w:p>
        </w:tc>
      </w:tr>
    </w:tbl>
    <w:p w:rsidR="002D5BB0" w:rsidRPr="00222917" w:rsidRDefault="00547908" w:rsidP="00547908">
      <w:pPr>
        <w:pStyle w:val="SingleTxtG"/>
        <w:spacing w:before="240"/>
        <w:rPr>
          <w:lang w:val="en-US"/>
        </w:rPr>
      </w:pPr>
      <w:r w:rsidRPr="00222917">
        <w:rPr>
          <w:lang w:val="en-US"/>
        </w:rPr>
        <w:t>64.</w:t>
      </w:r>
      <w:r w:rsidRPr="00222917">
        <w:rPr>
          <w:lang w:val="en-US"/>
        </w:rPr>
        <w:tab/>
      </w:r>
      <w:r w:rsidR="002D5BB0" w:rsidRPr="00222917">
        <w:rPr>
          <w:lang w:val="en-US"/>
        </w:rPr>
        <w:t xml:space="preserve">Article 28 of the </w:t>
      </w:r>
      <w:r w:rsidR="002D5BB0" w:rsidRPr="00222917">
        <w:rPr>
          <w:iCs/>
          <w:lang w:val="en-US"/>
        </w:rPr>
        <w:t>Framework Act on Women’s Development</w:t>
      </w:r>
      <w:r w:rsidR="001A2BB2" w:rsidRPr="00222917">
        <w:rPr>
          <w:lang w:val="en-US"/>
        </w:rPr>
        <w:t xml:space="preserve"> and </w:t>
      </w:r>
      <w:r w:rsidR="00681EC0" w:rsidRPr="00222917">
        <w:rPr>
          <w:lang w:val="en-US"/>
        </w:rPr>
        <w:t>a</w:t>
      </w:r>
      <w:r w:rsidR="001A2BB2" w:rsidRPr="00222917">
        <w:rPr>
          <w:lang w:val="en-US"/>
        </w:rPr>
        <w:t>rticle </w:t>
      </w:r>
      <w:r w:rsidR="002D5BB0" w:rsidRPr="00222917">
        <w:rPr>
          <w:lang w:val="en-US"/>
        </w:rPr>
        <w:t xml:space="preserve">100 of the </w:t>
      </w:r>
      <w:r w:rsidR="002D5BB0" w:rsidRPr="00222917">
        <w:rPr>
          <w:iCs/>
          <w:lang w:val="en-US"/>
        </w:rPr>
        <w:t>Broadcasting Act</w:t>
      </w:r>
      <w:r w:rsidR="002D5BB0" w:rsidRPr="00222917">
        <w:rPr>
          <w:lang w:val="en-US"/>
        </w:rPr>
        <w:t xml:space="preserve"> provide the legal ground to the efforts to rectify gender-discriminatory contents of the mass media and to use the mass media to raise the awareness of gender equality. Since 2001, cases of gender discrimination and equality in the mass media, including broadcast programs, have been monitored. “Guidelines for broadcasting review concerning gender equality” </w:t>
      </w:r>
      <w:r w:rsidR="002D5BB0" w:rsidRPr="00222917">
        <w:rPr>
          <w:bCs/>
          <w:lang w:val="en-US"/>
        </w:rPr>
        <w:t>were</w:t>
      </w:r>
      <w:r w:rsidR="002D5BB0" w:rsidRPr="00222917">
        <w:rPr>
          <w:lang w:val="en-US"/>
        </w:rPr>
        <w:t xml:space="preserve"> formulated in 2008, a booklet on cases of gender equal broadcasting programs was published in 2009, and the 11</w:t>
      </w:r>
      <w:r w:rsidR="002D5BB0" w:rsidRPr="00222917">
        <w:rPr>
          <w:vertAlign w:val="superscript"/>
          <w:lang w:val="en-US"/>
        </w:rPr>
        <w:t>th</w:t>
      </w:r>
      <w:r w:rsidR="001A2BB2" w:rsidRPr="00222917">
        <w:rPr>
          <w:lang w:val="en-US"/>
        </w:rPr>
        <w:t xml:space="preserve"> </w:t>
      </w:r>
      <w:r w:rsidR="002D5BB0" w:rsidRPr="00222917">
        <w:rPr>
          <w:lang w:val="en-US"/>
        </w:rPr>
        <w:t xml:space="preserve">gender equality exemplary education and gender-equal broadcasting program prizes were awarded. In addition, campaigns to promote gender-equal culture concerning women’s burden related to traditional holidays and child-rearing are conducted in cooperation with women’s organizations. </w:t>
      </w:r>
    </w:p>
    <w:p w:rsidR="002D5BB0" w:rsidRPr="00222917" w:rsidRDefault="007B4895" w:rsidP="00A07D40">
      <w:pPr>
        <w:pStyle w:val="H23G"/>
        <w:rPr>
          <w:lang w:val="en-US"/>
        </w:rPr>
      </w:pPr>
      <w:r w:rsidRPr="00222917">
        <w:rPr>
          <w:lang w:val="en-US"/>
        </w:rPr>
        <w:tab/>
      </w:r>
      <w:r w:rsidRPr="00222917">
        <w:rPr>
          <w:lang w:val="en-US"/>
        </w:rPr>
        <w:tab/>
      </w:r>
      <w:r w:rsidR="002D5BB0" w:rsidRPr="00222917">
        <w:rPr>
          <w:lang w:val="en-US"/>
        </w:rPr>
        <w:t>Pursuit of Comprehensive Plans for Female Workforce Development</w:t>
      </w:r>
    </w:p>
    <w:p w:rsidR="002D5BB0" w:rsidRPr="00222917" w:rsidRDefault="00547908" w:rsidP="00547908">
      <w:pPr>
        <w:pStyle w:val="SingleTxtG"/>
        <w:rPr>
          <w:lang w:val="en-US"/>
        </w:rPr>
      </w:pPr>
      <w:r w:rsidRPr="00222917">
        <w:rPr>
          <w:lang w:val="en-US"/>
        </w:rPr>
        <w:t>65.</w:t>
      </w:r>
      <w:r w:rsidRPr="00222917">
        <w:rPr>
          <w:lang w:val="en-US"/>
        </w:rPr>
        <w:tab/>
      </w:r>
      <w:r w:rsidR="002D5BB0" w:rsidRPr="00222917">
        <w:rPr>
          <w:lang w:val="en-US"/>
        </w:rPr>
        <w:t xml:space="preserve">At its consideration of the third report, the Committee remained concerned at the high number of women employed by small </w:t>
      </w:r>
      <w:r w:rsidR="002D5BB0" w:rsidRPr="00222917">
        <w:rPr>
          <w:bCs/>
          <w:lang w:val="en-US"/>
        </w:rPr>
        <w:t>enterprises</w:t>
      </w:r>
      <w:r w:rsidR="002D5BB0" w:rsidRPr="00222917">
        <w:rPr>
          <w:lang w:val="en-US"/>
        </w:rPr>
        <w:t xml:space="preserve"> who are categorized as non-regular workers (CCPR/C/KOR/CO/3, pa</w:t>
      </w:r>
      <w:r w:rsidR="007B4895" w:rsidRPr="00222917">
        <w:rPr>
          <w:lang w:val="en-US"/>
        </w:rPr>
        <w:t>ra. </w:t>
      </w:r>
      <w:r w:rsidR="002D5BB0" w:rsidRPr="00222917">
        <w:rPr>
          <w:lang w:val="en-US"/>
        </w:rPr>
        <w:t xml:space="preserve">10). </w:t>
      </w:r>
    </w:p>
    <w:p w:rsidR="002D5BB0" w:rsidRPr="00222917" w:rsidRDefault="00547908" w:rsidP="00547908">
      <w:pPr>
        <w:pStyle w:val="SingleTxtG"/>
        <w:rPr>
          <w:lang w:val="en-US"/>
        </w:rPr>
      </w:pPr>
      <w:r w:rsidRPr="00222917">
        <w:rPr>
          <w:lang w:val="en-US"/>
        </w:rPr>
        <w:t>66.</w:t>
      </w:r>
      <w:r w:rsidRPr="00222917">
        <w:rPr>
          <w:lang w:val="en-US"/>
        </w:rPr>
        <w:tab/>
      </w:r>
      <w:r w:rsidR="002D5BB0" w:rsidRPr="00222917">
        <w:rPr>
          <w:lang w:val="en-US"/>
        </w:rPr>
        <w:t xml:space="preserve">The employment conditions for women deteriorated drastically in 2009 following the global financial crisis in 2008. But gradual </w:t>
      </w:r>
      <w:r w:rsidR="002D5BB0" w:rsidRPr="00222917">
        <w:rPr>
          <w:bCs/>
          <w:lang w:val="en-US"/>
        </w:rPr>
        <w:t>improvement</w:t>
      </w:r>
      <w:r w:rsidR="002D5BB0" w:rsidRPr="00222917">
        <w:rPr>
          <w:lang w:val="en-US"/>
        </w:rPr>
        <w:t xml:space="preserve"> appeared in 2010. The labor force participation rate of Korean women (aged 15 to 64) dropped from 54.7% in 2008 to 53.9% in 2009, but rebounded to 54.5% in 2010. The ratio of female non-regular workers went up from 40.8% in 2008 to 44.1% in 2009, but decreased to 41.8% in 2010. This improvement is attributed to employment support</w:t>
      </w:r>
      <w:r w:rsidR="00A07D40" w:rsidRPr="00222917">
        <w:rPr>
          <w:lang w:val="en-US"/>
        </w:rPr>
        <w:t xml:space="preserve"> specialized for women such as “</w:t>
      </w:r>
      <w:r w:rsidR="002D5BB0" w:rsidRPr="00222917">
        <w:rPr>
          <w:lang w:val="en-US"/>
        </w:rPr>
        <w:t>centers for women’s re-employment,</w:t>
      </w:r>
      <w:r w:rsidR="00A07D40" w:rsidRPr="00222917">
        <w:rPr>
          <w:lang w:val="en-US"/>
        </w:rPr>
        <w:t>”</w:t>
      </w:r>
      <w:r w:rsidR="002D5BB0" w:rsidRPr="00222917">
        <w:rPr>
          <w:lang w:val="en-US"/>
        </w:rPr>
        <w:t xml:space="preserve"> which opened in 2009 to enhance women’s re-employment opportunities during an economic crisis. The ‘centers for women’s re-employment’ and ‘regional centers for new job support’ linked 169,499 women to employers from 2009 to 2010. However, it does not necessarily mean that employment conditions for women have critically improved or that obstacles to the mobilization of female work forces have been effectively tackled. Concerted and constant efforts are required to promote women’s economic activities and improve their employment conditions.</w:t>
      </w:r>
      <w:r w:rsidR="00120D8B" w:rsidRPr="00222917">
        <w:rPr>
          <w:lang w:val="en-US"/>
        </w:rPr>
        <w:t xml:space="preserve"> </w:t>
      </w:r>
    </w:p>
    <w:p w:rsidR="002D5BB0" w:rsidRPr="00222917" w:rsidRDefault="00547908" w:rsidP="00547908">
      <w:pPr>
        <w:pStyle w:val="SingleTxtG"/>
        <w:rPr>
          <w:lang w:val="en-US"/>
        </w:rPr>
      </w:pPr>
      <w:r w:rsidRPr="00222917">
        <w:rPr>
          <w:lang w:val="en-US"/>
        </w:rPr>
        <w:t>67.</w:t>
      </w:r>
      <w:r w:rsidRPr="00222917">
        <w:rPr>
          <w:lang w:val="en-US"/>
        </w:rPr>
        <w:tab/>
      </w:r>
      <w:r w:rsidR="002D5BB0" w:rsidRPr="00222917">
        <w:rPr>
          <w:lang w:val="en-US"/>
        </w:rPr>
        <w:t xml:space="preserve">The Government fully recognizes that the low labor force participation rate and high non-regular worker rate of women are primarily a result of women’s career interruption, which is mainly due to childbirth and rearing. The labor force participation rate of women in their 20’s is slightly higher than that of </w:t>
      </w:r>
      <w:r w:rsidR="002D5BB0" w:rsidRPr="00222917">
        <w:rPr>
          <w:bCs/>
          <w:lang w:val="en-US"/>
        </w:rPr>
        <w:t>men</w:t>
      </w:r>
      <w:r w:rsidR="002D5BB0" w:rsidRPr="00222917">
        <w:rPr>
          <w:lang w:val="en-US"/>
        </w:rPr>
        <w:t xml:space="preserve">, but it is more than 35% lower in their 30’s, the period of childbirth and rearing. The Government places high priority on supporting re-employment of career-interrupted women and preventing interruption of women’s economic activities. In late 2009, the Government formulated the Basic Plan on the Promotion of Economic Activities of Women with Career Interruption from 2009 to 2014. The plan covers four areas and sets forth 13 tasks and 31 sub-tasks, with the participation of 8 central administrative agencies and local governments. The four areas include strengthening of employment support service for career-interrupted women, establishment of link between family care and employment, creation of a corporate environment ensuring a reasonable balance between work and family, and building of a social foundation to resolve career interruption. In order to enable workers to balance work and family, the Government expanded a short-term regular worker model (flexible work program). Pursuant to the </w:t>
      </w:r>
      <w:r w:rsidR="002D5BB0" w:rsidRPr="00222917">
        <w:rPr>
          <w:iCs/>
          <w:lang w:val="en-US"/>
        </w:rPr>
        <w:t>Act on the Promotion of Creation of Family-Friendly Social Environment</w:t>
      </w:r>
      <w:r w:rsidR="002D5BB0" w:rsidRPr="00222917">
        <w:rPr>
          <w:lang w:val="en-US"/>
        </w:rPr>
        <w:t>, the Government also certifies as family-friendly companies exemplary enterprises and public institutions that implement maternity support system and flexible work programs to help workers balance work and family life. A total of 65 enterprises and institutions attained certification from 2008 to 2010. The Government has also strived to create a family-friendly social environment through family-friendly workplace education and consulting services. Relevant government ministries work together for better protection of maternity and paternity. For example, childcare leave allowance changed from a fixed amount of KRW 500,000 per month to a fixed rate of 40% of wages (minimum KRW 500,000 and maximum KRW 1 million). The Government has also taken various measures for maternity and paternity protection at companies such as reduced work hours during the period of childcare at request, work hour saving for care leave scheme, divided use of maternity leave before and after childbirth, increased health insurance premium reduction during parental leave, and paid leave for childbirth for fathers. It also expanded subscription to employment insurance by non-regular workers by linking the network systems of national tax and social insurance. It is also with the cooperation of concerned government ministries for protecting non-regular female workers that work hours of fixed-term employees are guaranteed and that incentives to companies with excellent performance in terms of continued employment of non-regular female workers through their pregnancy and childbirth are offered. Despite such policies, the rate of paternity leave use is still only 1.4%, and corporate culture for balance between work and family needs to be promoted. Continued efforts toward consistent improvement of institutions and workplace environment and awareness</w:t>
      </w:r>
      <w:r w:rsidR="0020568A">
        <w:rPr>
          <w:lang w:val="en-US"/>
        </w:rPr>
        <w:t>-</w:t>
      </w:r>
      <w:r w:rsidR="002D5BB0" w:rsidRPr="00222917">
        <w:rPr>
          <w:lang w:val="en-US"/>
        </w:rPr>
        <w:t>raising are expected to gradually boost the impact of such policy.</w:t>
      </w:r>
      <w:r w:rsidR="006E1F63" w:rsidRPr="00222917">
        <w:rPr>
          <w:lang w:val="en-US"/>
        </w:rPr>
        <w:t xml:space="preserve"> </w:t>
      </w:r>
    </w:p>
    <w:p w:rsidR="002D5BB0" w:rsidRPr="00222917" w:rsidRDefault="00547908" w:rsidP="00547908">
      <w:pPr>
        <w:pStyle w:val="SingleTxtG"/>
        <w:rPr>
          <w:lang w:val="en-US"/>
        </w:rPr>
      </w:pPr>
      <w:r w:rsidRPr="00222917">
        <w:rPr>
          <w:lang w:val="en-US"/>
        </w:rPr>
        <w:t>68.</w:t>
      </w:r>
      <w:r w:rsidRPr="00222917">
        <w:rPr>
          <w:lang w:val="en-US"/>
        </w:rPr>
        <w:tab/>
      </w:r>
      <w:r w:rsidR="002D5BB0" w:rsidRPr="00222917">
        <w:rPr>
          <w:lang w:val="en-US"/>
        </w:rPr>
        <w:t xml:space="preserve">The Government established the second five-year National Plan for Women’s Human Resource Development (2011~2015) in December 2010. Along with the Basic Plan on the Promotion of Economic Activities </w:t>
      </w:r>
      <w:r w:rsidR="002D5BB0" w:rsidRPr="00222917">
        <w:rPr>
          <w:bCs/>
          <w:lang w:val="en-US"/>
        </w:rPr>
        <w:t>of</w:t>
      </w:r>
      <w:r w:rsidR="002D5BB0" w:rsidRPr="00222917">
        <w:rPr>
          <w:lang w:val="en-US"/>
        </w:rPr>
        <w:t xml:space="preserve"> Women with Career Interruption (2009~2014), in effect since its formulation in late 2009, the plan represents comprehensive government-wide measures for women’s career development and job creation, prevention of career interruption through establishment of balance between work and family, and reemployment of career-interrupted women. The </w:t>
      </w:r>
      <w:r w:rsidR="002D5BB0" w:rsidRPr="00222917">
        <w:rPr>
          <w:bCs/>
          <w:lang w:val="en-US"/>
        </w:rPr>
        <w:t>Women's</w:t>
      </w:r>
      <w:r w:rsidR="002D5BB0" w:rsidRPr="00222917">
        <w:rPr>
          <w:lang w:val="en-US"/>
        </w:rPr>
        <w:t xml:space="preserve"> Policy Coordination Committee presided over by the Prime Minister conducts an annual review of those plans to improve their effectiveness.</w:t>
      </w:r>
      <w:r w:rsidR="00120D8B" w:rsidRPr="00222917">
        <w:rPr>
          <w:lang w:val="en-US"/>
        </w:rPr>
        <w:t xml:space="preserve"> </w:t>
      </w:r>
    </w:p>
    <w:p w:rsidR="002D5BB0" w:rsidRPr="00222917" w:rsidRDefault="007B4895" w:rsidP="00A07D40">
      <w:pPr>
        <w:pStyle w:val="H23G"/>
        <w:rPr>
          <w:lang w:val="en-US"/>
        </w:rPr>
      </w:pPr>
      <w:r w:rsidRPr="00222917">
        <w:rPr>
          <w:lang w:val="en-US"/>
        </w:rPr>
        <w:tab/>
      </w:r>
      <w:r w:rsidRPr="00222917">
        <w:rPr>
          <w:lang w:val="en-US"/>
        </w:rPr>
        <w:tab/>
      </w:r>
      <w:r w:rsidR="002D5BB0" w:rsidRPr="00222917">
        <w:rPr>
          <w:lang w:val="en-US"/>
        </w:rPr>
        <w:t>Punishment of Sexual Crimes</w:t>
      </w:r>
    </w:p>
    <w:p w:rsidR="002D5BB0" w:rsidRPr="00222917" w:rsidRDefault="00547908" w:rsidP="00547908">
      <w:pPr>
        <w:pStyle w:val="SingleTxtG"/>
        <w:rPr>
          <w:lang w:val="en-US"/>
        </w:rPr>
      </w:pPr>
      <w:r w:rsidRPr="00222917">
        <w:rPr>
          <w:lang w:val="en-US"/>
        </w:rPr>
        <w:t>69.</w:t>
      </w:r>
      <w:r w:rsidRPr="00222917">
        <w:rPr>
          <w:lang w:val="en-US"/>
        </w:rPr>
        <w:tab/>
      </w:r>
      <w:r w:rsidR="002D5BB0" w:rsidRPr="00222917">
        <w:rPr>
          <w:lang w:val="en-US"/>
        </w:rPr>
        <w:t xml:space="preserve">The amendment of the </w:t>
      </w:r>
      <w:r w:rsidR="002D5BB0" w:rsidRPr="00222917">
        <w:rPr>
          <w:iCs/>
          <w:lang w:val="en-US"/>
        </w:rPr>
        <w:t xml:space="preserve">Act on the Punishment of Sexual Crimes and Protection of Victims Thereof </w:t>
      </w:r>
      <w:r w:rsidR="002D5BB0" w:rsidRPr="00222917">
        <w:rPr>
          <w:lang w:val="en-US"/>
        </w:rPr>
        <w:t>on 27 October 2006 features pun</w:t>
      </w:r>
      <w:r w:rsidR="001A2BB2" w:rsidRPr="00222917">
        <w:rPr>
          <w:lang w:val="en-US"/>
        </w:rPr>
        <w:t>ishment for quasi-rape (</w:t>
      </w:r>
      <w:r w:rsidR="00681EC0" w:rsidRPr="00222917">
        <w:rPr>
          <w:lang w:val="en-US"/>
        </w:rPr>
        <w:t>a</w:t>
      </w:r>
      <w:r w:rsidR="001A2BB2" w:rsidRPr="00222917">
        <w:rPr>
          <w:lang w:val="en-US"/>
        </w:rPr>
        <w:t>rticle </w:t>
      </w:r>
      <w:r w:rsidR="002D5BB0" w:rsidRPr="00222917">
        <w:rPr>
          <w:lang w:val="en-US"/>
        </w:rPr>
        <w:t>8-2</w:t>
      </w:r>
      <w:r w:rsidR="00681EC0" w:rsidRPr="00222917">
        <w:rPr>
          <w:lang w:val="en-US"/>
        </w:rPr>
        <w:t xml:space="preserve"> </w:t>
      </w:r>
      <w:r w:rsidR="002D5BB0" w:rsidRPr="00222917">
        <w:rPr>
          <w:lang w:val="en-US"/>
        </w:rPr>
        <w:t>(2)), heavier punishment for sexual violence by the heads and workers of protection facilities for disabled persons against their charges, more stringent statutory punishment for crimes of obscenity v</w:t>
      </w:r>
      <w:r w:rsidR="001A2BB2" w:rsidRPr="00222917">
        <w:rPr>
          <w:lang w:val="en-US"/>
        </w:rPr>
        <w:t>ia communication media (</w:t>
      </w:r>
      <w:r w:rsidR="00681EC0" w:rsidRPr="00222917">
        <w:rPr>
          <w:lang w:val="en-US"/>
        </w:rPr>
        <w:t>a</w:t>
      </w:r>
      <w:r w:rsidR="001A2BB2" w:rsidRPr="00222917">
        <w:rPr>
          <w:lang w:val="en-US"/>
        </w:rPr>
        <w:t>rticle </w:t>
      </w:r>
      <w:r w:rsidR="002D5BB0" w:rsidRPr="00222917">
        <w:rPr>
          <w:lang w:val="en-US"/>
        </w:rPr>
        <w:t>11</w:t>
      </w:r>
      <w:r w:rsidR="00681EC0" w:rsidRPr="00222917">
        <w:rPr>
          <w:lang w:val="en-US"/>
        </w:rPr>
        <w:t xml:space="preserve"> </w:t>
      </w:r>
      <w:r w:rsidR="002D5BB0" w:rsidRPr="00222917">
        <w:rPr>
          <w:lang w:val="en-US"/>
        </w:rPr>
        <w:t>(3)), reduction of the scope of crimes subject to pr</w:t>
      </w:r>
      <w:r w:rsidR="001A2BB2" w:rsidRPr="00222917">
        <w:rPr>
          <w:lang w:val="en-US"/>
        </w:rPr>
        <w:t>osecution on complaint (</w:t>
      </w:r>
      <w:r w:rsidR="00681EC0" w:rsidRPr="00222917">
        <w:rPr>
          <w:lang w:val="en-US"/>
        </w:rPr>
        <w:t>a</w:t>
      </w:r>
      <w:r w:rsidR="001A2BB2" w:rsidRPr="00222917">
        <w:rPr>
          <w:lang w:val="en-US"/>
        </w:rPr>
        <w:t>rticle </w:t>
      </w:r>
      <w:r w:rsidR="002D5BB0" w:rsidRPr="00222917">
        <w:rPr>
          <w:lang w:val="en-US"/>
        </w:rPr>
        <w:t>14), prohibition of disclosure of personal information of vic</w:t>
      </w:r>
      <w:r w:rsidR="001A2BB2" w:rsidRPr="00222917">
        <w:rPr>
          <w:lang w:val="en-US"/>
        </w:rPr>
        <w:t>tims of sexual crimes (</w:t>
      </w:r>
      <w:r w:rsidR="00681EC0" w:rsidRPr="00222917">
        <w:rPr>
          <w:lang w:val="en-US"/>
        </w:rPr>
        <w:t>a</w:t>
      </w:r>
      <w:r w:rsidR="001A2BB2" w:rsidRPr="00222917">
        <w:rPr>
          <w:lang w:val="en-US"/>
        </w:rPr>
        <w:t>rticles </w:t>
      </w:r>
      <w:r w:rsidR="002D5BB0" w:rsidRPr="00222917">
        <w:rPr>
          <w:lang w:val="en-US"/>
        </w:rPr>
        <w:t>21</w:t>
      </w:r>
      <w:r w:rsidR="00681EC0" w:rsidRPr="00222917">
        <w:rPr>
          <w:lang w:val="en-US"/>
        </w:rPr>
        <w:t xml:space="preserve"> </w:t>
      </w:r>
      <w:r w:rsidR="002D5BB0" w:rsidRPr="00222917">
        <w:rPr>
          <w:lang w:val="en-US"/>
        </w:rPr>
        <w:t>(3), 35</w:t>
      </w:r>
      <w:r w:rsidR="00681EC0" w:rsidRPr="00222917">
        <w:rPr>
          <w:lang w:val="en-US"/>
        </w:rPr>
        <w:t xml:space="preserve"> </w:t>
      </w:r>
      <w:r w:rsidR="002D5BB0" w:rsidRPr="00222917">
        <w:rPr>
          <w:lang w:val="en-US"/>
        </w:rPr>
        <w:t>(1)</w:t>
      </w:r>
      <w:r w:rsidR="00681EC0" w:rsidRPr="00222917">
        <w:rPr>
          <w:lang w:val="en-US"/>
        </w:rPr>
        <w:t xml:space="preserve"> </w:t>
      </w:r>
      <w:r w:rsidR="002D5BB0" w:rsidRPr="00222917">
        <w:rPr>
          <w:lang w:val="en-US"/>
        </w:rPr>
        <w:t>3 and 35</w:t>
      </w:r>
      <w:r w:rsidR="00681EC0" w:rsidRPr="00222917">
        <w:rPr>
          <w:lang w:val="en-US"/>
        </w:rPr>
        <w:t xml:space="preserve"> </w:t>
      </w:r>
      <w:r w:rsidR="002D5BB0" w:rsidRPr="00222917">
        <w:rPr>
          <w:lang w:val="en-US"/>
        </w:rPr>
        <w:t>(1)</w:t>
      </w:r>
      <w:r w:rsidR="00681EC0" w:rsidRPr="00222917">
        <w:rPr>
          <w:lang w:val="en-US"/>
        </w:rPr>
        <w:t xml:space="preserve"> </w:t>
      </w:r>
      <w:r w:rsidR="002D5BB0" w:rsidRPr="00222917">
        <w:rPr>
          <w:lang w:val="en-US"/>
        </w:rPr>
        <w:t>2), designation of investigation officers dedicated t</w:t>
      </w:r>
      <w:r w:rsidR="001A2BB2" w:rsidRPr="00222917">
        <w:rPr>
          <w:lang w:val="en-US"/>
        </w:rPr>
        <w:t>o sexual crime victims (</w:t>
      </w:r>
      <w:r w:rsidR="00681EC0" w:rsidRPr="00222917">
        <w:rPr>
          <w:lang w:val="en-US"/>
        </w:rPr>
        <w:t>a</w:t>
      </w:r>
      <w:r w:rsidR="001A2BB2" w:rsidRPr="00222917">
        <w:rPr>
          <w:lang w:val="en-US"/>
        </w:rPr>
        <w:t>rticle </w:t>
      </w:r>
      <w:r w:rsidR="002D5BB0" w:rsidRPr="00222917">
        <w:rPr>
          <w:lang w:val="en-US"/>
        </w:rPr>
        <w:t>21-2), expansion of the use of statements videotaping</w:t>
      </w:r>
      <w:r w:rsidR="001A2BB2" w:rsidRPr="00222917">
        <w:rPr>
          <w:lang w:val="en-US"/>
        </w:rPr>
        <w:t xml:space="preserve"> in sexual crime cases (</w:t>
      </w:r>
      <w:r w:rsidR="00681EC0" w:rsidRPr="00222917">
        <w:rPr>
          <w:lang w:val="en-US"/>
        </w:rPr>
        <w:t>a</w:t>
      </w:r>
      <w:r w:rsidR="001A2BB2" w:rsidRPr="00222917">
        <w:rPr>
          <w:lang w:val="en-US"/>
        </w:rPr>
        <w:t>rticle </w:t>
      </w:r>
      <w:r w:rsidR="002D5BB0" w:rsidRPr="00222917">
        <w:rPr>
          <w:lang w:val="en-US"/>
        </w:rPr>
        <w:t>21-3), and strengthening of the obligation to ensure the accompaniment of those trusted by victim</w:t>
      </w:r>
      <w:r w:rsidR="001A2BB2" w:rsidRPr="00222917">
        <w:rPr>
          <w:lang w:val="en-US"/>
        </w:rPr>
        <w:t>s in court proceedings (</w:t>
      </w:r>
      <w:r w:rsidR="00681EC0" w:rsidRPr="00222917">
        <w:rPr>
          <w:lang w:val="en-US"/>
        </w:rPr>
        <w:t>a</w:t>
      </w:r>
      <w:r w:rsidR="001A2BB2" w:rsidRPr="00222917">
        <w:rPr>
          <w:lang w:val="en-US"/>
        </w:rPr>
        <w:t>rticle </w:t>
      </w:r>
      <w:r w:rsidR="002D5BB0" w:rsidRPr="00222917">
        <w:rPr>
          <w:lang w:val="en-US"/>
        </w:rPr>
        <w:t xml:space="preserve">22-3). </w:t>
      </w:r>
    </w:p>
    <w:p w:rsidR="002D5BB0" w:rsidRPr="00222917" w:rsidRDefault="00547908" w:rsidP="00547908">
      <w:pPr>
        <w:pStyle w:val="SingleTxtG"/>
        <w:rPr>
          <w:lang w:val="en-US"/>
        </w:rPr>
      </w:pPr>
      <w:r w:rsidRPr="00222917">
        <w:rPr>
          <w:lang w:val="en-US"/>
        </w:rPr>
        <w:t>70.</w:t>
      </w:r>
      <w:r w:rsidRPr="00222917">
        <w:rPr>
          <w:lang w:val="en-US"/>
        </w:rPr>
        <w:tab/>
      </w:r>
      <w:r w:rsidR="002D5BB0" w:rsidRPr="00222917">
        <w:rPr>
          <w:lang w:val="en-US"/>
        </w:rPr>
        <w:t xml:space="preserve">On 15 April 2010, the </w:t>
      </w:r>
      <w:r w:rsidR="002D5BB0" w:rsidRPr="00222917">
        <w:rPr>
          <w:iCs/>
          <w:lang w:val="en-US"/>
        </w:rPr>
        <w:t xml:space="preserve">Act on the Punishment of Sexual Crimes and Protection of Victims Thereof </w:t>
      </w:r>
      <w:r w:rsidR="002D5BB0" w:rsidRPr="00222917">
        <w:rPr>
          <w:lang w:val="en-US"/>
        </w:rPr>
        <w:t xml:space="preserve">was divided into the </w:t>
      </w:r>
      <w:r w:rsidR="002D5BB0" w:rsidRPr="00222917">
        <w:rPr>
          <w:iCs/>
          <w:lang w:val="en-US"/>
        </w:rPr>
        <w:t>Act on Special Cases concerning the Punishment, etc.</w:t>
      </w:r>
      <w:r w:rsidR="002D5BB0" w:rsidRPr="00222917">
        <w:rPr>
          <w:i/>
          <w:lang w:val="en-US"/>
        </w:rPr>
        <w:t xml:space="preserve"> </w:t>
      </w:r>
      <w:r w:rsidR="002D5BB0" w:rsidRPr="00222917">
        <w:rPr>
          <w:iCs/>
          <w:lang w:val="en-US"/>
        </w:rPr>
        <w:t>of Victims of Sexual Crimes</w:t>
      </w:r>
      <w:r w:rsidR="002D5BB0" w:rsidRPr="00222917">
        <w:rPr>
          <w:lang w:val="en-US"/>
        </w:rPr>
        <w:t xml:space="preserve">, which provides for punishment, and the </w:t>
      </w:r>
      <w:r w:rsidR="002D5BB0" w:rsidRPr="00222917">
        <w:rPr>
          <w:iCs/>
          <w:lang w:val="en-US"/>
        </w:rPr>
        <w:t>Act on Prevention of Sexual Violence and Protection of Victims Thereof,</w:t>
      </w:r>
      <w:r w:rsidR="002D5BB0" w:rsidRPr="00222917">
        <w:rPr>
          <w:lang w:val="en-US"/>
        </w:rPr>
        <w:t xml:space="preserve"> which provides for protection of victims of sexual violence, in an attempt to pro</w:t>
      </w:r>
      <w:r w:rsidR="007B4895" w:rsidRPr="00222917">
        <w:rPr>
          <w:lang w:val="en-US"/>
        </w:rPr>
        <w:t xml:space="preserve">tect victims more effectively. </w:t>
      </w:r>
      <w:r w:rsidR="002D5BB0" w:rsidRPr="00222917">
        <w:rPr>
          <w:lang w:val="en-US"/>
        </w:rPr>
        <w:t>The act on punishment contains new provisions such as expansion of the scope of aggravated punishment concer</w:t>
      </w:r>
      <w:r w:rsidR="001A2BB2" w:rsidRPr="00222917">
        <w:rPr>
          <w:lang w:val="en-US"/>
        </w:rPr>
        <w:t>ning rape by relatives (</w:t>
      </w:r>
      <w:r w:rsidR="00681EC0" w:rsidRPr="00222917">
        <w:rPr>
          <w:lang w:val="en-US"/>
        </w:rPr>
        <w:t>a</w:t>
      </w:r>
      <w:r w:rsidR="001A2BB2" w:rsidRPr="00222917">
        <w:rPr>
          <w:lang w:val="en-US"/>
        </w:rPr>
        <w:t>rticle </w:t>
      </w:r>
      <w:r w:rsidR="002D5BB0" w:rsidRPr="00222917">
        <w:rPr>
          <w:lang w:val="en-US"/>
        </w:rPr>
        <w:t>5), tougher punishment against sexual crimes against children aged less t</w:t>
      </w:r>
      <w:r w:rsidR="001A2BB2" w:rsidRPr="00222917">
        <w:rPr>
          <w:lang w:val="en-US"/>
        </w:rPr>
        <w:t>han 13 (</w:t>
      </w:r>
      <w:r w:rsidR="00681EC0" w:rsidRPr="00222917">
        <w:rPr>
          <w:lang w:val="en-US"/>
        </w:rPr>
        <w:t>a</w:t>
      </w:r>
      <w:r w:rsidR="001A2BB2" w:rsidRPr="00222917">
        <w:rPr>
          <w:lang w:val="en-US"/>
        </w:rPr>
        <w:t>rticle </w:t>
      </w:r>
      <w:r w:rsidR="002D5BB0" w:rsidRPr="00222917">
        <w:rPr>
          <w:lang w:val="en-US"/>
        </w:rPr>
        <w:t>7), information disclosure incl</w:t>
      </w:r>
      <w:r w:rsidR="001A2BB2" w:rsidRPr="00222917">
        <w:rPr>
          <w:lang w:val="en-US"/>
        </w:rPr>
        <w:t>uding suspects’ faces (</w:t>
      </w:r>
      <w:r w:rsidR="00681EC0" w:rsidRPr="00222917">
        <w:rPr>
          <w:lang w:val="en-US"/>
        </w:rPr>
        <w:t>a</w:t>
      </w:r>
      <w:r w:rsidR="001A2BB2" w:rsidRPr="00222917">
        <w:rPr>
          <w:lang w:val="en-US"/>
        </w:rPr>
        <w:t>rticles </w:t>
      </w:r>
      <w:r w:rsidR="002D5BB0" w:rsidRPr="00222917">
        <w:rPr>
          <w:lang w:val="en-US"/>
        </w:rPr>
        <w:t>32 to 42), and designation of a full bench in c</w:t>
      </w:r>
      <w:r w:rsidR="001A2BB2" w:rsidRPr="00222917">
        <w:rPr>
          <w:lang w:val="en-US"/>
        </w:rPr>
        <w:t>harge of sexual crimes (</w:t>
      </w:r>
      <w:r w:rsidR="00681EC0" w:rsidRPr="00222917">
        <w:rPr>
          <w:lang w:val="en-US"/>
        </w:rPr>
        <w:t>a</w:t>
      </w:r>
      <w:r w:rsidR="001A2BB2" w:rsidRPr="00222917">
        <w:rPr>
          <w:lang w:val="en-US"/>
        </w:rPr>
        <w:t>rticle </w:t>
      </w:r>
      <w:r w:rsidR="002D5BB0" w:rsidRPr="00222917">
        <w:rPr>
          <w:lang w:val="en-US"/>
        </w:rPr>
        <w:t xml:space="preserve">25). Newly introduced provisions include non-application of mitigation to those committed sexual crimes with </w:t>
      </w:r>
      <w:r w:rsidR="002D5BB0" w:rsidRPr="00222917">
        <w:rPr>
          <w:bCs/>
          <w:lang w:val="en-US"/>
        </w:rPr>
        <w:t>mental</w:t>
      </w:r>
      <w:r w:rsidR="002D5BB0" w:rsidRPr="00222917">
        <w:rPr>
          <w:lang w:val="en-US"/>
        </w:rPr>
        <w:t xml:space="preserve"> disorder induced by drinking or drugs (</w:t>
      </w:r>
      <w:r w:rsidR="00681EC0" w:rsidRPr="00222917">
        <w:rPr>
          <w:lang w:val="en-US"/>
        </w:rPr>
        <w:t>a</w:t>
      </w:r>
      <w:r w:rsidR="002D5BB0" w:rsidRPr="00222917">
        <w:rPr>
          <w:lang w:val="en-US"/>
        </w:rPr>
        <w:t>rticle</w:t>
      </w:r>
      <w:r w:rsidR="007B4895" w:rsidRPr="00222917">
        <w:rPr>
          <w:lang w:val="en-US"/>
        </w:rPr>
        <w:t> </w:t>
      </w:r>
      <w:r w:rsidR="002D5BB0" w:rsidRPr="00222917">
        <w:rPr>
          <w:lang w:val="en-US"/>
        </w:rPr>
        <w:t>19), suspension of the statute of limitations in cases of sexual crimes against minors until the v</w:t>
      </w:r>
      <w:r w:rsidR="001A2BB2" w:rsidRPr="00222917">
        <w:rPr>
          <w:lang w:val="en-US"/>
        </w:rPr>
        <w:t>ictim reaches majority (</w:t>
      </w:r>
      <w:r w:rsidR="00681EC0" w:rsidRPr="00222917">
        <w:rPr>
          <w:lang w:val="en-US"/>
        </w:rPr>
        <w:t>a</w:t>
      </w:r>
      <w:r w:rsidR="001A2BB2" w:rsidRPr="00222917">
        <w:rPr>
          <w:lang w:val="en-US"/>
        </w:rPr>
        <w:t>rticle </w:t>
      </w:r>
      <w:r w:rsidR="002D5BB0" w:rsidRPr="00222917">
        <w:rPr>
          <w:lang w:val="en-US"/>
        </w:rPr>
        <w:t>20</w:t>
      </w:r>
      <w:r w:rsidR="00681EC0" w:rsidRPr="00222917">
        <w:rPr>
          <w:lang w:val="en-US"/>
        </w:rPr>
        <w:t xml:space="preserve"> </w:t>
      </w:r>
      <w:r w:rsidR="002D5BB0" w:rsidRPr="00222917">
        <w:rPr>
          <w:lang w:val="en-US"/>
        </w:rPr>
        <w:t>(1)), and extension of the statute of limitations concerning sexual crimes w</w:t>
      </w:r>
      <w:r w:rsidR="001A2BB2" w:rsidRPr="00222917">
        <w:rPr>
          <w:lang w:val="en-US"/>
        </w:rPr>
        <w:t>ith concrete evidences (</w:t>
      </w:r>
      <w:r w:rsidR="00681EC0" w:rsidRPr="00222917">
        <w:rPr>
          <w:lang w:val="en-US"/>
        </w:rPr>
        <w:t>a</w:t>
      </w:r>
      <w:r w:rsidR="001A2BB2" w:rsidRPr="00222917">
        <w:rPr>
          <w:lang w:val="en-US"/>
        </w:rPr>
        <w:t>rticle </w:t>
      </w:r>
      <w:r w:rsidR="002D5BB0" w:rsidRPr="00222917">
        <w:rPr>
          <w:lang w:val="en-US"/>
        </w:rPr>
        <w:t>20</w:t>
      </w:r>
      <w:r w:rsidR="00681EC0" w:rsidRPr="00222917">
        <w:rPr>
          <w:lang w:val="en-US"/>
        </w:rPr>
        <w:t xml:space="preserve"> </w:t>
      </w:r>
      <w:r w:rsidR="002D5BB0" w:rsidRPr="00222917">
        <w:rPr>
          <w:lang w:val="en-US"/>
        </w:rPr>
        <w:t>(2)).</w:t>
      </w:r>
      <w:r w:rsidR="00120D8B" w:rsidRPr="00222917">
        <w:rPr>
          <w:lang w:val="en-US"/>
        </w:rPr>
        <w:t xml:space="preserve"> </w:t>
      </w:r>
    </w:p>
    <w:p w:rsidR="002D5BB0" w:rsidRPr="00222917" w:rsidRDefault="00547908" w:rsidP="00547908">
      <w:pPr>
        <w:pStyle w:val="SingleTxtG"/>
        <w:rPr>
          <w:lang w:val="en-US"/>
        </w:rPr>
      </w:pPr>
      <w:r w:rsidRPr="00222917">
        <w:rPr>
          <w:lang w:val="en-US"/>
        </w:rPr>
        <w:t>71.</w:t>
      </w:r>
      <w:r w:rsidRPr="00222917">
        <w:rPr>
          <w:lang w:val="en-US"/>
        </w:rPr>
        <w:tab/>
      </w:r>
      <w:r w:rsidR="002D5BB0" w:rsidRPr="00222917">
        <w:rPr>
          <w:lang w:val="en-US"/>
        </w:rPr>
        <w:t xml:space="preserve">The </w:t>
      </w:r>
      <w:r w:rsidR="002D5BB0" w:rsidRPr="00222917">
        <w:rPr>
          <w:iCs/>
          <w:lang w:val="en-US"/>
        </w:rPr>
        <w:t xml:space="preserve">Criminal Act </w:t>
      </w:r>
      <w:r w:rsidR="002D5BB0" w:rsidRPr="00222917">
        <w:rPr>
          <w:lang w:val="en-US"/>
        </w:rPr>
        <w:t>amended on 15 April 2010 introduces aggravated punishment for persons who repeatedl</w:t>
      </w:r>
      <w:r w:rsidR="001A2BB2" w:rsidRPr="00222917">
        <w:rPr>
          <w:lang w:val="en-US"/>
        </w:rPr>
        <w:t>y commit sexual crimes (</w:t>
      </w:r>
      <w:r w:rsidR="00681EC0" w:rsidRPr="00222917">
        <w:rPr>
          <w:lang w:val="en-US"/>
        </w:rPr>
        <w:t>a</w:t>
      </w:r>
      <w:r w:rsidR="001A2BB2" w:rsidRPr="00222917">
        <w:rPr>
          <w:lang w:val="en-US"/>
        </w:rPr>
        <w:t>rticle </w:t>
      </w:r>
      <w:r w:rsidR="002D5BB0" w:rsidRPr="00222917">
        <w:rPr>
          <w:lang w:val="en-US"/>
        </w:rPr>
        <w:t xml:space="preserve">305-2) in addition to the elevation of maximum term of imprisonment and aggravation, and mitigation limits of capital punishment and imprisonment </w:t>
      </w:r>
      <w:r w:rsidR="002D5BB0" w:rsidRPr="00222917">
        <w:rPr>
          <w:bCs/>
          <w:lang w:val="en-US"/>
        </w:rPr>
        <w:t>without</w:t>
      </w:r>
      <w:r w:rsidR="002D5BB0" w:rsidRPr="00222917">
        <w:rPr>
          <w:lang w:val="en-US"/>
        </w:rPr>
        <w:t xml:space="preserve"> term. The eligibility for parole of those serving imprisonment without te</w:t>
      </w:r>
      <w:r w:rsidR="001A2BB2" w:rsidRPr="00222917">
        <w:rPr>
          <w:lang w:val="en-US"/>
        </w:rPr>
        <w:t>rm was also tightened (</w:t>
      </w:r>
      <w:r w:rsidR="00681EC0" w:rsidRPr="00222917">
        <w:rPr>
          <w:lang w:val="en-US"/>
        </w:rPr>
        <w:t>a</w:t>
      </w:r>
      <w:r w:rsidR="001A2BB2" w:rsidRPr="00222917">
        <w:rPr>
          <w:lang w:val="en-US"/>
        </w:rPr>
        <w:t>rticles </w:t>
      </w:r>
      <w:r w:rsidR="002D5BB0" w:rsidRPr="00222917">
        <w:rPr>
          <w:lang w:val="en-US"/>
        </w:rPr>
        <w:t xml:space="preserve">42, 55 and 72). </w:t>
      </w:r>
    </w:p>
    <w:p w:rsidR="002D5BB0" w:rsidRPr="00222917" w:rsidRDefault="00547908" w:rsidP="00547908">
      <w:pPr>
        <w:pStyle w:val="SingleTxtG"/>
        <w:rPr>
          <w:lang w:val="en-US"/>
        </w:rPr>
      </w:pPr>
      <w:r w:rsidRPr="00222917">
        <w:rPr>
          <w:lang w:val="en-US"/>
        </w:rPr>
        <w:t>72.</w:t>
      </w:r>
      <w:r w:rsidRPr="00222917">
        <w:rPr>
          <w:lang w:val="en-US"/>
        </w:rPr>
        <w:tab/>
      </w:r>
      <w:r w:rsidR="002D5BB0" w:rsidRPr="00222917">
        <w:rPr>
          <w:lang w:val="en-US"/>
        </w:rPr>
        <w:t xml:space="preserve">The </w:t>
      </w:r>
      <w:r w:rsidR="002D5BB0" w:rsidRPr="00222917">
        <w:rPr>
          <w:iCs/>
          <w:lang w:val="en-US"/>
        </w:rPr>
        <w:t>Act on the Electronic Monitoring of Specific Sexual Criminal Offenders</w:t>
      </w:r>
      <w:r w:rsidR="002D5BB0" w:rsidRPr="00222917">
        <w:rPr>
          <w:i/>
          <w:lang w:val="en-US"/>
        </w:rPr>
        <w:t xml:space="preserve"> </w:t>
      </w:r>
      <w:r w:rsidR="002D5BB0" w:rsidRPr="00222917">
        <w:rPr>
          <w:lang w:val="en-US"/>
        </w:rPr>
        <w:t xml:space="preserve">was enacted on 27 April 2010 for a more effective deterrence of recidivism of sexual crimes against women and children given the comparatively greater suffering of victims inflicted by their crimes and their high rate of </w:t>
      </w:r>
      <w:r w:rsidR="002D5BB0" w:rsidRPr="00222917">
        <w:rPr>
          <w:bCs/>
          <w:lang w:val="en-US"/>
        </w:rPr>
        <w:t>recidivism</w:t>
      </w:r>
      <w:r w:rsidR="002D5BB0" w:rsidRPr="00222917">
        <w:rPr>
          <w:lang w:val="en-US"/>
        </w:rPr>
        <w:t xml:space="preserve">. The Act provides for the attachment of electronic devices to sexual criminal offenders to track their movement 24 hours a day using GPS and mobile communication networks. Their location information is used by probation officers to supervise them and prevent another offense by checking compliance with requirements such as curfew, exclusion, and restraining orders. The Act was renamed as the </w:t>
      </w:r>
      <w:r w:rsidR="002D5BB0" w:rsidRPr="00222917">
        <w:rPr>
          <w:iCs/>
          <w:lang w:val="en-US"/>
        </w:rPr>
        <w:t>Act on the Electronic Monitoring of Specific Criminal Offenders</w:t>
      </w:r>
      <w:r w:rsidR="002D5BB0" w:rsidRPr="00222917">
        <w:rPr>
          <w:lang w:val="en-US"/>
        </w:rPr>
        <w:t xml:space="preserve">, on 8 June 2008, which extended its coverage to the crime of kidnapping of minors. </w:t>
      </w:r>
    </w:p>
    <w:p w:rsidR="002D5BB0" w:rsidRPr="00222917" w:rsidRDefault="00547908" w:rsidP="00547908">
      <w:pPr>
        <w:pStyle w:val="SingleTxtG"/>
        <w:rPr>
          <w:lang w:val="en-US"/>
        </w:rPr>
      </w:pPr>
      <w:r w:rsidRPr="00222917">
        <w:rPr>
          <w:lang w:val="en-US"/>
        </w:rPr>
        <w:t>73.</w:t>
      </w:r>
      <w:r w:rsidRPr="00222917">
        <w:rPr>
          <w:lang w:val="en-US"/>
        </w:rPr>
        <w:tab/>
      </w:r>
      <w:r w:rsidR="002D5BB0" w:rsidRPr="00222917">
        <w:rPr>
          <w:lang w:val="en-US"/>
        </w:rPr>
        <w:t>The above</w:t>
      </w:r>
      <w:r w:rsidR="0020568A">
        <w:rPr>
          <w:lang w:val="en-US"/>
        </w:rPr>
        <w:t>-</w:t>
      </w:r>
      <w:r w:rsidR="002D5BB0" w:rsidRPr="00222917">
        <w:rPr>
          <w:lang w:val="en-US"/>
        </w:rPr>
        <w:t>mentioned act was revised on 15 April 2010 to increase the maximum period of electronic monitoring by attached device. The minimum period of monitoring is doubled if the victim is a child aged less than 13 (</w:t>
      </w:r>
      <w:r w:rsidR="00681EC0" w:rsidRPr="00222917">
        <w:rPr>
          <w:lang w:val="en-US"/>
        </w:rPr>
        <w:t>a</w:t>
      </w:r>
      <w:r w:rsidR="002D5BB0" w:rsidRPr="00222917">
        <w:rPr>
          <w:lang w:val="en-US"/>
        </w:rPr>
        <w:t>rtic</w:t>
      </w:r>
      <w:r w:rsidR="001A2BB2" w:rsidRPr="00222917">
        <w:rPr>
          <w:lang w:val="en-US"/>
        </w:rPr>
        <w:t>le </w:t>
      </w:r>
      <w:r w:rsidR="002D5BB0" w:rsidRPr="00222917">
        <w:rPr>
          <w:lang w:val="en-US"/>
        </w:rPr>
        <w:t>9</w:t>
      </w:r>
      <w:r w:rsidR="00681EC0" w:rsidRPr="00222917">
        <w:rPr>
          <w:lang w:val="en-US"/>
        </w:rPr>
        <w:t xml:space="preserve"> </w:t>
      </w:r>
      <w:r w:rsidR="002D5BB0" w:rsidRPr="00222917">
        <w:rPr>
          <w:lang w:val="en-US"/>
        </w:rPr>
        <w:t>(1)). In addition, the amendment provides that those who are attached with a monitoring device shall be placed on probation during th</w:t>
      </w:r>
      <w:r w:rsidR="001A2BB2" w:rsidRPr="00222917">
        <w:rPr>
          <w:lang w:val="en-US"/>
        </w:rPr>
        <w:t>e period of monitoring (</w:t>
      </w:r>
      <w:r w:rsidR="00681EC0" w:rsidRPr="00222917">
        <w:rPr>
          <w:lang w:val="en-US"/>
        </w:rPr>
        <w:t>a</w:t>
      </w:r>
      <w:r w:rsidR="001A2BB2" w:rsidRPr="00222917">
        <w:rPr>
          <w:lang w:val="en-US"/>
        </w:rPr>
        <w:t>rticle </w:t>
      </w:r>
      <w:r w:rsidR="002D5BB0" w:rsidRPr="00222917">
        <w:rPr>
          <w:lang w:val="en-US"/>
        </w:rPr>
        <w:t>9</w:t>
      </w:r>
      <w:r w:rsidR="00681EC0" w:rsidRPr="00222917">
        <w:rPr>
          <w:lang w:val="en-US"/>
        </w:rPr>
        <w:t xml:space="preserve"> </w:t>
      </w:r>
      <w:r w:rsidR="002D5BB0" w:rsidRPr="00222917">
        <w:rPr>
          <w:lang w:val="en-US"/>
        </w:rPr>
        <w:t>(3)). As of 12 April 2010, only five out of 583</w:t>
      </w:r>
      <w:r w:rsidR="001A2BB2" w:rsidRPr="00222917">
        <w:rPr>
          <w:lang w:val="en-US"/>
        </w:rPr>
        <w:t> </w:t>
      </w:r>
      <w:r w:rsidR="002D5BB0" w:rsidRPr="00222917">
        <w:rPr>
          <w:lang w:val="en-US"/>
        </w:rPr>
        <w:t>persons monitored by attached electronic monitoring devices were repeat offenders (recidivism rate of 0.86%), among whom one person repeated the same type of crime (recidivism rate of 0.17%) and four others committed different types of crimes. This</w:t>
      </w:r>
      <w:r w:rsidR="00CE6218" w:rsidRPr="00222917">
        <w:rPr>
          <w:lang w:val="en-US"/>
        </w:rPr>
        <w:t> </w:t>
      </w:r>
      <w:r w:rsidR="002D5BB0" w:rsidRPr="00222917">
        <w:rPr>
          <w:lang w:val="en-US"/>
        </w:rPr>
        <w:t>demonstrates that the devices are effective in preventing repeat offenses, given the average recidivism rate of same crimes (14.8%) by those with records of sexual crim</w:t>
      </w:r>
      <w:r w:rsidR="00423A3F" w:rsidRPr="00222917">
        <w:rPr>
          <w:lang w:val="en-US"/>
        </w:rPr>
        <w:t>e for the past four years (2005-</w:t>
      </w:r>
      <w:r w:rsidR="002D5BB0" w:rsidRPr="00222917">
        <w:rPr>
          <w:lang w:val="en-US"/>
        </w:rPr>
        <w:t>2008).</w:t>
      </w:r>
      <w:r w:rsidR="00120D8B" w:rsidRPr="00222917">
        <w:rPr>
          <w:lang w:val="en-US"/>
        </w:rPr>
        <w:t xml:space="preserve"> </w:t>
      </w:r>
    </w:p>
    <w:p w:rsidR="002D5BB0" w:rsidRPr="00222917" w:rsidRDefault="007B4895" w:rsidP="007B4895">
      <w:pPr>
        <w:pStyle w:val="H23G"/>
        <w:rPr>
          <w:b w:val="0"/>
          <w:sz w:val="16"/>
          <w:szCs w:val="16"/>
          <w:lang w:val="en-US"/>
        </w:rPr>
      </w:pPr>
      <w:r w:rsidRPr="00222917">
        <w:rPr>
          <w:lang w:val="en-US"/>
        </w:rPr>
        <w:tab/>
      </w:r>
      <w:r w:rsidRPr="00222917">
        <w:rPr>
          <w:lang w:val="en-US"/>
        </w:rPr>
        <w:tab/>
      </w:r>
      <w:r w:rsidR="002D5BB0" w:rsidRPr="00222917">
        <w:rPr>
          <w:lang w:val="en-US"/>
        </w:rPr>
        <w:t>Use of Electronic Monitoring Devices</w:t>
      </w:r>
      <w:r w:rsidRPr="00222917">
        <w:rPr>
          <w:lang w:val="en-US"/>
        </w:rPr>
        <w:br/>
      </w:r>
      <w:r w:rsidR="002D5BB0" w:rsidRPr="00222917">
        <w:rPr>
          <w:b w:val="0"/>
          <w:sz w:val="16"/>
          <w:szCs w:val="16"/>
          <w:lang w:val="en-US"/>
        </w:rPr>
        <w:t>(Number of persons)</w:t>
      </w:r>
    </w:p>
    <w:tbl>
      <w:tblPr>
        <w:tblW w:w="7370" w:type="dxa"/>
        <w:tblInd w:w="1134" w:type="dxa"/>
        <w:tblBorders>
          <w:top w:val="single" w:sz="4" w:space="0" w:color="auto"/>
        </w:tblBorders>
        <w:tblCellMar>
          <w:left w:w="0" w:type="dxa"/>
          <w:right w:w="0" w:type="dxa"/>
        </w:tblCellMar>
        <w:tblLook w:val="0000"/>
      </w:tblPr>
      <w:tblGrid>
        <w:gridCol w:w="1109"/>
        <w:gridCol w:w="1125"/>
        <w:gridCol w:w="1160"/>
        <w:gridCol w:w="1350"/>
        <w:gridCol w:w="1302"/>
        <w:gridCol w:w="1324"/>
      </w:tblGrid>
      <w:tr w:rsidR="006E1F63" w:rsidRPr="00222917" w:rsidTr="00D17669">
        <w:trPr>
          <w:trHeight w:val="240"/>
          <w:tblHeader/>
        </w:trPr>
        <w:tc>
          <w:tcPr>
            <w:tcW w:w="753" w:type="pct"/>
            <w:vMerge w:val="restart"/>
            <w:tcBorders>
              <w:top w:val="single" w:sz="4" w:space="0" w:color="auto"/>
              <w:bottom w:val="single" w:sz="12" w:space="0" w:color="auto"/>
            </w:tcBorders>
            <w:shd w:val="clear" w:color="auto" w:fill="auto"/>
            <w:vAlign w:val="bottom"/>
          </w:tcPr>
          <w:p w:rsidR="002D5BB0" w:rsidRPr="00222917" w:rsidRDefault="002D5BB0" w:rsidP="006334E9">
            <w:pPr>
              <w:pStyle w:val="SingleTxtG"/>
              <w:suppressAutoHyphens w:val="0"/>
              <w:spacing w:before="80" w:after="80" w:line="200" w:lineRule="exact"/>
              <w:ind w:left="0" w:right="0"/>
              <w:jc w:val="left"/>
              <w:rPr>
                <w:i/>
                <w:sz w:val="16"/>
                <w:szCs w:val="16"/>
                <w:lang w:val="en-US"/>
              </w:rPr>
            </w:pPr>
            <w:r w:rsidRPr="00222917">
              <w:rPr>
                <w:bCs/>
                <w:i/>
                <w:sz w:val="16"/>
                <w:szCs w:val="16"/>
                <w:lang w:val="en-US"/>
              </w:rPr>
              <w:t>Year</w:t>
            </w:r>
          </w:p>
        </w:tc>
        <w:tc>
          <w:tcPr>
            <w:tcW w:w="763" w:type="pct"/>
            <w:vMerge w:val="restart"/>
            <w:tcBorders>
              <w:top w:val="single" w:sz="4" w:space="0" w:color="auto"/>
              <w:bottom w:val="single" w:sz="12" w:space="0" w:color="auto"/>
            </w:tcBorders>
            <w:shd w:val="clear" w:color="auto" w:fill="auto"/>
            <w:vAlign w:val="bottom"/>
          </w:tcPr>
          <w:p w:rsidR="002D5BB0" w:rsidRPr="00222917" w:rsidRDefault="002D5BB0" w:rsidP="006334E9">
            <w:pPr>
              <w:pStyle w:val="SingleTxtG"/>
              <w:suppressAutoHyphens w:val="0"/>
              <w:spacing w:before="80" w:after="80" w:line="200" w:lineRule="exact"/>
              <w:ind w:left="0" w:right="0"/>
              <w:jc w:val="right"/>
              <w:rPr>
                <w:b/>
                <w:i/>
                <w:sz w:val="16"/>
                <w:szCs w:val="16"/>
                <w:lang w:val="en-US"/>
              </w:rPr>
            </w:pPr>
            <w:r w:rsidRPr="00222917">
              <w:rPr>
                <w:b/>
                <w:bCs/>
                <w:i/>
                <w:sz w:val="16"/>
                <w:szCs w:val="16"/>
                <w:lang w:val="en-US"/>
              </w:rPr>
              <w:t>Total</w:t>
            </w:r>
          </w:p>
        </w:tc>
        <w:tc>
          <w:tcPr>
            <w:tcW w:w="3484" w:type="pct"/>
            <w:gridSpan w:val="4"/>
            <w:tcBorders>
              <w:top w:val="single" w:sz="4" w:space="0" w:color="auto"/>
              <w:bottom w:val="single" w:sz="4" w:space="0" w:color="000000"/>
            </w:tcBorders>
            <w:shd w:val="clear" w:color="auto" w:fill="auto"/>
            <w:vAlign w:val="bottom"/>
          </w:tcPr>
          <w:p w:rsidR="002D5BB0" w:rsidRPr="00222917" w:rsidRDefault="002D5BB0" w:rsidP="006334E9">
            <w:pPr>
              <w:pStyle w:val="SingleTxtG"/>
              <w:suppressAutoHyphens w:val="0"/>
              <w:spacing w:before="80" w:after="80" w:line="200" w:lineRule="exact"/>
              <w:ind w:left="0" w:right="0"/>
              <w:jc w:val="center"/>
              <w:rPr>
                <w:i/>
                <w:sz w:val="16"/>
                <w:szCs w:val="16"/>
                <w:lang w:val="en-US"/>
              </w:rPr>
            </w:pPr>
            <w:r w:rsidRPr="00222917">
              <w:rPr>
                <w:bCs/>
                <w:i/>
                <w:sz w:val="16"/>
                <w:szCs w:val="16"/>
                <w:lang w:val="en-US"/>
              </w:rPr>
              <w:t>Number of persons attached devices</w:t>
            </w:r>
          </w:p>
        </w:tc>
      </w:tr>
      <w:tr w:rsidR="006E1F63" w:rsidRPr="00222917" w:rsidTr="00D17669">
        <w:trPr>
          <w:trHeight w:val="240"/>
          <w:tblHeader/>
        </w:trPr>
        <w:tc>
          <w:tcPr>
            <w:tcW w:w="753" w:type="pct"/>
            <w:vMerge/>
            <w:tcBorders>
              <w:top w:val="single" w:sz="12" w:space="0" w:color="auto"/>
              <w:bottom w:val="single" w:sz="12" w:space="0" w:color="000000"/>
            </w:tcBorders>
            <w:shd w:val="clear" w:color="auto" w:fill="auto"/>
            <w:vAlign w:val="bottom"/>
          </w:tcPr>
          <w:p w:rsidR="002D5BB0" w:rsidRPr="00222917" w:rsidRDefault="002D5BB0" w:rsidP="006334E9">
            <w:pPr>
              <w:pStyle w:val="SingleTxtG"/>
              <w:suppressAutoHyphens w:val="0"/>
              <w:spacing w:before="80" w:after="80" w:line="200" w:lineRule="exact"/>
              <w:ind w:left="0" w:right="0"/>
              <w:jc w:val="left"/>
              <w:rPr>
                <w:i/>
                <w:sz w:val="16"/>
                <w:szCs w:val="16"/>
                <w:lang w:val="en-US"/>
              </w:rPr>
            </w:pPr>
          </w:p>
        </w:tc>
        <w:tc>
          <w:tcPr>
            <w:tcW w:w="763" w:type="pct"/>
            <w:vMerge/>
            <w:tcBorders>
              <w:top w:val="single" w:sz="12" w:space="0" w:color="auto"/>
              <w:bottom w:val="single" w:sz="12" w:space="0" w:color="000000"/>
            </w:tcBorders>
            <w:shd w:val="clear" w:color="auto" w:fill="auto"/>
            <w:vAlign w:val="bottom"/>
          </w:tcPr>
          <w:p w:rsidR="002D5BB0" w:rsidRPr="00222917" w:rsidRDefault="002D5BB0" w:rsidP="006334E9">
            <w:pPr>
              <w:pStyle w:val="SingleTxtG"/>
              <w:suppressAutoHyphens w:val="0"/>
              <w:spacing w:before="80" w:after="80" w:line="200" w:lineRule="exact"/>
              <w:ind w:left="0" w:right="0"/>
              <w:jc w:val="right"/>
              <w:rPr>
                <w:b/>
                <w:i/>
                <w:sz w:val="16"/>
                <w:szCs w:val="16"/>
                <w:lang w:val="en-US"/>
              </w:rPr>
            </w:pPr>
          </w:p>
        </w:tc>
        <w:tc>
          <w:tcPr>
            <w:tcW w:w="787" w:type="pct"/>
            <w:tcBorders>
              <w:top w:val="single" w:sz="4" w:space="0" w:color="000000"/>
              <w:bottom w:val="single" w:sz="12" w:space="0" w:color="000000"/>
            </w:tcBorders>
            <w:shd w:val="clear" w:color="auto" w:fill="auto"/>
            <w:vAlign w:val="bottom"/>
          </w:tcPr>
          <w:p w:rsidR="002D5BB0" w:rsidRPr="00222917" w:rsidRDefault="007B4895" w:rsidP="006334E9">
            <w:pPr>
              <w:pStyle w:val="SingleTxtG"/>
              <w:suppressAutoHyphens w:val="0"/>
              <w:spacing w:before="80" w:after="80" w:line="200" w:lineRule="exact"/>
              <w:ind w:left="0" w:right="0"/>
              <w:jc w:val="right"/>
              <w:rPr>
                <w:i/>
                <w:sz w:val="16"/>
                <w:szCs w:val="16"/>
                <w:lang w:val="en-US"/>
              </w:rPr>
            </w:pPr>
            <w:r w:rsidRPr="00222917">
              <w:rPr>
                <w:bCs/>
                <w:i/>
                <w:sz w:val="16"/>
                <w:szCs w:val="16"/>
                <w:lang w:val="en-US"/>
              </w:rPr>
              <w:t>O</w:t>
            </w:r>
            <w:r w:rsidR="002D5BB0" w:rsidRPr="00222917">
              <w:rPr>
                <w:bCs/>
                <w:i/>
                <w:sz w:val="16"/>
                <w:szCs w:val="16"/>
                <w:lang w:val="en-US"/>
              </w:rPr>
              <w:t>n parole</w:t>
            </w:r>
          </w:p>
        </w:tc>
        <w:tc>
          <w:tcPr>
            <w:tcW w:w="916" w:type="pct"/>
            <w:tcBorders>
              <w:top w:val="single" w:sz="4" w:space="0" w:color="000000"/>
              <w:bottom w:val="single" w:sz="12" w:space="0" w:color="000000"/>
            </w:tcBorders>
            <w:shd w:val="clear" w:color="auto" w:fill="auto"/>
            <w:vAlign w:val="bottom"/>
          </w:tcPr>
          <w:p w:rsidR="002D5BB0" w:rsidRPr="00222917" w:rsidRDefault="007B4895" w:rsidP="006334E9">
            <w:pPr>
              <w:pStyle w:val="SingleTxtG"/>
              <w:suppressAutoHyphens w:val="0"/>
              <w:spacing w:before="80" w:after="80" w:line="200" w:lineRule="exact"/>
              <w:ind w:left="0" w:right="0"/>
              <w:jc w:val="right"/>
              <w:rPr>
                <w:i/>
                <w:sz w:val="16"/>
                <w:szCs w:val="16"/>
                <w:lang w:val="en-US"/>
              </w:rPr>
            </w:pPr>
            <w:r w:rsidRPr="00222917">
              <w:rPr>
                <w:bCs/>
                <w:i/>
                <w:sz w:val="16"/>
                <w:szCs w:val="16"/>
                <w:lang w:val="en-US"/>
              </w:rPr>
              <w:t>O</w:t>
            </w:r>
            <w:r w:rsidR="002D5BB0" w:rsidRPr="00222917">
              <w:rPr>
                <w:bCs/>
                <w:i/>
                <w:sz w:val="16"/>
                <w:szCs w:val="16"/>
                <w:lang w:val="en-US"/>
              </w:rPr>
              <w:t>n provisional termination</w:t>
            </w:r>
          </w:p>
        </w:tc>
        <w:tc>
          <w:tcPr>
            <w:tcW w:w="883" w:type="pct"/>
            <w:tcBorders>
              <w:top w:val="single" w:sz="4" w:space="0" w:color="000000"/>
              <w:bottom w:val="single" w:sz="12" w:space="0" w:color="000000"/>
            </w:tcBorders>
            <w:shd w:val="clear" w:color="auto" w:fill="auto"/>
            <w:vAlign w:val="bottom"/>
          </w:tcPr>
          <w:p w:rsidR="002D5BB0" w:rsidRPr="00222917" w:rsidRDefault="007B4895" w:rsidP="006334E9">
            <w:pPr>
              <w:pStyle w:val="SingleTxtG"/>
              <w:suppressAutoHyphens w:val="0"/>
              <w:spacing w:before="80" w:after="80" w:line="200" w:lineRule="exact"/>
              <w:ind w:left="0" w:right="0"/>
              <w:jc w:val="right"/>
              <w:rPr>
                <w:i/>
                <w:sz w:val="16"/>
                <w:szCs w:val="16"/>
                <w:lang w:val="en-US"/>
              </w:rPr>
            </w:pPr>
            <w:r w:rsidRPr="00222917">
              <w:rPr>
                <w:bCs/>
                <w:i/>
                <w:sz w:val="16"/>
                <w:szCs w:val="16"/>
                <w:lang w:val="en-US"/>
              </w:rPr>
              <w:t>O</w:t>
            </w:r>
            <w:r w:rsidR="002D5BB0" w:rsidRPr="00222917">
              <w:rPr>
                <w:bCs/>
                <w:i/>
                <w:sz w:val="16"/>
                <w:szCs w:val="16"/>
                <w:lang w:val="en-US"/>
              </w:rPr>
              <w:t>n suspended sentence</w:t>
            </w:r>
          </w:p>
        </w:tc>
        <w:tc>
          <w:tcPr>
            <w:tcW w:w="898" w:type="pct"/>
            <w:tcBorders>
              <w:top w:val="single" w:sz="4" w:space="0" w:color="000000"/>
              <w:bottom w:val="single" w:sz="12" w:space="0" w:color="000000"/>
            </w:tcBorders>
            <w:shd w:val="clear" w:color="auto" w:fill="auto"/>
            <w:vAlign w:val="bottom"/>
          </w:tcPr>
          <w:p w:rsidR="002D5BB0" w:rsidRPr="00222917" w:rsidRDefault="007B4895" w:rsidP="006334E9">
            <w:pPr>
              <w:pStyle w:val="SingleTxtG"/>
              <w:suppressAutoHyphens w:val="0"/>
              <w:spacing w:before="80" w:after="80" w:line="200" w:lineRule="exact"/>
              <w:ind w:left="0" w:right="0"/>
              <w:jc w:val="right"/>
              <w:rPr>
                <w:i/>
                <w:sz w:val="16"/>
                <w:szCs w:val="16"/>
                <w:lang w:val="en-US"/>
              </w:rPr>
            </w:pPr>
            <w:r w:rsidRPr="00222917">
              <w:rPr>
                <w:bCs/>
                <w:i/>
                <w:sz w:val="16"/>
                <w:szCs w:val="16"/>
                <w:lang w:val="en-US"/>
              </w:rPr>
              <w:t>A</w:t>
            </w:r>
            <w:r w:rsidR="006334E9" w:rsidRPr="00222917">
              <w:rPr>
                <w:bCs/>
                <w:i/>
                <w:sz w:val="16"/>
                <w:szCs w:val="16"/>
                <w:lang w:val="en-US"/>
              </w:rPr>
              <w:t>fter completion</w:t>
            </w:r>
            <w:r w:rsidR="006334E9" w:rsidRPr="00222917">
              <w:rPr>
                <w:bCs/>
                <w:i/>
                <w:sz w:val="16"/>
                <w:szCs w:val="16"/>
                <w:lang w:val="en-US"/>
              </w:rPr>
              <w:br/>
            </w:r>
            <w:r w:rsidR="002D5BB0" w:rsidRPr="00222917">
              <w:rPr>
                <w:bCs/>
                <w:i/>
                <w:sz w:val="16"/>
                <w:szCs w:val="16"/>
                <w:lang w:val="en-US"/>
              </w:rPr>
              <w:t>of prison term</w:t>
            </w:r>
          </w:p>
        </w:tc>
      </w:tr>
      <w:tr w:rsidR="006E1F63" w:rsidRPr="00222917" w:rsidTr="00D17669">
        <w:tc>
          <w:tcPr>
            <w:tcW w:w="753" w:type="pct"/>
            <w:tcBorders>
              <w:top w:val="single" w:sz="12" w:space="0" w:color="000000"/>
            </w:tcBorders>
            <w:shd w:val="clear" w:color="auto" w:fill="auto"/>
          </w:tcPr>
          <w:p w:rsidR="002D5BB0" w:rsidRPr="00222917" w:rsidRDefault="002D5BB0" w:rsidP="006334E9">
            <w:pPr>
              <w:pStyle w:val="SingleTxtG"/>
              <w:suppressAutoHyphens w:val="0"/>
              <w:spacing w:before="40" w:after="40" w:line="220" w:lineRule="exact"/>
              <w:ind w:left="0" w:right="0"/>
              <w:jc w:val="left"/>
              <w:rPr>
                <w:sz w:val="18"/>
                <w:lang w:val="en-US"/>
              </w:rPr>
            </w:pPr>
            <w:r w:rsidRPr="00222917">
              <w:rPr>
                <w:sz w:val="18"/>
                <w:lang w:val="en-US"/>
              </w:rPr>
              <w:t>2008</w:t>
            </w:r>
          </w:p>
        </w:tc>
        <w:tc>
          <w:tcPr>
            <w:tcW w:w="763" w:type="pct"/>
            <w:tcBorders>
              <w:top w:val="single" w:sz="12" w:space="0" w:color="000000"/>
            </w:tcBorders>
            <w:shd w:val="clear" w:color="auto" w:fill="auto"/>
            <w:vAlign w:val="bottom"/>
          </w:tcPr>
          <w:p w:rsidR="002D5BB0" w:rsidRPr="00222917" w:rsidRDefault="002D5BB0" w:rsidP="006334E9">
            <w:pPr>
              <w:pStyle w:val="SingleTxtG"/>
              <w:suppressAutoHyphens w:val="0"/>
              <w:spacing w:before="40" w:after="40" w:line="220" w:lineRule="exact"/>
              <w:ind w:left="0" w:right="0"/>
              <w:jc w:val="right"/>
              <w:rPr>
                <w:b/>
                <w:sz w:val="18"/>
                <w:lang w:val="en-US"/>
              </w:rPr>
            </w:pPr>
            <w:r w:rsidRPr="00222917">
              <w:rPr>
                <w:b/>
                <w:sz w:val="18"/>
                <w:lang w:val="en-US"/>
              </w:rPr>
              <w:t>188</w:t>
            </w:r>
          </w:p>
        </w:tc>
        <w:tc>
          <w:tcPr>
            <w:tcW w:w="787" w:type="pct"/>
            <w:tcBorders>
              <w:top w:val="single" w:sz="12" w:space="0" w:color="000000"/>
            </w:tcBorders>
            <w:shd w:val="clear" w:color="auto" w:fill="auto"/>
            <w:vAlign w:val="bottom"/>
          </w:tcPr>
          <w:p w:rsidR="002D5BB0" w:rsidRPr="00222917" w:rsidRDefault="002D5BB0" w:rsidP="006334E9">
            <w:pPr>
              <w:pStyle w:val="SingleTxtG"/>
              <w:suppressAutoHyphens w:val="0"/>
              <w:spacing w:before="40" w:after="40" w:line="220" w:lineRule="exact"/>
              <w:ind w:left="0" w:right="0"/>
              <w:jc w:val="right"/>
              <w:rPr>
                <w:sz w:val="18"/>
                <w:lang w:val="en-US"/>
              </w:rPr>
            </w:pPr>
            <w:r w:rsidRPr="00222917">
              <w:rPr>
                <w:sz w:val="18"/>
                <w:lang w:val="en-US"/>
              </w:rPr>
              <w:t>186</w:t>
            </w:r>
          </w:p>
        </w:tc>
        <w:tc>
          <w:tcPr>
            <w:tcW w:w="916" w:type="pct"/>
            <w:tcBorders>
              <w:top w:val="single" w:sz="12" w:space="0" w:color="000000"/>
            </w:tcBorders>
            <w:shd w:val="clear" w:color="auto" w:fill="auto"/>
            <w:vAlign w:val="bottom"/>
          </w:tcPr>
          <w:p w:rsidR="002D5BB0" w:rsidRPr="00222917" w:rsidRDefault="002D5BB0" w:rsidP="006334E9">
            <w:pPr>
              <w:pStyle w:val="SingleTxtG"/>
              <w:suppressAutoHyphens w:val="0"/>
              <w:spacing w:before="40" w:after="40" w:line="220" w:lineRule="exact"/>
              <w:ind w:left="0" w:right="0"/>
              <w:jc w:val="right"/>
              <w:rPr>
                <w:sz w:val="18"/>
                <w:lang w:val="en-US"/>
              </w:rPr>
            </w:pPr>
            <w:r w:rsidRPr="00222917">
              <w:rPr>
                <w:sz w:val="18"/>
                <w:lang w:val="en-US"/>
              </w:rPr>
              <w:t>1</w:t>
            </w:r>
          </w:p>
        </w:tc>
        <w:tc>
          <w:tcPr>
            <w:tcW w:w="883" w:type="pct"/>
            <w:tcBorders>
              <w:top w:val="single" w:sz="12" w:space="0" w:color="000000"/>
            </w:tcBorders>
            <w:shd w:val="clear" w:color="auto" w:fill="auto"/>
            <w:vAlign w:val="bottom"/>
          </w:tcPr>
          <w:p w:rsidR="002D5BB0" w:rsidRPr="00222917" w:rsidRDefault="002D5BB0" w:rsidP="006334E9">
            <w:pPr>
              <w:pStyle w:val="SingleTxtG"/>
              <w:suppressAutoHyphens w:val="0"/>
              <w:spacing w:before="40" w:after="40" w:line="220" w:lineRule="exact"/>
              <w:ind w:left="0" w:right="0"/>
              <w:jc w:val="right"/>
              <w:rPr>
                <w:sz w:val="18"/>
                <w:lang w:val="en-US"/>
              </w:rPr>
            </w:pPr>
            <w:r w:rsidRPr="00222917">
              <w:rPr>
                <w:sz w:val="18"/>
                <w:lang w:val="en-US"/>
              </w:rPr>
              <w:t>1</w:t>
            </w:r>
          </w:p>
        </w:tc>
        <w:tc>
          <w:tcPr>
            <w:tcW w:w="898" w:type="pct"/>
            <w:tcBorders>
              <w:top w:val="single" w:sz="12" w:space="0" w:color="000000"/>
            </w:tcBorders>
            <w:shd w:val="clear" w:color="auto" w:fill="auto"/>
            <w:vAlign w:val="bottom"/>
          </w:tcPr>
          <w:p w:rsidR="002D5BB0" w:rsidRPr="00222917" w:rsidRDefault="002D5BB0" w:rsidP="006334E9">
            <w:pPr>
              <w:pStyle w:val="SingleTxtG"/>
              <w:suppressAutoHyphens w:val="0"/>
              <w:spacing w:before="40" w:after="40" w:line="220" w:lineRule="exact"/>
              <w:ind w:left="0" w:right="0"/>
              <w:jc w:val="right"/>
              <w:rPr>
                <w:sz w:val="18"/>
                <w:lang w:val="en-US"/>
              </w:rPr>
            </w:pPr>
            <w:r w:rsidRPr="00222917">
              <w:rPr>
                <w:sz w:val="18"/>
                <w:lang w:val="en-US"/>
              </w:rPr>
              <w:t>0</w:t>
            </w:r>
          </w:p>
        </w:tc>
      </w:tr>
      <w:tr w:rsidR="006E1F63" w:rsidRPr="00222917" w:rsidTr="0094350B">
        <w:tc>
          <w:tcPr>
            <w:tcW w:w="753" w:type="pct"/>
            <w:shd w:val="clear" w:color="auto" w:fill="auto"/>
          </w:tcPr>
          <w:p w:rsidR="002D5BB0" w:rsidRPr="00222917" w:rsidRDefault="002D5BB0" w:rsidP="006334E9">
            <w:pPr>
              <w:pStyle w:val="SingleTxtG"/>
              <w:suppressAutoHyphens w:val="0"/>
              <w:spacing w:before="40" w:after="40" w:line="220" w:lineRule="exact"/>
              <w:ind w:left="0" w:right="0"/>
              <w:jc w:val="left"/>
              <w:rPr>
                <w:sz w:val="18"/>
                <w:lang w:val="en-US"/>
              </w:rPr>
            </w:pPr>
            <w:r w:rsidRPr="00222917">
              <w:rPr>
                <w:sz w:val="18"/>
                <w:lang w:val="en-US"/>
              </w:rPr>
              <w:t>2009</w:t>
            </w:r>
          </w:p>
        </w:tc>
        <w:tc>
          <w:tcPr>
            <w:tcW w:w="763" w:type="pct"/>
            <w:shd w:val="clear" w:color="auto" w:fill="auto"/>
            <w:vAlign w:val="bottom"/>
          </w:tcPr>
          <w:p w:rsidR="002D5BB0" w:rsidRPr="00222917" w:rsidRDefault="002D5BB0" w:rsidP="006334E9">
            <w:pPr>
              <w:pStyle w:val="SingleTxtG"/>
              <w:suppressAutoHyphens w:val="0"/>
              <w:spacing w:before="40" w:after="40" w:line="220" w:lineRule="exact"/>
              <w:ind w:left="0" w:right="0"/>
              <w:jc w:val="right"/>
              <w:rPr>
                <w:b/>
                <w:sz w:val="18"/>
                <w:lang w:val="en-US"/>
              </w:rPr>
            </w:pPr>
            <w:r w:rsidRPr="00222917">
              <w:rPr>
                <w:b/>
                <w:sz w:val="18"/>
                <w:lang w:val="en-US"/>
              </w:rPr>
              <w:t>347</w:t>
            </w:r>
          </w:p>
        </w:tc>
        <w:tc>
          <w:tcPr>
            <w:tcW w:w="787" w:type="pct"/>
            <w:shd w:val="clear" w:color="auto" w:fill="auto"/>
            <w:vAlign w:val="bottom"/>
          </w:tcPr>
          <w:p w:rsidR="002D5BB0" w:rsidRPr="00222917" w:rsidRDefault="002D5BB0" w:rsidP="006334E9">
            <w:pPr>
              <w:pStyle w:val="SingleTxtG"/>
              <w:suppressAutoHyphens w:val="0"/>
              <w:spacing w:before="40" w:after="40" w:line="220" w:lineRule="exact"/>
              <w:ind w:left="0" w:right="0"/>
              <w:jc w:val="right"/>
              <w:rPr>
                <w:sz w:val="18"/>
                <w:lang w:val="en-US"/>
              </w:rPr>
            </w:pPr>
            <w:r w:rsidRPr="00222917">
              <w:rPr>
                <w:sz w:val="18"/>
                <w:lang w:val="en-US"/>
              </w:rPr>
              <w:t>329</w:t>
            </w:r>
          </w:p>
        </w:tc>
        <w:tc>
          <w:tcPr>
            <w:tcW w:w="916" w:type="pct"/>
            <w:shd w:val="clear" w:color="auto" w:fill="auto"/>
            <w:vAlign w:val="bottom"/>
          </w:tcPr>
          <w:p w:rsidR="002D5BB0" w:rsidRPr="00222917" w:rsidRDefault="002D5BB0" w:rsidP="006334E9">
            <w:pPr>
              <w:pStyle w:val="SingleTxtG"/>
              <w:suppressAutoHyphens w:val="0"/>
              <w:spacing w:before="40" w:after="40" w:line="220" w:lineRule="exact"/>
              <w:ind w:left="0" w:right="0"/>
              <w:jc w:val="right"/>
              <w:rPr>
                <w:sz w:val="18"/>
                <w:lang w:val="en-US"/>
              </w:rPr>
            </w:pPr>
            <w:r w:rsidRPr="00222917">
              <w:rPr>
                <w:sz w:val="18"/>
                <w:lang w:val="en-US"/>
              </w:rPr>
              <w:t>12</w:t>
            </w:r>
          </w:p>
        </w:tc>
        <w:tc>
          <w:tcPr>
            <w:tcW w:w="883" w:type="pct"/>
            <w:shd w:val="clear" w:color="auto" w:fill="auto"/>
            <w:vAlign w:val="bottom"/>
          </w:tcPr>
          <w:p w:rsidR="002D5BB0" w:rsidRPr="00222917" w:rsidRDefault="002D5BB0" w:rsidP="006334E9">
            <w:pPr>
              <w:pStyle w:val="SingleTxtG"/>
              <w:suppressAutoHyphens w:val="0"/>
              <w:spacing w:before="40" w:after="40" w:line="220" w:lineRule="exact"/>
              <w:ind w:left="0" w:right="0"/>
              <w:jc w:val="right"/>
              <w:rPr>
                <w:sz w:val="18"/>
                <w:lang w:val="en-US"/>
              </w:rPr>
            </w:pPr>
            <w:r w:rsidRPr="00222917">
              <w:rPr>
                <w:sz w:val="18"/>
                <w:lang w:val="en-US"/>
              </w:rPr>
              <w:t>5</w:t>
            </w:r>
          </w:p>
        </w:tc>
        <w:tc>
          <w:tcPr>
            <w:tcW w:w="898" w:type="pct"/>
            <w:shd w:val="clear" w:color="auto" w:fill="auto"/>
            <w:vAlign w:val="bottom"/>
          </w:tcPr>
          <w:p w:rsidR="002D5BB0" w:rsidRPr="00222917" w:rsidRDefault="002D5BB0" w:rsidP="006334E9">
            <w:pPr>
              <w:pStyle w:val="SingleTxtG"/>
              <w:suppressAutoHyphens w:val="0"/>
              <w:spacing w:before="40" w:after="40" w:line="220" w:lineRule="exact"/>
              <w:ind w:left="0" w:right="0"/>
              <w:jc w:val="right"/>
              <w:rPr>
                <w:sz w:val="18"/>
                <w:lang w:val="en-US"/>
              </w:rPr>
            </w:pPr>
            <w:r w:rsidRPr="00222917">
              <w:rPr>
                <w:sz w:val="18"/>
                <w:lang w:val="en-US"/>
              </w:rPr>
              <w:t>1</w:t>
            </w:r>
          </w:p>
        </w:tc>
      </w:tr>
      <w:tr w:rsidR="006E1F63" w:rsidRPr="00222917" w:rsidTr="00D17669">
        <w:tc>
          <w:tcPr>
            <w:tcW w:w="753" w:type="pct"/>
            <w:tcBorders>
              <w:bottom w:val="single" w:sz="4" w:space="0" w:color="000000"/>
            </w:tcBorders>
            <w:shd w:val="clear" w:color="auto" w:fill="auto"/>
          </w:tcPr>
          <w:p w:rsidR="002D5BB0" w:rsidRPr="00222917" w:rsidRDefault="002D5BB0" w:rsidP="006334E9">
            <w:pPr>
              <w:pStyle w:val="SingleTxtG"/>
              <w:suppressAutoHyphens w:val="0"/>
              <w:spacing w:before="40" w:after="40" w:line="220" w:lineRule="exact"/>
              <w:ind w:left="0" w:right="0"/>
              <w:jc w:val="left"/>
              <w:rPr>
                <w:sz w:val="18"/>
                <w:lang w:val="en-US"/>
              </w:rPr>
            </w:pPr>
            <w:r w:rsidRPr="00222917">
              <w:rPr>
                <w:sz w:val="18"/>
                <w:lang w:val="en-US"/>
              </w:rPr>
              <w:t>2010</w:t>
            </w:r>
          </w:p>
        </w:tc>
        <w:tc>
          <w:tcPr>
            <w:tcW w:w="763" w:type="pct"/>
            <w:tcBorders>
              <w:bottom w:val="single" w:sz="4" w:space="0" w:color="000000"/>
            </w:tcBorders>
            <w:shd w:val="clear" w:color="auto" w:fill="auto"/>
            <w:vAlign w:val="bottom"/>
          </w:tcPr>
          <w:p w:rsidR="002D5BB0" w:rsidRPr="00222917" w:rsidRDefault="002D5BB0" w:rsidP="006334E9">
            <w:pPr>
              <w:pStyle w:val="SingleTxtG"/>
              <w:suppressAutoHyphens w:val="0"/>
              <w:spacing w:before="40" w:after="40" w:line="220" w:lineRule="exact"/>
              <w:ind w:left="0" w:right="0"/>
              <w:jc w:val="right"/>
              <w:rPr>
                <w:b/>
                <w:sz w:val="18"/>
                <w:lang w:val="en-US"/>
              </w:rPr>
            </w:pPr>
            <w:r w:rsidRPr="00222917">
              <w:rPr>
                <w:b/>
                <w:sz w:val="18"/>
                <w:lang w:val="en-US"/>
              </w:rPr>
              <w:t>47</w:t>
            </w:r>
          </w:p>
        </w:tc>
        <w:tc>
          <w:tcPr>
            <w:tcW w:w="787" w:type="pct"/>
            <w:tcBorders>
              <w:bottom w:val="single" w:sz="4" w:space="0" w:color="000000"/>
            </w:tcBorders>
            <w:shd w:val="clear" w:color="auto" w:fill="auto"/>
            <w:vAlign w:val="bottom"/>
          </w:tcPr>
          <w:p w:rsidR="002D5BB0" w:rsidRPr="00222917" w:rsidRDefault="002D5BB0" w:rsidP="006334E9">
            <w:pPr>
              <w:pStyle w:val="SingleTxtG"/>
              <w:suppressAutoHyphens w:val="0"/>
              <w:spacing w:before="40" w:after="40" w:line="220" w:lineRule="exact"/>
              <w:ind w:left="0" w:right="0"/>
              <w:jc w:val="right"/>
              <w:rPr>
                <w:sz w:val="18"/>
                <w:lang w:val="en-US"/>
              </w:rPr>
            </w:pPr>
            <w:r w:rsidRPr="00222917">
              <w:rPr>
                <w:sz w:val="18"/>
                <w:lang w:val="en-US"/>
              </w:rPr>
              <w:t>44</w:t>
            </w:r>
          </w:p>
        </w:tc>
        <w:tc>
          <w:tcPr>
            <w:tcW w:w="916" w:type="pct"/>
            <w:tcBorders>
              <w:bottom w:val="single" w:sz="4" w:space="0" w:color="000000"/>
            </w:tcBorders>
            <w:shd w:val="clear" w:color="auto" w:fill="auto"/>
            <w:vAlign w:val="bottom"/>
          </w:tcPr>
          <w:p w:rsidR="002D5BB0" w:rsidRPr="00222917" w:rsidRDefault="002D5BB0" w:rsidP="006334E9">
            <w:pPr>
              <w:pStyle w:val="SingleTxtG"/>
              <w:suppressAutoHyphens w:val="0"/>
              <w:spacing w:before="40" w:after="40" w:line="220" w:lineRule="exact"/>
              <w:ind w:left="0" w:right="0"/>
              <w:jc w:val="right"/>
              <w:rPr>
                <w:sz w:val="18"/>
                <w:lang w:val="en-US"/>
              </w:rPr>
            </w:pPr>
            <w:r w:rsidRPr="00222917">
              <w:rPr>
                <w:sz w:val="18"/>
                <w:lang w:val="en-US"/>
              </w:rPr>
              <w:t>1</w:t>
            </w:r>
          </w:p>
        </w:tc>
        <w:tc>
          <w:tcPr>
            <w:tcW w:w="883" w:type="pct"/>
            <w:tcBorders>
              <w:bottom w:val="single" w:sz="4" w:space="0" w:color="000000"/>
            </w:tcBorders>
            <w:shd w:val="clear" w:color="auto" w:fill="auto"/>
            <w:vAlign w:val="bottom"/>
          </w:tcPr>
          <w:p w:rsidR="002D5BB0" w:rsidRPr="00222917" w:rsidRDefault="002D5BB0" w:rsidP="006334E9">
            <w:pPr>
              <w:pStyle w:val="SingleTxtG"/>
              <w:suppressAutoHyphens w:val="0"/>
              <w:spacing w:before="40" w:after="40" w:line="220" w:lineRule="exact"/>
              <w:ind w:left="0" w:right="0"/>
              <w:jc w:val="right"/>
              <w:rPr>
                <w:sz w:val="18"/>
                <w:lang w:val="en-US"/>
              </w:rPr>
            </w:pPr>
            <w:r w:rsidRPr="00222917">
              <w:rPr>
                <w:sz w:val="18"/>
                <w:lang w:val="en-US"/>
              </w:rPr>
              <w:t>-</w:t>
            </w:r>
          </w:p>
        </w:tc>
        <w:tc>
          <w:tcPr>
            <w:tcW w:w="898" w:type="pct"/>
            <w:tcBorders>
              <w:bottom w:val="single" w:sz="4" w:space="0" w:color="000000"/>
            </w:tcBorders>
            <w:shd w:val="clear" w:color="auto" w:fill="auto"/>
            <w:vAlign w:val="bottom"/>
          </w:tcPr>
          <w:p w:rsidR="002D5BB0" w:rsidRPr="00222917" w:rsidRDefault="002D5BB0" w:rsidP="006334E9">
            <w:pPr>
              <w:pStyle w:val="SingleTxtG"/>
              <w:suppressAutoHyphens w:val="0"/>
              <w:spacing w:before="40" w:after="40" w:line="220" w:lineRule="exact"/>
              <w:ind w:left="0" w:right="0"/>
              <w:jc w:val="right"/>
              <w:rPr>
                <w:sz w:val="18"/>
                <w:lang w:val="en-US"/>
              </w:rPr>
            </w:pPr>
            <w:r w:rsidRPr="00222917">
              <w:rPr>
                <w:sz w:val="18"/>
                <w:lang w:val="en-US"/>
              </w:rPr>
              <w:t>3</w:t>
            </w:r>
          </w:p>
        </w:tc>
      </w:tr>
      <w:tr w:rsidR="006E1F63" w:rsidRPr="00222917" w:rsidTr="00D17669">
        <w:tc>
          <w:tcPr>
            <w:tcW w:w="753" w:type="pct"/>
            <w:tcBorders>
              <w:top w:val="single" w:sz="4" w:space="0" w:color="000000"/>
              <w:bottom w:val="single" w:sz="12" w:space="0" w:color="auto"/>
            </w:tcBorders>
            <w:shd w:val="clear" w:color="auto" w:fill="auto"/>
          </w:tcPr>
          <w:p w:rsidR="002D5BB0" w:rsidRPr="00222917" w:rsidRDefault="002D5BB0" w:rsidP="006334E9">
            <w:pPr>
              <w:pStyle w:val="SingleTxtG"/>
              <w:suppressAutoHyphens w:val="0"/>
              <w:spacing w:before="80" w:after="80" w:line="220" w:lineRule="exact"/>
              <w:ind w:left="0" w:right="0"/>
              <w:jc w:val="left"/>
              <w:rPr>
                <w:b/>
                <w:sz w:val="18"/>
                <w:lang w:val="en-US"/>
              </w:rPr>
            </w:pPr>
            <w:r w:rsidRPr="00222917">
              <w:rPr>
                <w:b/>
                <w:sz w:val="18"/>
                <w:lang w:val="en-US"/>
              </w:rPr>
              <w:t>Total</w:t>
            </w:r>
          </w:p>
        </w:tc>
        <w:tc>
          <w:tcPr>
            <w:tcW w:w="763" w:type="pct"/>
            <w:tcBorders>
              <w:top w:val="single" w:sz="4" w:space="0" w:color="000000"/>
              <w:bottom w:val="single" w:sz="12" w:space="0" w:color="auto"/>
            </w:tcBorders>
            <w:shd w:val="clear" w:color="auto" w:fill="auto"/>
            <w:vAlign w:val="bottom"/>
          </w:tcPr>
          <w:p w:rsidR="002D5BB0" w:rsidRPr="00222917" w:rsidRDefault="002D5BB0" w:rsidP="006334E9">
            <w:pPr>
              <w:pStyle w:val="SingleTxtG"/>
              <w:suppressAutoHyphens w:val="0"/>
              <w:spacing w:before="80" w:after="80" w:line="220" w:lineRule="exact"/>
              <w:ind w:left="0" w:right="0"/>
              <w:jc w:val="right"/>
              <w:rPr>
                <w:b/>
                <w:sz w:val="18"/>
                <w:lang w:val="en-US"/>
              </w:rPr>
            </w:pPr>
            <w:r w:rsidRPr="00222917">
              <w:rPr>
                <w:b/>
                <w:sz w:val="18"/>
                <w:lang w:val="en-US"/>
              </w:rPr>
              <w:t>582</w:t>
            </w:r>
          </w:p>
        </w:tc>
        <w:tc>
          <w:tcPr>
            <w:tcW w:w="787" w:type="pct"/>
            <w:tcBorders>
              <w:top w:val="single" w:sz="4" w:space="0" w:color="000000"/>
              <w:bottom w:val="single" w:sz="12" w:space="0" w:color="auto"/>
            </w:tcBorders>
            <w:shd w:val="clear" w:color="auto" w:fill="auto"/>
            <w:vAlign w:val="bottom"/>
          </w:tcPr>
          <w:p w:rsidR="002D5BB0" w:rsidRPr="00222917" w:rsidRDefault="002D5BB0" w:rsidP="006334E9">
            <w:pPr>
              <w:pStyle w:val="SingleTxtG"/>
              <w:suppressAutoHyphens w:val="0"/>
              <w:spacing w:before="80" w:after="80" w:line="220" w:lineRule="exact"/>
              <w:ind w:left="0" w:right="0"/>
              <w:jc w:val="right"/>
              <w:rPr>
                <w:b/>
                <w:sz w:val="18"/>
                <w:lang w:val="en-US"/>
              </w:rPr>
            </w:pPr>
            <w:r w:rsidRPr="00222917">
              <w:rPr>
                <w:b/>
                <w:sz w:val="18"/>
                <w:lang w:val="en-US"/>
              </w:rPr>
              <w:t>559</w:t>
            </w:r>
          </w:p>
        </w:tc>
        <w:tc>
          <w:tcPr>
            <w:tcW w:w="916" w:type="pct"/>
            <w:tcBorders>
              <w:top w:val="single" w:sz="4" w:space="0" w:color="000000"/>
              <w:bottom w:val="single" w:sz="12" w:space="0" w:color="auto"/>
            </w:tcBorders>
            <w:shd w:val="clear" w:color="auto" w:fill="auto"/>
            <w:vAlign w:val="bottom"/>
          </w:tcPr>
          <w:p w:rsidR="002D5BB0" w:rsidRPr="00222917" w:rsidRDefault="002D5BB0" w:rsidP="006334E9">
            <w:pPr>
              <w:pStyle w:val="SingleTxtG"/>
              <w:suppressAutoHyphens w:val="0"/>
              <w:spacing w:before="80" w:after="80" w:line="220" w:lineRule="exact"/>
              <w:ind w:left="0" w:right="0"/>
              <w:jc w:val="right"/>
              <w:rPr>
                <w:b/>
                <w:sz w:val="18"/>
                <w:lang w:val="en-US"/>
              </w:rPr>
            </w:pPr>
            <w:r w:rsidRPr="00222917">
              <w:rPr>
                <w:b/>
                <w:sz w:val="18"/>
                <w:lang w:val="en-US"/>
              </w:rPr>
              <w:t>14</w:t>
            </w:r>
          </w:p>
        </w:tc>
        <w:tc>
          <w:tcPr>
            <w:tcW w:w="883" w:type="pct"/>
            <w:tcBorders>
              <w:top w:val="single" w:sz="4" w:space="0" w:color="000000"/>
              <w:bottom w:val="single" w:sz="12" w:space="0" w:color="auto"/>
            </w:tcBorders>
            <w:shd w:val="clear" w:color="auto" w:fill="auto"/>
            <w:vAlign w:val="bottom"/>
          </w:tcPr>
          <w:p w:rsidR="002D5BB0" w:rsidRPr="00222917" w:rsidRDefault="002D5BB0" w:rsidP="006334E9">
            <w:pPr>
              <w:pStyle w:val="SingleTxtG"/>
              <w:suppressAutoHyphens w:val="0"/>
              <w:spacing w:before="80" w:after="80" w:line="220" w:lineRule="exact"/>
              <w:ind w:left="0" w:right="0"/>
              <w:jc w:val="right"/>
              <w:rPr>
                <w:b/>
                <w:sz w:val="18"/>
                <w:lang w:val="en-US"/>
              </w:rPr>
            </w:pPr>
            <w:r w:rsidRPr="00222917">
              <w:rPr>
                <w:b/>
                <w:sz w:val="18"/>
                <w:lang w:val="en-US"/>
              </w:rPr>
              <w:t>6</w:t>
            </w:r>
          </w:p>
        </w:tc>
        <w:tc>
          <w:tcPr>
            <w:tcW w:w="898" w:type="pct"/>
            <w:tcBorders>
              <w:top w:val="single" w:sz="4" w:space="0" w:color="000000"/>
              <w:bottom w:val="single" w:sz="12" w:space="0" w:color="auto"/>
            </w:tcBorders>
            <w:shd w:val="clear" w:color="auto" w:fill="auto"/>
            <w:vAlign w:val="bottom"/>
          </w:tcPr>
          <w:p w:rsidR="002D5BB0" w:rsidRPr="00222917" w:rsidRDefault="002D5BB0" w:rsidP="006334E9">
            <w:pPr>
              <w:pStyle w:val="SingleTxtG"/>
              <w:suppressAutoHyphens w:val="0"/>
              <w:spacing w:before="80" w:after="80" w:line="220" w:lineRule="exact"/>
              <w:ind w:left="0" w:right="0"/>
              <w:jc w:val="right"/>
              <w:rPr>
                <w:b/>
                <w:sz w:val="18"/>
                <w:lang w:val="en-US"/>
              </w:rPr>
            </w:pPr>
            <w:r w:rsidRPr="00222917">
              <w:rPr>
                <w:b/>
                <w:sz w:val="18"/>
                <w:lang w:val="en-US"/>
              </w:rPr>
              <w:t>4</w:t>
            </w:r>
          </w:p>
        </w:tc>
      </w:tr>
    </w:tbl>
    <w:p w:rsidR="002D5BB0" w:rsidRPr="00222917" w:rsidRDefault="00547908" w:rsidP="00547908">
      <w:pPr>
        <w:pStyle w:val="SingleTxtG"/>
        <w:keepLines/>
        <w:spacing w:before="240"/>
        <w:rPr>
          <w:lang w:val="en-US"/>
        </w:rPr>
      </w:pPr>
      <w:r w:rsidRPr="00222917">
        <w:rPr>
          <w:lang w:val="en-US"/>
        </w:rPr>
        <w:t>74.</w:t>
      </w:r>
      <w:r w:rsidRPr="00222917">
        <w:rPr>
          <w:lang w:val="en-US"/>
        </w:rPr>
        <w:tab/>
      </w:r>
      <w:r w:rsidR="002D5BB0" w:rsidRPr="00222917">
        <w:rPr>
          <w:lang w:val="en-US"/>
        </w:rPr>
        <w:t xml:space="preserve">On 13 June 2008, the </w:t>
      </w:r>
      <w:r w:rsidR="002D5BB0" w:rsidRPr="00222917">
        <w:rPr>
          <w:iCs/>
          <w:lang w:val="en-US"/>
        </w:rPr>
        <w:t xml:space="preserve">Medical Treatment and Custody Act </w:t>
      </w:r>
      <w:r w:rsidR="002D5BB0" w:rsidRPr="00222917">
        <w:rPr>
          <w:lang w:val="en-US"/>
        </w:rPr>
        <w:t>was amended to expand the coverage of medical treatment and custody to persons with psychosexual disorders with a view to improving their sexual behavior while</w:t>
      </w:r>
      <w:r w:rsidR="001A2BB2" w:rsidRPr="00222917">
        <w:rPr>
          <w:lang w:val="en-US"/>
        </w:rPr>
        <w:t xml:space="preserve"> safeguarding society (</w:t>
      </w:r>
      <w:r w:rsidR="00681EC0" w:rsidRPr="00222917">
        <w:rPr>
          <w:lang w:val="en-US"/>
        </w:rPr>
        <w:t>a</w:t>
      </w:r>
      <w:r w:rsidR="001A2BB2" w:rsidRPr="00222917">
        <w:rPr>
          <w:lang w:val="en-US"/>
        </w:rPr>
        <w:t>rticles </w:t>
      </w:r>
      <w:r w:rsidR="002D5BB0" w:rsidRPr="00222917">
        <w:rPr>
          <w:lang w:val="en-US"/>
        </w:rPr>
        <w:t>1 and 2</w:t>
      </w:r>
      <w:r w:rsidR="00681EC0" w:rsidRPr="00222917">
        <w:rPr>
          <w:lang w:val="en-US"/>
        </w:rPr>
        <w:t xml:space="preserve"> </w:t>
      </w:r>
      <w:r w:rsidR="002D5BB0" w:rsidRPr="00222917">
        <w:rPr>
          <w:lang w:val="en-US"/>
        </w:rPr>
        <w:t>(1)</w:t>
      </w:r>
      <w:r w:rsidR="00681EC0" w:rsidRPr="00222917">
        <w:rPr>
          <w:lang w:val="en-US"/>
        </w:rPr>
        <w:t xml:space="preserve"> </w:t>
      </w:r>
      <w:r w:rsidR="002D5BB0" w:rsidRPr="00222917">
        <w:rPr>
          <w:lang w:val="en-US"/>
        </w:rPr>
        <w:t>3). Thus the amended Act provides a legal basis for treatment and education of persons with psychosexual disorders, taking into consideration that such persons, including pedophiles, are highly likely to commit another crime but also have a high chance of improvement through treatment, and specifies crimes of sexual violence subject to medical</w:t>
      </w:r>
      <w:r w:rsidR="001A2BB2" w:rsidRPr="00222917">
        <w:rPr>
          <w:lang w:val="en-US"/>
        </w:rPr>
        <w:t xml:space="preserve"> treatment and custody (</w:t>
      </w:r>
      <w:r w:rsidR="00681EC0" w:rsidRPr="00222917">
        <w:rPr>
          <w:lang w:val="en-US"/>
        </w:rPr>
        <w:t>a</w:t>
      </w:r>
      <w:r w:rsidR="001A2BB2" w:rsidRPr="00222917">
        <w:rPr>
          <w:lang w:val="en-US"/>
        </w:rPr>
        <w:t>rticle </w:t>
      </w:r>
      <w:r w:rsidR="002D5BB0" w:rsidRPr="00222917">
        <w:rPr>
          <w:lang w:val="en-US"/>
        </w:rPr>
        <w:t xml:space="preserve">2-2). In addition, the Act requires diagnosis or assessment by a psychiatrist at the prosecutor’s request for medical treatment and custody of persons with </w:t>
      </w:r>
      <w:r w:rsidR="001A2BB2" w:rsidRPr="00222917">
        <w:rPr>
          <w:lang w:val="en-US"/>
        </w:rPr>
        <w:t>psychosexual disorders (</w:t>
      </w:r>
      <w:r w:rsidR="00681EC0" w:rsidRPr="00222917">
        <w:rPr>
          <w:lang w:val="en-US"/>
        </w:rPr>
        <w:t>a</w:t>
      </w:r>
      <w:r w:rsidR="001A2BB2" w:rsidRPr="00222917">
        <w:rPr>
          <w:lang w:val="en-US"/>
        </w:rPr>
        <w:t>rticle </w:t>
      </w:r>
      <w:r w:rsidR="002D5BB0" w:rsidRPr="00222917">
        <w:rPr>
          <w:lang w:val="en-US"/>
        </w:rPr>
        <w:t>4</w:t>
      </w:r>
      <w:r w:rsidR="00681EC0" w:rsidRPr="00222917">
        <w:rPr>
          <w:lang w:val="en-US"/>
        </w:rPr>
        <w:t xml:space="preserve"> </w:t>
      </w:r>
      <w:r w:rsidR="002D5BB0" w:rsidRPr="00222917">
        <w:rPr>
          <w:lang w:val="en-US"/>
        </w:rPr>
        <w:t>(1)) and provides for the maximum period of medical</w:t>
      </w:r>
      <w:r w:rsidR="001A2BB2" w:rsidRPr="00222917">
        <w:rPr>
          <w:lang w:val="en-US"/>
        </w:rPr>
        <w:t xml:space="preserve"> treatment and custody (</w:t>
      </w:r>
      <w:r w:rsidR="00681EC0" w:rsidRPr="00222917">
        <w:rPr>
          <w:lang w:val="en-US"/>
        </w:rPr>
        <w:t>a</w:t>
      </w:r>
      <w:r w:rsidR="001A2BB2" w:rsidRPr="00222917">
        <w:rPr>
          <w:lang w:val="en-US"/>
        </w:rPr>
        <w:t>rticle </w:t>
      </w:r>
      <w:r w:rsidR="002D5BB0" w:rsidRPr="00222917">
        <w:rPr>
          <w:lang w:val="en-US"/>
        </w:rPr>
        <w:t>16</w:t>
      </w:r>
      <w:r w:rsidR="00681EC0" w:rsidRPr="00222917">
        <w:rPr>
          <w:lang w:val="en-US"/>
        </w:rPr>
        <w:t xml:space="preserve"> </w:t>
      </w:r>
      <w:r w:rsidR="002D5BB0" w:rsidRPr="00222917">
        <w:rPr>
          <w:lang w:val="en-US"/>
        </w:rPr>
        <w:t>(2)) in order to maximize the effect of medical treatment and custody and minimize the likelihood of violation of right of persons in treatment and custody. As of 9 April 2010, 29</w:t>
      </w:r>
      <w:r w:rsidR="001A2BB2" w:rsidRPr="00222917">
        <w:rPr>
          <w:lang w:val="en-US"/>
        </w:rPr>
        <w:t> </w:t>
      </w:r>
      <w:r w:rsidR="002D5BB0" w:rsidRPr="00222917">
        <w:rPr>
          <w:lang w:val="en-US"/>
        </w:rPr>
        <w:t xml:space="preserve">sex criminals were accommodated at a personality treatment and rehabilitation center in the </w:t>
      </w:r>
      <w:smartTag w:uri="urn:schemas-microsoft-com:office:smarttags" w:element="place">
        <w:smartTag w:uri="urn:schemas-microsoft-com:office:smarttags" w:element="PlaceType">
          <w:r w:rsidR="002D5BB0" w:rsidRPr="00222917">
            <w:rPr>
              <w:lang w:val="en-US"/>
            </w:rPr>
            <w:t>Institute</w:t>
          </w:r>
        </w:smartTag>
        <w:r w:rsidR="002D5BB0" w:rsidRPr="00222917">
          <w:rPr>
            <w:lang w:val="en-US"/>
          </w:rPr>
          <w:t xml:space="preserve"> of </w:t>
        </w:r>
        <w:smartTag w:uri="urn:schemas-microsoft-com:office:smarttags" w:element="PlaceName">
          <w:r w:rsidR="002D5BB0" w:rsidRPr="00222917">
            <w:rPr>
              <w:lang w:val="en-US"/>
            </w:rPr>
            <w:t>Forensic Psychiatry</w:t>
          </w:r>
        </w:smartTag>
      </w:smartTag>
      <w:r w:rsidR="002D5BB0" w:rsidRPr="00222917">
        <w:rPr>
          <w:lang w:val="en-US"/>
        </w:rPr>
        <w:t xml:space="preserve"> for treatment.</w:t>
      </w:r>
      <w:r w:rsidR="00120D8B" w:rsidRPr="00222917">
        <w:rPr>
          <w:lang w:val="en-US"/>
        </w:rPr>
        <w:t xml:space="preserve"> </w:t>
      </w:r>
    </w:p>
    <w:p w:rsidR="002D5BB0" w:rsidRPr="00222917" w:rsidRDefault="00A07D40" w:rsidP="00A07D40">
      <w:pPr>
        <w:pStyle w:val="H23G"/>
        <w:rPr>
          <w:lang w:val="en-US"/>
        </w:rPr>
      </w:pPr>
      <w:r w:rsidRPr="00222917">
        <w:rPr>
          <w:lang w:val="en-US"/>
        </w:rPr>
        <w:tab/>
      </w:r>
      <w:r w:rsidRPr="00222917">
        <w:rPr>
          <w:lang w:val="en-US"/>
        </w:rPr>
        <w:tab/>
      </w:r>
      <w:r w:rsidR="002D5BB0" w:rsidRPr="00222917">
        <w:rPr>
          <w:lang w:val="en-US"/>
        </w:rPr>
        <w:t>Efforts to Protect Female Victims of Domestic or Sexual Violence</w:t>
      </w:r>
    </w:p>
    <w:p w:rsidR="002D5BB0" w:rsidRPr="00222917" w:rsidRDefault="00A07D40" w:rsidP="00A07D40">
      <w:pPr>
        <w:pStyle w:val="H4G"/>
        <w:rPr>
          <w:lang w:val="en-US"/>
        </w:rPr>
      </w:pPr>
      <w:r w:rsidRPr="00222917">
        <w:rPr>
          <w:lang w:val="en-US"/>
        </w:rPr>
        <w:tab/>
      </w:r>
      <w:r w:rsidRPr="00222917">
        <w:rPr>
          <w:lang w:val="en-US"/>
        </w:rPr>
        <w:tab/>
      </w:r>
      <w:r w:rsidR="002D5BB0" w:rsidRPr="00222917">
        <w:rPr>
          <w:lang w:val="en-US"/>
        </w:rPr>
        <w:t>General Assistance for Violence Victims</w:t>
      </w:r>
      <w:r w:rsidR="00120D8B" w:rsidRPr="00222917">
        <w:rPr>
          <w:lang w:val="en-US"/>
        </w:rPr>
        <w:t xml:space="preserve"> </w:t>
      </w:r>
    </w:p>
    <w:p w:rsidR="002D5BB0" w:rsidRPr="00222917" w:rsidRDefault="00547908" w:rsidP="00547908">
      <w:pPr>
        <w:pStyle w:val="SingleTxtG"/>
        <w:rPr>
          <w:lang w:val="en-US"/>
        </w:rPr>
      </w:pPr>
      <w:r w:rsidRPr="00222917">
        <w:rPr>
          <w:lang w:val="en-US"/>
        </w:rPr>
        <w:t>75.</w:t>
      </w:r>
      <w:r w:rsidRPr="00222917">
        <w:rPr>
          <w:lang w:val="en-US"/>
        </w:rPr>
        <w:tab/>
      </w:r>
      <w:r w:rsidR="002D5BB0" w:rsidRPr="00222917">
        <w:rPr>
          <w:lang w:val="en-US"/>
        </w:rPr>
        <w:t>The Government has established a system of protective service from the initial stage of violence up to the stage of self-</w:t>
      </w:r>
      <w:r w:rsidR="002D5BB0" w:rsidRPr="00222917">
        <w:rPr>
          <w:bCs/>
          <w:lang w:val="en-US"/>
        </w:rPr>
        <w:t>reliance</w:t>
      </w:r>
      <w:r w:rsidR="002D5BB0" w:rsidRPr="00222917">
        <w:rPr>
          <w:lang w:val="en-US"/>
        </w:rPr>
        <w:t>, with a view to supporting women victims of violence to survive their suffering, which includes 1366 hot line service and counseling centers to address domestic and sexual violence, protection facilities, dedicated centers for children victims of sexual violence (2004), one-stop support centers for female victims of violence (2006), group homes (2008), the Central Support Center for Women and Children Victims of Violence, and shelters for children and youths victimized by sexual violence (2010).</w:t>
      </w:r>
    </w:p>
    <w:p w:rsidR="00215A6F" w:rsidRPr="00222917" w:rsidRDefault="00547908" w:rsidP="00547908">
      <w:pPr>
        <w:pStyle w:val="SingleTxtG"/>
        <w:rPr>
          <w:lang w:val="en-US"/>
        </w:rPr>
      </w:pPr>
      <w:r w:rsidRPr="00222917">
        <w:rPr>
          <w:lang w:val="en-US"/>
        </w:rPr>
        <w:t>76.</w:t>
      </w:r>
      <w:r w:rsidRPr="00222917">
        <w:rPr>
          <w:lang w:val="en-US"/>
        </w:rPr>
        <w:tab/>
      </w:r>
      <w:r w:rsidR="002D5BB0" w:rsidRPr="00222917">
        <w:rPr>
          <w:lang w:val="en-US"/>
        </w:rPr>
        <w:t xml:space="preserve">Group homes, introduced in 2008, offer joint rental housing to female victims of domestic and sexual violence and their family members who have difficulty in securing adequate residence. As of 2010, </w:t>
      </w:r>
      <w:r w:rsidR="002D5BB0" w:rsidRPr="00222917">
        <w:rPr>
          <w:bCs/>
          <w:lang w:val="en-US"/>
        </w:rPr>
        <w:t>the</w:t>
      </w:r>
      <w:r w:rsidR="002D5BB0" w:rsidRPr="00222917">
        <w:rPr>
          <w:lang w:val="en-US"/>
        </w:rPr>
        <w:t xml:space="preserve"> Government provides 54 rental houses in five areas across the country</w:t>
      </w:r>
      <w:r w:rsidR="00222917">
        <w:rPr>
          <w:lang w:val="en-US"/>
        </w:rPr>
        <w:t>,</w:t>
      </w:r>
      <w:r w:rsidR="002D5BB0" w:rsidRPr="00222917">
        <w:rPr>
          <w:lang w:val="en-US"/>
        </w:rPr>
        <w:t xml:space="preserve"> accommodat</w:t>
      </w:r>
      <w:r w:rsidR="0043215C">
        <w:rPr>
          <w:lang w:val="en-US"/>
        </w:rPr>
        <w:t>ing</w:t>
      </w:r>
      <w:r w:rsidR="002D5BB0" w:rsidRPr="00222917">
        <w:rPr>
          <w:lang w:val="en-US"/>
        </w:rPr>
        <w:t xml:space="preserve"> 213 persons </w:t>
      </w:r>
      <w:r w:rsidR="0043215C">
        <w:rPr>
          <w:lang w:val="en-US"/>
        </w:rPr>
        <w:t>in</w:t>
      </w:r>
      <w:r w:rsidR="002D5BB0" w:rsidRPr="00222917">
        <w:rPr>
          <w:lang w:val="en-US"/>
        </w:rPr>
        <w:t xml:space="preserve"> 88 households. A counselor is designated for every 10 rental houses to offer counseling to victimized women, arrange their employment, and support the education of their children for the purpose of bolstering their independence.</w:t>
      </w:r>
      <w:r w:rsidR="00120D8B" w:rsidRPr="00222917">
        <w:rPr>
          <w:lang w:val="en-US"/>
        </w:rPr>
        <w:t xml:space="preserve"> </w:t>
      </w:r>
    </w:p>
    <w:p w:rsidR="002D5BB0" w:rsidRPr="00222917" w:rsidRDefault="00A07D40" w:rsidP="00A07D40">
      <w:pPr>
        <w:pStyle w:val="H23G"/>
        <w:rPr>
          <w:lang w:val="en-US"/>
        </w:rPr>
      </w:pPr>
      <w:r w:rsidRPr="00222917">
        <w:rPr>
          <w:lang w:val="en-US"/>
        </w:rPr>
        <w:tab/>
      </w:r>
      <w:r w:rsidRPr="00222917">
        <w:rPr>
          <w:lang w:val="en-US"/>
        </w:rPr>
        <w:tab/>
        <w:t>Assistance for violence victims</w:t>
      </w:r>
    </w:p>
    <w:tbl>
      <w:tblPr>
        <w:tblW w:w="8505" w:type="dxa"/>
        <w:tblInd w:w="1134" w:type="dxa"/>
        <w:tblBorders>
          <w:top w:val="single" w:sz="4" w:space="0" w:color="auto"/>
          <w:bottom w:val="single" w:sz="12" w:space="0" w:color="auto"/>
          <w:insideH w:val="single" w:sz="12" w:space="0" w:color="auto"/>
        </w:tblBorders>
        <w:tblLayout w:type="fixed"/>
        <w:tblCellMar>
          <w:left w:w="0" w:type="dxa"/>
          <w:right w:w="113" w:type="dxa"/>
        </w:tblCellMar>
        <w:tblLook w:val="0000"/>
      </w:tblPr>
      <w:tblGrid>
        <w:gridCol w:w="2835"/>
        <w:gridCol w:w="2835"/>
        <w:gridCol w:w="2835"/>
      </w:tblGrid>
      <w:tr w:rsidR="006E1F63" w:rsidRPr="00222917" w:rsidTr="00215A6F">
        <w:trPr>
          <w:trHeight w:val="240"/>
          <w:tblHeader/>
        </w:trPr>
        <w:tc>
          <w:tcPr>
            <w:tcW w:w="2835" w:type="dxa"/>
            <w:shd w:val="clear" w:color="auto" w:fill="auto"/>
            <w:vAlign w:val="bottom"/>
          </w:tcPr>
          <w:p w:rsidR="002D5BB0" w:rsidRPr="00222917" w:rsidRDefault="002D5BB0" w:rsidP="006E1F63">
            <w:pPr>
              <w:pStyle w:val="SingleTxtG"/>
              <w:suppressAutoHyphens w:val="0"/>
              <w:spacing w:before="80" w:after="80" w:line="200" w:lineRule="exact"/>
              <w:ind w:left="0" w:right="0"/>
              <w:jc w:val="left"/>
              <w:rPr>
                <w:i/>
                <w:sz w:val="16"/>
                <w:lang w:val="en-US"/>
              </w:rPr>
            </w:pPr>
            <w:r w:rsidRPr="00222917">
              <w:rPr>
                <w:bCs/>
                <w:i/>
                <w:sz w:val="16"/>
                <w:lang w:val="en-US"/>
              </w:rPr>
              <w:t xml:space="preserve">Service available </w:t>
            </w:r>
            <w:r w:rsidR="00A07D40" w:rsidRPr="00222917">
              <w:rPr>
                <w:bCs/>
                <w:i/>
                <w:sz w:val="16"/>
                <w:lang w:val="en-US"/>
              </w:rPr>
              <w:br/>
            </w:r>
            <w:r w:rsidRPr="00222917">
              <w:rPr>
                <w:bCs/>
                <w:i/>
                <w:sz w:val="16"/>
                <w:lang w:val="en-US"/>
              </w:rPr>
              <w:t>at the initial stage of violence</w:t>
            </w:r>
          </w:p>
        </w:tc>
        <w:tc>
          <w:tcPr>
            <w:tcW w:w="2835" w:type="dxa"/>
            <w:shd w:val="clear" w:color="auto" w:fill="auto"/>
            <w:vAlign w:val="bottom"/>
          </w:tcPr>
          <w:p w:rsidR="002D5BB0" w:rsidRPr="00222917" w:rsidRDefault="00A07D40" w:rsidP="006E1F63">
            <w:pPr>
              <w:pStyle w:val="SingleTxtG"/>
              <w:suppressAutoHyphens w:val="0"/>
              <w:spacing w:before="80" w:after="80" w:line="200" w:lineRule="exact"/>
              <w:ind w:left="0" w:right="0"/>
              <w:jc w:val="left"/>
              <w:rPr>
                <w:i/>
                <w:sz w:val="16"/>
                <w:lang w:val="en-US"/>
              </w:rPr>
            </w:pPr>
            <w:r w:rsidRPr="00222917">
              <w:rPr>
                <w:bCs/>
                <w:i/>
                <w:sz w:val="16"/>
                <w:lang w:val="en-US"/>
              </w:rPr>
              <w:t>P</w:t>
            </w:r>
            <w:r w:rsidR="002D5BB0" w:rsidRPr="00222917">
              <w:rPr>
                <w:bCs/>
                <w:i/>
                <w:sz w:val="16"/>
                <w:lang w:val="en-US"/>
              </w:rPr>
              <w:t>rotection and support</w:t>
            </w:r>
          </w:p>
        </w:tc>
        <w:tc>
          <w:tcPr>
            <w:tcW w:w="2835" w:type="dxa"/>
            <w:shd w:val="clear" w:color="auto" w:fill="auto"/>
            <w:vAlign w:val="bottom"/>
          </w:tcPr>
          <w:p w:rsidR="002D5BB0" w:rsidRPr="00222917" w:rsidRDefault="002D5BB0" w:rsidP="006E1F63">
            <w:pPr>
              <w:pStyle w:val="SingleTxtG"/>
              <w:suppressAutoHyphens w:val="0"/>
              <w:spacing w:before="80" w:after="80" w:line="200" w:lineRule="exact"/>
              <w:ind w:left="0" w:right="0"/>
              <w:jc w:val="left"/>
              <w:rPr>
                <w:i/>
                <w:sz w:val="16"/>
                <w:lang w:val="en-US"/>
              </w:rPr>
            </w:pPr>
            <w:r w:rsidRPr="00222917">
              <w:rPr>
                <w:bCs/>
                <w:i/>
                <w:sz w:val="16"/>
                <w:lang w:val="en-US"/>
              </w:rPr>
              <w:t>Stage of self-reliance</w:t>
            </w:r>
          </w:p>
        </w:tc>
      </w:tr>
      <w:tr w:rsidR="000813CB" w:rsidRPr="00222917" w:rsidTr="000813CB">
        <w:trPr>
          <w:trHeight w:val="240"/>
        </w:trPr>
        <w:tc>
          <w:tcPr>
            <w:tcW w:w="2835" w:type="dxa"/>
            <w:tcBorders>
              <w:bottom w:val="nil"/>
            </w:tcBorders>
            <w:shd w:val="clear" w:color="auto" w:fill="auto"/>
          </w:tcPr>
          <w:p w:rsidR="000813CB" w:rsidRPr="00222917" w:rsidRDefault="00547908" w:rsidP="00547908">
            <w:pPr>
              <w:spacing w:before="40" w:after="100" w:line="220" w:lineRule="atLeast"/>
              <w:ind w:left="170" w:hanging="170"/>
              <w:rPr>
                <w:sz w:val="18"/>
                <w:szCs w:val="18"/>
                <w:lang w:val="en-US"/>
              </w:rPr>
            </w:pPr>
            <w:r w:rsidRPr="00222917">
              <w:rPr>
                <w:rFonts w:ascii="Wingdings" w:hAnsi="Wingdings"/>
                <w:sz w:val="18"/>
                <w:szCs w:val="18"/>
                <w:lang w:val="en-US"/>
              </w:rPr>
              <w:t></w:t>
            </w:r>
            <w:r w:rsidRPr="00222917">
              <w:rPr>
                <w:rFonts w:ascii="Wingdings" w:hAnsi="Wingdings"/>
                <w:sz w:val="18"/>
                <w:szCs w:val="18"/>
                <w:lang w:val="en-US"/>
              </w:rPr>
              <w:tab/>
            </w:r>
            <w:r w:rsidR="000813CB" w:rsidRPr="00222917">
              <w:rPr>
                <w:sz w:val="18"/>
                <w:szCs w:val="18"/>
                <w:lang w:val="en-US"/>
              </w:rPr>
              <w:t xml:space="preserve">1366, the hot line for women (operated 24 hours a day </w:t>
            </w:r>
            <w:r w:rsidR="000813CB" w:rsidRPr="00222917">
              <w:rPr>
                <w:sz w:val="18"/>
                <w:szCs w:val="18"/>
                <w:lang w:val="en-US"/>
              </w:rPr>
              <w:br/>
              <w:t>and 365 days a year)</w:t>
            </w:r>
          </w:p>
          <w:p w:rsidR="000813CB" w:rsidRPr="00222917" w:rsidRDefault="00547908" w:rsidP="00547908">
            <w:pPr>
              <w:spacing w:before="40" w:after="100" w:line="220" w:lineRule="atLeast"/>
              <w:ind w:left="170" w:hanging="170"/>
              <w:rPr>
                <w:sz w:val="18"/>
                <w:szCs w:val="18"/>
                <w:lang w:val="en-US"/>
              </w:rPr>
            </w:pPr>
            <w:r w:rsidRPr="00222917">
              <w:rPr>
                <w:rFonts w:ascii="Wingdings" w:hAnsi="Wingdings"/>
                <w:sz w:val="18"/>
                <w:szCs w:val="18"/>
                <w:lang w:val="en-US"/>
              </w:rPr>
              <w:t></w:t>
            </w:r>
            <w:r w:rsidRPr="00222917">
              <w:rPr>
                <w:rFonts w:ascii="Wingdings" w:hAnsi="Wingdings"/>
                <w:sz w:val="18"/>
                <w:szCs w:val="18"/>
                <w:lang w:val="en-US"/>
              </w:rPr>
              <w:tab/>
            </w:r>
            <w:r w:rsidR="000813CB" w:rsidRPr="00222917">
              <w:rPr>
                <w:sz w:val="18"/>
                <w:szCs w:val="18"/>
                <w:lang w:val="en-US"/>
              </w:rPr>
              <w:t xml:space="preserve">A hot line for foreigners </w:t>
            </w:r>
            <w:r w:rsidR="000813CB" w:rsidRPr="00222917">
              <w:rPr>
                <w:sz w:val="18"/>
                <w:szCs w:val="18"/>
                <w:lang w:val="en-US"/>
              </w:rPr>
              <w:br/>
              <w:t>(1577-1366)</w:t>
            </w:r>
          </w:p>
        </w:tc>
        <w:tc>
          <w:tcPr>
            <w:tcW w:w="2835" w:type="dxa"/>
            <w:tcBorders>
              <w:bottom w:val="nil"/>
            </w:tcBorders>
            <w:shd w:val="clear" w:color="auto" w:fill="auto"/>
          </w:tcPr>
          <w:p w:rsidR="000813CB" w:rsidRPr="00222917" w:rsidRDefault="00547908" w:rsidP="00547908">
            <w:pPr>
              <w:spacing w:before="40" w:after="100" w:line="220" w:lineRule="atLeast"/>
              <w:ind w:left="170" w:hanging="170"/>
              <w:rPr>
                <w:sz w:val="18"/>
                <w:szCs w:val="18"/>
                <w:lang w:val="en-US"/>
              </w:rPr>
            </w:pPr>
            <w:r w:rsidRPr="00222917">
              <w:rPr>
                <w:rFonts w:ascii="Wingdings" w:hAnsi="Wingdings"/>
                <w:sz w:val="18"/>
                <w:szCs w:val="18"/>
                <w:lang w:val="en-US"/>
              </w:rPr>
              <w:t></w:t>
            </w:r>
            <w:r w:rsidRPr="00222917">
              <w:rPr>
                <w:rFonts w:ascii="Wingdings" w:hAnsi="Wingdings"/>
                <w:sz w:val="18"/>
                <w:szCs w:val="18"/>
                <w:lang w:val="en-US"/>
              </w:rPr>
              <w:tab/>
            </w:r>
            <w:r w:rsidR="000813CB" w:rsidRPr="00222917">
              <w:rPr>
                <w:sz w:val="18"/>
                <w:szCs w:val="18"/>
                <w:lang w:val="en-US"/>
              </w:rPr>
              <w:t xml:space="preserve">Facilities for victims </w:t>
            </w:r>
          </w:p>
          <w:p w:rsidR="000813CB" w:rsidRPr="00222917" w:rsidRDefault="00547908" w:rsidP="00547908">
            <w:pPr>
              <w:spacing w:before="40" w:after="100" w:line="220" w:lineRule="atLeast"/>
              <w:ind w:left="340" w:hanging="170"/>
              <w:rPr>
                <w:sz w:val="18"/>
                <w:szCs w:val="18"/>
                <w:lang w:val="en-US"/>
              </w:rPr>
            </w:pPr>
            <w:r w:rsidRPr="00222917">
              <w:rPr>
                <w:rFonts w:ascii="Wingdings" w:hAnsi="Wingdings"/>
                <w:sz w:val="18"/>
                <w:szCs w:val="18"/>
                <w:lang w:val="en-US"/>
              </w:rPr>
              <w:t></w:t>
            </w:r>
            <w:r w:rsidRPr="00222917">
              <w:rPr>
                <w:rFonts w:ascii="Wingdings" w:hAnsi="Wingdings"/>
                <w:sz w:val="18"/>
                <w:szCs w:val="18"/>
                <w:lang w:val="en-US"/>
              </w:rPr>
              <w:tab/>
            </w:r>
            <w:r w:rsidR="000813CB" w:rsidRPr="00222917">
              <w:rPr>
                <w:sz w:val="18"/>
                <w:szCs w:val="18"/>
                <w:lang w:val="en-US"/>
              </w:rPr>
              <w:t>Domestic violence counseling centers (275 places)</w:t>
            </w:r>
          </w:p>
          <w:p w:rsidR="000813CB" w:rsidRPr="00222917" w:rsidRDefault="00547908" w:rsidP="00547908">
            <w:pPr>
              <w:spacing w:before="40" w:after="100" w:line="220" w:lineRule="atLeast"/>
              <w:ind w:left="340" w:hanging="170"/>
              <w:rPr>
                <w:sz w:val="18"/>
                <w:szCs w:val="18"/>
                <w:lang w:val="en-US"/>
              </w:rPr>
            </w:pPr>
            <w:r w:rsidRPr="00222917">
              <w:rPr>
                <w:rFonts w:ascii="Wingdings" w:hAnsi="Wingdings"/>
                <w:sz w:val="18"/>
                <w:szCs w:val="18"/>
                <w:lang w:val="en-US"/>
              </w:rPr>
              <w:t></w:t>
            </w:r>
            <w:r w:rsidRPr="00222917">
              <w:rPr>
                <w:rFonts w:ascii="Wingdings" w:hAnsi="Wingdings"/>
                <w:sz w:val="18"/>
                <w:szCs w:val="18"/>
                <w:lang w:val="en-US"/>
              </w:rPr>
              <w:tab/>
            </w:r>
            <w:r w:rsidR="000813CB" w:rsidRPr="00222917">
              <w:rPr>
                <w:sz w:val="18"/>
                <w:szCs w:val="18"/>
                <w:lang w:val="en-US"/>
              </w:rPr>
              <w:t>Domestic violence victim protection facilities (66 places)</w:t>
            </w:r>
          </w:p>
          <w:p w:rsidR="000813CB" w:rsidRPr="00222917" w:rsidRDefault="00547908" w:rsidP="00547908">
            <w:pPr>
              <w:spacing w:before="40" w:after="100" w:line="220" w:lineRule="atLeast"/>
              <w:ind w:left="340" w:hanging="170"/>
              <w:rPr>
                <w:sz w:val="18"/>
                <w:szCs w:val="18"/>
                <w:lang w:val="en-US"/>
              </w:rPr>
            </w:pPr>
            <w:r w:rsidRPr="00222917">
              <w:rPr>
                <w:rFonts w:ascii="Wingdings" w:hAnsi="Wingdings"/>
                <w:sz w:val="18"/>
                <w:szCs w:val="18"/>
                <w:lang w:val="en-US"/>
              </w:rPr>
              <w:t></w:t>
            </w:r>
            <w:r w:rsidRPr="00222917">
              <w:rPr>
                <w:rFonts w:ascii="Wingdings" w:hAnsi="Wingdings"/>
                <w:sz w:val="18"/>
                <w:szCs w:val="18"/>
                <w:lang w:val="en-US"/>
              </w:rPr>
              <w:tab/>
            </w:r>
            <w:r w:rsidR="000813CB" w:rsidRPr="00222917">
              <w:rPr>
                <w:sz w:val="18"/>
                <w:szCs w:val="18"/>
                <w:lang w:val="en-US"/>
              </w:rPr>
              <w:t xml:space="preserve">One-stop support centers </w:t>
            </w:r>
            <w:r w:rsidR="000813CB" w:rsidRPr="00222917">
              <w:rPr>
                <w:sz w:val="18"/>
                <w:szCs w:val="18"/>
                <w:lang w:val="en-US"/>
              </w:rPr>
              <w:br/>
              <w:t>(17 places)</w:t>
            </w:r>
          </w:p>
          <w:p w:rsidR="000813CB" w:rsidRPr="00222917" w:rsidRDefault="00547908" w:rsidP="00547908">
            <w:pPr>
              <w:spacing w:before="40" w:after="100" w:line="220" w:lineRule="atLeast"/>
              <w:ind w:left="340" w:hanging="170"/>
              <w:rPr>
                <w:sz w:val="18"/>
                <w:szCs w:val="18"/>
                <w:lang w:val="en-US"/>
              </w:rPr>
            </w:pPr>
            <w:r w:rsidRPr="00222917">
              <w:rPr>
                <w:rFonts w:ascii="Wingdings" w:hAnsi="Wingdings"/>
                <w:sz w:val="18"/>
                <w:szCs w:val="18"/>
                <w:lang w:val="en-US"/>
              </w:rPr>
              <w:t></w:t>
            </w:r>
            <w:r w:rsidRPr="00222917">
              <w:rPr>
                <w:rFonts w:ascii="Wingdings" w:hAnsi="Wingdings"/>
                <w:sz w:val="18"/>
                <w:szCs w:val="18"/>
                <w:lang w:val="en-US"/>
              </w:rPr>
              <w:tab/>
            </w:r>
            <w:r w:rsidR="000813CB" w:rsidRPr="00222917">
              <w:rPr>
                <w:sz w:val="18"/>
                <w:szCs w:val="18"/>
                <w:lang w:val="en-US"/>
              </w:rPr>
              <w:t>Dedicated centers for children victims of sexual violence (12 places)</w:t>
            </w:r>
          </w:p>
        </w:tc>
        <w:tc>
          <w:tcPr>
            <w:tcW w:w="2835" w:type="dxa"/>
            <w:tcBorders>
              <w:bottom w:val="nil"/>
            </w:tcBorders>
            <w:shd w:val="clear" w:color="auto" w:fill="auto"/>
          </w:tcPr>
          <w:p w:rsidR="000813CB" w:rsidRPr="00222917" w:rsidRDefault="00547908" w:rsidP="00547908">
            <w:pPr>
              <w:spacing w:before="40" w:after="100" w:line="220" w:lineRule="atLeast"/>
              <w:ind w:left="170" w:hanging="170"/>
              <w:rPr>
                <w:sz w:val="18"/>
                <w:szCs w:val="18"/>
                <w:lang w:val="en-US"/>
              </w:rPr>
            </w:pPr>
            <w:r w:rsidRPr="00222917">
              <w:rPr>
                <w:rFonts w:ascii="Wingdings" w:hAnsi="Wingdings"/>
                <w:sz w:val="18"/>
                <w:szCs w:val="18"/>
                <w:lang w:val="en-US"/>
              </w:rPr>
              <w:t></w:t>
            </w:r>
            <w:r w:rsidRPr="00222917">
              <w:rPr>
                <w:rFonts w:ascii="Wingdings" w:hAnsi="Wingdings"/>
                <w:sz w:val="18"/>
                <w:szCs w:val="18"/>
                <w:lang w:val="en-US"/>
              </w:rPr>
              <w:tab/>
            </w:r>
            <w:r w:rsidR="000813CB" w:rsidRPr="00222917">
              <w:rPr>
                <w:sz w:val="18"/>
                <w:szCs w:val="18"/>
                <w:lang w:val="en-US"/>
              </w:rPr>
              <w:t>Group homes (54 places)</w:t>
            </w:r>
          </w:p>
          <w:p w:rsidR="000813CB" w:rsidRPr="00222917" w:rsidRDefault="00547908" w:rsidP="00547908">
            <w:pPr>
              <w:spacing w:before="40" w:after="100" w:line="220" w:lineRule="atLeast"/>
              <w:ind w:left="170" w:hanging="170"/>
              <w:rPr>
                <w:sz w:val="18"/>
                <w:szCs w:val="18"/>
                <w:lang w:val="en-US"/>
              </w:rPr>
            </w:pPr>
            <w:r w:rsidRPr="00222917">
              <w:rPr>
                <w:rFonts w:ascii="Wingdings" w:hAnsi="Wingdings"/>
                <w:sz w:val="18"/>
                <w:szCs w:val="18"/>
                <w:lang w:val="en-US"/>
              </w:rPr>
              <w:t></w:t>
            </w:r>
            <w:r w:rsidRPr="00222917">
              <w:rPr>
                <w:rFonts w:ascii="Wingdings" w:hAnsi="Wingdings"/>
                <w:sz w:val="18"/>
                <w:szCs w:val="18"/>
                <w:lang w:val="en-US"/>
              </w:rPr>
              <w:tab/>
            </w:r>
            <w:r w:rsidR="000813CB" w:rsidRPr="00222917">
              <w:rPr>
                <w:sz w:val="18"/>
                <w:szCs w:val="18"/>
                <w:lang w:val="en-US"/>
              </w:rPr>
              <w:t>Grant of priority right to governmental rental housing</w:t>
            </w:r>
          </w:p>
        </w:tc>
      </w:tr>
      <w:tr w:rsidR="006E1F63" w:rsidRPr="00222917" w:rsidTr="000813CB">
        <w:trPr>
          <w:trHeight w:val="240"/>
        </w:trPr>
        <w:tc>
          <w:tcPr>
            <w:tcW w:w="2835" w:type="dxa"/>
            <w:tcBorders>
              <w:top w:val="nil"/>
            </w:tcBorders>
            <w:shd w:val="clear" w:color="auto" w:fill="auto"/>
          </w:tcPr>
          <w:p w:rsidR="002D5BB0" w:rsidRPr="00222917" w:rsidRDefault="002D5BB0" w:rsidP="000813CB">
            <w:pPr>
              <w:keepNext/>
              <w:keepLines/>
              <w:spacing w:before="40" w:after="100" w:line="220" w:lineRule="atLeast"/>
              <w:ind w:left="170"/>
              <w:rPr>
                <w:sz w:val="18"/>
                <w:szCs w:val="18"/>
                <w:lang w:val="en-US"/>
              </w:rPr>
            </w:pPr>
          </w:p>
        </w:tc>
        <w:tc>
          <w:tcPr>
            <w:tcW w:w="2835" w:type="dxa"/>
            <w:tcBorders>
              <w:top w:val="nil"/>
            </w:tcBorders>
            <w:shd w:val="clear" w:color="auto" w:fill="auto"/>
          </w:tcPr>
          <w:p w:rsidR="002D5BB0" w:rsidRPr="00222917" w:rsidRDefault="00547908" w:rsidP="00547908">
            <w:pPr>
              <w:keepNext/>
              <w:keepLines/>
              <w:spacing w:before="40" w:after="100" w:line="220" w:lineRule="atLeast"/>
              <w:ind w:left="170" w:hanging="170"/>
              <w:rPr>
                <w:sz w:val="18"/>
                <w:szCs w:val="18"/>
                <w:lang w:val="en-US"/>
              </w:rPr>
            </w:pPr>
            <w:r w:rsidRPr="00222917">
              <w:rPr>
                <w:rFonts w:ascii="Wingdings" w:hAnsi="Wingdings"/>
                <w:sz w:val="18"/>
                <w:szCs w:val="18"/>
                <w:lang w:val="en-US"/>
              </w:rPr>
              <w:t></w:t>
            </w:r>
            <w:r w:rsidRPr="00222917">
              <w:rPr>
                <w:rFonts w:ascii="Wingdings" w:hAnsi="Wingdings"/>
                <w:sz w:val="18"/>
                <w:szCs w:val="18"/>
                <w:lang w:val="en-US"/>
              </w:rPr>
              <w:tab/>
            </w:r>
            <w:r w:rsidR="002D5BB0" w:rsidRPr="00222917">
              <w:rPr>
                <w:sz w:val="18"/>
                <w:szCs w:val="18"/>
                <w:lang w:val="en-US"/>
              </w:rPr>
              <w:t>Protection and support services</w:t>
            </w:r>
          </w:p>
          <w:p w:rsidR="002D5BB0" w:rsidRPr="00222917" w:rsidRDefault="00547908" w:rsidP="00547908">
            <w:pPr>
              <w:pStyle w:val="SingleTxtG"/>
              <w:keepNext/>
              <w:keepLines/>
              <w:suppressAutoHyphens w:val="0"/>
              <w:spacing w:before="40" w:after="100" w:line="220" w:lineRule="atLeast"/>
              <w:ind w:left="340" w:right="0" w:hanging="170"/>
              <w:jc w:val="left"/>
              <w:rPr>
                <w:sz w:val="18"/>
                <w:szCs w:val="18"/>
                <w:lang w:val="en-US"/>
              </w:rPr>
            </w:pPr>
            <w:r w:rsidRPr="00222917">
              <w:rPr>
                <w:rFonts w:ascii="Gulim" w:eastAsia="Gulim" w:hAnsi="Gulim" w:cs="Palatino Linotype" w:hint="eastAsia"/>
                <w:sz w:val="18"/>
                <w:szCs w:val="18"/>
                <w:lang w:val="en-US"/>
              </w:rPr>
              <w:t>•</w:t>
            </w:r>
            <w:r w:rsidRPr="00222917">
              <w:rPr>
                <w:rFonts w:ascii="Gulim" w:eastAsia="Gulim" w:hAnsi="Gulim" w:cs="Palatino Linotype" w:hint="eastAsia"/>
                <w:sz w:val="18"/>
                <w:szCs w:val="18"/>
                <w:lang w:val="en-US"/>
              </w:rPr>
              <w:tab/>
            </w:r>
            <w:r w:rsidR="00205BAB" w:rsidRPr="00222917">
              <w:rPr>
                <w:sz w:val="18"/>
                <w:szCs w:val="18"/>
                <w:lang w:val="en-US"/>
              </w:rPr>
              <w:t>C</w:t>
            </w:r>
            <w:r w:rsidR="002D5BB0" w:rsidRPr="00222917">
              <w:rPr>
                <w:sz w:val="18"/>
                <w:szCs w:val="18"/>
                <w:lang w:val="en-US"/>
              </w:rPr>
              <w:t>ounseling and treatment recovery programs</w:t>
            </w:r>
          </w:p>
          <w:p w:rsidR="002D5BB0" w:rsidRPr="00222917" w:rsidRDefault="00547908" w:rsidP="00547908">
            <w:pPr>
              <w:pStyle w:val="SingleTxtG"/>
              <w:keepNext/>
              <w:keepLines/>
              <w:suppressAutoHyphens w:val="0"/>
              <w:spacing w:before="40" w:after="100" w:line="220" w:lineRule="atLeast"/>
              <w:ind w:left="340" w:right="0" w:hanging="170"/>
              <w:jc w:val="left"/>
              <w:rPr>
                <w:sz w:val="18"/>
                <w:szCs w:val="18"/>
                <w:lang w:val="en-US"/>
              </w:rPr>
            </w:pPr>
            <w:r w:rsidRPr="00222917">
              <w:rPr>
                <w:rFonts w:ascii="Gulim" w:eastAsia="Gulim" w:hAnsi="Gulim" w:cs="Palatino Linotype" w:hint="eastAsia"/>
                <w:sz w:val="18"/>
                <w:szCs w:val="18"/>
                <w:lang w:val="en-US"/>
              </w:rPr>
              <w:t>•</w:t>
            </w:r>
            <w:r w:rsidRPr="00222917">
              <w:rPr>
                <w:rFonts w:ascii="Gulim" w:eastAsia="Gulim" w:hAnsi="Gulim" w:cs="Palatino Linotype" w:hint="eastAsia"/>
                <w:sz w:val="18"/>
                <w:szCs w:val="18"/>
                <w:lang w:val="en-US"/>
              </w:rPr>
              <w:tab/>
            </w:r>
            <w:r w:rsidR="002D5BB0" w:rsidRPr="00222917">
              <w:rPr>
                <w:sz w:val="18"/>
                <w:szCs w:val="18"/>
                <w:lang w:val="en-US"/>
              </w:rPr>
              <w:t>Medical, investigational and</w:t>
            </w:r>
            <w:r w:rsidR="00215A6F" w:rsidRPr="00222917">
              <w:rPr>
                <w:sz w:val="18"/>
                <w:szCs w:val="18"/>
                <w:lang w:val="en-US"/>
              </w:rPr>
              <w:t> </w:t>
            </w:r>
            <w:r w:rsidR="002D5BB0" w:rsidRPr="00222917">
              <w:rPr>
                <w:sz w:val="18"/>
                <w:szCs w:val="18"/>
                <w:lang w:val="en-US"/>
              </w:rPr>
              <w:t xml:space="preserve">legal support </w:t>
            </w:r>
          </w:p>
          <w:p w:rsidR="002D5BB0" w:rsidRPr="00222917" w:rsidRDefault="00547908" w:rsidP="00547908">
            <w:pPr>
              <w:pStyle w:val="SingleTxtG"/>
              <w:keepNext/>
              <w:keepLines/>
              <w:suppressAutoHyphens w:val="0"/>
              <w:spacing w:before="40" w:after="100" w:line="220" w:lineRule="atLeast"/>
              <w:ind w:left="340" w:right="0" w:hanging="170"/>
              <w:jc w:val="left"/>
              <w:rPr>
                <w:sz w:val="18"/>
                <w:szCs w:val="18"/>
                <w:lang w:val="en-US"/>
              </w:rPr>
            </w:pPr>
            <w:r w:rsidRPr="00222917">
              <w:rPr>
                <w:rFonts w:ascii="Gulim" w:eastAsia="Gulim" w:hAnsi="Gulim" w:cs="Palatino Linotype" w:hint="eastAsia"/>
                <w:sz w:val="18"/>
                <w:szCs w:val="18"/>
                <w:lang w:val="en-US"/>
              </w:rPr>
              <w:t>•</w:t>
            </w:r>
            <w:r w:rsidRPr="00222917">
              <w:rPr>
                <w:rFonts w:ascii="Gulim" w:eastAsia="Gulim" w:hAnsi="Gulim" w:cs="Palatino Linotype" w:hint="eastAsia"/>
                <w:sz w:val="18"/>
                <w:szCs w:val="18"/>
                <w:lang w:val="en-US"/>
              </w:rPr>
              <w:tab/>
            </w:r>
            <w:r w:rsidR="002D5BB0" w:rsidRPr="00222917">
              <w:rPr>
                <w:sz w:val="18"/>
                <w:szCs w:val="18"/>
                <w:lang w:val="en-US"/>
              </w:rPr>
              <w:t xml:space="preserve">School enrollment support for victimized children including school transfer </w:t>
            </w:r>
          </w:p>
          <w:p w:rsidR="002D5BB0" w:rsidRPr="00222917" w:rsidRDefault="00547908" w:rsidP="00547908">
            <w:pPr>
              <w:pStyle w:val="SingleTxtG"/>
              <w:keepNext/>
              <w:keepLines/>
              <w:suppressAutoHyphens w:val="0"/>
              <w:spacing w:before="40" w:after="100" w:line="220" w:lineRule="atLeast"/>
              <w:ind w:left="340" w:right="0" w:hanging="170"/>
              <w:jc w:val="left"/>
              <w:rPr>
                <w:sz w:val="18"/>
                <w:szCs w:val="18"/>
                <w:lang w:val="en-US"/>
              </w:rPr>
            </w:pPr>
            <w:r w:rsidRPr="00222917">
              <w:rPr>
                <w:rFonts w:ascii="Gulim" w:eastAsia="Gulim" w:hAnsi="Gulim" w:cs="Palatino Linotype" w:hint="eastAsia"/>
                <w:sz w:val="18"/>
                <w:szCs w:val="18"/>
                <w:lang w:val="en-US"/>
              </w:rPr>
              <w:t>•</w:t>
            </w:r>
            <w:r w:rsidRPr="00222917">
              <w:rPr>
                <w:rFonts w:ascii="Gulim" w:eastAsia="Gulim" w:hAnsi="Gulim" w:cs="Palatino Linotype" w:hint="eastAsia"/>
                <w:sz w:val="18"/>
                <w:szCs w:val="18"/>
                <w:lang w:val="en-US"/>
              </w:rPr>
              <w:tab/>
            </w:r>
            <w:r w:rsidR="002D5BB0" w:rsidRPr="00222917">
              <w:rPr>
                <w:sz w:val="18"/>
                <w:szCs w:val="18"/>
                <w:lang w:val="en-US"/>
              </w:rPr>
              <w:t>Vocational training</w:t>
            </w:r>
          </w:p>
        </w:tc>
        <w:tc>
          <w:tcPr>
            <w:tcW w:w="2835" w:type="dxa"/>
            <w:tcBorders>
              <w:top w:val="nil"/>
            </w:tcBorders>
            <w:shd w:val="clear" w:color="auto" w:fill="auto"/>
          </w:tcPr>
          <w:p w:rsidR="002D5BB0" w:rsidRPr="00222917" w:rsidRDefault="002D5BB0" w:rsidP="000813CB">
            <w:pPr>
              <w:keepNext/>
              <w:keepLines/>
              <w:spacing w:before="40" w:after="100" w:line="220" w:lineRule="atLeast"/>
              <w:ind w:left="170"/>
              <w:rPr>
                <w:lang w:val="en-US"/>
              </w:rPr>
            </w:pPr>
          </w:p>
        </w:tc>
      </w:tr>
    </w:tbl>
    <w:p w:rsidR="002D5BB0" w:rsidRPr="00222917" w:rsidRDefault="00A07D40" w:rsidP="00A07D40">
      <w:pPr>
        <w:pStyle w:val="H23G"/>
        <w:rPr>
          <w:b w:val="0"/>
          <w:sz w:val="16"/>
          <w:szCs w:val="16"/>
          <w:lang w:val="en-US"/>
        </w:rPr>
      </w:pPr>
      <w:r w:rsidRPr="00222917">
        <w:rPr>
          <w:lang w:val="en-US"/>
        </w:rPr>
        <w:tab/>
      </w:r>
      <w:r w:rsidRPr="00222917">
        <w:rPr>
          <w:lang w:val="en-US"/>
        </w:rPr>
        <w:tab/>
      </w:r>
      <w:r w:rsidR="002D5BB0" w:rsidRPr="00222917">
        <w:rPr>
          <w:lang w:val="en-US"/>
        </w:rPr>
        <w:t>Operation of one-stop support centers</w:t>
      </w:r>
      <w:r w:rsidRPr="00222917">
        <w:rPr>
          <w:lang w:val="en-US"/>
        </w:rPr>
        <w:br/>
      </w:r>
      <w:r w:rsidR="002D5BB0" w:rsidRPr="00222917">
        <w:rPr>
          <w:b w:val="0"/>
          <w:sz w:val="16"/>
          <w:szCs w:val="16"/>
          <w:lang w:val="en-US"/>
        </w:rPr>
        <w:t>(Number of persons and cases)</w:t>
      </w:r>
    </w:p>
    <w:tbl>
      <w:tblPr>
        <w:tblW w:w="8505" w:type="dxa"/>
        <w:tblInd w:w="1134" w:type="dxa"/>
        <w:tblBorders>
          <w:top w:val="single" w:sz="4" w:space="0" w:color="auto"/>
        </w:tblBorders>
        <w:tblLayout w:type="fixed"/>
        <w:tblCellMar>
          <w:left w:w="0" w:type="dxa"/>
          <w:right w:w="0" w:type="dxa"/>
        </w:tblCellMar>
        <w:tblLook w:val="0000"/>
      </w:tblPr>
      <w:tblGrid>
        <w:gridCol w:w="341"/>
        <w:gridCol w:w="681"/>
        <w:gridCol w:w="681"/>
        <w:gridCol w:w="681"/>
        <w:gridCol w:w="681"/>
        <w:gridCol w:w="680"/>
        <w:gridCol w:w="680"/>
        <w:gridCol w:w="680"/>
        <w:gridCol w:w="680"/>
        <w:gridCol w:w="680"/>
        <w:gridCol w:w="680"/>
        <w:gridCol w:w="680"/>
        <w:gridCol w:w="680"/>
      </w:tblGrid>
      <w:tr w:rsidR="006E1F63" w:rsidRPr="00222917" w:rsidTr="0054076C">
        <w:trPr>
          <w:trHeight w:val="240"/>
          <w:tblHeader/>
        </w:trPr>
        <w:tc>
          <w:tcPr>
            <w:tcW w:w="340" w:type="dxa"/>
            <w:vMerge w:val="restart"/>
            <w:tcBorders>
              <w:top w:val="single" w:sz="4" w:space="0" w:color="auto"/>
              <w:bottom w:val="single" w:sz="12" w:space="0" w:color="auto"/>
            </w:tcBorders>
            <w:shd w:val="clear" w:color="auto" w:fill="auto"/>
            <w:vAlign w:val="bottom"/>
          </w:tcPr>
          <w:p w:rsidR="006E1F63" w:rsidRPr="00222917" w:rsidRDefault="006E1F63" w:rsidP="00A2131F">
            <w:pPr>
              <w:suppressAutoHyphens w:val="0"/>
              <w:spacing w:before="80" w:after="80" w:line="180" w:lineRule="exact"/>
              <w:rPr>
                <w:rFonts w:eastAsia="Gulim"/>
                <w:i/>
                <w:sz w:val="14"/>
                <w:szCs w:val="14"/>
                <w:lang w:val="en-US"/>
              </w:rPr>
            </w:pPr>
            <w:r w:rsidRPr="00222917">
              <w:rPr>
                <w:rFonts w:eastAsia="Gulim"/>
                <w:bCs/>
                <w:i/>
                <w:sz w:val="14"/>
                <w:szCs w:val="14"/>
                <w:lang w:val="en-US"/>
              </w:rPr>
              <w:t>Year</w:t>
            </w:r>
          </w:p>
        </w:tc>
        <w:tc>
          <w:tcPr>
            <w:tcW w:w="680" w:type="dxa"/>
            <w:gridSpan w:val="6"/>
            <w:tcBorders>
              <w:top w:val="single" w:sz="4" w:space="0" w:color="auto"/>
              <w:bottom w:val="single" w:sz="4" w:space="0" w:color="000000"/>
            </w:tcBorders>
            <w:shd w:val="clear" w:color="auto" w:fill="auto"/>
            <w:vAlign w:val="bottom"/>
          </w:tcPr>
          <w:p w:rsidR="006E1F63" w:rsidRPr="00222917" w:rsidRDefault="006E1F63" w:rsidP="005C4802">
            <w:pPr>
              <w:suppressAutoHyphens w:val="0"/>
              <w:spacing w:before="80" w:after="80" w:line="180" w:lineRule="exact"/>
              <w:jc w:val="center"/>
              <w:rPr>
                <w:rFonts w:eastAsia="Gulim"/>
                <w:bCs/>
                <w:i/>
                <w:sz w:val="14"/>
                <w:szCs w:val="14"/>
                <w:lang w:val="en-US"/>
              </w:rPr>
            </w:pPr>
            <w:r w:rsidRPr="00222917">
              <w:rPr>
                <w:rFonts w:eastAsia="Gulim"/>
                <w:bCs/>
                <w:i/>
                <w:sz w:val="14"/>
                <w:szCs w:val="14"/>
                <w:lang w:val="en-US"/>
              </w:rPr>
              <w:t>Types of violence</w:t>
            </w:r>
          </w:p>
        </w:tc>
        <w:tc>
          <w:tcPr>
            <w:tcW w:w="680" w:type="dxa"/>
            <w:gridSpan w:val="6"/>
            <w:tcBorders>
              <w:top w:val="single" w:sz="4" w:space="0" w:color="auto"/>
              <w:bottom w:val="single" w:sz="4" w:space="0" w:color="000000"/>
            </w:tcBorders>
            <w:shd w:val="clear" w:color="auto" w:fill="auto"/>
            <w:vAlign w:val="bottom"/>
          </w:tcPr>
          <w:p w:rsidR="006E1F63" w:rsidRPr="00222917" w:rsidRDefault="006E1F63" w:rsidP="005C4802">
            <w:pPr>
              <w:suppressAutoHyphens w:val="0"/>
              <w:spacing w:before="80" w:after="80" w:line="180" w:lineRule="exact"/>
              <w:jc w:val="center"/>
              <w:rPr>
                <w:rFonts w:eastAsia="Gulim"/>
                <w:bCs/>
                <w:i/>
                <w:sz w:val="14"/>
                <w:szCs w:val="14"/>
                <w:lang w:val="en-US"/>
              </w:rPr>
            </w:pPr>
            <w:r w:rsidRPr="00222917">
              <w:rPr>
                <w:rFonts w:eastAsia="Gulim"/>
                <w:bCs/>
                <w:i/>
                <w:sz w:val="14"/>
                <w:szCs w:val="14"/>
                <w:lang w:val="en-US"/>
              </w:rPr>
              <w:t>Details of support</w:t>
            </w:r>
          </w:p>
        </w:tc>
      </w:tr>
      <w:tr w:rsidR="006E1F63" w:rsidRPr="00222917" w:rsidTr="0054076C">
        <w:trPr>
          <w:trHeight w:val="240"/>
          <w:tblHeader/>
        </w:trPr>
        <w:tc>
          <w:tcPr>
            <w:tcW w:w="340" w:type="dxa"/>
            <w:vMerge/>
            <w:tcBorders>
              <w:top w:val="single" w:sz="12" w:space="0" w:color="auto"/>
              <w:bottom w:val="single" w:sz="12" w:space="0" w:color="000000"/>
            </w:tcBorders>
            <w:shd w:val="clear" w:color="auto" w:fill="auto"/>
            <w:vAlign w:val="bottom"/>
          </w:tcPr>
          <w:p w:rsidR="006E1F63" w:rsidRPr="00222917" w:rsidRDefault="006E1F63" w:rsidP="00A2131F">
            <w:pPr>
              <w:suppressAutoHyphens w:val="0"/>
              <w:spacing w:before="80" w:after="80" w:line="180" w:lineRule="exact"/>
              <w:rPr>
                <w:rFonts w:eastAsia="Gulim"/>
                <w:sz w:val="14"/>
                <w:szCs w:val="14"/>
                <w:lang w:val="en-US"/>
              </w:rPr>
            </w:pPr>
          </w:p>
        </w:tc>
        <w:tc>
          <w:tcPr>
            <w:tcW w:w="680" w:type="dxa"/>
            <w:tcBorders>
              <w:top w:val="single" w:sz="4" w:space="0" w:color="000000"/>
              <w:bottom w:val="single" w:sz="12" w:space="0" w:color="000000"/>
            </w:tcBorders>
            <w:shd w:val="clear" w:color="auto" w:fill="auto"/>
            <w:vAlign w:val="bottom"/>
          </w:tcPr>
          <w:p w:rsidR="006E1F63" w:rsidRPr="00222917" w:rsidRDefault="006E1F63" w:rsidP="005C4802">
            <w:pPr>
              <w:suppressAutoHyphens w:val="0"/>
              <w:spacing w:before="80" w:after="80" w:line="180" w:lineRule="exact"/>
              <w:ind w:hanging="81"/>
              <w:jc w:val="right"/>
              <w:rPr>
                <w:rFonts w:eastAsia="Gulim"/>
                <w:b/>
                <w:i/>
                <w:sz w:val="14"/>
                <w:szCs w:val="14"/>
                <w:lang w:val="en-US"/>
              </w:rPr>
            </w:pPr>
            <w:r w:rsidRPr="00222917">
              <w:rPr>
                <w:rFonts w:eastAsia="Gulim"/>
                <w:b/>
                <w:bCs/>
                <w:i/>
                <w:sz w:val="14"/>
                <w:szCs w:val="14"/>
                <w:lang w:val="en-US"/>
              </w:rPr>
              <w:t>Total</w:t>
            </w:r>
          </w:p>
        </w:tc>
        <w:tc>
          <w:tcPr>
            <w:tcW w:w="680" w:type="dxa"/>
            <w:tcBorders>
              <w:top w:val="single" w:sz="4" w:space="0" w:color="000000"/>
              <w:bottom w:val="single" w:sz="12" w:space="0" w:color="000000"/>
            </w:tcBorders>
            <w:shd w:val="clear" w:color="auto" w:fill="auto"/>
            <w:vAlign w:val="bottom"/>
          </w:tcPr>
          <w:p w:rsidR="006E1F63" w:rsidRPr="00222917" w:rsidRDefault="006E1F63" w:rsidP="005C4802">
            <w:pPr>
              <w:suppressAutoHyphens w:val="0"/>
              <w:spacing w:before="80" w:after="80" w:line="180" w:lineRule="exact"/>
              <w:jc w:val="right"/>
              <w:rPr>
                <w:rFonts w:eastAsia="Gulim"/>
                <w:i/>
                <w:sz w:val="14"/>
                <w:szCs w:val="14"/>
                <w:lang w:val="en-US"/>
              </w:rPr>
            </w:pPr>
            <w:r w:rsidRPr="00222917">
              <w:rPr>
                <w:rFonts w:eastAsia="Gulim"/>
                <w:bCs/>
                <w:i/>
                <w:sz w:val="14"/>
                <w:szCs w:val="14"/>
                <w:lang w:val="en-US"/>
              </w:rPr>
              <w:t>Sexual violence</w:t>
            </w:r>
          </w:p>
        </w:tc>
        <w:tc>
          <w:tcPr>
            <w:tcW w:w="680" w:type="dxa"/>
            <w:tcBorders>
              <w:top w:val="single" w:sz="4" w:space="0" w:color="000000"/>
              <w:bottom w:val="single" w:sz="12" w:space="0" w:color="000000"/>
            </w:tcBorders>
            <w:shd w:val="clear" w:color="auto" w:fill="auto"/>
            <w:vAlign w:val="bottom"/>
          </w:tcPr>
          <w:p w:rsidR="006E1F63" w:rsidRPr="00222917" w:rsidRDefault="006E1F63" w:rsidP="005C4802">
            <w:pPr>
              <w:suppressAutoHyphens w:val="0"/>
              <w:spacing w:before="80" w:after="80" w:line="180" w:lineRule="exact"/>
              <w:jc w:val="right"/>
              <w:rPr>
                <w:rFonts w:eastAsia="Gulim"/>
                <w:i/>
                <w:sz w:val="14"/>
                <w:szCs w:val="14"/>
                <w:lang w:val="en-US"/>
              </w:rPr>
            </w:pPr>
            <w:r w:rsidRPr="00222917">
              <w:rPr>
                <w:rFonts w:eastAsia="Gulim"/>
                <w:bCs/>
                <w:i/>
                <w:sz w:val="14"/>
                <w:szCs w:val="14"/>
                <w:lang w:val="en-US"/>
              </w:rPr>
              <w:t>Domestic</w:t>
            </w:r>
            <w:r w:rsidR="005C4802" w:rsidRPr="00222917">
              <w:rPr>
                <w:rFonts w:eastAsia="Gulim"/>
                <w:bCs/>
                <w:i/>
                <w:sz w:val="14"/>
                <w:szCs w:val="14"/>
                <w:lang w:val="en-US"/>
              </w:rPr>
              <w:br/>
            </w:r>
            <w:r w:rsidRPr="00222917">
              <w:rPr>
                <w:rFonts w:eastAsia="Gulim"/>
                <w:bCs/>
                <w:i/>
                <w:sz w:val="14"/>
                <w:szCs w:val="14"/>
                <w:lang w:val="en-US"/>
              </w:rPr>
              <w:t>violence</w:t>
            </w:r>
          </w:p>
        </w:tc>
        <w:tc>
          <w:tcPr>
            <w:tcW w:w="680" w:type="dxa"/>
            <w:tcBorders>
              <w:top w:val="single" w:sz="4" w:space="0" w:color="000000"/>
              <w:bottom w:val="single" w:sz="12" w:space="0" w:color="000000"/>
            </w:tcBorders>
            <w:shd w:val="clear" w:color="auto" w:fill="auto"/>
            <w:vAlign w:val="bottom"/>
          </w:tcPr>
          <w:p w:rsidR="006E1F63" w:rsidRPr="00222917" w:rsidRDefault="006E1F63" w:rsidP="005C4802">
            <w:pPr>
              <w:suppressAutoHyphens w:val="0"/>
              <w:spacing w:before="80" w:after="80" w:line="180" w:lineRule="exact"/>
              <w:ind w:hanging="81"/>
              <w:jc w:val="right"/>
              <w:rPr>
                <w:rFonts w:eastAsia="Gulim"/>
                <w:i/>
                <w:sz w:val="14"/>
                <w:szCs w:val="14"/>
                <w:lang w:val="en-US"/>
              </w:rPr>
            </w:pPr>
            <w:r w:rsidRPr="00222917">
              <w:rPr>
                <w:rFonts w:eastAsia="Gulim"/>
                <w:bCs/>
                <w:i/>
                <w:sz w:val="14"/>
                <w:szCs w:val="14"/>
                <w:lang w:val="en-US"/>
              </w:rPr>
              <w:t>School</w:t>
            </w:r>
            <w:r w:rsidR="005C4802" w:rsidRPr="00222917">
              <w:rPr>
                <w:rFonts w:eastAsia="Gulim"/>
                <w:bCs/>
                <w:i/>
                <w:sz w:val="14"/>
                <w:szCs w:val="14"/>
                <w:lang w:val="en-US"/>
              </w:rPr>
              <w:br/>
            </w:r>
            <w:r w:rsidRPr="00222917">
              <w:rPr>
                <w:rFonts w:eastAsia="Gulim"/>
                <w:bCs/>
                <w:i/>
                <w:sz w:val="14"/>
                <w:szCs w:val="14"/>
                <w:lang w:val="en-US"/>
              </w:rPr>
              <w:t>violence</w:t>
            </w:r>
          </w:p>
        </w:tc>
        <w:tc>
          <w:tcPr>
            <w:tcW w:w="680" w:type="dxa"/>
            <w:tcBorders>
              <w:top w:val="single" w:sz="4" w:space="0" w:color="000000"/>
              <w:bottom w:val="single" w:sz="12" w:space="0" w:color="000000"/>
            </w:tcBorders>
            <w:shd w:val="clear" w:color="auto" w:fill="auto"/>
            <w:vAlign w:val="bottom"/>
          </w:tcPr>
          <w:p w:rsidR="006E1F63" w:rsidRPr="00222917" w:rsidRDefault="006E1F63" w:rsidP="005C4802">
            <w:pPr>
              <w:suppressAutoHyphens w:val="0"/>
              <w:spacing w:before="80" w:after="80" w:line="180" w:lineRule="exact"/>
              <w:jc w:val="right"/>
              <w:rPr>
                <w:rFonts w:eastAsia="Gulim"/>
                <w:i/>
                <w:sz w:val="14"/>
                <w:szCs w:val="14"/>
                <w:lang w:val="en-US"/>
              </w:rPr>
            </w:pPr>
            <w:r w:rsidRPr="00222917">
              <w:rPr>
                <w:rFonts w:eastAsia="Gulim"/>
                <w:bCs/>
                <w:i/>
                <w:sz w:val="14"/>
                <w:szCs w:val="14"/>
                <w:lang w:val="en-US"/>
              </w:rPr>
              <w:t>Sex</w:t>
            </w:r>
            <w:r w:rsidR="005C4802" w:rsidRPr="00222917">
              <w:rPr>
                <w:rFonts w:eastAsia="Gulim"/>
                <w:bCs/>
                <w:i/>
                <w:sz w:val="14"/>
                <w:szCs w:val="14"/>
                <w:lang w:val="en-US"/>
              </w:rPr>
              <w:br/>
            </w:r>
            <w:r w:rsidRPr="00222917">
              <w:rPr>
                <w:rFonts w:eastAsia="Gulim"/>
                <w:bCs/>
                <w:i/>
                <w:sz w:val="14"/>
                <w:szCs w:val="14"/>
                <w:lang w:val="en-US"/>
              </w:rPr>
              <w:t>trade</w:t>
            </w:r>
          </w:p>
        </w:tc>
        <w:tc>
          <w:tcPr>
            <w:tcW w:w="680" w:type="dxa"/>
            <w:tcBorders>
              <w:top w:val="single" w:sz="4" w:space="0" w:color="000000"/>
              <w:bottom w:val="single" w:sz="12" w:space="0" w:color="000000"/>
            </w:tcBorders>
            <w:shd w:val="clear" w:color="auto" w:fill="auto"/>
            <w:vAlign w:val="bottom"/>
          </w:tcPr>
          <w:p w:rsidR="006E1F63" w:rsidRPr="00222917" w:rsidRDefault="006E1F63" w:rsidP="005C4802">
            <w:pPr>
              <w:suppressAutoHyphens w:val="0"/>
              <w:spacing w:before="80" w:after="80" w:line="180" w:lineRule="exact"/>
              <w:jc w:val="right"/>
              <w:rPr>
                <w:rFonts w:eastAsia="Gulim"/>
                <w:i/>
                <w:sz w:val="14"/>
                <w:szCs w:val="14"/>
                <w:lang w:val="en-US"/>
              </w:rPr>
            </w:pPr>
            <w:r w:rsidRPr="00222917">
              <w:rPr>
                <w:rFonts w:eastAsia="Gulim"/>
                <w:bCs/>
                <w:i/>
                <w:sz w:val="14"/>
                <w:szCs w:val="14"/>
                <w:lang w:val="en-US"/>
              </w:rPr>
              <w:t>Others</w:t>
            </w:r>
          </w:p>
        </w:tc>
        <w:tc>
          <w:tcPr>
            <w:tcW w:w="680" w:type="dxa"/>
            <w:tcBorders>
              <w:top w:val="single" w:sz="4" w:space="0" w:color="000000"/>
              <w:bottom w:val="single" w:sz="12" w:space="0" w:color="000000"/>
            </w:tcBorders>
            <w:shd w:val="clear" w:color="auto" w:fill="auto"/>
            <w:vAlign w:val="bottom"/>
          </w:tcPr>
          <w:p w:rsidR="006E1F63" w:rsidRPr="00222917" w:rsidRDefault="006E1F63" w:rsidP="005C4802">
            <w:pPr>
              <w:suppressAutoHyphens w:val="0"/>
              <w:spacing w:before="80" w:after="80" w:line="180" w:lineRule="exact"/>
              <w:jc w:val="right"/>
              <w:rPr>
                <w:rFonts w:eastAsia="Gulim"/>
                <w:b/>
                <w:i/>
                <w:sz w:val="14"/>
                <w:szCs w:val="14"/>
                <w:lang w:val="en-US"/>
              </w:rPr>
            </w:pPr>
            <w:r w:rsidRPr="00222917">
              <w:rPr>
                <w:rFonts w:eastAsia="Gulim"/>
                <w:b/>
                <w:bCs/>
                <w:i/>
                <w:sz w:val="14"/>
                <w:szCs w:val="14"/>
                <w:lang w:val="en-US"/>
              </w:rPr>
              <w:t>Total</w:t>
            </w:r>
          </w:p>
        </w:tc>
        <w:tc>
          <w:tcPr>
            <w:tcW w:w="680" w:type="dxa"/>
            <w:tcBorders>
              <w:top w:val="single" w:sz="4" w:space="0" w:color="000000"/>
              <w:bottom w:val="single" w:sz="12" w:space="0" w:color="000000"/>
            </w:tcBorders>
            <w:shd w:val="clear" w:color="auto" w:fill="auto"/>
            <w:vAlign w:val="bottom"/>
          </w:tcPr>
          <w:p w:rsidR="006E1F63" w:rsidRPr="00222917" w:rsidRDefault="0059738D" w:rsidP="005C4802">
            <w:pPr>
              <w:suppressAutoHyphens w:val="0"/>
              <w:spacing w:before="80" w:after="80" w:line="180" w:lineRule="exact"/>
              <w:jc w:val="right"/>
              <w:rPr>
                <w:rFonts w:eastAsia="Gulim"/>
                <w:i/>
                <w:sz w:val="14"/>
                <w:szCs w:val="14"/>
                <w:lang w:val="en-US"/>
              </w:rPr>
            </w:pPr>
            <w:r w:rsidRPr="00222917">
              <w:rPr>
                <w:rFonts w:eastAsia="Gulim"/>
                <w:bCs/>
                <w:i/>
                <w:sz w:val="14"/>
                <w:szCs w:val="14"/>
                <w:lang w:val="en-US"/>
              </w:rPr>
              <w:t>Counselling</w:t>
            </w:r>
          </w:p>
        </w:tc>
        <w:tc>
          <w:tcPr>
            <w:tcW w:w="680" w:type="dxa"/>
            <w:tcBorders>
              <w:top w:val="single" w:sz="4" w:space="0" w:color="000000"/>
              <w:bottom w:val="single" w:sz="12" w:space="0" w:color="000000"/>
            </w:tcBorders>
            <w:shd w:val="clear" w:color="auto" w:fill="auto"/>
            <w:vAlign w:val="bottom"/>
          </w:tcPr>
          <w:p w:rsidR="006E1F63" w:rsidRPr="00222917" w:rsidRDefault="006E1F63" w:rsidP="005C4802">
            <w:pPr>
              <w:suppressAutoHyphens w:val="0"/>
              <w:spacing w:before="80" w:after="80" w:line="180" w:lineRule="exact"/>
              <w:jc w:val="right"/>
              <w:rPr>
                <w:rFonts w:eastAsia="Gulim"/>
                <w:i/>
                <w:sz w:val="14"/>
                <w:szCs w:val="14"/>
                <w:lang w:val="en-US"/>
              </w:rPr>
            </w:pPr>
            <w:r w:rsidRPr="00222917">
              <w:rPr>
                <w:rFonts w:eastAsia="Gulim"/>
                <w:bCs/>
                <w:i/>
                <w:sz w:val="14"/>
                <w:szCs w:val="14"/>
                <w:lang w:val="en-US"/>
              </w:rPr>
              <w:t>Medical treatment</w:t>
            </w:r>
          </w:p>
        </w:tc>
        <w:tc>
          <w:tcPr>
            <w:tcW w:w="680" w:type="dxa"/>
            <w:tcBorders>
              <w:top w:val="single" w:sz="4" w:space="0" w:color="000000"/>
              <w:bottom w:val="single" w:sz="12" w:space="0" w:color="000000"/>
            </w:tcBorders>
            <w:shd w:val="clear" w:color="auto" w:fill="auto"/>
            <w:vAlign w:val="bottom"/>
          </w:tcPr>
          <w:p w:rsidR="006E1F63" w:rsidRPr="00222917" w:rsidRDefault="006E1F63" w:rsidP="005C4802">
            <w:pPr>
              <w:suppressAutoHyphens w:val="0"/>
              <w:spacing w:before="80" w:after="80" w:line="180" w:lineRule="exact"/>
              <w:jc w:val="right"/>
              <w:rPr>
                <w:rFonts w:eastAsia="Gulim"/>
                <w:i/>
                <w:sz w:val="14"/>
                <w:szCs w:val="14"/>
                <w:lang w:val="en-US"/>
              </w:rPr>
            </w:pPr>
            <w:r w:rsidRPr="00222917">
              <w:rPr>
                <w:rFonts w:eastAsia="Gulim"/>
                <w:bCs/>
                <w:i/>
                <w:sz w:val="14"/>
                <w:szCs w:val="14"/>
                <w:lang w:val="en-US"/>
              </w:rPr>
              <w:t>Evidence gathering</w:t>
            </w:r>
          </w:p>
        </w:tc>
        <w:tc>
          <w:tcPr>
            <w:tcW w:w="680" w:type="dxa"/>
            <w:tcBorders>
              <w:top w:val="single" w:sz="4" w:space="0" w:color="000000"/>
              <w:bottom w:val="single" w:sz="12" w:space="0" w:color="000000"/>
            </w:tcBorders>
            <w:shd w:val="clear" w:color="auto" w:fill="auto"/>
            <w:vAlign w:val="bottom"/>
          </w:tcPr>
          <w:p w:rsidR="006E1F63" w:rsidRPr="00222917" w:rsidRDefault="006E1F63" w:rsidP="005C4802">
            <w:pPr>
              <w:suppressAutoHyphens w:val="0"/>
              <w:spacing w:before="80" w:after="80" w:line="180" w:lineRule="exact"/>
              <w:jc w:val="right"/>
              <w:rPr>
                <w:rFonts w:eastAsia="Gulim"/>
                <w:i/>
                <w:sz w:val="14"/>
                <w:szCs w:val="14"/>
                <w:lang w:val="en-US"/>
              </w:rPr>
            </w:pPr>
            <w:r w:rsidRPr="00222917">
              <w:rPr>
                <w:rFonts w:eastAsia="Gulim"/>
                <w:bCs/>
                <w:i/>
                <w:sz w:val="14"/>
                <w:szCs w:val="14"/>
                <w:lang w:val="en-US"/>
              </w:rPr>
              <w:t>Statement recording</w:t>
            </w:r>
          </w:p>
        </w:tc>
        <w:tc>
          <w:tcPr>
            <w:tcW w:w="680" w:type="dxa"/>
            <w:tcBorders>
              <w:top w:val="single" w:sz="4" w:space="0" w:color="000000"/>
              <w:bottom w:val="single" w:sz="12" w:space="0" w:color="000000"/>
            </w:tcBorders>
            <w:shd w:val="clear" w:color="auto" w:fill="auto"/>
            <w:vAlign w:val="bottom"/>
          </w:tcPr>
          <w:p w:rsidR="006E1F63" w:rsidRPr="00222917" w:rsidRDefault="006E1F63" w:rsidP="005C4802">
            <w:pPr>
              <w:suppressAutoHyphens w:val="0"/>
              <w:spacing w:before="80" w:after="80" w:line="180" w:lineRule="exact"/>
              <w:jc w:val="right"/>
              <w:rPr>
                <w:rFonts w:eastAsia="Gulim"/>
                <w:i/>
                <w:sz w:val="14"/>
                <w:szCs w:val="14"/>
                <w:lang w:val="en-US"/>
              </w:rPr>
            </w:pPr>
            <w:r w:rsidRPr="00222917">
              <w:rPr>
                <w:rFonts w:eastAsia="Gulim"/>
                <w:bCs/>
                <w:i/>
                <w:sz w:val="14"/>
                <w:szCs w:val="14"/>
                <w:lang w:val="en-US"/>
              </w:rPr>
              <w:t>Victim’s report</w:t>
            </w:r>
          </w:p>
        </w:tc>
      </w:tr>
      <w:tr w:rsidR="006E1F63" w:rsidRPr="00222917" w:rsidTr="0054076C">
        <w:trPr>
          <w:trHeight w:val="240"/>
        </w:trPr>
        <w:tc>
          <w:tcPr>
            <w:tcW w:w="340" w:type="dxa"/>
            <w:tcBorders>
              <w:top w:val="single" w:sz="12" w:space="0" w:color="000000"/>
            </w:tcBorders>
            <w:shd w:val="clear" w:color="auto" w:fill="auto"/>
          </w:tcPr>
          <w:p w:rsidR="006E1F63" w:rsidRPr="00222917" w:rsidRDefault="006E1F63" w:rsidP="00A2131F">
            <w:pPr>
              <w:suppressAutoHyphens w:val="0"/>
              <w:spacing w:before="40" w:after="40" w:line="200" w:lineRule="exact"/>
              <w:rPr>
                <w:rFonts w:eastAsia="Gulim"/>
                <w:sz w:val="16"/>
                <w:szCs w:val="16"/>
                <w:lang w:val="en-US"/>
              </w:rPr>
            </w:pPr>
            <w:r w:rsidRPr="00222917">
              <w:rPr>
                <w:rFonts w:eastAsia="Gulim"/>
                <w:sz w:val="16"/>
                <w:szCs w:val="16"/>
                <w:lang w:val="en-US"/>
              </w:rPr>
              <w:t>2006</w:t>
            </w:r>
          </w:p>
        </w:tc>
        <w:tc>
          <w:tcPr>
            <w:tcW w:w="680" w:type="dxa"/>
            <w:tcBorders>
              <w:top w:val="single" w:sz="12" w:space="0" w:color="000000"/>
            </w:tcBorders>
            <w:shd w:val="clear" w:color="auto" w:fill="auto"/>
            <w:vAlign w:val="bottom"/>
          </w:tcPr>
          <w:p w:rsidR="006E1F63" w:rsidRPr="00222917" w:rsidRDefault="006E1F63" w:rsidP="005C4802">
            <w:pPr>
              <w:suppressAutoHyphens w:val="0"/>
              <w:spacing w:before="40" w:after="40" w:line="200" w:lineRule="exact"/>
              <w:jc w:val="right"/>
              <w:rPr>
                <w:rFonts w:eastAsia="Gulim"/>
                <w:b/>
                <w:sz w:val="16"/>
                <w:szCs w:val="16"/>
                <w:lang w:val="en-US"/>
              </w:rPr>
            </w:pPr>
            <w:r w:rsidRPr="00222917">
              <w:rPr>
                <w:rFonts w:eastAsia="Gulim"/>
                <w:b/>
                <w:sz w:val="16"/>
                <w:szCs w:val="16"/>
                <w:lang w:val="en-US"/>
              </w:rPr>
              <w:t>4,764</w:t>
            </w:r>
          </w:p>
        </w:tc>
        <w:tc>
          <w:tcPr>
            <w:tcW w:w="680" w:type="dxa"/>
            <w:tcBorders>
              <w:top w:val="single" w:sz="12" w:space="0" w:color="000000"/>
            </w:tcBorders>
            <w:shd w:val="clear" w:color="auto" w:fill="auto"/>
            <w:vAlign w:val="bottom"/>
          </w:tcPr>
          <w:p w:rsidR="006E1F63" w:rsidRPr="00222917" w:rsidRDefault="006E1F63" w:rsidP="00BC2760">
            <w:pPr>
              <w:suppressAutoHyphens w:val="0"/>
              <w:spacing w:before="40" w:after="40" w:line="200" w:lineRule="exact"/>
              <w:jc w:val="right"/>
              <w:rPr>
                <w:rFonts w:eastAsia="Gulim"/>
                <w:sz w:val="16"/>
                <w:szCs w:val="16"/>
                <w:lang w:val="en-US"/>
              </w:rPr>
            </w:pPr>
            <w:r w:rsidRPr="00222917">
              <w:rPr>
                <w:rFonts w:eastAsia="Gulim"/>
                <w:sz w:val="16"/>
                <w:szCs w:val="16"/>
                <w:lang w:val="en-US"/>
              </w:rPr>
              <w:t>2,868</w:t>
            </w:r>
          </w:p>
        </w:tc>
        <w:tc>
          <w:tcPr>
            <w:tcW w:w="680" w:type="dxa"/>
            <w:tcBorders>
              <w:top w:val="single" w:sz="12" w:space="0" w:color="000000"/>
            </w:tcBorders>
            <w:shd w:val="clear" w:color="auto" w:fill="auto"/>
            <w:vAlign w:val="bottom"/>
          </w:tcPr>
          <w:p w:rsidR="006E1F63" w:rsidRPr="00222917" w:rsidRDefault="006E1F63" w:rsidP="005C4802">
            <w:pPr>
              <w:suppressAutoHyphens w:val="0"/>
              <w:spacing w:before="40" w:after="40" w:line="200" w:lineRule="exact"/>
              <w:jc w:val="right"/>
              <w:rPr>
                <w:rFonts w:eastAsia="Gulim"/>
                <w:sz w:val="16"/>
                <w:szCs w:val="16"/>
                <w:lang w:val="en-US"/>
              </w:rPr>
            </w:pPr>
            <w:r w:rsidRPr="00222917">
              <w:rPr>
                <w:rFonts w:eastAsia="Gulim"/>
                <w:sz w:val="16"/>
                <w:szCs w:val="16"/>
                <w:lang w:val="en-US"/>
              </w:rPr>
              <w:t>1,284</w:t>
            </w:r>
          </w:p>
        </w:tc>
        <w:tc>
          <w:tcPr>
            <w:tcW w:w="680" w:type="dxa"/>
            <w:tcBorders>
              <w:top w:val="single" w:sz="12" w:space="0" w:color="000000"/>
            </w:tcBorders>
            <w:shd w:val="clear" w:color="auto" w:fill="auto"/>
            <w:vAlign w:val="bottom"/>
          </w:tcPr>
          <w:p w:rsidR="006E1F63" w:rsidRPr="00222917" w:rsidRDefault="006E1F63" w:rsidP="005C4802">
            <w:pPr>
              <w:suppressAutoHyphens w:val="0"/>
              <w:spacing w:before="40" w:after="40" w:line="200" w:lineRule="exact"/>
              <w:jc w:val="right"/>
              <w:rPr>
                <w:rFonts w:eastAsia="Gulim"/>
                <w:sz w:val="16"/>
                <w:szCs w:val="16"/>
                <w:lang w:val="en-US"/>
              </w:rPr>
            </w:pPr>
            <w:r w:rsidRPr="00222917">
              <w:rPr>
                <w:rFonts w:eastAsia="Gulim"/>
                <w:sz w:val="16"/>
                <w:szCs w:val="16"/>
                <w:lang w:val="en-US"/>
              </w:rPr>
              <w:t>226</w:t>
            </w:r>
          </w:p>
        </w:tc>
        <w:tc>
          <w:tcPr>
            <w:tcW w:w="680" w:type="dxa"/>
            <w:tcBorders>
              <w:top w:val="single" w:sz="12" w:space="0" w:color="000000"/>
            </w:tcBorders>
            <w:shd w:val="clear" w:color="auto" w:fill="auto"/>
            <w:vAlign w:val="bottom"/>
          </w:tcPr>
          <w:p w:rsidR="006E1F63" w:rsidRPr="00222917" w:rsidRDefault="006E1F63" w:rsidP="005C4802">
            <w:pPr>
              <w:suppressAutoHyphens w:val="0"/>
              <w:spacing w:before="40" w:after="40" w:line="200" w:lineRule="exact"/>
              <w:jc w:val="right"/>
              <w:rPr>
                <w:rFonts w:eastAsia="Gulim"/>
                <w:sz w:val="16"/>
                <w:szCs w:val="16"/>
                <w:lang w:val="en-US"/>
              </w:rPr>
            </w:pPr>
            <w:r w:rsidRPr="00222917">
              <w:rPr>
                <w:rFonts w:eastAsia="Gulim"/>
                <w:sz w:val="16"/>
                <w:szCs w:val="16"/>
                <w:lang w:val="en-US"/>
              </w:rPr>
              <w:t>48</w:t>
            </w:r>
          </w:p>
        </w:tc>
        <w:tc>
          <w:tcPr>
            <w:tcW w:w="680" w:type="dxa"/>
            <w:tcBorders>
              <w:top w:val="single" w:sz="12" w:space="0" w:color="000000"/>
            </w:tcBorders>
            <w:shd w:val="clear" w:color="auto" w:fill="auto"/>
            <w:vAlign w:val="bottom"/>
          </w:tcPr>
          <w:p w:rsidR="006E1F63" w:rsidRPr="00222917" w:rsidRDefault="006E1F63" w:rsidP="005C4802">
            <w:pPr>
              <w:suppressAutoHyphens w:val="0"/>
              <w:spacing w:before="40" w:after="40" w:line="200" w:lineRule="exact"/>
              <w:jc w:val="right"/>
              <w:rPr>
                <w:rFonts w:eastAsia="Gulim"/>
                <w:sz w:val="16"/>
                <w:szCs w:val="16"/>
                <w:lang w:val="en-US"/>
              </w:rPr>
            </w:pPr>
            <w:r w:rsidRPr="00222917">
              <w:rPr>
                <w:rFonts w:eastAsia="Gulim"/>
                <w:sz w:val="16"/>
                <w:szCs w:val="16"/>
                <w:lang w:val="en-US"/>
              </w:rPr>
              <w:t>338</w:t>
            </w:r>
          </w:p>
        </w:tc>
        <w:tc>
          <w:tcPr>
            <w:tcW w:w="680" w:type="dxa"/>
            <w:tcBorders>
              <w:top w:val="single" w:sz="12" w:space="0" w:color="000000"/>
            </w:tcBorders>
            <w:shd w:val="clear" w:color="auto" w:fill="auto"/>
            <w:vAlign w:val="bottom"/>
          </w:tcPr>
          <w:p w:rsidR="006E1F63" w:rsidRPr="00222917" w:rsidRDefault="006E1F63" w:rsidP="005C4802">
            <w:pPr>
              <w:suppressAutoHyphens w:val="0"/>
              <w:spacing w:before="40" w:after="40" w:line="200" w:lineRule="exact"/>
              <w:jc w:val="right"/>
              <w:rPr>
                <w:rFonts w:eastAsia="Gulim"/>
                <w:b/>
                <w:sz w:val="16"/>
                <w:szCs w:val="16"/>
                <w:lang w:val="en-US"/>
              </w:rPr>
            </w:pPr>
            <w:r w:rsidRPr="00222917">
              <w:rPr>
                <w:rFonts w:eastAsia="Gulim"/>
                <w:b/>
                <w:sz w:val="16"/>
                <w:szCs w:val="16"/>
                <w:lang w:val="en-US"/>
              </w:rPr>
              <w:t>14,699</w:t>
            </w:r>
          </w:p>
        </w:tc>
        <w:tc>
          <w:tcPr>
            <w:tcW w:w="680" w:type="dxa"/>
            <w:tcBorders>
              <w:top w:val="single" w:sz="12" w:space="0" w:color="000000"/>
            </w:tcBorders>
            <w:shd w:val="clear" w:color="auto" w:fill="auto"/>
            <w:vAlign w:val="bottom"/>
          </w:tcPr>
          <w:p w:rsidR="006E1F63" w:rsidRPr="00222917" w:rsidRDefault="006E1F63" w:rsidP="005C4802">
            <w:pPr>
              <w:suppressAutoHyphens w:val="0"/>
              <w:spacing w:before="40" w:after="40" w:line="200" w:lineRule="exact"/>
              <w:jc w:val="right"/>
              <w:rPr>
                <w:rFonts w:eastAsia="Gulim"/>
                <w:sz w:val="16"/>
                <w:szCs w:val="16"/>
                <w:lang w:val="en-US"/>
              </w:rPr>
            </w:pPr>
            <w:r w:rsidRPr="00222917">
              <w:rPr>
                <w:rFonts w:eastAsia="Gulim"/>
                <w:sz w:val="16"/>
                <w:szCs w:val="16"/>
                <w:lang w:val="en-US"/>
              </w:rPr>
              <w:t>7,386</w:t>
            </w:r>
          </w:p>
        </w:tc>
        <w:tc>
          <w:tcPr>
            <w:tcW w:w="680" w:type="dxa"/>
            <w:tcBorders>
              <w:top w:val="single" w:sz="12" w:space="0" w:color="000000"/>
            </w:tcBorders>
            <w:shd w:val="clear" w:color="auto" w:fill="auto"/>
            <w:vAlign w:val="bottom"/>
          </w:tcPr>
          <w:p w:rsidR="006E1F63" w:rsidRPr="00222917" w:rsidRDefault="006E1F63" w:rsidP="005C4802">
            <w:pPr>
              <w:suppressAutoHyphens w:val="0"/>
              <w:spacing w:before="40" w:after="40" w:line="200" w:lineRule="exact"/>
              <w:jc w:val="right"/>
              <w:rPr>
                <w:rFonts w:eastAsia="Gulim"/>
                <w:sz w:val="16"/>
                <w:szCs w:val="16"/>
                <w:lang w:val="en-US"/>
              </w:rPr>
            </w:pPr>
            <w:r w:rsidRPr="00222917">
              <w:rPr>
                <w:rFonts w:eastAsia="Gulim"/>
                <w:sz w:val="16"/>
                <w:szCs w:val="16"/>
                <w:lang w:val="en-US"/>
              </w:rPr>
              <w:t>3,592</w:t>
            </w:r>
          </w:p>
        </w:tc>
        <w:tc>
          <w:tcPr>
            <w:tcW w:w="680" w:type="dxa"/>
            <w:tcBorders>
              <w:top w:val="single" w:sz="12" w:space="0" w:color="000000"/>
            </w:tcBorders>
            <w:shd w:val="clear" w:color="auto" w:fill="auto"/>
            <w:vAlign w:val="bottom"/>
          </w:tcPr>
          <w:p w:rsidR="006E1F63" w:rsidRPr="00222917" w:rsidRDefault="006E1F63" w:rsidP="005C4802">
            <w:pPr>
              <w:suppressAutoHyphens w:val="0"/>
              <w:spacing w:before="40" w:after="40" w:line="200" w:lineRule="exact"/>
              <w:jc w:val="right"/>
              <w:rPr>
                <w:rFonts w:eastAsia="Gulim"/>
                <w:sz w:val="16"/>
                <w:szCs w:val="16"/>
                <w:lang w:val="en-US"/>
              </w:rPr>
            </w:pPr>
            <w:r w:rsidRPr="00222917">
              <w:rPr>
                <w:rFonts w:eastAsia="Gulim"/>
                <w:sz w:val="16"/>
                <w:szCs w:val="16"/>
                <w:lang w:val="en-US"/>
              </w:rPr>
              <w:t>1,123</w:t>
            </w:r>
          </w:p>
        </w:tc>
        <w:tc>
          <w:tcPr>
            <w:tcW w:w="680" w:type="dxa"/>
            <w:tcBorders>
              <w:top w:val="single" w:sz="12" w:space="0" w:color="000000"/>
            </w:tcBorders>
            <w:shd w:val="clear" w:color="auto" w:fill="auto"/>
            <w:vAlign w:val="bottom"/>
          </w:tcPr>
          <w:p w:rsidR="006E1F63" w:rsidRPr="00222917" w:rsidRDefault="006E1F63" w:rsidP="005C4802">
            <w:pPr>
              <w:suppressAutoHyphens w:val="0"/>
              <w:spacing w:before="40" w:after="40" w:line="200" w:lineRule="exact"/>
              <w:jc w:val="right"/>
              <w:rPr>
                <w:rFonts w:eastAsia="Gulim"/>
                <w:sz w:val="16"/>
                <w:szCs w:val="16"/>
                <w:lang w:val="en-US"/>
              </w:rPr>
            </w:pPr>
            <w:r w:rsidRPr="00222917">
              <w:rPr>
                <w:rFonts w:eastAsia="Gulim"/>
                <w:sz w:val="16"/>
                <w:szCs w:val="16"/>
                <w:lang w:val="en-US"/>
              </w:rPr>
              <w:t>542</w:t>
            </w:r>
          </w:p>
        </w:tc>
        <w:tc>
          <w:tcPr>
            <w:tcW w:w="680" w:type="dxa"/>
            <w:tcBorders>
              <w:top w:val="single" w:sz="12" w:space="0" w:color="000000"/>
            </w:tcBorders>
            <w:shd w:val="clear" w:color="auto" w:fill="auto"/>
            <w:vAlign w:val="bottom"/>
          </w:tcPr>
          <w:p w:rsidR="006E1F63" w:rsidRPr="00222917" w:rsidRDefault="006E1F63" w:rsidP="005C4802">
            <w:pPr>
              <w:suppressAutoHyphens w:val="0"/>
              <w:spacing w:before="40" w:after="40" w:line="200" w:lineRule="exact"/>
              <w:jc w:val="right"/>
              <w:rPr>
                <w:rFonts w:eastAsia="Gulim"/>
                <w:sz w:val="16"/>
                <w:szCs w:val="16"/>
                <w:lang w:val="en-US"/>
              </w:rPr>
            </w:pPr>
            <w:r w:rsidRPr="00222917">
              <w:rPr>
                <w:rFonts w:eastAsia="Gulim"/>
                <w:sz w:val="16"/>
                <w:szCs w:val="16"/>
                <w:lang w:val="en-US"/>
              </w:rPr>
              <w:t>2,056</w:t>
            </w:r>
          </w:p>
        </w:tc>
      </w:tr>
      <w:tr w:rsidR="006E1F63" w:rsidRPr="00222917" w:rsidTr="005C4802">
        <w:trPr>
          <w:trHeight w:val="240"/>
        </w:trPr>
        <w:tc>
          <w:tcPr>
            <w:tcW w:w="340" w:type="dxa"/>
            <w:shd w:val="clear" w:color="auto" w:fill="auto"/>
          </w:tcPr>
          <w:p w:rsidR="006E1F63" w:rsidRPr="00222917" w:rsidRDefault="006E1F63" w:rsidP="00A2131F">
            <w:pPr>
              <w:suppressAutoHyphens w:val="0"/>
              <w:spacing w:before="40" w:after="40" w:line="200" w:lineRule="exact"/>
              <w:rPr>
                <w:rFonts w:eastAsia="Gulim"/>
                <w:sz w:val="16"/>
                <w:szCs w:val="16"/>
                <w:lang w:val="en-US"/>
              </w:rPr>
            </w:pPr>
            <w:r w:rsidRPr="00222917">
              <w:rPr>
                <w:rFonts w:eastAsia="Gulim"/>
                <w:sz w:val="16"/>
                <w:szCs w:val="16"/>
                <w:lang w:val="en-US"/>
              </w:rPr>
              <w:t>2007</w:t>
            </w:r>
          </w:p>
        </w:tc>
        <w:tc>
          <w:tcPr>
            <w:tcW w:w="680" w:type="dxa"/>
            <w:shd w:val="clear" w:color="auto" w:fill="auto"/>
            <w:vAlign w:val="bottom"/>
          </w:tcPr>
          <w:p w:rsidR="006E1F63" w:rsidRPr="00222917" w:rsidRDefault="006E1F63" w:rsidP="005C4802">
            <w:pPr>
              <w:suppressAutoHyphens w:val="0"/>
              <w:spacing w:before="40" w:after="40" w:line="200" w:lineRule="exact"/>
              <w:jc w:val="right"/>
              <w:rPr>
                <w:rFonts w:eastAsia="Gulim"/>
                <w:b/>
                <w:sz w:val="16"/>
                <w:szCs w:val="16"/>
                <w:lang w:val="en-US"/>
              </w:rPr>
            </w:pPr>
            <w:r w:rsidRPr="00222917">
              <w:rPr>
                <w:rFonts w:eastAsia="Gulim"/>
                <w:b/>
                <w:sz w:val="16"/>
                <w:szCs w:val="16"/>
                <w:lang w:val="en-US"/>
              </w:rPr>
              <w:t>9,352</w:t>
            </w:r>
          </w:p>
        </w:tc>
        <w:tc>
          <w:tcPr>
            <w:tcW w:w="680" w:type="dxa"/>
            <w:shd w:val="clear" w:color="auto" w:fill="auto"/>
            <w:vAlign w:val="bottom"/>
          </w:tcPr>
          <w:p w:rsidR="006E1F63" w:rsidRPr="00222917" w:rsidRDefault="006E1F63" w:rsidP="005C4802">
            <w:pPr>
              <w:suppressAutoHyphens w:val="0"/>
              <w:spacing w:before="40" w:after="40" w:line="200" w:lineRule="exact"/>
              <w:jc w:val="right"/>
              <w:rPr>
                <w:rFonts w:eastAsia="Gulim"/>
                <w:sz w:val="16"/>
                <w:szCs w:val="16"/>
                <w:lang w:val="en-US"/>
              </w:rPr>
            </w:pPr>
            <w:r w:rsidRPr="00222917">
              <w:rPr>
                <w:rFonts w:eastAsia="Gulim"/>
                <w:sz w:val="16"/>
                <w:szCs w:val="16"/>
                <w:lang w:val="en-US"/>
              </w:rPr>
              <w:t>5,701</w:t>
            </w:r>
          </w:p>
        </w:tc>
        <w:tc>
          <w:tcPr>
            <w:tcW w:w="680" w:type="dxa"/>
            <w:shd w:val="clear" w:color="auto" w:fill="auto"/>
            <w:vAlign w:val="bottom"/>
          </w:tcPr>
          <w:p w:rsidR="006E1F63" w:rsidRPr="00222917" w:rsidRDefault="006E1F63" w:rsidP="006334E9">
            <w:pPr>
              <w:suppressAutoHyphens w:val="0"/>
              <w:spacing w:before="40" w:after="40" w:line="200" w:lineRule="exact"/>
              <w:jc w:val="right"/>
              <w:rPr>
                <w:rFonts w:eastAsia="Gulim"/>
                <w:sz w:val="16"/>
                <w:szCs w:val="16"/>
                <w:lang w:val="en-US"/>
              </w:rPr>
            </w:pPr>
            <w:r w:rsidRPr="00222917">
              <w:rPr>
                <w:rFonts w:eastAsia="Gulim"/>
                <w:sz w:val="16"/>
                <w:szCs w:val="16"/>
                <w:lang w:val="en-US"/>
              </w:rPr>
              <w:t>2,463</w:t>
            </w:r>
          </w:p>
        </w:tc>
        <w:tc>
          <w:tcPr>
            <w:tcW w:w="680" w:type="dxa"/>
            <w:shd w:val="clear" w:color="auto" w:fill="auto"/>
            <w:vAlign w:val="bottom"/>
          </w:tcPr>
          <w:p w:rsidR="006E1F63" w:rsidRPr="00222917" w:rsidRDefault="006E1F63" w:rsidP="005C4802">
            <w:pPr>
              <w:suppressAutoHyphens w:val="0"/>
              <w:spacing w:before="40" w:after="40" w:line="200" w:lineRule="exact"/>
              <w:jc w:val="right"/>
              <w:rPr>
                <w:rFonts w:eastAsia="Gulim"/>
                <w:sz w:val="16"/>
                <w:szCs w:val="16"/>
                <w:lang w:val="en-US"/>
              </w:rPr>
            </w:pPr>
            <w:r w:rsidRPr="00222917">
              <w:rPr>
                <w:rFonts w:eastAsia="Gulim"/>
                <w:sz w:val="16"/>
                <w:szCs w:val="16"/>
                <w:lang w:val="en-US"/>
              </w:rPr>
              <w:t>336</w:t>
            </w:r>
          </w:p>
        </w:tc>
        <w:tc>
          <w:tcPr>
            <w:tcW w:w="680" w:type="dxa"/>
            <w:shd w:val="clear" w:color="auto" w:fill="auto"/>
            <w:vAlign w:val="bottom"/>
          </w:tcPr>
          <w:p w:rsidR="006E1F63" w:rsidRPr="00222917" w:rsidRDefault="006E1F63" w:rsidP="005C4802">
            <w:pPr>
              <w:suppressAutoHyphens w:val="0"/>
              <w:spacing w:before="40" w:after="40" w:line="200" w:lineRule="exact"/>
              <w:jc w:val="right"/>
              <w:rPr>
                <w:rFonts w:eastAsia="Gulim"/>
                <w:sz w:val="16"/>
                <w:szCs w:val="16"/>
                <w:lang w:val="en-US"/>
              </w:rPr>
            </w:pPr>
            <w:r w:rsidRPr="00222917">
              <w:rPr>
                <w:rFonts w:eastAsia="Gulim"/>
                <w:sz w:val="16"/>
                <w:szCs w:val="16"/>
                <w:lang w:val="en-US"/>
              </w:rPr>
              <w:t>105</w:t>
            </w:r>
          </w:p>
        </w:tc>
        <w:tc>
          <w:tcPr>
            <w:tcW w:w="680" w:type="dxa"/>
            <w:shd w:val="clear" w:color="auto" w:fill="auto"/>
            <w:vAlign w:val="bottom"/>
          </w:tcPr>
          <w:p w:rsidR="006E1F63" w:rsidRPr="00222917" w:rsidRDefault="006E1F63" w:rsidP="005C4802">
            <w:pPr>
              <w:suppressAutoHyphens w:val="0"/>
              <w:spacing w:before="40" w:after="40" w:line="200" w:lineRule="exact"/>
              <w:jc w:val="right"/>
              <w:rPr>
                <w:rFonts w:eastAsia="Gulim"/>
                <w:sz w:val="16"/>
                <w:szCs w:val="16"/>
                <w:lang w:val="en-US"/>
              </w:rPr>
            </w:pPr>
            <w:r w:rsidRPr="00222917">
              <w:rPr>
                <w:rFonts w:eastAsia="Gulim"/>
                <w:sz w:val="16"/>
                <w:szCs w:val="16"/>
                <w:lang w:val="en-US"/>
              </w:rPr>
              <w:t>747</w:t>
            </w:r>
          </w:p>
        </w:tc>
        <w:tc>
          <w:tcPr>
            <w:tcW w:w="680" w:type="dxa"/>
            <w:shd w:val="clear" w:color="auto" w:fill="auto"/>
            <w:vAlign w:val="bottom"/>
          </w:tcPr>
          <w:p w:rsidR="006E1F63" w:rsidRPr="00222917" w:rsidRDefault="006E1F63" w:rsidP="005C4802">
            <w:pPr>
              <w:suppressAutoHyphens w:val="0"/>
              <w:spacing w:before="40" w:after="40" w:line="200" w:lineRule="exact"/>
              <w:jc w:val="right"/>
              <w:rPr>
                <w:rFonts w:eastAsia="Gulim"/>
                <w:b/>
                <w:sz w:val="16"/>
                <w:szCs w:val="16"/>
                <w:lang w:val="en-US"/>
              </w:rPr>
            </w:pPr>
            <w:r w:rsidRPr="00222917">
              <w:rPr>
                <w:rFonts w:eastAsia="Gulim"/>
                <w:b/>
                <w:sz w:val="16"/>
                <w:szCs w:val="16"/>
                <w:lang w:val="en-US"/>
              </w:rPr>
              <w:t>28,236</w:t>
            </w:r>
          </w:p>
        </w:tc>
        <w:tc>
          <w:tcPr>
            <w:tcW w:w="680" w:type="dxa"/>
            <w:shd w:val="clear" w:color="auto" w:fill="auto"/>
            <w:vAlign w:val="bottom"/>
          </w:tcPr>
          <w:p w:rsidR="006E1F63" w:rsidRPr="00222917" w:rsidRDefault="006E1F63" w:rsidP="005C4802">
            <w:pPr>
              <w:suppressAutoHyphens w:val="0"/>
              <w:spacing w:before="40" w:after="40" w:line="200" w:lineRule="exact"/>
              <w:jc w:val="right"/>
              <w:rPr>
                <w:rFonts w:eastAsia="Gulim"/>
                <w:sz w:val="16"/>
                <w:szCs w:val="16"/>
                <w:lang w:val="en-US"/>
              </w:rPr>
            </w:pPr>
            <w:r w:rsidRPr="00222917">
              <w:rPr>
                <w:rFonts w:eastAsia="Gulim"/>
                <w:sz w:val="16"/>
                <w:szCs w:val="16"/>
                <w:lang w:val="en-US"/>
              </w:rPr>
              <w:t>14,546</w:t>
            </w:r>
          </w:p>
        </w:tc>
        <w:tc>
          <w:tcPr>
            <w:tcW w:w="680" w:type="dxa"/>
            <w:shd w:val="clear" w:color="auto" w:fill="auto"/>
            <w:vAlign w:val="bottom"/>
          </w:tcPr>
          <w:p w:rsidR="006E1F63" w:rsidRPr="00222917" w:rsidRDefault="006E1F63" w:rsidP="005C4802">
            <w:pPr>
              <w:suppressAutoHyphens w:val="0"/>
              <w:spacing w:before="40" w:after="40" w:line="200" w:lineRule="exact"/>
              <w:jc w:val="right"/>
              <w:rPr>
                <w:rFonts w:eastAsia="Gulim"/>
                <w:sz w:val="16"/>
                <w:szCs w:val="16"/>
                <w:lang w:val="en-US"/>
              </w:rPr>
            </w:pPr>
            <w:r w:rsidRPr="00222917">
              <w:rPr>
                <w:rFonts w:eastAsia="Gulim"/>
                <w:sz w:val="16"/>
                <w:szCs w:val="16"/>
                <w:lang w:val="en-US"/>
              </w:rPr>
              <w:t>6,229</w:t>
            </w:r>
          </w:p>
        </w:tc>
        <w:tc>
          <w:tcPr>
            <w:tcW w:w="680" w:type="dxa"/>
            <w:shd w:val="clear" w:color="auto" w:fill="auto"/>
            <w:vAlign w:val="bottom"/>
          </w:tcPr>
          <w:p w:rsidR="006E1F63" w:rsidRPr="00222917" w:rsidRDefault="006E1F63" w:rsidP="005C4802">
            <w:pPr>
              <w:suppressAutoHyphens w:val="0"/>
              <w:spacing w:before="40" w:after="40" w:line="200" w:lineRule="exact"/>
              <w:jc w:val="right"/>
              <w:rPr>
                <w:rFonts w:eastAsia="Gulim"/>
                <w:sz w:val="16"/>
                <w:szCs w:val="16"/>
                <w:lang w:val="en-US"/>
              </w:rPr>
            </w:pPr>
            <w:r w:rsidRPr="00222917">
              <w:rPr>
                <w:rFonts w:eastAsia="Gulim"/>
                <w:sz w:val="16"/>
                <w:szCs w:val="16"/>
                <w:lang w:val="en-US"/>
              </w:rPr>
              <w:t>2,117</w:t>
            </w:r>
          </w:p>
        </w:tc>
        <w:tc>
          <w:tcPr>
            <w:tcW w:w="680" w:type="dxa"/>
            <w:shd w:val="clear" w:color="auto" w:fill="auto"/>
            <w:vAlign w:val="bottom"/>
          </w:tcPr>
          <w:p w:rsidR="006E1F63" w:rsidRPr="00222917" w:rsidRDefault="006E1F63" w:rsidP="005C4802">
            <w:pPr>
              <w:suppressAutoHyphens w:val="0"/>
              <w:spacing w:before="40" w:after="40" w:line="200" w:lineRule="exact"/>
              <w:jc w:val="right"/>
              <w:rPr>
                <w:rFonts w:eastAsia="Gulim"/>
                <w:sz w:val="16"/>
                <w:szCs w:val="16"/>
                <w:lang w:val="en-US"/>
              </w:rPr>
            </w:pPr>
            <w:r w:rsidRPr="00222917">
              <w:rPr>
                <w:rFonts w:eastAsia="Gulim"/>
                <w:sz w:val="16"/>
                <w:szCs w:val="16"/>
                <w:lang w:val="en-US"/>
              </w:rPr>
              <w:t>1,198</w:t>
            </w:r>
          </w:p>
        </w:tc>
        <w:tc>
          <w:tcPr>
            <w:tcW w:w="680" w:type="dxa"/>
            <w:shd w:val="clear" w:color="auto" w:fill="auto"/>
            <w:vAlign w:val="bottom"/>
          </w:tcPr>
          <w:p w:rsidR="006E1F63" w:rsidRPr="00222917" w:rsidRDefault="006E1F63" w:rsidP="005C4802">
            <w:pPr>
              <w:suppressAutoHyphens w:val="0"/>
              <w:spacing w:before="40" w:after="40" w:line="200" w:lineRule="exact"/>
              <w:jc w:val="right"/>
              <w:rPr>
                <w:rFonts w:eastAsia="Gulim"/>
                <w:sz w:val="16"/>
                <w:szCs w:val="16"/>
                <w:lang w:val="en-US"/>
              </w:rPr>
            </w:pPr>
            <w:r w:rsidRPr="00222917">
              <w:rPr>
                <w:rFonts w:eastAsia="Gulim"/>
                <w:sz w:val="16"/>
                <w:szCs w:val="16"/>
                <w:lang w:val="en-US"/>
              </w:rPr>
              <w:t>4,146</w:t>
            </w:r>
          </w:p>
        </w:tc>
      </w:tr>
      <w:tr w:rsidR="006E1F63" w:rsidRPr="00222917" w:rsidTr="005C4802">
        <w:trPr>
          <w:trHeight w:val="240"/>
        </w:trPr>
        <w:tc>
          <w:tcPr>
            <w:tcW w:w="340" w:type="dxa"/>
            <w:shd w:val="clear" w:color="auto" w:fill="auto"/>
          </w:tcPr>
          <w:p w:rsidR="006E1F63" w:rsidRPr="00222917" w:rsidRDefault="006E1F63" w:rsidP="00A2131F">
            <w:pPr>
              <w:suppressAutoHyphens w:val="0"/>
              <w:spacing w:before="40" w:after="40" w:line="200" w:lineRule="exact"/>
              <w:rPr>
                <w:rFonts w:eastAsia="Gulim"/>
                <w:sz w:val="16"/>
                <w:szCs w:val="16"/>
                <w:lang w:val="en-US"/>
              </w:rPr>
            </w:pPr>
            <w:r w:rsidRPr="00222917">
              <w:rPr>
                <w:rFonts w:eastAsia="Gulim"/>
                <w:sz w:val="16"/>
                <w:szCs w:val="16"/>
                <w:lang w:val="en-US"/>
              </w:rPr>
              <w:t>2008</w:t>
            </w:r>
          </w:p>
        </w:tc>
        <w:tc>
          <w:tcPr>
            <w:tcW w:w="680" w:type="dxa"/>
            <w:shd w:val="clear" w:color="auto" w:fill="auto"/>
            <w:vAlign w:val="bottom"/>
          </w:tcPr>
          <w:p w:rsidR="006E1F63" w:rsidRPr="00222917" w:rsidRDefault="006E1F63" w:rsidP="005C4802">
            <w:pPr>
              <w:suppressAutoHyphens w:val="0"/>
              <w:spacing w:before="40" w:after="40" w:line="200" w:lineRule="exact"/>
              <w:jc w:val="right"/>
              <w:rPr>
                <w:rFonts w:eastAsia="Gulim"/>
                <w:b/>
                <w:sz w:val="16"/>
                <w:szCs w:val="16"/>
                <w:lang w:val="en-US"/>
              </w:rPr>
            </w:pPr>
            <w:r w:rsidRPr="00222917">
              <w:rPr>
                <w:rFonts w:eastAsia="Gulim"/>
                <w:b/>
                <w:sz w:val="16"/>
                <w:szCs w:val="16"/>
                <w:lang w:val="en-US"/>
              </w:rPr>
              <w:t>10,074</w:t>
            </w:r>
          </w:p>
        </w:tc>
        <w:tc>
          <w:tcPr>
            <w:tcW w:w="680" w:type="dxa"/>
            <w:shd w:val="clear" w:color="auto" w:fill="auto"/>
            <w:vAlign w:val="bottom"/>
          </w:tcPr>
          <w:p w:rsidR="006E1F63" w:rsidRPr="00222917" w:rsidRDefault="006E1F63" w:rsidP="005C4802">
            <w:pPr>
              <w:suppressAutoHyphens w:val="0"/>
              <w:spacing w:before="40" w:after="40" w:line="200" w:lineRule="exact"/>
              <w:jc w:val="right"/>
              <w:rPr>
                <w:rFonts w:eastAsia="Gulim"/>
                <w:sz w:val="16"/>
                <w:szCs w:val="16"/>
                <w:lang w:val="en-US"/>
              </w:rPr>
            </w:pPr>
            <w:r w:rsidRPr="00222917">
              <w:rPr>
                <w:rFonts w:eastAsia="Gulim"/>
                <w:sz w:val="16"/>
                <w:szCs w:val="16"/>
                <w:lang w:val="en-US"/>
              </w:rPr>
              <w:t>6,818</w:t>
            </w:r>
          </w:p>
        </w:tc>
        <w:tc>
          <w:tcPr>
            <w:tcW w:w="680" w:type="dxa"/>
            <w:shd w:val="clear" w:color="auto" w:fill="auto"/>
            <w:vAlign w:val="bottom"/>
          </w:tcPr>
          <w:p w:rsidR="006E1F63" w:rsidRPr="00222917" w:rsidRDefault="006E1F63" w:rsidP="005C4802">
            <w:pPr>
              <w:suppressAutoHyphens w:val="0"/>
              <w:spacing w:before="40" w:after="40" w:line="200" w:lineRule="exact"/>
              <w:jc w:val="right"/>
              <w:rPr>
                <w:rFonts w:eastAsia="Gulim"/>
                <w:sz w:val="16"/>
                <w:szCs w:val="16"/>
                <w:lang w:val="en-US"/>
              </w:rPr>
            </w:pPr>
            <w:r w:rsidRPr="00222917">
              <w:rPr>
                <w:rFonts w:eastAsia="Gulim"/>
                <w:sz w:val="16"/>
                <w:szCs w:val="16"/>
                <w:lang w:val="en-US"/>
              </w:rPr>
              <w:t>2,312</w:t>
            </w:r>
          </w:p>
        </w:tc>
        <w:tc>
          <w:tcPr>
            <w:tcW w:w="680" w:type="dxa"/>
            <w:shd w:val="clear" w:color="auto" w:fill="auto"/>
            <w:vAlign w:val="bottom"/>
          </w:tcPr>
          <w:p w:rsidR="006E1F63" w:rsidRPr="00222917" w:rsidRDefault="006E1F63" w:rsidP="005C4802">
            <w:pPr>
              <w:suppressAutoHyphens w:val="0"/>
              <w:spacing w:before="40" w:after="40" w:line="200" w:lineRule="exact"/>
              <w:jc w:val="right"/>
              <w:rPr>
                <w:rFonts w:eastAsia="Gulim"/>
                <w:sz w:val="16"/>
                <w:szCs w:val="16"/>
                <w:lang w:val="en-US"/>
              </w:rPr>
            </w:pPr>
            <w:r w:rsidRPr="00222917">
              <w:rPr>
                <w:rFonts w:eastAsia="Gulim"/>
                <w:sz w:val="16"/>
                <w:szCs w:val="16"/>
                <w:lang w:val="en-US"/>
              </w:rPr>
              <w:t>209</w:t>
            </w:r>
          </w:p>
        </w:tc>
        <w:tc>
          <w:tcPr>
            <w:tcW w:w="680" w:type="dxa"/>
            <w:shd w:val="clear" w:color="auto" w:fill="auto"/>
            <w:vAlign w:val="bottom"/>
          </w:tcPr>
          <w:p w:rsidR="006E1F63" w:rsidRPr="00222917" w:rsidRDefault="006E1F63" w:rsidP="005C4802">
            <w:pPr>
              <w:suppressAutoHyphens w:val="0"/>
              <w:spacing w:before="40" w:after="40" w:line="200" w:lineRule="exact"/>
              <w:jc w:val="right"/>
              <w:rPr>
                <w:rFonts w:eastAsia="Gulim"/>
                <w:sz w:val="16"/>
                <w:szCs w:val="16"/>
                <w:lang w:val="en-US"/>
              </w:rPr>
            </w:pPr>
            <w:r w:rsidRPr="00222917">
              <w:rPr>
                <w:rFonts w:eastAsia="Gulim"/>
                <w:sz w:val="16"/>
                <w:szCs w:val="16"/>
                <w:lang w:val="en-US"/>
              </w:rPr>
              <w:t>70</w:t>
            </w:r>
          </w:p>
        </w:tc>
        <w:tc>
          <w:tcPr>
            <w:tcW w:w="680" w:type="dxa"/>
            <w:shd w:val="clear" w:color="auto" w:fill="auto"/>
            <w:vAlign w:val="bottom"/>
          </w:tcPr>
          <w:p w:rsidR="006E1F63" w:rsidRPr="00222917" w:rsidRDefault="006E1F63" w:rsidP="005C4802">
            <w:pPr>
              <w:suppressAutoHyphens w:val="0"/>
              <w:spacing w:before="40" w:after="40" w:line="200" w:lineRule="exact"/>
              <w:jc w:val="right"/>
              <w:rPr>
                <w:rFonts w:eastAsia="Gulim"/>
                <w:sz w:val="16"/>
                <w:szCs w:val="16"/>
                <w:lang w:val="en-US"/>
              </w:rPr>
            </w:pPr>
            <w:r w:rsidRPr="00222917">
              <w:rPr>
                <w:rFonts w:eastAsia="Gulim"/>
                <w:sz w:val="16"/>
                <w:szCs w:val="16"/>
                <w:lang w:val="en-US"/>
              </w:rPr>
              <w:t>665</w:t>
            </w:r>
          </w:p>
        </w:tc>
        <w:tc>
          <w:tcPr>
            <w:tcW w:w="680" w:type="dxa"/>
            <w:shd w:val="clear" w:color="auto" w:fill="auto"/>
            <w:vAlign w:val="bottom"/>
          </w:tcPr>
          <w:p w:rsidR="006E1F63" w:rsidRPr="00222917" w:rsidRDefault="006E1F63" w:rsidP="005C4802">
            <w:pPr>
              <w:suppressAutoHyphens w:val="0"/>
              <w:spacing w:before="40" w:after="40" w:line="200" w:lineRule="exact"/>
              <w:jc w:val="right"/>
              <w:rPr>
                <w:rFonts w:eastAsia="Gulim"/>
                <w:b/>
                <w:sz w:val="16"/>
                <w:szCs w:val="16"/>
                <w:lang w:val="en-US"/>
              </w:rPr>
            </w:pPr>
            <w:r w:rsidRPr="00222917">
              <w:rPr>
                <w:rFonts w:eastAsia="Gulim"/>
                <w:b/>
                <w:sz w:val="16"/>
                <w:szCs w:val="16"/>
                <w:lang w:val="en-US"/>
              </w:rPr>
              <w:t>35,643</w:t>
            </w:r>
          </w:p>
        </w:tc>
        <w:tc>
          <w:tcPr>
            <w:tcW w:w="680" w:type="dxa"/>
            <w:shd w:val="clear" w:color="auto" w:fill="auto"/>
            <w:vAlign w:val="bottom"/>
          </w:tcPr>
          <w:p w:rsidR="006E1F63" w:rsidRPr="00222917" w:rsidRDefault="006E1F63" w:rsidP="005C4802">
            <w:pPr>
              <w:suppressAutoHyphens w:val="0"/>
              <w:spacing w:before="40" w:after="40" w:line="200" w:lineRule="exact"/>
              <w:jc w:val="right"/>
              <w:rPr>
                <w:rFonts w:eastAsia="Gulim"/>
                <w:sz w:val="16"/>
                <w:szCs w:val="16"/>
                <w:lang w:val="en-US"/>
              </w:rPr>
            </w:pPr>
            <w:r w:rsidRPr="00222917">
              <w:rPr>
                <w:rFonts w:eastAsia="Gulim"/>
                <w:sz w:val="16"/>
                <w:szCs w:val="16"/>
                <w:lang w:val="en-US"/>
              </w:rPr>
              <w:t>18,258</w:t>
            </w:r>
          </w:p>
        </w:tc>
        <w:tc>
          <w:tcPr>
            <w:tcW w:w="680" w:type="dxa"/>
            <w:shd w:val="clear" w:color="auto" w:fill="auto"/>
            <w:vAlign w:val="bottom"/>
          </w:tcPr>
          <w:p w:rsidR="006E1F63" w:rsidRPr="00222917" w:rsidRDefault="006E1F63" w:rsidP="005C4802">
            <w:pPr>
              <w:suppressAutoHyphens w:val="0"/>
              <w:spacing w:before="40" w:after="40" w:line="200" w:lineRule="exact"/>
              <w:jc w:val="right"/>
              <w:rPr>
                <w:rFonts w:eastAsia="Gulim"/>
                <w:sz w:val="16"/>
                <w:szCs w:val="16"/>
                <w:lang w:val="en-US"/>
              </w:rPr>
            </w:pPr>
            <w:r w:rsidRPr="00222917">
              <w:rPr>
                <w:rFonts w:eastAsia="Gulim"/>
                <w:sz w:val="16"/>
                <w:szCs w:val="16"/>
                <w:lang w:val="en-US"/>
              </w:rPr>
              <w:t>7,335</w:t>
            </w:r>
          </w:p>
        </w:tc>
        <w:tc>
          <w:tcPr>
            <w:tcW w:w="680" w:type="dxa"/>
            <w:shd w:val="clear" w:color="auto" w:fill="auto"/>
            <w:vAlign w:val="bottom"/>
          </w:tcPr>
          <w:p w:rsidR="006E1F63" w:rsidRPr="00222917" w:rsidRDefault="006E1F63" w:rsidP="005C4802">
            <w:pPr>
              <w:suppressAutoHyphens w:val="0"/>
              <w:spacing w:before="40" w:after="40" w:line="200" w:lineRule="exact"/>
              <w:jc w:val="right"/>
              <w:rPr>
                <w:rFonts w:eastAsia="Gulim"/>
                <w:sz w:val="16"/>
                <w:szCs w:val="16"/>
                <w:lang w:val="en-US"/>
              </w:rPr>
            </w:pPr>
            <w:r w:rsidRPr="00222917">
              <w:rPr>
                <w:rFonts w:eastAsia="Gulim"/>
                <w:sz w:val="16"/>
                <w:szCs w:val="16"/>
                <w:lang w:val="en-US"/>
              </w:rPr>
              <w:t>2,571</w:t>
            </w:r>
          </w:p>
        </w:tc>
        <w:tc>
          <w:tcPr>
            <w:tcW w:w="680" w:type="dxa"/>
            <w:shd w:val="clear" w:color="auto" w:fill="auto"/>
            <w:vAlign w:val="bottom"/>
          </w:tcPr>
          <w:p w:rsidR="006E1F63" w:rsidRPr="00222917" w:rsidRDefault="006E1F63" w:rsidP="005C4802">
            <w:pPr>
              <w:suppressAutoHyphens w:val="0"/>
              <w:spacing w:before="40" w:after="40" w:line="200" w:lineRule="exact"/>
              <w:jc w:val="right"/>
              <w:rPr>
                <w:rFonts w:eastAsia="Gulim"/>
                <w:sz w:val="16"/>
                <w:szCs w:val="16"/>
                <w:lang w:val="en-US"/>
              </w:rPr>
            </w:pPr>
            <w:r w:rsidRPr="00222917">
              <w:rPr>
                <w:rFonts w:eastAsia="Gulim"/>
                <w:sz w:val="16"/>
                <w:szCs w:val="16"/>
                <w:lang w:val="en-US"/>
              </w:rPr>
              <w:t>1,977</w:t>
            </w:r>
          </w:p>
        </w:tc>
        <w:tc>
          <w:tcPr>
            <w:tcW w:w="680" w:type="dxa"/>
            <w:shd w:val="clear" w:color="auto" w:fill="auto"/>
            <w:vAlign w:val="bottom"/>
          </w:tcPr>
          <w:p w:rsidR="006E1F63" w:rsidRPr="00222917" w:rsidRDefault="006E1F63" w:rsidP="005C4802">
            <w:pPr>
              <w:suppressAutoHyphens w:val="0"/>
              <w:spacing w:before="40" w:after="40" w:line="200" w:lineRule="exact"/>
              <w:jc w:val="right"/>
              <w:rPr>
                <w:rFonts w:eastAsia="Gulim"/>
                <w:sz w:val="16"/>
                <w:szCs w:val="16"/>
                <w:lang w:val="en-US"/>
              </w:rPr>
            </w:pPr>
            <w:r w:rsidRPr="00222917">
              <w:rPr>
                <w:rFonts w:eastAsia="Gulim"/>
                <w:sz w:val="16"/>
                <w:szCs w:val="16"/>
                <w:lang w:val="en-US"/>
              </w:rPr>
              <w:t>5,502</w:t>
            </w:r>
          </w:p>
        </w:tc>
      </w:tr>
      <w:tr w:rsidR="006E1F63" w:rsidRPr="00222917" w:rsidTr="005C4802">
        <w:trPr>
          <w:trHeight w:val="240"/>
        </w:trPr>
        <w:tc>
          <w:tcPr>
            <w:tcW w:w="340" w:type="dxa"/>
            <w:shd w:val="clear" w:color="auto" w:fill="auto"/>
          </w:tcPr>
          <w:p w:rsidR="006E1F63" w:rsidRPr="00222917" w:rsidRDefault="006E1F63" w:rsidP="00A2131F">
            <w:pPr>
              <w:suppressAutoHyphens w:val="0"/>
              <w:spacing w:before="40" w:after="40" w:line="200" w:lineRule="exact"/>
              <w:rPr>
                <w:rFonts w:eastAsia="Gulim"/>
                <w:sz w:val="16"/>
                <w:szCs w:val="16"/>
                <w:lang w:val="en-US"/>
              </w:rPr>
            </w:pPr>
            <w:r w:rsidRPr="00222917">
              <w:rPr>
                <w:rFonts w:eastAsia="Gulim"/>
                <w:sz w:val="16"/>
                <w:szCs w:val="16"/>
                <w:lang w:val="en-US"/>
              </w:rPr>
              <w:t>2009</w:t>
            </w:r>
          </w:p>
        </w:tc>
        <w:tc>
          <w:tcPr>
            <w:tcW w:w="680" w:type="dxa"/>
            <w:shd w:val="clear" w:color="auto" w:fill="auto"/>
            <w:vAlign w:val="bottom"/>
          </w:tcPr>
          <w:p w:rsidR="006E1F63" w:rsidRPr="00222917" w:rsidRDefault="006E1F63" w:rsidP="005C4802">
            <w:pPr>
              <w:suppressAutoHyphens w:val="0"/>
              <w:spacing w:before="40" w:after="40" w:line="200" w:lineRule="exact"/>
              <w:jc w:val="right"/>
              <w:rPr>
                <w:rFonts w:eastAsia="Gulim"/>
                <w:b/>
                <w:sz w:val="16"/>
                <w:szCs w:val="16"/>
                <w:lang w:val="en-US"/>
              </w:rPr>
            </w:pPr>
            <w:r w:rsidRPr="00222917">
              <w:rPr>
                <w:rFonts w:eastAsia="Gulim"/>
                <w:b/>
                <w:sz w:val="16"/>
                <w:szCs w:val="16"/>
                <w:lang w:val="en-US"/>
              </w:rPr>
              <w:t>10,471</w:t>
            </w:r>
          </w:p>
        </w:tc>
        <w:tc>
          <w:tcPr>
            <w:tcW w:w="680" w:type="dxa"/>
            <w:shd w:val="clear" w:color="auto" w:fill="auto"/>
            <w:vAlign w:val="bottom"/>
          </w:tcPr>
          <w:p w:rsidR="006E1F63" w:rsidRPr="00222917" w:rsidRDefault="006E1F63" w:rsidP="005C4802">
            <w:pPr>
              <w:suppressAutoHyphens w:val="0"/>
              <w:spacing w:before="40" w:after="40" w:line="200" w:lineRule="exact"/>
              <w:jc w:val="right"/>
              <w:rPr>
                <w:rFonts w:eastAsia="Gulim"/>
                <w:sz w:val="16"/>
                <w:szCs w:val="16"/>
                <w:lang w:val="en-US"/>
              </w:rPr>
            </w:pPr>
            <w:r w:rsidRPr="00222917">
              <w:rPr>
                <w:rFonts w:eastAsia="Gulim"/>
                <w:sz w:val="16"/>
                <w:szCs w:val="16"/>
                <w:lang w:val="en-US"/>
              </w:rPr>
              <w:t>7,140</w:t>
            </w:r>
          </w:p>
        </w:tc>
        <w:tc>
          <w:tcPr>
            <w:tcW w:w="680" w:type="dxa"/>
            <w:shd w:val="clear" w:color="auto" w:fill="auto"/>
            <w:vAlign w:val="bottom"/>
          </w:tcPr>
          <w:p w:rsidR="006E1F63" w:rsidRPr="00222917" w:rsidRDefault="006E1F63" w:rsidP="005C4802">
            <w:pPr>
              <w:suppressAutoHyphens w:val="0"/>
              <w:spacing w:before="40" w:after="40" w:line="200" w:lineRule="exact"/>
              <w:jc w:val="right"/>
              <w:rPr>
                <w:rFonts w:eastAsia="Gulim"/>
                <w:sz w:val="16"/>
                <w:szCs w:val="16"/>
                <w:lang w:val="en-US"/>
              </w:rPr>
            </w:pPr>
            <w:r w:rsidRPr="00222917">
              <w:rPr>
                <w:rFonts w:eastAsia="Gulim"/>
                <w:sz w:val="16"/>
                <w:szCs w:val="16"/>
                <w:lang w:val="en-US"/>
              </w:rPr>
              <w:t>2,348</w:t>
            </w:r>
          </w:p>
        </w:tc>
        <w:tc>
          <w:tcPr>
            <w:tcW w:w="680" w:type="dxa"/>
            <w:shd w:val="clear" w:color="auto" w:fill="auto"/>
            <w:vAlign w:val="bottom"/>
          </w:tcPr>
          <w:p w:rsidR="006E1F63" w:rsidRPr="00222917" w:rsidRDefault="006E1F63" w:rsidP="005C4802">
            <w:pPr>
              <w:suppressAutoHyphens w:val="0"/>
              <w:spacing w:before="40" w:after="40" w:line="200" w:lineRule="exact"/>
              <w:jc w:val="right"/>
              <w:rPr>
                <w:rFonts w:eastAsia="Gulim"/>
                <w:sz w:val="16"/>
                <w:szCs w:val="16"/>
                <w:lang w:val="en-US"/>
              </w:rPr>
            </w:pPr>
            <w:r w:rsidRPr="00222917">
              <w:rPr>
                <w:rFonts w:eastAsia="Gulim"/>
                <w:sz w:val="16"/>
                <w:szCs w:val="16"/>
                <w:lang w:val="en-US"/>
              </w:rPr>
              <w:t>116</w:t>
            </w:r>
          </w:p>
        </w:tc>
        <w:tc>
          <w:tcPr>
            <w:tcW w:w="680" w:type="dxa"/>
            <w:shd w:val="clear" w:color="auto" w:fill="auto"/>
            <w:vAlign w:val="bottom"/>
          </w:tcPr>
          <w:p w:rsidR="006E1F63" w:rsidRPr="00222917" w:rsidRDefault="006E1F63" w:rsidP="005C4802">
            <w:pPr>
              <w:suppressAutoHyphens w:val="0"/>
              <w:spacing w:before="40" w:after="40" w:line="200" w:lineRule="exact"/>
              <w:jc w:val="right"/>
              <w:rPr>
                <w:rFonts w:eastAsia="Gulim"/>
                <w:sz w:val="16"/>
                <w:szCs w:val="16"/>
                <w:lang w:val="en-US"/>
              </w:rPr>
            </w:pPr>
            <w:r w:rsidRPr="00222917">
              <w:rPr>
                <w:rFonts w:eastAsia="Gulim"/>
                <w:sz w:val="16"/>
                <w:szCs w:val="16"/>
                <w:lang w:val="en-US"/>
              </w:rPr>
              <w:t>177</w:t>
            </w:r>
          </w:p>
        </w:tc>
        <w:tc>
          <w:tcPr>
            <w:tcW w:w="680" w:type="dxa"/>
            <w:shd w:val="clear" w:color="auto" w:fill="auto"/>
            <w:vAlign w:val="bottom"/>
          </w:tcPr>
          <w:p w:rsidR="006E1F63" w:rsidRPr="00222917" w:rsidRDefault="006E1F63" w:rsidP="005C4802">
            <w:pPr>
              <w:suppressAutoHyphens w:val="0"/>
              <w:spacing w:before="40" w:after="40" w:line="200" w:lineRule="exact"/>
              <w:jc w:val="right"/>
              <w:rPr>
                <w:rFonts w:eastAsia="Gulim"/>
                <w:sz w:val="16"/>
                <w:szCs w:val="16"/>
                <w:lang w:val="en-US"/>
              </w:rPr>
            </w:pPr>
            <w:r w:rsidRPr="00222917">
              <w:rPr>
                <w:rFonts w:eastAsia="Gulim"/>
                <w:sz w:val="16"/>
                <w:szCs w:val="16"/>
                <w:lang w:val="en-US"/>
              </w:rPr>
              <w:t>690</w:t>
            </w:r>
          </w:p>
        </w:tc>
        <w:tc>
          <w:tcPr>
            <w:tcW w:w="680" w:type="dxa"/>
            <w:shd w:val="clear" w:color="auto" w:fill="auto"/>
            <w:vAlign w:val="bottom"/>
          </w:tcPr>
          <w:p w:rsidR="006E1F63" w:rsidRPr="00222917" w:rsidRDefault="006E1F63" w:rsidP="005C4802">
            <w:pPr>
              <w:suppressAutoHyphens w:val="0"/>
              <w:spacing w:before="40" w:after="40" w:line="200" w:lineRule="exact"/>
              <w:jc w:val="right"/>
              <w:rPr>
                <w:rFonts w:eastAsia="Gulim"/>
                <w:b/>
                <w:sz w:val="16"/>
                <w:szCs w:val="16"/>
                <w:lang w:val="en-US"/>
              </w:rPr>
            </w:pPr>
            <w:r w:rsidRPr="00222917">
              <w:rPr>
                <w:rFonts w:eastAsia="Gulim"/>
                <w:b/>
                <w:sz w:val="16"/>
                <w:szCs w:val="16"/>
                <w:lang w:val="en-US"/>
              </w:rPr>
              <w:t>37,474</w:t>
            </w:r>
          </w:p>
        </w:tc>
        <w:tc>
          <w:tcPr>
            <w:tcW w:w="680" w:type="dxa"/>
            <w:shd w:val="clear" w:color="auto" w:fill="auto"/>
            <w:vAlign w:val="bottom"/>
          </w:tcPr>
          <w:p w:rsidR="006E1F63" w:rsidRPr="00222917" w:rsidRDefault="006E1F63" w:rsidP="005C4802">
            <w:pPr>
              <w:suppressAutoHyphens w:val="0"/>
              <w:spacing w:before="40" w:after="40" w:line="200" w:lineRule="exact"/>
              <w:jc w:val="right"/>
              <w:rPr>
                <w:rFonts w:eastAsia="Gulim"/>
                <w:sz w:val="16"/>
                <w:szCs w:val="16"/>
                <w:lang w:val="en-US"/>
              </w:rPr>
            </w:pPr>
            <w:r w:rsidRPr="00222917">
              <w:rPr>
                <w:rFonts w:eastAsia="Gulim"/>
                <w:sz w:val="16"/>
                <w:szCs w:val="16"/>
                <w:lang w:val="en-US"/>
              </w:rPr>
              <w:t>20,643</w:t>
            </w:r>
          </w:p>
        </w:tc>
        <w:tc>
          <w:tcPr>
            <w:tcW w:w="680" w:type="dxa"/>
            <w:shd w:val="clear" w:color="auto" w:fill="auto"/>
            <w:vAlign w:val="bottom"/>
          </w:tcPr>
          <w:p w:rsidR="006E1F63" w:rsidRPr="00222917" w:rsidRDefault="006E1F63" w:rsidP="005C4802">
            <w:pPr>
              <w:suppressAutoHyphens w:val="0"/>
              <w:spacing w:before="40" w:after="40" w:line="200" w:lineRule="exact"/>
              <w:jc w:val="right"/>
              <w:rPr>
                <w:rFonts w:eastAsia="Gulim"/>
                <w:sz w:val="16"/>
                <w:szCs w:val="16"/>
                <w:lang w:val="en-US"/>
              </w:rPr>
            </w:pPr>
            <w:r w:rsidRPr="00222917">
              <w:rPr>
                <w:rFonts w:eastAsia="Gulim"/>
                <w:sz w:val="16"/>
                <w:szCs w:val="16"/>
                <w:lang w:val="en-US"/>
              </w:rPr>
              <w:t>7,736</w:t>
            </w:r>
          </w:p>
        </w:tc>
        <w:tc>
          <w:tcPr>
            <w:tcW w:w="680" w:type="dxa"/>
            <w:shd w:val="clear" w:color="auto" w:fill="auto"/>
            <w:vAlign w:val="bottom"/>
          </w:tcPr>
          <w:p w:rsidR="006E1F63" w:rsidRPr="00222917" w:rsidRDefault="006E1F63" w:rsidP="005C4802">
            <w:pPr>
              <w:suppressAutoHyphens w:val="0"/>
              <w:spacing w:before="40" w:after="40" w:line="200" w:lineRule="exact"/>
              <w:jc w:val="right"/>
              <w:rPr>
                <w:rFonts w:eastAsia="Gulim"/>
                <w:sz w:val="16"/>
                <w:szCs w:val="16"/>
                <w:lang w:val="en-US"/>
              </w:rPr>
            </w:pPr>
            <w:r w:rsidRPr="00222917">
              <w:rPr>
                <w:rFonts w:eastAsia="Gulim"/>
                <w:sz w:val="16"/>
                <w:szCs w:val="16"/>
                <w:lang w:val="en-US"/>
              </w:rPr>
              <w:t>2,771</w:t>
            </w:r>
          </w:p>
        </w:tc>
        <w:tc>
          <w:tcPr>
            <w:tcW w:w="680" w:type="dxa"/>
            <w:shd w:val="clear" w:color="auto" w:fill="auto"/>
            <w:vAlign w:val="bottom"/>
          </w:tcPr>
          <w:p w:rsidR="006E1F63" w:rsidRPr="00222917" w:rsidRDefault="006E1F63" w:rsidP="005C4802">
            <w:pPr>
              <w:suppressAutoHyphens w:val="0"/>
              <w:spacing w:before="40" w:after="40" w:line="200" w:lineRule="exact"/>
              <w:jc w:val="right"/>
              <w:rPr>
                <w:rFonts w:eastAsia="Gulim"/>
                <w:sz w:val="16"/>
                <w:szCs w:val="16"/>
                <w:lang w:val="en-US"/>
              </w:rPr>
            </w:pPr>
            <w:r w:rsidRPr="00222917">
              <w:rPr>
                <w:rFonts w:eastAsia="Gulim"/>
                <w:sz w:val="16"/>
                <w:szCs w:val="16"/>
                <w:lang w:val="en-US"/>
              </w:rPr>
              <w:t>2,068</w:t>
            </w:r>
          </w:p>
        </w:tc>
        <w:tc>
          <w:tcPr>
            <w:tcW w:w="680" w:type="dxa"/>
            <w:shd w:val="clear" w:color="auto" w:fill="auto"/>
            <w:vAlign w:val="bottom"/>
          </w:tcPr>
          <w:p w:rsidR="006E1F63" w:rsidRPr="00222917" w:rsidRDefault="006E1F63" w:rsidP="005C4802">
            <w:pPr>
              <w:suppressAutoHyphens w:val="0"/>
              <w:spacing w:before="40" w:after="40" w:line="200" w:lineRule="exact"/>
              <w:jc w:val="right"/>
              <w:rPr>
                <w:rFonts w:eastAsia="Gulim"/>
                <w:sz w:val="16"/>
                <w:szCs w:val="16"/>
                <w:lang w:val="en-US"/>
              </w:rPr>
            </w:pPr>
            <w:r w:rsidRPr="00222917">
              <w:rPr>
                <w:rFonts w:eastAsia="Gulim"/>
                <w:sz w:val="16"/>
                <w:szCs w:val="16"/>
                <w:lang w:val="en-US"/>
              </w:rPr>
              <w:t>4,256</w:t>
            </w:r>
          </w:p>
        </w:tc>
      </w:tr>
      <w:tr w:rsidR="006E1F63" w:rsidRPr="00222917" w:rsidTr="005C4802">
        <w:trPr>
          <w:trHeight w:val="240"/>
        </w:trPr>
        <w:tc>
          <w:tcPr>
            <w:tcW w:w="340" w:type="dxa"/>
            <w:tcBorders>
              <w:bottom w:val="single" w:sz="12" w:space="0" w:color="auto"/>
            </w:tcBorders>
            <w:shd w:val="clear" w:color="auto" w:fill="auto"/>
          </w:tcPr>
          <w:p w:rsidR="006E1F63" w:rsidRPr="00222917" w:rsidRDefault="006E1F63" w:rsidP="00A2131F">
            <w:pPr>
              <w:suppressAutoHyphens w:val="0"/>
              <w:spacing w:before="40" w:after="40" w:line="200" w:lineRule="exact"/>
              <w:rPr>
                <w:rFonts w:eastAsia="Gulim"/>
                <w:sz w:val="16"/>
                <w:szCs w:val="16"/>
                <w:lang w:val="en-US"/>
              </w:rPr>
            </w:pPr>
            <w:r w:rsidRPr="00222917">
              <w:rPr>
                <w:rFonts w:eastAsia="Gulim"/>
                <w:sz w:val="16"/>
                <w:szCs w:val="16"/>
                <w:lang w:val="en-US"/>
              </w:rPr>
              <w:t>2010</w:t>
            </w:r>
          </w:p>
        </w:tc>
        <w:tc>
          <w:tcPr>
            <w:tcW w:w="680" w:type="dxa"/>
            <w:tcBorders>
              <w:bottom w:val="single" w:sz="12" w:space="0" w:color="auto"/>
            </w:tcBorders>
            <w:shd w:val="clear" w:color="auto" w:fill="auto"/>
            <w:vAlign w:val="bottom"/>
          </w:tcPr>
          <w:p w:rsidR="006E1F63" w:rsidRPr="00222917" w:rsidRDefault="006E1F63" w:rsidP="005C4802">
            <w:pPr>
              <w:suppressAutoHyphens w:val="0"/>
              <w:spacing w:before="40" w:after="40" w:line="200" w:lineRule="exact"/>
              <w:jc w:val="right"/>
              <w:rPr>
                <w:rFonts w:eastAsia="Gulim"/>
                <w:b/>
                <w:sz w:val="16"/>
                <w:szCs w:val="16"/>
                <w:lang w:val="en-US"/>
              </w:rPr>
            </w:pPr>
            <w:r w:rsidRPr="00222917">
              <w:rPr>
                <w:rFonts w:eastAsia="Gulim"/>
                <w:b/>
                <w:sz w:val="16"/>
                <w:szCs w:val="16"/>
                <w:lang w:val="en-US"/>
              </w:rPr>
              <w:t>23,222</w:t>
            </w:r>
          </w:p>
        </w:tc>
        <w:tc>
          <w:tcPr>
            <w:tcW w:w="680" w:type="dxa"/>
            <w:tcBorders>
              <w:bottom w:val="single" w:sz="12" w:space="0" w:color="auto"/>
            </w:tcBorders>
            <w:shd w:val="clear" w:color="auto" w:fill="auto"/>
            <w:vAlign w:val="bottom"/>
          </w:tcPr>
          <w:p w:rsidR="006E1F63" w:rsidRPr="00222917" w:rsidRDefault="006E1F63" w:rsidP="005C4802">
            <w:pPr>
              <w:suppressAutoHyphens w:val="0"/>
              <w:spacing w:before="40" w:after="40" w:line="200" w:lineRule="exact"/>
              <w:jc w:val="right"/>
              <w:rPr>
                <w:rFonts w:eastAsia="Gulim"/>
                <w:sz w:val="16"/>
                <w:szCs w:val="16"/>
                <w:lang w:val="en-US"/>
              </w:rPr>
            </w:pPr>
            <w:r w:rsidRPr="00222917">
              <w:rPr>
                <w:rFonts w:eastAsia="Gulim"/>
                <w:sz w:val="16"/>
                <w:szCs w:val="16"/>
                <w:lang w:val="en-US"/>
              </w:rPr>
              <w:t>16,929</w:t>
            </w:r>
          </w:p>
        </w:tc>
        <w:tc>
          <w:tcPr>
            <w:tcW w:w="680" w:type="dxa"/>
            <w:tcBorders>
              <w:bottom w:val="single" w:sz="12" w:space="0" w:color="auto"/>
            </w:tcBorders>
            <w:shd w:val="clear" w:color="auto" w:fill="auto"/>
            <w:vAlign w:val="bottom"/>
          </w:tcPr>
          <w:p w:rsidR="006E1F63" w:rsidRPr="00222917" w:rsidRDefault="006E1F63" w:rsidP="005C4802">
            <w:pPr>
              <w:suppressAutoHyphens w:val="0"/>
              <w:spacing w:before="40" w:after="40" w:line="200" w:lineRule="exact"/>
              <w:jc w:val="right"/>
              <w:rPr>
                <w:rFonts w:eastAsia="Gulim"/>
                <w:sz w:val="16"/>
                <w:szCs w:val="16"/>
                <w:lang w:val="en-US"/>
              </w:rPr>
            </w:pPr>
            <w:r w:rsidRPr="00222917">
              <w:rPr>
                <w:rFonts w:eastAsia="Gulim"/>
                <w:sz w:val="16"/>
                <w:szCs w:val="16"/>
                <w:lang w:val="en-US"/>
              </w:rPr>
              <w:t>4,049</w:t>
            </w:r>
          </w:p>
        </w:tc>
        <w:tc>
          <w:tcPr>
            <w:tcW w:w="680" w:type="dxa"/>
            <w:tcBorders>
              <w:bottom w:val="single" w:sz="12" w:space="0" w:color="auto"/>
            </w:tcBorders>
            <w:shd w:val="clear" w:color="auto" w:fill="auto"/>
            <w:vAlign w:val="bottom"/>
          </w:tcPr>
          <w:p w:rsidR="006E1F63" w:rsidRPr="00222917" w:rsidRDefault="006E1F63" w:rsidP="005C4802">
            <w:pPr>
              <w:suppressAutoHyphens w:val="0"/>
              <w:spacing w:before="40" w:after="40" w:line="200" w:lineRule="exact"/>
              <w:jc w:val="right"/>
              <w:rPr>
                <w:rFonts w:eastAsia="Gulim"/>
                <w:sz w:val="16"/>
                <w:szCs w:val="16"/>
                <w:lang w:val="en-US"/>
              </w:rPr>
            </w:pPr>
            <w:r w:rsidRPr="00222917">
              <w:rPr>
                <w:rFonts w:eastAsia="Gulim"/>
                <w:sz w:val="16"/>
                <w:szCs w:val="16"/>
                <w:lang w:val="en-US"/>
              </w:rPr>
              <w:t>566</w:t>
            </w:r>
          </w:p>
        </w:tc>
        <w:tc>
          <w:tcPr>
            <w:tcW w:w="680" w:type="dxa"/>
            <w:tcBorders>
              <w:bottom w:val="single" w:sz="12" w:space="0" w:color="auto"/>
            </w:tcBorders>
            <w:shd w:val="clear" w:color="auto" w:fill="auto"/>
            <w:vAlign w:val="bottom"/>
          </w:tcPr>
          <w:p w:rsidR="006E1F63" w:rsidRPr="00222917" w:rsidRDefault="006E1F63" w:rsidP="005C4802">
            <w:pPr>
              <w:suppressAutoHyphens w:val="0"/>
              <w:spacing w:before="40" w:after="40" w:line="200" w:lineRule="exact"/>
              <w:jc w:val="right"/>
              <w:rPr>
                <w:rFonts w:eastAsia="Gulim"/>
                <w:sz w:val="16"/>
                <w:szCs w:val="16"/>
                <w:lang w:val="en-US"/>
              </w:rPr>
            </w:pPr>
            <w:r w:rsidRPr="00222917">
              <w:rPr>
                <w:rFonts w:eastAsia="Gulim"/>
                <w:sz w:val="16"/>
                <w:szCs w:val="16"/>
                <w:lang w:val="en-US"/>
              </w:rPr>
              <w:t>225</w:t>
            </w:r>
          </w:p>
        </w:tc>
        <w:tc>
          <w:tcPr>
            <w:tcW w:w="680" w:type="dxa"/>
            <w:tcBorders>
              <w:bottom w:val="single" w:sz="12" w:space="0" w:color="auto"/>
            </w:tcBorders>
            <w:shd w:val="clear" w:color="auto" w:fill="auto"/>
            <w:vAlign w:val="bottom"/>
          </w:tcPr>
          <w:p w:rsidR="006E1F63" w:rsidRPr="00222917" w:rsidRDefault="006E1F63" w:rsidP="005C4802">
            <w:pPr>
              <w:suppressAutoHyphens w:val="0"/>
              <w:spacing w:before="40" w:after="40" w:line="200" w:lineRule="exact"/>
              <w:jc w:val="right"/>
              <w:rPr>
                <w:rFonts w:eastAsia="Gulim"/>
                <w:sz w:val="16"/>
                <w:szCs w:val="16"/>
                <w:lang w:val="en-US"/>
              </w:rPr>
            </w:pPr>
            <w:r w:rsidRPr="00222917">
              <w:rPr>
                <w:rFonts w:eastAsia="Gulim"/>
                <w:sz w:val="16"/>
                <w:szCs w:val="16"/>
                <w:lang w:val="en-US"/>
              </w:rPr>
              <w:t>1,453</w:t>
            </w:r>
          </w:p>
        </w:tc>
        <w:tc>
          <w:tcPr>
            <w:tcW w:w="680" w:type="dxa"/>
            <w:tcBorders>
              <w:bottom w:val="single" w:sz="12" w:space="0" w:color="auto"/>
            </w:tcBorders>
            <w:shd w:val="clear" w:color="auto" w:fill="auto"/>
            <w:vAlign w:val="bottom"/>
          </w:tcPr>
          <w:p w:rsidR="006E1F63" w:rsidRPr="00222917" w:rsidRDefault="006E1F63" w:rsidP="005C4802">
            <w:pPr>
              <w:suppressAutoHyphens w:val="0"/>
              <w:spacing w:before="40" w:after="40" w:line="200" w:lineRule="exact"/>
              <w:jc w:val="right"/>
              <w:rPr>
                <w:rFonts w:eastAsia="Gulim"/>
                <w:b/>
                <w:sz w:val="16"/>
                <w:szCs w:val="16"/>
                <w:lang w:val="en-US"/>
              </w:rPr>
            </w:pPr>
            <w:r w:rsidRPr="00222917">
              <w:rPr>
                <w:rFonts w:eastAsia="Gulim"/>
                <w:b/>
                <w:sz w:val="16"/>
                <w:szCs w:val="16"/>
                <w:lang w:val="en-US"/>
              </w:rPr>
              <w:t>60,471</w:t>
            </w:r>
          </w:p>
        </w:tc>
        <w:tc>
          <w:tcPr>
            <w:tcW w:w="680" w:type="dxa"/>
            <w:tcBorders>
              <w:bottom w:val="single" w:sz="12" w:space="0" w:color="auto"/>
            </w:tcBorders>
            <w:shd w:val="clear" w:color="auto" w:fill="auto"/>
            <w:vAlign w:val="bottom"/>
          </w:tcPr>
          <w:p w:rsidR="006E1F63" w:rsidRPr="00222917" w:rsidRDefault="006E1F63" w:rsidP="005C4802">
            <w:pPr>
              <w:suppressAutoHyphens w:val="0"/>
              <w:spacing w:before="40" w:after="40" w:line="200" w:lineRule="exact"/>
              <w:jc w:val="right"/>
              <w:rPr>
                <w:rFonts w:eastAsia="Gulim"/>
                <w:sz w:val="16"/>
                <w:szCs w:val="16"/>
                <w:lang w:val="en-US"/>
              </w:rPr>
            </w:pPr>
            <w:r w:rsidRPr="00222917">
              <w:rPr>
                <w:rFonts w:eastAsia="Gulim"/>
                <w:sz w:val="16"/>
                <w:szCs w:val="16"/>
                <w:lang w:val="en-US"/>
              </w:rPr>
              <w:t>30,511</w:t>
            </w:r>
          </w:p>
        </w:tc>
        <w:tc>
          <w:tcPr>
            <w:tcW w:w="680" w:type="dxa"/>
            <w:tcBorders>
              <w:bottom w:val="single" w:sz="12" w:space="0" w:color="auto"/>
            </w:tcBorders>
            <w:shd w:val="clear" w:color="auto" w:fill="auto"/>
            <w:vAlign w:val="bottom"/>
          </w:tcPr>
          <w:p w:rsidR="006E1F63" w:rsidRPr="00222917" w:rsidRDefault="006E1F63" w:rsidP="005C4802">
            <w:pPr>
              <w:suppressAutoHyphens w:val="0"/>
              <w:spacing w:before="40" w:after="40" w:line="200" w:lineRule="exact"/>
              <w:jc w:val="right"/>
              <w:rPr>
                <w:rFonts w:eastAsia="Gulim"/>
                <w:sz w:val="16"/>
                <w:szCs w:val="16"/>
                <w:lang w:val="en-US"/>
              </w:rPr>
            </w:pPr>
            <w:r w:rsidRPr="00222917">
              <w:rPr>
                <w:rFonts w:eastAsia="Gulim"/>
                <w:sz w:val="16"/>
                <w:szCs w:val="16"/>
                <w:lang w:val="en-US"/>
              </w:rPr>
              <w:t>13,849</w:t>
            </w:r>
          </w:p>
        </w:tc>
        <w:tc>
          <w:tcPr>
            <w:tcW w:w="680" w:type="dxa"/>
            <w:tcBorders>
              <w:bottom w:val="single" w:sz="12" w:space="0" w:color="auto"/>
            </w:tcBorders>
            <w:shd w:val="clear" w:color="auto" w:fill="auto"/>
            <w:vAlign w:val="bottom"/>
          </w:tcPr>
          <w:p w:rsidR="006E1F63" w:rsidRPr="00222917" w:rsidRDefault="006E1F63" w:rsidP="005C4802">
            <w:pPr>
              <w:suppressAutoHyphens w:val="0"/>
              <w:spacing w:before="40" w:after="40" w:line="200" w:lineRule="exact"/>
              <w:jc w:val="right"/>
              <w:rPr>
                <w:rFonts w:eastAsia="Gulim"/>
                <w:sz w:val="16"/>
                <w:szCs w:val="16"/>
                <w:lang w:val="en-US"/>
              </w:rPr>
            </w:pPr>
            <w:r w:rsidRPr="00222917">
              <w:rPr>
                <w:rFonts w:eastAsia="Gulim"/>
                <w:sz w:val="16"/>
                <w:szCs w:val="16"/>
                <w:lang w:val="en-US"/>
              </w:rPr>
              <w:t>3,180</w:t>
            </w:r>
          </w:p>
        </w:tc>
        <w:tc>
          <w:tcPr>
            <w:tcW w:w="680" w:type="dxa"/>
            <w:tcBorders>
              <w:bottom w:val="single" w:sz="12" w:space="0" w:color="auto"/>
            </w:tcBorders>
            <w:shd w:val="clear" w:color="auto" w:fill="auto"/>
            <w:vAlign w:val="bottom"/>
          </w:tcPr>
          <w:p w:rsidR="006E1F63" w:rsidRPr="00222917" w:rsidRDefault="006E1F63" w:rsidP="005C4802">
            <w:pPr>
              <w:suppressAutoHyphens w:val="0"/>
              <w:spacing w:before="40" w:after="40" w:line="200" w:lineRule="exact"/>
              <w:jc w:val="right"/>
              <w:rPr>
                <w:rFonts w:eastAsia="Gulim"/>
                <w:sz w:val="16"/>
                <w:szCs w:val="16"/>
                <w:lang w:val="en-US"/>
              </w:rPr>
            </w:pPr>
            <w:r w:rsidRPr="00222917">
              <w:rPr>
                <w:rFonts w:eastAsia="Gulim"/>
                <w:sz w:val="16"/>
                <w:szCs w:val="16"/>
                <w:lang w:val="en-US"/>
              </w:rPr>
              <w:t>3,823</w:t>
            </w:r>
          </w:p>
        </w:tc>
        <w:tc>
          <w:tcPr>
            <w:tcW w:w="680" w:type="dxa"/>
            <w:tcBorders>
              <w:bottom w:val="single" w:sz="12" w:space="0" w:color="auto"/>
            </w:tcBorders>
            <w:shd w:val="clear" w:color="auto" w:fill="auto"/>
            <w:vAlign w:val="bottom"/>
          </w:tcPr>
          <w:p w:rsidR="006E1F63" w:rsidRPr="00222917" w:rsidRDefault="006E1F63" w:rsidP="005C4802">
            <w:pPr>
              <w:suppressAutoHyphens w:val="0"/>
              <w:spacing w:before="40" w:after="40" w:line="200" w:lineRule="exact"/>
              <w:jc w:val="right"/>
              <w:rPr>
                <w:rFonts w:eastAsia="Gulim"/>
                <w:sz w:val="16"/>
                <w:szCs w:val="16"/>
                <w:lang w:val="en-US"/>
              </w:rPr>
            </w:pPr>
            <w:r w:rsidRPr="00222917">
              <w:rPr>
                <w:rFonts w:eastAsia="Gulim"/>
                <w:sz w:val="16"/>
                <w:szCs w:val="16"/>
                <w:lang w:val="en-US"/>
              </w:rPr>
              <w:t>9,108</w:t>
            </w:r>
          </w:p>
        </w:tc>
      </w:tr>
    </w:tbl>
    <w:p w:rsidR="002D5BB0" w:rsidRPr="00222917" w:rsidRDefault="00495AED" w:rsidP="00495AED">
      <w:pPr>
        <w:pStyle w:val="H4G"/>
        <w:rPr>
          <w:lang w:val="en-US"/>
        </w:rPr>
      </w:pPr>
      <w:r w:rsidRPr="00222917">
        <w:rPr>
          <w:lang w:val="en-US"/>
        </w:rPr>
        <w:tab/>
      </w:r>
      <w:r w:rsidRPr="00222917">
        <w:rPr>
          <w:lang w:val="en-US"/>
        </w:rPr>
        <w:tab/>
      </w:r>
      <w:r w:rsidR="002D5BB0" w:rsidRPr="00222917">
        <w:rPr>
          <w:lang w:val="en-US"/>
        </w:rPr>
        <w:t xml:space="preserve">Protection and Support of Female Victims of Sexual Violence </w:t>
      </w:r>
    </w:p>
    <w:p w:rsidR="002D5BB0" w:rsidRPr="00222917" w:rsidRDefault="00547908" w:rsidP="00547908">
      <w:pPr>
        <w:pStyle w:val="SingleTxtG"/>
        <w:rPr>
          <w:lang w:val="en-US"/>
        </w:rPr>
      </w:pPr>
      <w:r w:rsidRPr="00222917">
        <w:rPr>
          <w:lang w:val="en-US"/>
        </w:rPr>
        <w:t>77.</w:t>
      </w:r>
      <w:r w:rsidRPr="00222917">
        <w:rPr>
          <w:lang w:val="en-US"/>
        </w:rPr>
        <w:tab/>
      </w:r>
      <w:r w:rsidR="001A2BB2" w:rsidRPr="00222917">
        <w:rPr>
          <w:lang w:val="en-US"/>
        </w:rPr>
        <w:t>As described in paragraph</w:t>
      </w:r>
      <w:r w:rsidR="005F5775" w:rsidRPr="00222917">
        <w:rPr>
          <w:lang w:val="en-US"/>
        </w:rPr>
        <w:t> </w:t>
      </w:r>
      <w:r w:rsidR="002D5BB0" w:rsidRPr="00222917">
        <w:rPr>
          <w:lang w:val="en-US"/>
        </w:rPr>
        <w:t xml:space="preserve">70, the </w:t>
      </w:r>
      <w:r w:rsidR="002D5BB0" w:rsidRPr="00222917">
        <w:rPr>
          <w:iCs/>
          <w:lang w:val="en-US"/>
        </w:rPr>
        <w:t>Act on Prevention of Sexual Violence and Protection of Victims Thereof</w:t>
      </w:r>
      <w:r w:rsidR="00042D4D" w:rsidRPr="00222917">
        <w:rPr>
          <w:iCs/>
          <w:lang w:val="en-US"/>
        </w:rPr>
        <w:t xml:space="preserve"> </w:t>
      </w:r>
      <w:r w:rsidR="00042D4D" w:rsidRPr="00222917">
        <w:rPr>
          <w:lang w:val="en-US"/>
        </w:rPr>
        <w:t>was enacted on 15 </w:t>
      </w:r>
      <w:r w:rsidR="002D5BB0" w:rsidRPr="00222917">
        <w:rPr>
          <w:lang w:val="en-US"/>
        </w:rPr>
        <w:t>April 2010 aiming to protect and support sexual violence victims in a more proactive way. The Act provides assistance for school enrollment of victims of sexual violence and their family members inc</w:t>
      </w:r>
      <w:r w:rsidR="001A2BB2" w:rsidRPr="00222917">
        <w:rPr>
          <w:lang w:val="en-US"/>
        </w:rPr>
        <w:t>luding school transfer (</w:t>
      </w:r>
      <w:r w:rsidR="00681EC0" w:rsidRPr="00222917">
        <w:rPr>
          <w:lang w:val="en-US"/>
        </w:rPr>
        <w:t>a</w:t>
      </w:r>
      <w:r w:rsidR="001A2BB2" w:rsidRPr="00222917">
        <w:rPr>
          <w:lang w:val="en-US"/>
        </w:rPr>
        <w:t>rticle </w:t>
      </w:r>
      <w:r w:rsidR="002D5BB0" w:rsidRPr="00222917">
        <w:rPr>
          <w:lang w:val="en-US"/>
        </w:rPr>
        <w:t>7), financial assistance for those accommodated in protection facilities to support their livelihood and child</w:t>
      </w:r>
      <w:r w:rsidR="001A2BB2" w:rsidRPr="00222917">
        <w:rPr>
          <w:lang w:val="en-US"/>
        </w:rPr>
        <w:t xml:space="preserve"> education and rearing (</w:t>
      </w:r>
      <w:r w:rsidR="00681EC0" w:rsidRPr="00222917">
        <w:rPr>
          <w:lang w:val="en-US"/>
        </w:rPr>
        <w:t>a</w:t>
      </w:r>
      <w:r w:rsidR="001A2BB2" w:rsidRPr="00222917">
        <w:rPr>
          <w:lang w:val="en-US"/>
        </w:rPr>
        <w:t>rticle </w:t>
      </w:r>
      <w:r w:rsidR="002D5BB0" w:rsidRPr="00222917">
        <w:rPr>
          <w:lang w:val="en-US"/>
        </w:rPr>
        <w:t>14), the establishment and operation of comprehensive support centers for s</w:t>
      </w:r>
      <w:r w:rsidR="001A2BB2" w:rsidRPr="00222917">
        <w:rPr>
          <w:lang w:val="en-US"/>
        </w:rPr>
        <w:t>exual violence victims (</w:t>
      </w:r>
      <w:r w:rsidR="00681EC0" w:rsidRPr="00222917">
        <w:rPr>
          <w:lang w:val="en-US"/>
        </w:rPr>
        <w:t>a</w:t>
      </w:r>
      <w:r w:rsidR="001A2BB2" w:rsidRPr="00222917">
        <w:rPr>
          <w:lang w:val="en-US"/>
        </w:rPr>
        <w:t>rticle </w:t>
      </w:r>
      <w:r w:rsidR="002D5BB0" w:rsidRPr="00222917">
        <w:rPr>
          <w:lang w:val="en-US"/>
        </w:rPr>
        <w:t>18), and the evaluation of operational performance of sexual violence counseling centers, protection facilities and comprehensive support centers by the Minister of Gend</w:t>
      </w:r>
      <w:r w:rsidR="001A2BB2" w:rsidRPr="00222917">
        <w:rPr>
          <w:lang w:val="en-US"/>
        </w:rPr>
        <w:t>er Equality and Family (</w:t>
      </w:r>
      <w:r w:rsidR="00681EC0" w:rsidRPr="00222917">
        <w:rPr>
          <w:lang w:val="en-US"/>
        </w:rPr>
        <w:t>a</w:t>
      </w:r>
      <w:r w:rsidR="001A2BB2" w:rsidRPr="00222917">
        <w:rPr>
          <w:lang w:val="en-US"/>
        </w:rPr>
        <w:t>rticle </w:t>
      </w:r>
      <w:r w:rsidR="002D5BB0" w:rsidRPr="00222917">
        <w:rPr>
          <w:lang w:val="en-US"/>
        </w:rPr>
        <w:t>25). Considering that the government-wide Comprehensive Protection Measures for Children and Women (April 2008) and the Measures to Prevent Recurrence of Sexual Violence against Children (October 2009) have successfully addressed the punishment and control of sexual offenders, the Government began to pay more attention to the prevention aspect. In June 2010, local safety nets for women and children were developed in order to tackle the environmental factors conducive to sex crimes in each community. Accordingly, local alliances for protection of children and women, i.e. councils of related persons for the safety of children and women, were built in 244 local governments across the country, which intends to provide safeguard of children left without proper protection from their parents or other adults through joint efforts of members of local communities. The</w:t>
      </w:r>
      <w:r w:rsidR="00495AED" w:rsidRPr="00222917">
        <w:rPr>
          <w:lang w:val="en-US"/>
        </w:rPr>
        <w:t> </w:t>
      </w:r>
      <w:r w:rsidR="002D5BB0" w:rsidRPr="00222917">
        <w:rPr>
          <w:lang w:val="en-US"/>
        </w:rPr>
        <w:t>Government also pursues “gender-sensitive comprehensive preventive education” at schools to provide more effective preventive education concerning violence against women including sexual and domestic violence by incorporating a gender-sensitive perspective. In</w:t>
      </w:r>
      <w:r w:rsidR="00CE6218" w:rsidRPr="00222917">
        <w:rPr>
          <w:lang w:val="en-US"/>
        </w:rPr>
        <w:t> </w:t>
      </w:r>
      <w:r w:rsidR="002D5BB0" w:rsidRPr="00222917">
        <w:rPr>
          <w:lang w:val="en-US"/>
        </w:rPr>
        <w:t>this line, the Government developed and distributed relevant education manuals in December 2009, while developing teaching plans and materials to be used at schools.</w:t>
      </w:r>
      <w:r w:rsidR="00120D8B" w:rsidRPr="00222917">
        <w:rPr>
          <w:lang w:val="en-US"/>
        </w:rPr>
        <w:t xml:space="preserve"> </w:t>
      </w:r>
    </w:p>
    <w:p w:rsidR="002D5BB0" w:rsidRPr="00222917" w:rsidRDefault="00495AED" w:rsidP="00495AED">
      <w:pPr>
        <w:pStyle w:val="H23G"/>
        <w:rPr>
          <w:b w:val="0"/>
          <w:sz w:val="16"/>
          <w:szCs w:val="16"/>
          <w:lang w:val="en-US"/>
        </w:rPr>
      </w:pPr>
      <w:r w:rsidRPr="00222917">
        <w:rPr>
          <w:lang w:val="en-US"/>
        </w:rPr>
        <w:tab/>
      </w:r>
      <w:r w:rsidRPr="00222917">
        <w:rPr>
          <w:lang w:val="en-US"/>
        </w:rPr>
        <w:tab/>
      </w:r>
      <w:r w:rsidR="002D5BB0" w:rsidRPr="00222917">
        <w:rPr>
          <w:lang w:val="en-US"/>
        </w:rPr>
        <w:t>Budget for Facilities Supporting Victims of Sexual Violence</w:t>
      </w:r>
      <w:r w:rsidRPr="00222917">
        <w:rPr>
          <w:lang w:val="en-US"/>
        </w:rPr>
        <w:br/>
      </w:r>
      <w:r w:rsidRPr="00222917">
        <w:rPr>
          <w:b w:val="0"/>
          <w:sz w:val="16"/>
          <w:szCs w:val="16"/>
          <w:lang w:val="en-US"/>
        </w:rPr>
        <w:t>(In KRW 1 million)</w:t>
      </w:r>
    </w:p>
    <w:tbl>
      <w:tblPr>
        <w:tblW w:w="7370" w:type="dxa"/>
        <w:tblInd w:w="1134" w:type="dxa"/>
        <w:tblBorders>
          <w:top w:val="single" w:sz="4" w:space="0" w:color="auto"/>
        </w:tblBorders>
        <w:tblCellMar>
          <w:left w:w="0" w:type="dxa"/>
          <w:right w:w="0" w:type="dxa"/>
        </w:tblCellMar>
        <w:tblLook w:val="0000"/>
      </w:tblPr>
      <w:tblGrid>
        <w:gridCol w:w="3116"/>
        <w:gridCol w:w="850"/>
        <w:gridCol w:w="851"/>
        <w:gridCol w:w="851"/>
        <w:gridCol w:w="851"/>
        <w:gridCol w:w="851"/>
      </w:tblGrid>
      <w:tr w:rsidR="006E1F63" w:rsidRPr="00222917" w:rsidTr="009D6326">
        <w:trPr>
          <w:trHeight w:val="240"/>
          <w:tblHeader/>
        </w:trPr>
        <w:tc>
          <w:tcPr>
            <w:tcW w:w="3119" w:type="dxa"/>
            <w:tcBorders>
              <w:top w:val="single" w:sz="4" w:space="0" w:color="auto"/>
              <w:bottom w:val="single" w:sz="12" w:space="0" w:color="auto"/>
            </w:tcBorders>
            <w:shd w:val="clear" w:color="auto" w:fill="auto"/>
            <w:vAlign w:val="bottom"/>
          </w:tcPr>
          <w:p w:rsidR="002D5BB0" w:rsidRPr="00222917" w:rsidRDefault="002D5BB0" w:rsidP="00BC2760">
            <w:pPr>
              <w:pStyle w:val="SingleTxtG"/>
              <w:suppressAutoHyphens w:val="0"/>
              <w:spacing w:before="80" w:after="80" w:line="200" w:lineRule="exact"/>
              <w:ind w:left="0" w:right="0"/>
              <w:jc w:val="left"/>
              <w:rPr>
                <w:i/>
                <w:sz w:val="16"/>
                <w:lang w:val="en-US"/>
              </w:rPr>
            </w:pPr>
            <w:r w:rsidRPr="00222917">
              <w:rPr>
                <w:bCs/>
                <w:i/>
                <w:sz w:val="16"/>
                <w:lang w:val="en-US"/>
              </w:rPr>
              <w:t>Year</w:t>
            </w:r>
          </w:p>
        </w:tc>
        <w:tc>
          <w:tcPr>
            <w:tcW w:w="851" w:type="dxa"/>
            <w:tcBorders>
              <w:top w:val="single" w:sz="4" w:space="0" w:color="auto"/>
              <w:bottom w:val="single" w:sz="12" w:space="0" w:color="auto"/>
            </w:tcBorders>
            <w:shd w:val="clear" w:color="auto" w:fill="auto"/>
            <w:vAlign w:val="bottom"/>
          </w:tcPr>
          <w:p w:rsidR="002D5BB0" w:rsidRPr="00222917" w:rsidRDefault="002D5BB0" w:rsidP="00BC2760">
            <w:pPr>
              <w:pStyle w:val="SingleTxtG"/>
              <w:suppressAutoHyphens w:val="0"/>
              <w:spacing w:before="80" w:after="80" w:line="200" w:lineRule="exact"/>
              <w:ind w:left="0" w:right="0"/>
              <w:jc w:val="right"/>
              <w:rPr>
                <w:i/>
                <w:sz w:val="16"/>
                <w:lang w:val="en-US"/>
              </w:rPr>
            </w:pPr>
            <w:r w:rsidRPr="00222917">
              <w:rPr>
                <w:bCs/>
                <w:i/>
                <w:sz w:val="16"/>
                <w:lang w:val="en-US"/>
              </w:rPr>
              <w:t>2006</w:t>
            </w:r>
          </w:p>
        </w:tc>
        <w:tc>
          <w:tcPr>
            <w:tcW w:w="851" w:type="dxa"/>
            <w:tcBorders>
              <w:top w:val="single" w:sz="4" w:space="0" w:color="auto"/>
              <w:bottom w:val="single" w:sz="12" w:space="0" w:color="auto"/>
            </w:tcBorders>
            <w:shd w:val="clear" w:color="auto" w:fill="auto"/>
            <w:vAlign w:val="bottom"/>
          </w:tcPr>
          <w:p w:rsidR="002D5BB0" w:rsidRPr="00222917" w:rsidRDefault="002D5BB0" w:rsidP="00BC2760">
            <w:pPr>
              <w:pStyle w:val="SingleTxtG"/>
              <w:suppressAutoHyphens w:val="0"/>
              <w:spacing w:before="80" w:after="80" w:line="200" w:lineRule="exact"/>
              <w:ind w:left="0" w:right="0"/>
              <w:jc w:val="right"/>
              <w:rPr>
                <w:i/>
                <w:sz w:val="16"/>
                <w:lang w:val="en-US"/>
              </w:rPr>
            </w:pPr>
            <w:r w:rsidRPr="00222917">
              <w:rPr>
                <w:bCs/>
                <w:i/>
                <w:sz w:val="16"/>
                <w:lang w:val="en-US"/>
              </w:rPr>
              <w:t>2007</w:t>
            </w:r>
          </w:p>
        </w:tc>
        <w:tc>
          <w:tcPr>
            <w:tcW w:w="851" w:type="dxa"/>
            <w:tcBorders>
              <w:top w:val="single" w:sz="4" w:space="0" w:color="auto"/>
              <w:bottom w:val="single" w:sz="12" w:space="0" w:color="auto"/>
            </w:tcBorders>
            <w:shd w:val="clear" w:color="auto" w:fill="auto"/>
            <w:vAlign w:val="bottom"/>
          </w:tcPr>
          <w:p w:rsidR="002D5BB0" w:rsidRPr="00222917" w:rsidRDefault="002D5BB0" w:rsidP="00BC2760">
            <w:pPr>
              <w:pStyle w:val="SingleTxtG"/>
              <w:suppressAutoHyphens w:val="0"/>
              <w:spacing w:before="80" w:after="80" w:line="200" w:lineRule="exact"/>
              <w:ind w:left="0" w:right="0"/>
              <w:jc w:val="right"/>
              <w:rPr>
                <w:i/>
                <w:sz w:val="16"/>
                <w:lang w:val="en-US"/>
              </w:rPr>
            </w:pPr>
            <w:r w:rsidRPr="00222917">
              <w:rPr>
                <w:bCs/>
                <w:i/>
                <w:sz w:val="16"/>
                <w:lang w:val="en-US"/>
              </w:rPr>
              <w:t>2008</w:t>
            </w:r>
          </w:p>
        </w:tc>
        <w:tc>
          <w:tcPr>
            <w:tcW w:w="851" w:type="dxa"/>
            <w:tcBorders>
              <w:top w:val="single" w:sz="4" w:space="0" w:color="auto"/>
              <w:bottom w:val="single" w:sz="12" w:space="0" w:color="auto"/>
            </w:tcBorders>
            <w:shd w:val="clear" w:color="auto" w:fill="auto"/>
            <w:vAlign w:val="bottom"/>
          </w:tcPr>
          <w:p w:rsidR="002D5BB0" w:rsidRPr="00222917" w:rsidRDefault="002D5BB0" w:rsidP="00BC2760">
            <w:pPr>
              <w:pStyle w:val="SingleTxtG"/>
              <w:suppressAutoHyphens w:val="0"/>
              <w:spacing w:before="80" w:after="80" w:line="200" w:lineRule="exact"/>
              <w:ind w:left="0" w:right="0"/>
              <w:jc w:val="right"/>
              <w:rPr>
                <w:i/>
                <w:sz w:val="16"/>
                <w:lang w:val="en-US"/>
              </w:rPr>
            </w:pPr>
            <w:r w:rsidRPr="00222917">
              <w:rPr>
                <w:bCs/>
                <w:i/>
                <w:sz w:val="16"/>
                <w:lang w:val="en-US"/>
              </w:rPr>
              <w:t>2009</w:t>
            </w:r>
          </w:p>
        </w:tc>
        <w:tc>
          <w:tcPr>
            <w:tcW w:w="851" w:type="dxa"/>
            <w:tcBorders>
              <w:top w:val="single" w:sz="4" w:space="0" w:color="auto"/>
              <w:bottom w:val="single" w:sz="12" w:space="0" w:color="auto"/>
            </w:tcBorders>
            <w:shd w:val="clear" w:color="auto" w:fill="auto"/>
            <w:vAlign w:val="bottom"/>
          </w:tcPr>
          <w:p w:rsidR="002D5BB0" w:rsidRPr="00222917" w:rsidRDefault="002D5BB0" w:rsidP="00BC2760">
            <w:pPr>
              <w:pStyle w:val="SingleTxtG"/>
              <w:suppressAutoHyphens w:val="0"/>
              <w:spacing w:before="80" w:after="80" w:line="200" w:lineRule="exact"/>
              <w:ind w:left="0" w:right="0"/>
              <w:jc w:val="right"/>
              <w:rPr>
                <w:i/>
                <w:sz w:val="16"/>
                <w:lang w:val="en-US"/>
              </w:rPr>
            </w:pPr>
            <w:r w:rsidRPr="00222917">
              <w:rPr>
                <w:bCs/>
                <w:i/>
                <w:sz w:val="16"/>
                <w:lang w:val="en-US"/>
              </w:rPr>
              <w:t>2010</w:t>
            </w:r>
          </w:p>
        </w:tc>
      </w:tr>
      <w:tr w:rsidR="006E1F63" w:rsidRPr="00222917" w:rsidTr="0054076C">
        <w:trPr>
          <w:trHeight w:val="240"/>
        </w:trPr>
        <w:tc>
          <w:tcPr>
            <w:tcW w:w="3119" w:type="dxa"/>
            <w:tcBorders>
              <w:top w:val="single" w:sz="12" w:space="0" w:color="auto"/>
              <w:bottom w:val="single" w:sz="4" w:space="0" w:color="000000"/>
            </w:tcBorders>
            <w:shd w:val="clear" w:color="auto" w:fill="auto"/>
          </w:tcPr>
          <w:p w:rsidR="002D5BB0" w:rsidRPr="00222917" w:rsidRDefault="002D5BB0" w:rsidP="00BC2760">
            <w:pPr>
              <w:pStyle w:val="SingleTxtG"/>
              <w:suppressAutoHyphens w:val="0"/>
              <w:spacing w:before="80" w:after="80" w:line="220" w:lineRule="exact"/>
              <w:ind w:left="284" w:right="0"/>
              <w:jc w:val="left"/>
              <w:rPr>
                <w:b/>
                <w:sz w:val="18"/>
                <w:lang w:val="en-US"/>
              </w:rPr>
            </w:pPr>
            <w:r w:rsidRPr="00222917">
              <w:rPr>
                <w:b/>
                <w:bCs/>
                <w:sz w:val="18"/>
                <w:lang w:val="en-US"/>
              </w:rPr>
              <w:t>Total</w:t>
            </w:r>
          </w:p>
        </w:tc>
        <w:tc>
          <w:tcPr>
            <w:tcW w:w="851" w:type="dxa"/>
            <w:tcBorders>
              <w:top w:val="single" w:sz="12" w:space="0" w:color="auto"/>
              <w:bottom w:val="single" w:sz="4" w:space="0" w:color="000000"/>
            </w:tcBorders>
            <w:shd w:val="clear" w:color="auto" w:fill="auto"/>
            <w:vAlign w:val="bottom"/>
          </w:tcPr>
          <w:p w:rsidR="002D5BB0" w:rsidRPr="00222917" w:rsidRDefault="002D5BB0" w:rsidP="00BC2760">
            <w:pPr>
              <w:pStyle w:val="SingleTxtG"/>
              <w:suppressAutoHyphens w:val="0"/>
              <w:spacing w:before="80" w:after="80" w:line="220" w:lineRule="exact"/>
              <w:ind w:left="0" w:right="0"/>
              <w:jc w:val="right"/>
              <w:rPr>
                <w:b/>
                <w:sz w:val="18"/>
                <w:lang w:val="en-US"/>
              </w:rPr>
            </w:pPr>
            <w:r w:rsidRPr="00222917">
              <w:rPr>
                <w:b/>
                <w:bCs/>
                <w:sz w:val="18"/>
                <w:lang w:val="en-US"/>
              </w:rPr>
              <w:t>9,120</w:t>
            </w:r>
          </w:p>
        </w:tc>
        <w:tc>
          <w:tcPr>
            <w:tcW w:w="851" w:type="dxa"/>
            <w:tcBorders>
              <w:top w:val="single" w:sz="12" w:space="0" w:color="auto"/>
              <w:bottom w:val="single" w:sz="4" w:space="0" w:color="000000"/>
            </w:tcBorders>
            <w:shd w:val="clear" w:color="auto" w:fill="auto"/>
            <w:vAlign w:val="bottom"/>
          </w:tcPr>
          <w:p w:rsidR="002D5BB0" w:rsidRPr="00222917" w:rsidRDefault="002D5BB0" w:rsidP="00BC2760">
            <w:pPr>
              <w:pStyle w:val="SingleTxtG"/>
              <w:suppressAutoHyphens w:val="0"/>
              <w:spacing w:before="80" w:after="80" w:line="220" w:lineRule="exact"/>
              <w:ind w:left="0" w:right="0"/>
              <w:jc w:val="right"/>
              <w:rPr>
                <w:b/>
                <w:sz w:val="18"/>
                <w:lang w:val="en-US"/>
              </w:rPr>
            </w:pPr>
            <w:r w:rsidRPr="00222917">
              <w:rPr>
                <w:b/>
                <w:sz w:val="18"/>
                <w:lang w:val="en-US"/>
              </w:rPr>
              <w:t>7,773</w:t>
            </w:r>
          </w:p>
        </w:tc>
        <w:tc>
          <w:tcPr>
            <w:tcW w:w="851" w:type="dxa"/>
            <w:tcBorders>
              <w:top w:val="single" w:sz="12" w:space="0" w:color="auto"/>
              <w:bottom w:val="single" w:sz="4" w:space="0" w:color="000000"/>
            </w:tcBorders>
            <w:shd w:val="clear" w:color="auto" w:fill="auto"/>
            <w:vAlign w:val="bottom"/>
          </w:tcPr>
          <w:p w:rsidR="002D5BB0" w:rsidRPr="00222917" w:rsidRDefault="002D5BB0" w:rsidP="00BC2760">
            <w:pPr>
              <w:pStyle w:val="SingleTxtG"/>
              <w:suppressAutoHyphens w:val="0"/>
              <w:spacing w:before="80" w:after="80" w:line="220" w:lineRule="exact"/>
              <w:ind w:left="0" w:right="0"/>
              <w:jc w:val="right"/>
              <w:rPr>
                <w:b/>
                <w:sz w:val="18"/>
                <w:lang w:val="en-US"/>
              </w:rPr>
            </w:pPr>
            <w:r w:rsidRPr="00222917">
              <w:rPr>
                <w:b/>
                <w:bCs/>
                <w:sz w:val="18"/>
                <w:lang w:val="en-US"/>
              </w:rPr>
              <w:t>8,026</w:t>
            </w:r>
          </w:p>
        </w:tc>
        <w:tc>
          <w:tcPr>
            <w:tcW w:w="851" w:type="dxa"/>
            <w:tcBorders>
              <w:top w:val="single" w:sz="12" w:space="0" w:color="auto"/>
              <w:bottom w:val="single" w:sz="4" w:space="0" w:color="000000"/>
            </w:tcBorders>
            <w:shd w:val="clear" w:color="auto" w:fill="auto"/>
            <w:vAlign w:val="bottom"/>
          </w:tcPr>
          <w:p w:rsidR="002D5BB0" w:rsidRPr="00222917" w:rsidRDefault="002D5BB0" w:rsidP="00BC2760">
            <w:pPr>
              <w:pStyle w:val="SingleTxtG"/>
              <w:suppressAutoHyphens w:val="0"/>
              <w:spacing w:before="80" w:after="80" w:line="220" w:lineRule="exact"/>
              <w:ind w:left="0" w:right="0"/>
              <w:jc w:val="right"/>
              <w:rPr>
                <w:b/>
                <w:sz w:val="18"/>
                <w:lang w:val="en-US"/>
              </w:rPr>
            </w:pPr>
            <w:r w:rsidRPr="00222917">
              <w:rPr>
                <w:b/>
                <w:bCs/>
                <w:sz w:val="18"/>
                <w:lang w:val="en-US"/>
              </w:rPr>
              <w:t>14,192</w:t>
            </w:r>
          </w:p>
        </w:tc>
        <w:tc>
          <w:tcPr>
            <w:tcW w:w="851" w:type="dxa"/>
            <w:tcBorders>
              <w:top w:val="single" w:sz="12" w:space="0" w:color="auto"/>
              <w:bottom w:val="single" w:sz="4" w:space="0" w:color="000000"/>
            </w:tcBorders>
            <w:shd w:val="clear" w:color="auto" w:fill="auto"/>
            <w:vAlign w:val="bottom"/>
          </w:tcPr>
          <w:p w:rsidR="002D5BB0" w:rsidRPr="00222917" w:rsidRDefault="002D5BB0" w:rsidP="00BC2760">
            <w:pPr>
              <w:pStyle w:val="SingleTxtG"/>
              <w:suppressAutoHyphens w:val="0"/>
              <w:spacing w:before="80" w:after="80" w:line="220" w:lineRule="exact"/>
              <w:ind w:left="0" w:right="0"/>
              <w:jc w:val="right"/>
              <w:rPr>
                <w:b/>
                <w:sz w:val="18"/>
                <w:lang w:val="en-US"/>
              </w:rPr>
            </w:pPr>
            <w:r w:rsidRPr="00222917">
              <w:rPr>
                <w:b/>
                <w:bCs/>
                <w:sz w:val="18"/>
                <w:lang w:val="en-US"/>
              </w:rPr>
              <w:t>15,590</w:t>
            </w:r>
          </w:p>
        </w:tc>
      </w:tr>
      <w:tr w:rsidR="006E1F63" w:rsidRPr="00222917" w:rsidTr="0054076C">
        <w:trPr>
          <w:trHeight w:val="240"/>
        </w:trPr>
        <w:tc>
          <w:tcPr>
            <w:tcW w:w="3119" w:type="dxa"/>
            <w:tcBorders>
              <w:top w:val="single" w:sz="4" w:space="0" w:color="000000"/>
            </w:tcBorders>
            <w:shd w:val="clear" w:color="auto" w:fill="auto"/>
          </w:tcPr>
          <w:p w:rsidR="002D5BB0" w:rsidRPr="00222917" w:rsidRDefault="002D5BB0" w:rsidP="00BC2760">
            <w:pPr>
              <w:pStyle w:val="SingleTxtG"/>
              <w:suppressAutoHyphens w:val="0"/>
              <w:spacing w:before="40" w:after="40" w:line="220" w:lineRule="exact"/>
              <w:ind w:left="0" w:right="0"/>
              <w:jc w:val="left"/>
              <w:rPr>
                <w:sz w:val="18"/>
                <w:lang w:val="en-US"/>
              </w:rPr>
            </w:pPr>
            <w:r w:rsidRPr="00222917">
              <w:rPr>
                <w:sz w:val="18"/>
                <w:lang w:val="en-US"/>
              </w:rPr>
              <w:t>One-stop support centers</w:t>
            </w:r>
          </w:p>
        </w:tc>
        <w:tc>
          <w:tcPr>
            <w:tcW w:w="851" w:type="dxa"/>
            <w:tcBorders>
              <w:top w:val="single" w:sz="4" w:space="0" w:color="000000"/>
            </w:tcBorders>
            <w:shd w:val="clear" w:color="auto" w:fill="auto"/>
            <w:vAlign w:val="bottom"/>
          </w:tcPr>
          <w:p w:rsidR="002D5BB0" w:rsidRPr="00222917" w:rsidRDefault="002D5BB0" w:rsidP="00BC2760">
            <w:pPr>
              <w:pStyle w:val="SingleTxtG"/>
              <w:suppressAutoHyphens w:val="0"/>
              <w:spacing w:before="40" w:after="40" w:line="220" w:lineRule="exact"/>
              <w:ind w:left="0" w:right="0"/>
              <w:jc w:val="right"/>
              <w:rPr>
                <w:sz w:val="18"/>
                <w:lang w:val="en-US"/>
              </w:rPr>
            </w:pPr>
            <w:r w:rsidRPr="00222917">
              <w:rPr>
                <w:sz w:val="18"/>
                <w:lang w:val="en-US"/>
              </w:rPr>
              <w:t>3,503</w:t>
            </w:r>
          </w:p>
        </w:tc>
        <w:tc>
          <w:tcPr>
            <w:tcW w:w="851" w:type="dxa"/>
            <w:tcBorders>
              <w:top w:val="single" w:sz="4" w:space="0" w:color="000000"/>
            </w:tcBorders>
            <w:shd w:val="clear" w:color="auto" w:fill="auto"/>
            <w:vAlign w:val="bottom"/>
          </w:tcPr>
          <w:p w:rsidR="002D5BB0" w:rsidRPr="00222917" w:rsidRDefault="002D5BB0" w:rsidP="00BC2760">
            <w:pPr>
              <w:pStyle w:val="SingleTxtG"/>
              <w:suppressAutoHyphens w:val="0"/>
              <w:spacing w:before="40" w:after="40" w:line="220" w:lineRule="exact"/>
              <w:ind w:left="0" w:right="0"/>
              <w:jc w:val="right"/>
              <w:rPr>
                <w:sz w:val="18"/>
                <w:lang w:val="en-US"/>
              </w:rPr>
            </w:pPr>
            <w:r w:rsidRPr="00222917">
              <w:rPr>
                <w:sz w:val="18"/>
                <w:lang w:val="en-US"/>
              </w:rPr>
              <w:t>1,768</w:t>
            </w:r>
          </w:p>
        </w:tc>
        <w:tc>
          <w:tcPr>
            <w:tcW w:w="851" w:type="dxa"/>
            <w:tcBorders>
              <w:top w:val="single" w:sz="4" w:space="0" w:color="000000"/>
            </w:tcBorders>
            <w:shd w:val="clear" w:color="auto" w:fill="auto"/>
            <w:vAlign w:val="bottom"/>
          </w:tcPr>
          <w:p w:rsidR="002D5BB0" w:rsidRPr="00222917" w:rsidRDefault="002D5BB0" w:rsidP="00BC2760">
            <w:pPr>
              <w:pStyle w:val="SingleTxtG"/>
              <w:suppressAutoHyphens w:val="0"/>
              <w:spacing w:before="40" w:after="40" w:line="220" w:lineRule="exact"/>
              <w:ind w:left="0" w:right="0"/>
              <w:jc w:val="right"/>
              <w:rPr>
                <w:sz w:val="18"/>
                <w:lang w:val="en-US"/>
              </w:rPr>
            </w:pPr>
            <w:r w:rsidRPr="00222917">
              <w:rPr>
                <w:sz w:val="18"/>
                <w:lang w:val="en-US"/>
              </w:rPr>
              <w:t>1,392</w:t>
            </w:r>
          </w:p>
        </w:tc>
        <w:tc>
          <w:tcPr>
            <w:tcW w:w="851" w:type="dxa"/>
            <w:tcBorders>
              <w:top w:val="single" w:sz="4" w:space="0" w:color="000000"/>
            </w:tcBorders>
            <w:shd w:val="clear" w:color="auto" w:fill="auto"/>
            <w:vAlign w:val="bottom"/>
          </w:tcPr>
          <w:p w:rsidR="002D5BB0" w:rsidRPr="00222917" w:rsidRDefault="002D5BB0" w:rsidP="00BC2760">
            <w:pPr>
              <w:pStyle w:val="SingleTxtG"/>
              <w:suppressAutoHyphens w:val="0"/>
              <w:spacing w:before="40" w:after="40" w:line="220" w:lineRule="exact"/>
              <w:ind w:left="0" w:right="0"/>
              <w:jc w:val="right"/>
              <w:rPr>
                <w:sz w:val="18"/>
                <w:lang w:val="en-US"/>
              </w:rPr>
            </w:pPr>
            <w:r w:rsidRPr="00222917">
              <w:rPr>
                <w:sz w:val="18"/>
                <w:lang w:val="en-US"/>
              </w:rPr>
              <w:t>1,665</w:t>
            </w:r>
          </w:p>
        </w:tc>
        <w:tc>
          <w:tcPr>
            <w:tcW w:w="851" w:type="dxa"/>
            <w:tcBorders>
              <w:top w:val="single" w:sz="4" w:space="0" w:color="000000"/>
            </w:tcBorders>
            <w:shd w:val="clear" w:color="auto" w:fill="auto"/>
            <w:vAlign w:val="bottom"/>
          </w:tcPr>
          <w:p w:rsidR="002D5BB0" w:rsidRPr="00222917" w:rsidRDefault="002D5BB0" w:rsidP="00BC2760">
            <w:pPr>
              <w:pStyle w:val="SingleTxtG"/>
              <w:suppressAutoHyphens w:val="0"/>
              <w:spacing w:before="40" w:after="40" w:line="220" w:lineRule="exact"/>
              <w:ind w:left="0" w:right="0"/>
              <w:jc w:val="right"/>
              <w:rPr>
                <w:sz w:val="18"/>
                <w:lang w:val="en-US"/>
              </w:rPr>
            </w:pPr>
            <w:r w:rsidRPr="00222917">
              <w:rPr>
                <w:sz w:val="18"/>
                <w:lang w:val="en-US"/>
              </w:rPr>
              <w:t>2,455</w:t>
            </w:r>
          </w:p>
        </w:tc>
      </w:tr>
      <w:tr w:rsidR="006E1F63" w:rsidRPr="00222917" w:rsidTr="009D6326">
        <w:trPr>
          <w:trHeight w:val="240"/>
        </w:trPr>
        <w:tc>
          <w:tcPr>
            <w:tcW w:w="3119" w:type="dxa"/>
            <w:shd w:val="clear" w:color="auto" w:fill="auto"/>
          </w:tcPr>
          <w:p w:rsidR="002D5BB0" w:rsidRPr="00222917" w:rsidRDefault="002D5BB0" w:rsidP="00BC2760">
            <w:pPr>
              <w:pStyle w:val="SingleTxtG"/>
              <w:suppressAutoHyphens w:val="0"/>
              <w:spacing w:before="40" w:after="40" w:line="220" w:lineRule="exact"/>
              <w:ind w:left="0" w:right="0"/>
              <w:jc w:val="left"/>
              <w:rPr>
                <w:sz w:val="18"/>
                <w:lang w:val="en-US"/>
              </w:rPr>
            </w:pPr>
            <w:r w:rsidRPr="00222917">
              <w:rPr>
                <w:sz w:val="18"/>
                <w:lang w:val="en-US"/>
              </w:rPr>
              <w:t>Dedicated centers for children victims of sexual violence</w:t>
            </w:r>
          </w:p>
        </w:tc>
        <w:tc>
          <w:tcPr>
            <w:tcW w:w="851" w:type="dxa"/>
            <w:shd w:val="clear" w:color="auto" w:fill="auto"/>
            <w:vAlign w:val="bottom"/>
          </w:tcPr>
          <w:p w:rsidR="002D5BB0" w:rsidRPr="00222917" w:rsidRDefault="002D5BB0" w:rsidP="00BC2760">
            <w:pPr>
              <w:pStyle w:val="SingleTxtG"/>
              <w:suppressAutoHyphens w:val="0"/>
              <w:spacing w:before="40" w:after="40" w:line="220" w:lineRule="exact"/>
              <w:ind w:left="0" w:right="0"/>
              <w:jc w:val="right"/>
              <w:rPr>
                <w:sz w:val="18"/>
                <w:lang w:val="en-US"/>
              </w:rPr>
            </w:pPr>
            <w:r w:rsidRPr="00222917">
              <w:rPr>
                <w:sz w:val="18"/>
                <w:lang w:val="en-US"/>
              </w:rPr>
              <w:t>1,350</w:t>
            </w:r>
          </w:p>
        </w:tc>
        <w:tc>
          <w:tcPr>
            <w:tcW w:w="851" w:type="dxa"/>
            <w:shd w:val="clear" w:color="auto" w:fill="auto"/>
            <w:vAlign w:val="bottom"/>
          </w:tcPr>
          <w:p w:rsidR="002D5BB0" w:rsidRPr="00222917" w:rsidRDefault="002D5BB0" w:rsidP="00BC2760">
            <w:pPr>
              <w:pStyle w:val="SingleTxtG"/>
              <w:suppressAutoHyphens w:val="0"/>
              <w:spacing w:before="40" w:after="40" w:line="220" w:lineRule="exact"/>
              <w:ind w:left="0" w:right="0"/>
              <w:jc w:val="right"/>
              <w:rPr>
                <w:sz w:val="18"/>
                <w:lang w:val="en-US"/>
              </w:rPr>
            </w:pPr>
            <w:r w:rsidRPr="00222917">
              <w:rPr>
                <w:sz w:val="18"/>
                <w:lang w:val="en-US"/>
              </w:rPr>
              <w:t>1,350</w:t>
            </w:r>
          </w:p>
        </w:tc>
        <w:tc>
          <w:tcPr>
            <w:tcW w:w="851" w:type="dxa"/>
            <w:shd w:val="clear" w:color="auto" w:fill="auto"/>
            <w:vAlign w:val="bottom"/>
          </w:tcPr>
          <w:p w:rsidR="002D5BB0" w:rsidRPr="00222917" w:rsidRDefault="002D5BB0" w:rsidP="00BC2760">
            <w:pPr>
              <w:pStyle w:val="SingleTxtG"/>
              <w:suppressAutoHyphens w:val="0"/>
              <w:spacing w:before="40" w:after="40" w:line="220" w:lineRule="exact"/>
              <w:ind w:left="0" w:right="0"/>
              <w:jc w:val="right"/>
              <w:rPr>
                <w:sz w:val="18"/>
                <w:lang w:val="en-US"/>
              </w:rPr>
            </w:pPr>
            <w:r w:rsidRPr="00222917">
              <w:rPr>
                <w:sz w:val="18"/>
                <w:lang w:val="en-US"/>
              </w:rPr>
              <w:t>1.350</w:t>
            </w:r>
          </w:p>
        </w:tc>
        <w:tc>
          <w:tcPr>
            <w:tcW w:w="851" w:type="dxa"/>
            <w:shd w:val="clear" w:color="auto" w:fill="auto"/>
            <w:vAlign w:val="bottom"/>
          </w:tcPr>
          <w:p w:rsidR="002D5BB0" w:rsidRPr="00222917" w:rsidRDefault="002D5BB0" w:rsidP="00BC2760">
            <w:pPr>
              <w:pStyle w:val="SingleTxtG"/>
              <w:suppressAutoHyphens w:val="0"/>
              <w:spacing w:before="40" w:after="40" w:line="220" w:lineRule="exact"/>
              <w:ind w:left="0" w:right="0"/>
              <w:jc w:val="right"/>
              <w:rPr>
                <w:sz w:val="18"/>
                <w:lang w:val="en-US"/>
              </w:rPr>
            </w:pPr>
            <w:r w:rsidRPr="00222917">
              <w:rPr>
                <w:sz w:val="18"/>
                <w:lang w:val="en-US"/>
              </w:rPr>
              <w:t>6,850</w:t>
            </w:r>
          </w:p>
        </w:tc>
        <w:tc>
          <w:tcPr>
            <w:tcW w:w="851" w:type="dxa"/>
            <w:shd w:val="clear" w:color="auto" w:fill="auto"/>
            <w:vAlign w:val="bottom"/>
          </w:tcPr>
          <w:p w:rsidR="002D5BB0" w:rsidRPr="00222917" w:rsidRDefault="002D5BB0" w:rsidP="00BC2760">
            <w:pPr>
              <w:pStyle w:val="SingleTxtG"/>
              <w:suppressAutoHyphens w:val="0"/>
              <w:spacing w:before="40" w:after="40" w:line="220" w:lineRule="exact"/>
              <w:ind w:left="0" w:right="0"/>
              <w:jc w:val="right"/>
              <w:rPr>
                <w:sz w:val="18"/>
                <w:lang w:val="en-US"/>
              </w:rPr>
            </w:pPr>
            <w:r w:rsidRPr="00222917">
              <w:rPr>
                <w:sz w:val="18"/>
                <w:lang w:val="en-US"/>
              </w:rPr>
              <w:t>6,930</w:t>
            </w:r>
          </w:p>
        </w:tc>
      </w:tr>
      <w:tr w:rsidR="006E1F63" w:rsidRPr="00222917" w:rsidTr="009D6326">
        <w:trPr>
          <w:trHeight w:val="240"/>
        </w:trPr>
        <w:tc>
          <w:tcPr>
            <w:tcW w:w="3119" w:type="dxa"/>
            <w:shd w:val="clear" w:color="auto" w:fill="auto"/>
          </w:tcPr>
          <w:p w:rsidR="002D5BB0" w:rsidRPr="00222917" w:rsidRDefault="002D5BB0" w:rsidP="00BC2760">
            <w:pPr>
              <w:pStyle w:val="SingleTxtG"/>
              <w:suppressAutoHyphens w:val="0"/>
              <w:spacing w:before="40" w:after="40" w:line="220" w:lineRule="exact"/>
              <w:ind w:left="0" w:right="0"/>
              <w:jc w:val="left"/>
              <w:rPr>
                <w:sz w:val="18"/>
                <w:lang w:val="en-US"/>
              </w:rPr>
            </w:pPr>
            <w:r w:rsidRPr="00222917">
              <w:rPr>
                <w:sz w:val="18"/>
                <w:lang w:val="en-US"/>
              </w:rPr>
              <w:t xml:space="preserve">Sexual violence counseling centers </w:t>
            </w:r>
          </w:p>
        </w:tc>
        <w:tc>
          <w:tcPr>
            <w:tcW w:w="851" w:type="dxa"/>
            <w:shd w:val="clear" w:color="auto" w:fill="auto"/>
            <w:vAlign w:val="bottom"/>
          </w:tcPr>
          <w:p w:rsidR="002D5BB0" w:rsidRPr="00222917" w:rsidRDefault="002D5BB0" w:rsidP="00BC2760">
            <w:pPr>
              <w:pStyle w:val="SingleTxtG"/>
              <w:suppressAutoHyphens w:val="0"/>
              <w:spacing w:before="40" w:after="40" w:line="220" w:lineRule="exact"/>
              <w:ind w:left="0" w:right="0"/>
              <w:jc w:val="right"/>
              <w:rPr>
                <w:sz w:val="18"/>
                <w:lang w:val="en-US"/>
              </w:rPr>
            </w:pPr>
            <w:r w:rsidRPr="00222917">
              <w:rPr>
                <w:sz w:val="18"/>
                <w:lang w:val="en-US"/>
              </w:rPr>
              <w:t>1,773</w:t>
            </w:r>
          </w:p>
        </w:tc>
        <w:tc>
          <w:tcPr>
            <w:tcW w:w="851" w:type="dxa"/>
            <w:shd w:val="clear" w:color="auto" w:fill="auto"/>
            <w:vAlign w:val="bottom"/>
          </w:tcPr>
          <w:p w:rsidR="002D5BB0" w:rsidRPr="00222917" w:rsidRDefault="002D5BB0" w:rsidP="00BC2760">
            <w:pPr>
              <w:pStyle w:val="SingleTxtG"/>
              <w:suppressAutoHyphens w:val="0"/>
              <w:spacing w:before="40" w:after="40" w:line="220" w:lineRule="exact"/>
              <w:ind w:left="0" w:right="0"/>
              <w:jc w:val="right"/>
              <w:rPr>
                <w:sz w:val="18"/>
                <w:lang w:val="en-US"/>
              </w:rPr>
            </w:pPr>
            <w:r w:rsidRPr="00222917">
              <w:rPr>
                <w:sz w:val="18"/>
                <w:lang w:val="en-US"/>
              </w:rPr>
              <w:t>2,107</w:t>
            </w:r>
          </w:p>
        </w:tc>
        <w:tc>
          <w:tcPr>
            <w:tcW w:w="851" w:type="dxa"/>
            <w:shd w:val="clear" w:color="auto" w:fill="auto"/>
            <w:vAlign w:val="bottom"/>
          </w:tcPr>
          <w:p w:rsidR="002D5BB0" w:rsidRPr="00222917" w:rsidRDefault="002D5BB0" w:rsidP="00BC2760">
            <w:pPr>
              <w:pStyle w:val="SingleTxtG"/>
              <w:suppressAutoHyphens w:val="0"/>
              <w:spacing w:before="40" w:after="40" w:line="220" w:lineRule="exact"/>
              <w:ind w:left="0" w:right="0"/>
              <w:jc w:val="right"/>
              <w:rPr>
                <w:sz w:val="18"/>
                <w:lang w:val="en-US"/>
              </w:rPr>
            </w:pPr>
            <w:r w:rsidRPr="00222917">
              <w:rPr>
                <w:sz w:val="18"/>
                <w:lang w:val="en-US"/>
              </w:rPr>
              <w:t>2,459</w:t>
            </w:r>
          </w:p>
        </w:tc>
        <w:tc>
          <w:tcPr>
            <w:tcW w:w="851" w:type="dxa"/>
            <w:shd w:val="clear" w:color="auto" w:fill="auto"/>
            <w:vAlign w:val="bottom"/>
          </w:tcPr>
          <w:p w:rsidR="002D5BB0" w:rsidRPr="00222917" w:rsidRDefault="002D5BB0" w:rsidP="00BC2760">
            <w:pPr>
              <w:pStyle w:val="SingleTxtG"/>
              <w:suppressAutoHyphens w:val="0"/>
              <w:spacing w:before="40" w:after="40" w:line="220" w:lineRule="exact"/>
              <w:ind w:left="0" w:right="0"/>
              <w:jc w:val="right"/>
              <w:rPr>
                <w:sz w:val="18"/>
                <w:lang w:val="en-US"/>
              </w:rPr>
            </w:pPr>
            <w:r w:rsidRPr="00222917">
              <w:rPr>
                <w:sz w:val="18"/>
                <w:lang w:val="en-US"/>
              </w:rPr>
              <w:t>2,440</w:t>
            </w:r>
          </w:p>
        </w:tc>
        <w:tc>
          <w:tcPr>
            <w:tcW w:w="851" w:type="dxa"/>
            <w:shd w:val="clear" w:color="auto" w:fill="auto"/>
            <w:vAlign w:val="bottom"/>
          </w:tcPr>
          <w:p w:rsidR="002D5BB0" w:rsidRPr="00222917" w:rsidRDefault="002D5BB0" w:rsidP="00BC2760">
            <w:pPr>
              <w:pStyle w:val="SingleTxtG"/>
              <w:suppressAutoHyphens w:val="0"/>
              <w:spacing w:before="40" w:after="40" w:line="220" w:lineRule="exact"/>
              <w:ind w:left="0" w:right="0"/>
              <w:jc w:val="right"/>
              <w:rPr>
                <w:sz w:val="18"/>
                <w:lang w:val="en-US"/>
              </w:rPr>
            </w:pPr>
            <w:r w:rsidRPr="00222917">
              <w:rPr>
                <w:sz w:val="18"/>
                <w:lang w:val="en-US"/>
              </w:rPr>
              <w:t>2,704</w:t>
            </w:r>
          </w:p>
        </w:tc>
      </w:tr>
      <w:tr w:rsidR="006E1F63" w:rsidRPr="00222917" w:rsidTr="009D6326">
        <w:trPr>
          <w:trHeight w:val="240"/>
        </w:trPr>
        <w:tc>
          <w:tcPr>
            <w:tcW w:w="3119" w:type="dxa"/>
            <w:shd w:val="clear" w:color="auto" w:fill="auto"/>
          </w:tcPr>
          <w:p w:rsidR="002D5BB0" w:rsidRPr="00547908" w:rsidRDefault="002D5BB0" w:rsidP="00BC2760">
            <w:pPr>
              <w:pStyle w:val="SingleTxtG"/>
              <w:suppressAutoHyphens w:val="0"/>
              <w:spacing w:before="40" w:after="40" w:line="220" w:lineRule="exact"/>
              <w:ind w:left="0" w:right="0"/>
              <w:jc w:val="left"/>
              <w:rPr>
                <w:sz w:val="18"/>
                <w:lang w:val="fr-FR"/>
              </w:rPr>
            </w:pPr>
            <w:r w:rsidRPr="00547908">
              <w:rPr>
                <w:sz w:val="18"/>
                <w:lang w:val="fr-FR"/>
              </w:rPr>
              <w:t xml:space="preserve">Sexual violence victim protection facilities </w:t>
            </w:r>
          </w:p>
        </w:tc>
        <w:tc>
          <w:tcPr>
            <w:tcW w:w="851" w:type="dxa"/>
            <w:shd w:val="clear" w:color="auto" w:fill="auto"/>
            <w:vAlign w:val="bottom"/>
          </w:tcPr>
          <w:p w:rsidR="002D5BB0" w:rsidRPr="00222917" w:rsidRDefault="002D5BB0" w:rsidP="00BC2760">
            <w:pPr>
              <w:pStyle w:val="SingleTxtG"/>
              <w:suppressAutoHyphens w:val="0"/>
              <w:spacing w:before="40" w:after="40" w:line="220" w:lineRule="exact"/>
              <w:ind w:left="0" w:right="0"/>
              <w:jc w:val="right"/>
              <w:rPr>
                <w:sz w:val="18"/>
                <w:lang w:val="en-US"/>
              </w:rPr>
            </w:pPr>
            <w:r w:rsidRPr="00222917">
              <w:rPr>
                <w:sz w:val="18"/>
                <w:lang w:val="en-US"/>
              </w:rPr>
              <w:t>522</w:t>
            </w:r>
          </w:p>
        </w:tc>
        <w:tc>
          <w:tcPr>
            <w:tcW w:w="851" w:type="dxa"/>
            <w:shd w:val="clear" w:color="auto" w:fill="auto"/>
            <w:vAlign w:val="bottom"/>
          </w:tcPr>
          <w:p w:rsidR="002D5BB0" w:rsidRPr="00222917" w:rsidRDefault="002D5BB0" w:rsidP="00BC2760">
            <w:pPr>
              <w:pStyle w:val="SingleTxtG"/>
              <w:suppressAutoHyphens w:val="0"/>
              <w:spacing w:before="40" w:after="40" w:line="220" w:lineRule="exact"/>
              <w:ind w:left="0" w:right="0"/>
              <w:jc w:val="right"/>
              <w:rPr>
                <w:sz w:val="18"/>
                <w:lang w:val="en-US"/>
              </w:rPr>
            </w:pPr>
            <w:r w:rsidRPr="00222917">
              <w:rPr>
                <w:sz w:val="18"/>
                <w:lang w:val="en-US"/>
              </w:rPr>
              <w:t>617</w:t>
            </w:r>
          </w:p>
        </w:tc>
        <w:tc>
          <w:tcPr>
            <w:tcW w:w="851" w:type="dxa"/>
            <w:shd w:val="clear" w:color="auto" w:fill="auto"/>
            <w:vAlign w:val="bottom"/>
          </w:tcPr>
          <w:p w:rsidR="002D5BB0" w:rsidRPr="00222917" w:rsidRDefault="002D5BB0" w:rsidP="00BC2760">
            <w:pPr>
              <w:pStyle w:val="SingleTxtG"/>
              <w:suppressAutoHyphens w:val="0"/>
              <w:spacing w:before="40" w:after="40" w:line="220" w:lineRule="exact"/>
              <w:ind w:left="0" w:right="0"/>
              <w:jc w:val="right"/>
              <w:rPr>
                <w:sz w:val="18"/>
                <w:lang w:val="en-US"/>
              </w:rPr>
            </w:pPr>
            <w:r w:rsidRPr="00222917">
              <w:rPr>
                <w:sz w:val="18"/>
                <w:lang w:val="en-US"/>
              </w:rPr>
              <w:t>719</w:t>
            </w:r>
          </w:p>
        </w:tc>
        <w:tc>
          <w:tcPr>
            <w:tcW w:w="851" w:type="dxa"/>
            <w:shd w:val="clear" w:color="auto" w:fill="auto"/>
            <w:vAlign w:val="bottom"/>
          </w:tcPr>
          <w:p w:rsidR="002D5BB0" w:rsidRPr="00222917" w:rsidRDefault="002D5BB0" w:rsidP="00BC2760">
            <w:pPr>
              <w:pStyle w:val="SingleTxtG"/>
              <w:suppressAutoHyphens w:val="0"/>
              <w:spacing w:before="40" w:after="40" w:line="220" w:lineRule="exact"/>
              <w:ind w:left="0" w:right="0"/>
              <w:jc w:val="right"/>
              <w:rPr>
                <w:sz w:val="18"/>
                <w:lang w:val="en-US"/>
              </w:rPr>
            </w:pPr>
            <w:r w:rsidRPr="00222917">
              <w:rPr>
                <w:sz w:val="18"/>
                <w:lang w:val="en-US"/>
              </w:rPr>
              <w:t>755</w:t>
            </w:r>
          </w:p>
        </w:tc>
        <w:tc>
          <w:tcPr>
            <w:tcW w:w="851" w:type="dxa"/>
            <w:shd w:val="clear" w:color="auto" w:fill="auto"/>
            <w:vAlign w:val="bottom"/>
          </w:tcPr>
          <w:p w:rsidR="002D5BB0" w:rsidRPr="00222917" w:rsidRDefault="002D5BB0" w:rsidP="00BC2760">
            <w:pPr>
              <w:pStyle w:val="SingleTxtG"/>
              <w:suppressAutoHyphens w:val="0"/>
              <w:spacing w:before="40" w:after="40" w:line="220" w:lineRule="exact"/>
              <w:ind w:left="0" w:right="0"/>
              <w:jc w:val="right"/>
              <w:rPr>
                <w:sz w:val="18"/>
                <w:lang w:val="en-US"/>
              </w:rPr>
            </w:pPr>
            <w:r w:rsidRPr="00222917">
              <w:rPr>
                <w:sz w:val="18"/>
                <w:lang w:val="en-US"/>
              </w:rPr>
              <w:t>862</w:t>
            </w:r>
          </w:p>
        </w:tc>
      </w:tr>
      <w:tr w:rsidR="006E1F63" w:rsidRPr="00222917" w:rsidTr="009D6326">
        <w:trPr>
          <w:trHeight w:val="240"/>
        </w:trPr>
        <w:tc>
          <w:tcPr>
            <w:tcW w:w="3119" w:type="dxa"/>
            <w:shd w:val="clear" w:color="auto" w:fill="auto"/>
          </w:tcPr>
          <w:p w:rsidR="002D5BB0" w:rsidRPr="00222917" w:rsidRDefault="002D5BB0" w:rsidP="00BC2760">
            <w:pPr>
              <w:pStyle w:val="SingleTxtG"/>
              <w:suppressAutoHyphens w:val="0"/>
              <w:spacing w:before="40" w:after="40" w:line="220" w:lineRule="exact"/>
              <w:ind w:left="0" w:right="0"/>
              <w:jc w:val="left"/>
              <w:rPr>
                <w:sz w:val="18"/>
                <w:lang w:val="en-US"/>
              </w:rPr>
            </w:pPr>
            <w:r w:rsidRPr="00222917">
              <w:rPr>
                <w:sz w:val="18"/>
                <w:lang w:val="en-US"/>
              </w:rPr>
              <w:t xml:space="preserve">Free legal aid </w:t>
            </w:r>
          </w:p>
        </w:tc>
        <w:tc>
          <w:tcPr>
            <w:tcW w:w="851" w:type="dxa"/>
            <w:shd w:val="clear" w:color="auto" w:fill="auto"/>
            <w:vAlign w:val="bottom"/>
          </w:tcPr>
          <w:p w:rsidR="002D5BB0" w:rsidRPr="00222917" w:rsidRDefault="002D5BB0" w:rsidP="00BC2760">
            <w:pPr>
              <w:pStyle w:val="SingleTxtG"/>
              <w:suppressAutoHyphens w:val="0"/>
              <w:spacing w:before="40" w:after="40" w:line="220" w:lineRule="exact"/>
              <w:ind w:left="0" w:right="0"/>
              <w:jc w:val="right"/>
              <w:rPr>
                <w:sz w:val="18"/>
                <w:lang w:val="en-US"/>
              </w:rPr>
            </w:pPr>
            <w:r w:rsidRPr="00222917">
              <w:rPr>
                <w:sz w:val="18"/>
                <w:lang w:val="en-US"/>
              </w:rPr>
              <w:t>1,400</w:t>
            </w:r>
          </w:p>
        </w:tc>
        <w:tc>
          <w:tcPr>
            <w:tcW w:w="851" w:type="dxa"/>
            <w:shd w:val="clear" w:color="auto" w:fill="auto"/>
            <w:vAlign w:val="bottom"/>
          </w:tcPr>
          <w:p w:rsidR="002D5BB0" w:rsidRPr="00222917" w:rsidRDefault="002D5BB0" w:rsidP="00BC2760">
            <w:pPr>
              <w:pStyle w:val="SingleTxtG"/>
              <w:suppressAutoHyphens w:val="0"/>
              <w:spacing w:before="40" w:after="40" w:line="220" w:lineRule="exact"/>
              <w:ind w:left="0" w:right="0"/>
              <w:jc w:val="right"/>
              <w:rPr>
                <w:sz w:val="18"/>
                <w:lang w:val="en-US"/>
              </w:rPr>
            </w:pPr>
            <w:r w:rsidRPr="00222917">
              <w:rPr>
                <w:sz w:val="18"/>
                <w:lang w:val="en-US"/>
              </w:rPr>
              <w:t>1,400</w:t>
            </w:r>
          </w:p>
        </w:tc>
        <w:tc>
          <w:tcPr>
            <w:tcW w:w="851" w:type="dxa"/>
            <w:shd w:val="clear" w:color="auto" w:fill="auto"/>
            <w:vAlign w:val="bottom"/>
          </w:tcPr>
          <w:p w:rsidR="002D5BB0" w:rsidRPr="00222917" w:rsidRDefault="002D5BB0" w:rsidP="00BC2760">
            <w:pPr>
              <w:pStyle w:val="SingleTxtG"/>
              <w:suppressAutoHyphens w:val="0"/>
              <w:spacing w:before="40" w:after="40" w:line="220" w:lineRule="exact"/>
              <w:ind w:left="0" w:right="0"/>
              <w:jc w:val="right"/>
              <w:rPr>
                <w:sz w:val="18"/>
                <w:lang w:val="en-US"/>
              </w:rPr>
            </w:pPr>
            <w:r w:rsidRPr="00222917">
              <w:rPr>
                <w:sz w:val="18"/>
                <w:lang w:val="en-US"/>
              </w:rPr>
              <w:t>1,514</w:t>
            </w:r>
          </w:p>
        </w:tc>
        <w:tc>
          <w:tcPr>
            <w:tcW w:w="851" w:type="dxa"/>
            <w:shd w:val="clear" w:color="auto" w:fill="auto"/>
            <w:vAlign w:val="bottom"/>
          </w:tcPr>
          <w:p w:rsidR="002D5BB0" w:rsidRPr="00222917" w:rsidRDefault="002D5BB0" w:rsidP="00BC2760">
            <w:pPr>
              <w:pStyle w:val="SingleTxtG"/>
              <w:suppressAutoHyphens w:val="0"/>
              <w:spacing w:before="40" w:after="40" w:line="220" w:lineRule="exact"/>
              <w:ind w:left="0" w:right="0"/>
              <w:jc w:val="right"/>
              <w:rPr>
                <w:sz w:val="18"/>
                <w:lang w:val="en-US"/>
              </w:rPr>
            </w:pPr>
            <w:r w:rsidRPr="00222917">
              <w:rPr>
                <w:sz w:val="18"/>
                <w:lang w:val="en-US"/>
              </w:rPr>
              <w:t>1,558</w:t>
            </w:r>
          </w:p>
        </w:tc>
        <w:tc>
          <w:tcPr>
            <w:tcW w:w="851" w:type="dxa"/>
            <w:shd w:val="clear" w:color="auto" w:fill="auto"/>
            <w:vAlign w:val="bottom"/>
          </w:tcPr>
          <w:p w:rsidR="002D5BB0" w:rsidRPr="00222917" w:rsidRDefault="002D5BB0" w:rsidP="00BC2760">
            <w:pPr>
              <w:pStyle w:val="SingleTxtG"/>
              <w:suppressAutoHyphens w:val="0"/>
              <w:spacing w:before="40" w:after="40" w:line="220" w:lineRule="exact"/>
              <w:ind w:left="0" w:right="0"/>
              <w:jc w:val="right"/>
              <w:rPr>
                <w:sz w:val="18"/>
                <w:lang w:val="en-US"/>
              </w:rPr>
            </w:pPr>
            <w:r w:rsidRPr="00222917">
              <w:rPr>
                <w:sz w:val="18"/>
                <w:lang w:val="en-US"/>
              </w:rPr>
              <w:t>1,534</w:t>
            </w:r>
          </w:p>
        </w:tc>
      </w:tr>
      <w:tr w:rsidR="006E1F63" w:rsidRPr="00222917" w:rsidTr="009D6326">
        <w:trPr>
          <w:trHeight w:val="240"/>
        </w:trPr>
        <w:tc>
          <w:tcPr>
            <w:tcW w:w="3119" w:type="dxa"/>
            <w:shd w:val="clear" w:color="auto" w:fill="auto"/>
          </w:tcPr>
          <w:p w:rsidR="002D5BB0" w:rsidRPr="00222917" w:rsidRDefault="002D5BB0" w:rsidP="00BC2760">
            <w:pPr>
              <w:pStyle w:val="SingleTxtG"/>
              <w:suppressAutoHyphens w:val="0"/>
              <w:spacing w:before="40" w:after="40" w:line="220" w:lineRule="exact"/>
              <w:ind w:left="0" w:right="0"/>
              <w:jc w:val="left"/>
              <w:rPr>
                <w:sz w:val="18"/>
                <w:lang w:val="en-US"/>
              </w:rPr>
            </w:pPr>
            <w:r w:rsidRPr="00222917">
              <w:rPr>
                <w:sz w:val="18"/>
                <w:lang w:val="en-US"/>
              </w:rPr>
              <w:t xml:space="preserve">Medical fee assistance </w:t>
            </w:r>
          </w:p>
        </w:tc>
        <w:tc>
          <w:tcPr>
            <w:tcW w:w="851" w:type="dxa"/>
            <w:shd w:val="clear" w:color="auto" w:fill="auto"/>
            <w:vAlign w:val="bottom"/>
          </w:tcPr>
          <w:p w:rsidR="002D5BB0" w:rsidRPr="00222917" w:rsidRDefault="002D5BB0" w:rsidP="00BC2760">
            <w:pPr>
              <w:pStyle w:val="SingleTxtG"/>
              <w:suppressAutoHyphens w:val="0"/>
              <w:spacing w:before="40" w:after="40" w:line="220" w:lineRule="exact"/>
              <w:ind w:left="0" w:right="0"/>
              <w:jc w:val="right"/>
              <w:rPr>
                <w:sz w:val="18"/>
                <w:lang w:val="en-US"/>
              </w:rPr>
            </w:pPr>
            <w:r w:rsidRPr="00222917">
              <w:rPr>
                <w:sz w:val="18"/>
                <w:lang w:val="en-US"/>
              </w:rPr>
              <w:t>523</w:t>
            </w:r>
          </w:p>
        </w:tc>
        <w:tc>
          <w:tcPr>
            <w:tcW w:w="851" w:type="dxa"/>
            <w:shd w:val="clear" w:color="auto" w:fill="auto"/>
            <w:vAlign w:val="bottom"/>
          </w:tcPr>
          <w:p w:rsidR="002D5BB0" w:rsidRPr="00222917" w:rsidRDefault="002D5BB0" w:rsidP="00BC2760">
            <w:pPr>
              <w:pStyle w:val="SingleTxtG"/>
              <w:suppressAutoHyphens w:val="0"/>
              <w:spacing w:before="40" w:after="40" w:line="220" w:lineRule="exact"/>
              <w:ind w:left="0" w:right="0"/>
              <w:jc w:val="right"/>
              <w:rPr>
                <w:sz w:val="18"/>
                <w:lang w:val="en-US"/>
              </w:rPr>
            </w:pPr>
            <w:r w:rsidRPr="00222917">
              <w:rPr>
                <w:sz w:val="18"/>
                <w:lang w:val="en-US"/>
              </w:rPr>
              <w:t>504</w:t>
            </w:r>
          </w:p>
        </w:tc>
        <w:tc>
          <w:tcPr>
            <w:tcW w:w="851" w:type="dxa"/>
            <w:shd w:val="clear" w:color="auto" w:fill="auto"/>
            <w:vAlign w:val="bottom"/>
          </w:tcPr>
          <w:p w:rsidR="002D5BB0" w:rsidRPr="00222917" w:rsidRDefault="002D5BB0" w:rsidP="00BC2760">
            <w:pPr>
              <w:pStyle w:val="SingleTxtG"/>
              <w:suppressAutoHyphens w:val="0"/>
              <w:spacing w:before="40" w:after="40" w:line="220" w:lineRule="exact"/>
              <w:ind w:left="0" w:right="0"/>
              <w:jc w:val="right"/>
              <w:rPr>
                <w:sz w:val="18"/>
                <w:lang w:val="en-US"/>
              </w:rPr>
            </w:pPr>
            <w:r w:rsidRPr="00222917">
              <w:rPr>
                <w:sz w:val="18"/>
                <w:lang w:val="en-US"/>
              </w:rPr>
              <w:t>566</w:t>
            </w:r>
          </w:p>
        </w:tc>
        <w:tc>
          <w:tcPr>
            <w:tcW w:w="851" w:type="dxa"/>
            <w:shd w:val="clear" w:color="auto" w:fill="auto"/>
            <w:vAlign w:val="bottom"/>
          </w:tcPr>
          <w:p w:rsidR="002D5BB0" w:rsidRPr="00222917" w:rsidRDefault="002D5BB0" w:rsidP="00BC2760">
            <w:pPr>
              <w:pStyle w:val="SingleTxtG"/>
              <w:suppressAutoHyphens w:val="0"/>
              <w:spacing w:before="40" w:after="40" w:line="220" w:lineRule="exact"/>
              <w:ind w:left="0" w:right="0"/>
              <w:jc w:val="right"/>
              <w:rPr>
                <w:sz w:val="18"/>
                <w:lang w:val="en-US"/>
              </w:rPr>
            </w:pPr>
            <w:r w:rsidRPr="00222917">
              <w:rPr>
                <w:sz w:val="18"/>
                <w:lang w:val="en-US"/>
              </w:rPr>
              <w:t>891</w:t>
            </w:r>
          </w:p>
        </w:tc>
        <w:tc>
          <w:tcPr>
            <w:tcW w:w="851" w:type="dxa"/>
            <w:shd w:val="clear" w:color="auto" w:fill="auto"/>
            <w:vAlign w:val="bottom"/>
          </w:tcPr>
          <w:p w:rsidR="002D5BB0" w:rsidRPr="00222917" w:rsidRDefault="002D5BB0" w:rsidP="00BC2760">
            <w:pPr>
              <w:pStyle w:val="SingleTxtG"/>
              <w:suppressAutoHyphens w:val="0"/>
              <w:spacing w:before="40" w:after="40" w:line="220" w:lineRule="exact"/>
              <w:ind w:left="0" w:right="0"/>
              <w:jc w:val="right"/>
              <w:rPr>
                <w:sz w:val="18"/>
                <w:lang w:val="en-US"/>
              </w:rPr>
            </w:pPr>
            <w:r w:rsidRPr="00222917">
              <w:rPr>
                <w:sz w:val="18"/>
                <w:lang w:val="en-US"/>
              </w:rPr>
              <w:t>1,074</w:t>
            </w:r>
          </w:p>
        </w:tc>
      </w:tr>
      <w:tr w:rsidR="006E1F63" w:rsidRPr="00222917" w:rsidTr="009D6326">
        <w:trPr>
          <w:trHeight w:val="240"/>
        </w:trPr>
        <w:tc>
          <w:tcPr>
            <w:tcW w:w="3119" w:type="dxa"/>
            <w:tcBorders>
              <w:bottom w:val="single" w:sz="12" w:space="0" w:color="auto"/>
            </w:tcBorders>
            <w:shd w:val="clear" w:color="auto" w:fill="auto"/>
          </w:tcPr>
          <w:p w:rsidR="002D5BB0" w:rsidRPr="00222917" w:rsidRDefault="002D5BB0" w:rsidP="00BC2760">
            <w:pPr>
              <w:pStyle w:val="SingleTxtG"/>
              <w:suppressAutoHyphens w:val="0"/>
              <w:spacing w:before="40" w:after="40" w:line="220" w:lineRule="exact"/>
              <w:ind w:left="0" w:right="0"/>
              <w:jc w:val="left"/>
              <w:rPr>
                <w:sz w:val="18"/>
                <w:lang w:val="en-US"/>
              </w:rPr>
            </w:pPr>
            <w:r w:rsidRPr="00222917">
              <w:rPr>
                <w:sz w:val="18"/>
                <w:lang w:val="en-US"/>
              </w:rPr>
              <w:t xml:space="preserve">Vocational training support </w:t>
            </w:r>
          </w:p>
        </w:tc>
        <w:tc>
          <w:tcPr>
            <w:tcW w:w="851" w:type="dxa"/>
            <w:tcBorders>
              <w:bottom w:val="single" w:sz="12" w:space="0" w:color="auto"/>
            </w:tcBorders>
            <w:shd w:val="clear" w:color="auto" w:fill="auto"/>
            <w:vAlign w:val="bottom"/>
          </w:tcPr>
          <w:p w:rsidR="002D5BB0" w:rsidRPr="00222917" w:rsidRDefault="002D5BB0" w:rsidP="00BC2760">
            <w:pPr>
              <w:pStyle w:val="SingleTxtG"/>
              <w:suppressAutoHyphens w:val="0"/>
              <w:spacing w:before="40" w:after="40" w:line="220" w:lineRule="exact"/>
              <w:ind w:left="0" w:right="0"/>
              <w:jc w:val="right"/>
              <w:rPr>
                <w:sz w:val="18"/>
                <w:lang w:val="en-US"/>
              </w:rPr>
            </w:pPr>
            <w:r w:rsidRPr="00222917">
              <w:rPr>
                <w:sz w:val="18"/>
                <w:lang w:val="en-US"/>
              </w:rPr>
              <w:t>49</w:t>
            </w:r>
          </w:p>
        </w:tc>
        <w:tc>
          <w:tcPr>
            <w:tcW w:w="851" w:type="dxa"/>
            <w:tcBorders>
              <w:bottom w:val="single" w:sz="12" w:space="0" w:color="auto"/>
            </w:tcBorders>
            <w:shd w:val="clear" w:color="auto" w:fill="auto"/>
            <w:vAlign w:val="bottom"/>
          </w:tcPr>
          <w:p w:rsidR="002D5BB0" w:rsidRPr="00222917" w:rsidRDefault="002D5BB0" w:rsidP="00BC2760">
            <w:pPr>
              <w:pStyle w:val="SingleTxtG"/>
              <w:suppressAutoHyphens w:val="0"/>
              <w:spacing w:before="40" w:after="40" w:line="220" w:lineRule="exact"/>
              <w:ind w:left="0" w:right="0"/>
              <w:jc w:val="right"/>
              <w:rPr>
                <w:sz w:val="18"/>
                <w:lang w:val="en-US"/>
              </w:rPr>
            </w:pPr>
            <w:r w:rsidRPr="00222917">
              <w:rPr>
                <w:sz w:val="18"/>
                <w:lang w:val="en-US"/>
              </w:rPr>
              <w:t>27</w:t>
            </w:r>
          </w:p>
        </w:tc>
        <w:tc>
          <w:tcPr>
            <w:tcW w:w="851" w:type="dxa"/>
            <w:tcBorders>
              <w:bottom w:val="single" w:sz="12" w:space="0" w:color="auto"/>
            </w:tcBorders>
            <w:shd w:val="clear" w:color="auto" w:fill="auto"/>
            <w:vAlign w:val="bottom"/>
          </w:tcPr>
          <w:p w:rsidR="002D5BB0" w:rsidRPr="00222917" w:rsidRDefault="002D5BB0" w:rsidP="00BC2760">
            <w:pPr>
              <w:pStyle w:val="SingleTxtG"/>
              <w:suppressAutoHyphens w:val="0"/>
              <w:spacing w:before="40" w:after="40" w:line="220" w:lineRule="exact"/>
              <w:ind w:left="0" w:right="0"/>
              <w:jc w:val="right"/>
              <w:rPr>
                <w:sz w:val="18"/>
                <w:lang w:val="en-US"/>
              </w:rPr>
            </w:pPr>
            <w:r w:rsidRPr="00222917">
              <w:rPr>
                <w:sz w:val="18"/>
                <w:lang w:val="en-US"/>
              </w:rPr>
              <w:t>26</w:t>
            </w:r>
          </w:p>
        </w:tc>
        <w:tc>
          <w:tcPr>
            <w:tcW w:w="851" w:type="dxa"/>
            <w:tcBorders>
              <w:bottom w:val="single" w:sz="12" w:space="0" w:color="auto"/>
            </w:tcBorders>
            <w:shd w:val="clear" w:color="auto" w:fill="auto"/>
            <w:vAlign w:val="bottom"/>
          </w:tcPr>
          <w:p w:rsidR="002D5BB0" w:rsidRPr="00222917" w:rsidRDefault="002D5BB0" w:rsidP="00BC2760">
            <w:pPr>
              <w:pStyle w:val="SingleTxtG"/>
              <w:suppressAutoHyphens w:val="0"/>
              <w:spacing w:before="40" w:after="40" w:line="220" w:lineRule="exact"/>
              <w:ind w:left="0" w:right="0"/>
              <w:jc w:val="right"/>
              <w:rPr>
                <w:sz w:val="18"/>
                <w:lang w:val="en-US"/>
              </w:rPr>
            </w:pPr>
            <w:r w:rsidRPr="00222917">
              <w:rPr>
                <w:sz w:val="18"/>
                <w:lang w:val="en-US"/>
              </w:rPr>
              <w:t>33</w:t>
            </w:r>
          </w:p>
        </w:tc>
        <w:tc>
          <w:tcPr>
            <w:tcW w:w="851" w:type="dxa"/>
            <w:tcBorders>
              <w:bottom w:val="single" w:sz="12" w:space="0" w:color="auto"/>
            </w:tcBorders>
            <w:shd w:val="clear" w:color="auto" w:fill="auto"/>
            <w:vAlign w:val="bottom"/>
          </w:tcPr>
          <w:p w:rsidR="002D5BB0" w:rsidRPr="00222917" w:rsidRDefault="002D5BB0" w:rsidP="00BC2760">
            <w:pPr>
              <w:pStyle w:val="SingleTxtG"/>
              <w:suppressAutoHyphens w:val="0"/>
              <w:spacing w:before="40" w:after="40" w:line="220" w:lineRule="exact"/>
              <w:ind w:left="0" w:right="0"/>
              <w:jc w:val="right"/>
              <w:rPr>
                <w:sz w:val="18"/>
                <w:lang w:val="en-US"/>
              </w:rPr>
            </w:pPr>
            <w:r w:rsidRPr="00222917">
              <w:rPr>
                <w:sz w:val="18"/>
                <w:lang w:val="en-US"/>
              </w:rPr>
              <w:t>31</w:t>
            </w:r>
          </w:p>
        </w:tc>
      </w:tr>
    </w:tbl>
    <w:p w:rsidR="002D5BB0" w:rsidRPr="00222917" w:rsidRDefault="00547908" w:rsidP="00547908">
      <w:pPr>
        <w:pStyle w:val="SingleTxtG"/>
        <w:spacing w:before="240"/>
        <w:rPr>
          <w:lang w:val="en-US"/>
        </w:rPr>
      </w:pPr>
      <w:r w:rsidRPr="00222917">
        <w:rPr>
          <w:lang w:val="en-US"/>
        </w:rPr>
        <w:t>78.</w:t>
      </w:r>
      <w:r w:rsidRPr="00222917">
        <w:rPr>
          <w:lang w:val="en-US"/>
        </w:rPr>
        <w:tab/>
      </w:r>
      <w:r w:rsidR="002D5BB0" w:rsidRPr="00222917">
        <w:rPr>
          <w:lang w:val="en-US"/>
        </w:rPr>
        <w:t>The Governmen</w:t>
      </w:r>
      <w:r w:rsidR="00A56B8C" w:rsidRPr="00222917">
        <w:rPr>
          <w:lang w:val="en-US"/>
        </w:rPr>
        <w:t>t operates around the clock 17 “</w:t>
      </w:r>
      <w:r w:rsidR="002D5BB0" w:rsidRPr="00222917">
        <w:rPr>
          <w:lang w:val="en-US"/>
        </w:rPr>
        <w:t>one-stop support centers for female victims of violence</w:t>
      </w:r>
      <w:r w:rsidR="00A56B8C" w:rsidRPr="00222917">
        <w:rPr>
          <w:lang w:val="en-US"/>
        </w:rPr>
        <w:t>”</w:t>
      </w:r>
      <w:r w:rsidR="002D5BB0" w:rsidRPr="00222917">
        <w:rPr>
          <w:lang w:val="en-US"/>
        </w:rPr>
        <w:t xml:space="preserve"> that provide counseling and medical treatment and videotape victims’ statements in the investigation process to prevent any secondary damage. Nine centers exclusively dealing with sexual violence against children are also in operation, of which tasks include psychological treatment of children victims and their family members. In</w:t>
      </w:r>
      <w:r w:rsidR="00A56B8C" w:rsidRPr="00222917">
        <w:rPr>
          <w:lang w:val="en-US"/>
        </w:rPr>
        <w:t> </w:t>
      </w:r>
      <w:r w:rsidR="002D5BB0" w:rsidRPr="00222917">
        <w:rPr>
          <w:lang w:val="en-US"/>
        </w:rPr>
        <w:t xml:space="preserve">2010, the Government </w:t>
      </w:r>
      <w:r w:rsidR="002D5BB0" w:rsidRPr="00222917">
        <w:rPr>
          <w:bCs/>
          <w:lang w:val="en-US"/>
        </w:rPr>
        <w:t>established</w:t>
      </w:r>
      <w:r w:rsidR="002D5BB0" w:rsidRPr="00222917">
        <w:rPr>
          <w:lang w:val="en-US"/>
        </w:rPr>
        <w:t xml:space="preserve"> two ‘shelters for child and adolescent victims of sexual violence’ so that minor victims may have uninterrupted access to education and protection in a home-like environment until they become independent. </w:t>
      </w:r>
    </w:p>
    <w:p w:rsidR="002D5BB0" w:rsidRPr="00222917" w:rsidRDefault="00547908" w:rsidP="00547908">
      <w:pPr>
        <w:pStyle w:val="SingleTxtG"/>
        <w:rPr>
          <w:lang w:val="en-US"/>
        </w:rPr>
      </w:pPr>
      <w:r w:rsidRPr="00222917">
        <w:rPr>
          <w:lang w:val="en-US"/>
        </w:rPr>
        <w:t>79.</w:t>
      </w:r>
      <w:r w:rsidRPr="00222917">
        <w:rPr>
          <w:lang w:val="en-US"/>
        </w:rPr>
        <w:tab/>
      </w:r>
      <w:r w:rsidR="00042D4D" w:rsidRPr="00222917">
        <w:rPr>
          <w:lang w:val="en-US"/>
        </w:rPr>
        <w:t>In 2010, “</w:t>
      </w:r>
      <w:r w:rsidR="002D5BB0" w:rsidRPr="00C70182">
        <w:rPr>
          <w:i/>
          <w:iCs/>
          <w:lang w:val="en-US"/>
        </w:rPr>
        <w:t>Haebaragi</w:t>
      </w:r>
      <w:r w:rsidR="002D5BB0" w:rsidRPr="00222917">
        <w:rPr>
          <w:lang w:val="en-US"/>
        </w:rPr>
        <w:t xml:space="preserve"> (sunflower) Women and </w:t>
      </w:r>
      <w:smartTag w:uri="urn:schemas-microsoft-com:office:smarttags" w:element="place">
        <w:smartTag w:uri="urn:schemas-microsoft-com:office:smarttags" w:element="PlaceName">
          <w:r w:rsidR="002D5BB0" w:rsidRPr="00222917">
            <w:rPr>
              <w:lang w:val="en-US"/>
            </w:rPr>
            <w:t>Children</w:t>
          </w:r>
        </w:smartTag>
        <w:r w:rsidR="002D5BB0" w:rsidRPr="00222917">
          <w:rPr>
            <w:lang w:val="en-US"/>
          </w:rPr>
          <w:t xml:space="preserve"> </w:t>
        </w:r>
        <w:smartTag w:uri="urn:schemas-microsoft-com:office:smarttags" w:element="PlaceType">
          <w:r w:rsidR="002D5BB0" w:rsidRPr="00222917">
            <w:rPr>
              <w:lang w:val="en-US"/>
            </w:rPr>
            <w:t>Centers</w:t>
          </w:r>
        </w:smartTag>
      </w:smartTag>
      <w:r w:rsidR="00042D4D" w:rsidRPr="00222917">
        <w:rPr>
          <w:lang w:val="en-US"/>
        </w:rPr>
        <w:t>”</w:t>
      </w:r>
      <w:r w:rsidR="002D5BB0" w:rsidRPr="00222917">
        <w:rPr>
          <w:lang w:val="en-US"/>
        </w:rPr>
        <w:t xml:space="preserve"> were introduced, which are integrated crisis intervention centers for women and children</w:t>
      </w:r>
      <w:r w:rsidR="00A56B8C" w:rsidRPr="00222917">
        <w:rPr>
          <w:lang w:val="en-US"/>
        </w:rPr>
        <w:t xml:space="preserve"> that combine the strengths of “</w:t>
      </w:r>
      <w:r w:rsidR="002D5BB0" w:rsidRPr="00222917">
        <w:rPr>
          <w:lang w:val="en-US"/>
        </w:rPr>
        <w:t xml:space="preserve">one-stop support </w:t>
      </w:r>
      <w:r w:rsidR="002D5BB0" w:rsidRPr="00222917">
        <w:rPr>
          <w:bCs/>
          <w:lang w:val="en-US"/>
        </w:rPr>
        <w:t>centers</w:t>
      </w:r>
      <w:r w:rsidR="002D5BB0" w:rsidRPr="00222917">
        <w:rPr>
          <w:lang w:val="en-US"/>
        </w:rPr>
        <w:t xml:space="preserve"> for female victims of violence</w:t>
      </w:r>
      <w:r w:rsidR="00A56B8C" w:rsidRPr="00222917">
        <w:rPr>
          <w:lang w:val="en-US"/>
        </w:rPr>
        <w:t>” and “</w:t>
      </w:r>
      <w:r w:rsidR="002D5BB0" w:rsidRPr="00222917">
        <w:rPr>
          <w:lang w:val="en-US"/>
        </w:rPr>
        <w:t>dedicated centers against sexual violence against children.</w:t>
      </w:r>
      <w:r w:rsidR="00A56B8C" w:rsidRPr="00222917">
        <w:rPr>
          <w:lang w:val="en-US"/>
        </w:rPr>
        <w:t>”</w:t>
      </w:r>
      <w:r w:rsidR="002D5BB0" w:rsidRPr="00222917">
        <w:rPr>
          <w:lang w:val="en-US"/>
        </w:rPr>
        <w:t xml:space="preserve"> The centers, established inside of or near to medical hospitals, provide integrated services from physical and mental medical treatment, counseling, and investigation by female police officers, to legal assistance including litigation support at one place. Having started from a pilot center in Busan in January 2010, 4 additional centers have been established by the end of the year. </w:t>
      </w:r>
    </w:p>
    <w:p w:rsidR="002D5BB0" w:rsidRPr="00222917" w:rsidRDefault="00C754DF" w:rsidP="00C754DF">
      <w:pPr>
        <w:pStyle w:val="H23G"/>
        <w:rPr>
          <w:b w:val="0"/>
          <w:sz w:val="16"/>
          <w:szCs w:val="16"/>
          <w:lang w:val="en-US"/>
        </w:rPr>
      </w:pPr>
      <w:r w:rsidRPr="00222917">
        <w:rPr>
          <w:lang w:val="en-US"/>
        </w:rPr>
        <w:tab/>
      </w:r>
      <w:r w:rsidRPr="00222917">
        <w:rPr>
          <w:lang w:val="en-US"/>
        </w:rPr>
        <w:tab/>
      </w:r>
      <w:r w:rsidR="002D5BB0" w:rsidRPr="00222917">
        <w:rPr>
          <w:lang w:val="en-US"/>
        </w:rPr>
        <w:t>Counseling Centers for Sexual Violence Victims</w:t>
      </w:r>
      <w:r w:rsidRPr="00222917">
        <w:rPr>
          <w:lang w:val="en-US"/>
        </w:rPr>
        <w:br/>
      </w:r>
      <w:r w:rsidR="002D5BB0" w:rsidRPr="00222917">
        <w:rPr>
          <w:b w:val="0"/>
          <w:sz w:val="16"/>
          <w:szCs w:val="16"/>
          <w:lang w:val="en-US"/>
        </w:rPr>
        <w:t>(Number of cases and persons)</w:t>
      </w:r>
    </w:p>
    <w:tbl>
      <w:tblPr>
        <w:tblW w:w="0" w:type="auto"/>
        <w:tblInd w:w="1134" w:type="dxa"/>
        <w:tblBorders>
          <w:top w:val="single" w:sz="4" w:space="0" w:color="auto"/>
        </w:tblBorders>
        <w:tblLayout w:type="fixed"/>
        <w:tblCellMar>
          <w:left w:w="0" w:type="dxa"/>
          <w:right w:w="0" w:type="dxa"/>
        </w:tblCellMar>
        <w:tblLook w:val="0000"/>
      </w:tblPr>
      <w:tblGrid>
        <w:gridCol w:w="510"/>
        <w:gridCol w:w="737"/>
        <w:gridCol w:w="851"/>
        <w:gridCol w:w="851"/>
        <w:gridCol w:w="851"/>
        <w:gridCol w:w="851"/>
        <w:gridCol w:w="851"/>
        <w:gridCol w:w="851"/>
        <w:gridCol w:w="1021"/>
      </w:tblGrid>
      <w:tr w:rsidR="006E1F63" w:rsidRPr="00222917" w:rsidTr="00936860">
        <w:trPr>
          <w:trHeight w:val="240"/>
          <w:tblHeader/>
        </w:trPr>
        <w:tc>
          <w:tcPr>
            <w:tcW w:w="510" w:type="dxa"/>
            <w:vMerge w:val="restart"/>
            <w:tcBorders>
              <w:top w:val="single" w:sz="4" w:space="0" w:color="auto"/>
              <w:bottom w:val="single" w:sz="12" w:space="0" w:color="auto"/>
            </w:tcBorders>
            <w:shd w:val="clear" w:color="auto" w:fill="auto"/>
            <w:vAlign w:val="bottom"/>
          </w:tcPr>
          <w:p w:rsidR="002D5BB0" w:rsidRPr="00222917" w:rsidRDefault="002D5BB0" w:rsidP="00FA004C">
            <w:pPr>
              <w:pStyle w:val="SingleTxtG"/>
              <w:suppressAutoHyphens w:val="0"/>
              <w:spacing w:before="80" w:after="80" w:line="200" w:lineRule="exact"/>
              <w:ind w:left="0" w:right="0"/>
              <w:jc w:val="left"/>
              <w:rPr>
                <w:i/>
                <w:sz w:val="16"/>
                <w:lang w:val="en-US"/>
              </w:rPr>
            </w:pPr>
            <w:r w:rsidRPr="00222917">
              <w:rPr>
                <w:bCs/>
                <w:i/>
                <w:sz w:val="16"/>
                <w:lang w:val="en-US"/>
              </w:rPr>
              <w:t>Year</w:t>
            </w:r>
          </w:p>
        </w:tc>
        <w:tc>
          <w:tcPr>
            <w:tcW w:w="737" w:type="dxa"/>
            <w:vMerge w:val="restart"/>
            <w:tcBorders>
              <w:top w:val="single" w:sz="4" w:space="0" w:color="auto"/>
              <w:bottom w:val="single" w:sz="12" w:space="0" w:color="auto"/>
            </w:tcBorders>
            <w:shd w:val="clear" w:color="auto" w:fill="auto"/>
            <w:vAlign w:val="bottom"/>
          </w:tcPr>
          <w:p w:rsidR="002D5BB0" w:rsidRPr="00222917" w:rsidRDefault="00042D4D" w:rsidP="00FA004C">
            <w:pPr>
              <w:pStyle w:val="SingleTxtG"/>
              <w:suppressAutoHyphens w:val="0"/>
              <w:spacing w:before="80" w:after="80" w:line="200" w:lineRule="exact"/>
              <w:ind w:left="0" w:right="0"/>
              <w:jc w:val="right"/>
              <w:rPr>
                <w:i/>
                <w:sz w:val="16"/>
                <w:lang w:val="en-US"/>
              </w:rPr>
            </w:pPr>
            <w:r w:rsidRPr="00222917">
              <w:rPr>
                <w:bCs/>
                <w:i/>
                <w:sz w:val="16"/>
                <w:lang w:val="en-US"/>
              </w:rPr>
              <w:t>Number</w:t>
            </w:r>
            <w:r w:rsidRPr="00222917">
              <w:rPr>
                <w:bCs/>
                <w:i/>
                <w:sz w:val="16"/>
                <w:lang w:val="en-US"/>
              </w:rPr>
              <w:br/>
            </w:r>
            <w:r w:rsidR="002D5BB0" w:rsidRPr="00222917">
              <w:rPr>
                <w:bCs/>
                <w:i/>
                <w:sz w:val="16"/>
                <w:lang w:val="en-US"/>
              </w:rPr>
              <w:t>of</w:t>
            </w:r>
            <w:r w:rsidR="00FA004C" w:rsidRPr="00222917">
              <w:rPr>
                <w:bCs/>
                <w:i/>
                <w:sz w:val="16"/>
                <w:lang w:val="en-US"/>
              </w:rPr>
              <w:t xml:space="preserve"> </w:t>
            </w:r>
            <w:r w:rsidR="002D5BB0" w:rsidRPr="00222917">
              <w:rPr>
                <w:bCs/>
                <w:i/>
                <w:sz w:val="16"/>
                <w:lang w:val="en-US"/>
              </w:rPr>
              <w:t>centers</w:t>
            </w:r>
          </w:p>
        </w:tc>
        <w:tc>
          <w:tcPr>
            <w:tcW w:w="851" w:type="dxa"/>
            <w:gridSpan w:val="3"/>
            <w:tcBorders>
              <w:top w:val="single" w:sz="4" w:space="0" w:color="auto"/>
              <w:bottom w:val="single" w:sz="4" w:space="0" w:color="000000"/>
              <w:right w:val="single" w:sz="24" w:space="0" w:color="FFFFFF"/>
            </w:tcBorders>
            <w:shd w:val="clear" w:color="auto" w:fill="auto"/>
            <w:vAlign w:val="bottom"/>
          </w:tcPr>
          <w:p w:rsidR="002D5BB0" w:rsidRPr="00222917" w:rsidRDefault="002D5BB0" w:rsidP="00451E64">
            <w:pPr>
              <w:pStyle w:val="SingleTxtG"/>
              <w:suppressAutoHyphens w:val="0"/>
              <w:spacing w:before="80" w:after="80" w:line="200" w:lineRule="exact"/>
              <w:ind w:left="0" w:right="0"/>
              <w:jc w:val="center"/>
              <w:rPr>
                <w:i/>
                <w:sz w:val="16"/>
                <w:lang w:val="en-US"/>
              </w:rPr>
            </w:pPr>
            <w:r w:rsidRPr="00222917">
              <w:rPr>
                <w:bCs/>
                <w:i/>
                <w:sz w:val="16"/>
                <w:lang w:val="en-US"/>
              </w:rPr>
              <w:t>Number of workers</w:t>
            </w:r>
          </w:p>
        </w:tc>
        <w:tc>
          <w:tcPr>
            <w:tcW w:w="851" w:type="dxa"/>
            <w:gridSpan w:val="3"/>
            <w:tcBorders>
              <w:top w:val="single" w:sz="4" w:space="0" w:color="auto"/>
              <w:left w:val="single" w:sz="24" w:space="0" w:color="FFFFFF"/>
              <w:bottom w:val="single" w:sz="4" w:space="0" w:color="000000"/>
            </w:tcBorders>
            <w:shd w:val="clear" w:color="auto" w:fill="auto"/>
            <w:vAlign w:val="bottom"/>
          </w:tcPr>
          <w:p w:rsidR="002D5BB0" w:rsidRPr="00222917" w:rsidRDefault="002D5BB0" w:rsidP="00451E64">
            <w:pPr>
              <w:pStyle w:val="SingleTxtG"/>
              <w:suppressAutoHyphens w:val="0"/>
              <w:spacing w:before="80" w:after="80" w:line="200" w:lineRule="exact"/>
              <w:ind w:left="0" w:right="0"/>
              <w:jc w:val="center"/>
              <w:rPr>
                <w:i/>
                <w:sz w:val="16"/>
                <w:lang w:val="en-US"/>
              </w:rPr>
            </w:pPr>
            <w:r w:rsidRPr="00222917">
              <w:rPr>
                <w:bCs/>
                <w:i/>
                <w:sz w:val="16"/>
                <w:lang w:val="en-US"/>
              </w:rPr>
              <w:t>Counseling performance</w:t>
            </w:r>
          </w:p>
        </w:tc>
        <w:tc>
          <w:tcPr>
            <w:tcW w:w="1021" w:type="dxa"/>
            <w:vMerge w:val="restart"/>
            <w:tcBorders>
              <w:top w:val="single" w:sz="4" w:space="0" w:color="auto"/>
              <w:bottom w:val="single" w:sz="12" w:space="0" w:color="auto"/>
            </w:tcBorders>
            <w:shd w:val="clear" w:color="auto" w:fill="auto"/>
            <w:vAlign w:val="bottom"/>
          </w:tcPr>
          <w:p w:rsidR="002D5BB0" w:rsidRPr="00222917" w:rsidRDefault="002D5BB0" w:rsidP="00FA004C">
            <w:pPr>
              <w:pStyle w:val="SingleTxtG"/>
              <w:suppressAutoHyphens w:val="0"/>
              <w:spacing w:before="80" w:after="80" w:line="200" w:lineRule="exact"/>
              <w:ind w:left="0" w:right="0"/>
              <w:jc w:val="right"/>
              <w:rPr>
                <w:i/>
                <w:sz w:val="16"/>
                <w:lang w:val="en-US"/>
              </w:rPr>
            </w:pPr>
            <w:r w:rsidRPr="00222917">
              <w:rPr>
                <w:bCs/>
                <w:i/>
                <w:sz w:val="16"/>
                <w:lang w:val="en-US"/>
              </w:rPr>
              <w:t>Average counseling performance per center</w:t>
            </w:r>
          </w:p>
        </w:tc>
      </w:tr>
      <w:tr w:rsidR="006E1F63" w:rsidRPr="00222917" w:rsidTr="00936860">
        <w:trPr>
          <w:trHeight w:val="240"/>
          <w:tblHeader/>
        </w:trPr>
        <w:tc>
          <w:tcPr>
            <w:tcW w:w="510" w:type="dxa"/>
            <w:vMerge/>
            <w:tcBorders>
              <w:top w:val="single" w:sz="12" w:space="0" w:color="auto"/>
              <w:bottom w:val="single" w:sz="12" w:space="0" w:color="000000"/>
            </w:tcBorders>
            <w:shd w:val="clear" w:color="auto" w:fill="auto"/>
            <w:vAlign w:val="bottom"/>
          </w:tcPr>
          <w:p w:rsidR="002D5BB0" w:rsidRPr="00222917" w:rsidRDefault="002D5BB0" w:rsidP="00FA004C">
            <w:pPr>
              <w:pStyle w:val="SingleTxtG"/>
              <w:suppressAutoHyphens w:val="0"/>
              <w:spacing w:before="40" w:after="40" w:line="220" w:lineRule="exact"/>
              <w:ind w:left="0" w:right="0"/>
              <w:jc w:val="left"/>
              <w:rPr>
                <w:sz w:val="18"/>
                <w:lang w:val="en-US"/>
              </w:rPr>
            </w:pPr>
          </w:p>
        </w:tc>
        <w:tc>
          <w:tcPr>
            <w:tcW w:w="737" w:type="dxa"/>
            <w:vMerge/>
            <w:tcBorders>
              <w:top w:val="single" w:sz="12" w:space="0" w:color="auto"/>
              <w:bottom w:val="single" w:sz="12" w:space="0" w:color="000000"/>
            </w:tcBorders>
            <w:shd w:val="clear" w:color="auto" w:fill="auto"/>
            <w:vAlign w:val="bottom"/>
          </w:tcPr>
          <w:p w:rsidR="002D5BB0" w:rsidRPr="00222917" w:rsidRDefault="002D5BB0" w:rsidP="00FA004C">
            <w:pPr>
              <w:pStyle w:val="SingleTxtG"/>
              <w:suppressAutoHyphens w:val="0"/>
              <w:spacing w:before="40" w:after="40" w:line="220" w:lineRule="exact"/>
              <w:ind w:left="0" w:right="0"/>
              <w:jc w:val="right"/>
              <w:rPr>
                <w:sz w:val="18"/>
                <w:lang w:val="en-US"/>
              </w:rPr>
            </w:pPr>
          </w:p>
        </w:tc>
        <w:tc>
          <w:tcPr>
            <w:tcW w:w="851" w:type="dxa"/>
            <w:tcBorders>
              <w:top w:val="single" w:sz="4" w:space="0" w:color="000000"/>
              <w:bottom w:val="single" w:sz="12" w:space="0" w:color="000000"/>
            </w:tcBorders>
            <w:shd w:val="clear" w:color="auto" w:fill="auto"/>
            <w:vAlign w:val="bottom"/>
          </w:tcPr>
          <w:p w:rsidR="002D5BB0" w:rsidRPr="00222917" w:rsidRDefault="002D5BB0" w:rsidP="00FA004C">
            <w:pPr>
              <w:pStyle w:val="SingleTxtG"/>
              <w:suppressAutoHyphens w:val="0"/>
              <w:spacing w:before="80" w:after="80" w:line="200" w:lineRule="exact"/>
              <w:ind w:left="0" w:right="0"/>
              <w:jc w:val="right"/>
              <w:rPr>
                <w:b/>
                <w:i/>
                <w:sz w:val="16"/>
                <w:szCs w:val="16"/>
                <w:lang w:val="en-US"/>
              </w:rPr>
            </w:pPr>
            <w:r w:rsidRPr="00222917">
              <w:rPr>
                <w:b/>
                <w:bCs/>
                <w:i/>
                <w:sz w:val="16"/>
                <w:szCs w:val="16"/>
                <w:lang w:val="en-US"/>
              </w:rPr>
              <w:t>Total</w:t>
            </w:r>
          </w:p>
        </w:tc>
        <w:tc>
          <w:tcPr>
            <w:tcW w:w="851" w:type="dxa"/>
            <w:tcBorders>
              <w:top w:val="single" w:sz="4" w:space="0" w:color="000000"/>
              <w:bottom w:val="single" w:sz="12" w:space="0" w:color="000000"/>
            </w:tcBorders>
            <w:shd w:val="clear" w:color="auto" w:fill="auto"/>
            <w:vAlign w:val="bottom"/>
          </w:tcPr>
          <w:p w:rsidR="002D5BB0" w:rsidRPr="00222917" w:rsidRDefault="002D5BB0" w:rsidP="00FA004C">
            <w:pPr>
              <w:pStyle w:val="SingleTxtG"/>
              <w:suppressAutoHyphens w:val="0"/>
              <w:spacing w:before="80" w:after="80" w:line="200" w:lineRule="exact"/>
              <w:ind w:left="0" w:right="0"/>
              <w:jc w:val="right"/>
              <w:rPr>
                <w:i/>
                <w:sz w:val="16"/>
                <w:szCs w:val="16"/>
                <w:lang w:val="en-US"/>
              </w:rPr>
            </w:pPr>
            <w:r w:rsidRPr="00222917">
              <w:rPr>
                <w:bCs/>
                <w:i/>
                <w:sz w:val="16"/>
                <w:szCs w:val="16"/>
                <w:lang w:val="en-US"/>
              </w:rPr>
              <w:t>Full-time workers</w:t>
            </w:r>
          </w:p>
        </w:tc>
        <w:tc>
          <w:tcPr>
            <w:tcW w:w="851" w:type="dxa"/>
            <w:tcBorders>
              <w:top w:val="single" w:sz="4" w:space="0" w:color="000000"/>
              <w:bottom w:val="single" w:sz="12" w:space="0" w:color="000000"/>
              <w:right w:val="single" w:sz="24" w:space="0" w:color="FFFFFF"/>
            </w:tcBorders>
            <w:shd w:val="clear" w:color="auto" w:fill="auto"/>
            <w:vAlign w:val="bottom"/>
          </w:tcPr>
          <w:p w:rsidR="002D5BB0" w:rsidRPr="00222917" w:rsidRDefault="002D5BB0" w:rsidP="00FA004C">
            <w:pPr>
              <w:pStyle w:val="SingleTxtG"/>
              <w:suppressAutoHyphens w:val="0"/>
              <w:spacing w:before="80" w:after="80" w:line="200" w:lineRule="exact"/>
              <w:ind w:left="0" w:right="0"/>
              <w:jc w:val="right"/>
              <w:rPr>
                <w:i/>
                <w:sz w:val="16"/>
                <w:szCs w:val="16"/>
                <w:lang w:val="en-US"/>
              </w:rPr>
            </w:pPr>
            <w:r w:rsidRPr="00222917">
              <w:rPr>
                <w:bCs/>
                <w:i/>
                <w:sz w:val="16"/>
                <w:szCs w:val="16"/>
                <w:lang w:val="en-US"/>
              </w:rPr>
              <w:t>Part-time volunteers</w:t>
            </w:r>
          </w:p>
        </w:tc>
        <w:tc>
          <w:tcPr>
            <w:tcW w:w="851" w:type="dxa"/>
            <w:tcBorders>
              <w:top w:val="single" w:sz="4" w:space="0" w:color="000000"/>
              <w:left w:val="single" w:sz="24" w:space="0" w:color="FFFFFF"/>
              <w:bottom w:val="single" w:sz="12" w:space="0" w:color="000000"/>
            </w:tcBorders>
            <w:shd w:val="clear" w:color="auto" w:fill="auto"/>
            <w:vAlign w:val="bottom"/>
          </w:tcPr>
          <w:p w:rsidR="002D5BB0" w:rsidRPr="00222917" w:rsidRDefault="002D5BB0" w:rsidP="00FA004C">
            <w:pPr>
              <w:pStyle w:val="SingleTxtG"/>
              <w:suppressAutoHyphens w:val="0"/>
              <w:spacing w:before="80" w:after="80" w:line="200" w:lineRule="exact"/>
              <w:ind w:left="0" w:right="0"/>
              <w:jc w:val="right"/>
              <w:rPr>
                <w:b/>
                <w:i/>
                <w:sz w:val="16"/>
                <w:szCs w:val="16"/>
                <w:lang w:val="en-US"/>
              </w:rPr>
            </w:pPr>
            <w:r w:rsidRPr="00222917">
              <w:rPr>
                <w:b/>
                <w:bCs/>
                <w:i/>
                <w:sz w:val="16"/>
                <w:szCs w:val="16"/>
                <w:lang w:val="en-US"/>
              </w:rPr>
              <w:t>Total</w:t>
            </w:r>
          </w:p>
        </w:tc>
        <w:tc>
          <w:tcPr>
            <w:tcW w:w="851" w:type="dxa"/>
            <w:tcBorders>
              <w:top w:val="single" w:sz="4" w:space="0" w:color="000000"/>
              <w:bottom w:val="single" w:sz="12" w:space="0" w:color="000000"/>
            </w:tcBorders>
            <w:shd w:val="clear" w:color="auto" w:fill="auto"/>
            <w:vAlign w:val="bottom"/>
          </w:tcPr>
          <w:p w:rsidR="002D5BB0" w:rsidRPr="00222917" w:rsidRDefault="002D5BB0" w:rsidP="00FA004C">
            <w:pPr>
              <w:pStyle w:val="SingleTxtG"/>
              <w:suppressAutoHyphens w:val="0"/>
              <w:spacing w:before="80" w:after="80" w:line="200" w:lineRule="exact"/>
              <w:ind w:left="0" w:right="0"/>
              <w:jc w:val="right"/>
              <w:rPr>
                <w:i/>
                <w:sz w:val="16"/>
                <w:szCs w:val="16"/>
                <w:lang w:val="en-US"/>
              </w:rPr>
            </w:pPr>
            <w:r w:rsidRPr="00222917">
              <w:rPr>
                <w:bCs/>
                <w:i/>
                <w:sz w:val="16"/>
                <w:szCs w:val="16"/>
                <w:lang w:val="en-US"/>
              </w:rPr>
              <w:t>Regarding sexual violence</w:t>
            </w:r>
          </w:p>
        </w:tc>
        <w:tc>
          <w:tcPr>
            <w:tcW w:w="851" w:type="dxa"/>
            <w:tcBorders>
              <w:top w:val="single" w:sz="4" w:space="0" w:color="000000"/>
              <w:bottom w:val="single" w:sz="12" w:space="0" w:color="000000"/>
            </w:tcBorders>
            <w:shd w:val="clear" w:color="auto" w:fill="auto"/>
            <w:vAlign w:val="bottom"/>
          </w:tcPr>
          <w:p w:rsidR="002D5BB0" w:rsidRPr="00222917" w:rsidRDefault="002D5BB0" w:rsidP="00FA004C">
            <w:pPr>
              <w:pStyle w:val="SingleTxtG"/>
              <w:suppressAutoHyphens w:val="0"/>
              <w:spacing w:before="80" w:after="80" w:line="200" w:lineRule="exact"/>
              <w:ind w:left="0" w:right="0"/>
              <w:jc w:val="right"/>
              <w:rPr>
                <w:i/>
                <w:sz w:val="16"/>
                <w:szCs w:val="16"/>
                <w:lang w:val="en-US"/>
              </w:rPr>
            </w:pPr>
            <w:r w:rsidRPr="00222917">
              <w:rPr>
                <w:bCs/>
                <w:i/>
                <w:sz w:val="16"/>
                <w:szCs w:val="16"/>
                <w:lang w:val="en-US"/>
              </w:rPr>
              <w:t>Regarding other matters</w:t>
            </w:r>
          </w:p>
        </w:tc>
        <w:tc>
          <w:tcPr>
            <w:tcW w:w="1021" w:type="dxa"/>
            <w:vMerge/>
            <w:tcBorders>
              <w:top w:val="single" w:sz="12" w:space="0" w:color="auto"/>
              <w:bottom w:val="single" w:sz="12" w:space="0" w:color="000000"/>
            </w:tcBorders>
            <w:shd w:val="clear" w:color="auto" w:fill="auto"/>
            <w:vAlign w:val="bottom"/>
          </w:tcPr>
          <w:p w:rsidR="002D5BB0" w:rsidRPr="00222917" w:rsidRDefault="002D5BB0" w:rsidP="00FA004C">
            <w:pPr>
              <w:pStyle w:val="SingleTxtG"/>
              <w:suppressAutoHyphens w:val="0"/>
              <w:spacing w:before="40" w:after="40" w:line="220" w:lineRule="exact"/>
              <w:ind w:left="0" w:right="0"/>
              <w:jc w:val="right"/>
              <w:rPr>
                <w:sz w:val="18"/>
                <w:lang w:val="en-US"/>
              </w:rPr>
            </w:pPr>
          </w:p>
        </w:tc>
      </w:tr>
      <w:tr w:rsidR="006E1F63" w:rsidRPr="00222917" w:rsidTr="0054076C">
        <w:trPr>
          <w:trHeight w:val="240"/>
        </w:trPr>
        <w:tc>
          <w:tcPr>
            <w:tcW w:w="510" w:type="dxa"/>
            <w:tcBorders>
              <w:top w:val="single" w:sz="12" w:space="0" w:color="000000"/>
            </w:tcBorders>
            <w:shd w:val="clear" w:color="auto" w:fill="auto"/>
          </w:tcPr>
          <w:p w:rsidR="002D5BB0" w:rsidRPr="00222917" w:rsidRDefault="002D5BB0" w:rsidP="00FA004C">
            <w:pPr>
              <w:pStyle w:val="SingleTxtG"/>
              <w:suppressAutoHyphens w:val="0"/>
              <w:spacing w:before="40" w:after="40" w:line="220" w:lineRule="exact"/>
              <w:ind w:left="0" w:right="0"/>
              <w:jc w:val="left"/>
              <w:rPr>
                <w:sz w:val="18"/>
                <w:lang w:val="en-US"/>
              </w:rPr>
            </w:pPr>
            <w:r w:rsidRPr="00222917">
              <w:rPr>
                <w:sz w:val="18"/>
                <w:lang w:val="en-US"/>
              </w:rPr>
              <w:t>2006</w:t>
            </w:r>
          </w:p>
        </w:tc>
        <w:tc>
          <w:tcPr>
            <w:tcW w:w="737" w:type="dxa"/>
            <w:tcBorders>
              <w:top w:val="single" w:sz="12" w:space="0" w:color="000000"/>
            </w:tcBorders>
            <w:shd w:val="clear" w:color="auto" w:fill="auto"/>
            <w:vAlign w:val="bottom"/>
          </w:tcPr>
          <w:p w:rsidR="002D5BB0" w:rsidRPr="00222917" w:rsidRDefault="002D5BB0" w:rsidP="00FA004C">
            <w:pPr>
              <w:pStyle w:val="SingleTxtG"/>
              <w:suppressAutoHyphens w:val="0"/>
              <w:spacing w:before="40" w:after="40" w:line="220" w:lineRule="exact"/>
              <w:ind w:left="0" w:right="0"/>
              <w:jc w:val="right"/>
              <w:rPr>
                <w:sz w:val="18"/>
                <w:lang w:val="en-US"/>
              </w:rPr>
            </w:pPr>
            <w:r w:rsidRPr="00222917">
              <w:rPr>
                <w:sz w:val="18"/>
                <w:lang w:val="en-US"/>
              </w:rPr>
              <w:t>202</w:t>
            </w:r>
          </w:p>
        </w:tc>
        <w:tc>
          <w:tcPr>
            <w:tcW w:w="851" w:type="dxa"/>
            <w:tcBorders>
              <w:top w:val="single" w:sz="12" w:space="0" w:color="000000"/>
            </w:tcBorders>
            <w:shd w:val="clear" w:color="auto" w:fill="auto"/>
            <w:vAlign w:val="bottom"/>
          </w:tcPr>
          <w:p w:rsidR="002D5BB0" w:rsidRPr="00222917" w:rsidRDefault="002D5BB0" w:rsidP="00FA004C">
            <w:pPr>
              <w:pStyle w:val="SingleTxtG"/>
              <w:suppressAutoHyphens w:val="0"/>
              <w:spacing w:before="40" w:after="40" w:line="220" w:lineRule="exact"/>
              <w:ind w:left="0" w:right="0"/>
              <w:jc w:val="right"/>
              <w:rPr>
                <w:b/>
                <w:sz w:val="18"/>
                <w:lang w:val="en-US"/>
              </w:rPr>
            </w:pPr>
            <w:r w:rsidRPr="00222917">
              <w:rPr>
                <w:b/>
                <w:sz w:val="18"/>
                <w:lang w:val="en-US"/>
              </w:rPr>
              <w:t>-</w:t>
            </w:r>
          </w:p>
        </w:tc>
        <w:tc>
          <w:tcPr>
            <w:tcW w:w="851" w:type="dxa"/>
            <w:tcBorders>
              <w:top w:val="single" w:sz="12" w:space="0" w:color="000000"/>
            </w:tcBorders>
            <w:shd w:val="clear" w:color="auto" w:fill="auto"/>
            <w:vAlign w:val="bottom"/>
          </w:tcPr>
          <w:p w:rsidR="002D5BB0" w:rsidRPr="00222917" w:rsidRDefault="002D5BB0" w:rsidP="00FA004C">
            <w:pPr>
              <w:pStyle w:val="SingleTxtG"/>
              <w:suppressAutoHyphens w:val="0"/>
              <w:spacing w:before="40" w:after="40" w:line="220" w:lineRule="exact"/>
              <w:ind w:left="0" w:right="0"/>
              <w:jc w:val="right"/>
              <w:rPr>
                <w:sz w:val="18"/>
                <w:lang w:val="en-US"/>
              </w:rPr>
            </w:pPr>
            <w:r w:rsidRPr="00222917">
              <w:rPr>
                <w:sz w:val="18"/>
                <w:lang w:val="en-US"/>
              </w:rPr>
              <w:t>-</w:t>
            </w:r>
          </w:p>
        </w:tc>
        <w:tc>
          <w:tcPr>
            <w:tcW w:w="851" w:type="dxa"/>
            <w:tcBorders>
              <w:top w:val="single" w:sz="12" w:space="0" w:color="000000"/>
            </w:tcBorders>
            <w:shd w:val="clear" w:color="auto" w:fill="auto"/>
            <w:vAlign w:val="bottom"/>
          </w:tcPr>
          <w:p w:rsidR="002D5BB0" w:rsidRPr="00222917" w:rsidRDefault="002D5BB0" w:rsidP="00FA004C">
            <w:pPr>
              <w:pStyle w:val="SingleTxtG"/>
              <w:suppressAutoHyphens w:val="0"/>
              <w:spacing w:before="40" w:after="40" w:line="220" w:lineRule="exact"/>
              <w:ind w:left="0" w:right="0"/>
              <w:jc w:val="right"/>
              <w:rPr>
                <w:sz w:val="18"/>
                <w:lang w:val="en-US"/>
              </w:rPr>
            </w:pPr>
            <w:r w:rsidRPr="00222917">
              <w:rPr>
                <w:sz w:val="18"/>
                <w:lang w:val="en-US"/>
              </w:rPr>
              <w:t>-</w:t>
            </w:r>
          </w:p>
        </w:tc>
        <w:tc>
          <w:tcPr>
            <w:tcW w:w="851" w:type="dxa"/>
            <w:tcBorders>
              <w:top w:val="single" w:sz="12" w:space="0" w:color="000000"/>
            </w:tcBorders>
            <w:shd w:val="clear" w:color="auto" w:fill="auto"/>
            <w:vAlign w:val="bottom"/>
          </w:tcPr>
          <w:p w:rsidR="002D5BB0" w:rsidRPr="00222917" w:rsidRDefault="002D5BB0" w:rsidP="00FA004C">
            <w:pPr>
              <w:pStyle w:val="SingleTxtG"/>
              <w:suppressAutoHyphens w:val="0"/>
              <w:spacing w:before="40" w:after="40" w:line="220" w:lineRule="exact"/>
              <w:ind w:left="0" w:right="0"/>
              <w:jc w:val="right"/>
              <w:rPr>
                <w:b/>
                <w:sz w:val="18"/>
                <w:lang w:val="en-US"/>
              </w:rPr>
            </w:pPr>
            <w:r w:rsidRPr="00222917">
              <w:rPr>
                <w:b/>
                <w:sz w:val="18"/>
                <w:lang w:val="en-US"/>
              </w:rPr>
              <w:t>119,655</w:t>
            </w:r>
          </w:p>
        </w:tc>
        <w:tc>
          <w:tcPr>
            <w:tcW w:w="851" w:type="dxa"/>
            <w:tcBorders>
              <w:top w:val="single" w:sz="12" w:space="0" w:color="000000"/>
            </w:tcBorders>
            <w:shd w:val="clear" w:color="auto" w:fill="auto"/>
            <w:vAlign w:val="bottom"/>
          </w:tcPr>
          <w:p w:rsidR="002D5BB0" w:rsidRPr="00222917" w:rsidRDefault="002D5BB0" w:rsidP="00FA004C">
            <w:pPr>
              <w:pStyle w:val="SingleTxtG"/>
              <w:suppressAutoHyphens w:val="0"/>
              <w:spacing w:before="40" w:after="40" w:line="220" w:lineRule="exact"/>
              <w:ind w:left="0" w:right="0"/>
              <w:jc w:val="right"/>
              <w:rPr>
                <w:sz w:val="18"/>
                <w:lang w:val="en-US"/>
              </w:rPr>
            </w:pPr>
            <w:r w:rsidRPr="00222917">
              <w:rPr>
                <w:sz w:val="18"/>
                <w:lang w:val="en-US"/>
              </w:rPr>
              <w:t>57,865</w:t>
            </w:r>
          </w:p>
        </w:tc>
        <w:tc>
          <w:tcPr>
            <w:tcW w:w="851" w:type="dxa"/>
            <w:tcBorders>
              <w:top w:val="single" w:sz="12" w:space="0" w:color="000000"/>
            </w:tcBorders>
            <w:shd w:val="clear" w:color="auto" w:fill="auto"/>
            <w:vAlign w:val="bottom"/>
          </w:tcPr>
          <w:p w:rsidR="002D5BB0" w:rsidRPr="00222917" w:rsidRDefault="002D5BB0" w:rsidP="00FA004C">
            <w:pPr>
              <w:pStyle w:val="SingleTxtG"/>
              <w:suppressAutoHyphens w:val="0"/>
              <w:spacing w:before="40" w:after="40" w:line="220" w:lineRule="exact"/>
              <w:ind w:left="0" w:right="0"/>
              <w:jc w:val="right"/>
              <w:rPr>
                <w:sz w:val="18"/>
                <w:lang w:val="en-US"/>
              </w:rPr>
            </w:pPr>
            <w:r w:rsidRPr="00222917">
              <w:rPr>
                <w:sz w:val="18"/>
                <w:lang w:val="en-US"/>
              </w:rPr>
              <w:t>61,790</w:t>
            </w:r>
          </w:p>
        </w:tc>
        <w:tc>
          <w:tcPr>
            <w:tcW w:w="1021" w:type="dxa"/>
            <w:tcBorders>
              <w:top w:val="single" w:sz="12" w:space="0" w:color="000000"/>
            </w:tcBorders>
            <w:shd w:val="clear" w:color="auto" w:fill="auto"/>
            <w:vAlign w:val="bottom"/>
          </w:tcPr>
          <w:p w:rsidR="002D5BB0" w:rsidRPr="00222917" w:rsidRDefault="002D5BB0" w:rsidP="00FA004C">
            <w:pPr>
              <w:pStyle w:val="SingleTxtG"/>
              <w:suppressAutoHyphens w:val="0"/>
              <w:spacing w:before="40" w:after="40" w:line="220" w:lineRule="exact"/>
              <w:ind w:left="0" w:right="0"/>
              <w:jc w:val="right"/>
              <w:rPr>
                <w:sz w:val="18"/>
                <w:lang w:val="en-US"/>
              </w:rPr>
            </w:pPr>
            <w:r w:rsidRPr="00222917">
              <w:rPr>
                <w:sz w:val="18"/>
                <w:lang w:val="en-US"/>
              </w:rPr>
              <w:t>592</w:t>
            </w:r>
          </w:p>
        </w:tc>
      </w:tr>
      <w:tr w:rsidR="006E1F63" w:rsidRPr="00222917" w:rsidTr="00FA004C">
        <w:trPr>
          <w:trHeight w:val="240"/>
        </w:trPr>
        <w:tc>
          <w:tcPr>
            <w:tcW w:w="510" w:type="dxa"/>
            <w:shd w:val="clear" w:color="auto" w:fill="auto"/>
          </w:tcPr>
          <w:p w:rsidR="002D5BB0" w:rsidRPr="00222917" w:rsidRDefault="002D5BB0" w:rsidP="00FA004C">
            <w:pPr>
              <w:pStyle w:val="SingleTxtG"/>
              <w:suppressAutoHyphens w:val="0"/>
              <w:spacing w:before="40" w:after="40" w:line="220" w:lineRule="exact"/>
              <w:ind w:left="0" w:right="0"/>
              <w:jc w:val="left"/>
              <w:rPr>
                <w:sz w:val="18"/>
                <w:lang w:val="en-US"/>
              </w:rPr>
            </w:pPr>
            <w:r w:rsidRPr="00222917">
              <w:rPr>
                <w:sz w:val="18"/>
                <w:lang w:val="en-US"/>
              </w:rPr>
              <w:t>2007</w:t>
            </w:r>
          </w:p>
        </w:tc>
        <w:tc>
          <w:tcPr>
            <w:tcW w:w="737" w:type="dxa"/>
            <w:shd w:val="clear" w:color="auto" w:fill="auto"/>
            <w:vAlign w:val="bottom"/>
          </w:tcPr>
          <w:p w:rsidR="002D5BB0" w:rsidRPr="00222917" w:rsidRDefault="002D5BB0" w:rsidP="00FA004C">
            <w:pPr>
              <w:pStyle w:val="SingleTxtG"/>
              <w:suppressAutoHyphens w:val="0"/>
              <w:spacing w:before="40" w:after="40" w:line="220" w:lineRule="exact"/>
              <w:ind w:left="0" w:right="0"/>
              <w:jc w:val="right"/>
              <w:rPr>
                <w:sz w:val="18"/>
                <w:lang w:val="en-US"/>
              </w:rPr>
            </w:pPr>
            <w:r w:rsidRPr="00222917">
              <w:rPr>
                <w:sz w:val="18"/>
                <w:lang w:val="en-US"/>
              </w:rPr>
              <w:t>202</w:t>
            </w:r>
          </w:p>
        </w:tc>
        <w:tc>
          <w:tcPr>
            <w:tcW w:w="851" w:type="dxa"/>
            <w:shd w:val="clear" w:color="auto" w:fill="auto"/>
            <w:vAlign w:val="bottom"/>
          </w:tcPr>
          <w:p w:rsidR="002D5BB0" w:rsidRPr="00222917" w:rsidRDefault="002D5BB0" w:rsidP="00FA004C">
            <w:pPr>
              <w:pStyle w:val="SingleTxtG"/>
              <w:suppressAutoHyphens w:val="0"/>
              <w:spacing w:before="40" w:after="40" w:line="220" w:lineRule="exact"/>
              <w:ind w:left="0" w:right="0"/>
              <w:jc w:val="right"/>
              <w:rPr>
                <w:b/>
                <w:sz w:val="18"/>
                <w:lang w:val="en-US"/>
              </w:rPr>
            </w:pPr>
            <w:r w:rsidRPr="00222917">
              <w:rPr>
                <w:b/>
                <w:sz w:val="18"/>
                <w:lang w:val="en-US"/>
              </w:rPr>
              <w:t>-</w:t>
            </w:r>
          </w:p>
        </w:tc>
        <w:tc>
          <w:tcPr>
            <w:tcW w:w="851" w:type="dxa"/>
            <w:shd w:val="clear" w:color="auto" w:fill="auto"/>
            <w:vAlign w:val="bottom"/>
          </w:tcPr>
          <w:p w:rsidR="002D5BB0" w:rsidRPr="00222917" w:rsidRDefault="002D5BB0" w:rsidP="00FA004C">
            <w:pPr>
              <w:pStyle w:val="SingleTxtG"/>
              <w:suppressAutoHyphens w:val="0"/>
              <w:spacing w:before="40" w:after="40" w:line="220" w:lineRule="exact"/>
              <w:ind w:left="0" w:right="0"/>
              <w:jc w:val="right"/>
              <w:rPr>
                <w:sz w:val="18"/>
                <w:lang w:val="en-US"/>
              </w:rPr>
            </w:pPr>
            <w:r w:rsidRPr="00222917">
              <w:rPr>
                <w:sz w:val="18"/>
                <w:lang w:val="en-US"/>
              </w:rPr>
              <w:t>-</w:t>
            </w:r>
          </w:p>
        </w:tc>
        <w:tc>
          <w:tcPr>
            <w:tcW w:w="851" w:type="dxa"/>
            <w:shd w:val="clear" w:color="auto" w:fill="auto"/>
            <w:vAlign w:val="bottom"/>
          </w:tcPr>
          <w:p w:rsidR="002D5BB0" w:rsidRPr="00222917" w:rsidRDefault="002D5BB0" w:rsidP="00FA004C">
            <w:pPr>
              <w:pStyle w:val="SingleTxtG"/>
              <w:suppressAutoHyphens w:val="0"/>
              <w:spacing w:before="40" w:after="40" w:line="220" w:lineRule="exact"/>
              <w:ind w:left="0" w:right="0"/>
              <w:jc w:val="right"/>
              <w:rPr>
                <w:sz w:val="18"/>
                <w:lang w:val="en-US"/>
              </w:rPr>
            </w:pPr>
            <w:r w:rsidRPr="00222917">
              <w:rPr>
                <w:sz w:val="18"/>
                <w:lang w:val="en-US"/>
              </w:rPr>
              <w:t>-</w:t>
            </w:r>
          </w:p>
        </w:tc>
        <w:tc>
          <w:tcPr>
            <w:tcW w:w="851" w:type="dxa"/>
            <w:shd w:val="clear" w:color="auto" w:fill="auto"/>
            <w:vAlign w:val="bottom"/>
          </w:tcPr>
          <w:p w:rsidR="002D5BB0" w:rsidRPr="00222917" w:rsidRDefault="002D5BB0" w:rsidP="00FA004C">
            <w:pPr>
              <w:pStyle w:val="SingleTxtG"/>
              <w:suppressAutoHyphens w:val="0"/>
              <w:spacing w:before="40" w:after="40" w:line="220" w:lineRule="exact"/>
              <w:ind w:left="0" w:right="0"/>
              <w:jc w:val="right"/>
              <w:rPr>
                <w:b/>
                <w:sz w:val="18"/>
                <w:lang w:val="en-US"/>
              </w:rPr>
            </w:pPr>
            <w:r w:rsidRPr="00222917">
              <w:rPr>
                <w:b/>
                <w:sz w:val="18"/>
                <w:lang w:val="en-US"/>
              </w:rPr>
              <w:t>124,591</w:t>
            </w:r>
          </w:p>
        </w:tc>
        <w:tc>
          <w:tcPr>
            <w:tcW w:w="851" w:type="dxa"/>
            <w:shd w:val="clear" w:color="auto" w:fill="auto"/>
            <w:vAlign w:val="bottom"/>
          </w:tcPr>
          <w:p w:rsidR="002D5BB0" w:rsidRPr="00222917" w:rsidRDefault="002D5BB0" w:rsidP="00FA004C">
            <w:pPr>
              <w:pStyle w:val="SingleTxtG"/>
              <w:suppressAutoHyphens w:val="0"/>
              <w:spacing w:before="40" w:after="40" w:line="220" w:lineRule="exact"/>
              <w:ind w:left="0" w:right="0"/>
              <w:jc w:val="right"/>
              <w:rPr>
                <w:sz w:val="18"/>
                <w:lang w:val="en-US"/>
              </w:rPr>
            </w:pPr>
            <w:r w:rsidRPr="00222917">
              <w:rPr>
                <w:sz w:val="18"/>
                <w:lang w:val="en-US"/>
              </w:rPr>
              <w:t>58,628</w:t>
            </w:r>
          </w:p>
        </w:tc>
        <w:tc>
          <w:tcPr>
            <w:tcW w:w="851" w:type="dxa"/>
            <w:shd w:val="clear" w:color="auto" w:fill="auto"/>
            <w:vAlign w:val="bottom"/>
          </w:tcPr>
          <w:p w:rsidR="002D5BB0" w:rsidRPr="00222917" w:rsidRDefault="002D5BB0" w:rsidP="00FA004C">
            <w:pPr>
              <w:pStyle w:val="SingleTxtG"/>
              <w:suppressAutoHyphens w:val="0"/>
              <w:spacing w:before="40" w:after="40" w:line="220" w:lineRule="exact"/>
              <w:ind w:left="0" w:right="0"/>
              <w:jc w:val="right"/>
              <w:rPr>
                <w:sz w:val="18"/>
                <w:lang w:val="en-US"/>
              </w:rPr>
            </w:pPr>
            <w:r w:rsidRPr="00222917">
              <w:rPr>
                <w:sz w:val="18"/>
                <w:lang w:val="en-US"/>
              </w:rPr>
              <w:t>65,963</w:t>
            </w:r>
          </w:p>
        </w:tc>
        <w:tc>
          <w:tcPr>
            <w:tcW w:w="1021" w:type="dxa"/>
            <w:shd w:val="clear" w:color="auto" w:fill="auto"/>
            <w:vAlign w:val="bottom"/>
          </w:tcPr>
          <w:p w:rsidR="002D5BB0" w:rsidRPr="00222917" w:rsidRDefault="002D5BB0" w:rsidP="00FA004C">
            <w:pPr>
              <w:pStyle w:val="SingleTxtG"/>
              <w:suppressAutoHyphens w:val="0"/>
              <w:spacing w:before="40" w:after="40" w:line="220" w:lineRule="exact"/>
              <w:ind w:left="0" w:right="0"/>
              <w:jc w:val="right"/>
              <w:rPr>
                <w:sz w:val="18"/>
                <w:lang w:val="en-US"/>
              </w:rPr>
            </w:pPr>
            <w:r w:rsidRPr="00222917">
              <w:rPr>
                <w:sz w:val="18"/>
                <w:lang w:val="en-US"/>
              </w:rPr>
              <w:t>617</w:t>
            </w:r>
          </w:p>
        </w:tc>
      </w:tr>
      <w:tr w:rsidR="006E1F63" w:rsidRPr="00222917" w:rsidTr="00FA004C">
        <w:trPr>
          <w:trHeight w:val="240"/>
        </w:trPr>
        <w:tc>
          <w:tcPr>
            <w:tcW w:w="510" w:type="dxa"/>
            <w:shd w:val="clear" w:color="auto" w:fill="auto"/>
          </w:tcPr>
          <w:p w:rsidR="002D5BB0" w:rsidRPr="00222917" w:rsidRDefault="002D5BB0" w:rsidP="00FA004C">
            <w:pPr>
              <w:pStyle w:val="SingleTxtG"/>
              <w:suppressAutoHyphens w:val="0"/>
              <w:spacing w:before="40" w:after="40" w:line="220" w:lineRule="exact"/>
              <w:ind w:left="0" w:right="0"/>
              <w:jc w:val="left"/>
              <w:rPr>
                <w:sz w:val="18"/>
                <w:lang w:val="en-US"/>
              </w:rPr>
            </w:pPr>
            <w:r w:rsidRPr="00222917">
              <w:rPr>
                <w:sz w:val="18"/>
                <w:lang w:val="en-US"/>
              </w:rPr>
              <w:t>2008</w:t>
            </w:r>
          </w:p>
        </w:tc>
        <w:tc>
          <w:tcPr>
            <w:tcW w:w="737" w:type="dxa"/>
            <w:shd w:val="clear" w:color="auto" w:fill="auto"/>
            <w:vAlign w:val="bottom"/>
          </w:tcPr>
          <w:p w:rsidR="002D5BB0" w:rsidRPr="00222917" w:rsidRDefault="002D5BB0" w:rsidP="00CB74BF">
            <w:pPr>
              <w:pStyle w:val="SingleTxtG"/>
              <w:suppressAutoHyphens w:val="0"/>
              <w:spacing w:before="40" w:after="40" w:line="220" w:lineRule="exact"/>
              <w:ind w:left="0" w:right="0"/>
              <w:jc w:val="right"/>
              <w:rPr>
                <w:sz w:val="18"/>
                <w:lang w:val="en-US"/>
              </w:rPr>
            </w:pPr>
            <w:r w:rsidRPr="00222917">
              <w:rPr>
                <w:sz w:val="18"/>
                <w:lang w:val="en-US"/>
              </w:rPr>
              <w:t>196</w:t>
            </w:r>
          </w:p>
        </w:tc>
        <w:tc>
          <w:tcPr>
            <w:tcW w:w="851" w:type="dxa"/>
            <w:shd w:val="clear" w:color="auto" w:fill="auto"/>
            <w:vAlign w:val="bottom"/>
          </w:tcPr>
          <w:p w:rsidR="002D5BB0" w:rsidRPr="00222917" w:rsidRDefault="002D5BB0" w:rsidP="00FA004C">
            <w:pPr>
              <w:pStyle w:val="SingleTxtG"/>
              <w:suppressAutoHyphens w:val="0"/>
              <w:spacing w:before="40" w:after="40" w:line="220" w:lineRule="exact"/>
              <w:ind w:left="0" w:right="0"/>
              <w:jc w:val="right"/>
              <w:rPr>
                <w:b/>
                <w:sz w:val="18"/>
                <w:lang w:val="en-US"/>
              </w:rPr>
            </w:pPr>
            <w:r w:rsidRPr="00222917">
              <w:rPr>
                <w:b/>
                <w:sz w:val="18"/>
                <w:lang w:val="en-US"/>
              </w:rPr>
              <w:t>1,447</w:t>
            </w:r>
          </w:p>
        </w:tc>
        <w:tc>
          <w:tcPr>
            <w:tcW w:w="851" w:type="dxa"/>
            <w:shd w:val="clear" w:color="auto" w:fill="auto"/>
            <w:vAlign w:val="bottom"/>
          </w:tcPr>
          <w:p w:rsidR="002D5BB0" w:rsidRPr="00222917" w:rsidRDefault="002D5BB0" w:rsidP="00FA004C">
            <w:pPr>
              <w:pStyle w:val="SingleTxtG"/>
              <w:suppressAutoHyphens w:val="0"/>
              <w:spacing w:before="40" w:after="40" w:line="220" w:lineRule="exact"/>
              <w:ind w:left="0" w:right="0"/>
              <w:jc w:val="right"/>
              <w:rPr>
                <w:sz w:val="18"/>
                <w:lang w:val="en-US"/>
              </w:rPr>
            </w:pPr>
            <w:r w:rsidRPr="00222917">
              <w:rPr>
                <w:sz w:val="18"/>
                <w:lang w:val="en-US"/>
              </w:rPr>
              <w:t>594</w:t>
            </w:r>
          </w:p>
        </w:tc>
        <w:tc>
          <w:tcPr>
            <w:tcW w:w="851" w:type="dxa"/>
            <w:shd w:val="clear" w:color="auto" w:fill="auto"/>
            <w:vAlign w:val="bottom"/>
          </w:tcPr>
          <w:p w:rsidR="002D5BB0" w:rsidRPr="00222917" w:rsidRDefault="002D5BB0" w:rsidP="00FA004C">
            <w:pPr>
              <w:pStyle w:val="SingleTxtG"/>
              <w:suppressAutoHyphens w:val="0"/>
              <w:spacing w:before="40" w:after="40" w:line="220" w:lineRule="exact"/>
              <w:ind w:left="0" w:right="0"/>
              <w:jc w:val="right"/>
              <w:rPr>
                <w:sz w:val="18"/>
                <w:lang w:val="en-US"/>
              </w:rPr>
            </w:pPr>
            <w:r w:rsidRPr="00222917">
              <w:rPr>
                <w:sz w:val="18"/>
                <w:lang w:val="en-US"/>
              </w:rPr>
              <w:t>853</w:t>
            </w:r>
          </w:p>
        </w:tc>
        <w:tc>
          <w:tcPr>
            <w:tcW w:w="851" w:type="dxa"/>
            <w:shd w:val="clear" w:color="auto" w:fill="auto"/>
            <w:vAlign w:val="bottom"/>
          </w:tcPr>
          <w:p w:rsidR="002D5BB0" w:rsidRPr="00222917" w:rsidRDefault="002D5BB0" w:rsidP="00FA004C">
            <w:pPr>
              <w:pStyle w:val="SingleTxtG"/>
              <w:suppressAutoHyphens w:val="0"/>
              <w:spacing w:before="40" w:after="40" w:line="220" w:lineRule="exact"/>
              <w:ind w:left="0" w:right="0"/>
              <w:jc w:val="right"/>
              <w:rPr>
                <w:b/>
                <w:sz w:val="18"/>
                <w:lang w:val="en-US"/>
              </w:rPr>
            </w:pPr>
            <w:r w:rsidRPr="00222917">
              <w:rPr>
                <w:b/>
                <w:sz w:val="18"/>
                <w:lang w:val="en-US"/>
              </w:rPr>
              <w:t>145,247</w:t>
            </w:r>
          </w:p>
        </w:tc>
        <w:tc>
          <w:tcPr>
            <w:tcW w:w="851" w:type="dxa"/>
            <w:shd w:val="clear" w:color="auto" w:fill="auto"/>
            <w:vAlign w:val="bottom"/>
          </w:tcPr>
          <w:p w:rsidR="002D5BB0" w:rsidRPr="00222917" w:rsidRDefault="002D5BB0" w:rsidP="00FA004C">
            <w:pPr>
              <w:pStyle w:val="SingleTxtG"/>
              <w:suppressAutoHyphens w:val="0"/>
              <w:spacing w:before="40" w:after="40" w:line="220" w:lineRule="exact"/>
              <w:ind w:left="0" w:right="0"/>
              <w:jc w:val="right"/>
              <w:rPr>
                <w:sz w:val="18"/>
                <w:lang w:val="en-US"/>
              </w:rPr>
            </w:pPr>
            <w:r w:rsidRPr="00222917">
              <w:rPr>
                <w:sz w:val="18"/>
                <w:lang w:val="en-US"/>
              </w:rPr>
              <w:t>69,115</w:t>
            </w:r>
          </w:p>
        </w:tc>
        <w:tc>
          <w:tcPr>
            <w:tcW w:w="851" w:type="dxa"/>
            <w:shd w:val="clear" w:color="auto" w:fill="auto"/>
            <w:vAlign w:val="bottom"/>
          </w:tcPr>
          <w:p w:rsidR="002D5BB0" w:rsidRPr="00222917" w:rsidRDefault="002D5BB0" w:rsidP="00FA004C">
            <w:pPr>
              <w:pStyle w:val="SingleTxtG"/>
              <w:suppressAutoHyphens w:val="0"/>
              <w:spacing w:before="40" w:after="40" w:line="220" w:lineRule="exact"/>
              <w:ind w:left="0" w:right="0"/>
              <w:jc w:val="right"/>
              <w:rPr>
                <w:sz w:val="18"/>
                <w:lang w:val="en-US"/>
              </w:rPr>
            </w:pPr>
            <w:r w:rsidRPr="00222917">
              <w:rPr>
                <w:sz w:val="18"/>
                <w:lang w:val="en-US"/>
              </w:rPr>
              <w:t>76,132</w:t>
            </w:r>
          </w:p>
        </w:tc>
        <w:tc>
          <w:tcPr>
            <w:tcW w:w="1021" w:type="dxa"/>
            <w:shd w:val="clear" w:color="auto" w:fill="auto"/>
            <w:vAlign w:val="bottom"/>
          </w:tcPr>
          <w:p w:rsidR="002D5BB0" w:rsidRPr="00222917" w:rsidRDefault="002D5BB0" w:rsidP="00FA004C">
            <w:pPr>
              <w:pStyle w:val="SingleTxtG"/>
              <w:suppressAutoHyphens w:val="0"/>
              <w:spacing w:before="40" w:after="40" w:line="220" w:lineRule="exact"/>
              <w:ind w:left="0" w:right="0"/>
              <w:jc w:val="right"/>
              <w:rPr>
                <w:sz w:val="18"/>
                <w:lang w:val="en-US"/>
              </w:rPr>
            </w:pPr>
            <w:r w:rsidRPr="00222917">
              <w:rPr>
                <w:sz w:val="18"/>
                <w:lang w:val="en-US"/>
              </w:rPr>
              <w:t>741</w:t>
            </w:r>
          </w:p>
        </w:tc>
      </w:tr>
      <w:tr w:rsidR="006E1F63" w:rsidRPr="00222917" w:rsidTr="00FA004C">
        <w:trPr>
          <w:trHeight w:val="240"/>
        </w:trPr>
        <w:tc>
          <w:tcPr>
            <w:tcW w:w="510" w:type="dxa"/>
            <w:shd w:val="clear" w:color="auto" w:fill="auto"/>
          </w:tcPr>
          <w:p w:rsidR="002D5BB0" w:rsidRPr="00222917" w:rsidRDefault="002D5BB0" w:rsidP="00FA004C">
            <w:pPr>
              <w:pStyle w:val="SingleTxtG"/>
              <w:suppressAutoHyphens w:val="0"/>
              <w:spacing w:before="40" w:after="40" w:line="220" w:lineRule="exact"/>
              <w:ind w:left="0" w:right="0"/>
              <w:jc w:val="left"/>
              <w:rPr>
                <w:sz w:val="18"/>
                <w:lang w:val="en-US"/>
              </w:rPr>
            </w:pPr>
            <w:r w:rsidRPr="00222917">
              <w:rPr>
                <w:sz w:val="18"/>
                <w:lang w:val="en-US"/>
              </w:rPr>
              <w:t>2009</w:t>
            </w:r>
          </w:p>
        </w:tc>
        <w:tc>
          <w:tcPr>
            <w:tcW w:w="737" w:type="dxa"/>
            <w:shd w:val="clear" w:color="auto" w:fill="auto"/>
            <w:vAlign w:val="bottom"/>
          </w:tcPr>
          <w:p w:rsidR="002D5BB0" w:rsidRPr="00222917" w:rsidRDefault="002D5BB0" w:rsidP="00FA004C">
            <w:pPr>
              <w:pStyle w:val="SingleTxtG"/>
              <w:suppressAutoHyphens w:val="0"/>
              <w:spacing w:before="40" w:after="40" w:line="220" w:lineRule="exact"/>
              <w:ind w:left="0" w:right="0"/>
              <w:jc w:val="right"/>
              <w:rPr>
                <w:sz w:val="18"/>
                <w:lang w:val="en-US"/>
              </w:rPr>
            </w:pPr>
            <w:r w:rsidRPr="00222917">
              <w:rPr>
                <w:sz w:val="18"/>
                <w:lang w:val="en-US"/>
              </w:rPr>
              <w:t>199</w:t>
            </w:r>
          </w:p>
        </w:tc>
        <w:tc>
          <w:tcPr>
            <w:tcW w:w="851" w:type="dxa"/>
            <w:shd w:val="clear" w:color="auto" w:fill="auto"/>
            <w:vAlign w:val="bottom"/>
          </w:tcPr>
          <w:p w:rsidR="002D5BB0" w:rsidRPr="00222917" w:rsidRDefault="002D5BB0" w:rsidP="006334E9">
            <w:pPr>
              <w:pStyle w:val="SingleTxtG"/>
              <w:suppressAutoHyphens w:val="0"/>
              <w:spacing w:before="40" w:after="40" w:line="220" w:lineRule="exact"/>
              <w:ind w:left="0" w:right="0"/>
              <w:jc w:val="right"/>
              <w:rPr>
                <w:b/>
                <w:sz w:val="18"/>
                <w:lang w:val="en-US"/>
              </w:rPr>
            </w:pPr>
            <w:r w:rsidRPr="00222917">
              <w:rPr>
                <w:b/>
                <w:sz w:val="18"/>
                <w:lang w:val="en-US"/>
              </w:rPr>
              <w:t>1,476</w:t>
            </w:r>
          </w:p>
        </w:tc>
        <w:tc>
          <w:tcPr>
            <w:tcW w:w="851" w:type="dxa"/>
            <w:shd w:val="clear" w:color="auto" w:fill="auto"/>
            <w:vAlign w:val="bottom"/>
          </w:tcPr>
          <w:p w:rsidR="002D5BB0" w:rsidRPr="00222917" w:rsidRDefault="002D5BB0" w:rsidP="00FA004C">
            <w:pPr>
              <w:pStyle w:val="SingleTxtG"/>
              <w:suppressAutoHyphens w:val="0"/>
              <w:spacing w:before="40" w:after="40" w:line="220" w:lineRule="exact"/>
              <w:ind w:left="0" w:right="0"/>
              <w:jc w:val="right"/>
              <w:rPr>
                <w:sz w:val="18"/>
                <w:lang w:val="en-US"/>
              </w:rPr>
            </w:pPr>
            <w:r w:rsidRPr="00222917">
              <w:rPr>
                <w:sz w:val="18"/>
                <w:lang w:val="en-US"/>
              </w:rPr>
              <w:t>578</w:t>
            </w:r>
          </w:p>
        </w:tc>
        <w:tc>
          <w:tcPr>
            <w:tcW w:w="851" w:type="dxa"/>
            <w:shd w:val="clear" w:color="auto" w:fill="auto"/>
            <w:vAlign w:val="bottom"/>
          </w:tcPr>
          <w:p w:rsidR="002D5BB0" w:rsidRPr="00222917" w:rsidRDefault="002D5BB0" w:rsidP="00FA004C">
            <w:pPr>
              <w:pStyle w:val="SingleTxtG"/>
              <w:suppressAutoHyphens w:val="0"/>
              <w:spacing w:before="40" w:after="40" w:line="220" w:lineRule="exact"/>
              <w:ind w:left="0" w:right="0"/>
              <w:jc w:val="right"/>
              <w:rPr>
                <w:sz w:val="18"/>
                <w:lang w:val="en-US"/>
              </w:rPr>
            </w:pPr>
            <w:r w:rsidRPr="00222917">
              <w:rPr>
                <w:sz w:val="18"/>
                <w:lang w:val="en-US"/>
              </w:rPr>
              <w:t>898</w:t>
            </w:r>
          </w:p>
        </w:tc>
        <w:tc>
          <w:tcPr>
            <w:tcW w:w="851" w:type="dxa"/>
            <w:shd w:val="clear" w:color="auto" w:fill="auto"/>
            <w:vAlign w:val="bottom"/>
          </w:tcPr>
          <w:p w:rsidR="002D5BB0" w:rsidRPr="00222917" w:rsidRDefault="002D5BB0" w:rsidP="00FA004C">
            <w:pPr>
              <w:pStyle w:val="SingleTxtG"/>
              <w:suppressAutoHyphens w:val="0"/>
              <w:spacing w:before="40" w:after="40" w:line="220" w:lineRule="exact"/>
              <w:ind w:left="0" w:right="0"/>
              <w:jc w:val="right"/>
              <w:rPr>
                <w:b/>
                <w:sz w:val="18"/>
                <w:lang w:val="en-US"/>
              </w:rPr>
            </w:pPr>
            <w:r w:rsidRPr="00222917">
              <w:rPr>
                <w:b/>
                <w:sz w:val="18"/>
                <w:lang w:val="en-US"/>
              </w:rPr>
              <w:t>155,902</w:t>
            </w:r>
          </w:p>
        </w:tc>
        <w:tc>
          <w:tcPr>
            <w:tcW w:w="851" w:type="dxa"/>
            <w:shd w:val="clear" w:color="auto" w:fill="auto"/>
            <w:vAlign w:val="bottom"/>
          </w:tcPr>
          <w:p w:rsidR="002D5BB0" w:rsidRPr="00222917" w:rsidRDefault="002D5BB0" w:rsidP="00FA004C">
            <w:pPr>
              <w:pStyle w:val="SingleTxtG"/>
              <w:suppressAutoHyphens w:val="0"/>
              <w:spacing w:before="40" w:after="40" w:line="220" w:lineRule="exact"/>
              <w:ind w:left="0" w:right="0"/>
              <w:jc w:val="right"/>
              <w:rPr>
                <w:sz w:val="18"/>
                <w:lang w:val="en-US"/>
              </w:rPr>
            </w:pPr>
            <w:r w:rsidRPr="00222917">
              <w:rPr>
                <w:sz w:val="18"/>
                <w:lang w:val="en-US"/>
              </w:rPr>
              <w:t>67,221</w:t>
            </w:r>
          </w:p>
        </w:tc>
        <w:tc>
          <w:tcPr>
            <w:tcW w:w="851" w:type="dxa"/>
            <w:shd w:val="clear" w:color="auto" w:fill="auto"/>
            <w:vAlign w:val="bottom"/>
          </w:tcPr>
          <w:p w:rsidR="002D5BB0" w:rsidRPr="00222917" w:rsidRDefault="002D5BB0" w:rsidP="00FA004C">
            <w:pPr>
              <w:pStyle w:val="SingleTxtG"/>
              <w:suppressAutoHyphens w:val="0"/>
              <w:spacing w:before="40" w:after="40" w:line="220" w:lineRule="exact"/>
              <w:ind w:left="0" w:right="0"/>
              <w:jc w:val="right"/>
              <w:rPr>
                <w:sz w:val="18"/>
                <w:lang w:val="en-US"/>
              </w:rPr>
            </w:pPr>
            <w:r w:rsidRPr="00222917">
              <w:rPr>
                <w:sz w:val="18"/>
                <w:lang w:val="en-US"/>
              </w:rPr>
              <w:t>88,681</w:t>
            </w:r>
          </w:p>
        </w:tc>
        <w:tc>
          <w:tcPr>
            <w:tcW w:w="1021" w:type="dxa"/>
            <w:shd w:val="clear" w:color="auto" w:fill="auto"/>
            <w:vAlign w:val="bottom"/>
          </w:tcPr>
          <w:p w:rsidR="002D5BB0" w:rsidRPr="00222917" w:rsidRDefault="002D5BB0" w:rsidP="00FA004C">
            <w:pPr>
              <w:pStyle w:val="SingleTxtG"/>
              <w:suppressAutoHyphens w:val="0"/>
              <w:spacing w:before="40" w:after="40" w:line="220" w:lineRule="exact"/>
              <w:ind w:left="0" w:right="0"/>
              <w:jc w:val="right"/>
              <w:rPr>
                <w:sz w:val="18"/>
                <w:lang w:val="en-US"/>
              </w:rPr>
            </w:pPr>
            <w:r w:rsidRPr="00222917">
              <w:rPr>
                <w:sz w:val="18"/>
                <w:lang w:val="en-US"/>
              </w:rPr>
              <w:t>775</w:t>
            </w:r>
          </w:p>
        </w:tc>
      </w:tr>
      <w:tr w:rsidR="006E1F63" w:rsidRPr="00222917" w:rsidTr="00FA004C">
        <w:trPr>
          <w:trHeight w:val="240"/>
        </w:trPr>
        <w:tc>
          <w:tcPr>
            <w:tcW w:w="510" w:type="dxa"/>
            <w:tcBorders>
              <w:bottom w:val="single" w:sz="12" w:space="0" w:color="auto"/>
            </w:tcBorders>
            <w:shd w:val="clear" w:color="auto" w:fill="auto"/>
          </w:tcPr>
          <w:p w:rsidR="002D5BB0" w:rsidRPr="00222917" w:rsidRDefault="002D5BB0" w:rsidP="00FA004C">
            <w:pPr>
              <w:pStyle w:val="SingleTxtG"/>
              <w:suppressAutoHyphens w:val="0"/>
              <w:spacing w:before="40" w:after="40" w:line="220" w:lineRule="exact"/>
              <w:ind w:left="0" w:right="0"/>
              <w:jc w:val="left"/>
              <w:rPr>
                <w:sz w:val="18"/>
                <w:lang w:val="en-US"/>
              </w:rPr>
            </w:pPr>
            <w:r w:rsidRPr="00222917">
              <w:rPr>
                <w:sz w:val="18"/>
                <w:lang w:val="en-US"/>
              </w:rPr>
              <w:t>2010</w:t>
            </w:r>
          </w:p>
        </w:tc>
        <w:tc>
          <w:tcPr>
            <w:tcW w:w="737" w:type="dxa"/>
            <w:tcBorders>
              <w:bottom w:val="single" w:sz="12" w:space="0" w:color="auto"/>
            </w:tcBorders>
            <w:shd w:val="clear" w:color="auto" w:fill="auto"/>
            <w:vAlign w:val="bottom"/>
          </w:tcPr>
          <w:p w:rsidR="002D5BB0" w:rsidRPr="00222917" w:rsidRDefault="002D5BB0" w:rsidP="00FA004C">
            <w:pPr>
              <w:pStyle w:val="SingleTxtG"/>
              <w:suppressAutoHyphens w:val="0"/>
              <w:spacing w:before="40" w:after="40" w:line="220" w:lineRule="exact"/>
              <w:ind w:left="0" w:right="0"/>
              <w:jc w:val="right"/>
              <w:rPr>
                <w:sz w:val="18"/>
                <w:lang w:val="en-US"/>
              </w:rPr>
            </w:pPr>
            <w:r w:rsidRPr="00222917">
              <w:rPr>
                <w:sz w:val="18"/>
                <w:lang w:val="en-US"/>
              </w:rPr>
              <w:t>152</w:t>
            </w:r>
          </w:p>
        </w:tc>
        <w:tc>
          <w:tcPr>
            <w:tcW w:w="851" w:type="dxa"/>
            <w:tcBorders>
              <w:bottom w:val="single" w:sz="12" w:space="0" w:color="auto"/>
            </w:tcBorders>
            <w:shd w:val="clear" w:color="auto" w:fill="auto"/>
            <w:vAlign w:val="bottom"/>
          </w:tcPr>
          <w:p w:rsidR="002D5BB0" w:rsidRPr="00222917" w:rsidRDefault="002D5BB0" w:rsidP="00FA004C">
            <w:pPr>
              <w:pStyle w:val="SingleTxtG"/>
              <w:suppressAutoHyphens w:val="0"/>
              <w:spacing w:before="40" w:after="40" w:line="220" w:lineRule="exact"/>
              <w:ind w:left="0" w:right="0"/>
              <w:jc w:val="right"/>
              <w:rPr>
                <w:b/>
                <w:sz w:val="18"/>
                <w:lang w:val="en-US"/>
              </w:rPr>
            </w:pPr>
            <w:r w:rsidRPr="00222917">
              <w:rPr>
                <w:b/>
                <w:sz w:val="18"/>
                <w:lang w:val="en-US"/>
              </w:rPr>
              <w:t>1,156</w:t>
            </w:r>
          </w:p>
        </w:tc>
        <w:tc>
          <w:tcPr>
            <w:tcW w:w="851" w:type="dxa"/>
            <w:tcBorders>
              <w:bottom w:val="single" w:sz="12" w:space="0" w:color="auto"/>
            </w:tcBorders>
            <w:shd w:val="clear" w:color="auto" w:fill="auto"/>
            <w:vAlign w:val="bottom"/>
          </w:tcPr>
          <w:p w:rsidR="002D5BB0" w:rsidRPr="00222917" w:rsidRDefault="002D5BB0" w:rsidP="00FA004C">
            <w:pPr>
              <w:pStyle w:val="SingleTxtG"/>
              <w:suppressAutoHyphens w:val="0"/>
              <w:spacing w:before="40" w:after="40" w:line="220" w:lineRule="exact"/>
              <w:ind w:left="0" w:right="0"/>
              <w:jc w:val="right"/>
              <w:rPr>
                <w:sz w:val="18"/>
                <w:lang w:val="en-US"/>
              </w:rPr>
            </w:pPr>
            <w:r w:rsidRPr="00222917">
              <w:rPr>
                <w:sz w:val="18"/>
                <w:lang w:val="en-US"/>
              </w:rPr>
              <w:t>454</w:t>
            </w:r>
          </w:p>
        </w:tc>
        <w:tc>
          <w:tcPr>
            <w:tcW w:w="851" w:type="dxa"/>
            <w:tcBorders>
              <w:bottom w:val="single" w:sz="12" w:space="0" w:color="auto"/>
            </w:tcBorders>
            <w:shd w:val="clear" w:color="auto" w:fill="auto"/>
            <w:vAlign w:val="bottom"/>
          </w:tcPr>
          <w:p w:rsidR="002D5BB0" w:rsidRPr="00222917" w:rsidRDefault="002D5BB0" w:rsidP="00FA004C">
            <w:pPr>
              <w:pStyle w:val="SingleTxtG"/>
              <w:suppressAutoHyphens w:val="0"/>
              <w:spacing w:before="40" w:after="40" w:line="220" w:lineRule="exact"/>
              <w:ind w:left="0" w:right="0"/>
              <w:jc w:val="right"/>
              <w:rPr>
                <w:sz w:val="18"/>
                <w:lang w:val="en-US"/>
              </w:rPr>
            </w:pPr>
            <w:r w:rsidRPr="00222917">
              <w:rPr>
                <w:sz w:val="18"/>
                <w:lang w:val="en-US"/>
              </w:rPr>
              <w:t>702</w:t>
            </w:r>
          </w:p>
        </w:tc>
        <w:tc>
          <w:tcPr>
            <w:tcW w:w="851" w:type="dxa"/>
            <w:tcBorders>
              <w:bottom w:val="single" w:sz="12" w:space="0" w:color="auto"/>
            </w:tcBorders>
            <w:shd w:val="clear" w:color="auto" w:fill="auto"/>
            <w:vAlign w:val="bottom"/>
          </w:tcPr>
          <w:p w:rsidR="002D5BB0" w:rsidRPr="00222917" w:rsidRDefault="002D5BB0" w:rsidP="00FA004C">
            <w:pPr>
              <w:pStyle w:val="SingleTxtG"/>
              <w:suppressAutoHyphens w:val="0"/>
              <w:spacing w:before="40" w:after="40" w:line="220" w:lineRule="exact"/>
              <w:ind w:left="0" w:right="0"/>
              <w:jc w:val="right"/>
              <w:rPr>
                <w:b/>
                <w:sz w:val="18"/>
                <w:lang w:val="en-US"/>
              </w:rPr>
            </w:pPr>
            <w:r w:rsidRPr="00222917">
              <w:rPr>
                <w:b/>
                <w:sz w:val="18"/>
                <w:lang w:val="en-US"/>
              </w:rPr>
              <w:t>138,900</w:t>
            </w:r>
          </w:p>
        </w:tc>
        <w:tc>
          <w:tcPr>
            <w:tcW w:w="851" w:type="dxa"/>
            <w:tcBorders>
              <w:bottom w:val="single" w:sz="12" w:space="0" w:color="auto"/>
            </w:tcBorders>
            <w:shd w:val="clear" w:color="auto" w:fill="auto"/>
            <w:vAlign w:val="bottom"/>
          </w:tcPr>
          <w:p w:rsidR="002D5BB0" w:rsidRPr="00222917" w:rsidRDefault="002D5BB0" w:rsidP="00FA004C">
            <w:pPr>
              <w:pStyle w:val="SingleTxtG"/>
              <w:suppressAutoHyphens w:val="0"/>
              <w:spacing w:before="40" w:after="40" w:line="220" w:lineRule="exact"/>
              <w:ind w:left="0" w:right="0"/>
              <w:jc w:val="right"/>
              <w:rPr>
                <w:sz w:val="18"/>
                <w:lang w:val="en-US"/>
              </w:rPr>
            </w:pPr>
            <w:r w:rsidRPr="00222917">
              <w:rPr>
                <w:sz w:val="18"/>
                <w:lang w:val="en-US"/>
              </w:rPr>
              <w:t>68,530</w:t>
            </w:r>
          </w:p>
        </w:tc>
        <w:tc>
          <w:tcPr>
            <w:tcW w:w="851" w:type="dxa"/>
            <w:tcBorders>
              <w:bottom w:val="single" w:sz="12" w:space="0" w:color="auto"/>
            </w:tcBorders>
            <w:shd w:val="clear" w:color="auto" w:fill="auto"/>
            <w:vAlign w:val="bottom"/>
          </w:tcPr>
          <w:p w:rsidR="002D5BB0" w:rsidRPr="00222917" w:rsidRDefault="002D5BB0" w:rsidP="00FA004C">
            <w:pPr>
              <w:pStyle w:val="SingleTxtG"/>
              <w:suppressAutoHyphens w:val="0"/>
              <w:spacing w:before="40" w:after="40" w:line="220" w:lineRule="exact"/>
              <w:ind w:left="0" w:right="0"/>
              <w:jc w:val="right"/>
              <w:rPr>
                <w:sz w:val="18"/>
                <w:lang w:val="en-US"/>
              </w:rPr>
            </w:pPr>
            <w:r w:rsidRPr="00222917">
              <w:rPr>
                <w:sz w:val="18"/>
                <w:lang w:val="en-US"/>
              </w:rPr>
              <w:t>70,370</w:t>
            </w:r>
          </w:p>
        </w:tc>
        <w:tc>
          <w:tcPr>
            <w:tcW w:w="1021" w:type="dxa"/>
            <w:tcBorders>
              <w:bottom w:val="single" w:sz="12" w:space="0" w:color="auto"/>
            </w:tcBorders>
            <w:shd w:val="clear" w:color="auto" w:fill="auto"/>
            <w:vAlign w:val="bottom"/>
          </w:tcPr>
          <w:p w:rsidR="002D5BB0" w:rsidRPr="00222917" w:rsidRDefault="002D5BB0" w:rsidP="00FA004C">
            <w:pPr>
              <w:pStyle w:val="SingleTxtG"/>
              <w:suppressAutoHyphens w:val="0"/>
              <w:spacing w:before="40" w:after="40" w:line="220" w:lineRule="exact"/>
              <w:ind w:left="0" w:right="0"/>
              <w:jc w:val="right"/>
              <w:rPr>
                <w:sz w:val="18"/>
                <w:lang w:val="en-US"/>
              </w:rPr>
            </w:pPr>
            <w:r w:rsidRPr="00222917">
              <w:rPr>
                <w:sz w:val="18"/>
                <w:lang w:val="en-US"/>
              </w:rPr>
              <w:t>841</w:t>
            </w:r>
          </w:p>
        </w:tc>
      </w:tr>
    </w:tbl>
    <w:p w:rsidR="002D5BB0" w:rsidRPr="00222917" w:rsidRDefault="00C754DF" w:rsidP="00147D0E">
      <w:pPr>
        <w:pStyle w:val="H23G"/>
        <w:rPr>
          <w:lang w:val="en-US"/>
        </w:rPr>
      </w:pPr>
      <w:r w:rsidRPr="00222917">
        <w:rPr>
          <w:lang w:val="en-US"/>
        </w:rPr>
        <w:tab/>
      </w:r>
      <w:r w:rsidRPr="00222917">
        <w:rPr>
          <w:lang w:val="en-US"/>
        </w:rPr>
        <w:tab/>
      </w:r>
      <w:r w:rsidR="002D5BB0" w:rsidRPr="00222917">
        <w:rPr>
          <w:lang w:val="en-US"/>
        </w:rPr>
        <w:t>Protection Facilities for Sexual Violence Victims</w:t>
      </w:r>
    </w:p>
    <w:tbl>
      <w:tblPr>
        <w:tblW w:w="7370" w:type="dxa"/>
        <w:tblInd w:w="1134" w:type="dxa"/>
        <w:tblBorders>
          <w:top w:val="single" w:sz="4" w:space="0" w:color="auto"/>
        </w:tblBorders>
        <w:tblCellMar>
          <w:left w:w="0" w:type="dxa"/>
          <w:right w:w="0" w:type="dxa"/>
        </w:tblCellMar>
        <w:tblLook w:val="0000"/>
      </w:tblPr>
      <w:tblGrid>
        <w:gridCol w:w="1133"/>
        <w:gridCol w:w="1134"/>
        <w:gridCol w:w="1701"/>
        <w:gridCol w:w="1134"/>
        <w:gridCol w:w="1134"/>
        <w:gridCol w:w="1134"/>
      </w:tblGrid>
      <w:tr w:rsidR="006E1F63" w:rsidRPr="00222917" w:rsidTr="0054076C">
        <w:trPr>
          <w:trHeight w:val="240"/>
          <w:tblHeader/>
        </w:trPr>
        <w:tc>
          <w:tcPr>
            <w:tcW w:w="1134" w:type="dxa"/>
            <w:vMerge w:val="restart"/>
            <w:tcBorders>
              <w:top w:val="single" w:sz="4" w:space="0" w:color="auto"/>
              <w:bottom w:val="single" w:sz="12" w:space="0" w:color="auto"/>
            </w:tcBorders>
            <w:shd w:val="clear" w:color="auto" w:fill="auto"/>
            <w:vAlign w:val="bottom"/>
          </w:tcPr>
          <w:p w:rsidR="002D5BB0" w:rsidRPr="00222917" w:rsidRDefault="002D5BB0" w:rsidP="00147D0E">
            <w:pPr>
              <w:pStyle w:val="SingleTxtG"/>
              <w:keepNext/>
              <w:keepLines/>
              <w:suppressAutoHyphens w:val="0"/>
              <w:spacing w:before="80" w:after="80" w:line="200" w:lineRule="exact"/>
              <w:ind w:left="0" w:right="0"/>
              <w:jc w:val="left"/>
              <w:rPr>
                <w:i/>
                <w:sz w:val="16"/>
                <w:szCs w:val="16"/>
                <w:lang w:val="en-US"/>
              </w:rPr>
            </w:pPr>
            <w:r w:rsidRPr="00222917">
              <w:rPr>
                <w:bCs/>
                <w:i/>
                <w:sz w:val="16"/>
                <w:szCs w:val="16"/>
                <w:lang w:val="en-US"/>
              </w:rPr>
              <w:t>Year</w:t>
            </w:r>
          </w:p>
        </w:tc>
        <w:tc>
          <w:tcPr>
            <w:tcW w:w="1134" w:type="dxa"/>
            <w:vMerge w:val="restart"/>
            <w:tcBorders>
              <w:top w:val="single" w:sz="4" w:space="0" w:color="auto"/>
              <w:bottom w:val="single" w:sz="12" w:space="0" w:color="auto"/>
            </w:tcBorders>
            <w:shd w:val="clear" w:color="auto" w:fill="auto"/>
            <w:vAlign w:val="bottom"/>
          </w:tcPr>
          <w:p w:rsidR="002D5BB0" w:rsidRPr="00222917" w:rsidRDefault="00442170" w:rsidP="00147D0E">
            <w:pPr>
              <w:pStyle w:val="SingleTxtG"/>
              <w:keepNext/>
              <w:keepLines/>
              <w:suppressAutoHyphens w:val="0"/>
              <w:spacing w:before="80" w:after="80" w:line="200" w:lineRule="exact"/>
              <w:ind w:left="0" w:right="0"/>
              <w:jc w:val="right"/>
              <w:rPr>
                <w:i/>
                <w:sz w:val="16"/>
                <w:szCs w:val="16"/>
                <w:lang w:val="en-US"/>
              </w:rPr>
            </w:pPr>
            <w:r w:rsidRPr="00222917">
              <w:rPr>
                <w:bCs/>
                <w:i/>
                <w:sz w:val="16"/>
                <w:szCs w:val="16"/>
                <w:lang w:val="en-US"/>
              </w:rPr>
              <w:t>Number</w:t>
            </w:r>
            <w:r w:rsidRPr="00222917">
              <w:rPr>
                <w:bCs/>
                <w:i/>
                <w:sz w:val="16"/>
                <w:szCs w:val="16"/>
                <w:lang w:val="en-US"/>
              </w:rPr>
              <w:br/>
            </w:r>
            <w:r w:rsidR="002D5BB0" w:rsidRPr="00222917">
              <w:rPr>
                <w:bCs/>
                <w:i/>
                <w:sz w:val="16"/>
                <w:szCs w:val="16"/>
                <w:lang w:val="en-US"/>
              </w:rPr>
              <w:t>of facilities</w:t>
            </w:r>
          </w:p>
        </w:tc>
        <w:tc>
          <w:tcPr>
            <w:tcW w:w="1701" w:type="dxa"/>
            <w:vMerge w:val="restart"/>
            <w:tcBorders>
              <w:top w:val="single" w:sz="4" w:space="0" w:color="auto"/>
              <w:bottom w:val="single" w:sz="12" w:space="0" w:color="auto"/>
            </w:tcBorders>
            <w:shd w:val="clear" w:color="auto" w:fill="auto"/>
            <w:vAlign w:val="bottom"/>
          </w:tcPr>
          <w:p w:rsidR="002D5BB0" w:rsidRPr="00222917" w:rsidRDefault="002D5BB0" w:rsidP="00147D0E">
            <w:pPr>
              <w:pStyle w:val="SingleTxtG"/>
              <w:keepNext/>
              <w:keepLines/>
              <w:suppressAutoHyphens w:val="0"/>
              <w:spacing w:before="80" w:after="80" w:line="200" w:lineRule="exact"/>
              <w:ind w:left="0" w:right="0"/>
              <w:jc w:val="right"/>
              <w:rPr>
                <w:b/>
                <w:i/>
                <w:sz w:val="16"/>
                <w:szCs w:val="16"/>
                <w:lang w:val="en-US"/>
              </w:rPr>
            </w:pPr>
            <w:r w:rsidRPr="00222917">
              <w:rPr>
                <w:b/>
                <w:bCs/>
                <w:i/>
                <w:sz w:val="16"/>
                <w:szCs w:val="16"/>
                <w:lang w:val="en-US"/>
              </w:rPr>
              <w:t xml:space="preserve">Total capacity </w:t>
            </w:r>
            <w:r w:rsidR="00E5663D" w:rsidRPr="00222917">
              <w:rPr>
                <w:b/>
                <w:bCs/>
                <w:i/>
                <w:sz w:val="16"/>
                <w:szCs w:val="16"/>
                <w:lang w:val="en-US"/>
              </w:rPr>
              <w:br/>
            </w:r>
            <w:r w:rsidRPr="00222917">
              <w:rPr>
                <w:b/>
                <w:bCs/>
                <w:i/>
                <w:sz w:val="16"/>
                <w:szCs w:val="16"/>
                <w:lang w:val="en-US"/>
              </w:rPr>
              <w:t>of accommodation</w:t>
            </w:r>
            <w:r w:rsidR="00442170" w:rsidRPr="00222917">
              <w:rPr>
                <w:b/>
                <w:bCs/>
                <w:i/>
                <w:sz w:val="16"/>
                <w:szCs w:val="16"/>
                <w:lang w:val="en-US"/>
              </w:rPr>
              <w:br/>
            </w:r>
            <w:r w:rsidRPr="00222917">
              <w:rPr>
                <w:b/>
                <w:bCs/>
                <w:i/>
                <w:sz w:val="16"/>
                <w:szCs w:val="16"/>
                <w:lang w:val="en-US"/>
              </w:rPr>
              <w:t>(number of persons)</w:t>
            </w:r>
          </w:p>
        </w:tc>
        <w:tc>
          <w:tcPr>
            <w:tcW w:w="1134" w:type="dxa"/>
            <w:gridSpan w:val="3"/>
            <w:tcBorders>
              <w:top w:val="single" w:sz="4" w:space="0" w:color="auto"/>
              <w:bottom w:val="single" w:sz="4" w:space="0" w:color="000000"/>
            </w:tcBorders>
            <w:shd w:val="clear" w:color="auto" w:fill="auto"/>
            <w:vAlign w:val="bottom"/>
          </w:tcPr>
          <w:p w:rsidR="002D5BB0" w:rsidRPr="00222917" w:rsidRDefault="002D5BB0" w:rsidP="00147D0E">
            <w:pPr>
              <w:pStyle w:val="SingleTxtG"/>
              <w:keepNext/>
              <w:keepLines/>
              <w:suppressAutoHyphens w:val="0"/>
              <w:spacing w:before="80" w:after="80" w:line="200" w:lineRule="exact"/>
              <w:ind w:left="0" w:right="0"/>
              <w:jc w:val="center"/>
              <w:rPr>
                <w:i/>
                <w:sz w:val="16"/>
                <w:szCs w:val="16"/>
                <w:lang w:val="en-US"/>
              </w:rPr>
            </w:pPr>
            <w:r w:rsidRPr="00222917">
              <w:rPr>
                <w:bCs/>
                <w:i/>
                <w:sz w:val="16"/>
                <w:szCs w:val="16"/>
                <w:lang w:val="en-US"/>
              </w:rPr>
              <w:t>Number of workers</w:t>
            </w:r>
          </w:p>
        </w:tc>
      </w:tr>
      <w:tr w:rsidR="006E1F63" w:rsidRPr="00222917" w:rsidTr="0054076C">
        <w:trPr>
          <w:trHeight w:val="240"/>
          <w:tblHeader/>
        </w:trPr>
        <w:tc>
          <w:tcPr>
            <w:tcW w:w="1134" w:type="dxa"/>
            <w:vMerge/>
            <w:tcBorders>
              <w:top w:val="single" w:sz="12" w:space="0" w:color="auto"/>
              <w:bottom w:val="single" w:sz="12" w:space="0" w:color="000000"/>
            </w:tcBorders>
            <w:shd w:val="clear" w:color="auto" w:fill="auto"/>
            <w:vAlign w:val="bottom"/>
          </w:tcPr>
          <w:p w:rsidR="002D5BB0" w:rsidRPr="00222917" w:rsidRDefault="002D5BB0" w:rsidP="00C759C3">
            <w:pPr>
              <w:pStyle w:val="SingleTxtG"/>
              <w:suppressAutoHyphens w:val="0"/>
              <w:spacing w:before="80" w:after="80" w:line="200" w:lineRule="exact"/>
              <w:ind w:left="0" w:right="0"/>
              <w:jc w:val="left"/>
              <w:rPr>
                <w:i/>
                <w:sz w:val="16"/>
                <w:szCs w:val="16"/>
                <w:lang w:val="en-US"/>
              </w:rPr>
            </w:pPr>
          </w:p>
        </w:tc>
        <w:tc>
          <w:tcPr>
            <w:tcW w:w="1134" w:type="dxa"/>
            <w:vMerge/>
            <w:tcBorders>
              <w:top w:val="single" w:sz="12" w:space="0" w:color="auto"/>
              <w:bottom w:val="single" w:sz="12" w:space="0" w:color="000000"/>
            </w:tcBorders>
            <w:shd w:val="clear" w:color="auto" w:fill="auto"/>
            <w:vAlign w:val="bottom"/>
          </w:tcPr>
          <w:p w:rsidR="002D5BB0" w:rsidRPr="00222917" w:rsidRDefault="002D5BB0" w:rsidP="00C759C3">
            <w:pPr>
              <w:pStyle w:val="SingleTxtG"/>
              <w:suppressAutoHyphens w:val="0"/>
              <w:spacing w:before="80" w:after="80" w:line="200" w:lineRule="exact"/>
              <w:ind w:left="0" w:right="0"/>
              <w:jc w:val="right"/>
              <w:rPr>
                <w:i/>
                <w:sz w:val="16"/>
                <w:szCs w:val="16"/>
                <w:lang w:val="en-US"/>
              </w:rPr>
            </w:pPr>
          </w:p>
        </w:tc>
        <w:tc>
          <w:tcPr>
            <w:tcW w:w="1701" w:type="dxa"/>
            <w:vMerge/>
            <w:tcBorders>
              <w:top w:val="single" w:sz="12" w:space="0" w:color="auto"/>
              <w:bottom w:val="single" w:sz="12" w:space="0" w:color="000000"/>
            </w:tcBorders>
            <w:shd w:val="clear" w:color="auto" w:fill="auto"/>
            <w:vAlign w:val="bottom"/>
          </w:tcPr>
          <w:p w:rsidR="002D5BB0" w:rsidRPr="00222917" w:rsidRDefault="002D5BB0" w:rsidP="00C759C3">
            <w:pPr>
              <w:pStyle w:val="SingleTxtG"/>
              <w:suppressAutoHyphens w:val="0"/>
              <w:spacing w:before="80" w:after="80" w:line="200" w:lineRule="exact"/>
              <w:ind w:left="0" w:right="0"/>
              <w:jc w:val="right"/>
              <w:rPr>
                <w:b/>
                <w:i/>
                <w:sz w:val="16"/>
                <w:szCs w:val="16"/>
                <w:lang w:val="en-US"/>
              </w:rPr>
            </w:pPr>
          </w:p>
        </w:tc>
        <w:tc>
          <w:tcPr>
            <w:tcW w:w="1134" w:type="dxa"/>
            <w:tcBorders>
              <w:top w:val="single" w:sz="4" w:space="0" w:color="000000"/>
              <w:bottom w:val="single" w:sz="12" w:space="0" w:color="000000"/>
            </w:tcBorders>
            <w:shd w:val="clear" w:color="auto" w:fill="auto"/>
            <w:vAlign w:val="bottom"/>
          </w:tcPr>
          <w:p w:rsidR="002D5BB0" w:rsidRPr="00222917" w:rsidRDefault="002D5BB0" w:rsidP="00C759C3">
            <w:pPr>
              <w:pStyle w:val="SingleTxtG"/>
              <w:suppressAutoHyphens w:val="0"/>
              <w:spacing w:before="80" w:after="80" w:line="200" w:lineRule="exact"/>
              <w:ind w:left="0" w:right="0"/>
              <w:jc w:val="right"/>
              <w:rPr>
                <w:b/>
                <w:i/>
                <w:sz w:val="16"/>
                <w:szCs w:val="16"/>
                <w:lang w:val="en-US"/>
              </w:rPr>
            </w:pPr>
            <w:r w:rsidRPr="00222917">
              <w:rPr>
                <w:b/>
                <w:bCs/>
                <w:i/>
                <w:sz w:val="16"/>
                <w:szCs w:val="16"/>
                <w:lang w:val="en-US"/>
              </w:rPr>
              <w:t>Total</w:t>
            </w:r>
          </w:p>
        </w:tc>
        <w:tc>
          <w:tcPr>
            <w:tcW w:w="1134" w:type="dxa"/>
            <w:tcBorders>
              <w:top w:val="single" w:sz="4" w:space="0" w:color="000000"/>
              <w:bottom w:val="single" w:sz="12" w:space="0" w:color="000000"/>
            </w:tcBorders>
            <w:shd w:val="clear" w:color="auto" w:fill="auto"/>
            <w:vAlign w:val="bottom"/>
          </w:tcPr>
          <w:p w:rsidR="002D5BB0" w:rsidRPr="00222917" w:rsidRDefault="002D5BB0" w:rsidP="00C759C3">
            <w:pPr>
              <w:pStyle w:val="SingleTxtG"/>
              <w:suppressAutoHyphens w:val="0"/>
              <w:spacing w:before="80" w:after="80" w:line="200" w:lineRule="exact"/>
              <w:ind w:left="0" w:right="0"/>
              <w:jc w:val="right"/>
              <w:rPr>
                <w:i/>
                <w:sz w:val="16"/>
                <w:szCs w:val="16"/>
                <w:lang w:val="en-US"/>
              </w:rPr>
            </w:pPr>
            <w:r w:rsidRPr="00222917">
              <w:rPr>
                <w:bCs/>
                <w:i/>
                <w:sz w:val="16"/>
                <w:szCs w:val="16"/>
                <w:lang w:val="en-US"/>
              </w:rPr>
              <w:t>Full-time workers</w:t>
            </w:r>
          </w:p>
        </w:tc>
        <w:tc>
          <w:tcPr>
            <w:tcW w:w="1134" w:type="dxa"/>
            <w:tcBorders>
              <w:top w:val="single" w:sz="4" w:space="0" w:color="000000"/>
              <w:bottom w:val="single" w:sz="12" w:space="0" w:color="000000"/>
            </w:tcBorders>
            <w:shd w:val="clear" w:color="auto" w:fill="auto"/>
            <w:vAlign w:val="bottom"/>
          </w:tcPr>
          <w:p w:rsidR="002D5BB0" w:rsidRPr="00222917" w:rsidRDefault="002D5BB0" w:rsidP="00C759C3">
            <w:pPr>
              <w:pStyle w:val="SingleTxtG"/>
              <w:suppressAutoHyphens w:val="0"/>
              <w:spacing w:before="80" w:after="80" w:line="200" w:lineRule="exact"/>
              <w:ind w:left="0" w:right="0"/>
              <w:jc w:val="right"/>
              <w:rPr>
                <w:i/>
                <w:sz w:val="16"/>
                <w:szCs w:val="16"/>
                <w:lang w:val="en-US"/>
              </w:rPr>
            </w:pPr>
            <w:r w:rsidRPr="00222917">
              <w:rPr>
                <w:bCs/>
                <w:i/>
                <w:sz w:val="16"/>
                <w:szCs w:val="16"/>
                <w:lang w:val="en-US"/>
              </w:rPr>
              <w:t>Part-time volunteers</w:t>
            </w:r>
          </w:p>
        </w:tc>
      </w:tr>
      <w:tr w:rsidR="006E1F63" w:rsidRPr="00222917" w:rsidTr="0054076C">
        <w:trPr>
          <w:trHeight w:val="240"/>
        </w:trPr>
        <w:tc>
          <w:tcPr>
            <w:tcW w:w="1134" w:type="dxa"/>
            <w:tcBorders>
              <w:top w:val="single" w:sz="12" w:space="0" w:color="000000"/>
            </w:tcBorders>
            <w:shd w:val="clear" w:color="auto" w:fill="auto"/>
          </w:tcPr>
          <w:p w:rsidR="002D5BB0" w:rsidRPr="00222917" w:rsidRDefault="002D5BB0" w:rsidP="00C759C3">
            <w:pPr>
              <w:pStyle w:val="SingleTxtG"/>
              <w:suppressAutoHyphens w:val="0"/>
              <w:spacing w:before="40" w:after="40" w:line="220" w:lineRule="exact"/>
              <w:ind w:left="0" w:right="0"/>
              <w:jc w:val="left"/>
              <w:rPr>
                <w:sz w:val="18"/>
                <w:lang w:val="en-US"/>
              </w:rPr>
            </w:pPr>
            <w:r w:rsidRPr="00222917">
              <w:rPr>
                <w:sz w:val="18"/>
                <w:lang w:val="en-US"/>
              </w:rPr>
              <w:t>2006</w:t>
            </w:r>
          </w:p>
        </w:tc>
        <w:tc>
          <w:tcPr>
            <w:tcW w:w="1134" w:type="dxa"/>
            <w:tcBorders>
              <w:top w:val="single" w:sz="12" w:space="0" w:color="000000"/>
            </w:tcBorders>
            <w:shd w:val="clear" w:color="auto" w:fill="auto"/>
            <w:vAlign w:val="bottom"/>
          </w:tcPr>
          <w:p w:rsidR="002D5BB0" w:rsidRPr="00222917" w:rsidRDefault="002D5BB0" w:rsidP="006334E9">
            <w:pPr>
              <w:pStyle w:val="SingleTxtG"/>
              <w:suppressAutoHyphens w:val="0"/>
              <w:spacing w:before="40" w:after="40" w:line="220" w:lineRule="exact"/>
              <w:ind w:left="0" w:right="0"/>
              <w:jc w:val="right"/>
              <w:rPr>
                <w:sz w:val="18"/>
                <w:lang w:val="en-US"/>
              </w:rPr>
            </w:pPr>
            <w:r w:rsidRPr="00222917">
              <w:rPr>
                <w:sz w:val="18"/>
                <w:lang w:val="en-US"/>
              </w:rPr>
              <w:t>17</w:t>
            </w:r>
          </w:p>
        </w:tc>
        <w:tc>
          <w:tcPr>
            <w:tcW w:w="1701" w:type="dxa"/>
            <w:tcBorders>
              <w:top w:val="single" w:sz="12" w:space="0" w:color="000000"/>
            </w:tcBorders>
            <w:shd w:val="clear" w:color="auto" w:fill="auto"/>
            <w:vAlign w:val="bottom"/>
          </w:tcPr>
          <w:p w:rsidR="002D5BB0" w:rsidRPr="00222917" w:rsidRDefault="002D5BB0" w:rsidP="00C759C3">
            <w:pPr>
              <w:pStyle w:val="SingleTxtG"/>
              <w:suppressAutoHyphens w:val="0"/>
              <w:spacing w:before="40" w:after="40" w:line="220" w:lineRule="exact"/>
              <w:ind w:left="0" w:right="0"/>
              <w:jc w:val="right"/>
              <w:rPr>
                <w:b/>
                <w:sz w:val="18"/>
                <w:lang w:val="en-US"/>
              </w:rPr>
            </w:pPr>
            <w:r w:rsidRPr="00222917">
              <w:rPr>
                <w:b/>
                <w:sz w:val="18"/>
                <w:lang w:val="en-US"/>
              </w:rPr>
              <w:t>192</w:t>
            </w:r>
          </w:p>
        </w:tc>
        <w:tc>
          <w:tcPr>
            <w:tcW w:w="1134" w:type="dxa"/>
            <w:tcBorders>
              <w:top w:val="single" w:sz="12" w:space="0" w:color="000000"/>
            </w:tcBorders>
            <w:shd w:val="clear" w:color="auto" w:fill="auto"/>
            <w:vAlign w:val="bottom"/>
          </w:tcPr>
          <w:p w:rsidR="002D5BB0" w:rsidRPr="00222917" w:rsidRDefault="002D5BB0" w:rsidP="00C759C3">
            <w:pPr>
              <w:pStyle w:val="SingleTxtG"/>
              <w:suppressAutoHyphens w:val="0"/>
              <w:spacing w:before="40" w:after="40" w:line="220" w:lineRule="exact"/>
              <w:ind w:left="0" w:right="0"/>
              <w:jc w:val="right"/>
              <w:rPr>
                <w:b/>
                <w:sz w:val="18"/>
                <w:lang w:val="en-US"/>
              </w:rPr>
            </w:pPr>
            <w:r w:rsidRPr="00222917">
              <w:rPr>
                <w:b/>
                <w:sz w:val="18"/>
                <w:lang w:val="en-US"/>
              </w:rPr>
              <w:t>72</w:t>
            </w:r>
          </w:p>
        </w:tc>
        <w:tc>
          <w:tcPr>
            <w:tcW w:w="1134" w:type="dxa"/>
            <w:tcBorders>
              <w:top w:val="single" w:sz="12" w:space="0" w:color="000000"/>
            </w:tcBorders>
            <w:shd w:val="clear" w:color="auto" w:fill="auto"/>
            <w:vAlign w:val="bottom"/>
          </w:tcPr>
          <w:p w:rsidR="002D5BB0" w:rsidRPr="00222917" w:rsidRDefault="002D5BB0" w:rsidP="00C759C3">
            <w:pPr>
              <w:pStyle w:val="SingleTxtG"/>
              <w:suppressAutoHyphens w:val="0"/>
              <w:spacing w:before="40" w:after="40" w:line="220" w:lineRule="exact"/>
              <w:ind w:left="0" w:right="0"/>
              <w:jc w:val="right"/>
              <w:rPr>
                <w:sz w:val="18"/>
                <w:lang w:val="en-US"/>
              </w:rPr>
            </w:pPr>
            <w:r w:rsidRPr="00222917">
              <w:rPr>
                <w:sz w:val="18"/>
                <w:lang w:val="en-US"/>
              </w:rPr>
              <w:t>51</w:t>
            </w:r>
          </w:p>
        </w:tc>
        <w:tc>
          <w:tcPr>
            <w:tcW w:w="1134" w:type="dxa"/>
            <w:tcBorders>
              <w:top w:val="single" w:sz="12" w:space="0" w:color="000000"/>
            </w:tcBorders>
            <w:shd w:val="clear" w:color="auto" w:fill="auto"/>
            <w:vAlign w:val="bottom"/>
          </w:tcPr>
          <w:p w:rsidR="002D5BB0" w:rsidRPr="00222917" w:rsidRDefault="002D5BB0" w:rsidP="00C759C3">
            <w:pPr>
              <w:pStyle w:val="SingleTxtG"/>
              <w:suppressAutoHyphens w:val="0"/>
              <w:spacing w:before="40" w:after="40" w:line="220" w:lineRule="exact"/>
              <w:ind w:left="0" w:right="0"/>
              <w:jc w:val="right"/>
              <w:rPr>
                <w:sz w:val="18"/>
                <w:lang w:val="en-US"/>
              </w:rPr>
            </w:pPr>
            <w:r w:rsidRPr="00222917">
              <w:rPr>
                <w:sz w:val="18"/>
                <w:lang w:val="en-US"/>
              </w:rPr>
              <w:t>21</w:t>
            </w:r>
          </w:p>
        </w:tc>
      </w:tr>
      <w:tr w:rsidR="006E1F63" w:rsidRPr="00222917" w:rsidTr="00442170">
        <w:trPr>
          <w:trHeight w:val="240"/>
        </w:trPr>
        <w:tc>
          <w:tcPr>
            <w:tcW w:w="1134" w:type="dxa"/>
            <w:shd w:val="clear" w:color="auto" w:fill="auto"/>
          </w:tcPr>
          <w:p w:rsidR="002D5BB0" w:rsidRPr="00222917" w:rsidRDefault="002D5BB0" w:rsidP="00C759C3">
            <w:pPr>
              <w:pStyle w:val="SingleTxtG"/>
              <w:suppressAutoHyphens w:val="0"/>
              <w:spacing w:before="40" w:after="40" w:line="220" w:lineRule="exact"/>
              <w:ind w:left="0" w:right="0"/>
              <w:jc w:val="left"/>
              <w:rPr>
                <w:sz w:val="18"/>
                <w:lang w:val="en-US"/>
              </w:rPr>
            </w:pPr>
            <w:r w:rsidRPr="00222917">
              <w:rPr>
                <w:sz w:val="18"/>
                <w:lang w:val="en-US"/>
              </w:rPr>
              <w:t>2007</w:t>
            </w:r>
          </w:p>
        </w:tc>
        <w:tc>
          <w:tcPr>
            <w:tcW w:w="1134" w:type="dxa"/>
            <w:shd w:val="clear" w:color="auto" w:fill="auto"/>
            <w:vAlign w:val="bottom"/>
          </w:tcPr>
          <w:p w:rsidR="002D5BB0" w:rsidRPr="00222917" w:rsidRDefault="002D5BB0" w:rsidP="00C759C3">
            <w:pPr>
              <w:pStyle w:val="SingleTxtG"/>
              <w:suppressAutoHyphens w:val="0"/>
              <w:spacing w:before="40" w:after="40" w:line="220" w:lineRule="exact"/>
              <w:ind w:left="0" w:right="0"/>
              <w:jc w:val="right"/>
              <w:rPr>
                <w:sz w:val="18"/>
                <w:lang w:val="en-US"/>
              </w:rPr>
            </w:pPr>
            <w:r w:rsidRPr="00222917">
              <w:rPr>
                <w:sz w:val="18"/>
                <w:lang w:val="en-US"/>
              </w:rPr>
              <w:t>20</w:t>
            </w:r>
          </w:p>
        </w:tc>
        <w:tc>
          <w:tcPr>
            <w:tcW w:w="1701" w:type="dxa"/>
            <w:shd w:val="clear" w:color="auto" w:fill="auto"/>
            <w:vAlign w:val="bottom"/>
          </w:tcPr>
          <w:p w:rsidR="002D5BB0" w:rsidRPr="00222917" w:rsidRDefault="002D5BB0" w:rsidP="00C759C3">
            <w:pPr>
              <w:pStyle w:val="SingleTxtG"/>
              <w:suppressAutoHyphens w:val="0"/>
              <w:spacing w:before="40" w:after="40" w:line="220" w:lineRule="exact"/>
              <w:ind w:left="0" w:right="0"/>
              <w:jc w:val="right"/>
              <w:rPr>
                <w:b/>
                <w:sz w:val="18"/>
                <w:lang w:val="en-US"/>
              </w:rPr>
            </w:pPr>
            <w:r w:rsidRPr="00222917">
              <w:rPr>
                <w:b/>
                <w:sz w:val="18"/>
                <w:lang w:val="en-US"/>
              </w:rPr>
              <w:t>211</w:t>
            </w:r>
          </w:p>
        </w:tc>
        <w:tc>
          <w:tcPr>
            <w:tcW w:w="1134" w:type="dxa"/>
            <w:shd w:val="clear" w:color="auto" w:fill="auto"/>
            <w:vAlign w:val="bottom"/>
          </w:tcPr>
          <w:p w:rsidR="002D5BB0" w:rsidRPr="00222917" w:rsidRDefault="002D5BB0" w:rsidP="00C759C3">
            <w:pPr>
              <w:pStyle w:val="SingleTxtG"/>
              <w:suppressAutoHyphens w:val="0"/>
              <w:spacing w:before="40" w:after="40" w:line="220" w:lineRule="exact"/>
              <w:ind w:left="0" w:right="0"/>
              <w:jc w:val="right"/>
              <w:rPr>
                <w:b/>
                <w:sz w:val="18"/>
                <w:lang w:val="en-US"/>
              </w:rPr>
            </w:pPr>
            <w:r w:rsidRPr="00222917">
              <w:rPr>
                <w:b/>
                <w:sz w:val="18"/>
                <w:lang w:val="en-US"/>
              </w:rPr>
              <w:t>114</w:t>
            </w:r>
          </w:p>
        </w:tc>
        <w:tc>
          <w:tcPr>
            <w:tcW w:w="1134" w:type="dxa"/>
            <w:shd w:val="clear" w:color="auto" w:fill="auto"/>
            <w:vAlign w:val="bottom"/>
          </w:tcPr>
          <w:p w:rsidR="002D5BB0" w:rsidRPr="00222917" w:rsidRDefault="002D5BB0" w:rsidP="00C759C3">
            <w:pPr>
              <w:pStyle w:val="SingleTxtG"/>
              <w:suppressAutoHyphens w:val="0"/>
              <w:spacing w:before="40" w:after="40" w:line="220" w:lineRule="exact"/>
              <w:ind w:left="0" w:right="0"/>
              <w:jc w:val="right"/>
              <w:rPr>
                <w:sz w:val="18"/>
                <w:lang w:val="en-US"/>
              </w:rPr>
            </w:pPr>
            <w:r w:rsidRPr="00222917">
              <w:rPr>
                <w:sz w:val="18"/>
                <w:lang w:val="en-US"/>
              </w:rPr>
              <w:t>64</w:t>
            </w:r>
          </w:p>
        </w:tc>
        <w:tc>
          <w:tcPr>
            <w:tcW w:w="1134" w:type="dxa"/>
            <w:shd w:val="clear" w:color="auto" w:fill="auto"/>
            <w:vAlign w:val="bottom"/>
          </w:tcPr>
          <w:p w:rsidR="002D5BB0" w:rsidRPr="00222917" w:rsidRDefault="002D5BB0" w:rsidP="00C759C3">
            <w:pPr>
              <w:pStyle w:val="SingleTxtG"/>
              <w:suppressAutoHyphens w:val="0"/>
              <w:spacing w:before="40" w:after="40" w:line="220" w:lineRule="exact"/>
              <w:ind w:left="0" w:right="0"/>
              <w:jc w:val="right"/>
              <w:rPr>
                <w:sz w:val="18"/>
                <w:lang w:val="en-US"/>
              </w:rPr>
            </w:pPr>
            <w:r w:rsidRPr="00222917">
              <w:rPr>
                <w:sz w:val="18"/>
                <w:lang w:val="en-US"/>
              </w:rPr>
              <w:t>50</w:t>
            </w:r>
          </w:p>
        </w:tc>
      </w:tr>
      <w:tr w:rsidR="006E1F63" w:rsidRPr="00222917" w:rsidTr="00442170">
        <w:trPr>
          <w:trHeight w:val="240"/>
        </w:trPr>
        <w:tc>
          <w:tcPr>
            <w:tcW w:w="1134" w:type="dxa"/>
            <w:shd w:val="clear" w:color="auto" w:fill="auto"/>
          </w:tcPr>
          <w:p w:rsidR="002D5BB0" w:rsidRPr="00222917" w:rsidRDefault="002D5BB0" w:rsidP="00C759C3">
            <w:pPr>
              <w:pStyle w:val="SingleTxtG"/>
              <w:suppressAutoHyphens w:val="0"/>
              <w:spacing w:before="40" w:after="40" w:line="220" w:lineRule="exact"/>
              <w:ind w:left="0" w:right="0"/>
              <w:jc w:val="left"/>
              <w:rPr>
                <w:sz w:val="18"/>
                <w:lang w:val="en-US"/>
              </w:rPr>
            </w:pPr>
            <w:r w:rsidRPr="00222917">
              <w:rPr>
                <w:sz w:val="18"/>
                <w:lang w:val="en-US"/>
              </w:rPr>
              <w:t>2008</w:t>
            </w:r>
          </w:p>
        </w:tc>
        <w:tc>
          <w:tcPr>
            <w:tcW w:w="1134" w:type="dxa"/>
            <w:shd w:val="clear" w:color="auto" w:fill="auto"/>
            <w:vAlign w:val="bottom"/>
          </w:tcPr>
          <w:p w:rsidR="002D5BB0" w:rsidRPr="00222917" w:rsidRDefault="002D5BB0" w:rsidP="00C759C3">
            <w:pPr>
              <w:pStyle w:val="SingleTxtG"/>
              <w:suppressAutoHyphens w:val="0"/>
              <w:spacing w:before="40" w:after="40" w:line="220" w:lineRule="exact"/>
              <w:ind w:left="0" w:right="0"/>
              <w:jc w:val="right"/>
              <w:rPr>
                <w:sz w:val="18"/>
                <w:lang w:val="en-US"/>
              </w:rPr>
            </w:pPr>
            <w:r w:rsidRPr="00222917">
              <w:rPr>
                <w:sz w:val="18"/>
                <w:lang w:val="en-US"/>
              </w:rPr>
              <w:t>19</w:t>
            </w:r>
          </w:p>
        </w:tc>
        <w:tc>
          <w:tcPr>
            <w:tcW w:w="1701" w:type="dxa"/>
            <w:shd w:val="clear" w:color="auto" w:fill="auto"/>
            <w:vAlign w:val="bottom"/>
          </w:tcPr>
          <w:p w:rsidR="002D5BB0" w:rsidRPr="00222917" w:rsidRDefault="002D5BB0" w:rsidP="00C759C3">
            <w:pPr>
              <w:pStyle w:val="SingleTxtG"/>
              <w:suppressAutoHyphens w:val="0"/>
              <w:spacing w:before="40" w:after="40" w:line="220" w:lineRule="exact"/>
              <w:ind w:left="0" w:right="0"/>
              <w:jc w:val="right"/>
              <w:rPr>
                <w:b/>
                <w:sz w:val="18"/>
                <w:lang w:val="en-US"/>
              </w:rPr>
            </w:pPr>
            <w:r w:rsidRPr="00222917">
              <w:rPr>
                <w:b/>
                <w:sz w:val="18"/>
                <w:lang w:val="en-US"/>
              </w:rPr>
              <w:t>197</w:t>
            </w:r>
          </w:p>
        </w:tc>
        <w:tc>
          <w:tcPr>
            <w:tcW w:w="1134" w:type="dxa"/>
            <w:shd w:val="clear" w:color="auto" w:fill="auto"/>
            <w:vAlign w:val="bottom"/>
          </w:tcPr>
          <w:p w:rsidR="002D5BB0" w:rsidRPr="00222917" w:rsidRDefault="002D5BB0" w:rsidP="00C759C3">
            <w:pPr>
              <w:pStyle w:val="SingleTxtG"/>
              <w:suppressAutoHyphens w:val="0"/>
              <w:spacing w:before="40" w:after="40" w:line="220" w:lineRule="exact"/>
              <w:ind w:left="0" w:right="0"/>
              <w:jc w:val="right"/>
              <w:rPr>
                <w:b/>
                <w:sz w:val="18"/>
                <w:lang w:val="en-US"/>
              </w:rPr>
            </w:pPr>
            <w:r w:rsidRPr="00222917">
              <w:rPr>
                <w:b/>
                <w:sz w:val="18"/>
                <w:lang w:val="en-US"/>
              </w:rPr>
              <w:t>105</w:t>
            </w:r>
          </w:p>
        </w:tc>
        <w:tc>
          <w:tcPr>
            <w:tcW w:w="1134" w:type="dxa"/>
            <w:shd w:val="clear" w:color="auto" w:fill="auto"/>
            <w:vAlign w:val="bottom"/>
          </w:tcPr>
          <w:p w:rsidR="002D5BB0" w:rsidRPr="00222917" w:rsidRDefault="002D5BB0" w:rsidP="00C759C3">
            <w:pPr>
              <w:pStyle w:val="SingleTxtG"/>
              <w:suppressAutoHyphens w:val="0"/>
              <w:spacing w:before="40" w:after="40" w:line="220" w:lineRule="exact"/>
              <w:ind w:left="0" w:right="0"/>
              <w:jc w:val="right"/>
              <w:rPr>
                <w:sz w:val="18"/>
                <w:lang w:val="en-US"/>
              </w:rPr>
            </w:pPr>
            <w:r w:rsidRPr="00222917">
              <w:rPr>
                <w:sz w:val="18"/>
                <w:lang w:val="en-US"/>
              </w:rPr>
              <w:t>57</w:t>
            </w:r>
          </w:p>
        </w:tc>
        <w:tc>
          <w:tcPr>
            <w:tcW w:w="1134" w:type="dxa"/>
            <w:shd w:val="clear" w:color="auto" w:fill="auto"/>
            <w:vAlign w:val="bottom"/>
          </w:tcPr>
          <w:p w:rsidR="002D5BB0" w:rsidRPr="00222917" w:rsidRDefault="002D5BB0" w:rsidP="00C759C3">
            <w:pPr>
              <w:pStyle w:val="SingleTxtG"/>
              <w:suppressAutoHyphens w:val="0"/>
              <w:spacing w:before="40" w:after="40" w:line="220" w:lineRule="exact"/>
              <w:ind w:left="0" w:right="0"/>
              <w:jc w:val="right"/>
              <w:rPr>
                <w:sz w:val="18"/>
                <w:lang w:val="en-US"/>
              </w:rPr>
            </w:pPr>
            <w:r w:rsidRPr="00222917">
              <w:rPr>
                <w:sz w:val="18"/>
                <w:lang w:val="en-US"/>
              </w:rPr>
              <w:t>48</w:t>
            </w:r>
          </w:p>
        </w:tc>
      </w:tr>
      <w:tr w:rsidR="006E1F63" w:rsidRPr="00222917" w:rsidTr="00442170">
        <w:trPr>
          <w:trHeight w:val="240"/>
        </w:trPr>
        <w:tc>
          <w:tcPr>
            <w:tcW w:w="1134" w:type="dxa"/>
            <w:shd w:val="clear" w:color="auto" w:fill="auto"/>
          </w:tcPr>
          <w:p w:rsidR="002D5BB0" w:rsidRPr="00222917" w:rsidRDefault="002D5BB0" w:rsidP="00C759C3">
            <w:pPr>
              <w:pStyle w:val="SingleTxtG"/>
              <w:suppressAutoHyphens w:val="0"/>
              <w:spacing w:before="40" w:after="40" w:line="220" w:lineRule="exact"/>
              <w:ind w:left="0" w:right="0"/>
              <w:jc w:val="left"/>
              <w:rPr>
                <w:sz w:val="18"/>
                <w:lang w:val="en-US"/>
              </w:rPr>
            </w:pPr>
            <w:r w:rsidRPr="00222917">
              <w:rPr>
                <w:sz w:val="18"/>
                <w:lang w:val="en-US"/>
              </w:rPr>
              <w:t>2009</w:t>
            </w:r>
          </w:p>
        </w:tc>
        <w:tc>
          <w:tcPr>
            <w:tcW w:w="1134" w:type="dxa"/>
            <w:shd w:val="clear" w:color="auto" w:fill="auto"/>
            <w:vAlign w:val="bottom"/>
          </w:tcPr>
          <w:p w:rsidR="002D5BB0" w:rsidRPr="00222917" w:rsidRDefault="002D5BB0" w:rsidP="00CB74BF">
            <w:pPr>
              <w:pStyle w:val="SingleTxtG"/>
              <w:suppressAutoHyphens w:val="0"/>
              <w:spacing w:before="40" w:after="40" w:line="220" w:lineRule="exact"/>
              <w:ind w:left="0" w:right="0"/>
              <w:jc w:val="right"/>
              <w:rPr>
                <w:sz w:val="18"/>
                <w:lang w:val="en-US"/>
              </w:rPr>
            </w:pPr>
            <w:r w:rsidRPr="00222917">
              <w:rPr>
                <w:sz w:val="18"/>
                <w:lang w:val="en-US"/>
              </w:rPr>
              <w:t>20</w:t>
            </w:r>
          </w:p>
        </w:tc>
        <w:tc>
          <w:tcPr>
            <w:tcW w:w="1701" w:type="dxa"/>
            <w:shd w:val="clear" w:color="auto" w:fill="auto"/>
            <w:vAlign w:val="bottom"/>
          </w:tcPr>
          <w:p w:rsidR="002D5BB0" w:rsidRPr="00222917" w:rsidRDefault="002D5BB0" w:rsidP="00C759C3">
            <w:pPr>
              <w:pStyle w:val="SingleTxtG"/>
              <w:suppressAutoHyphens w:val="0"/>
              <w:spacing w:before="40" w:after="40" w:line="220" w:lineRule="exact"/>
              <w:ind w:left="0" w:right="0"/>
              <w:jc w:val="right"/>
              <w:rPr>
                <w:b/>
                <w:sz w:val="18"/>
                <w:lang w:val="en-US"/>
              </w:rPr>
            </w:pPr>
            <w:r w:rsidRPr="00222917">
              <w:rPr>
                <w:b/>
                <w:sz w:val="18"/>
                <w:lang w:val="en-US"/>
              </w:rPr>
              <w:t>214</w:t>
            </w:r>
          </w:p>
        </w:tc>
        <w:tc>
          <w:tcPr>
            <w:tcW w:w="1134" w:type="dxa"/>
            <w:shd w:val="clear" w:color="auto" w:fill="auto"/>
            <w:vAlign w:val="bottom"/>
          </w:tcPr>
          <w:p w:rsidR="002D5BB0" w:rsidRPr="00222917" w:rsidRDefault="002D5BB0" w:rsidP="00C759C3">
            <w:pPr>
              <w:pStyle w:val="SingleTxtG"/>
              <w:suppressAutoHyphens w:val="0"/>
              <w:spacing w:before="40" w:after="40" w:line="220" w:lineRule="exact"/>
              <w:ind w:left="0" w:right="0"/>
              <w:jc w:val="right"/>
              <w:rPr>
                <w:b/>
                <w:sz w:val="18"/>
                <w:lang w:val="en-US"/>
              </w:rPr>
            </w:pPr>
            <w:r w:rsidRPr="00222917">
              <w:rPr>
                <w:b/>
                <w:sz w:val="18"/>
                <w:lang w:val="en-US"/>
              </w:rPr>
              <w:t>116</w:t>
            </w:r>
          </w:p>
        </w:tc>
        <w:tc>
          <w:tcPr>
            <w:tcW w:w="1134" w:type="dxa"/>
            <w:shd w:val="clear" w:color="auto" w:fill="auto"/>
            <w:vAlign w:val="bottom"/>
          </w:tcPr>
          <w:p w:rsidR="002D5BB0" w:rsidRPr="00222917" w:rsidRDefault="002D5BB0" w:rsidP="00C759C3">
            <w:pPr>
              <w:pStyle w:val="SingleTxtG"/>
              <w:suppressAutoHyphens w:val="0"/>
              <w:spacing w:before="40" w:after="40" w:line="220" w:lineRule="exact"/>
              <w:ind w:left="0" w:right="0"/>
              <w:jc w:val="right"/>
              <w:rPr>
                <w:sz w:val="18"/>
                <w:lang w:val="en-US"/>
              </w:rPr>
            </w:pPr>
            <w:r w:rsidRPr="00222917">
              <w:rPr>
                <w:sz w:val="18"/>
                <w:lang w:val="en-US"/>
              </w:rPr>
              <w:t>69</w:t>
            </w:r>
          </w:p>
        </w:tc>
        <w:tc>
          <w:tcPr>
            <w:tcW w:w="1134" w:type="dxa"/>
            <w:shd w:val="clear" w:color="auto" w:fill="auto"/>
            <w:vAlign w:val="bottom"/>
          </w:tcPr>
          <w:p w:rsidR="002D5BB0" w:rsidRPr="00222917" w:rsidRDefault="002D5BB0" w:rsidP="00C759C3">
            <w:pPr>
              <w:pStyle w:val="SingleTxtG"/>
              <w:suppressAutoHyphens w:val="0"/>
              <w:spacing w:before="40" w:after="40" w:line="220" w:lineRule="exact"/>
              <w:ind w:left="0" w:right="0"/>
              <w:jc w:val="right"/>
              <w:rPr>
                <w:sz w:val="18"/>
                <w:lang w:val="en-US"/>
              </w:rPr>
            </w:pPr>
            <w:r w:rsidRPr="00222917">
              <w:rPr>
                <w:sz w:val="18"/>
                <w:lang w:val="en-US"/>
              </w:rPr>
              <w:t>47</w:t>
            </w:r>
          </w:p>
        </w:tc>
      </w:tr>
      <w:tr w:rsidR="006E1F63" w:rsidRPr="00222917" w:rsidTr="00442170">
        <w:trPr>
          <w:trHeight w:val="240"/>
        </w:trPr>
        <w:tc>
          <w:tcPr>
            <w:tcW w:w="1134" w:type="dxa"/>
            <w:tcBorders>
              <w:bottom w:val="single" w:sz="12" w:space="0" w:color="auto"/>
            </w:tcBorders>
            <w:shd w:val="clear" w:color="auto" w:fill="auto"/>
          </w:tcPr>
          <w:p w:rsidR="002D5BB0" w:rsidRPr="00222917" w:rsidRDefault="002D5BB0" w:rsidP="00C759C3">
            <w:pPr>
              <w:pStyle w:val="SingleTxtG"/>
              <w:suppressAutoHyphens w:val="0"/>
              <w:spacing w:before="40" w:after="40" w:line="220" w:lineRule="exact"/>
              <w:ind w:left="0" w:right="0"/>
              <w:jc w:val="left"/>
              <w:rPr>
                <w:sz w:val="18"/>
                <w:lang w:val="en-US"/>
              </w:rPr>
            </w:pPr>
            <w:r w:rsidRPr="00222917">
              <w:rPr>
                <w:sz w:val="18"/>
                <w:lang w:val="en-US"/>
              </w:rPr>
              <w:t>2010</w:t>
            </w:r>
          </w:p>
        </w:tc>
        <w:tc>
          <w:tcPr>
            <w:tcW w:w="1134" w:type="dxa"/>
            <w:tcBorders>
              <w:bottom w:val="single" w:sz="12" w:space="0" w:color="auto"/>
            </w:tcBorders>
            <w:shd w:val="clear" w:color="auto" w:fill="auto"/>
            <w:vAlign w:val="bottom"/>
          </w:tcPr>
          <w:p w:rsidR="002D5BB0" w:rsidRPr="00222917" w:rsidRDefault="002D5BB0" w:rsidP="00C759C3">
            <w:pPr>
              <w:pStyle w:val="SingleTxtG"/>
              <w:suppressAutoHyphens w:val="0"/>
              <w:spacing w:before="40" w:after="40" w:line="220" w:lineRule="exact"/>
              <w:ind w:left="0" w:right="0"/>
              <w:jc w:val="right"/>
              <w:rPr>
                <w:sz w:val="18"/>
                <w:lang w:val="en-US"/>
              </w:rPr>
            </w:pPr>
            <w:r w:rsidRPr="00222917">
              <w:rPr>
                <w:sz w:val="18"/>
                <w:lang w:val="en-US"/>
              </w:rPr>
              <w:t>21</w:t>
            </w:r>
          </w:p>
        </w:tc>
        <w:tc>
          <w:tcPr>
            <w:tcW w:w="1701" w:type="dxa"/>
            <w:tcBorders>
              <w:bottom w:val="single" w:sz="12" w:space="0" w:color="auto"/>
            </w:tcBorders>
            <w:shd w:val="clear" w:color="auto" w:fill="auto"/>
            <w:vAlign w:val="bottom"/>
          </w:tcPr>
          <w:p w:rsidR="002D5BB0" w:rsidRPr="00222917" w:rsidRDefault="002D5BB0" w:rsidP="00C759C3">
            <w:pPr>
              <w:pStyle w:val="SingleTxtG"/>
              <w:suppressAutoHyphens w:val="0"/>
              <w:spacing w:before="40" w:after="40" w:line="220" w:lineRule="exact"/>
              <w:ind w:left="0" w:right="0"/>
              <w:jc w:val="right"/>
              <w:rPr>
                <w:b/>
                <w:sz w:val="18"/>
                <w:lang w:val="en-US"/>
              </w:rPr>
            </w:pPr>
            <w:r w:rsidRPr="00222917">
              <w:rPr>
                <w:b/>
                <w:sz w:val="18"/>
                <w:lang w:val="en-US"/>
              </w:rPr>
              <w:t>229</w:t>
            </w:r>
          </w:p>
        </w:tc>
        <w:tc>
          <w:tcPr>
            <w:tcW w:w="1134" w:type="dxa"/>
            <w:tcBorders>
              <w:bottom w:val="single" w:sz="12" w:space="0" w:color="auto"/>
            </w:tcBorders>
            <w:shd w:val="clear" w:color="auto" w:fill="auto"/>
            <w:vAlign w:val="bottom"/>
          </w:tcPr>
          <w:p w:rsidR="002D5BB0" w:rsidRPr="00222917" w:rsidRDefault="002D5BB0" w:rsidP="00C759C3">
            <w:pPr>
              <w:pStyle w:val="SingleTxtG"/>
              <w:suppressAutoHyphens w:val="0"/>
              <w:spacing w:before="40" w:after="40" w:line="220" w:lineRule="exact"/>
              <w:ind w:left="0" w:right="0"/>
              <w:jc w:val="right"/>
              <w:rPr>
                <w:b/>
                <w:sz w:val="18"/>
                <w:lang w:val="en-US"/>
              </w:rPr>
            </w:pPr>
            <w:r w:rsidRPr="00222917">
              <w:rPr>
                <w:b/>
                <w:sz w:val="18"/>
                <w:lang w:val="en-US"/>
              </w:rPr>
              <w:t>134</w:t>
            </w:r>
          </w:p>
        </w:tc>
        <w:tc>
          <w:tcPr>
            <w:tcW w:w="1134" w:type="dxa"/>
            <w:tcBorders>
              <w:bottom w:val="single" w:sz="12" w:space="0" w:color="auto"/>
            </w:tcBorders>
            <w:shd w:val="clear" w:color="auto" w:fill="auto"/>
            <w:vAlign w:val="bottom"/>
          </w:tcPr>
          <w:p w:rsidR="002D5BB0" w:rsidRPr="00222917" w:rsidRDefault="002D5BB0" w:rsidP="00C759C3">
            <w:pPr>
              <w:pStyle w:val="SingleTxtG"/>
              <w:suppressAutoHyphens w:val="0"/>
              <w:spacing w:before="40" w:after="40" w:line="220" w:lineRule="exact"/>
              <w:ind w:left="0" w:right="0"/>
              <w:jc w:val="right"/>
              <w:rPr>
                <w:sz w:val="18"/>
                <w:lang w:val="en-US"/>
              </w:rPr>
            </w:pPr>
            <w:r w:rsidRPr="00222917">
              <w:rPr>
                <w:sz w:val="18"/>
                <w:lang w:val="en-US"/>
              </w:rPr>
              <w:t>76</w:t>
            </w:r>
          </w:p>
        </w:tc>
        <w:tc>
          <w:tcPr>
            <w:tcW w:w="1134" w:type="dxa"/>
            <w:tcBorders>
              <w:bottom w:val="single" w:sz="12" w:space="0" w:color="auto"/>
            </w:tcBorders>
            <w:shd w:val="clear" w:color="auto" w:fill="auto"/>
            <w:vAlign w:val="bottom"/>
          </w:tcPr>
          <w:p w:rsidR="002D5BB0" w:rsidRPr="00222917" w:rsidRDefault="002D5BB0" w:rsidP="00C759C3">
            <w:pPr>
              <w:pStyle w:val="SingleTxtG"/>
              <w:suppressAutoHyphens w:val="0"/>
              <w:spacing w:before="40" w:after="40" w:line="220" w:lineRule="exact"/>
              <w:ind w:left="0" w:right="0"/>
              <w:jc w:val="right"/>
              <w:rPr>
                <w:sz w:val="18"/>
                <w:lang w:val="en-US"/>
              </w:rPr>
            </w:pPr>
            <w:r w:rsidRPr="00222917">
              <w:rPr>
                <w:sz w:val="18"/>
                <w:lang w:val="en-US"/>
              </w:rPr>
              <w:t>58</w:t>
            </w:r>
          </w:p>
        </w:tc>
      </w:tr>
    </w:tbl>
    <w:p w:rsidR="002D5BB0" w:rsidRPr="00222917" w:rsidRDefault="00C754DF" w:rsidP="00C754DF">
      <w:pPr>
        <w:pStyle w:val="H23G"/>
        <w:rPr>
          <w:b w:val="0"/>
          <w:sz w:val="16"/>
          <w:szCs w:val="16"/>
          <w:lang w:val="en-US"/>
        </w:rPr>
      </w:pPr>
      <w:r w:rsidRPr="00222917">
        <w:rPr>
          <w:lang w:val="en-US"/>
        </w:rPr>
        <w:tab/>
      </w:r>
      <w:r w:rsidRPr="00222917">
        <w:rPr>
          <w:lang w:val="en-US"/>
        </w:rPr>
        <w:tab/>
      </w:r>
      <w:r w:rsidR="002D5BB0" w:rsidRPr="00222917">
        <w:rPr>
          <w:lang w:val="en-US"/>
        </w:rPr>
        <w:t>Services Provided at Protection Facilities for Victims of Sexual Violence</w:t>
      </w:r>
      <w:r w:rsidRPr="00222917">
        <w:rPr>
          <w:lang w:val="en-US"/>
        </w:rPr>
        <w:br/>
      </w:r>
      <w:r w:rsidR="002D5BB0" w:rsidRPr="00222917">
        <w:rPr>
          <w:b w:val="0"/>
          <w:sz w:val="16"/>
          <w:szCs w:val="16"/>
          <w:lang w:val="en-US"/>
        </w:rPr>
        <w:t>(Number of cases and %)</w:t>
      </w:r>
    </w:p>
    <w:tbl>
      <w:tblPr>
        <w:tblW w:w="0" w:type="auto"/>
        <w:tblInd w:w="1134" w:type="dxa"/>
        <w:tblBorders>
          <w:top w:val="single" w:sz="4" w:space="0" w:color="auto"/>
        </w:tblBorders>
        <w:tblLayout w:type="fixed"/>
        <w:tblCellMar>
          <w:left w:w="0" w:type="dxa"/>
          <w:right w:w="0" w:type="dxa"/>
        </w:tblCellMar>
        <w:tblLook w:val="0000"/>
      </w:tblPr>
      <w:tblGrid>
        <w:gridCol w:w="624"/>
        <w:gridCol w:w="964"/>
        <w:gridCol w:w="964"/>
        <w:gridCol w:w="964"/>
        <w:gridCol w:w="964"/>
        <w:gridCol w:w="964"/>
        <w:gridCol w:w="964"/>
        <w:gridCol w:w="964"/>
      </w:tblGrid>
      <w:tr w:rsidR="00056A00" w:rsidRPr="00222917" w:rsidTr="00056A00">
        <w:trPr>
          <w:trHeight w:val="240"/>
          <w:tblHeader/>
        </w:trPr>
        <w:tc>
          <w:tcPr>
            <w:tcW w:w="624" w:type="dxa"/>
            <w:tcBorders>
              <w:top w:val="single" w:sz="4" w:space="0" w:color="auto"/>
              <w:bottom w:val="single" w:sz="12" w:space="0" w:color="auto"/>
            </w:tcBorders>
            <w:shd w:val="clear" w:color="auto" w:fill="auto"/>
            <w:vAlign w:val="bottom"/>
          </w:tcPr>
          <w:p w:rsidR="002D5BB0" w:rsidRPr="00222917" w:rsidRDefault="002D5BB0" w:rsidP="00D045EC">
            <w:pPr>
              <w:pStyle w:val="SingleTxtG"/>
              <w:suppressAutoHyphens w:val="0"/>
              <w:spacing w:before="80" w:after="80" w:line="200" w:lineRule="exact"/>
              <w:ind w:left="0" w:right="0"/>
              <w:jc w:val="left"/>
              <w:rPr>
                <w:i/>
                <w:sz w:val="16"/>
                <w:lang w:val="en-US"/>
              </w:rPr>
            </w:pPr>
            <w:r w:rsidRPr="00222917">
              <w:rPr>
                <w:bCs/>
                <w:i/>
                <w:sz w:val="16"/>
                <w:lang w:val="en-US"/>
              </w:rPr>
              <w:t>Year</w:t>
            </w:r>
          </w:p>
        </w:tc>
        <w:tc>
          <w:tcPr>
            <w:tcW w:w="964" w:type="dxa"/>
            <w:tcBorders>
              <w:top w:val="single" w:sz="4" w:space="0" w:color="auto"/>
              <w:bottom w:val="single" w:sz="12" w:space="0" w:color="auto"/>
            </w:tcBorders>
            <w:shd w:val="clear" w:color="auto" w:fill="auto"/>
            <w:vAlign w:val="bottom"/>
          </w:tcPr>
          <w:p w:rsidR="002D5BB0" w:rsidRPr="00222917" w:rsidRDefault="002D5BB0" w:rsidP="00D045EC">
            <w:pPr>
              <w:pStyle w:val="SingleTxtG"/>
              <w:suppressAutoHyphens w:val="0"/>
              <w:spacing w:before="80" w:after="80" w:line="200" w:lineRule="exact"/>
              <w:ind w:left="0" w:right="0"/>
              <w:jc w:val="right"/>
              <w:rPr>
                <w:b/>
                <w:i/>
                <w:sz w:val="16"/>
                <w:lang w:val="en-US"/>
              </w:rPr>
            </w:pPr>
            <w:r w:rsidRPr="00222917">
              <w:rPr>
                <w:b/>
                <w:bCs/>
                <w:i/>
                <w:sz w:val="16"/>
                <w:lang w:val="en-US"/>
              </w:rPr>
              <w:t>Total</w:t>
            </w:r>
          </w:p>
        </w:tc>
        <w:tc>
          <w:tcPr>
            <w:tcW w:w="964" w:type="dxa"/>
            <w:tcBorders>
              <w:top w:val="single" w:sz="4" w:space="0" w:color="auto"/>
              <w:bottom w:val="single" w:sz="12" w:space="0" w:color="auto"/>
            </w:tcBorders>
            <w:shd w:val="clear" w:color="auto" w:fill="auto"/>
            <w:vAlign w:val="bottom"/>
          </w:tcPr>
          <w:p w:rsidR="002D5BB0" w:rsidRPr="00222917" w:rsidRDefault="002D5BB0" w:rsidP="00D045EC">
            <w:pPr>
              <w:pStyle w:val="SingleTxtG"/>
              <w:suppressAutoHyphens w:val="0"/>
              <w:spacing w:before="80" w:after="80" w:line="200" w:lineRule="exact"/>
              <w:ind w:left="0" w:right="0"/>
              <w:jc w:val="right"/>
              <w:rPr>
                <w:i/>
                <w:sz w:val="16"/>
                <w:lang w:val="en-US"/>
              </w:rPr>
            </w:pPr>
            <w:r w:rsidRPr="00222917">
              <w:rPr>
                <w:bCs/>
                <w:i/>
                <w:sz w:val="16"/>
                <w:lang w:val="en-US"/>
              </w:rPr>
              <w:t>Counseling</w:t>
            </w:r>
          </w:p>
        </w:tc>
        <w:tc>
          <w:tcPr>
            <w:tcW w:w="964" w:type="dxa"/>
            <w:tcBorders>
              <w:top w:val="single" w:sz="4" w:space="0" w:color="auto"/>
              <w:bottom w:val="single" w:sz="12" w:space="0" w:color="auto"/>
            </w:tcBorders>
            <w:shd w:val="clear" w:color="auto" w:fill="auto"/>
            <w:vAlign w:val="bottom"/>
          </w:tcPr>
          <w:p w:rsidR="002D5BB0" w:rsidRPr="00222917" w:rsidRDefault="002D5BB0" w:rsidP="00D045EC">
            <w:pPr>
              <w:pStyle w:val="SingleTxtG"/>
              <w:suppressAutoHyphens w:val="0"/>
              <w:spacing w:before="80" w:after="80" w:line="200" w:lineRule="exact"/>
              <w:ind w:left="0" w:right="0"/>
              <w:jc w:val="right"/>
              <w:rPr>
                <w:i/>
                <w:sz w:val="16"/>
                <w:lang w:val="en-US"/>
              </w:rPr>
            </w:pPr>
            <w:r w:rsidRPr="00222917">
              <w:rPr>
                <w:bCs/>
                <w:i/>
                <w:sz w:val="16"/>
                <w:lang w:val="en-US"/>
              </w:rPr>
              <w:t>Investigational and legal support</w:t>
            </w:r>
          </w:p>
        </w:tc>
        <w:tc>
          <w:tcPr>
            <w:tcW w:w="964" w:type="dxa"/>
            <w:tcBorders>
              <w:top w:val="single" w:sz="4" w:space="0" w:color="auto"/>
              <w:bottom w:val="single" w:sz="12" w:space="0" w:color="auto"/>
            </w:tcBorders>
            <w:shd w:val="clear" w:color="auto" w:fill="auto"/>
            <w:vAlign w:val="bottom"/>
          </w:tcPr>
          <w:p w:rsidR="002D5BB0" w:rsidRPr="00222917" w:rsidRDefault="002D5BB0" w:rsidP="00D045EC">
            <w:pPr>
              <w:pStyle w:val="SingleTxtG"/>
              <w:suppressAutoHyphens w:val="0"/>
              <w:spacing w:before="80" w:after="80" w:line="200" w:lineRule="exact"/>
              <w:ind w:left="0" w:right="0"/>
              <w:jc w:val="right"/>
              <w:rPr>
                <w:i/>
                <w:sz w:val="16"/>
                <w:lang w:val="en-US"/>
              </w:rPr>
            </w:pPr>
            <w:r w:rsidRPr="00222917">
              <w:rPr>
                <w:bCs/>
                <w:i/>
                <w:sz w:val="16"/>
                <w:lang w:val="en-US"/>
              </w:rPr>
              <w:t>Medical support</w:t>
            </w:r>
          </w:p>
        </w:tc>
        <w:tc>
          <w:tcPr>
            <w:tcW w:w="964" w:type="dxa"/>
            <w:tcBorders>
              <w:top w:val="single" w:sz="4" w:space="0" w:color="auto"/>
              <w:bottom w:val="single" w:sz="12" w:space="0" w:color="auto"/>
            </w:tcBorders>
            <w:shd w:val="clear" w:color="auto" w:fill="auto"/>
            <w:vAlign w:val="bottom"/>
          </w:tcPr>
          <w:p w:rsidR="002D5BB0" w:rsidRPr="00222917" w:rsidRDefault="002D5BB0" w:rsidP="00D045EC">
            <w:pPr>
              <w:pStyle w:val="SingleTxtG"/>
              <w:suppressAutoHyphens w:val="0"/>
              <w:spacing w:before="80" w:after="80" w:line="200" w:lineRule="exact"/>
              <w:ind w:left="0" w:right="0"/>
              <w:jc w:val="right"/>
              <w:rPr>
                <w:i/>
                <w:sz w:val="16"/>
                <w:lang w:val="en-US"/>
              </w:rPr>
            </w:pPr>
            <w:r w:rsidRPr="00222917">
              <w:rPr>
                <w:bCs/>
                <w:i/>
                <w:sz w:val="16"/>
                <w:lang w:val="en-US"/>
              </w:rPr>
              <w:t>Education-related matters</w:t>
            </w:r>
          </w:p>
        </w:tc>
        <w:tc>
          <w:tcPr>
            <w:tcW w:w="964" w:type="dxa"/>
            <w:tcBorders>
              <w:top w:val="single" w:sz="4" w:space="0" w:color="auto"/>
              <w:bottom w:val="single" w:sz="12" w:space="0" w:color="auto"/>
            </w:tcBorders>
            <w:shd w:val="clear" w:color="auto" w:fill="auto"/>
            <w:vAlign w:val="bottom"/>
          </w:tcPr>
          <w:p w:rsidR="002D5BB0" w:rsidRPr="00222917" w:rsidRDefault="002D5BB0" w:rsidP="00D045EC">
            <w:pPr>
              <w:pStyle w:val="SingleTxtG"/>
              <w:suppressAutoHyphens w:val="0"/>
              <w:spacing w:before="80" w:after="80" w:line="200" w:lineRule="exact"/>
              <w:ind w:left="0" w:right="0"/>
              <w:jc w:val="right"/>
              <w:rPr>
                <w:i/>
                <w:sz w:val="16"/>
                <w:lang w:val="en-US"/>
              </w:rPr>
            </w:pPr>
            <w:r w:rsidRPr="00222917">
              <w:rPr>
                <w:bCs/>
                <w:i/>
                <w:sz w:val="16"/>
                <w:lang w:val="en-US"/>
              </w:rPr>
              <w:t>Self-reliance support</w:t>
            </w:r>
          </w:p>
        </w:tc>
        <w:tc>
          <w:tcPr>
            <w:tcW w:w="964" w:type="dxa"/>
            <w:tcBorders>
              <w:top w:val="single" w:sz="4" w:space="0" w:color="auto"/>
              <w:bottom w:val="single" w:sz="12" w:space="0" w:color="auto"/>
            </w:tcBorders>
            <w:shd w:val="clear" w:color="auto" w:fill="auto"/>
            <w:vAlign w:val="bottom"/>
          </w:tcPr>
          <w:p w:rsidR="002D5BB0" w:rsidRPr="00222917" w:rsidRDefault="002D5BB0" w:rsidP="00D045EC">
            <w:pPr>
              <w:pStyle w:val="SingleTxtG"/>
              <w:suppressAutoHyphens w:val="0"/>
              <w:spacing w:before="80" w:after="80" w:line="200" w:lineRule="exact"/>
              <w:ind w:left="0" w:right="0"/>
              <w:jc w:val="right"/>
              <w:rPr>
                <w:i/>
                <w:sz w:val="16"/>
                <w:lang w:val="en-US"/>
              </w:rPr>
            </w:pPr>
            <w:r w:rsidRPr="00222917">
              <w:rPr>
                <w:bCs/>
                <w:i/>
                <w:sz w:val="16"/>
                <w:lang w:val="en-US"/>
              </w:rPr>
              <w:t>Others</w:t>
            </w:r>
          </w:p>
        </w:tc>
      </w:tr>
      <w:tr w:rsidR="00056A00" w:rsidRPr="00222917" w:rsidTr="00FB53D5">
        <w:trPr>
          <w:trHeight w:val="240"/>
        </w:trPr>
        <w:tc>
          <w:tcPr>
            <w:tcW w:w="624" w:type="dxa"/>
            <w:vMerge w:val="restart"/>
            <w:tcBorders>
              <w:top w:val="single" w:sz="12" w:space="0" w:color="auto"/>
            </w:tcBorders>
            <w:shd w:val="clear" w:color="auto" w:fill="auto"/>
            <w:vAlign w:val="center"/>
          </w:tcPr>
          <w:p w:rsidR="002D5BB0" w:rsidRPr="00222917" w:rsidRDefault="002D5BB0" w:rsidP="00D045EC">
            <w:pPr>
              <w:pStyle w:val="SingleTxtG"/>
              <w:suppressAutoHyphens w:val="0"/>
              <w:spacing w:before="40" w:after="40" w:line="220" w:lineRule="exact"/>
              <w:ind w:left="0" w:right="0"/>
              <w:jc w:val="left"/>
              <w:rPr>
                <w:bCs/>
                <w:sz w:val="18"/>
                <w:lang w:val="en-US"/>
              </w:rPr>
            </w:pPr>
            <w:r w:rsidRPr="00222917">
              <w:rPr>
                <w:bCs/>
                <w:sz w:val="18"/>
                <w:lang w:val="en-US"/>
              </w:rPr>
              <w:t>2006</w:t>
            </w:r>
          </w:p>
        </w:tc>
        <w:tc>
          <w:tcPr>
            <w:tcW w:w="964" w:type="dxa"/>
            <w:tcBorders>
              <w:top w:val="single" w:sz="12" w:space="0" w:color="auto"/>
            </w:tcBorders>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b/>
                <w:sz w:val="18"/>
                <w:lang w:val="en-US"/>
              </w:rPr>
            </w:pPr>
            <w:r w:rsidRPr="00222917">
              <w:rPr>
                <w:b/>
                <w:sz w:val="18"/>
                <w:lang w:val="en-US"/>
              </w:rPr>
              <w:t>14,405</w:t>
            </w:r>
          </w:p>
        </w:tc>
        <w:tc>
          <w:tcPr>
            <w:tcW w:w="964" w:type="dxa"/>
            <w:tcBorders>
              <w:top w:val="single" w:sz="12" w:space="0" w:color="auto"/>
            </w:tcBorders>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sz w:val="18"/>
                <w:lang w:val="en-US"/>
              </w:rPr>
            </w:pPr>
            <w:r w:rsidRPr="00222917">
              <w:rPr>
                <w:sz w:val="18"/>
                <w:lang w:val="en-US"/>
              </w:rPr>
              <w:t>9,530</w:t>
            </w:r>
          </w:p>
        </w:tc>
        <w:tc>
          <w:tcPr>
            <w:tcW w:w="964" w:type="dxa"/>
            <w:tcBorders>
              <w:top w:val="single" w:sz="12" w:space="0" w:color="auto"/>
            </w:tcBorders>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sz w:val="18"/>
                <w:lang w:val="en-US"/>
              </w:rPr>
            </w:pPr>
            <w:r w:rsidRPr="00222917">
              <w:rPr>
                <w:sz w:val="18"/>
                <w:lang w:val="en-US"/>
              </w:rPr>
              <w:t>247</w:t>
            </w:r>
          </w:p>
        </w:tc>
        <w:tc>
          <w:tcPr>
            <w:tcW w:w="964" w:type="dxa"/>
            <w:tcBorders>
              <w:top w:val="single" w:sz="12" w:space="0" w:color="auto"/>
            </w:tcBorders>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sz w:val="18"/>
                <w:lang w:val="en-US"/>
              </w:rPr>
            </w:pPr>
            <w:r w:rsidRPr="00222917">
              <w:rPr>
                <w:sz w:val="18"/>
                <w:lang w:val="en-US"/>
              </w:rPr>
              <w:t>2,000</w:t>
            </w:r>
          </w:p>
        </w:tc>
        <w:tc>
          <w:tcPr>
            <w:tcW w:w="964" w:type="dxa"/>
            <w:tcBorders>
              <w:top w:val="single" w:sz="12" w:space="0" w:color="auto"/>
            </w:tcBorders>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sz w:val="18"/>
                <w:lang w:val="en-US"/>
              </w:rPr>
            </w:pPr>
            <w:r w:rsidRPr="00222917">
              <w:rPr>
                <w:sz w:val="18"/>
                <w:lang w:val="en-US"/>
              </w:rPr>
              <w:t>2,069</w:t>
            </w:r>
          </w:p>
        </w:tc>
        <w:tc>
          <w:tcPr>
            <w:tcW w:w="964" w:type="dxa"/>
            <w:tcBorders>
              <w:top w:val="single" w:sz="12" w:space="0" w:color="auto"/>
            </w:tcBorders>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sz w:val="18"/>
                <w:lang w:val="en-US"/>
              </w:rPr>
            </w:pPr>
            <w:r w:rsidRPr="00222917">
              <w:rPr>
                <w:sz w:val="18"/>
                <w:lang w:val="en-US"/>
              </w:rPr>
              <w:t>559</w:t>
            </w:r>
          </w:p>
        </w:tc>
        <w:tc>
          <w:tcPr>
            <w:tcW w:w="964" w:type="dxa"/>
            <w:tcBorders>
              <w:top w:val="single" w:sz="12" w:space="0" w:color="auto"/>
            </w:tcBorders>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sz w:val="18"/>
                <w:lang w:val="en-US"/>
              </w:rPr>
            </w:pPr>
            <w:r w:rsidRPr="00222917">
              <w:rPr>
                <w:sz w:val="18"/>
                <w:lang w:val="en-US"/>
              </w:rPr>
              <w:t>-</w:t>
            </w:r>
          </w:p>
        </w:tc>
      </w:tr>
      <w:tr w:rsidR="00056A00" w:rsidRPr="00222917" w:rsidTr="00FB53D5">
        <w:trPr>
          <w:trHeight w:val="240"/>
        </w:trPr>
        <w:tc>
          <w:tcPr>
            <w:tcW w:w="624" w:type="dxa"/>
            <w:vMerge/>
            <w:shd w:val="clear" w:color="auto" w:fill="auto"/>
            <w:vAlign w:val="center"/>
          </w:tcPr>
          <w:p w:rsidR="002D5BB0" w:rsidRPr="00222917" w:rsidRDefault="002D5BB0" w:rsidP="00D045EC">
            <w:pPr>
              <w:pStyle w:val="SingleTxtG"/>
              <w:suppressAutoHyphens w:val="0"/>
              <w:spacing w:before="40" w:after="40" w:line="220" w:lineRule="exact"/>
              <w:ind w:left="0" w:right="0"/>
              <w:jc w:val="left"/>
              <w:rPr>
                <w:bCs/>
                <w:sz w:val="18"/>
                <w:lang w:val="en-US"/>
              </w:rPr>
            </w:pPr>
          </w:p>
        </w:tc>
        <w:tc>
          <w:tcPr>
            <w:tcW w:w="964" w:type="dxa"/>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b/>
                <w:sz w:val="18"/>
                <w:lang w:val="en-US"/>
              </w:rPr>
            </w:pPr>
            <w:r w:rsidRPr="00222917">
              <w:rPr>
                <w:b/>
                <w:sz w:val="18"/>
                <w:lang w:val="en-US"/>
              </w:rPr>
              <w:t>100%</w:t>
            </w:r>
          </w:p>
        </w:tc>
        <w:tc>
          <w:tcPr>
            <w:tcW w:w="964" w:type="dxa"/>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sz w:val="18"/>
                <w:lang w:val="en-US"/>
              </w:rPr>
            </w:pPr>
            <w:r w:rsidRPr="00222917">
              <w:rPr>
                <w:sz w:val="18"/>
                <w:lang w:val="en-US"/>
              </w:rPr>
              <w:t>66.1</w:t>
            </w:r>
          </w:p>
        </w:tc>
        <w:tc>
          <w:tcPr>
            <w:tcW w:w="964" w:type="dxa"/>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sz w:val="18"/>
                <w:lang w:val="en-US"/>
              </w:rPr>
            </w:pPr>
            <w:r w:rsidRPr="00222917">
              <w:rPr>
                <w:sz w:val="18"/>
                <w:lang w:val="en-US"/>
              </w:rPr>
              <w:t>1.7</w:t>
            </w:r>
          </w:p>
        </w:tc>
        <w:tc>
          <w:tcPr>
            <w:tcW w:w="964" w:type="dxa"/>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sz w:val="18"/>
                <w:lang w:val="en-US"/>
              </w:rPr>
            </w:pPr>
            <w:r w:rsidRPr="00222917">
              <w:rPr>
                <w:sz w:val="18"/>
                <w:lang w:val="en-US"/>
              </w:rPr>
              <w:t>13.9</w:t>
            </w:r>
          </w:p>
        </w:tc>
        <w:tc>
          <w:tcPr>
            <w:tcW w:w="964" w:type="dxa"/>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sz w:val="18"/>
                <w:lang w:val="en-US"/>
              </w:rPr>
            </w:pPr>
            <w:r w:rsidRPr="00222917">
              <w:rPr>
                <w:sz w:val="18"/>
                <w:lang w:val="en-US"/>
              </w:rPr>
              <w:t>14.4</w:t>
            </w:r>
          </w:p>
        </w:tc>
        <w:tc>
          <w:tcPr>
            <w:tcW w:w="964" w:type="dxa"/>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sz w:val="18"/>
                <w:lang w:val="en-US"/>
              </w:rPr>
            </w:pPr>
            <w:r w:rsidRPr="00222917">
              <w:rPr>
                <w:sz w:val="18"/>
                <w:lang w:val="en-US"/>
              </w:rPr>
              <w:t>3.9</w:t>
            </w:r>
          </w:p>
        </w:tc>
        <w:tc>
          <w:tcPr>
            <w:tcW w:w="964" w:type="dxa"/>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sz w:val="18"/>
                <w:lang w:val="en-US"/>
              </w:rPr>
            </w:pPr>
            <w:r w:rsidRPr="00222917">
              <w:rPr>
                <w:sz w:val="18"/>
                <w:lang w:val="en-US"/>
              </w:rPr>
              <w:t>-</w:t>
            </w:r>
          </w:p>
        </w:tc>
      </w:tr>
      <w:tr w:rsidR="00056A00" w:rsidRPr="00222917" w:rsidTr="00FB53D5">
        <w:trPr>
          <w:trHeight w:val="240"/>
        </w:trPr>
        <w:tc>
          <w:tcPr>
            <w:tcW w:w="624" w:type="dxa"/>
            <w:vMerge w:val="restart"/>
            <w:shd w:val="clear" w:color="auto" w:fill="auto"/>
            <w:vAlign w:val="center"/>
          </w:tcPr>
          <w:p w:rsidR="002D5BB0" w:rsidRPr="00222917" w:rsidRDefault="002D5BB0" w:rsidP="00D045EC">
            <w:pPr>
              <w:pStyle w:val="SingleTxtG"/>
              <w:suppressAutoHyphens w:val="0"/>
              <w:spacing w:before="40" w:after="40" w:line="220" w:lineRule="exact"/>
              <w:ind w:left="0" w:right="0"/>
              <w:jc w:val="left"/>
              <w:rPr>
                <w:bCs/>
                <w:sz w:val="18"/>
                <w:lang w:val="en-US"/>
              </w:rPr>
            </w:pPr>
            <w:r w:rsidRPr="00222917">
              <w:rPr>
                <w:bCs/>
                <w:sz w:val="18"/>
                <w:lang w:val="en-US"/>
              </w:rPr>
              <w:t>2007</w:t>
            </w:r>
          </w:p>
        </w:tc>
        <w:tc>
          <w:tcPr>
            <w:tcW w:w="964" w:type="dxa"/>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b/>
                <w:sz w:val="18"/>
                <w:lang w:val="en-US"/>
              </w:rPr>
            </w:pPr>
            <w:r w:rsidRPr="00222917">
              <w:rPr>
                <w:b/>
                <w:sz w:val="18"/>
                <w:lang w:val="en-US"/>
              </w:rPr>
              <w:t>18,317</w:t>
            </w:r>
          </w:p>
        </w:tc>
        <w:tc>
          <w:tcPr>
            <w:tcW w:w="964" w:type="dxa"/>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sz w:val="18"/>
                <w:lang w:val="en-US"/>
              </w:rPr>
            </w:pPr>
            <w:r w:rsidRPr="00222917">
              <w:rPr>
                <w:sz w:val="18"/>
                <w:lang w:val="en-US"/>
              </w:rPr>
              <w:t>12,871</w:t>
            </w:r>
          </w:p>
        </w:tc>
        <w:tc>
          <w:tcPr>
            <w:tcW w:w="964" w:type="dxa"/>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sz w:val="18"/>
                <w:lang w:val="en-US"/>
              </w:rPr>
            </w:pPr>
            <w:r w:rsidRPr="00222917">
              <w:rPr>
                <w:sz w:val="18"/>
                <w:lang w:val="en-US"/>
              </w:rPr>
              <w:t>347</w:t>
            </w:r>
          </w:p>
        </w:tc>
        <w:tc>
          <w:tcPr>
            <w:tcW w:w="964" w:type="dxa"/>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sz w:val="18"/>
                <w:lang w:val="en-US"/>
              </w:rPr>
            </w:pPr>
            <w:r w:rsidRPr="00222917">
              <w:rPr>
                <w:sz w:val="18"/>
                <w:lang w:val="en-US"/>
              </w:rPr>
              <w:t>2,309</w:t>
            </w:r>
          </w:p>
        </w:tc>
        <w:tc>
          <w:tcPr>
            <w:tcW w:w="964" w:type="dxa"/>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sz w:val="18"/>
                <w:lang w:val="en-US"/>
              </w:rPr>
            </w:pPr>
            <w:r w:rsidRPr="00222917">
              <w:rPr>
                <w:sz w:val="18"/>
                <w:lang w:val="en-US"/>
              </w:rPr>
              <w:t>2,332</w:t>
            </w:r>
          </w:p>
        </w:tc>
        <w:tc>
          <w:tcPr>
            <w:tcW w:w="964" w:type="dxa"/>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sz w:val="18"/>
                <w:lang w:val="en-US"/>
              </w:rPr>
            </w:pPr>
            <w:r w:rsidRPr="00222917">
              <w:rPr>
                <w:sz w:val="18"/>
                <w:lang w:val="en-US"/>
              </w:rPr>
              <w:t>458</w:t>
            </w:r>
          </w:p>
        </w:tc>
        <w:tc>
          <w:tcPr>
            <w:tcW w:w="964" w:type="dxa"/>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sz w:val="18"/>
                <w:lang w:val="en-US"/>
              </w:rPr>
            </w:pPr>
            <w:r w:rsidRPr="00222917">
              <w:rPr>
                <w:sz w:val="18"/>
                <w:lang w:val="en-US"/>
              </w:rPr>
              <w:t>-</w:t>
            </w:r>
          </w:p>
        </w:tc>
      </w:tr>
      <w:tr w:rsidR="00056A00" w:rsidRPr="00222917" w:rsidTr="00FB53D5">
        <w:trPr>
          <w:trHeight w:val="240"/>
        </w:trPr>
        <w:tc>
          <w:tcPr>
            <w:tcW w:w="624" w:type="dxa"/>
            <w:vMerge/>
            <w:shd w:val="clear" w:color="auto" w:fill="auto"/>
            <w:vAlign w:val="center"/>
          </w:tcPr>
          <w:p w:rsidR="002D5BB0" w:rsidRPr="00222917" w:rsidRDefault="002D5BB0" w:rsidP="00D045EC">
            <w:pPr>
              <w:pStyle w:val="SingleTxtG"/>
              <w:suppressAutoHyphens w:val="0"/>
              <w:spacing w:before="40" w:after="40" w:line="220" w:lineRule="exact"/>
              <w:ind w:left="0" w:right="0"/>
              <w:jc w:val="left"/>
              <w:rPr>
                <w:bCs/>
                <w:sz w:val="18"/>
                <w:lang w:val="en-US"/>
              </w:rPr>
            </w:pPr>
          </w:p>
        </w:tc>
        <w:tc>
          <w:tcPr>
            <w:tcW w:w="964" w:type="dxa"/>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b/>
                <w:sz w:val="18"/>
                <w:lang w:val="en-US"/>
              </w:rPr>
            </w:pPr>
            <w:r w:rsidRPr="00222917">
              <w:rPr>
                <w:b/>
                <w:sz w:val="18"/>
                <w:lang w:val="en-US"/>
              </w:rPr>
              <w:t>100%</w:t>
            </w:r>
          </w:p>
        </w:tc>
        <w:tc>
          <w:tcPr>
            <w:tcW w:w="964" w:type="dxa"/>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sz w:val="18"/>
                <w:lang w:val="en-US"/>
              </w:rPr>
            </w:pPr>
            <w:r w:rsidRPr="00222917">
              <w:rPr>
                <w:sz w:val="18"/>
                <w:lang w:val="en-US"/>
              </w:rPr>
              <w:t>70.3</w:t>
            </w:r>
          </w:p>
        </w:tc>
        <w:tc>
          <w:tcPr>
            <w:tcW w:w="964" w:type="dxa"/>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sz w:val="18"/>
                <w:lang w:val="en-US"/>
              </w:rPr>
            </w:pPr>
            <w:r w:rsidRPr="00222917">
              <w:rPr>
                <w:sz w:val="18"/>
                <w:lang w:val="en-US"/>
              </w:rPr>
              <w:t>1.9</w:t>
            </w:r>
          </w:p>
        </w:tc>
        <w:tc>
          <w:tcPr>
            <w:tcW w:w="964" w:type="dxa"/>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sz w:val="18"/>
                <w:lang w:val="en-US"/>
              </w:rPr>
            </w:pPr>
            <w:r w:rsidRPr="00222917">
              <w:rPr>
                <w:sz w:val="18"/>
                <w:lang w:val="en-US"/>
              </w:rPr>
              <w:t>12.6</w:t>
            </w:r>
          </w:p>
        </w:tc>
        <w:tc>
          <w:tcPr>
            <w:tcW w:w="964" w:type="dxa"/>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sz w:val="18"/>
                <w:lang w:val="en-US"/>
              </w:rPr>
            </w:pPr>
            <w:r w:rsidRPr="00222917">
              <w:rPr>
                <w:sz w:val="18"/>
                <w:lang w:val="en-US"/>
              </w:rPr>
              <w:t>12.7</w:t>
            </w:r>
          </w:p>
        </w:tc>
        <w:tc>
          <w:tcPr>
            <w:tcW w:w="964" w:type="dxa"/>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sz w:val="18"/>
                <w:lang w:val="en-US"/>
              </w:rPr>
            </w:pPr>
            <w:r w:rsidRPr="00222917">
              <w:rPr>
                <w:sz w:val="18"/>
                <w:lang w:val="en-US"/>
              </w:rPr>
              <w:t>2.5</w:t>
            </w:r>
          </w:p>
        </w:tc>
        <w:tc>
          <w:tcPr>
            <w:tcW w:w="964" w:type="dxa"/>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sz w:val="18"/>
                <w:lang w:val="en-US"/>
              </w:rPr>
            </w:pPr>
            <w:r w:rsidRPr="00222917">
              <w:rPr>
                <w:sz w:val="18"/>
                <w:lang w:val="en-US"/>
              </w:rPr>
              <w:t>-</w:t>
            </w:r>
          </w:p>
        </w:tc>
      </w:tr>
      <w:tr w:rsidR="00056A00" w:rsidRPr="00222917" w:rsidTr="00FB53D5">
        <w:trPr>
          <w:trHeight w:val="240"/>
        </w:trPr>
        <w:tc>
          <w:tcPr>
            <w:tcW w:w="624" w:type="dxa"/>
            <w:vMerge w:val="restart"/>
            <w:shd w:val="clear" w:color="auto" w:fill="auto"/>
            <w:vAlign w:val="center"/>
          </w:tcPr>
          <w:p w:rsidR="002D5BB0" w:rsidRPr="00222917" w:rsidRDefault="002D5BB0" w:rsidP="00D045EC">
            <w:pPr>
              <w:pStyle w:val="SingleTxtG"/>
              <w:suppressAutoHyphens w:val="0"/>
              <w:spacing w:before="40" w:after="40" w:line="220" w:lineRule="exact"/>
              <w:ind w:left="0" w:right="0"/>
              <w:jc w:val="left"/>
              <w:rPr>
                <w:bCs/>
                <w:sz w:val="18"/>
                <w:lang w:val="en-US"/>
              </w:rPr>
            </w:pPr>
            <w:r w:rsidRPr="00222917">
              <w:rPr>
                <w:bCs/>
                <w:sz w:val="18"/>
                <w:lang w:val="en-US"/>
              </w:rPr>
              <w:t>2008</w:t>
            </w:r>
          </w:p>
        </w:tc>
        <w:tc>
          <w:tcPr>
            <w:tcW w:w="964" w:type="dxa"/>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b/>
                <w:sz w:val="18"/>
                <w:lang w:val="en-US"/>
              </w:rPr>
            </w:pPr>
            <w:r w:rsidRPr="00222917">
              <w:rPr>
                <w:b/>
                <w:sz w:val="18"/>
                <w:lang w:val="en-US"/>
              </w:rPr>
              <w:t>15,998</w:t>
            </w:r>
          </w:p>
        </w:tc>
        <w:tc>
          <w:tcPr>
            <w:tcW w:w="964" w:type="dxa"/>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sz w:val="18"/>
                <w:lang w:val="en-US"/>
              </w:rPr>
            </w:pPr>
            <w:r w:rsidRPr="00222917">
              <w:rPr>
                <w:sz w:val="18"/>
                <w:lang w:val="en-US"/>
              </w:rPr>
              <w:t>9,713</w:t>
            </w:r>
          </w:p>
        </w:tc>
        <w:tc>
          <w:tcPr>
            <w:tcW w:w="964" w:type="dxa"/>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sz w:val="18"/>
                <w:lang w:val="en-US"/>
              </w:rPr>
            </w:pPr>
            <w:r w:rsidRPr="00222917">
              <w:rPr>
                <w:sz w:val="18"/>
                <w:lang w:val="en-US"/>
              </w:rPr>
              <w:t>394</w:t>
            </w:r>
          </w:p>
        </w:tc>
        <w:tc>
          <w:tcPr>
            <w:tcW w:w="964" w:type="dxa"/>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sz w:val="18"/>
                <w:lang w:val="en-US"/>
              </w:rPr>
            </w:pPr>
            <w:r w:rsidRPr="00222917">
              <w:rPr>
                <w:sz w:val="18"/>
                <w:lang w:val="en-US"/>
              </w:rPr>
              <w:t>2,286</w:t>
            </w:r>
          </w:p>
        </w:tc>
        <w:tc>
          <w:tcPr>
            <w:tcW w:w="964" w:type="dxa"/>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sz w:val="18"/>
                <w:lang w:val="en-US"/>
              </w:rPr>
            </w:pPr>
            <w:r w:rsidRPr="00222917">
              <w:rPr>
                <w:sz w:val="18"/>
                <w:lang w:val="en-US"/>
              </w:rPr>
              <w:t>1,109</w:t>
            </w:r>
          </w:p>
        </w:tc>
        <w:tc>
          <w:tcPr>
            <w:tcW w:w="964" w:type="dxa"/>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sz w:val="18"/>
                <w:lang w:val="en-US"/>
              </w:rPr>
            </w:pPr>
            <w:r w:rsidRPr="00222917">
              <w:rPr>
                <w:sz w:val="18"/>
                <w:lang w:val="en-US"/>
              </w:rPr>
              <w:t>515</w:t>
            </w:r>
          </w:p>
        </w:tc>
        <w:tc>
          <w:tcPr>
            <w:tcW w:w="964" w:type="dxa"/>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sz w:val="18"/>
                <w:lang w:val="en-US"/>
              </w:rPr>
            </w:pPr>
            <w:r w:rsidRPr="00222917">
              <w:rPr>
                <w:sz w:val="18"/>
                <w:lang w:val="en-US"/>
              </w:rPr>
              <w:t>1,981</w:t>
            </w:r>
          </w:p>
        </w:tc>
      </w:tr>
      <w:tr w:rsidR="00056A00" w:rsidRPr="00222917" w:rsidTr="00FB53D5">
        <w:trPr>
          <w:trHeight w:val="240"/>
        </w:trPr>
        <w:tc>
          <w:tcPr>
            <w:tcW w:w="624" w:type="dxa"/>
            <w:vMerge/>
            <w:shd w:val="clear" w:color="auto" w:fill="auto"/>
            <w:vAlign w:val="center"/>
          </w:tcPr>
          <w:p w:rsidR="002D5BB0" w:rsidRPr="00222917" w:rsidRDefault="002D5BB0" w:rsidP="00D045EC">
            <w:pPr>
              <w:pStyle w:val="SingleTxtG"/>
              <w:suppressAutoHyphens w:val="0"/>
              <w:spacing w:before="40" w:after="40" w:line="220" w:lineRule="exact"/>
              <w:ind w:left="0" w:right="0"/>
              <w:jc w:val="left"/>
              <w:rPr>
                <w:bCs/>
                <w:sz w:val="18"/>
                <w:lang w:val="en-US"/>
              </w:rPr>
            </w:pPr>
          </w:p>
        </w:tc>
        <w:tc>
          <w:tcPr>
            <w:tcW w:w="964" w:type="dxa"/>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b/>
                <w:sz w:val="18"/>
                <w:lang w:val="en-US"/>
              </w:rPr>
            </w:pPr>
            <w:r w:rsidRPr="00222917">
              <w:rPr>
                <w:b/>
                <w:sz w:val="18"/>
                <w:lang w:val="en-US"/>
              </w:rPr>
              <w:t>100%</w:t>
            </w:r>
          </w:p>
        </w:tc>
        <w:tc>
          <w:tcPr>
            <w:tcW w:w="964" w:type="dxa"/>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sz w:val="18"/>
                <w:lang w:val="en-US"/>
              </w:rPr>
            </w:pPr>
            <w:r w:rsidRPr="00222917">
              <w:rPr>
                <w:sz w:val="18"/>
                <w:lang w:val="en-US"/>
              </w:rPr>
              <w:t>60.7</w:t>
            </w:r>
          </w:p>
        </w:tc>
        <w:tc>
          <w:tcPr>
            <w:tcW w:w="964" w:type="dxa"/>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sz w:val="18"/>
                <w:lang w:val="en-US"/>
              </w:rPr>
            </w:pPr>
            <w:r w:rsidRPr="00222917">
              <w:rPr>
                <w:sz w:val="18"/>
                <w:lang w:val="en-US"/>
              </w:rPr>
              <w:t>2.5</w:t>
            </w:r>
          </w:p>
        </w:tc>
        <w:tc>
          <w:tcPr>
            <w:tcW w:w="964" w:type="dxa"/>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sz w:val="18"/>
                <w:lang w:val="en-US"/>
              </w:rPr>
            </w:pPr>
            <w:r w:rsidRPr="00222917">
              <w:rPr>
                <w:sz w:val="18"/>
                <w:lang w:val="en-US"/>
              </w:rPr>
              <w:t>14.3</w:t>
            </w:r>
          </w:p>
        </w:tc>
        <w:tc>
          <w:tcPr>
            <w:tcW w:w="964" w:type="dxa"/>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sz w:val="18"/>
                <w:lang w:val="en-US"/>
              </w:rPr>
            </w:pPr>
            <w:r w:rsidRPr="00222917">
              <w:rPr>
                <w:sz w:val="18"/>
                <w:lang w:val="en-US"/>
              </w:rPr>
              <w:t>6.9</w:t>
            </w:r>
          </w:p>
        </w:tc>
        <w:tc>
          <w:tcPr>
            <w:tcW w:w="964" w:type="dxa"/>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sz w:val="18"/>
                <w:lang w:val="en-US"/>
              </w:rPr>
            </w:pPr>
            <w:r w:rsidRPr="00222917">
              <w:rPr>
                <w:sz w:val="18"/>
                <w:lang w:val="en-US"/>
              </w:rPr>
              <w:t>3.2</w:t>
            </w:r>
          </w:p>
        </w:tc>
        <w:tc>
          <w:tcPr>
            <w:tcW w:w="964" w:type="dxa"/>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sz w:val="18"/>
                <w:lang w:val="en-US"/>
              </w:rPr>
            </w:pPr>
            <w:r w:rsidRPr="00222917">
              <w:rPr>
                <w:sz w:val="18"/>
                <w:lang w:val="en-US"/>
              </w:rPr>
              <w:t>12.4</w:t>
            </w:r>
          </w:p>
        </w:tc>
      </w:tr>
      <w:tr w:rsidR="00056A00" w:rsidRPr="00222917" w:rsidTr="00FB53D5">
        <w:trPr>
          <w:trHeight w:val="240"/>
        </w:trPr>
        <w:tc>
          <w:tcPr>
            <w:tcW w:w="624" w:type="dxa"/>
            <w:vMerge w:val="restart"/>
            <w:shd w:val="clear" w:color="auto" w:fill="auto"/>
            <w:vAlign w:val="center"/>
          </w:tcPr>
          <w:p w:rsidR="002D5BB0" w:rsidRPr="00222917" w:rsidRDefault="002D5BB0" w:rsidP="00D045EC">
            <w:pPr>
              <w:pStyle w:val="SingleTxtG"/>
              <w:suppressAutoHyphens w:val="0"/>
              <w:spacing w:before="40" w:after="40" w:line="220" w:lineRule="exact"/>
              <w:ind w:left="0" w:right="0"/>
              <w:jc w:val="left"/>
              <w:rPr>
                <w:bCs/>
                <w:sz w:val="18"/>
                <w:lang w:val="en-US"/>
              </w:rPr>
            </w:pPr>
            <w:r w:rsidRPr="00222917">
              <w:rPr>
                <w:bCs/>
                <w:sz w:val="18"/>
                <w:lang w:val="en-US"/>
              </w:rPr>
              <w:t>2009</w:t>
            </w:r>
          </w:p>
        </w:tc>
        <w:tc>
          <w:tcPr>
            <w:tcW w:w="964" w:type="dxa"/>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b/>
                <w:sz w:val="18"/>
                <w:lang w:val="en-US"/>
              </w:rPr>
            </w:pPr>
            <w:r w:rsidRPr="00222917">
              <w:rPr>
                <w:b/>
                <w:sz w:val="18"/>
                <w:lang w:val="en-US"/>
              </w:rPr>
              <w:t>14,570</w:t>
            </w:r>
          </w:p>
        </w:tc>
        <w:tc>
          <w:tcPr>
            <w:tcW w:w="964" w:type="dxa"/>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sz w:val="18"/>
                <w:lang w:val="en-US"/>
              </w:rPr>
            </w:pPr>
            <w:r w:rsidRPr="00222917">
              <w:rPr>
                <w:sz w:val="18"/>
                <w:lang w:val="en-US"/>
              </w:rPr>
              <w:t>8,165</w:t>
            </w:r>
          </w:p>
        </w:tc>
        <w:tc>
          <w:tcPr>
            <w:tcW w:w="964" w:type="dxa"/>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sz w:val="18"/>
                <w:lang w:val="en-US"/>
              </w:rPr>
            </w:pPr>
            <w:r w:rsidRPr="00222917">
              <w:rPr>
                <w:sz w:val="18"/>
                <w:lang w:val="en-US"/>
              </w:rPr>
              <w:t>417</w:t>
            </w:r>
          </w:p>
        </w:tc>
        <w:tc>
          <w:tcPr>
            <w:tcW w:w="964" w:type="dxa"/>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sz w:val="18"/>
                <w:lang w:val="en-US"/>
              </w:rPr>
            </w:pPr>
            <w:r w:rsidRPr="00222917">
              <w:rPr>
                <w:sz w:val="18"/>
                <w:lang w:val="en-US"/>
              </w:rPr>
              <w:t>2,626</w:t>
            </w:r>
          </w:p>
        </w:tc>
        <w:tc>
          <w:tcPr>
            <w:tcW w:w="964" w:type="dxa"/>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sz w:val="18"/>
                <w:lang w:val="en-US"/>
              </w:rPr>
            </w:pPr>
            <w:r w:rsidRPr="00222917">
              <w:rPr>
                <w:sz w:val="18"/>
                <w:lang w:val="en-US"/>
              </w:rPr>
              <w:t>789</w:t>
            </w:r>
          </w:p>
        </w:tc>
        <w:tc>
          <w:tcPr>
            <w:tcW w:w="964" w:type="dxa"/>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sz w:val="18"/>
                <w:lang w:val="en-US"/>
              </w:rPr>
            </w:pPr>
            <w:r w:rsidRPr="00222917">
              <w:rPr>
                <w:sz w:val="18"/>
                <w:lang w:val="en-US"/>
              </w:rPr>
              <w:t>401</w:t>
            </w:r>
          </w:p>
        </w:tc>
        <w:tc>
          <w:tcPr>
            <w:tcW w:w="964" w:type="dxa"/>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sz w:val="18"/>
                <w:lang w:val="en-US"/>
              </w:rPr>
            </w:pPr>
            <w:r w:rsidRPr="00222917">
              <w:rPr>
                <w:sz w:val="18"/>
                <w:lang w:val="en-US"/>
              </w:rPr>
              <w:t>2,172</w:t>
            </w:r>
          </w:p>
        </w:tc>
      </w:tr>
      <w:tr w:rsidR="00056A00" w:rsidRPr="00222917" w:rsidTr="00FB53D5">
        <w:trPr>
          <w:trHeight w:val="240"/>
        </w:trPr>
        <w:tc>
          <w:tcPr>
            <w:tcW w:w="624" w:type="dxa"/>
            <w:vMerge/>
            <w:shd w:val="clear" w:color="auto" w:fill="auto"/>
            <w:vAlign w:val="center"/>
          </w:tcPr>
          <w:p w:rsidR="002D5BB0" w:rsidRPr="00222917" w:rsidRDefault="002D5BB0" w:rsidP="00D045EC">
            <w:pPr>
              <w:pStyle w:val="SingleTxtG"/>
              <w:suppressAutoHyphens w:val="0"/>
              <w:spacing w:before="40" w:after="40" w:line="220" w:lineRule="exact"/>
              <w:ind w:left="0" w:right="0"/>
              <w:jc w:val="left"/>
              <w:rPr>
                <w:bCs/>
                <w:sz w:val="18"/>
                <w:lang w:val="en-US"/>
              </w:rPr>
            </w:pPr>
          </w:p>
        </w:tc>
        <w:tc>
          <w:tcPr>
            <w:tcW w:w="964" w:type="dxa"/>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b/>
                <w:sz w:val="18"/>
                <w:lang w:val="en-US"/>
              </w:rPr>
            </w:pPr>
            <w:r w:rsidRPr="00222917">
              <w:rPr>
                <w:b/>
                <w:sz w:val="18"/>
                <w:lang w:val="en-US"/>
              </w:rPr>
              <w:t>100%</w:t>
            </w:r>
          </w:p>
        </w:tc>
        <w:tc>
          <w:tcPr>
            <w:tcW w:w="964" w:type="dxa"/>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sz w:val="18"/>
                <w:lang w:val="en-US"/>
              </w:rPr>
            </w:pPr>
            <w:r w:rsidRPr="00222917">
              <w:rPr>
                <w:sz w:val="18"/>
                <w:lang w:val="en-US"/>
              </w:rPr>
              <w:t>56.0</w:t>
            </w:r>
          </w:p>
        </w:tc>
        <w:tc>
          <w:tcPr>
            <w:tcW w:w="964" w:type="dxa"/>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sz w:val="18"/>
                <w:lang w:val="en-US"/>
              </w:rPr>
            </w:pPr>
            <w:r w:rsidRPr="00222917">
              <w:rPr>
                <w:sz w:val="18"/>
                <w:lang w:val="en-US"/>
              </w:rPr>
              <w:t>2.9</w:t>
            </w:r>
          </w:p>
        </w:tc>
        <w:tc>
          <w:tcPr>
            <w:tcW w:w="964" w:type="dxa"/>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sz w:val="18"/>
                <w:lang w:val="en-US"/>
              </w:rPr>
            </w:pPr>
            <w:r w:rsidRPr="00222917">
              <w:rPr>
                <w:sz w:val="18"/>
                <w:lang w:val="en-US"/>
              </w:rPr>
              <w:t>18.0</w:t>
            </w:r>
          </w:p>
        </w:tc>
        <w:tc>
          <w:tcPr>
            <w:tcW w:w="964" w:type="dxa"/>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sz w:val="18"/>
                <w:lang w:val="en-US"/>
              </w:rPr>
            </w:pPr>
            <w:r w:rsidRPr="00222917">
              <w:rPr>
                <w:sz w:val="18"/>
                <w:lang w:val="en-US"/>
              </w:rPr>
              <w:t>5.4</w:t>
            </w:r>
          </w:p>
        </w:tc>
        <w:tc>
          <w:tcPr>
            <w:tcW w:w="964" w:type="dxa"/>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sz w:val="18"/>
                <w:lang w:val="en-US"/>
              </w:rPr>
            </w:pPr>
            <w:r w:rsidRPr="00222917">
              <w:rPr>
                <w:sz w:val="18"/>
                <w:lang w:val="en-US"/>
              </w:rPr>
              <w:t>2.8</w:t>
            </w:r>
          </w:p>
        </w:tc>
        <w:tc>
          <w:tcPr>
            <w:tcW w:w="964" w:type="dxa"/>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sz w:val="18"/>
                <w:lang w:val="en-US"/>
              </w:rPr>
            </w:pPr>
            <w:r w:rsidRPr="00222917">
              <w:rPr>
                <w:sz w:val="18"/>
                <w:lang w:val="en-US"/>
              </w:rPr>
              <w:t>14.9</w:t>
            </w:r>
          </w:p>
        </w:tc>
      </w:tr>
      <w:tr w:rsidR="00056A00" w:rsidRPr="00222917" w:rsidTr="00FB53D5">
        <w:trPr>
          <w:trHeight w:val="240"/>
        </w:trPr>
        <w:tc>
          <w:tcPr>
            <w:tcW w:w="624" w:type="dxa"/>
            <w:vMerge w:val="restart"/>
            <w:shd w:val="clear" w:color="auto" w:fill="auto"/>
            <w:vAlign w:val="center"/>
          </w:tcPr>
          <w:p w:rsidR="002D5BB0" w:rsidRPr="00222917" w:rsidRDefault="002D5BB0" w:rsidP="00D045EC">
            <w:pPr>
              <w:pStyle w:val="SingleTxtG"/>
              <w:suppressAutoHyphens w:val="0"/>
              <w:spacing w:before="40" w:after="40" w:line="220" w:lineRule="exact"/>
              <w:ind w:left="0" w:right="0"/>
              <w:jc w:val="left"/>
              <w:rPr>
                <w:bCs/>
                <w:sz w:val="18"/>
                <w:lang w:val="en-US"/>
              </w:rPr>
            </w:pPr>
            <w:r w:rsidRPr="00222917">
              <w:rPr>
                <w:bCs/>
                <w:sz w:val="18"/>
                <w:lang w:val="en-US"/>
              </w:rPr>
              <w:t>2010</w:t>
            </w:r>
          </w:p>
        </w:tc>
        <w:tc>
          <w:tcPr>
            <w:tcW w:w="964" w:type="dxa"/>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b/>
                <w:sz w:val="18"/>
                <w:lang w:val="en-US"/>
              </w:rPr>
            </w:pPr>
            <w:r w:rsidRPr="00222917">
              <w:rPr>
                <w:b/>
                <w:sz w:val="18"/>
                <w:lang w:val="en-US"/>
              </w:rPr>
              <w:t>19,226</w:t>
            </w:r>
          </w:p>
        </w:tc>
        <w:tc>
          <w:tcPr>
            <w:tcW w:w="964" w:type="dxa"/>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sz w:val="18"/>
                <w:lang w:val="en-US"/>
              </w:rPr>
            </w:pPr>
            <w:r w:rsidRPr="00222917">
              <w:rPr>
                <w:sz w:val="18"/>
                <w:lang w:val="en-US"/>
              </w:rPr>
              <w:t>13,087</w:t>
            </w:r>
          </w:p>
        </w:tc>
        <w:tc>
          <w:tcPr>
            <w:tcW w:w="964" w:type="dxa"/>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sz w:val="18"/>
                <w:lang w:val="en-US"/>
              </w:rPr>
            </w:pPr>
            <w:r w:rsidRPr="00222917">
              <w:rPr>
                <w:sz w:val="18"/>
                <w:lang w:val="en-US"/>
              </w:rPr>
              <w:t>375</w:t>
            </w:r>
          </w:p>
        </w:tc>
        <w:tc>
          <w:tcPr>
            <w:tcW w:w="964" w:type="dxa"/>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sz w:val="18"/>
                <w:lang w:val="en-US"/>
              </w:rPr>
            </w:pPr>
            <w:r w:rsidRPr="00222917">
              <w:rPr>
                <w:sz w:val="18"/>
                <w:lang w:val="en-US"/>
              </w:rPr>
              <w:t>2,324</w:t>
            </w:r>
          </w:p>
        </w:tc>
        <w:tc>
          <w:tcPr>
            <w:tcW w:w="964" w:type="dxa"/>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sz w:val="18"/>
                <w:lang w:val="en-US"/>
              </w:rPr>
            </w:pPr>
            <w:r w:rsidRPr="00222917">
              <w:rPr>
                <w:sz w:val="18"/>
                <w:lang w:val="en-US"/>
              </w:rPr>
              <w:t>701</w:t>
            </w:r>
          </w:p>
        </w:tc>
        <w:tc>
          <w:tcPr>
            <w:tcW w:w="964" w:type="dxa"/>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sz w:val="18"/>
                <w:lang w:val="en-US"/>
              </w:rPr>
            </w:pPr>
            <w:r w:rsidRPr="00222917">
              <w:rPr>
                <w:sz w:val="18"/>
                <w:lang w:val="en-US"/>
              </w:rPr>
              <w:t>868</w:t>
            </w:r>
          </w:p>
        </w:tc>
        <w:tc>
          <w:tcPr>
            <w:tcW w:w="964" w:type="dxa"/>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sz w:val="18"/>
                <w:lang w:val="en-US"/>
              </w:rPr>
            </w:pPr>
            <w:r w:rsidRPr="00222917">
              <w:rPr>
                <w:sz w:val="18"/>
                <w:lang w:val="en-US"/>
              </w:rPr>
              <w:t>1,871</w:t>
            </w:r>
          </w:p>
        </w:tc>
      </w:tr>
      <w:tr w:rsidR="00056A00" w:rsidRPr="00222917" w:rsidTr="007C4C8F">
        <w:trPr>
          <w:trHeight w:val="240"/>
        </w:trPr>
        <w:tc>
          <w:tcPr>
            <w:tcW w:w="624" w:type="dxa"/>
            <w:vMerge/>
            <w:tcBorders>
              <w:bottom w:val="single" w:sz="12" w:space="0" w:color="auto"/>
            </w:tcBorders>
            <w:shd w:val="clear" w:color="auto" w:fill="auto"/>
          </w:tcPr>
          <w:p w:rsidR="002D5BB0" w:rsidRPr="00222917" w:rsidRDefault="002D5BB0" w:rsidP="00D045EC">
            <w:pPr>
              <w:pStyle w:val="SingleTxtG"/>
              <w:suppressAutoHyphens w:val="0"/>
              <w:spacing w:before="40" w:after="40" w:line="220" w:lineRule="exact"/>
              <w:ind w:left="0" w:right="0"/>
              <w:jc w:val="left"/>
              <w:rPr>
                <w:bCs/>
                <w:sz w:val="18"/>
                <w:lang w:val="en-US"/>
              </w:rPr>
            </w:pPr>
          </w:p>
        </w:tc>
        <w:tc>
          <w:tcPr>
            <w:tcW w:w="964" w:type="dxa"/>
            <w:tcBorders>
              <w:bottom w:val="single" w:sz="12" w:space="0" w:color="auto"/>
            </w:tcBorders>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b/>
                <w:sz w:val="18"/>
                <w:lang w:val="en-US"/>
              </w:rPr>
            </w:pPr>
            <w:r w:rsidRPr="00222917">
              <w:rPr>
                <w:b/>
                <w:sz w:val="18"/>
                <w:lang w:val="en-US"/>
              </w:rPr>
              <w:t>100%</w:t>
            </w:r>
          </w:p>
        </w:tc>
        <w:tc>
          <w:tcPr>
            <w:tcW w:w="964" w:type="dxa"/>
            <w:tcBorders>
              <w:bottom w:val="single" w:sz="12" w:space="0" w:color="auto"/>
            </w:tcBorders>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sz w:val="18"/>
                <w:lang w:val="en-US"/>
              </w:rPr>
            </w:pPr>
            <w:r w:rsidRPr="00222917">
              <w:rPr>
                <w:sz w:val="18"/>
                <w:lang w:val="en-US"/>
              </w:rPr>
              <w:t>68.1</w:t>
            </w:r>
          </w:p>
        </w:tc>
        <w:tc>
          <w:tcPr>
            <w:tcW w:w="964" w:type="dxa"/>
            <w:tcBorders>
              <w:bottom w:val="single" w:sz="12" w:space="0" w:color="auto"/>
            </w:tcBorders>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sz w:val="18"/>
                <w:lang w:val="en-US"/>
              </w:rPr>
            </w:pPr>
            <w:r w:rsidRPr="00222917">
              <w:rPr>
                <w:sz w:val="18"/>
                <w:lang w:val="en-US"/>
              </w:rPr>
              <w:t>2.0</w:t>
            </w:r>
          </w:p>
        </w:tc>
        <w:tc>
          <w:tcPr>
            <w:tcW w:w="964" w:type="dxa"/>
            <w:tcBorders>
              <w:bottom w:val="single" w:sz="12" w:space="0" w:color="auto"/>
            </w:tcBorders>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sz w:val="18"/>
                <w:lang w:val="en-US"/>
              </w:rPr>
            </w:pPr>
            <w:r w:rsidRPr="00222917">
              <w:rPr>
                <w:sz w:val="18"/>
                <w:lang w:val="en-US"/>
              </w:rPr>
              <w:t>12.1</w:t>
            </w:r>
          </w:p>
        </w:tc>
        <w:tc>
          <w:tcPr>
            <w:tcW w:w="964" w:type="dxa"/>
            <w:tcBorders>
              <w:bottom w:val="single" w:sz="12" w:space="0" w:color="auto"/>
            </w:tcBorders>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sz w:val="18"/>
                <w:lang w:val="en-US"/>
              </w:rPr>
            </w:pPr>
            <w:r w:rsidRPr="00222917">
              <w:rPr>
                <w:sz w:val="18"/>
                <w:lang w:val="en-US"/>
              </w:rPr>
              <w:t>3.6</w:t>
            </w:r>
          </w:p>
        </w:tc>
        <w:tc>
          <w:tcPr>
            <w:tcW w:w="964" w:type="dxa"/>
            <w:tcBorders>
              <w:bottom w:val="single" w:sz="12" w:space="0" w:color="auto"/>
            </w:tcBorders>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sz w:val="18"/>
                <w:lang w:val="en-US"/>
              </w:rPr>
            </w:pPr>
            <w:r w:rsidRPr="00222917">
              <w:rPr>
                <w:sz w:val="18"/>
                <w:lang w:val="en-US"/>
              </w:rPr>
              <w:t>4.5</w:t>
            </w:r>
          </w:p>
        </w:tc>
        <w:tc>
          <w:tcPr>
            <w:tcW w:w="964" w:type="dxa"/>
            <w:tcBorders>
              <w:bottom w:val="single" w:sz="12" w:space="0" w:color="auto"/>
            </w:tcBorders>
            <w:shd w:val="clear" w:color="auto" w:fill="auto"/>
            <w:vAlign w:val="bottom"/>
          </w:tcPr>
          <w:p w:rsidR="002D5BB0" w:rsidRPr="00222917" w:rsidRDefault="002D5BB0" w:rsidP="00D045EC">
            <w:pPr>
              <w:pStyle w:val="SingleTxtG"/>
              <w:suppressAutoHyphens w:val="0"/>
              <w:spacing w:before="40" w:after="40" w:line="220" w:lineRule="exact"/>
              <w:ind w:left="0" w:right="0"/>
              <w:jc w:val="right"/>
              <w:rPr>
                <w:sz w:val="18"/>
                <w:lang w:val="en-US"/>
              </w:rPr>
            </w:pPr>
            <w:r w:rsidRPr="00222917">
              <w:rPr>
                <w:sz w:val="18"/>
                <w:lang w:val="en-US"/>
              </w:rPr>
              <w:t>9.7</w:t>
            </w:r>
          </w:p>
        </w:tc>
      </w:tr>
    </w:tbl>
    <w:p w:rsidR="002D5BB0" w:rsidRPr="00222917" w:rsidRDefault="00C754DF" w:rsidP="00C754DF">
      <w:pPr>
        <w:pStyle w:val="H23G"/>
        <w:rPr>
          <w:lang w:val="en-US"/>
        </w:rPr>
      </w:pPr>
      <w:r w:rsidRPr="00222917">
        <w:rPr>
          <w:lang w:val="en-US"/>
        </w:rPr>
        <w:tab/>
      </w:r>
      <w:r w:rsidRPr="00222917">
        <w:rPr>
          <w:lang w:val="en-US"/>
        </w:rPr>
        <w:tab/>
      </w:r>
      <w:r w:rsidR="002D5BB0" w:rsidRPr="00222917">
        <w:rPr>
          <w:lang w:val="en-US"/>
        </w:rPr>
        <w:t>Services Provided at Dedicated Centers against Sexual Violence against Children</w:t>
      </w:r>
    </w:p>
    <w:tbl>
      <w:tblPr>
        <w:tblW w:w="0" w:type="auto"/>
        <w:tblInd w:w="1134" w:type="dxa"/>
        <w:tblBorders>
          <w:top w:val="single" w:sz="4" w:space="0" w:color="auto"/>
        </w:tblBorders>
        <w:tblLayout w:type="fixed"/>
        <w:tblCellMar>
          <w:left w:w="0" w:type="dxa"/>
          <w:right w:w="0" w:type="dxa"/>
        </w:tblCellMar>
        <w:tblLook w:val="0000"/>
      </w:tblPr>
      <w:tblGrid>
        <w:gridCol w:w="1134"/>
        <w:gridCol w:w="1247"/>
        <w:gridCol w:w="1247"/>
        <w:gridCol w:w="1247"/>
        <w:gridCol w:w="1247"/>
        <w:gridCol w:w="1247"/>
      </w:tblGrid>
      <w:tr w:rsidR="006E1F63" w:rsidRPr="00222917" w:rsidTr="0054076C">
        <w:trPr>
          <w:trHeight w:val="240"/>
          <w:tblHeader/>
        </w:trPr>
        <w:tc>
          <w:tcPr>
            <w:tcW w:w="1134" w:type="dxa"/>
            <w:vMerge w:val="restart"/>
            <w:tcBorders>
              <w:top w:val="single" w:sz="4" w:space="0" w:color="auto"/>
              <w:bottom w:val="single" w:sz="12" w:space="0" w:color="auto"/>
            </w:tcBorders>
            <w:shd w:val="clear" w:color="auto" w:fill="auto"/>
            <w:vAlign w:val="bottom"/>
          </w:tcPr>
          <w:p w:rsidR="002D5BB0" w:rsidRPr="00222917" w:rsidRDefault="002D5BB0" w:rsidP="00CB74BF">
            <w:pPr>
              <w:pStyle w:val="SingleTxtG"/>
              <w:suppressAutoHyphens w:val="0"/>
              <w:spacing w:before="80" w:after="80" w:line="200" w:lineRule="exact"/>
              <w:ind w:left="0" w:right="0"/>
              <w:jc w:val="left"/>
              <w:rPr>
                <w:i/>
                <w:sz w:val="16"/>
                <w:szCs w:val="16"/>
                <w:lang w:val="en-US"/>
              </w:rPr>
            </w:pPr>
            <w:r w:rsidRPr="00222917">
              <w:rPr>
                <w:bCs/>
                <w:i/>
                <w:sz w:val="16"/>
                <w:szCs w:val="16"/>
                <w:lang w:val="en-US"/>
              </w:rPr>
              <w:t>Description</w:t>
            </w:r>
          </w:p>
        </w:tc>
        <w:tc>
          <w:tcPr>
            <w:tcW w:w="1247" w:type="dxa"/>
            <w:vMerge w:val="restart"/>
            <w:tcBorders>
              <w:top w:val="single" w:sz="4" w:space="0" w:color="auto"/>
              <w:bottom w:val="single" w:sz="12" w:space="0" w:color="auto"/>
            </w:tcBorders>
            <w:shd w:val="clear" w:color="auto" w:fill="auto"/>
            <w:vAlign w:val="bottom"/>
          </w:tcPr>
          <w:p w:rsidR="002D5BB0" w:rsidRPr="00222917" w:rsidRDefault="007863B6" w:rsidP="00CB74BF">
            <w:pPr>
              <w:pStyle w:val="SingleTxtG"/>
              <w:suppressAutoHyphens w:val="0"/>
              <w:spacing w:before="80" w:after="80" w:line="200" w:lineRule="exact"/>
              <w:ind w:left="0" w:right="0"/>
              <w:jc w:val="right"/>
              <w:rPr>
                <w:i/>
                <w:sz w:val="16"/>
                <w:szCs w:val="16"/>
                <w:lang w:val="en-US"/>
              </w:rPr>
            </w:pPr>
            <w:r w:rsidRPr="00222917">
              <w:rPr>
                <w:bCs/>
                <w:i/>
                <w:sz w:val="16"/>
                <w:szCs w:val="16"/>
                <w:lang w:val="en-US"/>
              </w:rPr>
              <w:t>Number</w:t>
            </w:r>
            <w:r w:rsidRPr="00222917">
              <w:rPr>
                <w:bCs/>
                <w:i/>
                <w:sz w:val="16"/>
                <w:szCs w:val="16"/>
                <w:lang w:val="en-US"/>
              </w:rPr>
              <w:br/>
            </w:r>
            <w:r w:rsidR="002D5BB0" w:rsidRPr="00222917">
              <w:rPr>
                <w:bCs/>
                <w:i/>
                <w:sz w:val="16"/>
                <w:szCs w:val="16"/>
                <w:lang w:val="en-US"/>
              </w:rPr>
              <w:t xml:space="preserve">of Victims </w:t>
            </w:r>
            <w:r w:rsidR="002D5BB0" w:rsidRPr="00222917">
              <w:rPr>
                <w:i/>
                <w:sz w:val="16"/>
                <w:szCs w:val="16"/>
                <w:lang w:val="en-US"/>
              </w:rPr>
              <w:t>Served</w:t>
            </w:r>
          </w:p>
        </w:tc>
        <w:tc>
          <w:tcPr>
            <w:tcW w:w="1247" w:type="dxa"/>
            <w:gridSpan w:val="4"/>
            <w:tcBorders>
              <w:top w:val="single" w:sz="4" w:space="0" w:color="auto"/>
              <w:bottom w:val="single" w:sz="4" w:space="0" w:color="000000"/>
            </w:tcBorders>
            <w:shd w:val="clear" w:color="auto" w:fill="auto"/>
            <w:vAlign w:val="bottom"/>
          </w:tcPr>
          <w:p w:rsidR="002D5BB0" w:rsidRPr="00222917" w:rsidRDefault="002D5BB0" w:rsidP="00CB74BF">
            <w:pPr>
              <w:pStyle w:val="SingleTxtG"/>
              <w:suppressAutoHyphens w:val="0"/>
              <w:spacing w:before="80" w:after="80" w:line="200" w:lineRule="exact"/>
              <w:ind w:left="0" w:right="0"/>
              <w:jc w:val="center"/>
              <w:rPr>
                <w:i/>
                <w:sz w:val="16"/>
                <w:szCs w:val="16"/>
                <w:lang w:val="en-US"/>
              </w:rPr>
            </w:pPr>
            <w:r w:rsidRPr="00222917">
              <w:rPr>
                <w:i/>
                <w:sz w:val="16"/>
                <w:szCs w:val="16"/>
                <w:lang w:val="en-US"/>
              </w:rPr>
              <w:t>Number of cases of services</w:t>
            </w:r>
          </w:p>
        </w:tc>
      </w:tr>
      <w:tr w:rsidR="006E1F63" w:rsidRPr="00222917" w:rsidTr="0054076C">
        <w:trPr>
          <w:trHeight w:val="240"/>
          <w:tblHeader/>
        </w:trPr>
        <w:tc>
          <w:tcPr>
            <w:tcW w:w="1134" w:type="dxa"/>
            <w:vMerge/>
            <w:tcBorders>
              <w:top w:val="single" w:sz="12" w:space="0" w:color="auto"/>
              <w:bottom w:val="single" w:sz="12" w:space="0" w:color="000000"/>
            </w:tcBorders>
            <w:shd w:val="clear" w:color="auto" w:fill="auto"/>
            <w:vAlign w:val="bottom"/>
          </w:tcPr>
          <w:p w:rsidR="002D5BB0" w:rsidRPr="00222917" w:rsidRDefault="002D5BB0" w:rsidP="00CB74BF">
            <w:pPr>
              <w:pStyle w:val="SingleTxtG"/>
              <w:suppressAutoHyphens w:val="0"/>
              <w:spacing w:before="80" w:after="80" w:line="200" w:lineRule="exact"/>
              <w:ind w:left="0" w:right="0"/>
              <w:jc w:val="left"/>
              <w:rPr>
                <w:i/>
                <w:sz w:val="16"/>
                <w:szCs w:val="16"/>
                <w:lang w:val="en-US"/>
              </w:rPr>
            </w:pPr>
          </w:p>
        </w:tc>
        <w:tc>
          <w:tcPr>
            <w:tcW w:w="1247" w:type="dxa"/>
            <w:vMerge/>
            <w:tcBorders>
              <w:top w:val="single" w:sz="12" w:space="0" w:color="auto"/>
              <w:bottom w:val="single" w:sz="12" w:space="0" w:color="000000"/>
            </w:tcBorders>
            <w:shd w:val="clear" w:color="auto" w:fill="auto"/>
            <w:vAlign w:val="bottom"/>
          </w:tcPr>
          <w:p w:rsidR="002D5BB0" w:rsidRPr="00222917" w:rsidRDefault="002D5BB0" w:rsidP="00CB74BF">
            <w:pPr>
              <w:pStyle w:val="SingleTxtG"/>
              <w:suppressAutoHyphens w:val="0"/>
              <w:spacing w:before="80" w:after="80" w:line="200" w:lineRule="exact"/>
              <w:ind w:left="0" w:right="0"/>
              <w:jc w:val="right"/>
              <w:rPr>
                <w:i/>
                <w:sz w:val="16"/>
                <w:szCs w:val="16"/>
                <w:lang w:val="en-US"/>
              </w:rPr>
            </w:pPr>
          </w:p>
        </w:tc>
        <w:tc>
          <w:tcPr>
            <w:tcW w:w="1247" w:type="dxa"/>
            <w:tcBorders>
              <w:top w:val="single" w:sz="4" w:space="0" w:color="000000"/>
              <w:bottom w:val="single" w:sz="12" w:space="0" w:color="000000"/>
            </w:tcBorders>
            <w:shd w:val="clear" w:color="auto" w:fill="auto"/>
            <w:vAlign w:val="bottom"/>
          </w:tcPr>
          <w:p w:rsidR="002D5BB0" w:rsidRPr="00222917" w:rsidRDefault="002D5BB0" w:rsidP="00CB74BF">
            <w:pPr>
              <w:pStyle w:val="SingleTxtG"/>
              <w:suppressAutoHyphens w:val="0"/>
              <w:spacing w:before="80" w:after="80" w:line="200" w:lineRule="exact"/>
              <w:ind w:left="0" w:right="0"/>
              <w:jc w:val="right"/>
              <w:rPr>
                <w:b/>
                <w:i/>
                <w:sz w:val="16"/>
                <w:szCs w:val="16"/>
                <w:lang w:val="en-US"/>
              </w:rPr>
            </w:pPr>
            <w:r w:rsidRPr="00222917">
              <w:rPr>
                <w:b/>
                <w:bCs/>
                <w:i/>
                <w:sz w:val="16"/>
                <w:szCs w:val="16"/>
                <w:lang w:val="en-US"/>
              </w:rPr>
              <w:t>Total</w:t>
            </w:r>
          </w:p>
        </w:tc>
        <w:tc>
          <w:tcPr>
            <w:tcW w:w="1247" w:type="dxa"/>
            <w:tcBorders>
              <w:top w:val="single" w:sz="4" w:space="0" w:color="000000"/>
              <w:bottom w:val="single" w:sz="12" w:space="0" w:color="000000"/>
            </w:tcBorders>
            <w:shd w:val="clear" w:color="auto" w:fill="auto"/>
            <w:vAlign w:val="bottom"/>
          </w:tcPr>
          <w:p w:rsidR="002D5BB0" w:rsidRPr="00222917" w:rsidRDefault="002D5BB0" w:rsidP="00CB74BF">
            <w:pPr>
              <w:pStyle w:val="SingleTxtG"/>
              <w:suppressAutoHyphens w:val="0"/>
              <w:spacing w:before="80" w:after="80" w:line="200" w:lineRule="exact"/>
              <w:ind w:left="0" w:right="0"/>
              <w:jc w:val="right"/>
              <w:rPr>
                <w:i/>
                <w:sz w:val="16"/>
                <w:szCs w:val="16"/>
                <w:lang w:val="en-US"/>
              </w:rPr>
            </w:pPr>
            <w:r w:rsidRPr="00222917">
              <w:rPr>
                <w:bCs/>
                <w:i/>
                <w:sz w:val="16"/>
                <w:szCs w:val="16"/>
                <w:lang w:val="en-US"/>
              </w:rPr>
              <w:t>Medical support</w:t>
            </w:r>
          </w:p>
        </w:tc>
        <w:tc>
          <w:tcPr>
            <w:tcW w:w="1247" w:type="dxa"/>
            <w:tcBorders>
              <w:top w:val="single" w:sz="4" w:space="0" w:color="000000"/>
              <w:bottom w:val="single" w:sz="12" w:space="0" w:color="000000"/>
            </w:tcBorders>
            <w:shd w:val="clear" w:color="auto" w:fill="auto"/>
            <w:vAlign w:val="bottom"/>
          </w:tcPr>
          <w:p w:rsidR="002D5BB0" w:rsidRPr="00222917" w:rsidRDefault="002D5BB0" w:rsidP="00CB74BF">
            <w:pPr>
              <w:pStyle w:val="SingleTxtG"/>
              <w:suppressAutoHyphens w:val="0"/>
              <w:spacing w:before="80" w:after="80" w:line="200" w:lineRule="exact"/>
              <w:ind w:left="0" w:right="0"/>
              <w:jc w:val="right"/>
              <w:rPr>
                <w:i/>
                <w:sz w:val="16"/>
                <w:szCs w:val="16"/>
                <w:lang w:val="en-US"/>
              </w:rPr>
            </w:pPr>
            <w:r w:rsidRPr="00222917">
              <w:rPr>
                <w:i/>
                <w:sz w:val="16"/>
                <w:szCs w:val="16"/>
                <w:lang w:val="en-US"/>
              </w:rPr>
              <w:t>Counseling</w:t>
            </w:r>
          </w:p>
        </w:tc>
        <w:tc>
          <w:tcPr>
            <w:tcW w:w="1247" w:type="dxa"/>
            <w:tcBorders>
              <w:top w:val="single" w:sz="4" w:space="0" w:color="000000"/>
              <w:bottom w:val="single" w:sz="12" w:space="0" w:color="000000"/>
            </w:tcBorders>
            <w:shd w:val="clear" w:color="auto" w:fill="auto"/>
            <w:vAlign w:val="bottom"/>
          </w:tcPr>
          <w:p w:rsidR="002D5BB0" w:rsidRPr="00222917" w:rsidRDefault="002D5BB0" w:rsidP="00CB74BF">
            <w:pPr>
              <w:pStyle w:val="SingleTxtG"/>
              <w:suppressAutoHyphens w:val="0"/>
              <w:spacing w:before="80" w:after="80" w:line="200" w:lineRule="exact"/>
              <w:ind w:left="0" w:right="0"/>
              <w:jc w:val="right"/>
              <w:rPr>
                <w:i/>
                <w:sz w:val="16"/>
                <w:szCs w:val="16"/>
                <w:lang w:val="en-US"/>
              </w:rPr>
            </w:pPr>
            <w:r w:rsidRPr="00222917">
              <w:rPr>
                <w:bCs/>
                <w:i/>
                <w:sz w:val="16"/>
                <w:szCs w:val="16"/>
                <w:lang w:val="en-US"/>
              </w:rPr>
              <w:t>Legal Aid</w:t>
            </w:r>
          </w:p>
        </w:tc>
      </w:tr>
      <w:tr w:rsidR="006E1F63" w:rsidRPr="00222917" w:rsidTr="0054076C">
        <w:trPr>
          <w:trHeight w:val="240"/>
        </w:trPr>
        <w:tc>
          <w:tcPr>
            <w:tcW w:w="1134" w:type="dxa"/>
            <w:tcBorders>
              <w:top w:val="single" w:sz="12" w:space="0" w:color="000000"/>
            </w:tcBorders>
            <w:shd w:val="clear" w:color="auto" w:fill="auto"/>
          </w:tcPr>
          <w:p w:rsidR="002D5BB0" w:rsidRPr="00222917" w:rsidRDefault="002D5BB0" w:rsidP="00CB74BF">
            <w:pPr>
              <w:pStyle w:val="SingleTxtG"/>
              <w:suppressAutoHyphens w:val="0"/>
              <w:spacing w:before="40" w:after="40" w:line="220" w:lineRule="exact"/>
              <w:ind w:left="0" w:right="0"/>
              <w:jc w:val="left"/>
              <w:rPr>
                <w:sz w:val="18"/>
                <w:lang w:val="en-US"/>
              </w:rPr>
            </w:pPr>
            <w:r w:rsidRPr="00222917">
              <w:rPr>
                <w:sz w:val="18"/>
                <w:lang w:val="en-US"/>
              </w:rPr>
              <w:t>2006</w:t>
            </w:r>
          </w:p>
        </w:tc>
        <w:tc>
          <w:tcPr>
            <w:tcW w:w="1247" w:type="dxa"/>
            <w:tcBorders>
              <w:top w:val="single" w:sz="12" w:space="0" w:color="000000"/>
            </w:tcBorders>
            <w:shd w:val="clear" w:color="auto" w:fill="auto"/>
            <w:vAlign w:val="bottom"/>
          </w:tcPr>
          <w:p w:rsidR="002D5BB0" w:rsidRPr="00222917" w:rsidRDefault="002D5BB0" w:rsidP="00CB74BF">
            <w:pPr>
              <w:pStyle w:val="SingleTxtG"/>
              <w:suppressAutoHyphens w:val="0"/>
              <w:spacing w:before="40" w:after="40" w:line="220" w:lineRule="exact"/>
              <w:ind w:left="0" w:right="0"/>
              <w:jc w:val="right"/>
              <w:rPr>
                <w:sz w:val="18"/>
                <w:lang w:val="en-US"/>
              </w:rPr>
            </w:pPr>
            <w:r w:rsidRPr="00222917">
              <w:rPr>
                <w:sz w:val="18"/>
                <w:lang w:val="en-US"/>
              </w:rPr>
              <w:t>1,039(53)</w:t>
            </w:r>
          </w:p>
        </w:tc>
        <w:tc>
          <w:tcPr>
            <w:tcW w:w="1247" w:type="dxa"/>
            <w:tcBorders>
              <w:top w:val="single" w:sz="12" w:space="0" w:color="000000"/>
            </w:tcBorders>
            <w:shd w:val="clear" w:color="auto" w:fill="auto"/>
            <w:vAlign w:val="bottom"/>
          </w:tcPr>
          <w:p w:rsidR="002D5BB0" w:rsidRPr="00222917" w:rsidRDefault="002D5BB0" w:rsidP="00CB74BF">
            <w:pPr>
              <w:pStyle w:val="SingleTxtG"/>
              <w:suppressAutoHyphens w:val="0"/>
              <w:spacing w:before="40" w:after="40" w:line="220" w:lineRule="exact"/>
              <w:ind w:left="0" w:right="0"/>
              <w:jc w:val="right"/>
              <w:rPr>
                <w:b/>
                <w:sz w:val="18"/>
                <w:lang w:val="en-US"/>
              </w:rPr>
            </w:pPr>
            <w:r w:rsidRPr="00222917">
              <w:rPr>
                <w:b/>
                <w:sz w:val="18"/>
                <w:lang w:val="en-US"/>
              </w:rPr>
              <w:t>7,568(503)</w:t>
            </w:r>
          </w:p>
        </w:tc>
        <w:tc>
          <w:tcPr>
            <w:tcW w:w="1247" w:type="dxa"/>
            <w:tcBorders>
              <w:top w:val="single" w:sz="12" w:space="0" w:color="000000"/>
            </w:tcBorders>
            <w:shd w:val="clear" w:color="auto" w:fill="auto"/>
            <w:vAlign w:val="bottom"/>
          </w:tcPr>
          <w:p w:rsidR="002D5BB0" w:rsidRPr="00222917" w:rsidRDefault="002D5BB0" w:rsidP="00CB74BF">
            <w:pPr>
              <w:pStyle w:val="SingleTxtG"/>
              <w:suppressAutoHyphens w:val="0"/>
              <w:spacing w:before="40" w:after="40" w:line="220" w:lineRule="exact"/>
              <w:ind w:left="0" w:right="0"/>
              <w:jc w:val="right"/>
              <w:rPr>
                <w:sz w:val="18"/>
                <w:lang w:val="en-US"/>
              </w:rPr>
            </w:pPr>
            <w:r w:rsidRPr="00222917">
              <w:rPr>
                <w:sz w:val="18"/>
                <w:lang w:val="en-US"/>
              </w:rPr>
              <w:t>2,312(129)</w:t>
            </w:r>
          </w:p>
        </w:tc>
        <w:tc>
          <w:tcPr>
            <w:tcW w:w="1247" w:type="dxa"/>
            <w:tcBorders>
              <w:top w:val="single" w:sz="12" w:space="0" w:color="000000"/>
            </w:tcBorders>
            <w:shd w:val="clear" w:color="auto" w:fill="auto"/>
            <w:vAlign w:val="bottom"/>
          </w:tcPr>
          <w:p w:rsidR="002D5BB0" w:rsidRPr="00222917" w:rsidRDefault="002D5BB0" w:rsidP="00CB74BF">
            <w:pPr>
              <w:pStyle w:val="SingleTxtG"/>
              <w:suppressAutoHyphens w:val="0"/>
              <w:spacing w:before="40" w:after="40" w:line="220" w:lineRule="exact"/>
              <w:ind w:left="0" w:right="0"/>
              <w:jc w:val="right"/>
              <w:rPr>
                <w:sz w:val="18"/>
                <w:lang w:val="en-US"/>
              </w:rPr>
            </w:pPr>
            <w:r w:rsidRPr="00222917">
              <w:rPr>
                <w:sz w:val="18"/>
                <w:lang w:val="en-US"/>
              </w:rPr>
              <w:t>3,944(285)</w:t>
            </w:r>
          </w:p>
        </w:tc>
        <w:tc>
          <w:tcPr>
            <w:tcW w:w="1247" w:type="dxa"/>
            <w:tcBorders>
              <w:top w:val="single" w:sz="12" w:space="0" w:color="000000"/>
            </w:tcBorders>
            <w:shd w:val="clear" w:color="auto" w:fill="auto"/>
            <w:vAlign w:val="bottom"/>
          </w:tcPr>
          <w:p w:rsidR="002D5BB0" w:rsidRPr="00222917" w:rsidRDefault="002D5BB0" w:rsidP="00CB74BF">
            <w:pPr>
              <w:pStyle w:val="SingleTxtG"/>
              <w:suppressAutoHyphens w:val="0"/>
              <w:spacing w:before="40" w:after="40" w:line="220" w:lineRule="exact"/>
              <w:ind w:left="0" w:right="0"/>
              <w:jc w:val="right"/>
              <w:rPr>
                <w:sz w:val="18"/>
                <w:lang w:val="en-US"/>
              </w:rPr>
            </w:pPr>
            <w:r w:rsidRPr="00222917">
              <w:rPr>
                <w:sz w:val="18"/>
                <w:lang w:val="en-US"/>
              </w:rPr>
              <w:t>1,312(89)</w:t>
            </w:r>
          </w:p>
        </w:tc>
      </w:tr>
      <w:tr w:rsidR="006E1F63" w:rsidRPr="00222917" w:rsidTr="007863B6">
        <w:trPr>
          <w:trHeight w:val="240"/>
        </w:trPr>
        <w:tc>
          <w:tcPr>
            <w:tcW w:w="1134" w:type="dxa"/>
            <w:shd w:val="clear" w:color="auto" w:fill="auto"/>
          </w:tcPr>
          <w:p w:rsidR="002D5BB0" w:rsidRPr="00222917" w:rsidRDefault="002D5BB0" w:rsidP="00CB74BF">
            <w:pPr>
              <w:pStyle w:val="SingleTxtG"/>
              <w:suppressAutoHyphens w:val="0"/>
              <w:spacing w:before="40" w:after="40" w:line="220" w:lineRule="exact"/>
              <w:ind w:left="0" w:right="0"/>
              <w:jc w:val="left"/>
              <w:rPr>
                <w:sz w:val="18"/>
                <w:lang w:val="en-US"/>
              </w:rPr>
            </w:pPr>
            <w:r w:rsidRPr="00222917">
              <w:rPr>
                <w:sz w:val="18"/>
                <w:lang w:val="en-US"/>
              </w:rPr>
              <w:t>2007</w:t>
            </w:r>
          </w:p>
        </w:tc>
        <w:tc>
          <w:tcPr>
            <w:tcW w:w="1247" w:type="dxa"/>
            <w:shd w:val="clear" w:color="auto" w:fill="auto"/>
            <w:vAlign w:val="bottom"/>
          </w:tcPr>
          <w:p w:rsidR="002D5BB0" w:rsidRPr="00222917" w:rsidRDefault="002D5BB0" w:rsidP="00CB74BF">
            <w:pPr>
              <w:pStyle w:val="SingleTxtG"/>
              <w:suppressAutoHyphens w:val="0"/>
              <w:spacing w:before="40" w:after="40" w:line="220" w:lineRule="exact"/>
              <w:ind w:left="0" w:right="0"/>
              <w:jc w:val="right"/>
              <w:rPr>
                <w:sz w:val="18"/>
                <w:lang w:val="en-US"/>
              </w:rPr>
            </w:pPr>
            <w:r w:rsidRPr="00222917">
              <w:rPr>
                <w:sz w:val="18"/>
                <w:lang w:val="en-US"/>
              </w:rPr>
              <w:t>1,004(63)</w:t>
            </w:r>
          </w:p>
        </w:tc>
        <w:tc>
          <w:tcPr>
            <w:tcW w:w="1247" w:type="dxa"/>
            <w:shd w:val="clear" w:color="auto" w:fill="auto"/>
            <w:vAlign w:val="bottom"/>
          </w:tcPr>
          <w:p w:rsidR="002D5BB0" w:rsidRPr="00222917" w:rsidRDefault="002D5BB0" w:rsidP="00CB74BF">
            <w:pPr>
              <w:pStyle w:val="SingleTxtG"/>
              <w:suppressAutoHyphens w:val="0"/>
              <w:spacing w:before="40" w:after="40" w:line="220" w:lineRule="exact"/>
              <w:ind w:left="0" w:right="0"/>
              <w:jc w:val="right"/>
              <w:rPr>
                <w:b/>
                <w:sz w:val="18"/>
                <w:lang w:val="en-US"/>
              </w:rPr>
            </w:pPr>
            <w:r w:rsidRPr="00222917">
              <w:rPr>
                <w:b/>
                <w:sz w:val="18"/>
                <w:lang w:val="en-US"/>
              </w:rPr>
              <w:t>7,729(560)</w:t>
            </w:r>
          </w:p>
        </w:tc>
        <w:tc>
          <w:tcPr>
            <w:tcW w:w="1247" w:type="dxa"/>
            <w:shd w:val="clear" w:color="auto" w:fill="auto"/>
            <w:vAlign w:val="bottom"/>
          </w:tcPr>
          <w:p w:rsidR="002D5BB0" w:rsidRPr="00222917" w:rsidRDefault="002D5BB0" w:rsidP="00CB74BF">
            <w:pPr>
              <w:pStyle w:val="SingleTxtG"/>
              <w:suppressAutoHyphens w:val="0"/>
              <w:spacing w:before="40" w:after="40" w:line="220" w:lineRule="exact"/>
              <w:ind w:left="0" w:right="0"/>
              <w:jc w:val="right"/>
              <w:rPr>
                <w:sz w:val="18"/>
                <w:lang w:val="en-US"/>
              </w:rPr>
            </w:pPr>
            <w:r w:rsidRPr="00222917">
              <w:rPr>
                <w:sz w:val="18"/>
                <w:lang w:val="en-US"/>
              </w:rPr>
              <w:t>2,237(170)</w:t>
            </w:r>
          </w:p>
        </w:tc>
        <w:tc>
          <w:tcPr>
            <w:tcW w:w="1247" w:type="dxa"/>
            <w:shd w:val="clear" w:color="auto" w:fill="auto"/>
            <w:vAlign w:val="bottom"/>
          </w:tcPr>
          <w:p w:rsidR="002D5BB0" w:rsidRPr="00222917" w:rsidRDefault="002D5BB0" w:rsidP="00CB74BF">
            <w:pPr>
              <w:pStyle w:val="SingleTxtG"/>
              <w:suppressAutoHyphens w:val="0"/>
              <w:spacing w:before="40" w:after="40" w:line="220" w:lineRule="exact"/>
              <w:ind w:left="0" w:right="0"/>
              <w:jc w:val="right"/>
              <w:rPr>
                <w:sz w:val="18"/>
                <w:lang w:val="en-US"/>
              </w:rPr>
            </w:pPr>
            <w:r w:rsidRPr="00222917">
              <w:rPr>
                <w:sz w:val="18"/>
                <w:lang w:val="en-US"/>
              </w:rPr>
              <w:t>4,131(303)</w:t>
            </w:r>
          </w:p>
        </w:tc>
        <w:tc>
          <w:tcPr>
            <w:tcW w:w="1247" w:type="dxa"/>
            <w:shd w:val="clear" w:color="auto" w:fill="auto"/>
            <w:vAlign w:val="bottom"/>
          </w:tcPr>
          <w:p w:rsidR="002D5BB0" w:rsidRPr="00222917" w:rsidRDefault="002D5BB0" w:rsidP="00CB74BF">
            <w:pPr>
              <w:pStyle w:val="SingleTxtG"/>
              <w:suppressAutoHyphens w:val="0"/>
              <w:spacing w:before="40" w:after="40" w:line="220" w:lineRule="exact"/>
              <w:ind w:left="0" w:right="0"/>
              <w:jc w:val="right"/>
              <w:rPr>
                <w:sz w:val="18"/>
                <w:lang w:val="en-US"/>
              </w:rPr>
            </w:pPr>
            <w:r w:rsidRPr="00222917">
              <w:rPr>
                <w:sz w:val="18"/>
                <w:lang w:val="en-US"/>
              </w:rPr>
              <w:t>1,361(87)</w:t>
            </w:r>
          </w:p>
        </w:tc>
      </w:tr>
      <w:tr w:rsidR="006E1F63" w:rsidRPr="00222917" w:rsidTr="007863B6">
        <w:trPr>
          <w:trHeight w:val="240"/>
        </w:trPr>
        <w:tc>
          <w:tcPr>
            <w:tcW w:w="1134" w:type="dxa"/>
            <w:shd w:val="clear" w:color="auto" w:fill="auto"/>
          </w:tcPr>
          <w:p w:rsidR="002D5BB0" w:rsidRPr="00222917" w:rsidRDefault="002D5BB0" w:rsidP="00CB74BF">
            <w:pPr>
              <w:pStyle w:val="SingleTxtG"/>
              <w:suppressAutoHyphens w:val="0"/>
              <w:spacing w:before="40" w:after="40" w:line="220" w:lineRule="exact"/>
              <w:ind w:left="0" w:right="0"/>
              <w:jc w:val="left"/>
              <w:rPr>
                <w:sz w:val="18"/>
                <w:lang w:val="en-US"/>
              </w:rPr>
            </w:pPr>
            <w:r w:rsidRPr="00222917">
              <w:rPr>
                <w:sz w:val="18"/>
                <w:lang w:val="en-US"/>
              </w:rPr>
              <w:t>2008</w:t>
            </w:r>
          </w:p>
        </w:tc>
        <w:tc>
          <w:tcPr>
            <w:tcW w:w="1247" w:type="dxa"/>
            <w:shd w:val="clear" w:color="auto" w:fill="auto"/>
            <w:vAlign w:val="bottom"/>
          </w:tcPr>
          <w:p w:rsidR="002D5BB0" w:rsidRPr="00222917" w:rsidRDefault="002D5BB0" w:rsidP="00CB74BF">
            <w:pPr>
              <w:pStyle w:val="SingleTxtG"/>
              <w:suppressAutoHyphens w:val="0"/>
              <w:spacing w:before="40" w:after="40" w:line="220" w:lineRule="exact"/>
              <w:ind w:left="0" w:right="0"/>
              <w:jc w:val="right"/>
              <w:rPr>
                <w:sz w:val="18"/>
                <w:lang w:val="en-US"/>
              </w:rPr>
            </w:pPr>
            <w:r w:rsidRPr="00222917">
              <w:rPr>
                <w:sz w:val="18"/>
                <w:lang w:val="en-US"/>
              </w:rPr>
              <w:t>1,060(78)</w:t>
            </w:r>
          </w:p>
        </w:tc>
        <w:tc>
          <w:tcPr>
            <w:tcW w:w="1247" w:type="dxa"/>
            <w:shd w:val="clear" w:color="auto" w:fill="auto"/>
            <w:vAlign w:val="bottom"/>
          </w:tcPr>
          <w:p w:rsidR="002D5BB0" w:rsidRPr="00222917" w:rsidRDefault="002D5BB0" w:rsidP="00CB74BF">
            <w:pPr>
              <w:pStyle w:val="SingleTxtG"/>
              <w:suppressAutoHyphens w:val="0"/>
              <w:spacing w:before="40" w:after="40" w:line="220" w:lineRule="exact"/>
              <w:ind w:left="0" w:right="0"/>
              <w:jc w:val="right"/>
              <w:rPr>
                <w:b/>
                <w:sz w:val="18"/>
                <w:lang w:val="en-US"/>
              </w:rPr>
            </w:pPr>
            <w:r w:rsidRPr="00222917">
              <w:rPr>
                <w:b/>
                <w:sz w:val="18"/>
                <w:lang w:val="en-US"/>
              </w:rPr>
              <w:t>9,043(584)</w:t>
            </w:r>
          </w:p>
        </w:tc>
        <w:tc>
          <w:tcPr>
            <w:tcW w:w="1247" w:type="dxa"/>
            <w:shd w:val="clear" w:color="auto" w:fill="auto"/>
            <w:vAlign w:val="bottom"/>
          </w:tcPr>
          <w:p w:rsidR="002D5BB0" w:rsidRPr="00222917" w:rsidRDefault="002D5BB0" w:rsidP="00CB74BF">
            <w:pPr>
              <w:pStyle w:val="SingleTxtG"/>
              <w:suppressAutoHyphens w:val="0"/>
              <w:spacing w:before="40" w:after="40" w:line="220" w:lineRule="exact"/>
              <w:ind w:left="0" w:right="0"/>
              <w:jc w:val="right"/>
              <w:rPr>
                <w:sz w:val="18"/>
                <w:lang w:val="en-US"/>
              </w:rPr>
            </w:pPr>
            <w:r w:rsidRPr="00222917">
              <w:rPr>
                <w:sz w:val="18"/>
                <w:lang w:val="en-US"/>
              </w:rPr>
              <w:t>2,449(200)</w:t>
            </w:r>
          </w:p>
        </w:tc>
        <w:tc>
          <w:tcPr>
            <w:tcW w:w="1247" w:type="dxa"/>
            <w:shd w:val="clear" w:color="auto" w:fill="auto"/>
            <w:vAlign w:val="bottom"/>
          </w:tcPr>
          <w:p w:rsidR="002D5BB0" w:rsidRPr="00222917" w:rsidRDefault="002D5BB0" w:rsidP="00CB74BF">
            <w:pPr>
              <w:pStyle w:val="SingleTxtG"/>
              <w:suppressAutoHyphens w:val="0"/>
              <w:spacing w:before="40" w:after="40" w:line="220" w:lineRule="exact"/>
              <w:ind w:left="0" w:right="0"/>
              <w:jc w:val="right"/>
              <w:rPr>
                <w:sz w:val="18"/>
                <w:lang w:val="en-US"/>
              </w:rPr>
            </w:pPr>
            <w:r w:rsidRPr="00222917">
              <w:rPr>
                <w:sz w:val="18"/>
                <w:lang w:val="en-US"/>
              </w:rPr>
              <w:t>5,196(322)</w:t>
            </w:r>
          </w:p>
        </w:tc>
        <w:tc>
          <w:tcPr>
            <w:tcW w:w="1247" w:type="dxa"/>
            <w:shd w:val="clear" w:color="auto" w:fill="auto"/>
            <w:vAlign w:val="bottom"/>
          </w:tcPr>
          <w:p w:rsidR="002D5BB0" w:rsidRPr="00222917" w:rsidRDefault="002D5BB0" w:rsidP="00CB74BF">
            <w:pPr>
              <w:pStyle w:val="SingleTxtG"/>
              <w:suppressAutoHyphens w:val="0"/>
              <w:spacing w:before="40" w:after="40" w:line="220" w:lineRule="exact"/>
              <w:ind w:left="0" w:right="0"/>
              <w:jc w:val="right"/>
              <w:rPr>
                <w:sz w:val="18"/>
                <w:lang w:val="en-US"/>
              </w:rPr>
            </w:pPr>
            <w:r w:rsidRPr="00222917">
              <w:rPr>
                <w:sz w:val="18"/>
                <w:lang w:val="en-US"/>
              </w:rPr>
              <w:t>1,398(62)</w:t>
            </w:r>
          </w:p>
        </w:tc>
      </w:tr>
      <w:tr w:rsidR="006E1F63" w:rsidRPr="00222917" w:rsidTr="007863B6">
        <w:trPr>
          <w:trHeight w:val="240"/>
        </w:trPr>
        <w:tc>
          <w:tcPr>
            <w:tcW w:w="1134" w:type="dxa"/>
            <w:shd w:val="clear" w:color="auto" w:fill="auto"/>
          </w:tcPr>
          <w:p w:rsidR="002D5BB0" w:rsidRPr="00222917" w:rsidRDefault="002D5BB0" w:rsidP="00CB74BF">
            <w:pPr>
              <w:pStyle w:val="SingleTxtG"/>
              <w:suppressAutoHyphens w:val="0"/>
              <w:spacing w:before="40" w:after="40" w:line="220" w:lineRule="exact"/>
              <w:ind w:left="0" w:right="0"/>
              <w:jc w:val="left"/>
              <w:rPr>
                <w:sz w:val="18"/>
                <w:lang w:val="en-US"/>
              </w:rPr>
            </w:pPr>
            <w:r w:rsidRPr="00222917">
              <w:rPr>
                <w:sz w:val="18"/>
                <w:lang w:val="en-US"/>
              </w:rPr>
              <w:t>2009</w:t>
            </w:r>
          </w:p>
        </w:tc>
        <w:tc>
          <w:tcPr>
            <w:tcW w:w="1247" w:type="dxa"/>
            <w:shd w:val="clear" w:color="auto" w:fill="auto"/>
            <w:vAlign w:val="bottom"/>
          </w:tcPr>
          <w:p w:rsidR="002D5BB0" w:rsidRPr="00222917" w:rsidRDefault="002D5BB0" w:rsidP="00CB74BF">
            <w:pPr>
              <w:pStyle w:val="SingleTxtG"/>
              <w:suppressAutoHyphens w:val="0"/>
              <w:spacing w:before="40" w:after="40" w:line="220" w:lineRule="exact"/>
              <w:ind w:left="0" w:right="0"/>
              <w:jc w:val="right"/>
              <w:rPr>
                <w:sz w:val="18"/>
                <w:lang w:val="en-US"/>
              </w:rPr>
            </w:pPr>
            <w:r w:rsidRPr="00222917">
              <w:rPr>
                <w:sz w:val="18"/>
                <w:lang w:val="en-US"/>
              </w:rPr>
              <w:t>1,292(91)</w:t>
            </w:r>
          </w:p>
        </w:tc>
        <w:tc>
          <w:tcPr>
            <w:tcW w:w="1247" w:type="dxa"/>
            <w:shd w:val="clear" w:color="auto" w:fill="auto"/>
            <w:vAlign w:val="bottom"/>
          </w:tcPr>
          <w:p w:rsidR="002D5BB0" w:rsidRPr="00222917" w:rsidRDefault="002D5BB0" w:rsidP="00CB74BF">
            <w:pPr>
              <w:pStyle w:val="SingleTxtG"/>
              <w:suppressAutoHyphens w:val="0"/>
              <w:spacing w:before="40" w:after="40" w:line="220" w:lineRule="exact"/>
              <w:ind w:left="0" w:right="0"/>
              <w:jc w:val="right"/>
              <w:rPr>
                <w:b/>
                <w:sz w:val="18"/>
                <w:lang w:val="en-US"/>
              </w:rPr>
            </w:pPr>
            <w:r w:rsidRPr="00222917">
              <w:rPr>
                <w:b/>
                <w:sz w:val="18"/>
                <w:lang w:val="en-US"/>
              </w:rPr>
              <w:t>13,371(1,071)</w:t>
            </w:r>
          </w:p>
        </w:tc>
        <w:tc>
          <w:tcPr>
            <w:tcW w:w="1247" w:type="dxa"/>
            <w:shd w:val="clear" w:color="auto" w:fill="auto"/>
            <w:vAlign w:val="bottom"/>
          </w:tcPr>
          <w:p w:rsidR="002D5BB0" w:rsidRPr="00222917" w:rsidRDefault="002D5BB0" w:rsidP="00CB74BF">
            <w:pPr>
              <w:pStyle w:val="SingleTxtG"/>
              <w:suppressAutoHyphens w:val="0"/>
              <w:spacing w:before="40" w:after="40" w:line="220" w:lineRule="exact"/>
              <w:ind w:left="0" w:right="0"/>
              <w:jc w:val="right"/>
              <w:rPr>
                <w:sz w:val="18"/>
                <w:lang w:val="en-US"/>
              </w:rPr>
            </w:pPr>
            <w:r w:rsidRPr="00222917">
              <w:rPr>
                <w:sz w:val="18"/>
                <w:lang w:val="en-US"/>
              </w:rPr>
              <w:t>3,093(292)</w:t>
            </w:r>
          </w:p>
        </w:tc>
        <w:tc>
          <w:tcPr>
            <w:tcW w:w="1247" w:type="dxa"/>
            <w:shd w:val="clear" w:color="auto" w:fill="auto"/>
            <w:vAlign w:val="bottom"/>
          </w:tcPr>
          <w:p w:rsidR="002D5BB0" w:rsidRPr="00222917" w:rsidRDefault="002D5BB0" w:rsidP="00CB74BF">
            <w:pPr>
              <w:pStyle w:val="SingleTxtG"/>
              <w:suppressAutoHyphens w:val="0"/>
              <w:spacing w:before="40" w:after="40" w:line="220" w:lineRule="exact"/>
              <w:ind w:left="0" w:right="0"/>
              <w:jc w:val="right"/>
              <w:rPr>
                <w:sz w:val="18"/>
                <w:lang w:val="en-US"/>
              </w:rPr>
            </w:pPr>
            <w:r w:rsidRPr="00222917">
              <w:rPr>
                <w:sz w:val="18"/>
                <w:lang w:val="en-US"/>
              </w:rPr>
              <w:t>8,338(576)</w:t>
            </w:r>
          </w:p>
        </w:tc>
        <w:tc>
          <w:tcPr>
            <w:tcW w:w="1247" w:type="dxa"/>
            <w:shd w:val="clear" w:color="auto" w:fill="auto"/>
            <w:vAlign w:val="bottom"/>
          </w:tcPr>
          <w:p w:rsidR="002D5BB0" w:rsidRPr="00222917" w:rsidRDefault="002D5BB0" w:rsidP="00CB74BF">
            <w:pPr>
              <w:pStyle w:val="SingleTxtG"/>
              <w:suppressAutoHyphens w:val="0"/>
              <w:spacing w:before="40" w:after="40" w:line="220" w:lineRule="exact"/>
              <w:ind w:left="0" w:right="0"/>
              <w:jc w:val="right"/>
              <w:rPr>
                <w:sz w:val="18"/>
                <w:lang w:val="en-US"/>
              </w:rPr>
            </w:pPr>
            <w:r w:rsidRPr="00222917">
              <w:rPr>
                <w:sz w:val="18"/>
                <w:lang w:val="en-US"/>
              </w:rPr>
              <w:t>1,940(203)</w:t>
            </w:r>
          </w:p>
        </w:tc>
      </w:tr>
      <w:tr w:rsidR="006E1F63" w:rsidRPr="00222917" w:rsidTr="007863B6">
        <w:trPr>
          <w:trHeight w:val="240"/>
        </w:trPr>
        <w:tc>
          <w:tcPr>
            <w:tcW w:w="1134" w:type="dxa"/>
            <w:tcBorders>
              <w:bottom w:val="single" w:sz="12" w:space="0" w:color="auto"/>
            </w:tcBorders>
            <w:shd w:val="clear" w:color="auto" w:fill="auto"/>
          </w:tcPr>
          <w:p w:rsidR="002D5BB0" w:rsidRPr="00222917" w:rsidRDefault="002D5BB0" w:rsidP="00CB74BF">
            <w:pPr>
              <w:pStyle w:val="SingleTxtG"/>
              <w:suppressAutoHyphens w:val="0"/>
              <w:spacing w:before="40" w:after="40" w:line="220" w:lineRule="exact"/>
              <w:ind w:left="0" w:right="0"/>
              <w:jc w:val="left"/>
              <w:rPr>
                <w:sz w:val="18"/>
                <w:lang w:val="en-US"/>
              </w:rPr>
            </w:pPr>
            <w:r w:rsidRPr="00222917">
              <w:rPr>
                <w:sz w:val="18"/>
                <w:lang w:val="en-US"/>
              </w:rPr>
              <w:t>2010</w:t>
            </w:r>
          </w:p>
        </w:tc>
        <w:tc>
          <w:tcPr>
            <w:tcW w:w="1247" w:type="dxa"/>
            <w:tcBorders>
              <w:bottom w:val="single" w:sz="12" w:space="0" w:color="auto"/>
            </w:tcBorders>
            <w:shd w:val="clear" w:color="auto" w:fill="auto"/>
            <w:vAlign w:val="bottom"/>
          </w:tcPr>
          <w:p w:rsidR="002D5BB0" w:rsidRPr="00222917" w:rsidRDefault="002D5BB0" w:rsidP="00CB74BF">
            <w:pPr>
              <w:pStyle w:val="SingleTxtG"/>
              <w:suppressAutoHyphens w:val="0"/>
              <w:spacing w:before="40" w:after="40" w:line="220" w:lineRule="exact"/>
              <w:ind w:left="0" w:right="0"/>
              <w:jc w:val="right"/>
              <w:rPr>
                <w:sz w:val="18"/>
                <w:lang w:val="en-US"/>
              </w:rPr>
            </w:pPr>
            <w:r w:rsidRPr="00222917">
              <w:rPr>
                <w:sz w:val="18"/>
                <w:lang w:val="en-US"/>
              </w:rPr>
              <w:t>2,464(157)</w:t>
            </w:r>
          </w:p>
        </w:tc>
        <w:tc>
          <w:tcPr>
            <w:tcW w:w="1247" w:type="dxa"/>
            <w:tcBorders>
              <w:bottom w:val="single" w:sz="12" w:space="0" w:color="auto"/>
            </w:tcBorders>
            <w:shd w:val="clear" w:color="auto" w:fill="auto"/>
            <w:vAlign w:val="bottom"/>
          </w:tcPr>
          <w:p w:rsidR="002D5BB0" w:rsidRPr="00222917" w:rsidRDefault="002D5BB0" w:rsidP="00CB74BF">
            <w:pPr>
              <w:pStyle w:val="SingleTxtG"/>
              <w:suppressAutoHyphens w:val="0"/>
              <w:spacing w:before="40" w:after="40" w:line="220" w:lineRule="exact"/>
              <w:ind w:left="0" w:right="0"/>
              <w:jc w:val="right"/>
              <w:rPr>
                <w:b/>
                <w:sz w:val="18"/>
                <w:lang w:val="en-US"/>
              </w:rPr>
            </w:pPr>
            <w:r w:rsidRPr="00222917">
              <w:rPr>
                <w:b/>
                <w:sz w:val="18"/>
                <w:lang w:val="en-US"/>
              </w:rPr>
              <w:t>15,137(1,191)</w:t>
            </w:r>
          </w:p>
        </w:tc>
        <w:tc>
          <w:tcPr>
            <w:tcW w:w="1247" w:type="dxa"/>
            <w:tcBorders>
              <w:bottom w:val="single" w:sz="12" w:space="0" w:color="auto"/>
            </w:tcBorders>
            <w:shd w:val="clear" w:color="auto" w:fill="auto"/>
            <w:vAlign w:val="bottom"/>
          </w:tcPr>
          <w:p w:rsidR="002D5BB0" w:rsidRPr="00222917" w:rsidRDefault="002D5BB0" w:rsidP="00CB74BF">
            <w:pPr>
              <w:pStyle w:val="SingleTxtG"/>
              <w:suppressAutoHyphens w:val="0"/>
              <w:spacing w:before="40" w:after="40" w:line="220" w:lineRule="exact"/>
              <w:ind w:left="0" w:right="0"/>
              <w:jc w:val="right"/>
              <w:rPr>
                <w:sz w:val="18"/>
                <w:lang w:val="en-US"/>
              </w:rPr>
            </w:pPr>
            <w:r w:rsidRPr="00222917">
              <w:rPr>
                <w:sz w:val="18"/>
                <w:lang w:val="en-US"/>
              </w:rPr>
              <w:t>4,430(304)</w:t>
            </w:r>
          </w:p>
        </w:tc>
        <w:tc>
          <w:tcPr>
            <w:tcW w:w="1247" w:type="dxa"/>
            <w:tcBorders>
              <w:bottom w:val="single" w:sz="12" w:space="0" w:color="auto"/>
            </w:tcBorders>
            <w:shd w:val="clear" w:color="auto" w:fill="auto"/>
            <w:vAlign w:val="bottom"/>
          </w:tcPr>
          <w:p w:rsidR="002D5BB0" w:rsidRPr="00222917" w:rsidRDefault="002D5BB0" w:rsidP="00CB74BF">
            <w:pPr>
              <w:pStyle w:val="SingleTxtG"/>
              <w:suppressAutoHyphens w:val="0"/>
              <w:spacing w:before="40" w:after="40" w:line="220" w:lineRule="exact"/>
              <w:ind w:left="0" w:right="0"/>
              <w:jc w:val="right"/>
              <w:rPr>
                <w:sz w:val="18"/>
                <w:lang w:val="en-US"/>
              </w:rPr>
            </w:pPr>
            <w:r w:rsidRPr="00222917">
              <w:rPr>
                <w:sz w:val="18"/>
                <w:lang w:val="en-US"/>
              </w:rPr>
              <w:t>8,611(579)</w:t>
            </w:r>
          </w:p>
        </w:tc>
        <w:tc>
          <w:tcPr>
            <w:tcW w:w="1247" w:type="dxa"/>
            <w:tcBorders>
              <w:bottom w:val="single" w:sz="12" w:space="0" w:color="auto"/>
            </w:tcBorders>
            <w:shd w:val="clear" w:color="auto" w:fill="auto"/>
            <w:vAlign w:val="bottom"/>
          </w:tcPr>
          <w:p w:rsidR="002D5BB0" w:rsidRPr="00222917" w:rsidRDefault="002D5BB0" w:rsidP="00CB74BF">
            <w:pPr>
              <w:pStyle w:val="SingleTxtG"/>
              <w:suppressAutoHyphens w:val="0"/>
              <w:spacing w:before="40" w:after="40" w:line="220" w:lineRule="exact"/>
              <w:ind w:left="0" w:right="0"/>
              <w:jc w:val="right"/>
              <w:rPr>
                <w:sz w:val="18"/>
                <w:lang w:val="en-US"/>
              </w:rPr>
            </w:pPr>
            <w:r w:rsidRPr="00222917">
              <w:rPr>
                <w:sz w:val="18"/>
                <w:lang w:val="en-US"/>
              </w:rPr>
              <w:t>2,096(308)</w:t>
            </w:r>
          </w:p>
        </w:tc>
      </w:tr>
    </w:tbl>
    <w:p w:rsidR="002D5BB0" w:rsidRPr="00222917" w:rsidRDefault="002D5BB0" w:rsidP="007227E9">
      <w:pPr>
        <w:pStyle w:val="SingleTxtG"/>
        <w:spacing w:before="120"/>
        <w:ind w:firstLine="170"/>
        <w:jc w:val="left"/>
        <w:rPr>
          <w:sz w:val="18"/>
          <w:szCs w:val="18"/>
          <w:lang w:val="en-US"/>
        </w:rPr>
      </w:pPr>
      <w:r w:rsidRPr="00222917">
        <w:rPr>
          <w:bCs/>
          <w:sz w:val="18"/>
          <w:szCs w:val="18"/>
          <w:lang w:val="en-US"/>
        </w:rPr>
        <w:t>Figures in parentheses represent the number of victims with disabilities and that of cases of services provided to them.</w:t>
      </w:r>
      <w:r w:rsidR="00120D8B" w:rsidRPr="00222917">
        <w:rPr>
          <w:bCs/>
          <w:sz w:val="18"/>
          <w:szCs w:val="18"/>
          <w:lang w:val="en-US"/>
        </w:rPr>
        <w:t xml:space="preserve"> </w:t>
      </w:r>
    </w:p>
    <w:p w:rsidR="002D5BB0" w:rsidRPr="00222917" w:rsidRDefault="00C754DF" w:rsidP="00C754DF">
      <w:pPr>
        <w:pStyle w:val="H4G"/>
        <w:rPr>
          <w:lang w:val="en-US"/>
        </w:rPr>
      </w:pPr>
      <w:r w:rsidRPr="00222917">
        <w:rPr>
          <w:lang w:val="en-US"/>
        </w:rPr>
        <w:tab/>
      </w:r>
      <w:r w:rsidRPr="00222917">
        <w:rPr>
          <w:lang w:val="en-US"/>
        </w:rPr>
        <w:tab/>
      </w:r>
      <w:r w:rsidR="002D5BB0" w:rsidRPr="00222917">
        <w:rPr>
          <w:lang w:val="en-US"/>
        </w:rPr>
        <w:t>Support for Protection of Female Victims of Domestic Violence</w:t>
      </w:r>
    </w:p>
    <w:p w:rsidR="002D5BB0" w:rsidRPr="00222917" w:rsidRDefault="00547908" w:rsidP="00547908">
      <w:pPr>
        <w:pStyle w:val="SingleTxtG"/>
        <w:rPr>
          <w:lang w:val="en-US"/>
        </w:rPr>
      </w:pPr>
      <w:r w:rsidRPr="00222917">
        <w:rPr>
          <w:lang w:val="en-US"/>
        </w:rPr>
        <w:t>80.</w:t>
      </w:r>
      <w:r w:rsidRPr="00222917">
        <w:rPr>
          <w:lang w:val="en-US"/>
        </w:rPr>
        <w:tab/>
      </w:r>
      <w:r w:rsidR="002D5BB0" w:rsidRPr="00222917">
        <w:rPr>
          <w:lang w:val="en-US"/>
        </w:rPr>
        <w:t xml:space="preserve">Major details of amendment to the </w:t>
      </w:r>
      <w:r w:rsidR="002D5BB0" w:rsidRPr="00C70182">
        <w:rPr>
          <w:iCs/>
          <w:lang w:val="en-US"/>
        </w:rPr>
        <w:t>Act on the Prevention of Domestic Violence and Protection of Victims</w:t>
      </w:r>
      <w:r w:rsidR="002D5BB0" w:rsidRPr="00222917">
        <w:rPr>
          <w:lang w:val="en-US"/>
        </w:rPr>
        <w:t xml:space="preserve"> were explained in the third report (CCPR/C/KOR/2005/3, para</w:t>
      </w:r>
      <w:r w:rsidR="00C754DF" w:rsidRPr="00222917">
        <w:rPr>
          <w:lang w:val="en-US"/>
        </w:rPr>
        <w:t>s. </w:t>
      </w:r>
      <w:r w:rsidR="002D5BB0" w:rsidRPr="00222917">
        <w:rPr>
          <w:lang w:val="en-US"/>
        </w:rPr>
        <w:t>79</w:t>
      </w:r>
      <w:r w:rsidR="00BE1636" w:rsidRPr="00222917">
        <w:rPr>
          <w:lang w:val="en-US"/>
        </w:rPr>
        <w:t xml:space="preserve"> and </w:t>
      </w:r>
      <w:r w:rsidR="002D5BB0" w:rsidRPr="00222917">
        <w:rPr>
          <w:lang w:val="en-US"/>
        </w:rPr>
        <w:t xml:space="preserve">80). On 20 January 2004, the Act was amended to strengthen the protection of domestic violence victims by providing that the </w:t>
      </w:r>
      <w:r w:rsidR="00C70182">
        <w:rPr>
          <w:bCs/>
          <w:lang w:val="en-US"/>
        </w:rPr>
        <w:t>G</w:t>
      </w:r>
      <w:r w:rsidR="002D5BB0" w:rsidRPr="00222917">
        <w:rPr>
          <w:bCs/>
          <w:lang w:val="en-US"/>
        </w:rPr>
        <w:t>overnment</w:t>
      </w:r>
      <w:r w:rsidR="002D5BB0" w:rsidRPr="00222917">
        <w:rPr>
          <w:lang w:val="en-US"/>
        </w:rPr>
        <w:t xml:space="preserve"> may not exercise claims for reimbursement for the costs it paid for the medical treatment of a domestic violence victim if the offender is a beneficiary under the </w:t>
      </w:r>
      <w:r w:rsidR="002D5BB0" w:rsidRPr="00C70182">
        <w:rPr>
          <w:iCs/>
          <w:lang w:val="en-US"/>
        </w:rPr>
        <w:t xml:space="preserve">National Basic Living Security Act </w:t>
      </w:r>
      <w:r w:rsidR="002D5BB0" w:rsidRPr="00222917">
        <w:rPr>
          <w:lang w:val="en-US"/>
        </w:rPr>
        <w:t xml:space="preserve">or a disabled person registered under the </w:t>
      </w:r>
      <w:r w:rsidR="002D5BB0" w:rsidRPr="00C70182">
        <w:rPr>
          <w:iCs/>
          <w:lang w:val="en-US"/>
        </w:rPr>
        <w:t>Welfare of Disabled Persons Act</w:t>
      </w:r>
      <w:r w:rsidR="002D5BB0" w:rsidRPr="00222917">
        <w:rPr>
          <w:lang w:val="en-US"/>
        </w:rPr>
        <w:t xml:space="preserve">. </w:t>
      </w:r>
    </w:p>
    <w:p w:rsidR="002D5BB0" w:rsidRPr="00222917" w:rsidRDefault="00547908" w:rsidP="00547908">
      <w:pPr>
        <w:pStyle w:val="SingleTxtG"/>
        <w:rPr>
          <w:lang w:val="en-US"/>
        </w:rPr>
      </w:pPr>
      <w:r w:rsidRPr="00222917">
        <w:rPr>
          <w:lang w:val="en-US"/>
        </w:rPr>
        <w:t>81.</w:t>
      </w:r>
      <w:r w:rsidRPr="00222917">
        <w:rPr>
          <w:lang w:val="en-US"/>
        </w:rPr>
        <w:tab/>
      </w:r>
      <w:r w:rsidR="002D5BB0" w:rsidRPr="00222917">
        <w:rPr>
          <w:lang w:val="en-US"/>
        </w:rPr>
        <w:t>The amendment of the above</w:t>
      </w:r>
      <w:r w:rsidR="0020568A">
        <w:rPr>
          <w:lang w:val="en-US"/>
        </w:rPr>
        <w:t>-</w:t>
      </w:r>
      <w:r w:rsidR="002D5BB0" w:rsidRPr="00222917">
        <w:rPr>
          <w:lang w:val="en-US"/>
        </w:rPr>
        <w:t xml:space="preserve">mentioned </w:t>
      </w:r>
      <w:r w:rsidR="002D5BB0" w:rsidRPr="00C70182">
        <w:rPr>
          <w:iCs/>
          <w:lang w:val="en-US"/>
        </w:rPr>
        <w:t>Act</w:t>
      </w:r>
      <w:r w:rsidR="002D5BB0" w:rsidRPr="00222917">
        <w:rPr>
          <w:lang w:val="en-US"/>
        </w:rPr>
        <w:t xml:space="preserve"> on 8 May 2009 introduced new measures, including the operation of hot lines for victims of domestic violence to provide prompt protection. The hotlines, installed and operated by the Ministry of Gender Equality or local governments, receive reports of domestic violence, provide counseling services to victims, refer them to appropriate organizations or facilities for further protection, and conduct eme</w:t>
      </w:r>
      <w:r w:rsidR="001A2BB2" w:rsidRPr="00222917">
        <w:rPr>
          <w:lang w:val="en-US"/>
        </w:rPr>
        <w:t>rgency relief services (</w:t>
      </w:r>
      <w:r w:rsidR="00681EC0" w:rsidRPr="00222917">
        <w:rPr>
          <w:lang w:val="en-US"/>
        </w:rPr>
        <w:t>a</w:t>
      </w:r>
      <w:r w:rsidR="001A2BB2" w:rsidRPr="00222917">
        <w:rPr>
          <w:lang w:val="en-US"/>
        </w:rPr>
        <w:t>rticle </w:t>
      </w:r>
      <w:r w:rsidR="002D5BB0" w:rsidRPr="00222917">
        <w:rPr>
          <w:lang w:val="en-US"/>
        </w:rPr>
        <w:t xml:space="preserve">4-6). The amendment also introduced the criteria for entering and leaving protection </w:t>
      </w:r>
      <w:r w:rsidR="002D5BB0" w:rsidRPr="00222917">
        <w:rPr>
          <w:bCs/>
          <w:lang w:val="en-US"/>
        </w:rPr>
        <w:t>facilities</w:t>
      </w:r>
      <w:r w:rsidR="00B51F2A" w:rsidRPr="00222917">
        <w:rPr>
          <w:lang w:val="en-US"/>
        </w:rPr>
        <w:t xml:space="preserve"> (</w:t>
      </w:r>
      <w:r w:rsidR="00681EC0" w:rsidRPr="00222917">
        <w:rPr>
          <w:lang w:val="en-US"/>
        </w:rPr>
        <w:t>a</w:t>
      </w:r>
      <w:r w:rsidR="00B51F2A" w:rsidRPr="00222917">
        <w:rPr>
          <w:lang w:val="en-US"/>
        </w:rPr>
        <w:t>rticles </w:t>
      </w:r>
      <w:r w:rsidR="002D5BB0" w:rsidRPr="00222917">
        <w:rPr>
          <w:lang w:val="en-US"/>
        </w:rPr>
        <w:t>7-3 and 7-4) and preferential access to national rental housing for dom</w:t>
      </w:r>
      <w:r w:rsidR="001A2BB2" w:rsidRPr="00222917">
        <w:rPr>
          <w:lang w:val="en-US"/>
        </w:rPr>
        <w:t>estic violence victims (</w:t>
      </w:r>
      <w:r w:rsidR="00681EC0" w:rsidRPr="00222917">
        <w:rPr>
          <w:lang w:val="en-US"/>
        </w:rPr>
        <w:t>a</w:t>
      </w:r>
      <w:r w:rsidR="001A2BB2" w:rsidRPr="00222917">
        <w:rPr>
          <w:lang w:val="en-US"/>
        </w:rPr>
        <w:t>rticle </w:t>
      </w:r>
      <w:r w:rsidR="002D5BB0" w:rsidRPr="00222917">
        <w:rPr>
          <w:lang w:val="en-US"/>
        </w:rPr>
        <w:t>4</w:t>
      </w:r>
      <w:r w:rsidR="00AE0F13" w:rsidRPr="00222917">
        <w:rPr>
          <w:lang w:val="en-US"/>
        </w:rPr>
        <w:t xml:space="preserve"> </w:t>
      </w:r>
      <w:r w:rsidR="002D5BB0" w:rsidRPr="00222917">
        <w:rPr>
          <w:lang w:val="en-US"/>
        </w:rPr>
        <w:t>(1)</w:t>
      </w:r>
      <w:r w:rsidR="00AE0F13" w:rsidRPr="00222917">
        <w:rPr>
          <w:lang w:val="en-US"/>
        </w:rPr>
        <w:t xml:space="preserve"> </w:t>
      </w:r>
      <w:r w:rsidR="002D5BB0" w:rsidRPr="00222917">
        <w:rPr>
          <w:lang w:val="en-US"/>
        </w:rPr>
        <w:t>3). On 4 February 2010, the Act was further amended to empower the central or local government to provide financial assistance to domestic violence victims</w:t>
      </w:r>
      <w:r w:rsidR="00120D8B" w:rsidRPr="00222917">
        <w:rPr>
          <w:lang w:val="en-US"/>
        </w:rPr>
        <w:t xml:space="preserve"> </w:t>
      </w:r>
      <w:r w:rsidR="002D5BB0" w:rsidRPr="00222917">
        <w:rPr>
          <w:lang w:val="en-US"/>
        </w:rPr>
        <w:t>accommodated in protection facilities to support their livelihood and child</w:t>
      </w:r>
      <w:r w:rsidR="00B51F2A" w:rsidRPr="00222917">
        <w:rPr>
          <w:lang w:val="en-US"/>
        </w:rPr>
        <w:t xml:space="preserve"> education and rearing (</w:t>
      </w:r>
      <w:r w:rsidR="00681EC0" w:rsidRPr="00222917">
        <w:rPr>
          <w:lang w:val="en-US"/>
        </w:rPr>
        <w:t>a</w:t>
      </w:r>
      <w:r w:rsidR="00B51F2A" w:rsidRPr="00222917">
        <w:rPr>
          <w:lang w:val="en-US"/>
        </w:rPr>
        <w:t>rticle </w:t>
      </w:r>
      <w:r w:rsidR="002D5BB0" w:rsidRPr="00222917">
        <w:rPr>
          <w:lang w:val="en-US"/>
        </w:rPr>
        <w:t xml:space="preserve">7-5(1)). Another amendment on 17 May 2010 strengthened protection of victims with new provisions on the accompaniment of police officers in the event of emergency relief for victims by hot lines and other services, the evaluation of facilities for domestic violence victims, and the production, distribution, and transmission of video materials on the prevention of domestic violence and support of victims. The amendment also introduced integrated education at school for violence prevention, covering domestic and sexual violence. </w:t>
      </w:r>
    </w:p>
    <w:p w:rsidR="002D5BB0" w:rsidRPr="00222917" w:rsidRDefault="00547908" w:rsidP="00547908">
      <w:pPr>
        <w:pStyle w:val="SingleTxtG"/>
        <w:rPr>
          <w:lang w:val="en-US"/>
        </w:rPr>
      </w:pPr>
      <w:r w:rsidRPr="00222917">
        <w:rPr>
          <w:lang w:val="en-US"/>
        </w:rPr>
        <w:t>82.</w:t>
      </w:r>
      <w:r w:rsidRPr="00222917">
        <w:rPr>
          <w:lang w:val="en-US"/>
        </w:rPr>
        <w:tab/>
      </w:r>
      <w:r w:rsidR="002D5BB0" w:rsidRPr="00222917">
        <w:rPr>
          <w:lang w:val="en-US"/>
        </w:rPr>
        <w:t xml:space="preserve">On 1 April 2009, in order to protect victims of domestic violence from the offenders, the </w:t>
      </w:r>
      <w:r w:rsidR="002D5BB0" w:rsidRPr="00222917">
        <w:rPr>
          <w:iCs/>
          <w:lang w:val="en-US"/>
        </w:rPr>
        <w:t>Resident Registration Act</w:t>
      </w:r>
      <w:r w:rsidR="002D5BB0" w:rsidRPr="00222917">
        <w:rPr>
          <w:lang w:val="en-US"/>
        </w:rPr>
        <w:t xml:space="preserve"> was amended to restrict offenders’ access to the information of the residence of their victims. With the amendment, a victim of domestic violence may apply for restrictions on access by the offender, who has a separate residence from the victim, to the victim’s resident </w:t>
      </w:r>
      <w:r w:rsidR="002D5BB0" w:rsidRPr="00222917">
        <w:rPr>
          <w:bCs/>
          <w:lang w:val="en-US"/>
        </w:rPr>
        <w:t>registration</w:t>
      </w:r>
      <w:r w:rsidR="002D5BB0" w:rsidRPr="00222917">
        <w:rPr>
          <w:lang w:val="en-US"/>
        </w:rPr>
        <w:t xml:space="preserve"> information, including the perusal or issuance of a copy of</w:t>
      </w:r>
      <w:r w:rsidR="001A2BB2" w:rsidRPr="00222917">
        <w:rPr>
          <w:lang w:val="en-US"/>
        </w:rPr>
        <w:t xml:space="preserve"> the registration card (</w:t>
      </w:r>
      <w:r w:rsidR="00681EC0" w:rsidRPr="00222917">
        <w:rPr>
          <w:lang w:val="en-US"/>
        </w:rPr>
        <w:t>a</w:t>
      </w:r>
      <w:r w:rsidR="001A2BB2" w:rsidRPr="00222917">
        <w:rPr>
          <w:lang w:val="en-US"/>
        </w:rPr>
        <w:t>rticle </w:t>
      </w:r>
      <w:r w:rsidR="002D5BB0" w:rsidRPr="00222917">
        <w:rPr>
          <w:lang w:val="en-US"/>
        </w:rPr>
        <w:t>29</w:t>
      </w:r>
      <w:r w:rsidR="00681EC0" w:rsidRPr="00222917">
        <w:rPr>
          <w:lang w:val="en-US"/>
        </w:rPr>
        <w:t xml:space="preserve"> </w:t>
      </w:r>
      <w:r w:rsidR="002D5BB0" w:rsidRPr="00222917">
        <w:rPr>
          <w:lang w:val="en-US"/>
        </w:rPr>
        <w:t xml:space="preserve">(6)). From 2 October 2009 when the Act entered into force to 30 June 2010, a total of 1,119 persons applied for such restrictions. </w:t>
      </w:r>
    </w:p>
    <w:p w:rsidR="002D5BB0" w:rsidRPr="00222917" w:rsidRDefault="00547908" w:rsidP="00547908">
      <w:pPr>
        <w:pStyle w:val="SingleTxtG"/>
        <w:rPr>
          <w:lang w:val="en-US"/>
        </w:rPr>
      </w:pPr>
      <w:r w:rsidRPr="00222917">
        <w:rPr>
          <w:lang w:val="en-US"/>
        </w:rPr>
        <w:t>83.</w:t>
      </w:r>
      <w:r w:rsidRPr="00222917">
        <w:rPr>
          <w:lang w:val="en-US"/>
        </w:rPr>
        <w:tab/>
      </w:r>
      <w:r w:rsidR="005E11EE" w:rsidRPr="00222917">
        <w:rPr>
          <w:lang w:val="en-US"/>
        </w:rPr>
        <w:t>As described in para. </w:t>
      </w:r>
      <w:r w:rsidR="002D5BB0" w:rsidRPr="00222917">
        <w:rPr>
          <w:lang w:val="en-US"/>
        </w:rPr>
        <w:t xml:space="preserve">81, domestic violence victims are entitled to preferential access to national rental housing with the amendment of the </w:t>
      </w:r>
      <w:r w:rsidR="002D5BB0" w:rsidRPr="00222917">
        <w:rPr>
          <w:iCs/>
          <w:lang w:val="en-US"/>
        </w:rPr>
        <w:t xml:space="preserve">Act on the Prevention of Domestic Violence and Protection of Victims </w:t>
      </w:r>
      <w:r w:rsidR="002D5BB0" w:rsidRPr="00222917">
        <w:rPr>
          <w:lang w:val="en-US"/>
        </w:rPr>
        <w:t xml:space="preserve">on 8 May 2009. In line with this, the Rules on Housing Provision was amended on 10 December 2009, which stipulated the preferential access to national rental housing to </w:t>
      </w:r>
      <w:r w:rsidR="002D5BB0" w:rsidRPr="00222917">
        <w:rPr>
          <w:bCs/>
          <w:lang w:val="en-US"/>
        </w:rPr>
        <w:t>domestic</w:t>
      </w:r>
      <w:r w:rsidR="001A2BB2" w:rsidRPr="00222917">
        <w:rPr>
          <w:lang w:val="en-US"/>
        </w:rPr>
        <w:t xml:space="preserve"> violence victims (</w:t>
      </w:r>
      <w:r w:rsidR="00681EC0" w:rsidRPr="00222917">
        <w:rPr>
          <w:lang w:val="en-US"/>
        </w:rPr>
        <w:t>a</w:t>
      </w:r>
      <w:r w:rsidR="001A2BB2" w:rsidRPr="00222917">
        <w:rPr>
          <w:lang w:val="en-US"/>
        </w:rPr>
        <w:t>rticle </w:t>
      </w:r>
      <w:r w:rsidR="002D5BB0" w:rsidRPr="00222917">
        <w:rPr>
          <w:lang w:val="en-US"/>
        </w:rPr>
        <w:t>32</w:t>
      </w:r>
      <w:r w:rsidR="00681EC0" w:rsidRPr="00222917">
        <w:rPr>
          <w:lang w:val="en-US"/>
        </w:rPr>
        <w:t xml:space="preserve"> </w:t>
      </w:r>
      <w:r w:rsidR="002D5BB0" w:rsidRPr="00222917">
        <w:rPr>
          <w:lang w:val="en-US"/>
        </w:rPr>
        <w:t>(5)</w:t>
      </w:r>
      <w:r w:rsidR="00681EC0" w:rsidRPr="00222917">
        <w:rPr>
          <w:lang w:val="en-US"/>
        </w:rPr>
        <w:t xml:space="preserve"> </w:t>
      </w:r>
      <w:r w:rsidR="002D5BB0" w:rsidRPr="00222917">
        <w:rPr>
          <w:lang w:val="en-US"/>
        </w:rPr>
        <w:t>6). Priority is granted to persons who were accommodated in protection facilities for domestic violence victims for six months or longer or victims who lived in group homes for two years or longer.</w:t>
      </w:r>
      <w:r w:rsidR="00120D8B" w:rsidRPr="00222917">
        <w:rPr>
          <w:lang w:val="en-US"/>
        </w:rPr>
        <w:t xml:space="preserve"> </w:t>
      </w:r>
    </w:p>
    <w:p w:rsidR="002D5BB0" w:rsidRPr="00222917" w:rsidRDefault="005E11EE" w:rsidP="005E11EE">
      <w:pPr>
        <w:pStyle w:val="H23G"/>
        <w:rPr>
          <w:lang w:val="en-US"/>
        </w:rPr>
      </w:pPr>
      <w:r w:rsidRPr="00222917">
        <w:rPr>
          <w:lang w:val="en-US"/>
        </w:rPr>
        <w:tab/>
      </w:r>
      <w:r w:rsidRPr="00222917">
        <w:rPr>
          <w:lang w:val="en-US"/>
        </w:rPr>
        <w:tab/>
      </w:r>
      <w:r w:rsidR="002D5BB0" w:rsidRPr="00222917">
        <w:rPr>
          <w:lang w:val="en-US"/>
        </w:rPr>
        <w:t>Operation of Domestic Violence-Related Counseling Centers</w:t>
      </w:r>
    </w:p>
    <w:tbl>
      <w:tblPr>
        <w:tblW w:w="0" w:type="auto"/>
        <w:tblInd w:w="1134" w:type="dxa"/>
        <w:tblBorders>
          <w:top w:val="single" w:sz="4" w:space="0" w:color="auto"/>
        </w:tblBorders>
        <w:tblLayout w:type="fixed"/>
        <w:tblCellMar>
          <w:left w:w="0" w:type="dxa"/>
          <w:right w:w="0" w:type="dxa"/>
        </w:tblCellMar>
        <w:tblLook w:val="0000"/>
      </w:tblPr>
      <w:tblGrid>
        <w:gridCol w:w="567"/>
        <w:gridCol w:w="851"/>
        <w:gridCol w:w="851"/>
        <w:gridCol w:w="851"/>
        <w:gridCol w:w="851"/>
        <w:gridCol w:w="851"/>
        <w:gridCol w:w="851"/>
        <w:gridCol w:w="851"/>
        <w:gridCol w:w="851"/>
      </w:tblGrid>
      <w:tr w:rsidR="006E1F63" w:rsidRPr="00222917" w:rsidTr="0054076C">
        <w:trPr>
          <w:trHeight w:val="240"/>
          <w:tblHeader/>
        </w:trPr>
        <w:tc>
          <w:tcPr>
            <w:tcW w:w="567" w:type="dxa"/>
            <w:vMerge w:val="restart"/>
            <w:tcBorders>
              <w:top w:val="single" w:sz="4" w:space="0" w:color="auto"/>
              <w:bottom w:val="single" w:sz="12" w:space="0" w:color="auto"/>
            </w:tcBorders>
            <w:shd w:val="clear" w:color="auto" w:fill="auto"/>
            <w:vAlign w:val="bottom"/>
          </w:tcPr>
          <w:p w:rsidR="002D5BB0" w:rsidRPr="00222917" w:rsidRDefault="002D5BB0" w:rsidP="00C15028">
            <w:pPr>
              <w:pStyle w:val="SingleTxtG"/>
              <w:suppressAutoHyphens w:val="0"/>
              <w:spacing w:before="80" w:after="80" w:line="200" w:lineRule="exact"/>
              <w:ind w:left="0" w:right="0"/>
              <w:jc w:val="left"/>
              <w:rPr>
                <w:i/>
                <w:sz w:val="16"/>
                <w:szCs w:val="16"/>
                <w:lang w:val="en-US"/>
              </w:rPr>
            </w:pPr>
            <w:r w:rsidRPr="00222917">
              <w:rPr>
                <w:bCs/>
                <w:i/>
                <w:sz w:val="16"/>
                <w:szCs w:val="16"/>
                <w:lang w:val="en-US"/>
              </w:rPr>
              <w:t>Year</w:t>
            </w:r>
          </w:p>
        </w:tc>
        <w:tc>
          <w:tcPr>
            <w:tcW w:w="851" w:type="dxa"/>
            <w:vMerge w:val="restart"/>
            <w:tcBorders>
              <w:top w:val="single" w:sz="4" w:space="0" w:color="auto"/>
              <w:bottom w:val="single" w:sz="12" w:space="0" w:color="auto"/>
            </w:tcBorders>
            <w:shd w:val="clear" w:color="auto" w:fill="auto"/>
            <w:vAlign w:val="bottom"/>
          </w:tcPr>
          <w:p w:rsidR="002D5BB0" w:rsidRPr="00222917" w:rsidRDefault="00730E7A" w:rsidP="00C15028">
            <w:pPr>
              <w:pStyle w:val="SingleTxtG"/>
              <w:suppressAutoHyphens w:val="0"/>
              <w:spacing w:before="80" w:after="80" w:line="200" w:lineRule="exact"/>
              <w:ind w:left="0" w:right="0"/>
              <w:jc w:val="right"/>
              <w:rPr>
                <w:i/>
                <w:sz w:val="16"/>
                <w:szCs w:val="16"/>
                <w:lang w:val="en-US"/>
              </w:rPr>
            </w:pPr>
            <w:r w:rsidRPr="00222917">
              <w:rPr>
                <w:bCs/>
                <w:i/>
                <w:sz w:val="16"/>
                <w:szCs w:val="16"/>
                <w:lang w:val="en-US"/>
              </w:rPr>
              <w:t>Number</w:t>
            </w:r>
            <w:r w:rsidRPr="00222917">
              <w:rPr>
                <w:bCs/>
                <w:i/>
                <w:sz w:val="16"/>
                <w:szCs w:val="16"/>
                <w:lang w:val="en-US"/>
              </w:rPr>
              <w:br/>
            </w:r>
            <w:r w:rsidR="002D5BB0" w:rsidRPr="00222917">
              <w:rPr>
                <w:bCs/>
                <w:i/>
                <w:sz w:val="16"/>
                <w:szCs w:val="16"/>
                <w:lang w:val="en-US"/>
              </w:rPr>
              <w:t>of centers</w:t>
            </w:r>
          </w:p>
        </w:tc>
        <w:tc>
          <w:tcPr>
            <w:tcW w:w="851" w:type="dxa"/>
            <w:gridSpan w:val="3"/>
            <w:tcBorders>
              <w:top w:val="single" w:sz="4" w:space="0" w:color="auto"/>
              <w:bottom w:val="single" w:sz="4" w:space="0" w:color="000000"/>
              <w:right w:val="single" w:sz="24" w:space="0" w:color="FFFFFF"/>
            </w:tcBorders>
            <w:shd w:val="clear" w:color="auto" w:fill="auto"/>
            <w:vAlign w:val="bottom"/>
          </w:tcPr>
          <w:p w:rsidR="002D5BB0" w:rsidRPr="00222917" w:rsidRDefault="002D5BB0" w:rsidP="00C15028">
            <w:pPr>
              <w:pStyle w:val="SingleTxtG"/>
              <w:suppressAutoHyphens w:val="0"/>
              <w:spacing w:before="80" w:after="80" w:line="200" w:lineRule="exact"/>
              <w:ind w:left="0" w:right="0"/>
              <w:jc w:val="center"/>
              <w:rPr>
                <w:i/>
                <w:sz w:val="16"/>
                <w:szCs w:val="16"/>
                <w:lang w:val="en-US"/>
              </w:rPr>
            </w:pPr>
            <w:r w:rsidRPr="00222917">
              <w:rPr>
                <w:bCs/>
                <w:i/>
                <w:sz w:val="16"/>
                <w:szCs w:val="16"/>
                <w:lang w:val="en-US"/>
              </w:rPr>
              <w:t>Number of workers</w:t>
            </w:r>
          </w:p>
        </w:tc>
        <w:tc>
          <w:tcPr>
            <w:tcW w:w="851" w:type="dxa"/>
            <w:gridSpan w:val="3"/>
            <w:tcBorders>
              <w:top w:val="single" w:sz="4" w:space="0" w:color="auto"/>
              <w:left w:val="single" w:sz="24" w:space="0" w:color="FFFFFF"/>
              <w:bottom w:val="single" w:sz="4" w:space="0" w:color="000000"/>
            </w:tcBorders>
            <w:shd w:val="clear" w:color="auto" w:fill="auto"/>
            <w:vAlign w:val="bottom"/>
          </w:tcPr>
          <w:p w:rsidR="002D5BB0" w:rsidRPr="00222917" w:rsidRDefault="002D5BB0" w:rsidP="00C15028">
            <w:pPr>
              <w:pStyle w:val="SingleTxtG"/>
              <w:suppressAutoHyphens w:val="0"/>
              <w:spacing w:before="80" w:after="80" w:line="200" w:lineRule="exact"/>
              <w:ind w:left="0" w:right="0"/>
              <w:jc w:val="center"/>
              <w:rPr>
                <w:i/>
                <w:sz w:val="16"/>
                <w:szCs w:val="16"/>
                <w:lang w:val="en-US"/>
              </w:rPr>
            </w:pPr>
            <w:r w:rsidRPr="00222917">
              <w:rPr>
                <w:bCs/>
                <w:i/>
                <w:sz w:val="16"/>
                <w:szCs w:val="16"/>
                <w:lang w:val="en-US"/>
              </w:rPr>
              <w:t>Counseling Service</w:t>
            </w:r>
            <w:r w:rsidR="00730E7A" w:rsidRPr="00222917">
              <w:rPr>
                <w:bCs/>
                <w:i/>
                <w:sz w:val="16"/>
                <w:szCs w:val="16"/>
                <w:lang w:val="en-US"/>
              </w:rPr>
              <w:br/>
            </w:r>
            <w:r w:rsidRPr="00222917">
              <w:rPr>
                <w:bCs/>
                <w:i/>
                <w:sz w:val="16"/>
                <w:szCs w:val="16"/>
                <w:lang w:val="en-US"/>
              </w:rPr>
              <w:t>(number of cases)</w:t>
            </w:r>
          </w:p>
        </w:tc>
        <w:tc>
          <w:tcPr>
            <w:tcW w:w="851" w:type="dxa"/>
            <w:vMerge w:val="restart"/>
            <w:tcBorders>
              <w:top w:val="single" w:sz="4" w:space="0" w:color="auto"/>
              <w:bottom w:val="single" w:sz="12" w:space="0" w:color="auto"/>
            </w:tcBorders>
            <w:shd w:val="clear" w:color="auto" w:fill="auto"/>
            <w:vAlign w:val="bottom"/>
          </w:tcPr>
          <w:p w:rsidR="002D5BB0" w:rsidRPr="00222917" w:rsidRDefault="00A77AB1" w:rsidP="00C15028">
            <w:pPr>
              <w:pStyle w:val="SingleTxtG"/>
              <w:suppressAutoHyphens w:val="0"/>
              <w:spacing w:before="80" w:after="80" w:line="200" w:lineRule="exact"/>
              <w:ind w:left="0" w:right="0"/>
              <w:jc w:val="right"/>
              <w:rPr>
                <w:i/>
                <w:sz w:val="16"/>
                <w:szCs w:val="16"/>
                <w:lang w:val="en-US"/>
              </w:rPr>
            </w:pPr>
            <w:r w:rsidRPr="00222917">
              <w:rPr>
                <w:bCs/>
                <w:i/>
                <w:sz w:val="16"/>
                <w:szCs w:val="16"/>
                <w:lang w:val="en-US"/>
              </w:rPr>
              <w:t>Average counseling service</w:t>
            </w:r>
            <w:r w:rsidRPr="00222917">
              <w:rPr>
                <w:bCs/>
                <w:i/>
                <w:sz w:val="16"/>
                <w:szCs w:val="16"/>
                <w:lang w:val="en-US"/>
              </w:rPr>
              <w:br/>
            </w:r>
            <w:r w:rsidR="002D5BB0" w:rsidRPr="00222917">
              <w:rPr>
                <w:bCs/>
                <w:i/>
                <w:sz w:val="16"/>
                <w:szCs w:val="16"/>
                <w:lang w:val="en-US"/>
              </w:rPr>
              <w:t>per center</w:t>
            </w:r>
          </w:p>
        </w:tc>
      </w:tr>
      <w:tr w:rsidR="006E1F63" w:rsidRPr="00222917" w:rsidTr="0054076C">
        <w:trPr>
          <w:trHeight w:val="240"/>
          <w:tblHeader/>
        </w:trPr>
        <w:tc>
          <w:tcPr>
            <w:tcW w:w="567" w:type="dxa"/>
            <w:vMerge/>
            <w:tcBorders>
              <w:top w:val="single" w:sz="12" w:space="0" w:color="auto"/>
              <w:bottom w:val="single" w:sz="12" w:space="0" w:color="000000"/>
            </w:tcBorders>
            <w:shd w:val="clear" w:color="auto" w:fill="auto"/>
            <w:vAlign w:val="bottom"/>
          </w:tcPr>
          <w:p w:rsidR="002D5BB0" w:rsidRPr="00222917" w:rsidRDefault="002D5BB0" w:rsidP="00C15028">
            <w:pPr>
              <w:pStyle w:val="SingleTxtG"/>
              <w:suppressAutoHyphens w:val="0"/>
              <w:spacing w:before="80" w:after="80" w:line="200" w:lineRule="exact"/>
              <w:ind w:left="0" w:right="0"/>
              <w:jc w:val="left"/>
              <w:rPr>
                <w:i/>
                <w:sz w:val="16"/>
                <w:szCs w:val="16"/>
                <w:lang w:val="en-US"/>
              </w:rPr>
            </w:pPr>
          </w:p>
        </w:tc>
        <w:tc>
          <w:tcPr>
            <w:tcW w:w="851" w:type="dxa"/>
            <w:vMerge/>
            <w:tcBorders>
              <w:top w:val="single" w:sz="12" w:space="0" w:color="auto"/>
              <w:bottom w:val="single" w:sz="12" w:space="0" w:color="000000"/>
            </w:tcBorders>
            <w:shd w:val="clear" w:color="auto" w:fill="auto"/>
            <w:vAlign w:val="bottom"/>
          </w:tcPr>
          <w:p w:rsidR="002D5BB0" w:rsidRPr="00222917" w:rsidRDefault="002D5BB0" w:rsidP="00C15028">
            <w:pPr>
              <w:pStyle w:val="SingleTxtG"/>
              <w:suppressAutoHyphens w:val="0"/>
              <w:spacing w:before="80" w:after="80" w:line="200" w:lineRule="exact"/>
              <w:ind w:left="0" w:right="0"/>
              <w:jc w:val="right"/>
              <w:rPr>
                <w:i/>
                <w:sz w:val="16"/>
                <w:szCs w:val="16"/>
                <w:lang w:val="en-US"/>
              </w:rPr>
            </w:pPr>
          </w:p>
        </w:tc>
        <w:tc>
          <w:tcPr>
            <w:tcW w:w="851" w:type="dxa"/>
            <w:tcBorders>
              <w:top w:val="single" w:sz="4" w:space="0" w:color="000000"/>
              <w:bottom w:val="single" w:sz="12" w:space="0" w:color="000000"/>
            </w:tcBorders>
            <w:shd w:val="clear" w:color="auto" w:fill="auto"/>
            <w:vAlign w:val="bottom"/>
          </w:tcPr>
          <w:p w:rsidR="002D5BB0" w:rsidRPr="00222917" w:rsidRDefault="002D5BB0" w:rsidP="00C15028">
            <w:pPr>
              <w:pStyle w:val="SingleTxtG"/>
              <w:suppressAutoHyphens w:val="0"/>
              <w:spacing w:before="80" w:after="80" w:line="200" w:lineRule="exact"/>
              <w:ind w:left="0" w:right="0"/>
              <w:jc w:val="right"/>
              <w:rPr>
                <w:b/>
                <w:i/>
                <w:sz w:val="16"/>
                <w:szCs w:val="16"/>
                <w:lang w:val="en-US"/>
              </w:rPr>
            </w:pPr>
            <w:r w:rsidRPr="00222917">
              <w:rPr>
                <w:b/>
                <w:bCs/>
                <w:i/>
                <w:sz w:val="16"/>
                <w:szCs w:val="16"/>
                <w:lang w:val="en-US"/>
              </w:rPr>
              <w:t>Total</w:t>
            </w:r>
          </w:p>
        </w:tc>
        <w:tc>
          <w:tcPr>
            <w:tcW w:w="851" w:type="dxa"/>
            <w:tcBorders>
              <w:top w:val="single" w:sz="4" w:space="0" w:color="000000"/>
              <w:bottom w:val="single" w:sz="12" w:space="0" w:color="000000"/>
            </w:tcBorders>
            <w:shd w:val="clear" w:color="auto" w:fill="auto"/>
            <w:vAlign w:val="bottom"/>
          </w:tcPr>
          <w:p w:rsidR="002D5BB0" w:rsidRPr="00222917" w:rsidRDefault="002D5BB0" w:rsidP="00C15028">
            <w:pPr>
              <w:pStyle w:val="SingleTxtG"/>
              <w:suppressAutoHyphens w:val="0"/>
              <w:spacing w:before="80" w:after="80" w:line="200" w:lineRule="exact"/>
              <w:ind w:left="0" w:right="0"/>
              <w:jc w:val="right"/>
              <w:rPr>
                <w:i/>
                <w:sz w:val="16"/>
                <w:szCs w:val="16"/>
                <w:lang w:val="en-US"/>
              </w:rPr>
            </w:pPr>
            <w:r w:rsidRPr="00222917">
              <w:rPr>
                <w:bCs/>
                <w:i/>
                <w:sz w:val="16"/>
                <w:szCs w:val="16"/>
                <w:lang w:val="en-US"/>
              </w:rPr>
              <w:t>Full-time workers</w:t>
            </w:r>
          </w:p>
        </w:tc>
        <w:tc>
          <w:tcPr>
            <w:tcW w:w="851" w:type="dxa"/>
            <w:tcBorders>
              <w:top w:val="single" w:sz="4" w:space="0" w:color="000000"/>
              <w:bottom w:val="single" w:sz="12" w:space="0" w:color="000000"/>
              <w:right w:val="single" w:sz="24" w:space="0" w:color="FFFFFF"/>
            </w:tcBorders>
            <w:shd w:val="clear" w:color="auto" w:fill="auto"/>
            <w:vAlign w:val="bottom"/>
          </w:tcPr>
          <w:p w:rsidR="002D5BB0" w:rsidRPr="00222917" w:rsidRDefault="002D5BB0" w:rsidP="00C15028">
            <w:pPr>
              <w:pStyle w:val="SingleTxtG"/>
              <w:suppressAutoHyphens w:val="0"/>
              <w:spacing w:before="80" w:after="80" w:line="200" w:lineRule="exact"/>
              <w:ind w:left="0" w:right="0"/>
              <w:jc w:val="right"/>
              <w:rPr>
                <w:i/>
                <w:sz w:val="16"/>
                <w:szCs w:val="16"/>
                <w:lang w:val="en-US"/>
              </w:rPr>
            </w:pPr>
            <w:r w:rsidRPr="00222917">
              <w:rPr>
                <w:bCs/>
                <w:i/>
                <w:sz w:val="16"/>
                <w:szCs w:val="16"/>
                <w:lang w:val="en-US"/>
              </w:rPr>
              <w:t>Part-time volunteers</w:t>
            </w:r>
          </w:p>
        </w:tc>
        <w:tc>
          <w:tcPr>
            <w:tcW w:w="851" w:type="dxa"/>
            <w:tcBorders>
              <w:top w:val="single" w:sz="4" w:space="0" w:color="000000"/>
              <w:left w:val="single" w:sz="24" w:space="0" w:color="FFFFFF"/>
              <w:bottom w:val="single" w:sz="12" w:space="0" w:color="000000"/>
            </w:tcBorders>
            <w:shd w:val="clear" w:color="auto" w:fill="auto"/>
            <w:vAlign w:val="bottom"/>
          </w:tcPr>
          <w:p w:rsidR="002D5BB0" w:rsidRPr="00222917" w:rsidRDefault="002D5BB0" w:rsidP="00C15028">
            <w:pPr>
              <w:pStyle w:val="SingleTxtG"/>
              <w:suppressAutoHyphens w:val="0"/>
              <w:spacing w:before="80" w:after="80" w:line="200" w:lineRule="exact"/>
              <w:ind w:left="0" w:right="0"/>
              <w:jc w:val="right"/>
              <w:rPr>
                <w:b/>
                <w:i/>
                <w:sz w:val="16"/>
                <w:szCs w:val="16"/>
                <w:lang w:val="en-US"/>
              </w:rPr>
            </w:pPr>
            <w:r w:rsidRPr="00222917">
              <w:rPr>
                <w:b/>
                <w:bCs/>
                <w:i/>
                <w:sz w:val="16"/>
                <w:szCs w:val="16"/>
                <w:lang w:val="en-US"/>
              </w:rPr>
              <w:t>Total</w:t>
            </w:r>
          </w:p>
        </w:tc>
        <w:tc>
          <w:tcPr>
            <w:tcW w:w="851" w:type="dxa"/>
            <w:tcBorders>
              <w:top w:val="single" w:sz="4" w:space="0" w:color="000000"/>
              <w:bottom w:val="single" w:sz="12" w:space="0" w:color="000000"/>
            </w:tcBorders>
            <w:shd w:val="clear" w:color="auto" w:fill="auto"/>
            <w:vAlign w:val="bottom"/>
          </w:tcPr>
          <w:p w:rsidR="002D5BB0" w:rsidRPr="00222917" w:rsidRDefault="00A77AB1" w:rsidP="00C15028">
            <w:pPr>
              <w:pStyle w:val="SingleTxtG"/>
              <w:suppressAutoHyphens w:val="0"/>
              <w:spacing w:before="80" w:after="80" w:line="200" w:lineRule="exact"/>
              <w:ind w:left="0" w:right="0"/>
              <w:jc w:val="right"/>
              <w:rPr>
                <w:i/>
                <w:sz w:val="16"/>
                <w:szCs w:val="16"/>
                <w:lang w:val="en-US"/>
              </w:rPr>
            </w:pPr>
            <w:r w:rsidRPr="00222917">
              <w:rPr>
                <w:bCs/>
                <w:i/>
                <w:sz w:val="16"/>
                <w:szCs w:val="16"/>
                <w:lang w:val="en-US"/>
              </w:rPr>
              <w:t>D</w:t>
            </w:r>
            <w:r w:rsidR="002D5BB0" w:rsidRPr="00222917">
              <w:rPr>
                <w:bCs/>
                <w:i/>
                <w:sz w:val="16"/>
                <w:szCs w:val="16"/>
                <w:lang w:val="en-US"/>
              </w:rPr>
              <w:t>omestic violence</w:t>
            </w:r>
            <w:r w:rsidRPr="00222917">
              <w:rPr>
                <w:bCs/>
                <w:i/>
                <w:sz w:val="16"/>
                <w:szCs w:val="16"/>
                <w:lang w:val="en-US"/>
              </w:rPr>
              <w:br/>
            </w:r>
            <w:r w:rsidR="002D5BB0" w:rsidRPr="00222917">
              <w:rPr>
                <w:bCs/>
                <w:i/>
                <w:sz w:val="16"/>
                <w:szCs w:val="16"/>
                <w:lang w:val="en-US"/>
              </w:rPr>
              <w:t>related</w:t>
            </w:r>
          </w:p>
        </w:tc>
        <w:tc>
          <w:tcPr>
            <w:tcW w:w="851" w:type="dxa"/>
            <w:tcBorders>
              <w:top w:val="single" w:sz="4" w:space="0" w:color="000000"/>
              <w:bottom w:val="single" w:sz="12" w:space="0" w:color="000000"/>
            </w:tcBorders>
            <w:shd w:val="clear" w:color="auto" w:fill="auto"/>
            <w:vAlign w:val="bottom"/>
          </w:tcPr>
          <w:p w:rsidR="002D5BB0" w:rsidRPr="00222917" w:rsidRDefault="002D5BB0" w:rsidP="00C15028">
            <w:pPr>
              <w:pStyle w:val="SingleTxtG"/>
              <w:suppressAutoHyphens w:val="0"/>
              <w:spacing w:before="80" w:after="80" w:line="200" w:lineRule="exact"/>
              <w:ind w:left="0" w:right="0"/>
              <w:jc w:val="right"/>
              <w:rPr>
                <w:i/>
                <w:sz w:val="16"/>
                <w:szCs w:val="16"/>
                <w:lang w:val="en-US"/>
              </w:rPr>
            </w:pPr>
            <w:r w:rsidRPr="00222917">
              <w:rPr>
                <w:bCs/>
                <w:i/>
                <w:sz w:val="16"/>
                <w:szCs w:val="16"/>
                <w:lang w:val="en-US"/>
              </w:rPr>
              <w:t>Others</w:t>
            </w:r>
          </w:p>
        </w:tc>
        <w:tc>
          <w:tcPr>
            <w:tcW w:w="851" w:type="dxa"/>
            <w:vMerge/>
            <w:tcBorders>
              <w:top w:val="single" w:sz="12" w:space="0" w:color="auto"/>
              <w:bottom w:val="single" w:sz="12" w:space="0" w:color="000000"/>
            </w:tcBorders>
            <w:shd w:val="clear" w:color="auto" w:fill="auto"/>
            <w:vAlign w:val="bottom"/>
          </w:tcPr>
          <w:p w:rsidR="002D5BB0" w:rsidRPr="00222917" w:rsidRDefault="002D5BB0" w:rsidP="00C15028">
            <w:pPr>
              <w:pStyle w:val="SingleTxtG"/>
              <w:suppressAutoHyphens w:val="0"/>
              <w:spacing w:before="80" w:after="80" w:line="200" w:lineRule="exact"/>
              <w:ind w:left="0" w:right="0"/>
              <w:jc w:val="right"/>
              <w:rPr>
                <w:i/>
                <w:sz w:val="16"/>
                <w:szCs w:val="16"/>
                <w:lang w:val="en-US"/>
              </w:rPr>
            </w:pPr>
          </w:p>
        </w:tc>
      </w:tr>
      <w:tr w:rsidR="006E1F63" w:rsidRPr="00222917" w:rsidTr="0054076C">
        <w:trPr>
          <w:trHeight w:val="240"/>
        </w:trPr>
        <w:tc>
          <w:tcPr>
            <w:tcW w:w="567" w:type="dxa"/>
            <w:tcBorders>
              <w:top w:val="single" w:sz="12" w:space="0" w:color="000000"/>
            </w:tcBorders>
            <w:shd w:val="clear" w:color="auto" w:fill="auto"/>
          </w:tcPr>
          <w:p w:rsidR="002D5BB0" w:rsidRPr="00222917" w:rsidRDefault="002D5BB0" w:rsidP="00C15028">
            <w:pPr>
              <w:pStyle w:val="SingleTxtG"/>
              <w:suppressAutoHyphens w:val="0"/>
              <w:spacing w:before="40" w:after="40" w:line="220" w:lineRule="exact"/>
              <w:ind w:left="0" w:right="0"/>
              <w:jc w:val="left"/>
              <w:rPr>
                <w:sz w:val="18"/>
                <w:lang w:val="en-US"/>
              </w:rPr>
            </w:pPr>
            <w:r w:rsidRPr="00222917">
              <w:rPr>
                <w:sz w:val="18"/>
                <w:lang w:val="en-US"/>
              </w:rPr>
              <w:t>2006</w:t>
            </w:r>
          </w:p>
        </w:tc>
        <w:tc>
          <w:tcPr>
            <w:tcW w:w="851" w:type="dxa"/>
            <w:tcBorders>
              <w:top w:val="single" w:sz="12" w:space="0" w:color="000000"/>
            </w:tcBorders>
            <w:shd w:val="clear" w:color="auto" w:fill="auto"/>
            <w:vAlign w:val="bottom"/>
          </w:tcPr>
          <w:p w:rsidR="002D5BB0" w:rsidRPr="00222917" w:rsidRDefault="002D5BB0" w:rsidP="00C15028">
            <w:pPr>
              <w:pStyle w:val="SingleTxtG"/>
              <w:suppressAutoHyphens w:val="0"/>
              <w:spacing w:before="40" w:after="40" w:line="220" w:lineRule="exact"/>
              <w:ind w:left="0" w:right="0"/>
              <w:jc w:val="right"/>
              <w:rPr>
                <w:sz w:val="18"/>
                <w:lang w:val="en-US"/>
              </w:rPr>
            </w:pPr>
            <w:r w:rsidRPr="00222917">
              <w:rPr>
                <w:sz w:val="18"/>
                <w:lang w:val="en-US"/>
              </w:rPr>
              <w:t>372</w:t>
            </w:r>
          </w:p>
        </w:tc>
        <w:tc>
          <w:tcPr>
            <w:tcW w:w="851" w:type="dxa"/>
            <w:tcBorders>
              <w:top w:val="single" w:sz="12" w:space="0" w:color="000000"/>
            </w:tcBorders>
            <w:shd w:val="clear" w:color="auto" w:fill="auto"/>
            <w:vAlign w:val="bottom"/>
          </w:tcPr>
          <w:p w:rsidR="002D5BB0" w:rsidRPr="00222917" w:rsidRDefault="002D5BB0" w:rsidP="00C15028">
            <w:pPr>
              <w:pStyle w:val="SingleTxtG"/>
              <w:suppressAutoHyphens w:val="0"/>
              <w:spacing w:before="40" w:after="40" w:line="220" w:lineRule="exact"/>
              <w:ind w:left="0" w:right="0"/>
              <w:jc w:val="right"/>
              <w:rPr>
                <w:b/>
                <w:sz w:val="18"/>
                <w:lang w:val="en-US"/>
              </w:rPr>
            </w:pPr>
            <w:r w:rsidRPr="00222917">
              <w:rPr>
                <w:b/>
                <w:sz w:val="18"/>
                <w:lang w:val="en-US"/>
              </w:rPr>
              <w:t>2,311</w:t>
            </w:r>
          </w:p>
        </w:tc>
        <w:tc>
          <w:tcPr>
            <w:tcW w:w="851" w:type="dxa"/>
            <w:tcBorders>
              <w:top w:val="single" w:sz="12" w:space="0" w:color="000000"/>
            </w:tcBorders>
            <w:shd w:val="clear" w:color="auto" w:fill="auto"/>
            <w:vAlign w:val="bottom"/>
          </w:tcPr>
          <w:p w:rsidR="002D5BB0" w:rsidRPr="00222917" w:rsidRDefault="002D5BB0" w:rsidP="00C15028">
            <w:pPr>
              <w:pStyle w:val="SingleTxtG"/>
              <w:suppressAutoHyphens w:val="0"/>
              <w:spacing w:before="40" w:after="40" w:line="220" w:lineRule="exact"/>
              <w:ind w:left="0" w:right="0"/>
              <w:jc w:val="right"/>
              <w:rPr>
                <w:sz w:val="18"/>
                <w:lang w:val="en-US"/>
              </w:rPr>
            </w:pPr>
            <w:r w:rsidRPr="00222917">
              <w:rPr>
                <w:sz w:val="18"/>
                <w:lang w:val="en-US"/>
              </w:rPr>
              <w:t>815</w:t>
            </w:r>
          </w:p>
        </w:tc>
        <w:tc>
          <w:tcPr>
            <w:tcW w:w="851" w:type="dxa"/>
            <w:tcBorders>
              <w:top w:val="single" w:sz="12" w:space="0" w:color="000000"/>
            </w:tcBorders>
            <w:shd w:val="clear" w:color="auto" w:fill="auto"/>
            <w:vAlign w:val="bottom"/>
          </w:tcPr>
          <w:p w:rsidR="002D5BB0" w:rsidRPr="00222917" w:rsidRDefault="002D5BB0" w:rsidP="00C15028">
            <w:pPr>
              <w:pStyle w:val="SingleTxtG"/>
              <w:suppressAutoHyphens w:val="0"/>
              <w:spacing w:before="40" w:after="40" w:line="220" w:lineRule="exact"/>
              <w:ind w:left="0" w:right="0"/>
              <w:jc w:val="right"/>
              <w:rPr>
                <w:sz w:val="18"/>
                <w:lang w:val="en-US"/>
              </w:rPr>
            </w:pPr>
            <w:r w:rsidRPr="00222917">
              <w:rPr>
                <w:sz w:val="18"/>
                <w:lang w:val="en-US"/>
              </w:rPr>
              <w:t>1,496</w:t>
            </w:r>
          </w:p>
        </w:tc>
        <w:tc>
          <w:tcPr>
            <w:tcW w:w="851" w:type="dxa"/>
            <w:tcBorders>
              <w:top w:val="single" w:sz="12" w:space="0" w:color="000000"/>
            </w:tcBorders>
            <w:shd w:val="clear" w:color="auto" w:fill="auto"/>
            <w:vAlign w:val="bottom"/>
          </w:tcPr>
          <w:p w:rsidR="002D5BB0" w:rsidRPr="00222917" w:rsidRDefault="002D5BB0" w:rsidP="00C15028">
            <w:pPr>
              <w:pStyle w:val="SingleTxtG"/>
              <w:suppressAutoHyphens w:val="0"/>
              <w:spacing w:before="40" w:after="40" w:line="220" w:lineRule="exact"/>
              <w:ind w:left="0" w:right="0"/>
              <w:jc w:val="right"/>
              <w:rPr>
                <w:b/>
                <w:sz w:val="18"/>
                <w:lang w:val="en-US"/>
              </w:rPr>
            </w:pPr>
            <w:r w:rsidRPr="00222917">
              <w:rPr>
                <w:b/>
                <w:sz w:val="18"/>
                <w:lang w:val="en-US"/>
              </w:rPr>
              <w:t>283,705</w:t>
            </w:r>
          </w:p>
        </w:tc>
        <w:tc>
          <w:tcPr>
            <w:tcW w:w="851" w:type="dxa"/>
            <w:tcBorders>
              <w:top w:val="single" w:sz="12" w:space="0" w:color="000000"/>
            </w:tcBorders>
            <w:shd w:val="clear" w:color="auto" w:fill="auto"/>
            <w:vAlign w:val="bottom"/>
          </w:tcPr>
          <w:p w:rsidR="002D5BB0" w:rsidRPr="00222917" w:rsidRDefault="002D5BB0" w:rsidP="00C15028">
            <w:pPr>
              <w:pStyle w:val="SingleTxtG"/>
              <w:suppressAutoHyphens w:val="0"/>
              <w:spacing w:before="40" w:after="40" w:line="220" w:lineRule="exact"/>
              <w:ind w:left="0" w:right="0"/>
              <w:jc w:val="right"/>
              <w:rPr>
                <w:sz w:val="18"/>
                <w:lang w:val="en-US"/>
              </w:rPr>
            </w:pPr>
            <w:r w:rsidRPr="00222917">
              <w:rPr>
                <w:sz w:val="18"/>
                <w:lang w:val="en-US"/>
              </w:rPr>
              <w:t>138,949</w:t>
            </w:r>
          </w:p>
        </w:tc>
        <w:tc>
          <w:tcPr>
            <w:tcW w:w="851" w:type="dxa"/>
            <w:tcBorders>
              <w:top w:val="single" w:sz="12" w:space="0" w:color="000000"/>
            </w:tcBorders>
            <w:shd w:val="clear" w:color="auto" w:fill="auto"/>
            <w:vAlign w:val="bottom"/>
          </w:tcPr>
          <w:p w:rsidR="002D5BB0" w:rsidRPr="00222917" w:rsidRDefault="002D5BB0" w:rsidP="00C15028">
            <w:pPr>
              <w:pStyle w:val="SingleTxtG"/>
              <w:suppressAutoHyphens w:val="0"/>
              <w:spacing w:before="40" w:after="40" w:line="220" w:lineRule="exact"/>
              <w:ind w:left="0" w:right="0"/>
              <w:jc w:val="right"/>
              <w:rPr>
                <w:sz w:val="18"/>
                <w:lang w:val="en-US"/>
              </w:rPr>
            </w:pPr>
            <w:r w:rsidRPr="00222917">
              <w:rPr>
                <w:sz w:val="18"/>
                <w:lang w:val="en-US"/>
              </w:rPr>
              <w:t>144,756</w:t>
            </w:r>
          </w:p>
        </w:tc>
        <w:tc>
          <w:tcPr>
            <w:tcW w:w="851" w:type="dxa"/>
            <w:tcBorders>
              <w:top w:val="single" w:sz="12" w:space="0" w:color="000000"/>
            </w:tcBorders>
            <w:shd w:val="clear" w:color="auto" w:fill="auto"/>
            <w:vAlign w:val="bottom"/>
          </w:tcPr>
          <w:p w:rsidR="002D5BB0" w:rsidRPr="00222917" w:rsidRDefault="002D5BB0" w:rsidP="00C15028">
            <w:pPr>
              <w:pStyle w:val="SingleTxtG"/>
              <w:suppressAutoHyphens w:val="0"/>
              <w:spacing w:before="40" w:after="40" w:line="220" w:lineRule="exact"/>
              <w:ind w:left="0" w:right="0"/>
              <w:jc w:val="right"/>
              <w:rPr>
                <w:sz w:val="18"/>
                <w:lang w:val="en-US"/>
              </w:rPr>
            </w:pPr>
            <w:r w:rsidRPr="00222917">
              <w:rPr>
                <w:sz w:val="18"/>
                <w:lang w:val="en-US"/>
              </w:rPr>
              <w:t>763</w:t>
            </w:r>
          </w:p>
        </w:tc>
      </w:tr>
      <w:tr w:rsidR="006E1F63" w:rsidRPr="00222917" w:rsidTr="00730E7A">
        <w:trPr>
          <w:trHeight w:val="240"/>
        </w:trPr>
        <w:tc>
          <w:tcPr>
            <w:tcW w:w="567" w:type="dxa"/>
            <w:shd w:val="clear" w:color="auto" w:fill="auto"/>
          </w:tcPr>
          <w:p w:rsidR="002D5BB0" w:rsidRPr="00222917" w:rsidRDefault="002D5BB0" w:rsidP="00C15028">
            <w:pPr>
              <w:pStyle w:val="SingleTxtG"/>
              <w:suppressAutoHyphens w:val="0"/>
              <w:spacing w:before="40" w:after="40" w:line="220" w:lineRule="exact"/>
              <w:ind w:left="0" w:right="0"/>
              <w:jc w:val="left"/>
              <w:rPr>
                <w:sz w:val="18"/>
                <w:lang w:val="en-US"/>
              </w:rPr>
            </w:pPr>
            <w:r w:rsidRPr="00222917">
              <w:rPr>
                <w:sz w:val="18"/>
                <w:lang w:val="en-US"/>
              </w:rPr>
              <w:t>2007</w:t>
            </w:r>
          </w:p>
        </w:tc>
        <w:tc>
          <w:tcPr>
            <w:tcW w:w="851" w:type="dxa"/>
            <w:shd w:val="clear" w:color="auto" w:fill="auto"/>
            <w:vAlign w:val="bottom"/>
          </w:tcPr>
          <w:p w:rsidR="002D5BB0" w:rsidRPr="00222917" w:rsidRDefault="002D5BB0" w:rsidP="00C15028">
            <w:pPr>
              <w:pStyle w:val="SingleTxtG"/>
              <w:suppressAutoHyphens w:val="0"/>
              <w:spacing w:before="40" w:after="40" w:line="220" w:lineRule="exact"/>
              <w:ind w:left="0" w:right="0"/>
              <w:jc w:val="right"/>
              <w:rPr>
                <w:sz w:val="18"/>
                <w:lang w:val="en-US"/>
              </w:rPr>
            </w:pPr>
            <w:r w:rsidRPr="00222917">
              <w:rPr>
                <w:sz w:val="18"/>
                <w:lang w:val="en-US"/>
              </w:rPr>
              <w:t>316</w:t>
            </w:r>
          </w:p>
        </w:tc>
        <w:tc>
          <w:tcPr>
            <w:tcW w:w="851" w:type="dxa"/>
            <w:shd w:val="clear" w:color="auto" w:fill="auto"/>
            <w:vAlign w:val="bottom"/>
          </w:tcPr>
          <w:p w:rsidR="002D5BB0" w:rsidRPr="00222917" w:rsidRDefault="002D5BB0" w:rsidP="00C15028">
            <w:pPr>
              <w:pStyle w:val="SingleTxtG"/>
              <w:suppressAutoHyphens w:val="0"/>
              <w:spacing w:before="40" w:after="40" w:line="220" w:lineRule="exact"/>
              <w:ind w:left="0" w:right="0"/>
              <w:jc w:val="right"/>
              <w:rPr>
                <w:b/>
                <w:sz w:val="18"/>
                <w:lang w:val="en-US"/>
              </w:rPr>
            </w:pPr>
            <w:r w:rsidRPr="00222917">
              <w:rPr>
                <w:b/>
                <w:sz w:val="18"/>
                <w:lang w:val="en-US"/>
              </w:rPr>
              <w:t>2,828</w:t>
            </w:r>
          </w:p>
        </w:tc>
        <w:tc>
          <w:tcPr>
            <w:tcW w:w="851" w:type="dxa"/>
            <w:shd w:val="clear" w:color="auto" w:fill="auto"/>
            <w:vAlign w:val="bottom"/>
          </w:tcPr>
          <w:p w:rsidR="002D5BB0" w:rsidRPr="00222917" w:rsidRDefault="002D5BB0" w:rsidP="00C15028">
            <w:pPr>
              <w:pStyle w:val="SingleTxtG"/>
              <w:suppressAutoHyphens w:val="0"/>
              <w:spacing w:before="40" w:after="40" w:line="220" w:lineRule="exact"/>
              <w:ind w:left="0" w:right="0"/>
              <w:jc w:val="right"/>
              <w:rPr>
                <w:sz w:val="18"/>
                <w:lang w:val="en-US"/>
              </w:rPr>
            </w:pPr>
            <w:r w:rsidRPr="00222917">
              <w:rPr>
                <w:sz w:val="18"/>
                <w:lang w:val="en-US"/>
              </w:rPr>
              <w:t>902</w:t>
            </w:r>
          </w:p>
        </w:tc>
        <w:tc>
          <w:tcPr>
            <w:tcW w:w="851" w:type="dxa"/>
            <w:shd w:val="clear" w:color="auto" w:fill="auto"/>
            <w:vAlign w:val="bottom"/>
          </w:tcPr>
          <w:p w:rsidR="002D5BB0" w:rsidRPr="00222917" w:rsidRDefault="002D5BB0" w:rsidP="00C15028">
            <w:pPr>
              <w:pStyle w:val="SingleTxtG"/>
              <w:suppressAutoHyphens w:val="0"/>
              <w:spacing w:before="40" w:after="40" w:line="220" w:lineRule="exact"/>
              <w:ind w:left="0" w:right="0"/>
              <w:jc w:val="right"/>
              <w:rPr>
                <w:sz w:val="18"/>
                <w:lang w:val="en-US"/>
              </w:rPr>
            </w:pPr>
            <w:r w:rsidRPr="00222917">
              <w:rPr>
                <w:sz w:val="18"/>
                <w:lang w:val="en-US"/>
              </w:rPr>
              <w:t>1,926</w:t>
            </w:r>
          </w:p>
        </w:tc>
        <w:tc>
          <w:tcPr>
            <w:tcW w:w="851" w:type="dxa"/>
            <w:shd w:val="clear" w:color="auto" w:fill="auto"/>
            <w:vAlign w:val="bottom"/>
          </w:tcPr>
          <w:p w:rsidR="002D5BB0" w:rsidRPr="00222917" w:rsidRDefault="002D5BB0" w:rsidP="00C15028">
            <w:pPr>
              <w:pStyle w:val="SingleTxtG"/>
              <w:suppressAutoHyphens w:val="0"/>
              <w:spacing w:before="40" w:after="40" w:line="220" w:lineRule="exact"/>
              <w:ind w:left="0" w:right="0"/>
              <w:jc w:val="right"/>
              <w:rPr>
                <w:b/>
                <w:sz w:val="18"/>
                <w:lang w:val="en-US"/>
              </w:rPr>
            </w:pPr>
            <w:r w:rsidRPr="00222917">
              <w:rPr>
                <w:b/>
                <w:sz w:val="18"/>
                <w:lang w:val="en-US"/>
              </w:rPr>
              <w:t>295,825</w:t>
            </w:r>
          </w:p>
        </w:tc>
        <w:tc>
          <w:tcPr>
            <w:tcW w:w="851" w:type="dxa"/>
            <w:shd w:val="clear" w:color="auto" w:fill="auto"/>
            <w:vAlign w:val="bottom"/>
          </w:tcPr>
          <w:p w:rsidR="002D5BB0" w:rsidRPr="00222917" w:rsidRDefault="002D5BB0" w:rsidP="00C15028">
            <w:pPr>
              <w:pStyle w:val="SingleTxtG"/>
              <w:suppressAutoHyphens w:val="0"/>
              <w:spacing w:before="40" w:after="40" w:line="220" w:lineRule="exact"/>
              <w:ind w:left="0" w:right="0"/>
              <w:jc w:val="right"/>
              <w:rPr>
                <w:sz w:val="18"/>
                <w:lang w:val="en-US"/>
              </w:rPr>
            </w:pPr>
            <w:r w:rsidRPr="00222917">
              <w:rPr>
                <w:sz w:val="18"/>
                <w:lang w:val="en-US"/>
              </w:rPr>
              <w:t>135,386</w:t>
            </w:r>
          </w:p>
        </w:tc>
        <w:tc>
          <w:tcPr>
            <w:tcW w:w="851" w:type="dxa"/>
            <w:shd w:val="clear" w:color="auto" w:fill="auto"/>
            <w:vAlign w:val="bottom"/>
          </w:tcPr>
          <w:p w:rsidR="002D5BB0" w:rsidRPr="00222917" w:rsidRDefault="002D5BB0" w:rsidP="00C15028">
            <w:pPr>
              <w:pStyle w:val="SingleTxtG"/>
              <w:suppressAutoHyphens w:val="0"/>
              <w:spacing w:before="40" w:after="40" w:line="220" w:lineRule="exact"/>
              <w:ind w:left="0" w:right="0"/>
              <w:jc w:val="right"/>
              <w:rPr>
                <w:sz w:val="18"/>
                <w:lang w:val="en-US"/>
              </w:rPr>
            </w:pPr>
            <w:r w:rsidRPr="00222917">
              <w:rPr>
                <w:sz w:val="18"/>
                <w:lang w:val="en-US"/>
              </w:rPr>
              <w:t>160,439</w:t>
            </w:r>
          </w:p>
        </w:tc>
        <w:tc>
          <w:tcPr>
            <w:tcW w:w="851" w:type="dxa"/>
            <w:shd w:val="clear" w:color="auto" w:fill="auto"/>
            <w:vAlign w:val="bottom"/>
          </w:tcPr>
          <w:p w:rsidR="002D5BB0" w:rsidRPr="00222917" w:rsidRDefault="002D5BB0" w:rsidP="00C15028">
            <w:pPr>
              <w:pStyle w:val="SingleTxtG"/>
              <w:suppressAutoHyphens w:val="0"/>
              <w:spacing w:before="40" w:after="40" w:line="220" w:lineRule="exact"/>
              <w:ind w:left="0" w:right="0"/>
              <w:jc w:val="right"/>
              <w:rPr>
                <w:sz w:val="18"/>
                <w:lang w:val="en-US"/>
              </w:rPr>
            </w:pPr>
            <w:r w:rsidRPr="00222917">
              <w:rPr>
                <w:sz w:val="18"/>
                <w:lang w:val="en-US"/>
              </w:rPr>
              <w:t>939</w:t>
            </w:r>
          </w:p>
        </w:tc>
      </w:tr>
      <w:tr w:rsidR="006E1F63" w:rsidRPr="00222917" w:rsidTr="00730E7A">
        <w:trPr>
          <w:trHeight w:val="240"/>
        </w:trPr>
        <w:tc>
          <w:tcPr>
            <w:tcW w:w="567" w:type="dxa"/>
            <w:shd w:val="clear" w:color="auto" w:fill="auto"/>
          </w:tcPr>
          <w:p w:rsidR="002D5BB0" w:rsidRPr="00222917" w:rsidRDefault="002D5BB0" w:rsidP="00C15028">
            <w:pPr>
              <w:pStyle w:val="SingleTxtG"/>
              <w:suppressAutoHyphens w:val="0"/>
              <w:spacing w:before="40" w:after="40" w:line="220" w:lineRule="exact"/>
              <w:ind w:left="0" w:right="0"/>
              <w:jc w:val="left"/>
              <w:rPr>
                <w:sz w:val="18"/>
                <w:lang w:val="en-US"/>
              </w:rPr>
            </w:pPr>
            <w:r w:rsidRPr="00222917">
              <w:rPr>
                <w:sz w:val="18"/>
                <w:lang w:val="en-US"/>
              </w:rPr>
              <w:t>2008</w:t>
            </w:r>
          </w:p>
        </w:tc>
        <w:tc>
          <w:tcPr>
            <w:tcW w:w="851" w:type="dxa"/>
            <w:shd w:val="clear" w:color="auto" w:fill="auto"/>
            <w:vAlign w:val="bottom"/>
          </w:tcPr>
          <w:p w:rsidR="002D5BB0" w:rsidRPr="00222917" w:rsidRDefault="002D5BB0" w:rsidP="00C15028">
            <w:pPr>
              <w:pStyle w:val="SingleTxtG"/>
              <w:suppressAutoHyphens w:val="0"/>
              <w:spacing w:before="40" w:after="40" w:line="220" w:lineRule="exact"/>
              <w:ind w:left="0" w:right="0"/>
              <w:jc w:val="right"/>
              <w:rPr>
                <w:sz w:val="18"/>
                <w:lang w:val="en-US"/>
              </w:rPr>
            </w:pPr>
            <w:r w:rsidRPr="00222917">
              <w:rPr>
                <w:sz w:val="18"/>
                <w:lang w:val="en-US"/>
              </w:rPr>
              <w:t>303</w:t>
            </w:r>
          </w:p>
        </w:tc>
        <w:tc>
          <w:tcPr>
            <w:tcW w:w="851" w:type="dxa"/>
            <w:shd w:val="clear" w:color="auto" w:fill="auto"/>
            <w:vAlign w:val="bottom"/>
          </w:tcPr>
          <w:p w:rsidR="002D5BB0" w:rsidRPr="00222917" w:rsidRDefault="002D5BB0" w:rsidP="00C15028">
            <w:pPr>
              <w:pStyle w:val="SingleTxtG"/>
              <w:suppressAutoHyphens w:val="0"/>
              <w:spacing w:before="40" w:after="40" w:line="220" w:lineRule="exact"/>
              <w:ind w:left="0" w:right="0"/>
              <w:jc w:val="right"/>
              <w:rPr>
                <w:b/>
                <w:sz w:val="18"/>
                <w:lang w:val="en-US"/>
              </w:rPr>
            </w:pPr>
            <w:r w:rsidRPr="00222917">
              <w:rPr>
                <w:b/>
                <w:sz w:val="18"/>
                <w:lang w:val="en-US"/>
              </w:rPr>
              <w:t>2,407</w:t>
            </w:r>
          </w:p>
        </w:tc>
        <w:tc>
          <w:tcPr>
            <w:tcW w:w="851" w:type="dxa"/>
            <w:shd w:val="clear" w:color="auto" w:fill="auto"/>
            <w:vAlign w:val="bottom"/>
          </w:tcPr>
          <w:p w:rsidR="002D5BB0" w:rsidRPr="00222917" w:rsidRDefault="002D5BB0" w:rsidP="00C15028">
            <w:pPr>
              <w:pStyle w:val="SingleTxtG"/>
              <w:suppressAutoHyphens w:val="0"/>
              <w:spacing w:before="40" w:after="40" w:line="220" w:lineRule="exact"/>
              <w:ind w:left="0" w:right="0"/>
              <w:jc w:val="right"/>
              <w:rPr>
                <w:sz w:val="18"/>
                <w:lang w:val="en-US"/>
              </w:rPr>
            </w:pPr>
            <w:r w:rsidRPr="00222917">
              <w:rPr>
                <w:sz w:val="18"/>
                <w:lang w:val="en-US"/>
              </w:rPr>
              <w:t>820</w:t>
            </w:r>
          </w:p>
        </w:tc>
        <w:tc>
          <w:tcPr>
            <w:tcW w:w="851" w:type="dxa"/>
            <w:shd w:val="clear" w:color="auto" w:fill="auto"/>
            <w:vAlign w:val="bottom"/>
          </w:tcPr>
          <w:p w:rsidR="002D5BB0" w:rsidRPr="00222917" w:rsidRDefault="002D5BB0" w:rsidP="00C15028">
            <w:pPr>
              <w:pStyle w:val="SingleTxtG"/>
              <w:suppressAutoHyphens w:val="0"/>
              <w:spacing w:before="40" w:after="40" w:line="220" w:lineRule="exact"/>
              <w:ind w:left="0" w:right="0"/>
              <w:jc w:val="right"/>
              <w:rPr>
                <w:sz w:val="18"/>
                <w:lang w:val="en-US"/>
              </w:rPr>
            </w:pPr>
            <w:r w:rsidRPr="00222917">
              <w:rPr>
                <w:sz w:val="18"/>
                <w:lang w:val="en-US"/>
              </w:rPr>
              <w:t>1,587</w:t>
            </w:r>
          </w:p>
        </w:tc>
        <w:tc>
          <w:tcPr>
            <w:tcW w:w="851" w:type="dxa"/>
            <w:shd w:val="clear" w:color="auto" w:fill="auto"/>
            <w:vAlign w:val="bottom"/>
          </w:tcPr>
          <w:p w:rsidR="002D5BB0" w:rsidRPr="00222917" w:rsidRDefault="002D5BB0" w:rsidP="00C15028">
            <w:pPr>
              <w:pStyle w:val="SingleTxtG"/>
              <w:suppressAutoHyphens w:val="0"/>
              <w:spacing w:before="40" w:after="40" w:line="220" w:lineRule="exact"/>
              <w:ind w:left="0" w:right="0"/>
              <w:jc w:val="right"/>
              <w:rPr>
                <w:b/>
                <w:sz w:val="18"/>
                <w:lang w:val="en-US"/>
              </w:rPr>
            </w:pPr>
            <w:r w:rsidRPr="00222917">
              <w:rPr>
                <w:b/>
                <w:sz w:val="18"/>
                <w:lang w:val="en-US"/>
              </w:rPr>
              <w:t>307,851</w:t>
            </w:r>
          </w:p>
        </w:tc>
        <w:tc>
          <w:tcPr>
            <w:tcW w:w="851" w:type="dxa"/>
            <w:shd w:val="clear" w:color="auto" w:fill="auto"/>
            <w:vAlign w:val="bottom"/>
          </w:tcPr>
          <w:p w:rsidR="002D5BB0" w:rsidRPr="00222917" w:rsidRDefault="002D5BB0" w:rsidP="00C15028">
            <w:pPr>
              <w:pStyle w:val="SingleTxtG"/>
              <w:suppressAutoHyphens w:val="0"/>
              <w:spacing w:before="40" w:after="40" w:line="220" w:lineRule="exact"/>
              <w:ind w:left="0" w:right="0"/>
              <w:jc w:val="right"/>
              <w:rPr>
                <w:sz w:val="18"/>
                <w:lang w:val="en-US"/>
              </w:rPr>
            </w:pPr>
            <w:r w:rsidRPr="00222917">
              <w:rPr>
                <w:sz w:val="18"/>
                <w:lang w:val="en-US"/>
              </w:rPr>
              <w:t>130,921</w:t>
            </w:r>
          </w:p>
        </w:tc>
        <w:tc>
          <w:tcPr>
            <w:tcW w:w="851" w:type="dxa"/>
            <w:shd w:val="clear" w:color="auto" w:fill="auto"/>
            <w:vAlign w:val="bottom"/>
          </w:tcPr>
          <w:p w:rsidR="002D5BB0" w:rsidRPr="00222917" w:rsidRDefault="002D5BB0" w:rsidP="00C15028">
            <w:pPr>
              <w:pStyle w:val="SingleTxtG"/>
              <w:suppressAutoHyphens w:val="0"/>
              <w:spacing w:before="40" w:after="40" w:line="220" w:lineRule="exact"/>
              <w:ind w:left="0" w:right="0"/>
              <w:jc w:val="right"/>
              <w:rPr>
                <w:sz w:val="18"/>
                <w:lang w:val="en-US"/>
              </w:rPr>
            </w:pPr>
            <w:r w:rsidRPr="00222917">
              <w:rPr>
                <w:sz w:val="18"/>
                <w:lang w:val="en-US"/>
              </w:rPr>
              <w:t>176,930</w:t>
            </w:r>
          </w:p>
        </w:tc>
        <w:tc>
          <w:tcPr>
            <w:tcW w:w="851" w:type="dxa"/>
            <w:shd w:val="clear" w:color="auto" w:fill="auto"/>
            <w:vAlign w:val="bottom"/>
          </w:tcPr>
          <w:p w:rsidR="002D5BB0" w:rsidRPr="00222917" w:rsidRDefault="002D5BB0" w:rsidP="00C15028">
            <w:pPr>
              <w:pStyle w:val="SingleTxtG"/>
              <w:suppressAutoHyphens w:val="0"/>
              <w:spacing w:before="40" w:after="40" w:line="220" w:lineRule="exact"/>
              <w:ind w:left="0" w:right="0"/>
              <w:jc w:val="right"/>
              <w:rPr>
                <w:sz w:val="18"/>
                <w:lang w:val="en-US"/>
              </w:rPr>
            </w:pPr>
            <w:r w:rsidRPr="00222917">
              <w:rPr>
                <w:sz w:val="18"/>
                <w:lang w:val="en-US"/>
              </w:rPr>
              <w:t>1,016</w:t>
            </w:r>
          </w:p>
        </w:tc>
      </w:tr>
      <w:tr w:rsidR="006E1F63" w:rsidRPr="00222917" w:rsidTr="00730E7A">
        <w:trPr>
          <w:trHeight w:val="240"/>
        </w:trPr>
        <w:tc>
          <w:tcPr>
            <w:tcW w:w="567" w:type="dxa"/>
            <w:shd w:val="clear" w:color="auto" w:fill="auto"/>
          </w:tcPr>
          <w:p w:rsidR="002D5BB0" w:rsidRPr="00222917" w:rsidRDefault="002D5BB0" w:rsidP="00C15028">
            <w:pPr>
              <w:pStyle w:val="SingleTxtG"/>
              <w:suppressAutoHyphens w:val="0"/>
              <w:spacing w:before="40" w:after="40" w:line="220" w:lineRule="exact"/>
              <w:ind w:left="0" w:right="0"/>
              <w:jc w:val="left"/>
              <w:rPr>
                <w:sz w:val="18"/>
                <w:lang w:val="en-US"/>
              </w:rPr>
            </w:pPr>
            <w:r w:rsidRPr="00222917">
              <w:rPr>
                <w:sz w:val="18"/>
                <w:lang w:val="en-US"/>
              </w:rPr>
              <w:t>2009</w:t>
            </w:r>
          </w:p>
        </w:tc>
        <w:tc>
          <w:tcPr>
            <w:tcW w:w="851" w:type="dxa"/>
            <w:shd w:val="clear" w:color="auto" w:fill="auto"/>
            <w:vAlign w:val="bottom"/>
          </w:tcPr>
          <w:p w:rsidR="002D5BB0" w:rsidRPr="00222917" w:rsidRDefault="002D5BB0" w:rsidP="00C15028">
            <w:pPr>
              <w:pStyle w:val="SingleTxtG"/>
              <w:suppressAutoHyphens w:val="0"/>
              <w:spacing w:before="40" w:after="40" w:line="220" w:lineRule="exact"/>
              <w:ind w:left="0" w:right="0"/>
              <w:jc w:val="right"/>
              <w:rPr>
                <w:sz w:val="18"/>
                <w:lang w:val="en-US"/>
              </w:rPr>
            </w:pPr>
            <w:r w:rsidRPr="00222917">
              <w:rPr>
                <w:sz w:val="18"/>
                <w:lang w:val="en-US"/>
              </w:rPr>
              <w:t>275</w:t>
            </w:r>
          </w:p>
        </w:tc>
        <w:tc>
          <w:tcPr>
            <w:tcW w:w="851" w:type="dxa"/>
            <w:shd w:val="clear" w:color="auto" w:fill="auto"/>
            <w:vAlign w:val="bottom"/>
          </w:tcPr>
          <w:p w:rsidR="002D5BB0" w:rsidRPr="00222917" w:rsidRDefault="002D5BB0" w:rsidP="00C15028">
            <w:pPr>
              <w:pStyle w:val="SingleTxtG"/>
              <w:suppressAutoHyphens w:val="0"/>
              <w:spacing w:before="40" w:after="40" w:line="220" w:lineRule="exact"/>
              <w:ind w:left="0" w:right="0"/>
              <w:jc w:val="right"/>
              <w:rPr>
                <w:b/>
                <w:sz w:val="18"/>
                <w:lang w:val="en-US"/>
              </w:rPr>
            </w:pPr>
            <w:r w:rsidRPr="00222917">
              <w:rPr>
                <w:b/>
                <w:sz w:val="18"/>
                <w:lang w:val="en-US"/>
              </w:rPr>
              <w:t>1,816</w:t>
            </w:r>
          </w:p>
        </w:tc>
        <w:tc>
          <w:tcPr>
            <w:tcW w:w="851" w:type="dxa"/>
            <w:shd w:val="clear" w:color="auto" w:fill="auto"/>
            <w:vAlign w:val="bottom"/>
          </w:tcPr>
          <w:p w:rsidR="002D5BB0" w:rsidRPr="00222917" w:rsidRDefault="002D5BB0" w:rsidP="00C15028">
            <w:pPr>
              <w:pStyle w:val="SingleTxtG"/>
              <w:suppressAutoHyphens w:val="0"/>
              <w:spacing w:before="40" w:after="40" w:line="220" w:lineRule="exact"/>
              <w:ind w:left="0" w:right="0"/>
              <w:jc w:val="right"/>
              <w:rPr>
                <w:sz w:val="18"/>
                <w:lang w:val="en-US"/>
              </w:rPr>
            </w:pPr>
            <w:r w:rsidRPr="00222917">
              <w:rPr>
                <w:sz w:val="18"/>
                <w:lang w:val="en-US"/>
              </w:rPr>
              <w:t>693</w:t>
            </w:r>
          </w:p>
        </w:tc>
        <w:tc>
          <w:tcPr>
            <w:tcW w:w="851" w:type="dxa"/>
            <w:shd w:val="clear" w:color="auto" w:fill="auto"/>
            <w:vAlign w:val="bottom"/>
          </w:tcPr>
          <w:p w:rsidR="002D5BB0" w:rsidRPr="00222917" w:rsidRDefault="002D5BB0" w:rsidP="00C15028">
            <w:pPr>
              <w:pStyle w:val="SingleTxtG"/>
              <w:suppressAutoHyphens w:val="0"/>
              <w:spacing w:before="40" w:after="40" w:line="220" w:lineRule="exact"/>
              <w:ind w:left="0" w:right="0"/>
              <w:jc w:val="right"/>
              <w:rPr>
                <w:sz w:val="18"/>
                <w:lang w:val="en-US"/>
              </w:rPr>
            </w:pPr>
            <w:r w:rsidRPr="00222917">
              <w:rPr>
                <w:sz w:val="18"/>
                <w:lang w:val="en-US"/>
              </w:rPr>
              <w:t>1,123</w:t>
            </w:r>
          </w:p>
        </w:tc>
        <w:tc>
          <w:tcPr>
            <w:tcW w:w="851" w:type="dxa"/>
            <w:shd w:val="clear" w:color="auto" w:fill="auto"/>
            <w:vAlign w:val="bottom"/>
          </w:tcPr>
          <w:p w:rsidR="002D5BB0" w:rsidRPr="00222917" w:rsidRDefault="002D5BB0" w:rsidP="00C15028">
            <w:pPr>
              <w:pStyle w:val="SingleTxtG"/>
              <w:suppressAutoHyphens w:val="0"/>
              <w:spacing w:before="40" w:after="40" w:line="220" w:lineRule="exact"/>
              <w:ind w:left="0" w:right="0"/>
              <w:jc w:val="right"/>
              <w:rPr>
                <w:b/>
                <w:sz w:val="18"/>
                <w:lang w:val="en-US"/>
              </w:rPr>
            </w:pPr>
            <w:r w:rsidRPr="00222917">
              <w:rPr>
                <w:b/>
                <w:sz w:val="18"/>
                <w:lang w:val="en-US"/>
              </w:rPr>
              <w:t>307,009</w:t>
            </w:r>
          </w:p>
        </w:tc>
        <w:tc>
          <w:tcPr>
            <w:tcW w:w="851" w:type="dxa"/>
            <w:shd w:val="clear" w:color="auto" w:fill="auto"/>
            <w:vAlign w:val="bottom"/>
          </w:tcPr>
          <w:p w:rsidR="002D5BB0" w:rsidRPr="00222917" w:rsidRDefault="002D5BB0" w:rsidP="00C15028">
            <w:pPr>
              <w:pStyle w:val="SingleTxtG"/>
              <w:suppressAutoHyphens w:val="0"/>
              <w:spacing w:before="40" w:after="40" w:line="220" w:lineRule="exact"/>
              <w:ind w:left="0" w:right="0"/>
              <w:jc w:val="right"/>
              <w:rPr>
                <w:sz w:val="18"/>
                <w:lang w:val="en-US"/>
              </w:rPr>
            </w:pPr>
            <w:r w:rsidRPr="00222917">
              <w:rPr>
                <w:sz w:val="18"/>
                <w:lang w:val="en-US"/>
              </w:rPr>
              <w:t>132,227</w:t>
            </w:r>
          </w:p>
        </w:tc>
        <w:tc>
          <w:tcPr>
            <w:tcW w:w="851" w:type="dxa"/>
            <w:shd w:val="clear" w:color="auto" w:fill="auto"/>
            <w:vAlign w:val="bottom"/>
          </w:tcPr>
          <w:p w:rsidR="002D5BB0" w:rsidRPr="00222917" w:rsidRDefault="002D5BB0" w:rsidP="00C15028">
            <w:pPr>
              <w:pStyle w:val="SingleTxtG"/>
              <w:suppressAutoHyphens w:val="0"/>
              <w:spacing w:before="40" w:after="40" w:line="220" w:lineRule="exact"/>
              <w:ind w:left="0" w:right="0"/>
              <w:jc w:val="right"/>
              <w:rPr>
                <w:sz w:val="18"/>
                <w:lang w:val="en-US"/>
              </w:rPr>
            </w:pPr>
            <w:r w:rsidRPr="00222917">
              <w:rPr>
                <w:sz w:val="18"/>
                <w:lang w:val="en-US"/>
              </w:rPr>
              <w:t>174,782</w:t>
            </w:r>
          </w:p>
        </w:tc>
        <w:tc>
          <w:tcPr>
            <w:tcW w:w="851" w:type="dxa"/>
            <w:shd w:val="clear" w:color="auto" w:fill="auto"/>
            <w:vAlign w:val="bottom"/>
          </w:tcPr>
          <w:p w:rsidR="002D5BB0" w:rsidRPr="00222917" w:rsidRDefault="002D5BB0" w:rsidP="00C15028">
            <w:pPr>
              <w:pStyle w:val="SingleTxtG"/>
              <w:suppressAutoHyphens w:val="0"/>
              <w:spacing w:before="40" w:after="40" w:line="220" w:lineRule="exact"/>
              <w:ind w:left="0" w:right="0"/>
              <w:jc w:val="right"/>
              <w:rPr>
                <w:sz w:val="18"/>
                <w:lang w:val="en-US"/>
              </w:rPr>
            </w:pPr>
            <w:r w:rsidRPr="00222917">
              <w:rPr>
                <w:sz w:val="18"/>
                <w:lang w:val="en-US"/>
              </w:rPr>
              <w:t>1,129</w:t>
            </w:r>
          </w:p>
        </w:tc>
      </w:tr>
      <w:tr w:rsidR="006E1F63" w:rsidRPr="00222917" w:rsidTr="00730E7A">
        <w:trPr>
          <w:trHeight w:val="240"/>
        </w:trPr>
        <w:tc>
          <w:tcPr>
            <w:tcW w:w="567" w:type="dxa"/>
            <w:tcBorders>
              <w:bottom w:val="single" w:sz="12" w:space="0" w:color="auto"/>
            </w:tcBorders>
            <w:shd w:val="clear" w:color="auto" w:fill="auto"/>
          </w:tcPr>
          <w:p w:rsidR="002D5BB0" w:rsidRPr="00222917" w:rsidRDefault="002D5BB0" w:rsidP="00C15028">
            <w:pPr>
              <w:pStyle w:val="SingleTxtG"/>
              <w:suppressAutoHyphens w:val="0"/>
              <w:spacing w:before="40" w:after="40" w:line="220" w:lineRule="exact"/>
              <w:ind w:left="0" w:right="0"/>
              <w:jc w:val="left"/>
              <w:rPr>
                <w:sz w:val="18"/>
                <w:lang w:val="en-US"/>
              </w:rPr>
            </w:pPr>
            <w:r w:rsidRPr="00222917">
              <w:rPr>
                <w:sz w:val="18"/>
                <w:lang w:val="en-US"/>
              </w:rPr>
              <w:t>2010</w:t>
            </w:r>
          </w:p>
        </w:tc>
        <w:tc>
          <w:tcPr>
            <w:tcW w:w="851" w:type="dxa"/>
            <w:tcBorders>
              <w:bottom w:val="single" w:sz="12" w:space="0" w:color="auto"/>
            </w:tcBorders>
            <w:shd w:val="clear" w:color="auto" w:fill="auto"/>
            <w:vAlign w:val="bottom"/>
          </w:tcPr>
          <w:p w:rsidR="002D5BB0" w:rsidRPr="00222917" w:rsidRDefault="002D5BB0" w:rsidP="00C15028">
            <w:pPr>
              <w:pStyle w:val="SingleTxtG"/>
              <w:suppressAutoHyphens w:val="0"/>
              <w:spacing w:before="40" w:after="40" w:line="220" w:lineRule="exact"/>
              <w:ind w:left="0" w:right="0"/>
              <w:jc w:val="right"/>
              <w:rPr>
                <w:sz w:val="18"/>
                <w:lang w:val="en-US"/>
              </w:rPr>
            </w:pPr>
            <w:r w:rsidRPr="00222917">
              <w:rPr>
                <w:sz w:val="18"/>
                <w:lang w:val="en-US"/>
              </w:rPr>
              <w:t>251</w:t>
            </w:r>
          </w:p>
        </w:tc>
        <w:tc>
          <w:tcPr>
            <w:tcW w:w="851" w:type="dxa"/>
            <w:tcBorders>
              <w:bottom w:val="single" w:sz="12" w:space="0" w:color="auto"/>
            </w:tcBorders>
            <w:shd w:val="clear" w:color="auto" w:fill="auto"/>
            <w:vAlign w:val="bottom"/>
          </w:tcPr>
          <w:p w:rsidR="002D5BB0" w:rsidRPr="00222917" w:rsidRDefault="002D5BB0" w:rsidP="00C15028">
            <w:pPr>
              <w:pStyle w:val="SingleTxtG"/>
              <w:suppressAutoHyphens w:val="0"/>
              <w:spacing w:before="40" w:after="40" w:line="220" w:lineRule="exact"/>
              <w:ind w:left="0" w:right="0"/>
              <w:jc w:val="right"/>
              <w:rPr>
                <w:b/>
                <w:sz w:val="18"/>
                <w:lang w:val="en-US"/>
              </w:rPr>
            </w:pPr>
            <w:r w:rsidRPr="00222917">
              <w:rPr>
                <w:b/>
                <w:sz w:val="18"/>
                <w:lang w:val="en-US"/>
              </w:rPr>
              <w:t>2,016</w:t>
            </w:r>
          </w:p>
        </w:tc>
        <w:tc>
          <w:tcPr>
            <w:tcW w:w="851" w:type="dxa"/>
            <w:tcBorders>
              <w:bottom w:val="single" w:sz="12" w:space="0" w:color="auto"/>
            </w:tcBorders>
            <w:shd w:val="clear" w:color="auto" w:fill="auto"/>
            <w:vAlign w:val="bottom"/>
          </w:tcPr>
          <w:p w:rsidR="002D5BB0" w:rsidRPr="00222917" w:rsidRDefault="002D5BB0" w:rsidP="00C15028">
            <w:pPr>
              <w:pStyle w:val="SingleTxtG"/>
              <w:suppressAutoHyphens w:val="0"/>
              <w:spacing w:before="40" w:after="40" w:line="220" w:lineRule="exact"/>
              <w:ind w:left="0" w:right="0"/>
              <w:jc w:val="right"/>
              <w:rPr>
                <w:sz w:val="18"/>
                <w:lang w:val="en-US"/>
              </w:rPr>
            </w:pPr>
            <w:r w:rsidRPr="00222917">
              <w:rPr>
                <w:sz w:val="18"/>
                <w:lang w:val="en-US"/>
              </w:rPr>
              <w:t>709</w:t>
            </w:r>
          </w:p>
        </w:tc>
        <w:tc>
          <w:tcPr>
            <w:tcW w:w="851" w:type="dxa"/>
            <w:tcBorders>
              <w:bottom w:val="single" w:sz="12" w:space="0" w:color="auto"/>
            </w:tcBorders>
            <w:shd w:val="clear" w:color="auto" w:fill="auto"/>
            <w:vAlign w:val="bottom"/>
          </w:tcPr>
          <w:p w:rsidR="002D5BB0" w:rsidRPr="00222917" w:rsidRDefault="002D5BB0" w:rsidP="00C15028">
            <w:pPr>
              <w:pStyle w:val="SingleTxtG"/>
              <w:suppressAutoHyphens w:val="0"/>
              <w:spacing w:before="40" w:after="40" w:line="220" w:lineRule="exact"/>
              <w:ind w:left="0" w:right="0"/>
              <w:jc w:val="right"/>
              <w:rPr>
                <w:sz w:val="18"/>
                <w:lang w:val="en-US"/>
              </w:rPr>
            </w:pPr>
            <w:r w:rsidRPr="00222917">
              <w:rPr>
                <w:sz w:val="18"/>
                <w:lang w:val="en-US"/>
              </w:rPr>
              <w:t>1,307</w:t>
            </w:r>
          </w:p>
        </w:tc>
        <w:tc>
          <w:tcPr>
            <w:tcW w:w="851" w:type="dxa"/>
            <w:tcBorders>
              <w:bottom w:val="single" w:sz="12" w:space="0" w:color="auto"/>
            </w:tcBorders>
            <w:shd w:val="clear" w:color="auto" w:fill="auto"/>
            <w:vAlign w:val="bottom"/>
          </w:tcPr>
          <w:p w:rsidR="002D5BB0" w:rsidRPr="00222917" w:rsidRDefault="002D5BB0" w:rsidP="00C15028">
            <w:pPr>
              <w:pStyle w:val="SingleTxtG"/>
              <w:suppressAutoHyphens w:val="0"/>
              <w:spacing w:before="40" w:after="40" w:line="220" w:lineRule="exact"/>
              <w:ind w:left="0" w:right="0"/>
              <w:jc w:val="right"/>
              <w:rPr>
                <w:b/>
                <w:sz w:val="18"/>
                <w:lang w:val="en-US"/>
              </w:rPr>
            </w:pPr>
            <w:r w:rsidRPr="00222917">
              <w:rPr>
                <w:b/>
                <w:sz w:val="18"/>
                <w:lang w:val="en-US"/>
              </w:rPr>
              <w:t>296,686</w:t>
            </w:r>
          </w:p>
        </w:tc>
        <w:tc>
          <w:tcPr>
            <w:tcW w:w="851" w:type="dxa"/>
            <w:tcBorders>
              <w:bottom w:val="single" w:sz="12" w:space="0" w:color="auto"/>
            </w:tcBorders>
            <w:shd w:val="clear" w:color="auto" w:fill="auto"/>
            <w:vAlign w:val="bottom"/>
          </w:tcPr>
          <w:p w:rsidR="002D5BB0" w:rsidRPr="00222917" w:rsidRDefault="002D5BB0" w:rsidP="00C15028">
            <w:pPr>
              <w:pStyle w:val="SingleTxtG"/>
              <w:suppressAutoHyphens w:val="0"/>
              <w:spacing w:before="40" w:after="40" w:line="220" w:lineRule="exact"/>
              <w:ind w:left="0" w:right="0"/>
              <w:jc w:val="right"/>
              <w:rPr>
                <w:sz w:val="18"/>
                <w:lang w:val="en-US"/>
              </w:rPr>
            </w:pPr>
            <w:r w:rsidRPr="00222917">
              <w:rPr>
                <w:sz w:val="18"/>
                <w:lang w:val="en-US"/>
              </w:rPr>
              <w:t>135,069</w:t>
            </w:r>
          </w:p>
        </w:tc>
        <w:tc>
          <w:tcPr>
            <w:tcW w:w="851" w:type="dxa"/>
            <w:tcBorders>
              <w:bottom w:val="single" w:sz="12" w:space="0" w:color="auto"/>
            </w:tcBorders>
            <w:shd w:val="clear" w:color="auto" w:fill="auto"/>
            <w:vAlign w:val="bottom"/>
          </w:tcPr>
          <w:p w:rsidR="002D5BB0" w:rsidRPr="00222917" w:rsidRDefault="002D5BB0" w:rsidP="00C15028">
            <w:pPr>
              <w:pStyle w:val="SingleTxtG"/>
              <w:suppressAutoHyphens w:val="0"/>
              <w:spacing w:before="40" w:after="40" w:line="220" w:lineRule="exact"/>
              <w:ind w:left="0" w:right="0"/>
              <w:jc w:val="right"/>
              <w:rPr>
                <w:sz w:val="18"/>
                <w:lang w:val="en-US"/>
              </w:rPr>
            </w:pPr>
            <w:r w:rsidRPr="00222917">
              <w:rPr>
                <w:sz w:val="18"/>
                <w:lang w:val="en-US"/>
              </w:rPr>
              <w:t>161,617</w:t>
            </w:r>
          </w:p>
        </w:tc>
        <w:tc>
          <w:tcPr>
            <w:tcW w:w="851" w:type="dxa"/>
            <w:tcBorders>
              <w:bottom w:val="single" w:sz="12" w:space="0" w:color="auto"/>
            </w:tcBorders>
            <w:shd w:val="clear" w:color="auto" w:fill="auto"/>
            <w:vAlign w:val="bottom"/>
          </w:tcPr>
          <w:p w:rsidR="002D5BB0" w:rsidRPr="00222917" w:rsidRDefault="002D5BB0" w:rsidP="00C15028">
            <w:pPr>
              <w:pStyle w:val="SingleTxtG"/>
              <w:suppressAutoHyphens w:val="0"/>
              <w:spacing w:before="40" w:after="40" w:line="220" w:lineRule="exact"/>
              <w:ind w:left="0" w:right="0"/>
              <w:jc w:val="right"/>
              <w:rPr>
                <w:sz w:val="18"/>
                <w:lang w:val="en-US"/>
              </w:rPr>
            </w:pPr>
            <w:r w:rsidRPr="00222917">
              <w:rPr>
                <w:sz w:val="18"/>
                <w:lang w:val="en-US"/>
              </w:rPr>
              <w:t>1,182</w:t>
            </w:r>
          </w:p>
        </w:tc>
      </w:tr>
    </w:tbl>
    <w:p w:rsidR="002D5BB0" w:rsidRPr="00222917" w:rsidRDefault="00730E7A" w:rsidP="00730E7A">
      <w:pPr>
        <w:pStyle w:val="H23G"/>
        <w:rPr>
          <w:b w:val="0"/>
          <w:sz w:val="16"/>
          <w:szCs w:val="16"/>
          <w:lang w:val="en-US"/>
        </w:rPr>
      </w:pPr>
      <w:r w:rsidRPr="00222917">
        <w:rPr>
          <w:lang w:val="en-US"/>
        </w:rPr>
        <w:tab/>
      </w:r>
      <w:r w:rsidRPr="00222917">
        <w:rPr>
          <w:lang w:val="en-US"/>
        </w:rPr>
        <w:tab/>
      </w:r>
      <w:r w:rsidR="002D5BB0" w:rsidRPr="00222917">
        <w:rPr>
          <w:lang w:val="en-US"/>
        </w:rPr>
        <w:t>Protection Facilities for Domestic Violence Victims</w:t>
      </w:r>
      <w:r w:rsidRPr="00222917">
        <w:rPr>
          <w:lang w:val="en-US"/>
        </w:rPr>
        <w:br/>
      </w:r>
      <w:r w:rsidR="002D5BB0" w:rsidRPr="00222917">
        <w:rPr>
          <w:b w:val="0"/>
          <w:sz w:val="16"/>
          <w:szCs w:val="16"/>
          <w:lang w:val="en-US"/>
        </w:rPr>
        <w:t xml:space="preserve">(Number of facilities and persons) </w:t>
      </w:r>
    </w:p>
    <w:tbl>
      <w:tblPr>
        <w:tblW w:w="0" w:type="auto"/>
        <w:tblInd w:w="1134" w:type="dxa"/>
        <w:tblBorders>
          <w:top w:val="single" w:sz="4" w:space="0" w:color="auto"/>
        </w:tblBorders>
        <w:tblLayout w:type="fixed"/>
        <w:tblCellMar>
          <w:left w:w="0" w:type="dxa"/>
          <w:right w:w="0" w:type="dxa"/>
        </w:tblCellMar>
        <w:tblLook w:val="0000"/>
      </w:tblPr>
      <w:tblGrid>
        <w:gridCol w:w="1701"/>
        <w:gridCol w:w="1134"/>
        <w:gridCol w:w="1134"/>
        <w:gridCol w:w="1134"/>
        <w:gridCol w:w="1134"/>
        <w:gridCol w:w="1134"/>
      </w:tblGrid>
      <w:tr w:rsidR="006E1F63" w:rsidRPr="00222917" w:rsidTr="0054076C">
        <w:trPr>
          <w:trHeight w:val="240"/>
          <w:tblHeader/>
        </w:trPr>
        <w:tc>
          <w:tcPr>
            <w:tcW w:w="1701" w:type="dxa"/>
            <w:vMerge w:val="restart"/>
            <w:tcBorders>
              <w:top w:val="single" w:sz="4" w:space="0" w:color="auto"/>
              <w:bottom w:val="single" w:sz="12" w:space="0" w:color="auto"/>
            </w:tcBorders>
            <w:shd w:val="clear" w:color="auto" w:fill="auto"/>
            <w:vAlign w:val="bottom"/>
          </w:tcPr>
          <w:p w:rsidR="002D5BB0" w:rsidRPr="00222917" w:rsidRDefault="002D5BB0" w:rsidP="00C15028">
            <w:pPr>
              <w:pStyle w:val="SingleTxtG"/>
              <w:suppressAutoHyphens w:val="0"/>
              <w:spacing w:before="80" w:after="80" w:line="200" w:lineRule="exact"/>
              <w:ind w:left="0" w:right="0"/>
              <w:jc w:val="left"/>
              <w:rPr>
                <w:i/>
                <w:sz w:val="16"/>
                <w:szCs w:val="16"/>
                <w:lang w:val="en-US"/>
              </w:rPr>
            </w:pPr>
            <w:r w:rsidRPr="00222917">
              <w:rPr>
                <w:bCs/>
                <w:i/>
                <w:sz w:val="16"/>
                <w:szCs w:val="16"/>
                <w:lang w:val="en-US"/>
              </w:rPr>
              <w:t>Year</w:t>
            </w:r>
          </w:p>
        </w:tc>
        <w:tc>
          <w:tcPr>
            <w:tcW w:w="1134" w:type="dxa"/>
            <w:vMerge w:val="restart"/>
            <w:tcBorders>
              <w:top w:val="single" w:sz="4" w:space="0" w:color="auto"/>
              <w:bottom w:val="single" w:sz="12" w:space="0" w:color="auto"/>
            </w:tcBorders>
            <w:shd w:val="clear" w:color="auto" w:fill="auto"/>
            <w:vAlign w:val="bottom"/>
          </w:tcPr>
          <w:p w:rsidR="002D5BB0" w:rsidRPr="00222917" w:rsidRDefault="002D5BB0" w:rsidP="00C15028">
            <w:pPr>
              <w:pStyle w:val="SingleTxtG"/>
              <w:suppressAutoHyphens w:val="0"/>
              <w:spacing w:before="80" w:after="80" w:line="200" w:lineRule="exact"/>
              <w:ind w:left="0" w:right="0"/>
              <w:jc w:val="right"/>
              <w:rPr>
                <w:i/>
                <w:sz w:val="16"/>
                <w:szCs w:val="16"/>
                <w:lang w:val="en-US"/>
              </w:rPr>
            </w:pPr>
            <w:r w:rsidRPr="00222917">
              <w:rPr>
                <w:bCs/>
                <w:i/>
                <w:sz w:val="16"/>
                <w:szCs w:val="16"/>
                <w:lang w:val="en-US"/>
              </w:rPr>
              <w:t>Number of protection facilities</w:t>
            </w:r>
          </w:p>
        </w:tc>
        <w:tc>
          <w:tcPr>
            <w:tcW w:w="1134" w:type="dxa"/>
            <w:vMerge w:val="restart"/>
            <w:tcBorders>
              <w:top w:val="single" w:sz="4" w:space="0" w:color="auto"/>
              <w:bottom w:val="single" w:sz="12" w:space="0" w:color="auto"/>
            </w:tcBorders>
            <w:shd w:val="clear" w:color="auto" w:fill="auto"/>
            <w:vAlign w:val="bottom"/>
          </w:tcPr>
          <w:p w:rsidR="002D5BB0" w:rsidRPr="00222917" w:rsidRDefault="002D5BB0" w:rsidP="00C15028">
            <w:pPr>
              <w:pStyle w:val="SingleTxtG"/>
              <w:suppressAutoHyphens w:val="0"/>
              <w:spacing w:before="80" w:after="80" w:line="200" w:lineRule="exact"/>
              <w:ind w:left="0" w:right="0"/>
              <w:jc w:val="right"/>
              <w:rPr>
                <w:i/>
                <w:sz w:val="16"/>
                <w:szCs w:val="16"/>
                <w:lang w:val="en-US"/>
              </w:rPr>
            </w:pPr>
            <w:r w:rsidRPr="00222917">
              <w:rPr>
                <w:bCs/>
                <w:i/>
                <w:sz w:val="16"/>
                <w:szCs w:val="16"/>
                <w:lang w:val="en-US"/>
              </w:rPr>
              <w:t>Total capacity of accommodation</w:t>
            </w:r>
            <w:r w:rsidR="00C15028" w:rsidRPr="00222917">
              <w:rPr>
                <w:bCs/>
                <w:i/>
                <w:sz w:val="16"/>
                <w:szCs w:val="16"/>
                <w:lang w:val="en-US"/>
              </w:rPr>
              <w:br/>
            </w:r>
            <w:r w:rsidRPr="00222917">
              <w:rPr>
                <w:bCs/>
                <w:i/>
                <w:sz w:val="16"/>
                <w:szCs w:val="16"/>
                <w:lang w:val="en-US"/>
              </w:rPr>
              <w:t>(number of persons)</w:t>
            </w:r>
          </w:p>
        </w:tc>
        <w:tc>
          <w:tcPr>
            <w:tcW w:w="1134" w:type="dxa"/>
            <w:gridSpan w:val="3"/>
            <w:tcBorders>
              <w:top w:val="single" w:sz="4" w:space="0" w:color="auto"/>
              <w:bottom w:val="single" w:sz="4" w:space="0" w:color="000000"/>
            </w:tcBorders>
            <w:shd w:val="clear" w:color="auto" w:fill="auto"/>
            <w:vAlign w:val="bottom"/>
          </w:tcPr>
          <w:p w:rsidR="002D5BB0" w:rsidRPr="00222917" w:rsidRDefault="002D5BB0" w:rsidP="00C15028">
            <w:pPr>
              <w:pStyle w:val="SingleTxtG"/>
              <w:suppressAutoHyphens w:val="0"/>
              <w:spacing w:before="80" w:after="80" w:line="200" w:lineRule="exact"/>
              <w:ind w:left="0" w:right="0"/>
              <w:jc w:val="center"/>
              <w:rPr>
                <w:i/>
                <w:sz w:val="16"/>
                <w:szCs w:val="16"/>
                <w:lang w:val="en-US"/>
              </w:rPr>
            </w:pPr>
            <w:r w:rsidRPr="00222917">
              <w:rPr>
                <w:bCs/>
                <w:i/>
                <w:sz w:val="16"/>
                <w:szCs w:val="16"/>
                <w:lang w:val="en-US"/>
              </w:rPr>
              <w:t>Number of workers</w:t>
            </w:r>
          </w:p>
        </w:tc>
      </w:tr>
      <w:tr w:rsidR="006E1F63" w:rsidRPr="00222917" w:rsidTr="0054076C">
        <w:trPr>
          <w:trHeight w:val="240"/>
          <w:tblHeader/>
        </w:trPr>
        <w:tc>
          <w:tcPr>
            <w:tcW w:w="1701" w:type="dxa"/>
            <w:vMerge/>
            <w:tcBorders>
              <w:top w:val="single" w:sz="12" w:space="0" w:color="auto"/>
              <w:bottom w:val="single" w:sz="12" w:space="0" w:color="000000"/>
            </w:tcBorders>
            <w:shd w:val="clear" w:color="auto" w:fill="auto"/>
            <w:vAlign w:val="bottom"/>
          </w:tcPr>
          <w:p w:rsidR="002D5BB0" w:rsidRPr="00222917" w:rsidRDefault="002D5BB0" w:rsidP="00C15028">
            <w:pPr>
              <w:pStyle w:val="SingleTxtG"/>
              <w:suppressAutoHyphens w:val="0"/>
              <w:spacing w:before="80" w:after="80" w:line="200" w:lineRule="exact"/>
              <w:ind w:left="0" w:right="0"/>
              <w:jc w:val="left"/>
              <w:rPr>
                <w:i/>
                <w:sz w:val="16"/>
                <w:szCs w:val="16"/>
                <w:lang w:val="en-US"/>
              </w:rPr>
            </w:pPr>
          </w:p>
        </w:tc>
        <w:tc>
          <w:tcPr>
            <w:tcW w:w="1134" w:type="dxa"/>
            <w:vMerge/>
            <w:tcBorders>
              <w:top w:val="single" w:sz="12" w:space="0" w:color="auto"/>
              <w:bottom w:val="single" w:sz="12" w:space="0" w:color="000000"/>
            </w:tcBorders>
            <w:shd w:val="clear" w:color="auto" w:fill="auto"/>
            <w:vAlign w:val="bottom"/>
          </w:tcPr>
          <w:p w:rsidR="002D5BB0" w:rsidRPr="00222917" w:rsidRDefault="002D5BB0" w:rsidP="00C15028">
            <w:pPr>
              <w:pStyle w:val="SingleTxtG"/>
              <w:suppressAutoHyphens w:val="0"/>
              <w:spacing w:before="80" w:after="80" w:line="200" w:lineRule="exact"/>
              <w:ind w:left="0" w:right="0"/>
              <w:jc w:val="right"/>
              <w:rPr>
                <w:i/>
                <w:sz w:val="16"/>
                <w:szCs w:val="16"/>
                <w:lang w:val="en-US"/>
              </w:rPr>
            </w:pPr>
          </w:p>
        </w:tc>
        <w:tc>
          <w:tcPr>
            <w:tcW w:w="1134" w:type="dxa"/>
            <w:vMerge/>
            <w:tcBorders>
              <w:top w:val="single" w:sz="12" w:space="0" w:color="auto"/>
              <w:bottom w:val="single" w:sz="12" w:space="0" w:color="000000"/>
            </w:tcBorders>
            <w:shd w:val="clear" w:color="auto" w:fill="auto"/>
            <w:vAlign w:val="bottom"/>
          </w:tcPr>
          <w:p w:rsidR="002D5BB0" w:rsidRPr="00222917" w:rsidRDefault="002D5BB0" w:rsidP="00C15028">
            <w:pPr>
              <w:pStyle w:val="SingleTxtG"/>
              <w:suppressAutoHyphens w:val="0"/>
              <w:spacing w:before="80" w:after="80" w:line="200" w:lineRule="exact"/>
              <w:ind w:left="0" w:right="0"/>
              <w:jc w:val="right"/>
              <w:rPr>
                <w:i/>
                <w:sz w:val="16"/>
                <w:szCs w:val="16"/>
                <w:lang w:val="en-US"/>
              </w:rPr>
            </w:pPr>
          </w:p>
        </w:tc>
        <w:tc>
          <w:tcPr>
            <w:tcW w:w="1134" w:type="dxa"/>
            <w:tcBorders>
              <w:top w:val="single" w:sz="4" w:space="0" w:color="000000"/>
              <w:bottom w:val="single" w:sz="12" w:space="0" w:color="000000"/>
            </w:tcBorders>
            <w:shd w:val="clear" w:color="auto" w:fill="auto"/>
            <w:vAlign w:val="bottom"/>
          </w:tcPr>
          <w:p w:rsidR="002D5BB0" w:rsidRPr="00222917" w:rsidRDefault="002D5BB0" w:rsidP="00C15028">
            <w:pPr>
              <w:pStyle w:val="SingleTxtG"/>
              <w:suppressAutoHyphens w:val="0"/>
              <w:spacing w:before="80" w:after="80" w:line="200" w:lineRule="exact"/>
              <w:ind w:left="0" w:right="0"/>
              <w:jc w:val="right"/>
              <w:rPr>
                <w:b/>
                <w:i/>
                <w:sz w:val="16"/>
                <w:szCs w:val="16"/>
                <w:lang w:val="en-US"/>
              </w:rPr>
            </w:pPr>
            <w:r w:rsidRPr="00222917">
              <w:rPr>
                <w:b/>
                <w:bCs/>
                <w:i/>
                <w:sz w:val="16"/>
                <w:szCs w:val="16"/>
                <w:lang w:val="en-US"/>
              </w:rPr>
              <w:t>Total</w:t>
            </w:r>
          </w:p>
        </w:tc>
        <w:tc>
          <w:tcPr>
            <w:tcW w:w="1134" w:type="dxa"/>
            <w:tcBorders>
              <w:top w:val="single" w:sz="4" w:space="0" w:color="000000"/>
              <w:bottom w:val="single" w:sz="12" w:space="0" w:color="000000"/>
            </w:tcBorders>
            <w:shd w:val="clear" w:color="auto" w:fill="auto"/>
            <w:vAlign w:val="bottom"/>
          </w:tcPr>
          <w:p w:rsidR="002D5BB0" w:rsidRPr="00222917" w:rsidRDefault="002D5BB0" w:rsidP="00C15028">
            <w:pPr>
              <w:pStyle w:val="SingleTxtG"/>
              <w:suppressAutoHyphens w:val="0"/>
              <w:spacing w:before="80" w:after="80" w:line="200" w:lineRule="exact"/>
              <w:ind w:left="0" w:right="0"/>
              <w:jc w:val="right"/>
              <w:rPr>
                <w:i/>
                <w:sz w:val="16"/>
                <w:szCs w:val="16"/>
                <w:lang w:val="en-US"/>
              </w:rPr>
            </w:pPr>
            <w:r w:rsidRPr="00222917">
              <w:rPr>
                <w:bCs/>
                <w:i/>
                <w:sz w:val="16"/>
                <w:szCs w:val="16"/>
                <w:lang w:val="en-US"/>
              </w:rPr>
              <w:t>Counselors</w:t>
            </w:r>
          </w:p>
        </w:tc>
        <w:tc>
          <w:tcPr>
            <w:tcW w:w="1134" w:type="dxa"/>
            <w:tcBorders>
              <w:top w:val="single" w:sz="4" w:space="0" w:color="000000"/>
              <w:bottom w:val="single" w:sz="12" w:space="0" w:color="000000"/>
            </w:tcBorders>
            <w:shd w:val="clear" w:color="auto" w:fill="auto"/>
            <w:vAlign w:val="bottom"/>
          </w:tcPr>
          <w:p w:rsidR="002D5BB0" w:rsidRPr="00222917" w:rsidRDefault="002D5BB0" w:rsidP="00C15028">
            <w:pPr>
              <w:pStyle w:val="SingleTxtG"/>
              <w:suppressAutoHyphens w:val="0"/>
              <w:spacing w:before="80" w:after="80" w:line="200" w:lineRule="exact"/>
              <w:ind w:left="0" w:right="0"/>
              <w:jc w:val="right"/>
              <w:rPr>
                <w:i/>
                <w:sz w:val="16"/>
                <w:szCs w:val="16"/>
                <w:lang w:val="en-US"/>
              </w:rPr>
            </w:pPr>
            <w:r w:rsidRPr="00222917">
              <w:rPr>
                <w:bCs/>
                <w:i/>
                <w:sz w:val="16"/>
                <w:szCs w:val="16"/>
                <w:lang w:val="en-US"/>
              </w:rPr>
              <w:t>Part-time volunteers</w:t>
            </w:r>
          </w:p>
        </w:tc>
      </w:tr>
      <w:tr w:rsidR="006E1F63" w:rsidRPr="00222917" w:rsidTr="0054076C">
        <w:trPr>
          <w:trHeight w:val="240"/>
        </w:trPr>
        <w:tc>
          <w:tcPr>
            <w:tcW w:w="1701" w:type="dxa"/>
            <w:tcBorders>
              <w:top w:val="single" w:sz="12" w:space="0" w:color="000000"/>
            </w:tcBorders>
            <w:shd w:val="clear" w:color="auto" w:fill="auto"/>
          </w:tcPr>
          <w:p w:rsidR="002D5BB0" w:rsidRPr="00222917" w:rsidRDefault="002D5BB0" w:rsidP="00C15028">
            <w:pPr>
              <w:pStyle w:val="SingleTxtG"/>
              <w:suppressAutoHyphens w:val="0"/>
              <w:spacing w:before="40" w:after="40" w:line="220" w:lineRule="exact"/>
              <w:ind w:left="0" w:right="0"/>
              <w:jc w:val="left"/>
              <w:rPr>
                <w:sz w:val="18"/>
                <w:lang w:val="en-US"/>
              </w:rPr>
            </w:pPr>
            <w:r w:rsidRPr="00222917">
              <w:rPr>
                <w:sz w:val="18"/>
                <w:lang w:val="en-US"/>
              </w:rPr>
              <w:t>2006</w:t>
            </w:r>
          </w:p>
        </w:tc>
        <w:tc>
          <w:tcPr>
            <w:tcW w:w="1134" w:type="dxa"/>
            <w:tcBorders>
              <w:top w:val="single" w:sz="12" w:space="0" w:color="000000"/>
            </w:tcBorders>
            <w:shd w:val="clear" w:color="auto" w:fill="auto"/>
            <w:vAlign w:val="bottom"/>
          </w:tcPr>
          <w:p w:rsidR="002D5BB0" w:rsidRPr="00222917" w:rsidRDefault="002D5BB0" w:rsidP="00C15028">
            <w:pPr>
              <w:pStyle w:val="SingleTxtG"/>
              <w:suppressAutoHyphens w:val="0"/>
              <w:spacing w:before="40" w:after="40" w:line="220" w:lineRule="exact"/>
              <w:ind w:left="0" w:right="0"/>
              <w:jc w:val="right"/>
              <w:rPr>
                <w:sz w:val="18"/>
                <w:lang w:val="en-US"/>
              </w:rPr>
            </w:pPr>
            <w:r w:rsidRPr="00222917">
              <w:rPr>
                <w:sz w:val="18"/>
                <w:lang w:val="en-US"/>
              </w:rPr>
              <w:t>59</w:t>
            </w:r>
          </w:p>
        </w:tc>
        <w:tc>
          <w:tcPr>
            <w:tcW w:w="1134" w:type="dxa"/>
            <w:tcBorders>
              <w:top w:val="single" w:sz="12" w:space="0" w:color="000000"/>
            </w:tcBorders>
            <w:shd w:val="clear" w:color="auto" w:fill="auto"/>
            <w:vAlign w:val="bottom"/>
          </w:tcPr>
          <w:p w:rsidR="002D5BB0" w:rsidRPr="00222917" w:rsidRDefault="002D5BB0" w:rsidP="00C15028">
            <w:pPr>
              <w:pStyle w:val="SingleTxtG"/>
              <w:suppressAutoHyphens w:val="0"/>
              <w:spacing w:before="40" w:after="40" w:line="220" w:lineRule="exact"/>
              <w:ind w:left="0" w:right="0"/>
              <w:jc w:val="right"/>
              <w:rPr>
                <w:sz w:val="18"/>
                <w:lang w:val="en-US"/>
              </w:rPr>
            </w:pPr>
            <w:r w:rsidRPr="00222917">
              <w:rPr>
                <w:sz w:val="18"/>
                <w:lang w:val="en-US"/>
              </w:rPr>
              <w:t>955</w:t>
            </w:r>
          </w:p>
        </w:tc>
        <w:tc>
          <w:tcPr>
            <w:tcW w:w="1134" w:type="dxa"/>
            <w:tcBorders>
              <w:top w:val="single" w:sz="12" w:space="0" w:color="000000"/>
            </w:tcBorders>
            <w:shd w:val="clear" w:color="auto" w:fill="auto"/>
            <w:vAlign w:val="bottom"/>
          </w:tcPr>
          <w:p w:rsidR="002D5BB0" w:rsidRPr="00222917" w:rsidRDefault="002D5BB0" w:rsidP="00C15028">
            <w:pPr>
              <w:pStyle w:val="SingleTxtG"/>
              <w:suppressAutoHyphens w:val="0"/>
              <w:spacing w:before="40" w:after="40" w:line="220" w:lineRule="exact"/>
              <w:ind w:left="0" w:right="0"/>
              <w:jc w:val="right"/>
              <w:rPr>
                <w:b/>
                <w:sz w:val="18"/>
                <w:lang w:val="en-US"/>
              </w:rPr>
            </w:pPr>
            <w:r w:rsidRPr="00222917">
              <w:rPr>
                <w:b/>
                <w:sz w:val="18"/>
                <w:lang w:val="en-US"/>
              </w:rPr>
              <w:t>252</w:t>
            </w:r>
          </w:p>
        </w:tc>
        <w:tc>
          <w:tcPr>
            <w:tcW w:w="1134" w:type="dxa"/>
            <w:tcBorders>
              <w:top w:val="single" w:sz="12" w:space="0" w:color="000000"/>
            </w:tcBorders>
            <w:shd w:val="clear" w:color="auto" w:fill="auto"/>
            <w:vAlign w:val="bottom"/>
          </w:tcPr>
          <w:p w:rsidR="002D5BB0" w:rsidRPr="00222917" w:rsidRDefault="002D5BB0" w:rsidP="00C15028">
            <w:pPr>
              <w:pStyle w:val="SingleTxtG"/>
              <w:suppressAutoHyphens w:val="0"/>
              <w:spacing w:before="40" w:after="40" w:line="220" w:lineRule="exact"/>
              <w:ind w:left="0" w:right="0"/>
              <w:jc w:val="right"/>
              <w:rPr>
                <w:sz w:val="18"/>
                <w:lang w:val="en-US"/>
              </w:rPr>
            </w:pPr>
            <w:r w:rsidRPr="00222917">
              <w:rPr>
                <w:sz w:val="18"/>
                <w:lang w:val="en-US"/>
              </w:rPr>
              <w:t>149</w:t>
            </w:r>
          </w:p>
        </w:tc>
        <w:tc>
          <w:tcPr>
            <w:tcW w:w="1134" w:type="dxa"/>
            <w:tcBorders>
              <w:top w:val="single" w:sz="12" w:space="0" w:color="000000"/>
            </w:tcBorders>
            <w:shd w:val="clear" w:color="auto" w:fill="auto"/>
            <w:vAlign w:val="bottom"/>
          </w:tcPr>
          <w:p w:rsidR="002D5BB0" w:rsidRPr="00222917" w:rsidRDefault="002D5BB0" w:rsidP="00C15028">
            <w:pPr>
              <w:pStyle w:val="SingleTxtG"/>
              <w:suppressAutoHyphens w:val="0"/>
              <w:spacing w:before="40" w:after="40" w:line="220" w:lineRule="exact"/>
              <w:ind w:left="0" w:right="0"/>
              <w:jc w:val="right"/>
              <w:rPr>
                <w:sz w:val="18"/>
                <w:lang w:val="en-US"/>
              </w:rPr>
            </w:pPr>
            <w:r w:rsidRPr="00222917">
              <w:rPr>
                <w:sz w:val="18"/>
                <w:lang w:val="en-US"/>
              </w:rPr>
              <w:t>103</w:t>
            </w:r>
          </w:p>
        </w:tc>
      </w:tr>
      <w:tr w:rsidR="006E1F63" w:rsidRPr="00222917" w:rsidTr="00C15028">
        <w:trPr>
          <w:trHeight w:val="240"/>
        </w:trPr>
        <w:tc>
          <w:tcPr>
            <w:tcW w:w="1701" w:type="dxa"/>
            <w:shd w:val="clear" w:color="auto" w:fill="auto"/>
          </w:tcPr>
          <w:p w:rsidR="002D5BB0" w:rsidRPr="00222917" w:rsidRDefault="002D5BB0" w:rsidP="00C15028">
            <w:pPr>
              <w:pStyle w:val="SingleTxtG"/>
              <w:suppressAutoHyphens w:val="0"/>
              <w:spacing w:before="40" w:after="40" w:line="220" w:lineRule="exact"/>
              <w:ind w:left="0" w:right="0"/>
              <w:jc w:val="left"/>
              <w:rPr>
                <w:sz w:val="18"/>
                <w:lang w:val="en-US"/>
              </w:rPr>
            </w:pPr>
            <w:r w:rsidRPr="00222917">
              <w:rPr>
                <w:sz w:val="18"/>
                <w:lang w:val="en-US"/>
              </w:rPr>
              <w:t>2007</w:t>
            </w:r>
          </w:p>
        </w:tc>
        <w:tc>
          <w:tcPr>
            <w:tcW w:w="1134" w:type="dxa"/>
            <w:shd w:val="clear" w:color="auto" w:fill="auto"/>
            <w:vAlign w:val="bottom"/>
          </w:tcPr>
          <w:p w:rsidR="002D5BB0" w:rsidRPr="00222917" w:rsidRDefault="002D5BB0" w:rsidP="00C15028">
            <w:pPr>
              <w:pStyle w:val="SingleTxtG"/>
              <w:suppressAutoHyphens w:val="0"/>
              <w:spacing w:before="40" w:after="40" w:line="220" w:lineRule="exact"/>
              <w:ind w:left="0" w:right="0"/>
              <w:jc w:val="right"/>
              <w:rPr>
                <w:sz w:val="18"/>
                <w:lang w:val="en-US"/>
              </w:rPr>
            </w:pPr>
            <w:r w:rsidRPr="00222917">
              <w:rPr>
                <w:sz w:val="18"/>
                <w:lang w:val="en-US"/>
              </w:rPr>
              <w:t>70</w:t>
            </w:r>
          </w:p>
        </w:tc>
        <w:tc>
          <w:tcPr>
            <w:tcW w:w="1134" w:type="dxa"/>
            <w:shd w:val="clear" w:color="auto" w:fill="auto"/>
            <w:vAlign w:val="bottom"/>
          </w:tcPr>
          <w:p w:rsidR="002D5BB0" w:rsidRPr="00222917" w:rsidRDefault="002D5BB0" w:rsidP="00C15028">
            <w:pPr>
              <w:pStyle w:val="SingleTxtG"/>
              <w:suppressAutoHyphens w:val="0"/>
              <w:spacing w:before="40" w:after="40" w:line="220" w:lineRule="exact"/>
              <w:ind w:left="0" w:right="0"/>
              <w:jc w:val="right"/>
              <w:rPr>
                <w:sz w:val="18"/>
                <w:lang w:val="en-US"/>
              </w:rPr>
            </w:pPr>
            <w:r w:rsidRPr="00222917">
              <w:rPr>
                <w:sz w:val="18"/>
                <w:lang w:val="en-US"/>
              </w:rPr>
              <w:t>1,115</w:t>
            </w:r>
          </w:p>
        </w:tc>
        <w:tc>
          <w:tcPr>
            <w:tcW w:w="1134" w:type="dxa"/>
            <w:shd w:val="clear" w:color="auto" w:fill="auto"/>
            <w:vAlign w:val="bottom"/>
          </w:tcPr>
          <w:p w:rsidR="002D5BB0" w:rsidRPr="00222917" w:rsidRDefault="002D5BB0" w:rsidP="00C15028">
            <w:pPr>
              <w:pStyle w:val="SingleTxtG"/>
              <w:suppressAutoHyphens w:val="0"/>
              <w:spacing w:before="40" w:after="40" w:line="220" w:lineRule="exact"/>
              <w:ind w:left="0" w:right="0"/>
              <w:jc w:val="right"/>
              <w:rPr>
                <w:b/>
                <w:sz w:val="18"/>
                <w:lang w:val="en-US"/>
              </w:rPr>
            </w:pPr>
            <w:r w:rsidRPr="00222917">
              <w:rPr>
                <w:b/>
                <w:sz w:val="18"/>
                <w:lang w:val="en-US"/>
              </w:rPr>
              <w:t>311</w:t>
            </w:r>
          </w:p>
        </w:tc>
        <w:tc>
          <w:tcPr>
            <w:tcW w:w="1134" w:type="dxa"/>
            <w:shd w:val="clear" w:color="auto" w:fill="auto"/>
            <w:vAlign w:val="bottom"/>
          </w:tcPr>
          <w:p w:rsidR="002D5BB0" w:rsidRPr="00222917" w:rsidRDefault="002D5BB0" w:rsidP="00C15028">
            <w:pPr>
              <w:pStyle w:val="SingleTxtG"/>
              <w:suppressAutoHyphens w:val="0"/>
              <w:spacing w:before="40" w:after="40" w:line="220" w:lineRule="exact"/>
              <w:ind w:left="0" w:right="0"/>
              <w:jc w:val="right"/>
              <w:rPr>
                <w:sz w:val="18"/>
                <w:lang w:val="en-US"/>
              </w:rPr>
            </w:pPr>
            <w:r w:rsidRPr="00222917">
              <w:rPr>
                <w:sz w:val="18"/>
                <w:lang w:val="en-US"/>
              </w:rPr>
              <w:t>207</w:t>
            </w:r>
          </w:p>
        </w:tc>
        <w:tc>
          <w:tcPr>
            <w:tcW w:w="1134" w:type="dxa"/>
            <w:shd w:val="clear" w:color="auto" w:fill="auto"/>
            <w:vAlign w:val="bottom"/>
          </w:tcPr>
          <w:p w:rsidR="002D5BB0" w:rsidRPr="00222917" w:rsidRDefault="002D5BB0" w:rsidP="00C15028">
            <w:pPr>
              <w:pStyle w:val="SingleTxtG"/>
              <w:suppressAutoHyphens w:val="0"/>
              <w:spacing w:before="40" w:after="40" w:line="220" w:lineRule="exact"/>
              <w:ind w:left="0" w:right="0"/>
              <w:jc w:val="right"/>
              <w:rPr>
                <w:sz w:val="18"/>
                <w:lang w:val="en-US"/>
              </w:rPr>
            </w:pPr>
            <w:r w:rsidRPr="00222917">
              <w:rPr>
                <w:sz w:val="18"/>
                <w:lang w:val="en-US"/>
              </w:rPr>
              <w:t>104</w:t>
            </w:r>
          </w:p>
        </w:tc>
      </w:tr>
      <w:tr w:rsidR="006E1F63" w:rsidRPr="00222917" w:rsidTr="00C15028">
        <w:trPr>
          <w:trHeight w:val="240"/>
        </w:trPr>
        <w:tc>
          <w:tcPr>
            <w:tcW w:w="1701" w:type="dxa"/>
            <w:shd w:val="clear" w:color="auto" w:fill="auto"/>
          </w:tcPr>
          <w:p w:rsidR="002D5BB0" w:rsidRPr="00222917" w:rsidRDefault="002D5BB0" w:rsidP="00C15028">
            <w:pPr>
              <w:pStyle w:val="SingleTxtG"/>
              <w:suppressAutoHyphens w:val="0"/>
              <w:spacing w:before="40" w:after="40" w:line="220" w:lineRule="exact"/>
              <w:ind w:left="0" w:right="0"/>
              <w:jc w:val="left"/>
              <w:rPr>
                <w:sz w:val="18"/>
                <w:lang w:val="en-US"/>
              </w:rPr>
            </w:pPr>
            <w:r w:rsidRPr="00222917">
              <w:rPr>
                <w:sz w:val="18"/>
                <w:lang w:val="en-US"/>
              </w:rPr>
              <w:t>2008</w:t>
            </w:r>
          </w:p>
        </w:tc>
        <w:tc>
          <w:tcPr>
            <w:tcW w:w="1134" w:type="dxa"/>
            <w:shd w:val="clear" w:color="auto" w:fill="auto"/>
            <w:vAlign w:val="bottom"/>
          </w:tcPr>
          <w:p w:rsidR="002D5BB0" w:rsidRPr="00222917" w:rsidRDefault="002D5BB0" w:rsidP="00C15028">
            <w:pPr>
              <w:pStyle w:val="SingleTxtG"/>
              <w:suppressAutoHyphens w:val="0"/>
              <w:spacing w:before="40" w:after="40" w:line="220" w:lineRule="exact"/>
              <w:ind w:left="0" w:right="0"/>
              <w:jc w:val="right"/>
              <w:rPr>
                <w:sz w:val="18"/>
                <w:lang w:val="en-US"/>
              </w:rPr>
            </w:pPr>
            <w:r w:rsidRPr="00222917">
              <w:rPr>
                <w:sz w:val="18"/>
                <w:lang w:val="en-US"/>
              </w:rPr>
              <w:t>71</w:t>
            </w:r>
          </w:p>
        </w:tc>
        <w:tc>
          <w:tcPr>
            <w:tcW w:w="1134" w:type="dxa"/>
            <w:shd w:val="clear" w:color="auto" w:fill="auto"/>
            <w:vAlign w:val="bottom"/>
          </w:tcPr>
          <w:p w:rsidR="002D5BB0" w:rsidRPr="00222917" w:rsidRDefault="002D5BB0" w:rsidP="00C15028">
            <w:pPr>
              <w:pStyle w:val="SingleTxtG"/>
              <w:suppressAutoHyphens w:val="0"/>
              <w:spacing w:before="40" w:after="40" w:line="220" w:lineRule="exact"/>
              <w:ind w:left="0" w:right="0"/>
              <w:jc w:val="right"/>
              <w:rPr>
                <w:sz w:val="18"/>
                <w:lang w:val="en-US"/>
              </w:rPr>
            </w:pPr>
            <w:r w:rsidRPr="00222917">
              <w:rPr>
                <w:sz w:val="18"/>
                <w:lang w:val="en-US"/>
              </w:rPr>
              <w:t>1,128</w:t>
            </w:r>
          </w:p>
        </w:tc>
        <w:tc>
          <w:tcPr>
            <w:tcW w:w="1134" w:type="dxa"/>
            <w:shd w:val="clear" w:color="auto" w:fill="auto"/>
            <w:vAlign w:val="bottom"/>
          </w:tcPr>
          <w:p w:rsidR="002D5BB0" w:rsidRPr="00222917" w:rsidRDefault="002D5BB0" w:rsidP="00C15028">
            <w:pPr>
              <w:pStyle w:val="SingleTxtG"/>
              <w:suppressAutoHyphens w:val="0"/>
              <w:spacing w:before="40" w:after="40" w:line="220" w:lineRule="exact"/>
              <w:ind w:left="0" w:right="0"/>
              <w:jc w:val="right"/>
              <w:rPr>
                <w:b/>
                <w:sz w:val="18"/>
                <w:lang w:val="en-US"/>
              </w:rPr>
            </w:pPr>
            <w:r w:rsidRPr="00222917">
              <w:rPr>
                <w:b/>
                <w:sz w:val="18"/>
                <w:lang w:val="en-US"/>
              </w:rPr>
              <w:t>346</w:t>
            </w:r>
          </w:p>
        </w:tc>
        <w:tc>
          <w:tcPr>
            <w:tcW w:w="1134" w:type="dxa"/>
            <w:shd w:val="clear" w:color="auto" w:fill="auto"/>
            <w:vAlign w:val="bottom"/>
          </w:tcPr>
          <w:p w:rsidR="002D5BB0" w:rsidRPr="00222917" w:rsidRDefault="002D5BB0" w:rsidP="00C15028">
            <w:pPr>
              <w:pStyle w:val="SingleTxtG"/>
              <w:suppressAutoHyphens w:val="0"/>
              <w:spacing w:before="40" w:after="40" w:line="220" w:lineRule="exact"/>
              <w:ind w:left="0" w:right="0"/>
              <w:jc w:val="right"/>
              <w:rPr>
                <w:sz w:val="18"/>
                <w:lang w:val="en-US"/>
              </w:rPr>
            </w:pPr>
            <w:r w:rsidRPr="00222917">
              <w:rPr>
                <w:sz w:val="18"/>
                <w:lang w:val="en-US"/>
              </w:rPr>
              <w:t>220</w:t>
            </w:r>
          </w:p>
        </w:tc>
        <w:tc>
          <w:tcPr>
            <w:tcW w:w="1134" w:type="dxa"/>
            <w:shd w:val="clear" w:color="auto" w:fill="auto"/>
            <w:vAlign w:val="bottom"/>
          </w:tcPr>
          <w:p w:rsidR="002D5BB0" w:rsidRPr="00222917" w:rsidRDefault="002D5BB0" w:rsidP="00C15028">
            <w:pPr>
              <w:pStyle w:val="SingleTxtG"/>
              <w:suppressAutoHyphens w:val="0"/>
              <w:spacing w:before="40" w:after="40" w:line="220" w:lineRule="exact"/>
              <w:ind w:left="0" w:right="0"/>
              <w:jc w:val="right"/>
              <w:rPr>
                <w:sz w:val="18"/>
                <w:lang w:val="en-US"/>
              </w:rPr>
            </w:pPr>
            <w:r w:rsidRPr="00222917">
              <w:rPr>
                <w:sz w:val="18"/>
                <w:lang w:val="en-US"/>
              </w:rPr>
              <w:t>126</w:t>
            </w:r>
          </w:p>
        </w:tc>
      </w:tr>
      <w:tr w:rsidR="006E1F63" w:rsidRPr="00222917" w:rsidTr="00C15028">
        <w:trPr>
          <w:trHeight w:val="240"/>
        </w:trPr>
        <w:tc>
          <w:tcPr>
            <w:tcW w:w="1701" w:type="dxa"/>
            <w:shd w:val="clear" w:color="auto" w:fill="auto"/>
          </w:tcPr>
          <w:p w:rsidR="002D5BB0" w:rsidRPr="00222917" w:rsidRDefault="002D5BB0" w:rsidP="00C15028">
            <w:pPr>
              <w:pStyle w:val="SingleTxtG"/>
              <w:suppressAutoHyphens w:val="0"/>
              <w:spacing w:before="40" w:after="40" w:line="220" w:lineRule="exact"/>
              <w:ind w:left="0" w:right="0"/>
              <w:jc w:val="left"/>
              <w:rPr>
                <w:sz w:val="18"/>
                <w:lang w:val="en-US"/>
              </w:rPr>
            </w:pPr>
            <w:r w:rsidRPr="00222917">
              <w:rPr>
                <w:sz w:val="18"/>
                <w:lang w:val="en-US"/>
              </w:rPr>
              <w:t>2009</w:t>
            </w:r>
          </w:p>
        </w:tc>
        <w:tc>
          <w:tcPr>
            <w:tcW w:w="1134" w:type="dxa"/>
            <w:shd w:val="clear" w:color="auto" w:fill="auto"/>
            <w:vAlign w:val="bottom"/>
          </w:tcPr>
          <w:p w:rsidR="002D5BB0" w:rsidRPr="00222917" w:rsidRDefault="002D5BB0" w:rsidP="00C15028">
            <w:pPr>
              <w:pStyle w:val="SingleTxtG"/>
              <w:suppressAutoHyphens w:val="0"/>
              <w:spacing w:before="40" w:after="40" w:line="220" w:lineRule="exact"/>
              <w:ind w:left="0" w:right="0"/>
              <w:jc w:val="right"/>
              <w:rPr>
                <w:sz w:val="18"/>
                <w:lang w:val="en-US"/>
              </w:rPr>
            </w:pPr>
            <w:r w:rsidRPr="00222917">
              <w:rPr>
                <w:sz w:val="18"/>
                <w:lang w:val="en-US"/>
              </w:rPr>
              <w:t>66</w:t>
            </w:r>
          </w:p>
        </w:tc>
        <w:tc>
          <w:tcPr>
            <w:tcW w:w="1134" w:type="dxa"/>
            <w:shd w:val="clear" w:color="auto" w:fill="auto"/>
            <w:vAlign w:val="bottom"/>
          </w:tcPr>
          <w:p w:rsidR="002D5BB0" w:rsidRPr="00222917" w:rsidRDefault="002D5BB0" w:rsidP="00C15028">
            <w:pPr>
              <w:pStyle w:val="SingleTxtG"/>
              <w:suppressAutoHyphens w:val="0"/>
              <w:spacing w:before="40" w:after="40" w:line="220" w:lineRule="exact"/>
              <w:ind w:left="0" w:right="0"/>
              <w:jc w:val="right"/>
              <w:rPr>
                <w:sz w:val="18"/>
                <w:lang w:val="en-US"/>
              </w:rPr>
            </w:pPr>
            <w:r w:rsidRPr="00222917">
              <w:rPr>
                <w:sz w:val="18"/>
                <w:lang w:val="en-US"/>
              </w:rPr>
              <w:t>1,130</w:t>
            </w:r>
          </w:p>
        </w:tc>
        <w:tc>
          <w:tcPr>
            <w:tcW w:w="1134" w:type="dxa"/>
            <w:shd w:val="clear" w:color="auto" w:fill="auto"/>
            <w:vAlign w:val="bottom"/>
          </w:tcPr>
          <w:p w:rsidR="002D5BB0" w:rsidRPr="00222917" w:rsidRDefault="002D5BB0" w:rsidP="00C15028">
            <w:pPr>
              <w:pStyle w:val="SingleTxtG"/>
              <w:suppressAutoHyphens w:val="0"/>
              <w:spacing w:before="40" w:after="40" w:line="220" w:lineRule="exact"/>
              <w:ind w:left="0" w:right="0"/>
              <w:jc w:val="right"/>
              <w:rPr>
                <w:b/>
                <w:sz w:val="18"/>
                <w:lang w:val="en-US"/>
              </w:rPr>
            </w:pPr>
            <w:r w:rsidRPr="00222917">
              <w:rPr>
                <w:b/>
                <w:sz w:val="18"/>
                <w:lang w:val="en-US"/>
              </w:rPr>
              <w:t>280</w:t>
            </w:r>
          </w:p>
        </w:tc>
        <w:tc>
          <w:tcPr>
            <w:tcW w:w="1134" w:type="dxa"/>
            <w:shd w:val="clear" w:color="auto" w:fill="auto"/>
            <w:vAlign w:val="bottom"/>
          </w:tcPr>
          <w:p w:rsidR="002D5BB0" w:rsidRPr="00222917" w:rsidRDefault="002D5BB0" w:rsidP="00C15028">
            <w:pPr>
              <w:pStyle w:val="SingleTxtG"/>
              <w:suppressAutoHyphens w:val="0"/>
              <w:spacing w:before="40" w:after="40" w:line="220" w:lineRule="exact"/>
              <w:ind w:left="0" w:right="0"/>
              <w:jc w:val="right"/>
              <w:rPr>
                <w:sz w:val="18"/>
                <w:lang w:val="en-US"/>
              </w:rPr>
            </w:pPr>
            <w:r w:rsidRPr="00222917">
              <w:rPr>
                <w:sz w:val="18"/>
                <w:lang w:val="en-US"/>
              </w:rPr>
              <w:t>207</w:t>
            </w:r>
          </w:p>
        </w:tc>
        <w:tc>
          <w:tcPr>
            <w:tcW w:w="1134" w:type="dxa"/>
            <w:shd w:val="clear" w:color="auto" w:fill="auto"/>
            <w:vAlign w:val="bottom"/>
          </w:tcPr>
          <w:p w:rsidR="002D5BB0" w:rsidRPr="00222917" w:rsidRDefault="002D5BB0" w:rsidP="00C15028">
            <w:pPr>
              <w:pStyle w:val="SingleTxtG"/>
              <w:suppressAutoHyphens w:val="0"/>
              <w:spacing w:before="40" w:after="40" w:line="220" w:lineRule="exact"/>
              <w:ind w:left="0" w:right="0"/>
              <w:jc w:val="right"/>
              <w:rPr>
                <w:sz w:val="18"/>
                <w:lang w:val="en-US"/>
              </w:rPr>
            </w:pPr>
            <w:r w:rsidRPr="00222917">
              <w:rPr>
                <w:sz w:val="18"/>
                <w:lang w:val="en-US"/>
              </w:rPr>
              <w:t>73</w:t>
            </w:r>
          </w:p>
        </w:tc>
      </w:tr>
      <w:tr w:rsidR="006E1F63" w:rsidRPr="00222917" w:rsidTr="00C15028">
        <w:trPr>
          <w:trHeight w:val="240"/>
        </w:trPr>
        <w:tc>
          <w:tcPr>
            <w:tcW w:w="1701" w:type="dxa"/>
            <w:tcBorders>
              <w:bottom w:val="single" w:sz="12" w:space="0" w:color="auto"/>
            </w:tcBorders>
            <w:shd w:val="clear" w:color="auto" w:fill="auto"/>
          </w:tcPr>
          <w:p w:rsidR="002D5BB0" w:rsidRPr="00222917" w:rsidRDefault="002D5BB0" w:rsidP="00C15028">
            <w:pPr>
              <w:pStyle w:val="SingleTxtG"/>
              <w:suppressAutoHyphens w:val="0"/>
              <w:spacing w:before="40" w:after="40" w:line="220" w:lineRule="exact"/>
              <w:ind w:left="0" w:right="0"/>
              <w:jc w:val="left"/>
              <w:rPr>
                <w:sz w:val="18"/>
                <w:lang w:val="en-US"/>
              </w:rPr>
            </w:pPr>
            <w:r w:rsidRPr="00222917">
              <w:rPr>
                <w:sz w:val="18"/>
                <w:lang w:val="en-US"/>
              </w:rPr>
              <w:t>2010</w:t>
            </w:r>
          </w:p>
        </w:tc>
        <w:tc>
          <w:tcPr>
            <w:tcW w:w="1134" w:type="dxa"/>
            <w:tcBorders>
              <w:bottom w:val="single" w:sz="12" w:space="0" w:color="auto"/>
            </w:tcBorders>
            <w:shd w:val="clear" w:color="auto" w:fill="auto"/>
            <w:vAlign w:val="bottom"/>
          </w:tcPr>
          <w:p w:rsidR="002D5BB0" w:rsidRPr="00222917" w:rsidRDefault="002D5BB0" w:rsidP="00C15028">
            <w:pPr>
              <w:pStyle w:val="SingleTxtG"/>
              <w:suppressAutoHyphens w:val="0"/>
              <w:spacing w:before="40" w:after="40" w:line="220" w:lineRule="exact"/>
              <w:ind w:left="0" w:right="0"/>
              <w:jc w:val="right"/>
              <w:rPr>
                <w:sz w:val="18"/>
                <w:lang w:val="en-US"/>
              </w:rPr>
            </w:pPr>
            <w:r w:rsidRPr="00222917">
              <w:rPr>
                <w:sz w:val="18"/>
                <w:lang w:val="en-US"/>
              </w:rPr>
              <w:t>64</w:t>
            </w:r>
          </w:p>
        </w:tc>
        <w:tc>
          <w:tcPr>
            <w:tcW w:w="1134" w:type="dxa"/>
            <w:tcBorders>
              <w:bottom w:val="single" w:sz="12" w:space="0" w:color="auto"/>
            </w:tcBorders>
            <w:shd w:val="clear" w:color="auto" w:fill="auto"/>
            <w:vAlign w:val="bottom"/>
          </w:tcPr>
          <w:p w:rsidR="002D5BB0" w:rsidRPr="00222917" w:rsidRDefault="002D5BB0" w:rsidP="00C15028">
            <w:pPr>
              <w:pStyle w:val="SingleTxtG"/>
              <w:suppressAutoHyphens w:val="0"/>
              <w:spacing w:before="40" w:after="40" w:line="220" w:lineRule="exact"/>
              <w:ind w:left="0" w:right="0"/>
              <w:jc w:val="right"/>
              <w:rPr>
                <w:sz w:val="18"/>
                <w:lang w:val="en-US"/>
              </w:rPr>
            </w:pPr>
            <w:r w:rsidRPr="00222917">
              <w:rPr>
                <w:sz w:val="18"/>
                <w:lang w:val="en-US"/>
              </w:rPr>
              <w:t>1,114</w:t>
            </w:r>
          </w:p>
        </w:tc>
        <w:tc>
          <w:tcPr>
            <w:tcW w:w="1134" w:type="dxa"/>
            <w:tcBorders>
              <w:bottom w:val="single" w:sz="12" w:space="0" w:color="auto"/>
            </w:tcBorders>
            <w:shd w:val="clear" w:color="auto" w:fill="auto"/>
            <w:vAlign w:val="bottom"/>
          </w:tcPr>
          <w:p w:rsidR="002D5BB0" w:rsidRPr="00222917" w:rsidRDefault="002D5BB0" w:rsidP="00C15028">
            <w:pPr>
              <w:pStyle w:val="SingleTxtG"/>
              <w:suppressAutoHyphens w:val="0"/>
              <w:spacing w:before="40" w:after="40" w:line="220" w:lineRule="exact"/>
              <w:ind w:left="0" w:right="0"/>
              <w:jc w:val="right"/>
              <w:rPr>
                <w:b/>
                <w:sz w:val="18"/>
                <w:lang w:val="en-US"/>
              </w:rPr>
            </w:pPr>
            <w:r w:rsidRPr="00222917">
              <w:rPr>
                <w:b/>
                <w:sz w:val="18"/>
                <w:lang w:val="en-US"/>
              </w:rPr>
              <w:t>282</w:t>
            </w:r>
          </w:p>
        </w:tc>
        <w:tc>
          <w:tcPr>
            <w:tcW w:w="1134" w:type="dxa"/>
            <w:tcBorders>
              <w:bottom w:val="single" w:sz="12" w:space="0" w:color="auto"/>
            </w:tcBorders>
            <w:shd w:val="clear" w:color="auto" w:fill="auto"/>
            <w:vAlign w:val="bottom"/>
          </w:tcPr>
          <w:p w:rsidR="002D5BB0" w:rsidRPr="00222917" w:rsidRDefault="002D5BB0" w:rsidP="00C15028">
            <w:pPr>
              <w:pStyle w:val="SingleTxtG"/>
              <w:suppressAutoHyphens w:val="0"/>
              <w:spacing w:before="40" w:after="40" w:line="220" w:lineRule="exact"/>
              <w:ind w:left="0" w:right="0"/>
              <w:jc w:val="right"/>
              <w:rPr>
                <w:sz w:val="18"/>
                <w:lang w:val="en-US"/>
              </w:rPr>
            </w:pPr>
            <w:r w:rsidRPr="00222917">
              <w:rPr>
                <w:sz w:val="18"/>
                <w:lang w:val="en-US"/>
              </w:rPr>
              <w:t>207</w:t>
            </w:r>
          </w:p>
        </w:tc>
        <w:tc>
          <w:tcPr>
            <w:tcW w:w="1134" w:type="dxa"/>
            <w:tcBorders>
              <w:bottom w:val="single" w:sz="12" w:space="0" w:color="auto"/>
            </w:tcBorders>
            <w:shd w:val="clear" w:color="auto" w:fill="auto"/>
            <w:vAlign w:val="bottom"/>
          </w:tcPr>
          <w:p w:rsidR="002D5BB0" w:rsidRPr="00222917" w:rsidRDefault="002D5BB0" w:rsidP="00C15028">
            <w:pPr>
              <w:pStyle w:val="SingleTxtG"/>
              <w:suppressAutoHyphens w:val="0"/>
              <w:spacing w:before="40" w:after="40" w:line="220" w:lineRule="exact"/>
              <w:ind w:left="0" w:right="0"/>
              <w:jc w:val="right"/>
              <w:rPr>
                <w:sz w:val="18"/>
                <w:lang w:val="en-US"/>
              </w:rPr>
            </w:pPr>
            <w:r w:rsidRPr="00222917">
              <w:rPr>
                <w:sz w:val="18"/>
                <w:lang w:val="en-US"/>
              </w:rPr>
              <w:t>75</w:t>
            </w:r>
          </w:p>
        </w:tc>
      </w:tr>
    </w:tbl>
    <w:p w:rsidR="002D5BB0" w:rsidRPr="00222917" w:rsidRDefault="00B75C28" w:rsidP="00B75C28">
      <w:pPr>
        <w:pStyle w:val="H23G"/>
        <w:rPr>
          <w:b w:val="0"/>
          <w:sz w:val="16"/>
          <w:szCs w:val="16"/>
          <w:lang w:val="en-US"/>
        </w:rPr>
      </w:pPr>
      <w:r w:rsidRPr="00222917">
        <w:rPr>
          <w:lang w:val="en-US"/>
        </w:rPr>
        <w:tab/>
      </w:r>
      <w:r w:rsidRPr="00222917">
        <w:rPr>
          <w:lang w:val="en-US"/>
        </w:rPr>
        <w:tab/>
      </w:r>
      <w:r w:rsidR="002D5BB0" w:rsidRPr="00222917">
        <w:rPr>
          <w:lang w:val="en-US"/>
        </w:rPr>
        <w:t>Support for Domestic Violence Victims at Protection Facilities</w:t>
      </w:r>
      <w:r w:rsidRPr="00222917">
        <w:rPr>
          <w:lang w:val="en-US"/>
        </w:rPr>
        <w:br/>
      </w:r>
      <w:r w:rsidR="002D5BB0" w:rsidRPr="00222917">
        <w:rPr>
          <w:b w:val="0"/>
          <w:sz w:val="16"/>
          <w:szCs w:val="16"/>
          <w:lang w:val="en-US"/>
        </w:rPr>
        <w:t xml:space="preserve">(Number of cases and %) </w:t>
      </w:r>
    </w:p>
    <w:tbl>
      <w:tblPr>
        <w:tblW w:w="0" w:type="auto"/>
        <w:tblInd w:w="1134" w:type="dxa"/>
        <w:tblBorders>
          <w:top w:val="single" w:sz="4" w:space="0" w:color="auto"/>
        </w:tblBorders>
        <w:tblLayout w:type="fixed"/>
        <w:tblCellMar>
          <w:left w:w="0" w:type="dxa"/>
          <w:right w:w="0" w:type="dxa"/>
        </w:tblCellMar>
        <w:tblLook w:val="0000"/>
      </w:tblPr>
      <w:tblGrid>
        <w:gridCol w:w="624"/>
        <w:gridCol w:w="964"/>
        <w:gridCol w:w="964"/>
        <w:gridCol w:w="964"/>
        <w:gridCol w:w="964"/>
        <w:gridCol w:w="964"/>
        <w:gridCol w:w="964"/>
        <w:gridCol w:w="964"/>
      </w:tblGrid>
      <w:tr w:rsidR="006E1F63" w:rsidRPr="00222917" w:rsidTr="0054076C">
        <w:trPr>
          <w:trHeight w:val="240"/>
          <w:tblHeader/>
        </w:trPr>
        <w:tc>
          <w:tcPr>
            <w:tcW w:w="624" w:type="dxa"/>
            <w:vMerge w:val="restart"/>
            <w:tcBorders>
              <w:top w:val="single" w:sz="4" w:space="0" w:color="auto"/>
              <w:bottom w:val="single" w:sz="12" w:space="0" w:color="auto"/>
            </w:tcBorders>
            <w:shd w:val="clear" w:color="auto" w:fill="auto"/>
            <w:vAlign w:val="bottom"/>
          </w:tcPr>
          <w:p w:rsidR="002D5BB0" w:rsidRPr="00222917" w:rsidRDefault="002D5BB0" w:rsidP="0070125C">
            <w:pPr>
              <w:pStyle w:val="SingleTxtG"/>
              <w:suppressAutoHyphens w:val="0"/>
              <w:spacing w:before="80" w:after="80" w:line="200" w:lineRule="exact"/>
              <w:ind w:left="0" w:right="0"/>
              <w:jc w:val="left"/>
              <w:rPr>
                <w:i/>
                <w:sz w:val="16"/>
                <w:szCs w:val="16"/>
                <w:lang w:val="en-US"/>
              </w:rPr>
            </w:pPr>
            <w:r w:rsidRPr="00222917">
              <w:rPr>
                <w:bCs/>
                <w:i/>
                <w:sz w:val="16"/>
                <w:szCs w:val="16"/>
                <w:lang w:val="en-US"/>
              </w:rPr>
              <w:t>Year</w:t>
            </w:r>
          </w:p>
        </w:tc>
        <w:tc>
          <w:tcPr>
            <w:tcW w:w="964" w:type="dxa"/>
            <w:vMerge w:val="restart"/>
            <w:tcBorders>
              <w:top w:val="single" w:sz="4" w:space="0" w:color="auto"/>
              <w:bottom w:val="single" w:sz="12" w:space="0" w:color="auto"/>
            </w:tcBorders>
            <w:shd w:val="clear" w:color="auto" w:fill="auto"/>
            <w:vAlign w:val="bottom"/>
          </w:tcPr>
          <w:p w:rsidR="002D5BB0" w:rsidRPr="00222917" w:rsidRDefault="002D5BB0" w:rsidP="0070125C">
            <w:pPr>
              <w:pStyle w:val="SingleTxtG"/>
              <w:suppressAutoHyphens w:val="0"/>
              <w:spacing w:before="80" w:after="80" w:line="200" w:lineRule="exact"/>
              <w:ind w:left="0" w:right="0"/>
              <w:jc w:val="right"/>
              <w:rPr>
                <w:b/>
                <w:i/>
                <w:sz w:val="16"/>
                <w:szCs w:val="16"/>
                <w:lang w:val="en-US"/>
              </w:rPr>
            </w:pPr>
            <w:r w:rsidRPr="00222917">
              <w:rPr>
                <w:b/>
                <w:bCs/>
                <w:i/>
                <w:sz w:val="16"/>
                <w:szCs w:val="16"/>
                <w:lang w:val="en-US"/>
              </w:rPr>
              <w:t>Total</w:t>
            </w:r>
          </w:p>
        </w:tc>
        <w:tc>
          <w:tcPr>
            <w:tcW w:w="964" w:type="dxa"/>
            <w:gridSpan w:val="6"/>
            <w:tcBorders>
              <w:top w:val="single" w:sz="4" w:space="0" w:color="auto"/>
              <w:bottom w:val="single" w:sz="4" w:space="0" w:color="000000"/>
            </w:tcBorders>
            <w:shd w:val="clear" w:color="auto" w:fill="auto"/>
            <w:vAlign w:val="bottom"/>
          </w:tcPr>
          <w:p w:rsidR="002D5BB0" w:rsidRPr="00222917" w:rsidRDefault="002D5BB0" w:rsidP="0070125C">
            <w:pPr>
              <w:pStyle w:val="SingleTxtG"/>
              <w:suppressAutoHyphens w:val="0"/>
              <w:spacing w:before="80" w:after="80" w:line="200" w:lineRule="exact"/>
              <w:ind w:left="0" w:right="0"/>
              <w:jc w:val="center"/>
              <w:rPr>
                <w:i/>
                <w:sz w:val="16"/>
                <w:szCs w:val="16"/>
                <w:lang w:val="en-US"/>
              </w:rPr>
            </w:pPr>
            <w:r w:rsidRPr="00222917">
              <w:rPr>
                <w:bCs/>
                <w:i/>
                <w:sz w:val="16"/>
                <w:szCs w:val="16"/>
                <w:lang w:val="en-US"/>
              </w:rPr>
              <w:t>Details of support</w:t>
            </w:r>
          </w:p>
        </w:tc>
      </w:tr>
      <w:tr w:rsidR="006E1F63" w:rsidRPr="00222917" w:rsidTr="0054076C">
        <w:trPr>
          <w:trHeight w:val="240"/>
          <w:tblHeader/>
        </w:trPr>
        <w:tc>
          <w:tcPr>
            <w:tcW w:w="624" w:type="dxa"/>
            <w:vMerge/>
            <w:tcBorders>
              <w:top w:val="single" w:sz="12" w:space="0" w:color="auto"/>
              <w:bottom w:val="single" w:sz="12" w:space="0" w:color="000000"/>
            </w:tcBorders>
            <w:shd w:val="clear" w:color="auto" w:fill="auto"/>
            <w:vAlign w:val="bottom"/>
          </w:tcPr>
          <w:p w:rsidR="002D5BB0" w:rsidRPr="00222917" w:rsidRDefault="002D5BB0" w:rsidP="0070125C">
            <w:pPr>
              <w:pStyle w:val="SingleTxtG"/>
              <w:suppressAutoHyphens w:val="0"/>
              <w:spacing w:before="80" w:after="80" w:line="200" w:lineRule="exact"/>
              <w:ind w:left="0" w:right="0"/>
              <w:jc w:val="left"/>
              <w:rPr>
                <w:i/>
                <w:sz w:val="16"/>
                <w:szCs w:val="16"/>
                <w:lang w:val="en-US"/>
              </w:rPr>
            </w:pPr>
          </w:p>
        </w:tc>
        <w:tc>
          <w:tcPr>
            <w:tcW w:w="964" w:type="dxa"/>
            <w:vMerge/>
            <w:tcBorders>
              <w:top w:val="single" w:sz="12" w:space="0" w:color="auto"/>
              <w:bottom w:val="single" w:sz="12" w:space="0" w:color="000000"/>
            </w:tcBorders>
            <w:shd w:val="clear" w:color="auto" w:fill="auto"/>
            <w:vAlign w:val="bottom"/>
          </w:tcPr>
          <w:p w:rsidR="002D5BB0" w:rsidRPr="00222917" w:rsidRDefault="002D5BB0" w:rsidP="0070125C">
            <w:pPr>
              <w:pStyle w:val="SingleTxtG"/>
              <w:suppressAutoHyphens w:val="0"/>
              <w:spacing w:before="80" w:after="80" w:line="200" w:lineRule="exact"/>
              <w:ind w:left="0" w:right="0"/>
              <w:jc w:val="right"/>
              <w:rPr>
                <w:b/>
                <w:i/>
                <w:sz w:val="16"/>
                <w:szCs w:val="16"/>
                <w:lang w:val="en-US"/>
              </w:rPr>
            </w:pPr>
          </w:p>
        </w:tc>
        <w:tc>
          <w:tcPr>
            <w:tcW w:w="964" w:type="dxa"/>
            <w:tcBorders>
              <w:top w:val="single" w:sz="4" w:space="0" w:color="000000"/>
              <w:bottom w:val="single" w:sz="12" w:space="0" w:color="000000"/>
            </w:tcBorders>
            <w:shd w:val="clear" w:color="auto" w:fill="auto"/>
            <w:vAlign w:val="bottom"/>
          </w:tcPr>
          <w:p w:rsidR="002D5BB0" w:rsidRPr="00222917" w:rsidRDefault="00B75C28" w:rsidP="0070125C">
            <w:pPr>
              <w:pStyle w:val="SingleTxtG"/>
              <w:suppressAutoHyphens w:val="0"/>
              <w:spacing w:before="80" w:after="80" w:line="200" w:lineRule="exact"/>
              <w:ind w:left="0" w:right="0"/>
              <w:jc w:val="right"/>
              <w:rPr>
                <w:i/>
                <w:sz w:val="16"/>
                <w:szCs w:val="16"/>
                <w:lang w:val="en-US"/>
              </w:rPr>
            </w:pPr>
            <w:r w:rsidRPr="00222917">
              <w:rPr>
                <w:bCs/>
                <w:i/>
                <w:sz w:val="16"/>
                <w:szCs w:val="16"/>
                <w:lang w:val="en-US"/>
              </w:rPr>
              <w:t>C</w:t>
            </w:r>
            <w:r w:rsidR="002D5BB0" w:rsidRPr="00222917">
              <w:rPr>
                <w:bCs/>
                <w:i/>
                <w:sz w:val="16"/>
                <w:szCs w:val="16"/>
                <w:lang w:val="en-US"/>
              </w:rPr>
              <w:t>ounseling</w:t>
            </w:r>
          </w:p>
        </w:tc>
        <w:tc>
          <w:tcPr>
            <w:tcW w:w="964" w:type="dxa"/>
            <w:tcBorders>
              <w:top w:val="single" w:sz="4" w:space="0" w:color="000000"/>
              <w:bottom w:val="single" w:sz="12" w:space="0" w:color="000000"/>
            </w:tcBorders>
            <w:shd w:val="clear" w:color="auto" w:fill="auto"/>
            <w:vAlign w:val="bottom"/>
          </w:tcPr>
          <w:p w:rsidR="002D5BB0" w:rsidRPr="00222917" w:rsidRDefault="0070125C" w:rsidP="0070125C">
            <w:pPr>
              <w:pStyle w:val="SingleTxtG"/>
              <w:suppressAutoHyphens w:val="0"/>
              <w:spacing w:before="80" w:after="80" w:line="200" w:lineRule="exact"/>
              <w:ind w:left="0" w:right="0"/>
              <w:jc w:val="right"/>
              <w:rPr>
                <w:i/>
                <w:sz w:val="16"/>
                <w:szCs w:val="16"/>
                <w:lang w:val="en-US"/>
              </w:rPr>
            </w:pPr>
            <w:r w:rsidRPr="00222917">
              <w:rPr>
                <w:bCs/>
                <w:i/>
                <w:sz w:val="16"/>
                <w:szCs w:val="16"/>
                <w:lang w:val="en-US"/>
              </w:rPr>
              <w:t>Investigational</w:t>
            </w:r>
            <w:r w:rsidRPr="00222917">
              <w:rPr>
                <w:bCs/>
                <w:i/>
                <w:sz w:val="16"/>
                <w:szCs w:val="16"/>
                <w:lang w:val="en-US"/>
              </w:rPr>
              <w:br/>
            </w:r>
            <w:r w:rsidR="002D5BB0" w:rsidRPr="00222917">
              <w:rPr>
                <w:bCs/>
                <w:i/>
                <w:sz w:val="16"/>
                <w:szCs w:val="16"/>
                <w:lang w:val="en-US"/>
              </w:rPr>
              <w:t>and legal support</w:t>
            </w:r>
          </w:p>
        </w:tc>
        <w:tc>
          <w:tcPr>
            <w:tcW w:w="964" w:type="dxa"/>
            <w:tcBorders>
              <w:top w:val="single" w:sz="4" w:space="0" w:color="000000"/>
              <w:bottom w:val="single" w:sz="12" w:space="0" w:color="000000"/>
            </w:tcBorders>
            <w:shd w:val="clear" w:color="auto" w:fill="auto"/>
            <w:vAlign w:val="bottom"/>
          </w:tcPr>
          <w:p w:rsidR="002D5BB0" w:rsidRPr="00222917" w:rsidRDefault="002D5BB0" w:rsidP="0070125C">
            <w:pPr>
              <w:pStyle w:val="SingleTxtG"/>
              <w:suppressAutoHyphens w:val="0"/>
              <w:spacing w:before="80" w:after="80" w:line="200" w:lineRule="exact"/>
              <w:ind w:left="0" w:right="0"/>
              <w:jc w:val="right"/>
              <w:rPr>
                <w:i/>
                <w:sz w:val="16"/>
                <w:szCs w:val="16"/>
                <w:lang w:val="en-US"/>
              </w:rPr>
            </w:pPr>
            <w:r w:rsidRPr="00222917">
              <w:rPr>
                <w:bCs/>
                <w:i/>
                <w:sz w:val="16"/>
                <w:szCs w:val="16"/>
                <w:lang w:val="en-US"/>
              </w:rPr>
              <w:t>Medical support</w:t>
            </w:r>
          </w:p>
        </w:tc>
        <w:tc>
          <w:tcPr>
            <w:tcW w:w="964" w:type="dxa"/>
            <w:tcBorders>
              <w:top w:val="single" w:sz="4" w:space="0" w:color="000000"/>
              <w:bottom w:val="single" w:sz="12" w:space="0" w:color="000000"/>
            </w:tcBorders>
            <w:shd w:val="clear" w:color="auto" w:fill="auto"/>
            <w:vAlign w:val="bottom"/>
          </w:tcPr>
          <w:p w:rsidR="002D5BB0" w:rsidRPr="00222917" w:rsidRDefault="002D5BB0" w:rsidP="0070125C">
            <w:pPr>
              <w:pStyle w:val="SingleTxtG"/>
              <w:suppressAutoHyphens w:val="0"/>
              <w:spacing w:before="80" w:after="80" w:line="200" w:lineRule="exact"/>
              <w:ind w:left="0" w:right="0"/>
              <w:jc w:val="right"/>
              <w:rPr>
                <w:i/>
                <w:sz w:val="16"/>
                <w:szCs w:val="16"/>
                <w:lang w:val="en-US"/>
              </w:rPr>
            </w:pPr>
            <w:r w:rsidRPr="00222917">
              <w:rPr>
                <w:bCs/>
                <w:i/>
                <w:sz w:val="16"/>
                <w:szCs w:val="16"/>
                <w:lang w:val="en-US"/>
              </w:rPr>
              <w:t>Support for self-reliance</w:t>
            </w:r>
          </w:p>
        </w:tc>
        <w:tc>
          <w:tcPr>
            <w:tcW w:w="964" w:type="dxa"/>
            <w:tcBorders>
              <w:top w:val="single" w:sz="4" w:space="0" w:color="000000"/>
              <w:bottom w:val="single" w:sz="12" w:space="0" w:color="000000"/>
            </w:tcBorders>
            <w:shd w:val="clear" w:color="auto" w:fill="auto"/>
            <w:vAlign w:val="bottom"/>
          </w:tcPr>
          <w:p w:rsidR="002D5BB0" w:rsidRPr="00222917" w:rsidRDefault="002D5BB0" w:rsidP="0070125C">
            <w:pPr>
              <w:pStyle w:val="SingleTxtG"/>
              <w:suppressAutoHyphens w:val="0"/>
              <w:spacing w:before="80" w:after="80" w:line="200" w:lineRule="exact"/>
              <w:ind w:left="0" w:right="0"/>
              <w:jc w:val="right"/>
              <w:rPr>
                <w:i/>
                <w:sz w:val="16"/>
                <w:szCs w:val="16"/>
                <w:lang w:val="en-US"/>
              </w:rPr>
            </w:pPr>
            <w:r w:rsidRPr="00222917">
              <w:rPr>
                <w:bCs/>
                <w:i/>
                <w:sz w:val="16"/>
                <w:szCs w:val="16"/>
                <w:lang w:val="en-US"/>
              </w:rPr>
              <w:t>Support for accompa</w:t>
            </w:r>
            <w:r w:rsidR="00155803" w:rsidRPr="00222917">
              <w:rPr>
                <w:bCs/>
                <w:i/>
                <w:sz w:val="16"/>
                <w:szCs w:val="16"/>
                <w:lang w:val="en-US"/>
              </w:rPr>
              <w:t>-</w:t>
            </w:r>
            <w:r w:rsidRPr="00222917">
              <w:rPr>
                <w:bCs/>
                <w:i/>
                <w:sz w:val="16"/>
                <w:szCs w:val="16"/>
                <w:lang w:val="en-US"/>
              </w:rPr>
              <w:t>nying children</w:t>
            </w:r>
          </w:p>
        </w:tc>
        <w:tc>
          <w:tcPr>
            <w:tcW w:w="964" w:type="dxa"/>
            <w:tcBorders>
              <w:top w:val="single" w:sz="4" w:space="0" w:color="000000"/>
              <w:bottom w:val="single" w:sz="12" w:space="0" w:color="000000"/>
            </w:tcBorders>
            <w:shd w:val="clear" w:color="auto" w:fill="auto"/>
            <w:vAlign w:val="bottom"/>
          </w:tcPr>
          <w:p w:rsidR="002D5BB0" w:rsidRPr="00222917" w:rsidRDefault="002D5BB0" w:rsidP="0070125C">
            <w:pPr>
              <w:pStyle w:val="SingleTxtG"/>
              <w:suppressAutoHyphens w:val="0"/>
              <w:spacing w:before="80" w:after="80" w:line="200" w:lineRule="exact"/>
              <w:ind w:left="0" w:right="0"/>
              <w:jc w:val="right"/>
              <w:rPr>
                <w:i/>
                <w:sz w:val="16"/>
                <w:szCs w:val="16"/>
                <w:lang w:val="en-US"/>
              </w:rPr>
            </w:pPr>
            <w:r w:rsidRPr="00222917">
              <w:rPr>
                <w:bCs/>
                <w:i/>
                <w:sz w:val="16"/>
                <w:szCs w:val="16"/>
                <w:lang w:val="en-US"/>
              </w:rPr>
              <w:t>Support for offenders</w:t>
            </w:r>
          </w:p>
        </w:tc>
      </w:tr>
      <w:tr w:rsidR="006E1F63" w:rsidRPr="00222917" w:rsidTr="0054076C">
        <w:trPr>
          <w:trHeight w:val="240"/>
        </w:trPr>
        <w:tc>
          <w:tcPr>
            <w:tcW w:w="624" w:type="dxa"/>
            <w:vMerge w:val="restart"/>
            <w:tcBorders>
              <w:top w:val="single" w:sz="12" w:space="0" w:color="000000"/>
            </w:tcBorders>
            <w:shd w:val="clear" w:color="auto" w:fill="auto"/>
            <w:vAlign w:val="center"/>
          </w:tcPr>
          <w:p w:rsidR="002D5BB0" w:rsidRPr="00222917" w:rsidRDefault="002D5BB0" w:rsidP="0070125C">
            <w:pPr>
              <w:pStyle w:val="SingleTxtG"/>
              <w:suppressAutoHyphens w:val="0"/>
              <w:spacing w:before="40" w:after="40" w:line="220" w:lineRule="exact"/>
              <w:ind w:left="0" w:right="0"/>
              <w:jc w:val="left"/>
              <w:rPr>
                <w:sz w:val="18"/>
                <w:lang w:val="en-US"/>
              </w:rPr>
            </w:pPr>
            <w:r w:rsidRPr="00222917">
              <w:rPr>
                <w:sz w:val="18"/>
                <w:lang w:val="en-US"/>
              </w:rPr>
              <w:t>2006</w:t>
            </w:r>
          </w:p>
        </w:tc>
        <w:tc>
          <w:tcPr>
            <w:tcW w:w="964" w:type="dxa"/>
            <w:tcBorders>
              <w:top w:val="single" w:sz="12" w:space="0" w:color="000000"/>
            </w:tcBorders>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b/>
                <w:sz w:val="18"/>
                <w:lang w:val="en-US"/>
              </w:rPr>
            </w:pPr>
            <w:r w:rsidRPr="00222917">
              <w:rPr>
                <w:b/>
                <w:sz w:val="18"/>
                <w:lang w:val="en-US"/>
              </w:rPr>
              <w:t>87,104</w:t>
            </w:r>
          </w:p>
        </w:tc>
        <w:tc>
          <w:tcPr>
            <w:tcW w:w="964" w:type="dxa"/>
            <w:tcBorders>
              <w:top w:val="single" w:sz="12" w:space="0" w:color="000000"/>
            </w:tcBorders>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sz w:val="18"/>
                <w:lang w:val="en-US"/>
              </w:rPr>
            </w:pPr>
            <w:r w:rsidRPr="00222917">
              <w:rPr>
                <w:sz w:val="18"/>
                <w:lang w:val="en-US"/>
              </w:rPr>
              <w:t>53,382</w:t>
            </w:r>
          </w:p>
        </w:tc>
        <w:tc>
          <w:tcPr>
            <w:tcW w:w="964" w:type="dxa"/>
            <w:tcBorders>
              <w:top w:val="single" w:sz="12" w:space="0" w:color="000000"/>
            </w:tcBorders>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sz w:val="18"/>
                <w:lang w:val="en-US"/>
              </w:rPr>
            </w:pPr>
            <w:r w:rsidRPr="00222917">
              <w:rPr>
                <w:sz w:val="18"/>
                <w:lang w:val="en-US"/>
              </w:rPr>
              <w:t>5,317</w:t>
            </w:r>
          </w:p>
        </w:tc>
        <w:tc>
          <w:tcPr>
            <w:tcW w:w="964" w:type="dxa"/>
            <w:tcBorders>
              <w:top w:val="single" w:sz="12" w:space="0" w:color="000000"/>
            </w:tcBorders>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sz w:val="18"/>
                <w:lang w:val="en-US"/>
              </w:rPr>
            </w:pPr>
            <w:r w:rsidRPr="00222917">
              <w:rPr>
                <w:sz w:val="18"/>
                <w:lang w:val="en-US"/>
              </w:rPr>
              <w:t>12,384</w:t>
            </w:r>
          </w:p>
        </w:tc>
        <w:tc>
          <w:tcPr>
            <w:tcW w:w="964" w:type="dxa"/>
            <w:tcBorders>
              <w:top w:val="single" w:sz="12" w:space="0" w:color="000000"/>
            </w:tcBorders>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sz w:val="18"/>
                <w:lang w:val="en-US"/>
              </w:rPr>
            </w:pPr>
            <w:r w:rsidRPr="00222917">
              <w:rPr>
                <w:sz w:val="18"/>
                <w:lang w:val="en-US"/>
              </w:rPr>
              <w:t>2,863</w:t>
            </w:r>
          </w:p>
        </w:tc>
        <w:tc>
          <w:tcPr>
            <w:tcW w:w="964" w:type="dxa"/>
            <w:tcBorders>
              <w:top w:val="single" w:sz="12" w:space="0" w:color="000000"/>
            </w:tcBorders>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sz w:val="18"/>
                <w:lang w:val="en-US"/>
              </w:rPr>
            </w:pPr>
            <w:r w:rsidRPr="00222917">
              <w:rPr>
                <w:sz w:val="18"/>
                <w:lang w:val="en-US"/>
              </w:rPr>
              <w:t>11,925</w:t>
            </w:r>
          </w:p>
        </w:tc>
        <w:tc>
          <w:tcPr>
            <w:tcW w:w="964" w:type="dxa"/>
            <w:tcBorders>
              <w:top w:val="single" w:sz="12" w:space="0" w:color="000000"/>
            </w:tcBorders>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sz w:val="18"/>
                <w:lang w:val="en-US"/>
              </w:rPr>
            </w:pPr>
            <w:r w:rsidRPr="00222917">
              <w:rPr>
                <w:sz w:val="18"/>
                <w:lang w:val="en-US"/>
              </w:rPr>
              <w:t>1,233</w:t>
            </w:r>
          </w:p>
        </w:tc>
      </w:tr>
      <w:tr w:rsidR="006E1F63" w:rsidRPr="00222917" w:rsidTr="0070125C">
        <w:trPr>
          <w:trHeight w:val="240"/>
        </w:trPr>
        <w:tc>
          <w:tcPr>
            <w:tcW w:w="624" w:type="dxa"/>
            <w:vMerge/>
            <w:shd w:val="clear" w:color="auto" w:fill="auto"/>
            <w:vAlign w:val="center"/>
          </w:tcPr>
          <w:p w:rsidR="002D5BB0" w:rsidRPr="00222917" w:rsidRDefault="002D5BB0" w:rsidP="0070125C">
            <w:pPr>
              <w:pStyle w:val="SingleTxtG"/>
              <w:suppressAutoHyphens w:val="0"/>
              <w:spacing w:before="40" w:after="40" w:line="220" w:lineRule="exact"/>
              <w:ind w:left="0" w:right="0"/>
              <w:jc w:val="left"/>
              <w:rPr>
                <w:sz w:val="18"/>
                <w:lang w:val="en-US"/>
              </w:rPr>
            </w:pPr>
          </w:p>
        </w:tc>
        <w:tc>
          <w:tcPr>
            <w:tcW w:w="964" w:type="dxa"/>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b/>
                <w:sz w:val="18"/>
                <w:lang w:val="en-US"/>
              </w:rPr>
            </w:pPr>
            <w:r w:rsidRPr="00222917">
              <w:rPr>
                <w:b/>
                <w:sz w:val="18"/>
                <w:lang w:val="en-US"/>
              </w:rPr>
              <w:t>100%</w:t>
            </w:r>
          </w:p>
        </w:tc>
        <w:tc>
          <w:tcPr>
            <w:tcW w:w="964" w:type="dxa"/>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sz w:val="18"/>
                <w:lang w:val="en-US"/>
              </w:rPr>
            </w:pPr>
            <w:r w:rsidRPr="00222917">
              <w:rPr>
                <w:sz w:val="18"/>
                <w:lang w:val="en-US"/>
              </w:rPr>
              <w:t>61.3</w:t>
            </w:r>
          </w:p>
        </w:tc>
        <w:tc>
          <w:tcPr>
            <w:tcW w:w="964" w:type="dxa"/>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sz w:val="18"/>
                <w:lang w:val="en-US"/>
              </w:rPr>
            </w:pPr>
            <w:r w:rsidRPr="00222917">
              <w:rPr>
                <w:sz w:val="18"/>
                <w:lang w:val="en-US"/>
              </w:rPr>
              <w:t>6.1</w:t>
            </w:r>
          </w:p>
        </w:tc>
        <w:tc>
          <w:tcPr>
            <w:tcW w:w="964" w:type="dxa"/>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sz w:val="18"/>
                <w:lang w:val="en-US"/>
              </w:rPr>
            </w:pPr>
            <w:r w:rsidRPr="00222917">
              <w:rPr>
                <w:sz w:val="18"/>
                <w:lang w:val="en-US"/>
              </w:rPr>
              <w:t>14.2</w:t>
            </w:r>
          </w:p>
        </w:tc>
        <w:tc>
          <w:tcPr>
            <w:tcW w:w="964" w:type="dxa"/>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sz w:val="18"/>
                <w:lang w:val="en-US"/>
              </w:rPr>
            </w:pPr>
            <w:r w:rsidRPr="00222917">
              <w:rPr>
                <w:sz w:val="18"/>
                <w:lang w:val="en-US"/>
              </w:rPr>
              <w:t>3.3</w:t>
            </w:r>
          </w:p>
        </w:tc>
        <w:tc>
          <w:tcPr>
            <w:tcW w:w="964" w:type="dxa"/>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sz w:val="18"/>
                <w:lang w:val="en-US"/>
              </w:rPr>
            </w:pPr>
            <w:r w:rsidRPr="00222917">
              <w:rPr>
                <w:sz w:val="18"/>
                <w:lang w:val="en-US"/>
              </w:rPr>
              <w:t>13.7</w:t>
            </w:r>
          </w:p>
        </w:tc>
        <w:tc>
          <w:tcPr>
            <w:tcW w:w="964" w:type="dxa"/>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sz w:val="18"/>
                <w:lang w:val="en-US"/>
              </w:rPr>
            </w:pPr>
            <w:r w:rsidRPr="00222917">
              <w:rPr>
                <w:sz w:val="18"/>
                <w:lang w:val="en-US"/>
              </w:rPr>
              <w:t>1.4</w:t>
            </w:r>
          </w:p>
        </w:tc>
      </w:tr>
      <w:tr w:rsidR="006E1F63" w:rsidRPr="00222917" w:rsidTr="0070125C">
        <w:trPr>
          <w:trHeight w:val="240"/>
        </w:trPr>
        <w:tc>
          <w:tcPr>
            <w:tcW w:w="624" w:type="dxa"/>
            <w:vMerge w:val="restart"/>
            <w:shd w:val="clear" w:color="auto" w:fill="auto"/>
            <w:vAlign w:val="center"/>
          </w:tcPr>
          <w:p w:rsidR="002D5BB0" w:rsidRPr="00222917" w:rsidRDefault="002D5BB0" w:rsidP="0070125C">
            <w:pPr>
              <w:pStyle w:val="SingleTxtG"/>
              <w:suppressAutoHyphens w:val="0"/>
              <w:spacing w:before="40" w:after="40" w:line="220" w:lineRule="exact"/>
              <w:ind w:left="0" w:right="0"/>
              <w:jc w:val="left"/>
              <w:rPr>
                <w:sz w:val="18"/>
                <w:lang w:val="en-US"/>
              </w:rPr>
            </w:pPr>
            <w:r w:rsidRPr="00222917">
              <w:rPr>
                <w:sz w:val="18"/>
                <w:lang w:val="en-US"/>
              </w:rPr>
              <w:t>2007</w:t>
            </w:r>
          </w:p>
        </w:tc>
        <w:tc>
          <w:tcPr>
            <w:tcW w:w="964" w:type="dxa"/>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b/>
                <w:sz w:val="18"/>
                <w:lang w:val="en-US"/>
              </w:rPr>
            </w:pPr>
            <w:r w:rsidRPr="00222917">
              <w:rPr>
                <w:b/>
                <w:sz w:val="18"/>
                <w:lang w:val="en-US"/>
              </w:rPr>
              <w:t>88,002</w:t>
            </w:r>
          </w:p>
        </w:tc>
        <w:tc>
          <w:tcPr>
            <w:tcW w:w="964" w:type="dxa"/>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sz w:val="18"/>
                <w:lang w:val="en-US"/>
              </w:rPr>
            </w:pPr>
            <w:r w:rsidRPr="00222917">
              <w:rPr>
                <w:sz w:val="18"/>
                <w:lang w:val="en-US"/>
              </w:rPr>
              <w:t>54,657</w:t>
            </w:r>
          </w:p>
        </w:tc>
        <w:tc>
          <w:tcPr>
            <w:tcW w:w="964" w:type="dxa"/>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sz w:val="18"/>
                <w:lang w:val="en-US"/>
              </w:rPr>
            </w:pPr>
            <w:r w:rsidRPr="00222917">
              <w:rPr>
                <w:sz w:val="18"/>
                <w:lang w:val="en-US"/>
              </w:rPr>
              <w:t>3,812</w:t>
            </w:r>
          </w:p>
        </w:tc>
        <w:tc>
          <w:tcPr>
            <w:tcW w:w="964" w:type="dxa"/>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sz w:val="18"/>
                <w:lang w:val="en-US"/>
              </w:rPr>
            </w:pPr>
            <w:r w:rsidRPr="00222917">
              <w:rPr>
                <w:sz w:val="18"/>
                <w:lang w:val="en-US"/>
              </w:rPr>
              <w:t>13,137</w:t>
            </w:r>
          </w:p>
        </w:tc>
        <w:tc>
          <w:tcPr>
            <w:tcW w:w="964" w:type="dxa"/>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sz w:val="18"/>
                <w:lang w:val="en-US"/>
              </w:rPr>
            </w:pPr>
            <w:r w:rsidRPr="00222917">
              <w:rPr>
                <w:sz w:val="18"/>
                <w:lang w:val="en-US"/>
              </w:rPr>
              <w:t>3,210</w:t>
            </w:r>
          </w:p>
        </w:tc>
        <w:tc>
          <w:tcPr>
            <w:tcW w:w="964" w:type="dxa"/>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sz w:val="18"/>
                <w:lang w:val="en-US"/>
              </w:rPr>
            </w:pPr>
            <w:r w:rsidRPr="00222917">
              <w:rPr>
                <w:sz w:val="18"/>
                <w:lang w:val="en-US"/>
              </w:rPr>
              <w:t>11,627</w:t>
            </w:r>
          </w:p>
        </w:tc>
        <w:tc>
          <w:tcPr>
            <w:tcW w:w="964" w:type="dxa"/>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sz w:val="18"/>
                <w:lang w:val="en-US"/>
              </w:rPr>
            </w:pPr>
            <w:r w:rsidRPr="00222917">
              <w:rPr>
                <w:sz w:val="18"/>
                <w:lang w:val="en-US"/>
              </w:rPr>
              <w:t>1,559</w:t>
            </w:r>
          </w:p>
        </w:tc>
      </w:tr>
      <w:tr w:rsidR="006E1F63" w:rsidRPr="00222917" w:rsidTr="0070125C">
        <w:trPr>
          <w:trHeight w:val="240"/>
        </w:trPr>
        <w:tc>
          <w:tcPr>
            <w:tcW w:w="624" w:type="dxa"/>
            <w:vMerge/>
            <w:shd w:val="clear" w:color="auto" w:fill="auto"/>
            <w:vAlign w:val="center"/>
          </w:tcPr>
          <w:p w:rsidR="002D5BB0" w:rsidRPr="00222917" w:rsidRDefault="002D5BB0" w:rsidP="0070125C">
            <w:pPr>
              <w:pStyle w:val="SingleTxtG"/>
              <w:suppressAutoHyphens w:val="0"/>
              <w:spacing w:before="40" w:after="40" w:line="220" w:lineRule="exact"/>
              <w:ind w:left="0" w:right="0"/>
              <w:jc w:val="left"/>
              <w:rPr>
                <w:sz w:val="18"/>
                <w:lang w:val="en-US"/>
              </w:rPr>
            </w:pPr>
          </w:p>
        </w:tc>
        <w:tc>
          <w:tcPr>
            <w:tcW w:w="964" w:type="dxa"/>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b/>
                <w:sz w:val="18"/>
                <w:lang w:val="en-US"/>
              </w:rPr>
            </w:pPr>
            <w:r w:rsidRPr="00222917">
              <w:rPr>
                <w:b/>
                <w:sz w:val="18"/>
                <w:lang w:val="en-US"/>
              </w:rPr>
              <w:t>100%</w:t>
            </w:r>
          </w:p>
        </w:tc>
        <w:tc>
          <w:tcPr>
            <w:tcW w:w="964" w:type="dxa"/>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sz w:val="18"/>
                <w:lang w:val="en-US"/>
              </w:rPr>
            </w:pPr>
            <w:r w:rsidRPr="00222917">
              <w:rPr>
                <w:sz w:val="18"/>
                <w:lang w:val="en-US"/>
              </w:rPr>
              <w:t>62.1</w:t>
            </w:r>
          </w:p>
        </w:tc>
        <w:tc>
          <w:tcPr>
            <w:tcW w:w="964" w:type="dxa"/>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sz w:val="18"/>
                <w:lang w:val="en-US"/>
              </w:rPr>
            </w:pPr>
            <w:r w:rsidRPr="00222917">
              <w:rPr>
                <w:sz w:val="18"/>
                <w:lang w:val="en-US"/>
              </w:rPr>
              <w:t>4.3</w:t>
            </w:r>
          </w:p>
        </w:tc>
        <w:tc>
          <w:tcPr>
            <w:tcW w:w="964" w:type="dxa"/>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sz w:val="18"/>
                <w:lang w:val="en-US"/>
              </w:rPr>
            </w:pPr>
            <w:r w:rsidRPr="00222917">
              <w:rPr>
                <w:sz w:val="18"/>
                <w:lang w:val="en-US"/>
              </w:rPr>
              <w:t>14.9</w:t>
            </w:r>
          </w:p>
        </w:tc>
        <w:tc>
          <w:tcPr>
            <w:tcW w:w="964" w:type="dxa"/>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sz w:val="18"/>
                <w:lang w:val="en-US"/>
              </w:rPr>
            </w:pPr>
            <w:r w:rsidRPr="00222917">
              <w:rPr>
                <w:sz w:val="18"/>
                <w:lang w:val="en-US"/>
              </w:rPr>
              <w:t>3.7</w:t>
            </w:r>
          </w:p>
        </w:tc>
        <w:tc>
          <w:tcPr>
            <w:tcW w:w="964" w:type="dxa"/>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sz w:val="18"/>
                <w:lang w:val="en-US"/>
              </w:rPr>
            </w:pPr>
            <w:r w:rsidRPr="00222917">
              <w:rPr>
                <w:sz w:val="18"/>
                <w:lang w:val="en-US"/>
              </w:rPr>
              <w:t>13.2</w:t>
            </w:r>
          </w:p>
        </w:tc>
        <w:tc>
          <w:tcPr>
            <w:tcW w:w="964" w:type="dxa"/>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sz w:val="18"/>
                <w:lang w:val="en-US"/>
              </w:rPr>
            </w:pPr>
            <w:r w:rsidRPr="00222917">
              <w:rPr>
                <w:sz w:val="18"/>
                <w:lang w:val="en-US"/>
              </w:rPr>
              <w:t>1.8</w:t>
            </w:r>
          </w:p>
        </w:tc>
      </w:tr>
      <w:tr w:rsidR="006E1F63" w:rsidRPr="00222917" w:rsidTr="0070125C">
        <w:trPr>
          <w:trHeight w:val="240"/>
        </w:trPr>
        <w:tc>
          <w:tcPr>
            <w:tcW w:w="624" w:type="dxa"/>
            <w:vMerge w:val="restart"/>
            <w:shd w:val="clear" w:color="auto" w:fill="auto"/>
            <w:vAlign w:val="center"/>
          </w:tcPr>
          <w:p w:rsidR="002D5BB0" w:rsidRPr="00222917" w:rsidRDefault="002D5BB0" w:rsidP="0070125C">
            <w:pPr>
              <w:pStyle w:val="SingleTxtG"/>
              <w:suppressAutoHyphens w:val="0"/>
              <w:spacing w:before="40" w:after="40" w:line="220" w:lineRule="exact"/>
              <w:ind w:left="0" w:right="0"/>
              <w:jc w:val="left"/>
              <w:rPr>
                <w:sz w:val="18"/>
                <w:lang w:val="en-US"/>
              </w:rPr>
            </w:pPr>
            <w:r w:rsidRPr="00222917">
              <w:rPr>
                <w:sz w:val="18"/>
                <w:lang w:val="en-US"/>
              </w:rPr>
              <w:t>2008</w:t>
            </w:r>
          </w:p>
        </w:tc>
        <w:tc>
          <w:tcPr>
            <w:tcW w:w="964" w:type="dxa"/>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b/>
                <w:sz w:val="18"/>
                <w:lang w:val="en-US"/>
              </w:rPr>
            </w:pPr>
            <w:r w:rsidRPr="00222917">
              <w:rPr>
                <w:b/>
                <w:sz w:val="18"/>
                <w:lang w:val="en-US"/>
              </w:rPr>
              <w:t>75,788</w:t>
            </w:r>
          </w:p>
        </w:tc>
        <w:tc>
          <w:tcPr>
            <w:tcW w:w="964" w:type="dxa"/>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sz w:val="18"/>
                <w:lang w:val="en-US"/>
              </w:rPr>
            </w:pPr>
            <w:r w:rsidRPr="00222917">
              <w:rPr>
                <w:sz w:val="18"/>
                <w:lang w:val="en-US"/>
              </w:rPr>
              <w:t>42,182</w:t>
            </w:r>
          </w:p>
        </w:tc>
        <w:tc>
          <w:tcPr>
            <w:tcW w:w="964" w:type="dxa"/>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sz w:val="18"/>
                <w:lang w:val="en-US"/>
              </w:rPr>
            </w:pPr>
            <w:r w:rsidRPr="00222917">
              <w:rPr>
                <w:sz w:val="18"/>
                <w:lang w:val="en-US"/>
              </w:rPr>
              <w:t>3,189</w:t>
            </w:r>
          </w:p>
        </w:tc>
        <w:tc>
          <w:tcPr>
            <w:tcW w:w="964" w:type="dxa"/>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sz w:val="18"/>
                <w:lang w:val="en-US"/>
              </w:rPr>
            </w:pPr>
            <w:r w:rsidRPr="00222917">
              <w:rPr>
                <w:sz w:val="18"/>
                <w:lang w:val="en-US"/>
              </w:rPr>
              <w:t>11,801</w:t>
            </w:r>
          </w:p>
        </w:tc>
        <w:tc>
          <w:tcPr>
            <w:tcW w:w="964" w:type="dxa"/>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sz w:val="18"/>
                <w:lang w:val="en-US"/>
              </w:rPr>
            </w:pPr>
            <w:r w:rsidRPr="00222917">
              <w:rPr>
                <w:sz w:val="18"/>
                <w:lang w:val="en-US"/>
              </w:rPr>
              <w:t>2,677</w:t>
            </w:r>
          </w:p>
        </w:tc>
        <w:tc>
          <w:tcPr>
            <w:tcW w:w="964" w:type="dxa"/>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sz w:val="18"/>
                <w:lang w:val="en-US"/>
              </w:rPr>
            </w:pPr>
            <w:r w:rsidRPr="00222917">
              <w:rPr>
                <w:sz w:val="18"/>
                <w:lang w:val="en-US"/>
              </w:rPr>
              <w:t>11,098</w:t>
            </w:r>
          </w:p>
        </w:tc>
        <w:tc>
          <w:tcPr>
            <w:tcW w:w="964" w:type="dxa"/>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sz w:val="18"/>
                <w:lang w:val="en-US"/>
              </w:rPr>
            </w:pPr>
            <w:r w:rsidRPr="00222917">
              <w:rPr>
                <w:sz w:val="18"/>
                <w:lang w:val="en-US"/>
              </w:rPr>
              <w:t>4,841</w:t>
            </w:r>
          </w:p>
        </w:tc>
      </w:tr>
      <w:tr w:rsidR="006E1F63" w:rsidRPr="00222917" w:rsidTr="0070125C">
        <w:trPr>
          <w:trHeight w:val="240"/>
        </w:trPr>
        <w:tc>
          <w:tcPr>
            <w:tcW w:w="624" w:type="dxa"/>
            <w:vMerge/>
            <w:shd w:val="clear" w:color="auto" w:fill="auto"/>
            <w:vAlign w:val="center"/>
          </w:tcPr>
          <w:p w:rsidR="002D5BB0" w:rsidRPr="00222917" w:rsidRDefault="002D5BB0" w:rsidP="0070125C">
            <w:pPr>
              <w:pStyle w:val="SingleTxtG"/>
              <w:suppressAutoHyphens w:val="0"/>
              <w:spacing w:before="40" w:after="40" w:line="220" w:lineRule="exact"/>
              <w:ind w:left="0" w:right="0"/>
              <w:jc w:val="left"/>
              <w:rPr>
                <w:sz w:val="18"/>
                <w:lang w:val="en-US"/>
              </w:rPr>
            </w:pPr>
          </w:p>
        </w:tc>
        <w:tc>
          <w:tcPr>
            <w:tcW w:w="964" w:type="dxa"/>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b/>
                <w:sz w:val="18"/>
                <w:lang w:val="en-US"/>
              </w:rPr>
            </w:pPr>
            <w:r w:rsidRPr="00222917">
              <w:rPr>
                <w:b/>
                <w:sz w:val="18"/>
                <w:lang w:val="en-US"/>
              </w:rPr>
              <w:t>100%</w:t>
            </w:r>
          </w:p>
        </w:tc>
        <w:tc>
          <w:tcPr>
            <w:tcW w:w="964" w:type="dxa"/>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sz w:val="18"/>
                <w:lang w:val="en-US"/>
              </w:rPr>
            </w:pPr>
            <w:r w:rsidRPr="00222917">
              <w:rPr>
                <w:sz w:val="18"/>
                <w:lang w:val="en-US"/>
              </w:rPr>
              <w:t>55.7</w:t>
            </w:r>
          </w:p>
        </w:tc>
        <w:tc>
          <w:tcPr>
            <w:tcW w:w="964" w:type="dxa"/>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sz w:val="18"/>
                <w:lang w:val="en-US"/>
              </w:rPr>
            </w:pPr>
            <w:r w:rsidRPr="00222917">
              <w:rPr>
                <w:sz w:val="18"/>
                <w:lang w:val="en-US"/>
              </w:rPr>
              <w:t>4.2</w:t>
            </w:r>
          </w:p>
        </w:tc>
        <w:tc>
          <w:tcPr>
            <w:tcW w:w="964" w:type="dxa"/>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sz w:val="18"/>
                <w:lang w:val="en-US"/>
              </w:rPr>
            </w:pPr>
            <w:r w:rsidRPr="00222917">
              <w:rPr>
                <w:sz w:val="18"/>
                <w:lang w:val="en-US"/>
              </w:rPr>
              <w:t>15.6</w:t>
            </w:r>
          </w:p>
        </w:tc>
        <w:tc>
          <w:tcPr>
            <w:tcW w:w="964" w:type="dxa"/>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sz w:val="18"/>
                <w:lang w:val="en-US"/>
              </w:rPr>
            </w:pPr>
            <w:r w:rsidRPr="00222917">
              <w:rPr>
                <w:sz w:val="18"/>
                <w:lang w:val="en-US"/>
              </w:rPr>
              <w:t>3.5</w:t>
            </w:r>
          </w:p>
        </w:tc>
        <w:tc>
          <w:tcPr>
            <w:tcW w:w="964" w:type="dxa"/>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sz w:val="18"/>
                <w:lang w:val="en-US"/>
              </w:rPr>
            </w:pPr>
            <w:r w:rsidRPr="00222917">
              <w:rPr>
                <w:sz w:val="18"/>
                <w:lang w:val="en-US"/>
              </w:rPr>
              <w:t>14.6</w:t>
            </w:r>
          </w:p>
        </w:tc>
        <w:tc>
          <w:tcPr>
            <w:tcW w:w="964" w:type="dxa"/>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sz w:val="18"/>
                <w:lang w:val="en-US"/>
              </w:rPr>
            </w:pPr>
            <w:r w:rsidRPr="00222917">
              <w:rPr>
                <w:sz w:val="18"/>
                <w:lang w:val="en-US"/>
              </w:rPr>
              <w:t>6.4</w:t>
            </w:r>
          </w:p>
        </w:tc>
      </w:tr>
      <w:tr w:rsidR="006E1F63" w:rsidRPr="00222917" w:rsidTr="0070125C">
        <w:trPr>
          <w:trHeight w:val="240"/>
        </w:trPr>
        <w:tc>
          <w:tcPr>
            <w:tcW w:w="624" w:type="dxa"/>
            <w:vMerge w:val="restart"/>
            <w:shd w:val="clear" w:color="auto" w:fill="auto"/>
            <w:vAlign w:val="center"/>
          </w:tcPr>
          <w:p w:rsidR="002D5BB0" w:rsidRPr="00222917" w:rsidRDefault="002D5BB0" w:rsidP="0070125C">
            <w:pPr>
              <w:pStyle w:val="SingleTxtG"/>
              <w:suppressAutoHyphens w:val="0"/>
              <w:spacing w:before="40" w:after="40" w:line="220" w:lineRule="exact"/>
              <w:ind w:left="0" w:right="0"/>
              <w:jc w:val="left"/>
              <w:rPr>
                <w:sz w:val="18"/>
                <w:lang w:val="en-US"/>
              </w:rPr>
            </w:pPr>
            <w:r w:rsidRPr="00222917">
              <w:rPr>
                <w:sz w:val="18"/>
                <w:lang w:val="en-US"/>
              </w:rPr>
              <w:t>2009</w:t>
            </w:r>
          </w:p>
        </w:tc>
        <w:tc>
          <w:tcPr>
            <w:tcW w:w="964" w:type="dxa"/>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b/>
                <w:sz w:val="18"/>
                <w:lang w:val="en-US"/>
              </w:rPr>
            </w:pPr>
            <w:r w:rsidRPr="00222917">
              <w:rPr>
                <w:b/>
                <w:sz w:val="18"/>
                <w:lang w:val="en-US"/>
              </w:rPr>
              <w:t>74,105</w:t>
            </w:r>
          </w:p>
        </w:tc>
        <w:tc>
          <w:tcPr>
            <w:tcW w:w="964" w:type="dxa"/>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sz w:val="18"/>
                <w:lang w:val="en-US"/>
              </w:rPr>
            </w:pPr>
            <w:r w:rsidRPr="00222917">
              <w:rPr>
                <w:sz w:val="18"/>
                <w:lang w:val="en-US"/>
              </w:rPr>
              <w:t>39,120</w:t>
            </w:r>
          </w:p>
        </w:tc>
        <w:tc>
          <w:tcPr>
            <w:tcW w:w="964" w:type="dxa"/>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sz w:val="18"/>
                <w:lang w:val="en-US"/>
              </w:rPr>
            </w:pPr>
            <w:r w:rsidRPr="00222917">
              <w:rPr>
                <w:sz w:val="18"/>
                <w:lang w:val="en-US"/>
              </w:rPr>
              <w:t>2,690</w:t>
            </w:r>
          </w:p>
        </w:tc>
        <w:tc>
          <w:tcPr>
            <w:tcW w:w="964" w:type="dxa"/>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sz w:val="18"/>
                <w:lang w:val="en-US"/>
              </w:rPr>
            </w:pPr>
            <w:r w:rsidRPr="00222917">
              <w:rPr>
                <w:sz w:val="18"/>
                <w:lang w:val="en-US"/>
              </w:rPr>
              <w:t>11,950</w:t>
            </w:r>
          </w:p>
        </w:tc>
        <w:tc>
          <w:tcPr>
            <w:tcW w:w="964" w:type="dxa"/>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sz w:val="18"/>
                <w:lang w:val="en-US"/>
              </w:rPr>
            </w:pPr>
            <w:r w:rsidRPr="00222917">
              <w:rPr>
                <w:sz w:val="18"/>
                <w:lang w:val="en-US"/>
              </w:rPr>
              <w:t>3,066</w:t>
            </w:r>
          </w:p>
        </w:tc>
        <w:tc>
          <w:tcPr>
            <w:tcW w:w="964" w:type="dxa"/>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sz w:val="18"/>
                <w:lang w:val="en-US"/>
              </w:rPr>
            </w:pPr>
            <w:r w:rsidRPr="00222917">
              <w:rPr>
                <w:sz w:val="18"/>
                <w:lang w:val="en-US"/>
              </w:rPr>
              <w:t>14,538</w:t>
            </w:r>
          </w:p>
        </w:tc>
        <w:tc>
          <w:tcPr>
            <w:tcW w:w="964" w:type="dxa"/>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sz w:val="18"/>
                <w:lang w:val="en-US"/>
              </w:rPr>
            </w:pPr>
            <w:r w:rsidRPr="00222917">
              <w:rPr>
                <w:sz w:val="18"/>
                <w:lang w:val="en-US"/>
              </w:rPr>
              <w:t>2,741</w:t>
            </w:r>
          </w:p>
        </w:tc>
      </w:tr>
      <w:tr w:rsidR="006E1F63" w:rsidRPr="00222917" w:rsidTr="0070125C">
        <w:trPr>
          <w:trHeight w:val="240"/>
        </w:trPr>
        <w:tc>
          <w:tcPr>
            <w:tcW w:w="624" w:type="dxa"/>
            <w:vMerge/>
            <w:shd w:val="clear" w:color="auto" w:fill="auto"/>
            <w:vAlign w:val="center"/>
          </w:tcPr>
          <w:p w:rsidR="002D5BB0" w:rsidRPr="00222917" w:rsidRDefault="002D5BB0" w:rsidP="0070125C">
            <w:pPr>
              <w:pStyle w:val="SingleTxtG"/>
              <w:suppressAutoHyphens w:val="0"/>
              <w:spacing w:before="40" w:after="40" w:line="220" w:lineRule="exact"/>
              <w:ind w:left="0" w:right="0"/>
              <w:jc w:val="left"/>
              <w:rPr>
                <w:sz w:val="18"/>
                <w:lang w:val="en-US"/>
              </w:rPr>
            </w:pPr>
          </w:p>
        </w:tc>
        <w:tc>
          <w:tcPr>
            <w:tcW w:w="964" w:type="dxa"/>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b/>
                <w:sz w:val="18"/>
                <w:lang w:val="en-US"/>
              </w:rPr>
            </w:pPr>
            <w:r w:rsidRPr="00222917">
              <w:rPr>
                <w:b/>
                <w:sz w:val="18"/>
                <w:lang w:val="en-US"/>
              </w:rPr>
              <w:t>100%</w:t>
            </w:r>
          </w:p>
        </w:tc>
        <w:tc>
          <w:tcPr>
            <w:tcW w:w="964" w:type="dxa"/>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sz w:val="18"/>
                <w:lang w:val="en-US"/>
              </w:rPr>
            </w:pPr>
            <w:r w:rsidRPr="00222917">
              <w:rPr>
                <w:sz w:val="18"/>
                <w:lang w:val="en-US"/>
              </w:rPr>
              <w:t>52.8</w:t>
            </w:r>
          </w:p>
        </w:tc>
        <w:tc>
          <w:tcPr>
            <w:tcW w:w="964" w:type="dxa"/>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sz w:val="18"/>
                <w:lang w:val="en-US"/>
              </w:rPr>
            </w:pPr>
            <w:r w:rsidRPr="00222917">
              <w:rPr>
                <w:sz w:val="18"/>
                <w:lang w:val="en-US"/>
              </w:rPr>
              <w:t>3.6</w:t>
            </w:r>
          </w:p>
        </w:tc>
        <w:tc>
          <w:tcPr>
            <w:tcW w:w="964" w:type="dxa"/>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sz w:val="18"/>
                <w:lang w:val="en-US"/>
              </w:rPr>
            </w:pPr>
            <w:r w:rsidRPr="00222917">
              <w:rPr>
                <w:sz w:val="18"/>
                <w:lang w:val="en-US"/>
              </w:rPr>
              <w:t>16.2</w:t>
            </w:r>
          </w:p>
        </w:tc>
        <w:tc>
          <w:tcPr>
            <w:tcW w:w="964" w:type="dxa"/>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sz w:val="18"/>
                <w:lang w:val="en-US"/>
              </w:rPr>
            </w:pPr>
            <w:r w:rsidRPr="00222917">
              <w:rPr>
                <w:sz w:val="18"/>
                <w:lang w:val="en-US"/>
              </w:rPr>
              <w:t>4.1</w:t>
            </w:r>
          </w:p>
        </w:tc>
        <w:tc>
          <w:tcPr>
            <w:tcW w:w="964" w:type="dxa"/>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sz w:val="18"/>
                <w:lang w:val="en-US"/>
              </w:rPr>
            </w:pPr>
            <w:r w:rsidRPr="00222917">
              <w:rPr>
                <w:sz w:val="18"/>
                <w:lang w:val="en-US"/>
              </w:rPr>
              <w:t>19.6</w:t>
            </w:r>
          </w:p>
        </w:tc>
        <w:tc>
          <w:tcPr>
            <w:tcW w:w="964" w:type="dxa"/>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sz w:val="18"/>
                <w:lang w:val="en-US"/>
              </w:rPr>
            </w:pPr>
            <w:r w:rsidRPr="00222917">
              <w:rPr>
                <w:sz w:val="18"/>
                <w:lang w:val="en-US"/>
              </w:rPr>
              <w:t>3.7</w:t>
            </w:r>
          </w:p>
        </w:tc>
      </w:tr>
      <w:tr w:rsidR="006E1F63" w:rsidRPr="00222917" w:rsidTr="0070125C">
        <w:trPr>
          <w:trHeight w:val="240"/>
        </w:trPr>
        <w:tc>
          <w:tcPr>
            <w:tcW w:w="624" w:type="dxa"/>
            <w:vMerge w:val="restart"/>
            <w:shd w:val="clear" w:color="auto" w:fill="auto"/>
            <w:vAlign w:val="center"/>
          </w:tcPr>
          <w:p w:rsidR="002D5BB0" w:rsidRPr="00222917" w:rsidRDefault="002D5BB0" w:rsidP="0070125C">
            <w:pPr>
              <w:pStyle w:val="SingleTxtG"/>
              <w:suppressAutoHyphens w:val="0"/>
              <w:spacing w:before="40" w:after="40" w:line="220" w:lineRule="exact"/>
              <w:ind w:left="0" w:right="0"/>
              <w:jc w:val="left"/>
              <w:rPr>
                <w:sz w:val="18"/>
                <w:lang w:val="en-US"/>
              </w:rPr>
            </w:pPr>
            <w:r w:rsidRPr="00222917">
              <w:rPr>
                <w:sz w:val="18"/>
                <w:lang w:val="en-US"/>
              </w:rPr>
              <w:t>2010</w:t>
            </w:r>
          </w:p>
        </w:tc>
        <w:tc>
          <w:tcPr>
            <w:tcW w:w="964" w:type="dxa"/>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b/>
                <w:sz w:val="18"/>
                <w:lang w:val="en-US"/>
              </w:rPr>
            </w:pPr>
            <w:r w:rsidRPr="00222917">
              <w:rPr>
                <w:b/>
                <w:sz w:val="18"/>
                <w:lang w:val="en-US"/>
              </w:rPr>
              <w:t>81,499</w:t>
            </w:r>
          </w:p>
        </w:tc>
        <w:tc>
          <w:tcPr>
            <w:tcW w:w="964" w:type="dxa"/>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sz w:val="18"/>
                <w:lang w:val="en-US"/>
              </w:rPr>
            </w:pPr>
            <w:r w:rsidRPr="00222917">
              <w:rPr>
                <w:sz w:val="18"/>
                <w:lang w:val="en-US"/>
              </w:rPr>
              <w:t>37,837</w:t>
            </w:r>
          </w:p>
        </w:tc>
        <w:tc>
          <w:tcPr>
            <w:tcW w:w="964" w:type="dxa"/>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sz w:val="18"/>
                <w:lang w:val="en-US"/>
              </w:rPr>
            </w:pPr>
            <w:r w:rsidRPr="00222917">
              <w:rPr>
                <w:sz w:val="18"/>
                <w:lang w:val="en-US"/>
              </w:rPr>
              <w:t>3,257</w:t>
            </w:r>
          </w:p>
        </w:tc>
        <w:tc>
          <w:tcPr>
            <w:tcW w:w="964" w:type="dxa"/>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sz w:val="18"/>
                <w:lang w:val="en-US"/>
              </w:rPr>
            </w:pPr>
            <w:r w:rsidRPr="00222917">
              <w:rPr>
                <w:sz w:val="18"/>
                <w:lang w:val="en-US"/>
              </w:rPr>
              <w:t>15,510</w:t>
            </w:r>
          </w:p>
        </w:tc>
        <w:tc>
          <w:tcPr>
            <w:tcW w:w="964" w:type="dxa"/>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sz w:val="18"/>
                <w:lang w:val="en-US"/>
              </w:rPr>
            </w:pPr>
            <w:r w:rsidRPr="00222917">
              <w:rPr>
                <w:sz w:val="18"/>
                <w:lang w:val="en-US"/>
              </w:rPr>
              <w:t>4,772</w:t>
            </w:r>
          </w:p>
        </w:tc>
        <w:tc>
          <w:tcPr>
            <w:tcW w:w="964" w:type="dxa"/>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sz w:val="18"/>
                <w:lang w:val="en-US"/>
              </w:rPr>
            </w:pPr>
            <w:r w:rsidRPr="00222917">
              <w:rPr>
                <w:sz w:val="18"/>
                <w:lang w:val="en-US"/>
              </w:rPr>
              <w:t>15,762</w:t>
            </w:r>
          </w:p>
        </w:tc>
        <w:tc>
          <w:tcPr>
            <w:tcW w:w="964" w:type="dxa"/>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sz w:val="18"/>
                <w:lang w:val="en-US"/>
              </w:rPr>
            </w:pPr>
            <w:r w:rsidRPr="00222917">
              <w:rPr>
                <w:sz w:val="18"/>
                <w:lang w:val="en-US"/>
              </w:rPr>
              <w:t>4,361</w:t>
            </w:r>
          </w:p>
        </w:tc>
      </w:tr>
      <w:tr w:rsidR="006E1F63" w:rsidRPr="00222917" w:rsidTr="0070125C">
        <w:trPr>
          <w:trHeight w:val="240"/>
        </w:trPr>
        <w:tc>
          <w:tcPr>
            <w:tcW w:w="624" w:type="dxa"/>
            <w:vMerge/>
            <w:tcBorders>
              <w:bottom w:val="single" w:sz="12" w:space="0" w:color="auto"/>
            </w:tcBorders>
            <w:shd w:val="clear" w:color="auto" w:fill="auto"/>
          </w:tcPr>
          <w:p w:rsidR="002D5BB0" w:rsidRPr="00222917" w:rsidRDefault="002D5BB0" w:rsidP="0070125C">
            <w:pPr>
              <w:pStyle w:val="SingleTxtG"/>
              <w:suppressAutoHyphens w:val="0"/>
              <w:spacing w:before="40" w:after="40" w:line="220" w:lineRule="exact"/>
              <w:ind w:left="0" w:right="0"/>
              <w:jc w:val="left"/>
              <w:rPr>
                <w:sz w:val="18"/>
                <w:lang w:val="en-US"/>
              </w:rPr>
            </w:pPr>
          </w:p>
        </w:tc>
        <w:tc>
          <w:tcPr>
            <w:tcW w:w="964" w:type="dxa"/>
            <w:tcBorders>
              <w:bottom w:val="single" w:sz="12" w:space="0" w:color="auto"/>
            </w:tcBorders>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b/>
                <w:sz w:val="18"/>
                <w:lang w:val="en-US"/>
              </w:rPr>
            </w:pPr>
            <w:r w:rsidRPr="00222917">
              <w:rPr>
                <w:b/>
                <w:sz w:val="18"/>
                <w:lang w:val="en-US"/>
              </w:rPr>
              <w:t>100%</w:t>
            </w:r>
          </w:p>
        </w:tc>
        <w:tc>
          <w:tcPr>
            <w:tcW w:w="964" w:type="dxa"/>
            <w:tcBorders>
              <w:bottom w:val="single" w:sz="12" w:space="0" w:color="auto"/>
            </w:tcBorders>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sz w:val="18"/>
                <w:lang w:val="en-US"/>
              </w:rPr>
            </w:pPr>
            <w:r w:rsidRPr="00222917">
              <w:rPr>
                <w:sz w:val="18"/>
                <w:lang w:val="en-US"/>
              </w:rPr>
              <w:t>46.4</w:t>
            </w:r>
          </w:p>
        </w:tc>
        <w:tc>
          <w:tcPr>
            <w:tcW w:w="964" w:type="dxa"/>
            <w:tcBorders>
              <w:bottom w:val="single" w:sz="12" w:space="0" w:color="auto"/>
            </w:tcBorders>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sz w:val="18"/>
                <w:lang w:val="en-US"/>
              </w:rPr>
            </w:pPr>
            <w:r w:rsidRPr="00222917">
              <w:rPr>
                <w:sz w:val="18"/>
                <w:lang w:val="en-US"/>
              </w:rPr>
              <w:t>4.0</w:t>
            </w:r>
          </w:p>
        </w:tc>
        <w:tc>
          <w:tcPr>
            <w:tcW w:w="964" w:type="dxa"/>
            <w:tcBorders>
              <w:bottom w:val="single" w:sz="12" w:space="0" w:color="auto"/>
            </w:tcBorders>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sz w:val="18"/>
                <w:lang w:val="en-US"/>
              </w:rPr>
            </w:pPr>
            <w:r w:rsidRPr="00222917">
              <w:rPr>
                <w:sz w:val="18"/>
                <w:lang w:val="en-US"/>
              </w:rPr>
              <w:t>19.0</w:t>
            </w:r>
          </w:p>
        </w:tc>
        <w:tc>
          <w:tcPr>
            <w:tcW w:w="964" w:type="dxa"/>
            <w:tcBorders>
              <w:bottom w:val="single" w:sz="12" w:space="0" w:color="auto"/>
            </w:tcBorders>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sz w:val="18"/>
                <w:lang w:val="en-US"/>
              </w:rPr>
            </w:pPr>
            <w:r w:rsidRPr="00222917">
              <w:rPr>
                <w:sz w:val="18"/>
                <w:lang w:val="en-US"/>
              </w:rPr>
              <w:t>5.9</w:t>
            </w:r>
          </w:p>
        </w:tc>
        <w:tc>
          <w:tcPr>
            <w:tcW w:w="964" w:type="dxa"/>
            <w:tcBorders>
              <w:bottom w:val="single" w:sz="12" w:space="0" w:color="auto"/>
            </w:tcBorders>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sz w:val="18"/>
                <w:lang w:val="en-US"/>
              </w:rPr>
            </w:pPr>
            <w:r w:rsidRPr="00222917">
              <w:rPr>
                <w:sz w:val="18"/>
                <w:lang w:val="en-US"/>
              </w:rPr>
              <w:t>19.3</w:t>
            </w:r>
          </w:p>
        </w:tc>
        <w:tc>
          <w:tcPr>
            <w:tcW w:w="964" w:type="dxa"/>
            <w:tcBorders>
              <w:bottom w:val="single" w:sz="12" w:space="0" w:color="auto"/>
            </w:tcBorders>
            <w:shd w:val="clear" w:color="auto" w:fill="auto"/>
            <w:vAlign w:val="bottom"/>
          </w:tcPr>
          <w:p w:rsidR="002D5BB0" w:rsidRPr="00222917" w:rsidRDefault="002D5BB0" w:rsidP="0070125C">
            <w:pPr>
              <w:pStyle w:val="SingleTxtG"/>
              <w:suppressAutoHyphens w:val="0"/>
              <w:spacing w:before="40" w:after="40" w:line="220" w:lineRule="exact"/>
              <w:ind w:left="0" w:right="0"/>
              <w:jc w:val="right"/>
              <w:rPr>
                <w:sz w:val="18"/>
                <w:lang w:val="en-US"/>
              </w:rPr>
            </w:pPr>
            <w:r w:rsidRPr="00222917">
              <w:rPr>
                <w:sz w:val="18"/>
                <w:lang w:val="en-US"/>
              </w:rPr>
              <w:t>5.4</w:t>
            </w:r>
          </w:p>
        </w:tc>
      </w:tr>
    </w:tbl>
    <w:p w:rsidR="002D5BB0" w:rsidRPr="00222917" w:rsidRDefault="00087B1C" w:rsidP="00087B1C">
      <w:pPr>
        <w:pStyle w:val="H23G"/>
        <w:rPr>
          <w:lang w:val="en-US"/>
        </w:rPr>
      </w:pPr>
      <w:r w:rsidRPr="00222917">
        <w:rPr>
          <w:lang w:val="en-US"/>
        </w:rPr>
        <w:tab/>
      </w:r>
      <w:r w:rsidRPr="00222917">
        <w:rPr>
          <w:lang w:val="en-US"/>
        </w:rPr>
        <w:tab/>
      </w:r>
      <w:r w:rsidR="002D5BB0" w:rsidRPr="00222917">
        <w:rPr>
          <w:lang w:val="en-US"/>
        </w:rPr>
        <w:t>Punishment of Domestic Violence</w:t>
      </w:r>
    </w:p>
    <w:p w:rsidR="002D5BB0" w:rsidRPr="00222917" w:rsidRDefault="00087B1C" w:rsidP="00087B1C">
      <w:pPr>
        <w:pStyle w:val="H4G"/>
        <w:rPr>
          <w:lang w:val="en-US"/>
        </w:rPr>
      </w:pPr>
      <w:r w:rsidRPr="00222917">
        <w:rPr>
          <w:lang w:val="en-US"/>
        </w:rPr>
        <w:tab/>
      </w:r>
      <w:r w:rsidRPr="00222917">
        <w:rPr>
          <w:lang w:val="en-US"/>
        </w:rPr>
        <w:tab/>
      </w:r>
      <w:r w:rsidR="002D5BB0" w:rsidRPr="00222917">
        <w:rPr>
          <w:lang w:val="en-US"/>
        </w:rPr>
        <w:t>Revision of Legislation Concerning Domestic Violence Crimes and Status of Punishment</w:t>
      </w:r>
    </w:p>
    <w:p w:rsidR="002D5BB0" w:rsidRPr="00222917" w:rsidRDefault="00547908" w:rsidP="00547908">
      <w:pPr>
        <w:pStyle w:val="SingleTxtG"/>
        <w:rPr>
          <w:lang w:val="en-US"/>
        </w:rPr>
      </w:pPr>
      <w:r w:rsidRPr="00222917">
        <w:rPr>
          <w:lang w:val="en-US"/>
        </w:rPr>
        <w:t>84.</w:t>
      </w:r>
      <w:r w:rsidRPr="00222917">
        <w:rPr>
          <w:lang w:val="en-US"/>
        </w:rPr>
        <w:tab/>
      </w:r>
      <w:r w:rsidR="002D5BB0" w:rsidRPr="00222917">
        <w:rPr>
          <w:lang w:val="en-US"/>
        </w:rPr>
        <w:t xml:space="preserve">In its consideration of the third report, the Committee regretted the lack of progress in the prosecution and punishment of those responsible for domestic violence. The Committee was concerned that specific legal provisions on domestic violence were lacking in the Korean legislation. It </w:t>
      </w:r>
      <w:r w:rsidR="002D5BB0" w:rsidRPr="00222917">
        <w:rPr>
          <w:bCs/>
          <w:lang w:val="en-US"/>
        </w:rPr>
        <w:t>recommended</w:t>
      </w:r>
      <w:r w:rsidR="002D5BB0" w:rsidRPr="00222917">
        <w:rPr>
          <w:lang w:val="en-US"/>
        </w:rPr>
        <w:t xml:space="preserve"> that t</w:t>
      </w:r>
      <w:r w:rsidR="002D5BB0" w:rsidRPr="00222917">
        <w:rPr>
          <w:bCs/>
          <w:lang w:val="en-US"/>
        </w:rPr>
        <w:t>he Government assess the effectiveness of the measures taken by it to combat domestic violence</w:t>
      </w:r>
      <w:r w:rsidR="002D5BB0" w:rsidRPr="00222917">
        <w:rPr>
          <w:lang w:val="en-US"/>
        </w:rPr>
        <w:t xml:space="preserve"> (CCPR/C/KOR/CO/3, para.</w:t>
      </w:r>
      <w:r w:rsidR="00881980" w:rsidRPr="00222917">
        <w:rPr>
          <w:lang w:val="en-US"/>
        </w:rPr>
        <w:t> </w:t>
      </w:r>
      <w:r w:rsidR="002D5BB0" w:rsidRPr="00222917">
        <w:rPr>
          <w:lang w:val="en-US"/>
        </w:rPr>
        <w:t xml:space="preserve">11). </w:t>
      </w:r>
    </w:p>
    <w:p w:rsidR="002D5BB0" w:rsidRPr="00222917" w:rsidRDefault="00547908" w:rsidP="00547908">
      <w:pPr>
        <w:pStyle w:val="SingleTxtG"/>
        <w:rPr>
          <w:lang w:val="en-US"/>
        </w:rPr>
      </w:pPr>
      <w:r w:rsidRPr="00222917">
        <w:rPr>
          <w:lang w:val="en-US"/>
        </w:rPr>
        <w:t>85.</w:t>
      </w:r>
      <w:r w:rsidRPr="00222917">
        <w:rPr>
          <w:lang w:val="en-US"/>
        </w:rPr>
        <w:tab/>
      </w:r>
      <w:r w:rsidR="002D5BB0" w:rsidRPr="00222917">
        <w:rPr>
          <w:lang w:val="en-US"/>
        </w:rPr>
        <w:t xml:space="preserve">Contrary to the Committee’s concern, a special act on domestic violence is in place. Enacted in December 1997, </w:t>
      </w:r>
      <w:r w:rsidR="002D5BB0" w:rsidRPr="00C70182">
        <w:rPr>
          <w:iCs/>
          <w:lang w:val="en-US"/>
        </w:rPr>
        <w:t xml:space="preserve">the Act on Special Cases concerning Punishment, etc. of Domestic Violence Crimes </w:t>
      </w:r>
      <w:r w:rsidR="002D5BB0" w:rsidRPr="00222917">
        <w:rPr>
          <w:lang w:val="en-US"/>
        </w:rPr>
        <w:t xml:space="preserve">provides for criminal procedures exceptionally applied to domestic violence cases. It stipulates protective disposition of domestic violence offenders to change their environment and reform their </w:t>
      </w:r>
      <w:r w:rsidR="002D5BB0" w:rsidRPr="00222917">
        <w:rPr>
          <w:bCs/>
          <w:lang w:val="en-US"/>
        </w:rPr>
        <w:t>behavior</w:t>
      </w:r>
      <w:r w:rsidR="002D5BB0" w:rsidRPr="00222917">
        <w:rPr>
          <w:lang w:val="en-US"/>
        </w:rPr>
        <w:t xml:space="preserve">. With the amendment of the Act on 27 January 2005, protective disposition may be arranged even in cases of non-prosecution when the victim withdraws the complaint or expresses intention of not pressing charges </w:t>
      </w:r>
      <w:r w:rsidR="001A2BB2" w:rsidRPr="00222917">
        <w:rPr>
          <w:lang w:val="en-US"/>
        </w:rPr>
        <w:t>(</w:t>
      </w:r>
      <w:r w:rsidR="00681EC0" w:rsidRPr="00222917">
        <w:rPr>
          <w:lang w:val="en-US"/>
        </w:rPr>
        <w:t>a</w:t>
      </w:r>
      <w:r w:rsidR="001A2BB2" w:rsidRPr="00222917">
        <w:rPr>
          <w:lang w:val="en-US"/>
        </w:rPr>
        <w:t>rticle </w:t>
      </w:r>
      <w:r w:rsidR="002D5BB0" w:rsidRPr="00222917">
        <w:rPr>
          <w:lang w:val="en-US"/>
        </w:rPr>
        <w:t>9). In addition, a provision to impose a fine for negligence against a person who fails to comply with protective disposit</w:t>
      </w:r>
      <w:r w:rsidR="001A2BB2" w:rsidRPr="00222917">
        <w:rPr>
          <w:lang w:val="en-US"/>
        </w:rPr>
        <w:t>ion was newly inserted (</w:t>
      </w:r>
      <w:r w:rsidR="00681EC0" w:rsidRPr="00222917">
        <w:rPr>
          <w:lang w:val="en-US"/>
        </w:rPr>
        <w:t>a</w:t>
      </w:r>
      <w:r w:rsidR="001A2BB2" w:rsidRPr="00222917">
        <w:rPr>
          <w:lang w:val="en-US"/>
        </w:rPr>
        <w:t>rticle </w:t>
      </w:r>
      <w:r w:rsidR="002D5BB0" w:rsidRPr="00222917">
        <w:rPr>
          <w:lang w:val="en-US"/>
        </w:rPr>
        <w:t xml:space="preserve">65). </w:t>
      </w:r>
    </w:p>
    <w:p w:rsidR="002D5BB0" w:rsidRPr="00222917" w:rsidRDefault="00547908" w:rsidP="00547908">
      <w:pPr>
        <w:pStyle w:val="SingleTxtG"/>
        <w:rPr>
          <w:lang w:val="en-US"/>
        </w:rPr>
      </w:pPr>
      <w:r w:rsidRPr="00222917">
        <w:rPr>
          <w:lang w:val="en-US"/>
        </w:rPr>
        <w:t>86.</w:t>
      </w:r>
      <w:r w:rsidRPr="00222917">
        <w:rPr>
          <w:lang w:val="en-US"/>
        </w:rPr>
        <w:tab/>
      </w:r>
      <w:r w:rsidR="002D5BB0" w:rsidRPr="00222917">
        <w:rPr>
          <w:lang w:val="en-US"/>
        </w:rPr>
        <w:t>The ratio of prosecution and punishment concerning domestic violence remains low because the protective disposition or prosecution suspension is utilized in consideration of the nature of domestic violence. Protective disposition includes a restraining order for a victim, restrictions on exercise of parental authority, community service order, lecture attendance order, and commissioned treatment, all without punishing an offender. The</w:t>
      </w:r>
      <w:r w:rsidR="001A2BB2" w:rsidRPr="00222917">
        <w:rPr>
          <w:lang w:val="en-US"/>
        </w:rPr>
        <w:t> </w:t>
      </w:r>
      <w:r w:rsidR="002D5BB0" w:rsidRPr="00222917">
        <w:rPr>
          <w:lang w:val="en-US"/>
        </w:rPr>
        <w:t>above</w:t>
      </w:r>
      <w:r w:rsidR="0020568A">
        <w:rPr>
          <w:lang w:val="en-US"/>
        </w:rPr>
        <w:t>-</w:t>
      </w:r>
      <w:r w:rsidR="002D5BB0" w:rsidRPr="00222917">
        <w:rPr>
          <w:lang w:val="en-US"/>
        </w:rPr>
        <w:t xml:space="preserve">mentioned Act stipulates the </w:t>
      </w:r>
      <w:r w:rsidR="002D5BB0" w:rsidRPr="00222917">
        <w:rPr>
          <w:bCs/>
          <w:lang w:val="en-US"/>
        </w:rPr>
        <w:t>opinion</w:t>
      </w:r>
      <w:r w:rsidR="002D5BB0" w:rsidRPr="00222917">
        <w:rPr>
          <w:lang w:val="en-US"/>
        </w:rPr>
        <w:t xml:space="preserve"> of victims shall be respected in arranging protective disposition and most complainants in domestic violence cases prefer admonition and recurrence prevention to punishment. Furthermore, it is generally more effective to undergo family protection proceedings than resorting to criminal prosecution for the purpose of offender treatment and family relations improvement.</w:t>
      </w:r>
      <w:r w:rsidR="00120D8B" w:rsidRPr="00222917">
        <w:rPr>
          <w:lang w:val="en-US"/>
        </w:rPr>
        <w:t xml:space="preserve"> </w:t>
      </w:r>
    </w:p>
    <w:p w:rsidR="002D5BB0" w:rsidRPr="00222917" w:rsidRDefault="00547908" w:rsidP="00547908">
      <w:pPr>
        <w:pStyle w:val="SingleTxtG"/>
        <w:rPr>
          <w:lang w:val="en-US"/>
        </w:rPr>
      </w:pPr>
      <w:r w:rsidRPr="00222917">
        <w:rPr>
          <w:lang w:val="en-US"/>
        </w:rPr>
        <w:t>87.</w:t>
      </w:r>
      <w:r w:rsidRPr="00222917">
        <w:rPr>
          <w:lang w:val="en-US"/>
        </w:rPr>
        <w:tab/>
      </w:r>
      <w:r w:rsidR="002D5BB0" w:rsidRPr="00222917">
        <w:rPr>
          <w:lang w:val="en-US"/>
        </w:rPr>
        <w:t xml:space="preserve">Out of non-prosecution cases, prosecution suspension is implemented when punishment of the offender is deemed inappropriate if the crime is minor; the victim does not want penalization of the offender; and the offender is deeply repentant. In addition, some minor crimes of domestic violence </w:t>
      </w:r>
      <w:r w:rsidR="002D5BB0" w:rsidRPr="00222917">
        <w:rPr>
          <w:bCs/>
          <w:lang w:val="en-US"/>
        </w:rPr>
        <w:t>are</w:t>
      </w:r>
      <w:r w:rsidR="002D5BB0" w:rsidRPr="00222917">
        <w:rPr>
          <w:lang w:val="en-US"/>
        </w:rPr>
        <w:t xml:space="preserve"> not subject to prosecution by law, when the victim does not seek punishment of the offender. Such cases are handled as a non-prosecution case based on the p</w:t>
      </w:r>
      <w:r w:rsidR="001A2BB2" w:rsidRPr="00222917">
        <w:rPr>
          <w:lang w:val="en-US"/>
        </w:rPr>
        <w:t>rinciple of “</w:t>
      </w:r>
      <w:r w:rsidR="002D5BB0" w:rsidRPr="00222917">
        <w:rPr>
          <w:lang w:val="en-US"/>
        </w:rPr>
        <w:t>no power to file pro</w:t>
      </w:r>
      <w:r w:rsidR="001A2BB2" w:rsidRPr="00222917">
        <w:rPr>
          <w:lang w:val="en-US"/>
        </w:rPr>
        <w:t>secution.” On 1 June 2008, the “</w:t>
      </w:r>
      <w:r w:rsidR="002D5BB0" w:rsidRPr="00222917">
        <w:rPr>
          <w:lang w:val="en-US"/>
        </w:rPr>
        <w:t>guideline on prosecution suspension of domestic violence criminals on condition of counseling</w:t>
      </w:r>
      <w:r w:rsidR="001A2BB2" w:rsidRPr="00222917">
        <w:rPr>
          <w:lang w:val="en-US"/>
        </w:rPr>
        <w:t>”</w:t>
      </w:r>
      <w:r w:rsidR="002D5BB0" w:rsidRPr="00222917">
        <w:rPr>
          <w:lang w:val="en-US"/>
        </w:rPr>
        <w:t xml:space="preserve"> was formulated and enforced in order to improve the way of dealing domestic violence cases through reforming offenders’ behavior in parallel with protecting victims. It</w:t>
      </w:r>
      <w:r w:rsidR="001A2BB2" w:rsidRPr="00222917">
        <w:rPr>
          <w:lang w:val="en-US"/>
        </w:rPr>
        <w:t> </w:t>
      </w:r>
      <w:r w:rsidR="002D5BB0" w:rsidRPr="00222917">
        <w:rPr>
          <w:lang w:val="en-US"/>
        </w:rPr>
        <w:t xml:space="preserve">also aims to prevent recurrence of domestic violence and to support recovery of family stability. </w:t>
      </w:r>
    </w:p>
    <w:p w:rsidR="002D5BB0" w:rsidRPr="00222917" w:rsidRDefault="00547908" w:rsidP="00547908">
      <w:pPr>
        <w:pStyle w:val="SingleTxtG"/>
        <w:rPr>
          <w:lang w:val="en-US"/>
        </w:rPr>
      </w:pPr>
      <w:r w:rsidRPr="00222917">
        <w:rPr>
          <w:lang w:val="en-US"/>
        </w:rPr>
        <w:t>88.</w:t>
      </w:r>
      <w:r w:rsidRPr="00222917">
        <w:rPr>
          <w:lang w:val="en-US"/>
        </w:rPr>
        <w:tab/>
      </w:r>
      <w:r w:rsidR="002D5BB0" w:rsidRPr="00222917">
        <w:rPr>
          <w:lang w:val="en-US"/>
        </w:rPr>
        <w:t>There were 577 persons prosecuted for domestic violence in 2010, 11.1% of 5,185</w:t>
      </w:r>
      <w:r w:rsidR="001A2BB2" w:rsidRPr="00222917">
        <w:rPr>
          <w:lang w:val="en-US"/>
        </w:rPr>
        <w:t> </w:t>
      </w:r>
      <w:r w:rsidR="002D5BB0" w:rsidRPr="00222917">
        <w:rPr>
          <w:lang w:val="en-US"/>
        </w:rPr>
        <w:t xml:space="preserve">violators registered with </w:t>
      </w:r>
      <w:r w:rsidR="002D5BB0" w:rsidRPr="00222917">
        <w:rPr>
          <w:bCs/>
          <w:lang w:val="en-US"/>
        </w:rPr>
        <w:t>prosecutors</w:t>
      </w:r>
      <w:r w:rsidR="001A2BB2" w:rsidRPr="00222917">
        <w:rPr>
          <w:lang w:val="en-US"/>
        </w:rPr>
        <w:t>. 1,908 </w:t>
      </w:r>
      <w:r w:rsidR="002D5BB0" w:rsidRPr="00222917">
        <w:rPr>
          <w:lang w:val="en-US"/>
        </w:rPr>
        <w:t xml:space="preserve">persons were sent to family courts when the prosecutor deemed protective dispositions reasonable. The combined ratio of persons prosecuted or sent to family courts accounts for 47.9 % of the total registered cases. </w:t>
      </w:r>
    </w:p>
    <w:p w:rsidR="002D5BB0" w:rsidRPr="00222917" w:rsidRDefault="00087B1C" w:rsidP="00087B1C">
      <w:pPr>
        <w:pStyle w:val="H23G"/>
        <w:rPr>
          <w:b w:val="0"/>
          <w:sz w:val="16"/>
          <w:szCs w:val="16"/>
          <w:lang w:val="en-US"/>
        </w:rPr>
      </w:pPr>
      <w:r w:rsidRPr="00222917">
        <w:rPr>
          <w:lang w:val="en-US"/>
        </w:rPr>
        <w:tab/>
      </w:r>
      <w:r w:rsidRPr="00222917">
        <w:rPr>
          <w:lang w:val="en-US"/>
        </w:rPr>
        <w:tab/>
      </w:r>
      <w:r w:rsidR="002D5BB0" w:rsidRPr="00222917">
        <w:rPr>
          <w:lang w:val="en-US"/>
        </w:rPr>
        <w:t>Domestic Violence Cases handled by the Prosecution</w:t>
      </w:r>
      <w:r w:rsidRPr="00222917">
        <w:rPr>
          <w:lang w:val="en-US"/>
        </w:rPr>
        <w:br/>
      </w:r>
      <w:r w:rsidR="002D5BB0" w:rsidRPr="00222917">
        <w:rPr>
          <w:b w:val="0"/>
          <w:sz w:val="16"/>
          <w:szCs w:val="16"/>
          <w:lang w:val="en-US"/>
        </w:rPr>
        <w:t xml:space="preserve">(Number of persons) </w:t>
      </w:r>
    </w:p>
    <w:tbl>
      <w:tblPr>
        <w:tblW w:w="8505" w:type="dxa"/>
        <w:tblInd w:w="1134" w:type="dxa"/>
        <w:tblBorders>
          <w:top w:val="single" w:sz="4" w:space="0" w:color="auto"/>
        </w:tblBorders>
        <w:tblLayout w:type="fixed"/>
        <w:tblCellMar>
          <w:left w:w="0" w:type="dxa"/>
          <w:right w:w="0" w:type="dxa"/>
        </w:tblCellMar>
        <w:tblLook w:val="0000"/>
      </w:tblPr>
      <w:tblGrid>
        <w:gridCol w:w="398"/>
        <w:gridCol w:w="737"/>
        <w:gridCol w:w="737"/>
        <w:gridCol w:w="737"/>
        <w:gridCol w:w="737"/>
        <w:gridCol w:w="737"/>
        <w:gridCol w:w="737"/>
        <w:gridCol w:w="737"/>
        <w:gridCol w:w="737"/>
        <w:gridCol w:w="737"/>
        <w:gridCol w:w="737"/>
        <w:gridCol w:w="737"/>
      </w:tblGrid>
      <w:tr w:rsidR="00AA22D0" w:rsidRPr="00222917" w:rsidTr="0054076C">
        <w:trPr>
          <w:trHeight w:val="240"/>
          <w:tblHeader/>
        </w:trPr>
        <w:tc>
          <w:tcPr>
            <w:tcW w:w="397" w:type="dxa"/>
            <w:vMerge w:val="restart"/>
            <w:tcBorders>
              <w:top w:val="single" w:sz="4" w:space="0" w:color="auto"/>
              <w:bottom w:val="single" w:sz="12" w:space="0" w:color="auto"/>
            </w:tcBorders>
            <w:shd w:val="clear" w:color="auto" w:fill="auto"/>
            <w:vAlign w:val="bottom"/>
          </w:tcPr>
          <w:p w:rsidR="00AA22D0" w:rsidRPr="00222917" w:rsidRDefault="00AA22D0" w:rsidP="001C6A29">
            <w:pPr>
              <w:suppressAutoHyphens w:val="0"/>
              <w:spacing w:before="80" w:after="80" w:line="180" w:lineRule="exact"/>
              <w:rPr>
                <w:rFonts w:eastAsia="Gulim"/>
                <w:i/>
                <w:sz w:val="14"/>
                <w:szCs w:val="14"/>
                <w:lang w:val="en-US"/>
              </w:rPr>
            </w:pPr>
            <w:r w:rsidRPr="00222917">
              <w:rPr>
                <w:rFonts w:eastAsia="Gulim"/>
                <w:bCs/>
                <w:i/>
                <w:sz w:val="14"/>
                <w:szCs w:val="14"/>
                <w:lang w:val="en-US"/>
              </w:rPr>
              <w:t>Year</w:t>
            </w:r>
          </w:p>
        </w:tc>
        <w:tc>
          <w:tcPr>
            <w:tcW w:w="737" w:type="dxa"/>
            <w:vMerge w:val="restart"/>
            <w:tcBorders>
              <w:top w:val="single" w:sz="4" w:space="0" w:color="auto"/>
              <w:bottom w:val="single" w:sz="12" w:space="0" w:color="auto"/>
            </w:tcBorders>
            <w:shd w:val="clear" w:color="auto" w:fill="auto"/>
            <w:vAlign w:val="bottom"/>
          </w:tcPr>
          <w:p w:rsidR="00AA22D0" w:rsidRPr="00222917" w:rsidRDefault="00AA22D0" w:rsidP="001C6A29">
            <w:pPr>
              <w:suppressAutoHyphens w:val="0"/>
              <w:spacing w:before="80" w:after="80" w:line="180" w:lineRule="exact"/>
              <w:jc w:val="right"/>
              <w:rPr>
                <w:rFonts w:eastAsia="Gulim"/>
                <w:i/>
                <w:sz w:val="14"/>
                <w:szCs w:val="14"/>
                <w:lang w:val="en-US"/>
              </w:rPr>
            </w:pPr>
            <w:r w:rsidRPr="00222917">
              <w:rPr>
                <w:rFonts w:eastAsia="Gulim"/>
                <w:bCs/>
                <w:i/>
                <w:sz w:val="14"/>
                <w:szCs w:val="14"/>
                <w:lang w:val="en-US"/>
              </w:rPr>
              <w:t>Receipt</w:t>
            </w:r>
          </w:p>
        </w:tc>
        <w:tc>
          <w:tcPr>
            <w:tcW w:w="737" w:type="dxa"/>
            <w:vMerge w:val="restart"/>
            <w:tcBorders>
              <w:top w:val="single" w:sz="4" w:space="0" w:color="auto"/>
              <w:bottom w:val="single" w:sz="12" w:space="0" w:color="auto"/>
            </w:tcBorders>
            <w:shd w:val="clear" w:color="auto" w:fill="auto"/>
            <w:vAlign w:val="bottom"/>
          </w:tcPr>
          <w:p w:rsidR="00AA22D0" w:rsidRPr="00222917" w:rsidRDefault="00AA22D0" w:rsidP="001C6A29">
            <w:pPr>
              <w:suppressAutoHyphens w:val="0"/>
              <w:spacing w:before="80" w:after="80" w:line="180" w:lineRule="exact"/>
              <w:jc w:val="right"/>
              <w:rPr>
                <w:rFonts w:eastAsia="Gulim"/>
                <w:b/>
                <w:i/>
                <w:sz w:val="14"/>
                <w:szCs w:val="14"/>
                <w:lang w:val="en-US"/>
              </w:rPr>
            </w:pPr>
            <w:r w:rsidRPr="00222917">
              <w:rPr>
                <w:rFonts w:eastAsia="Gulim"/>
                <w:b/>
                <w:bCs/>
                <w:i/>
                <w:sz w:val="14"/>
                <w:szCs w:val="14"/>
                <w:lang w:val="en-US"/>
              </w:rPr>
              <w:t>Total</w:t>
            </w:r>
          </w:p>
        </w:tc>
        <w:tc>
          <w:tcPr>
            <w:tcW w:w="737" w:type="dxa"/>
            <w:gridSpan w:val="2"/>
            <w:tcBorders>
              <w:top w:val="single" w:sz="4" w:space="0" w:color="auto"/>
              <w:bottom w:val="single" w:sz="4" w:space="0" w:color="000000"/>
              <w:right w:val="single" w:sz="24" w:space="0" w:color="FFFFFF"/>
            </w:tcBorders>
            <w:shd w:val="clear" w:color="auto" w:fill="auto"/>
            <w:vAlign w:val="bottom"/>
          </w:tcPr>
          <w:p w:rsidR="00AA22D0" w:rsidRPr="00222917" w:rsidRDefault="00AA22D0" w:rsidP="00A2410C">
            <w:pPr>
              <w:suppressAutoHyphens w:val="0"/>
              <w:spacing w:before="80" w:after="80" w:line="180" w:lineRule="exact"/>
              <w:jc w:val="center"/>
              <w:rPr>
                <w:rFonts w:eastAsia="Gulim"/>
                <w:i/>
                <w:sz w:val="14"/>
                <w:szCs w:val="14"/>
                <w:lang w:val="en-US"/>
              </w:rPr>
            </w:pPr>
            <w:r w:rsidRPr="00222917">
              <w:rPr>
                <w:rFonts w:eastAsia="Gulim"/>
                <w:bCs/>
                <w:i/>
                <w:sz w:val="14"/>
                <w:szCs w:val="14"/>
                <w:lang w:val="en-US"/>
              </w:rPr>
              <w:t>Prosecution</w:t>
            </w:r>
          </w:p>
        </w:tc>
        <w:tc>
          <w:tcPr>
            <w:tcW w:w="737" w:type="dxa"/>
            <w:gridSpan w:val="5"/>
            <w:tcBorders>
              <w:top w:val="single" w:sz="4" w:space="0" w:color="auto"/>
              <w:left w:val="single" w:sz="24" w:space="0" w:color="FFFFFF"/>
              <w:bottom w:val="single" w:sz="4" w:space="0" w:color="000000"/>
            </w:tcBorders>
            <w:shd w:val="clear" w:color="auto" w:fill="auto"/>
            <w:vAlign w:val="bottom"/>
          </w:tcPr>
          <w:p w:rsidR="00AA22D0" w:rsidRPr="00222917" w:rsidRDefault="00AA22D0" w:rsidP="00A2410C">
            <w:pPr>
              <w:suppressAutoHyphens w:val="0"/>
              <w:spacing w:before="80" w:after="80" w:line="180" w:lineRule="exact"/>
              <w:jc w:val="center"/>
              <w:rPr>
                <w:rFonts w:eastAsia="Gulim"/>
                <w:i/>
                <w:sz w:val="14"/>
                <w:szCs w:val="14"/>
                <w:lang w:val="en-US"/>
              </w:rPr>
            </w:pPr>
            <w:r w:rsidRPr="00222917">
              <w:rPr>
                <w:rFonts w:eastAsia="Gulim"/>
                <w:bCs/>
                <w:i/>
                <w:sz w:val="14"/>
                <w:szCs w:val="14"/>
                <w:lang w:val="en-US"/>
              </w:rPr>
              <w:t>Non-prosecution</w:t>
            </w:r>
          </w:p>
        </w:tc>
        <w:tc>
          <w:tcPr>
            <w:tcW w:w="737" w:type="dxa"/>
            <w:vMerge w:val="restart"/>
            <w:tcBorders>
              <w:top w:val="single" w:sz="4" w:space="0" w:color="auto"/>
              <w:bottom w:val="single" w:sz="12" w:space="0" w:color="auto"/>
            </w:tcBorders>
            <w:shd w:val="clear" w:color="auto" w:fill="auto"/>
            <w:vAlign w:val="bottom"/>
          </w:tcPr>
          <w:p w:rsidR="00AA22D0" w:rsidRPr="00222917" w:rsidRDefault="00171E83" w:rsidP="001C6A29">
            <w:pPr>
              <w:suppressAutoHyphens w:val="0"/>
              <w:spacing w:before="80" w:after="80" w:line="180" w:lineRule="exact"/>
              <w:jc w:val="right"/>
              <w:rPr>
                <w:rFonts w:eastAsia="Gulim"/>
                <w:i/>
                <w:sz w:val="14"/>
                <w:szCs w:val="14"/>
                <w:lang w:val="en-US"/>
              </w:rPr>
            </w:pPr>
            <w:r w:rsidRPr="00222917">
              <w:rPr>
                <w:rFonts w:eastAsia="Gulim"/>
                <w:bCs/>
                <w:i/>
                <w:sz w:val="14"/>
                <w:szCs w:val="14"/>
                <w:lang w:val="en-US"/>
              </w:rPr>
              <w:t>Sent</w:t>
            </w:r>
            <w:r w:rsidRPr="00222917">
              <w:rPr>
                <w:rFonts w:eastAsia="Gulim"/>
                <w:bCs/>
                <w:i/>
                <w:sz w:val="14"/>
                <w:szCs w:val="14"/>
                <w:lang w:val="en-US"/>
              </w:rPr>
              <w:br/>
            </w:r>
            <w:r w:rsidR="00AA22D0" w:rsidRPr="00222917">
              <w:rPr>
                <w:rFonts w:eastAsia="Gulim"/>
                <w:bCs/>
                <w:i/>
                <w:sz w:val="14"/>
                <w:szCs w:val="14"/>
                <w:lang w:val="en-US"/>
              </w:rPr>
              <w:t>to family courts for protective disposition</w:t>
            </w:r>
          </w:p>
        </w:tc>
        <w:tc>
          <w:tcPr>
            <w:tcW w:w="737" w:type="dxa"/>
            <w:vMerge w:val="restart"/>
            <w:tcBorders>
              <w:top w:val="single" w:sz="4" w:space="0" w:color="auto"/>
              <w:bottom w:val="single" w:sz="12" w:space="0" w:color="auto"/>
            </w:tcBorders>
            <w:shd w:val="clear" w:color="auto" w:fill="auto"/>
            <w:vAlign w:val="bottom"/>
          </w:tcPr>
          <w:p w:rsidR="00AA22D0" w:rsidRPr="00222917" w:rsidRDefault="00AA22D0" w:rsidP="001C6A29">
            <w:pPr>
              <w:suppressAutoHyphens w:val="0"/>
              <w:spacing w:before="80" w:after="80" w:line="180" w:lineRule="exact"/>
              <w:jc w:val="right"/>
              <w:rPr>
                <w:rFonts w:eastAsia="Gulim"/>
                <w:i/>
                <w:sz w:val="14"/>
                <w:szCs w:val="14"/>
                <w:lang w:val="en-US"/>
              </w:rPr>
            </w:pPr>
            <w:r w:rsidRPr="00222917">
              <w:rPr>
                <w:rFonts w:eastAsia="Gulim"/>
                <w:bCs/>
                <w:i/>
                <w:sz w:val="14"/>
                <w:szCs w:val="14"/>
                <w:lang w:val="en-US"/>
              </w:rPr>
              <w:t>Others</w:t>
            </w:r>
          </w:p>
        </w:tc>
      </w:tr>
      <w:tr w:rsidR="00AA22D0" w:rsidRPr="00222917" w:rsidTr="0054076C">
        <w:trPr>
          <w:trHeight w:val="240"/>
          <w:tblHeader/>
        </w:trPr>
        <w:tc>
          <w:tcPr>
            <w:tcW w:w="397" w:type="dxa"/>
            <w:vMerge/>
            <w:tcBorders>
              <w:top w:val="single" w:sz="12" w:space="0" w:color="auto"/>
              <w:bottom w:val="single" w:sz="12" w:space="0" w:color="000000"/>
            </w:tcBorders>
            <w:shd w:val="clear" w:color="auto" w:fill="auto"/>
            <w:vAlign w:val="bottom"/>
          </w:tcPr>
          <w:p w:rsidR="00AA22D0" w:rsidRPr="00222917" w:rsidRDefault="00AA22D0" w:rsidP="001C6A29">
            <w:pPr>
              <w:suppressAutoHyphens w:val="0"/>
              <w:spacing w:before="80" w:after="80" w:line="180" w:lineRule="exact"/>
              <w:rPr>
                <w:rFonts w:eastAsia="Gulim"/>
                <w:i/>
                <w:sz w:val="14"/>
                <w:szCs w:val="14"/>
                <w:lang w:val="en-US"/>
              </w:rPr>
            </w:pPr>
          </w:p>
        </w:tc>
        <w:tc>
          <w:tcPr>
            <w:tcW w:w="737" w:type="dxa"/>
            <w:vMerge/>
            <w:tcBorders>
              <w:top w:val="single" w:sz="12" w:space="0" w:color="auto"/>
              <w:bottom w:val="single" w:sz="12" w:space="0" w:color="000000"/>
            </w:tcBorders>
            <w:shd w:val="clear" w:color="auto" w:fill="auto"/>
            <w:vAlign w:val="bottom"/>
          </w:tcPr>
          <w:p w:rsidR="00AA22D0" w:rsidRPr="00222917" w:rsidRDefault="00AA22D0" w:rsidP="001C6A29">
            <w:pPr>
              <w:suppressAutoHyphens w:val="0"/>
              <w:spacing w:before="80" w:after="80" w:line="180" w:lineRule="exact"/>
              <w:jc w:val="right"/>
              <w:rPr>
                <w:rFonts w:eastAsia="Gulim"/>
                <w:i/>
                <w:sz w:val="14"/>
                <w:szCs w:val="14"/>
                <w:lang w:val="en-US"/>
              </w:rPr>
            </w:pPr>
          </w:p>
        </w:tc>
        <w:tc>
          <w:tcPr>
            <w:tcW w:w="737" w:type="dxa"/>
            <w:vMerge/>
            <w:tcBorders>
              <w:top w:val="single" w:sz="12" w:space="0" w:color="auto"/>
              <w:bottom w:val="single" w:sz="12" w:space="0" w:color="000000"/>
            </w:tcBorders>
            <w:shd w:val="clear" w:color="auto" w:fill="auto"/>
            <w:vAlign w:val="bottom"/>
          </w:tcPr>
          <w:p w:rsidR="00AA22D0" w:rsidRPr="00222917" w:rsidRDefault="00AA22D0" w:rsidP="001C6A29">
            <w:pPr>
              <w:suppressAutoHyphens w:val="0"/>
              <w:spacing w:before="80" w:after="80" w:line="180" w:lineRule="exact"/>
              <w:jc w:val="right"/>
              <w:rPr>
                <w:rFonts w:eastAsia="Gulim"/>
                <w:b/>
                <w:i/>
                <w:sz w:val="14"/>
                <w:szCs w:val="14"/>
                <w:lang w:val="en-US"/>
              </w:rPr>
            </w:pPr>
          </w:p>
        </w:tc>
        <w:tc>
          <w:tcPr>
            <w:tcW w:w="737" w:type="dxa"/>
            <w:tcBorders>
              <w:top w:val="single" w:sz="4" w:space="0" w:color="000000"/>
              <w:bottom w:val="single" w:sz="12" w:space="0" w:color="000000"/>
            </w:tcBorders>
            <w:shd w:val="clear" w:color="auto" w:fill="auto"/>
            <w:vAlign w:val="bottom"/>
          </w:tcPr>
          <w:p w:rsidR="00AA22D0" w:rsidRPr="00222917" w:rsidRDefault="00171E83" w:rsidP="001C6A29">
            <w:pPr>
              <w:suppressAutoHyphens w:val="0"/>
              <w:spacing w:before="80" w:after="80" w:line="180" w:lineRule="exact"/>
              <w:jc w:val="right"/>
              <w:rPr>
                <w:rFonts w:eastAsia="Gulim"/>
                <w:i/>
                <w:sz w:val="14"/>
                <w:szCs w:val="14"/>
                <w:lang w:val="en-US"/>
              </w:rPr>
            </w:pPr>
            <w:r w:rsidRPr="00222917">
              <w:rPr>
                <w:rFonts w:eastAsia="Gulim"/>
                <w:bCs/>
                <w:i/>
                <w:sz w:val="14"/>
                <w:szCs w:val="14"/>
                <w:lang w:val="en-US"/>
              </w:rPr>
              <w:t>T</w:t>
            </w:r>
            <w:r w:rsidR="00AA22D0" w:rsidRPr="00222917">
              <w:rPr>
                <w:rFonts w:eastAsia="Gulim"/>
                <w:bCs/>
                <w:i/>
                <w:sz w:val="14"/>
                <w:szCs w:val="14"/>
                <w:lang w:val="en-US"/>
              </w:rPr>
              <w:t>rial</w:t>
            </w:r>
          </w:p>
        </w:tc>
        <w:tc>
          <w:tcPr>
            <w:tcW w:w="737" w:type="dxa"/>
            <w:tcBorders>
              <w:top w:val="single" w:sz="4" w:space="0" w:color="000000"/>
              <w:bottom w:val="single" w:sz="12" w:space="0" w:color="000000"/>
              <w:right w:val="single" w:sz="24" w:space="0" w:color="FFFFFF"/>
            </w:tcBorders>
            <w:shd w:val="clear" w:color="auto" w:fill="auto"/>
            <w:vAlign w:val="bottom"/>
          </w:tcPr>
          <w:p w:rsidR="00AA22D0" w:rsidRPr="00222917" w:rsidRDefault="00AA22D0" w:rsidP="001C6A29">
            <w:pPr>
              <w:suppressAutoHyphens w:val="0"/>
              <w:spacing w:before="80" w:after="80" w:line="180" w:lineRule="exact"/>
              <w:jc w:val="right"/>
              <w:rPr>
                <w:rFonts w:eastAsia="Gulim"/>
                <w:i/>
                <w:sz w:val="14"/>
                <w:szCs w:val="14"/>
                <w:lang w:val="en-US"/>
              </w:rPr>
            </w:pPr>
            <w:r w:rsidRPr="00222917">
              <w:rPr>
                <w:rFonts w:eastAsia="Gulim"/>
                <w:bCs/>
                <w:i/>
                <w:sz w:val="14"/>
                <w:szCs w:val="14"/>
                <w:lang w:val="en-US"/>
              </w:rPr>
              <w:t>Summary prosecution</w:t>
            </w:r>
          </w:p>
        </w:tc>
        <w:tc>
          <w:tcPr>
            <w:tcW w:w="737" w:type="dxa"/>
            <w:tcBorders>
              <w:top w:val="single" w:sz="4" w:space="0" w:color="000000"/>
              <w:left w:val="single" w:sz="24" w:space="0" w:color="FFFFFF"/>
              <w:bottom w:val="single" w:sz="12" w:space="0" w:color="000000"/>
            </w:tcBorders>
            <w:shd w:val="clear" w:color="auto" w:fill="auto"/>
            <w:vAlign w:val="bottom"/>
          </w:tcPr>
          <w:p w:rsidR="00AA22D0" w:rsidRPr="00222917" w:rsidRDefault="00A2410C" w:rsidP="001C6A29">
            <w:pPr>
              <w:suppressAutoHyphens w:val="0"/>
              <w:spacing w:before="80" w:after="80" w:line="180" w:lineRule="exact"/>
              <w:jc w:val="right"/>
              <w:rPr>
                <w:rFonts w:eastAsia="Gulim"/>
                <w:i/>
                <w:sz w:val="14"/>
                <w:szCs w:val="14"/>
                <w:lang w:val="en-US"/>
              </w:rPr>
            </w:pPr>
            <w:r w:rsidRPr="00222917">
              <w:rPr>
                <w:rFonts w:eastAsia="Gulim"/>
                <w:bCs/>
                <w:i/>
                <w:sz w:val="14"/>
                <w:szCs w:val="14"/>
                <w:lang w:val="en-US"/>
              </w:rPr>
              <w:t>Cleared</w:t>
            </w:r>
            <w:r w:rsidRPr="00222917">
              <w:rPr>
                <w:rFonts w:eastAsia="Gulim"/>
                <w:bCs/>
                <w:i/>
                <w:sz w:val="14"/>
                <w:szCs w:val="14"/>
                <w:lang w:val="en-US"/>
              </w:rPr>
              <w:br/>
            </w:r>
            <w:r w:rsidR="00AA22D0" w:rsidRPr="00222917">
              <w:rPr>
                <w:rFonts w:eastAsia="Gulim"/>
                <w:bCs/>
                <w:i/>
                <w:sz w:val="14"/>
                <w:szCs w:val="14"/>
                <w:lang w:val="en-US"/>
              </w:rPr>
              <w:t>of suspicion</w:t>
            </w:r>
          </w:p>
        </w:tc>
        <w:tc>
          <w:tcPr>
            <w:tcW w:w="737" w:type="dxa"/>
            <w:tcBorders>
              <w:top w:val="single" w:sz="4" w:space="0" w:color="000000"/>
              <w:bottom w:val="single" w:sz="12" w:space="0" w:color="000000"/>
            </w:tcBorders>
            <w:shd w:val="clear" w:color="auto" w:fill="auto"/>
            <w:vAlign w:val="bottom"/>
          </w:tcPr>
          <w:p w:rsidR="00AA22D0" w:rsidRPr="00222917" w:rsidRDefault="00AA22D0" w:rsidP="001C6A29">
            <w:pPr>
              <w:suppressAutoHyphens w:val="0"/>
              <w:spacing w:before="80" w:after="80" w:line="180" w:lineRule="exact"/>
              <w:jc w:val="right"/>
              <w:rPr>
                <w:rFonts w:eastAsia="Gulim"/>
                <w:i/>
                <w:sz w:val="14"/>
                <w:szCs w:val="14"/>
                <w:lang w:val="en-US"/>
              </w:rPr>
            </w:pPr>
            <w:r w:rsidRPr="00222917">
              <w:rPr>
                <w:rFonts w:eastAsia="Gulim"/>
                <w:bCs/>
                <w:i/>
                <w:sz w:val="14"/>
                <w:szCs w:val="14"/>
                <w:lang w:val="en-US"/>
              </w:rPr>
              <w:t>Prosecution suspension</w:t>
            </w:r>
          </w:p>
        </w:tc>
        <w:tc>
          <w:tcPr>
            <w:tcW w:w="737" w:type="dxa"/>
            <w:tcBorders>
              <w:top w:val="single" w:sz="4" w:space="0" w:color="000000"/>
              <w:bottom w:val="single" w:sz="12" w:space="0" w:color="000000"/>
            </w:tcBorders>
            <w:shd w:val="clear" w:color="auto" w:fill="auto"/>
            <w:vAlign w:val="bottom"/>
          </w:tcPr>
          <w:p w:rsidR="00AA22D0" w:rsidRPr="00222917" w:rsidRDefault="00AA22D0" w:rsidP="001C6A29">
            <w:pPr>
              <w:suppressAutoHyphens w:val="0"/>
              <w:spacing w:before="80" w:after="80" w:line="180" w:lineRule="exact"/>
              <w:jc w:val="right"/>
              <w:rPr>
                <w:rFonts w:eastAsia="Gulim"/>
                <w:i/>
                <w:sz w:val="14"/>
                <w:szCs w:val="14"/>
                <w:lang w:val="en-US"/>
              </w:rPr>
            </w:pPr>
            <w:r w:rsidRPr="00222917">
              <w:rPr>
                <w:rFonts w:eastAsia="Gulim"/>
                <w:bCs/>
                <w:i/>
                <w:sz w:val="14"/>
                <w:szCs w:val="14"/>
                <w:lang w:val="en-US"/>
              </w:rPr>
              <w:t>Non-</w:t>
            </w:r>
            <w:r w:rsidR="00A2410C" w:rsidRPr="00222917">
              <w:rPr>
                <w:rFonts w:eastAsia="Gulim"/>
                <w:bCs/>
                <w:i/>
                <w:sz w:val="14"/>
                <w:szCs w:val="14"/>
                <w:lang w:val="en-US"/>
              </w:rPr>
              <w:br/>
            </w:r>
            <w:r w:rsidRPr="00222917">
              <w:rPr>
                <w:rFonts w:eastAsia="Gulim"/>
                <w:bCs/>
                <w:i/>
                <w:sz w:val="14"/>
                <w:szCs w:val="14"/>
                <w:lang w:val="en-US"/>
              </w:rPr>
              <w:t>crime</w:t>
            </w:r>
          </w:p>
        </w:tc>
        <w:tc>
          <w:tcPr>
            <w:tcW w:w="737" w:type="dxa"/>
            <w:tcBorders>
              <w:top w:val="single" w:sz="4" w:space="0" w:color="000000"/>
              <w:bottom w:val="single" w:sz="12" w:space="0" w:color="000000"/>
            </w:tcBorders>
            <w:shd w:val="clear" w:color="auto" w:fill="auto"/>
            <w:vAlign w:val="bottom"/>
          </w:tcPr>
          <w:p w:rsidR="00AA22D0" w:rsidRPr="00222917" w:rsidRDefault="00AA22D0" w:rsidP="00171E83">
            <w:pPr>
              <w:suppressAutoHyphens w:val="0"/>
              <w:spacing w:before="80" w:after="80" w:line="180" w:lineRule="exact"/>
              <w:jc w:val="right"/>
              <w:rPr>
                <w:rFonts w:eastAsia="Gulim"/>
                <w:i/>
                <w:sz w:val="14"/>
                <w:szCs w:val="14"/>
                <w:lang w:val="en-US"/>
              </w:rPr>
            </w:pPr>
            <w:r w:rsidRPr="00222917">
              <w:rPr>
                <w:rFonts w:eastAsia="Gulim"/>
                <w:bCs/>
                <w:i/>
                <w:sz w:val="14"/>
                <w:szCs w:val="14"/>
                <w:lang w:val="en-US"/>
              </w:rPr>
              <w:t>No power</w:t>
            </w:r>
            <w:r w:rsidR="00171E83" w:rsidRPr="00222917">
              <w:rPr>
                <w:rFonts w:eastAsia="Gulim"/>
                <w:bCs/>
                <w:i/>
                <w:sz w:val="14"/>
                <w:szCs w:val="14"/>
                <w:lang w:val="en-US"/>
              </w:rPr>
              <w:br/>
            </w:r>
            <w:r w:rsidRPr="00222917">
              <w:rPr>
                <w:rFonts w:eastAsia="Gulim"/>
                <w:bCs/>
                <w:i/>
                <w:sz w:val="14"/>
                <w:szCs w:val="14"/>
                <w:lang w:val="en-US"/>
              </w:rPr>
              <w:t>to file prosecution</w:t>
            </w:r>
          </w:p>
        </w:tc>
        <w:tc>
          <w:tcPr>
            <w:tcW w:w="737" w:type="dxa"/>
            <w:tcBorders>
              <w:top w:val="single" w:sz="4" w:space="0" w:color="000000"/>
              <w:bottom w:val="single" w:sz="12" w:space="0" w:color="000000"/>
            </w:tcBorders>
            <w:shd w:val="clear" w:color="auto" w:fill="auto"/>
            <w:vAlign w:val="bottom"/>
          </w:tcPr>
          <w:p w:rsidR="00AA22D0" w:rsidRPr="00222917" w:rsidRDefault="00AA22D0" w:rsidP="001C6A29">
            <w:pPr>
              <w:suppressAutoHyphens w:val="0"/>
              <w:spacing w:before="80" w:after="80" w:line="180" w:lineRule="exact"/>
              <w:jc w:val="right"/>
              <w:rPr>
                <w:rFonts w:eastAsia="Gulim"/>
                <w:i/>
                <w:sz w:val="14"/>
                <w:szCs w:val="14"/>
                <w:lang w:val="en-US"/>
              </w:rPr>
            </w:pPr>
            <w:r w:rsidRPr="00222917">
              <w:rPr>
                <w:rFonts w:eastAsia="Gulim"/>
                <w:bCs/>
                <w:i/>
                <w:sz w:val="14"/>
                <w:szCs w:val="14"/>
                <w:lang w:val="en-US"/>
              </w:rPr>
              <w:t>Case dismissed</w:t>
            </w:r>
          </w:p>
        </w:tc>
        <w:tc>
          <w:tcPr>
            <w:tcW w:w="737" w:type="dxa"/>
            <w:vMerge/>
            <w:tcBorders>
              <w:top w:val="single" w:sz="12" w:space="0" w:color="auto"/>
              <w:bottom w:val="single" w:sz="12" w:space="0" w:color="000000"/>
            </w:tcBorders>
            <w:shd w:val="clear" w:color="auto" w:fill="auto"/>
            <w:vAlign w:val="bottom"/>
          </w:tcPr>
          <w:p w:rsidR="00AA22D0" w:rsidRPr="00222917" w:rsidRDefault="00AA22D0" w:rsidP="001C6A29">
            <w:pPr>
              <w:suppressAutoHyphens w:val="0"/>
              <w:spacing w:before="80" w:after="80" w:line="180" w:lineRule="exact"/>
              <w:jc w:val="right"/>
              <w:rPr>
                <w:rFonts w:eastAsia="Gulim"/>
                <w:i/>
                <w:sz w:val="14"/>
                <w:szCs w:val="14"/>
                <w:lang w:val="en-US"/>
              </w:rPr>
            </w:pPr>
          </w:p>
        </w:tc>
        <w:tc>
          <w:tcPr>
            <w:tcW w:w="737" w:type="dxa"/>
            <w:vMerge/>
            <w:tcBorders>
              <w:top w:val="single" w:sz="12" w:space="0" w:color="auto"/>
              <w:bottom w:val="single" w:sz="12" w:space="0" w:color="000000"/>
            </w:tcBorders>
            <w:shd w:val="clear" w:color="auto" w:fill="auto"/>
            <w:vAlign w:val="bottom"/>
          </w:tcPr>
          <w:p w:rsidR="00AA22D0" w:rsidRPr="00222917" w:rsidRDefault="00AA22D0" w:rsidP="001C6A29">
            <w:pPr>
              <w:suppressAutoHyphens w:val="0"/>
              <w:spacing w:before="80" w:after="80" w:line="180" w:lineRule="exact"/>
              <w:jc w:val="right"/>
              <w:rPr>
                <w:rFonts w:eastAsia="Gulim"/>
                <w:i/>
                <w:sz w:val="14"/>
                <w:szCs w:val="14"/>
                <w:lang w:val="en-US"/>
              </w:rPr>
            </w:pPr>
          </w:p>
        </w:tc>
      </w:tr>
      <w:tr w:rsidR="00AA22D0" w:rsidRPr="00222917" w:rsidTr="0054076C">
        <w:trPr>
          <w:trHeight w:val="240"/>
        </w:trPr>
        <w:tc>
          <w:tcPr>
            <w:tcW w:w="397" w:type="dxa"/>
            <w:tcBorders>
              <w:top w:val="single" w:sz="12" w:space="0" w:color="000000"/>
            </w:tcBorders>
            <w:shd w:val="clear" w:color="auto" w:fill="auto"/>
          </w:tcPr>
          <w:p w:rsidR="00AA22D0" w:rsidRPr="00222917" w:rsidRDefault="00AA22D0" w:rsidP="001C6A29">
            <w:pPr>
              <w:suppressAutoHyphens w:val="0"/>
              <w:spacing w:before="40" w:after="40" w:line="200" w:lineRule="exact"/>
              <w:rPr>
                <w:rFonts w:eastAsia="Gulim"/>
                <w:sz w:val="16"/>
                <w:szCs w:val="16"/>
                <w:lang w:val="en-US"/>
              </w:rPr>
            </w:pPr>
            <w:r w:rsidRPr="00222917">
              <w:rPr>
                <w:rFonts w:eastAsia="Gulim"/>
                <w:sz w:val="16"/>
                <w:szCs w:val="16"/>
                <w:lang w:val="en-US"/>
              </w:rPr>
              <w:t>2004</w:t>
            </w:r>
          </w:p>
        </w:tc>
        <w:tc>
          <w:tcPr>
            <w:tcW w:w="737" w:type="dxa"/>
            <w:tcBorders>
              <w:top w:val="single" w:sz="12" w:space="0" w:color="000000"/>
            </w:tcBorders>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17,298</w:t>
            </w:r>
          </w:p>
        </w:tc>
        <w:tc>
          <w:tcPr>
            <w:tcW w:w="737" w:type="dxa"/>
            <w:tcBorders>
              <w:top w:val="single" w:sz="12" w:space="0" w:color="000000"/>
            </w:tcBorders>
            <w:shd w:val="clear" w:color="auto" w:fill="auto"/>
            <w:vAlign w:val="bottom"/>
          </w:tcPr>
          <w:p w:rsidR="00AA22D0" w:rsidRPr="00222917" w:rsidRDefault="00AA22D0" w:rsidP="001C6A29">
            <w:pPr>
              <w:suppressAutoHyphens w:val="0"/>
              <w:spacing w:before="40" w:after="40" w:line="200" w:lineRule="exact"/>
              <w:jc w:val="right"/>
              <w:rPr>
                <w:rFonts w:eastAsia="Gulim"/>
                <w:b/>
                <w:sz w:val="16"/>
                <w:szCs w:val="16"/>
                <w:lang w:val="en-US"/>
              </w:rPr>
            </w:pPr>
            <w:r w:rsidRPr="00222917">
              <w:rPr>
                <w:rFonts w:eastAsia="Gulim"/>
                <w:b/>
                <w:sz w:val="16"/>
                <w:szCs w:val="16"/>
                <w:lang w:val="en-US"/>
              </w:rPr>
              <w:t>17,294</w:t>
            </w:r>
          </w:p>
        </w:tc>
        <w:tc>
          <w:tcPr>
            <w:tcW w:w="737" w:type="dxa"/>
            <w:tcBorders>
              <w:top w:val="single" w:sz="12" w:space="0" w:color="000000"/>
            </w:tcBorders>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463</w:t>
            </w:r>
          </w:p>
        </w:tc>
        <w:tc>
          <w:tcPr>
            <w:tcW w:w="737" w:type="dxa"/>
            <w:tcBorders>
              <w:top w:val="single" w:sz="12" w:space="0" w:color="000000"/>
            </w:tcBorders>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1,966</w:t>
            </w:r>
          </w:p>
        </w:tc>
        <w:tc>
          <w:tcPr>
            <w:tcW w:w="737" w:type="dxa"/>
            <w:tcBorders>
              <w:top w:val="single" w:sz="12" w:space="0" w:color="000000"/>
            </w:tcBorders>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245</w:t>
            </w:r>
          </w:p>
        </w:tc>
        <w:tc>
          <w:tcPr>
            <w:tcW w:w="737" w:type="dxa"/>
            <w:tcBorders>
              <w:top w:val="single" w:sz="12" w:space="0" w:color="000000"/>
            </w:tcBorders>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4,756</w:t>
            </w:r>
          </w:p>
        </w:tc>
        <w:tc>
          <w:tcPr>
            <w:tcW w:w="737" w:type="dxa"/>
            <w:tcBorders>
              <w:top w:val="single" w:sz="12" w:space="0" w:color="000000"/>
            </w:tcBorders>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16</w:t>
            </w:r>
          </w:p>
        </w:tc>
        <w:tc>
          <w:tcPr>
            <w:tcW w:w="737" w:type="dxa"/>
            <w:tcBorders>
              <w:top w:val="single" w:sz="12" w:space="0" w:color="000000"/>
            </w:tcBorders>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4,294</w:t>
            </w:r>
          </w:p>
        </w:tc>
        <w:tc>
          <w:tcPr>
            <w:tcW w:w="737" w:type="dxa"/>
            <w:tcBorders>
              <w:top w:val="single" w:sz="12" w:space="0" w:color="000000"/>
            </w:tcBorders>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83</w:t>
            </w:r>
          </w:p>
        </w:tc>
        <w:tc>
          <w:tcPr>
            <w:tcW w:w="737" w:type="dxa"/>
            <w:tcBorders>
              <w:top w:val="single" w:sz="12" w:space="0" w:color="000000"/>
            </w:tcBorders>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5,218</w:t>
            </w:r>
          </w:p>
        </w:tc>
        <w:tc>
          <w:tcPr>
            <w:tcW w:w="737" w:type="dxa"/>
            <w:tcBorders>
              <w:top w:val="single" w:sz="12" w:space="0" w:color="000000"/>
            </w:tcBorders>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253</w:t>
            </w:r>
          </w:p>
        </w:tc>
      </w:tr>
      <w:tr w:rsidR="00AA22D0" w:rsidRPr="00222917" w:rsidTr="00920219">
        <w:trPr>
          <w:trHeight w:val="240"/>
        </w:trPr>
        <w:tc>
          <w:tcPr>
            <w:tcW w:w="397" w:type="dxa"/>
            <w:shd w:val="clear" w:color="auto" w:fill="auto"/>
          </w:tcPr>
          <w:p w:rsidR="00AA22D0" w:rsidRPr="00222917" w:rsidRDefault="00AA22D0" w:rsidP="001C6A29">
            <w:pPr>
              <w:suppressAutoHyphens w:val="0"/>
              <w:spacing w:before="40" w:after="40" w:line="200" w:lineRule="exact"/>
              <w:rPr>
                <w:rFonts w:eastAsia="Gulim"/>
                <w:sz w:val="16"/>
                <w:szCs w:val="16"/>
                <w:lang w:val="en-US"/>
              </w:rPr>
            </w:pPr>
            <w:r w:rsidRPr="00222917">
              <w:rPr>
                <w:rFonts w:eastAsia="Gulim"/>
                <w:sz w:val="16"/>
                <w:szCs w:val="16"/>
                <w:lang w:val="en-US"/>
              </w:rPr>
              <w:t>2005</w:t>
            </w:r>
          </w:p>
        </w:tc>
        <w:tc>
          <w:tcPr>
            <w:tcW w:w="737" w:type="dxa"/>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15,454</w:t>
            </w:r>
          </w:p>
        </w:tc>
        <w:tc>
          <w:tcPr>
            <w:tcW w:w="737" w:type="dxa"/>
            <w:shd w:val="clear" w:color="auto" w:fill="auto"/>
            <w:vAlign w:val="bottom"/>
          </w:tcPr>
          <w:p w:rsidR="00AA22D0" w:rsidRPr="00222917" w:rsidRDefault="00AA22D0" w:rsidP="001C6A29">
            <w:pPr>
              <w:suppressAutoHyphens w:val="0"/>
              <w:spacing w:before="40" w:after="40" w:line="200" w:lineRule="exact"/>
              <w:jc w:val="right"/>
              <w:rPr>
                <w:rFonts w:eastAsia="Gulim"/>
                <w:b/>
                <w:sz w:val="16"/>
                <w:szCs w:val="16"/>
                <w:lang w:val="en-US"/>
              </w:rPr>
            </w:pPr>
            <w:r w:rsidRPr="00222917">
              <w:rPr>
                <w:rFonts w:eastAsia="Gulim"/>
                <w:b/>
                <w:sz w:val="16"/>
                <w:szCs w:val="16"/>
                <w:lang w:val="en-US"/>
              </w:rPr>
              <w:t>15,498</w:t>
            </w:r>
          </w:p>
        </w:tc>
        <w:tc>
          <w:tcPr>
            <w:tcW w:w="737" w:type="dxa"/>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361</w:t>
            </w:r>
          </w:p>
        </w:tc>
        <w:tc>
          <w:tcPr>
            <w:tcW w:w="737" w:type="dxa"/>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1,800</w:t>
            </w:r>
          </w:p>
        </w:tc>
        <w:tc>
          <w:tcPr>
            <w:tcW w:w="737" w:type="dxa"/>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277</w:t>
            </w:r>
          </w:p>
        </w:tc>
        <w:tc>
          <w:tcPr>
            <w:tcW w:w="737" w:type="dxa"/>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4,368</w:t>
            </w:r>
          </w:p>
        </w:tc>
        <w:tc>
          <w:tcPr>
            <w:tcW w:w="737" w:type="dxa"/>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12</w:t>
            </w:r>
          </w:p>
        </w:tc>
        <w:tc>
          <w:tcPr>
            <w:tcW w:w="737" w:type="dxa"/>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4,006</w:t>
            </w:r>
          </w:p>
        </w:tc>
        <w:tc>
          <w:tcPr>
            <w:tcW w:w="737" w:type="dxa"/>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49</w:t>
            </w:r>
          </w:p>
        </w:tc>
        <w:tc>
          <w:tcPr>
            <w:tcW w:w="737" w:type="dxa"/>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4,475</w:t>
            </w:r>
          </w:p>
        </w:tc>
        <w:tc>
          <w:tcPr>
            <w:tcW w:w="737" w:type="dxa"/>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150</w:t>
            </w:r>
          </w:p>
        </w:tc>
      </w:tr>
      <w:tr w:rsidR="00AA22D0" w:rsidRPr="00222917" w:rsidTr="00920219">
        <w:trPr>
          <w:trHeight w:val="240"/>
        </w:trPr>
        <w:tc>
          <w:tcPr>
            <w:tcW w:w="397" w:type="dxa"/>
            <w:shd w:val="clear" w:color="auto" w:fill="auto"/>
          </w:tcPr>
          <w:p w:rsidR="00AA22D0" w:rsidRPr="00222917" w:rsidRDefault="00AA22D0" w:rsidP="001C6A29">
            <w:pPr>
              <w:suppressAutoHyphens w:val="0"/>
              <w:spacing w:before="40" w:after="40" w:line="200" w:lineRule="exact"/>
              <w:rPr>
                <w:rFonts w:eastAsia="Gulim"/>
                <w:sz w:val="16"/>
                <w:szCs w:val="16"/>
                <w:lang w:val="en-US"/>
              </w:rPr>
            </w:pPr>
            <w:r w:rsidRPr="00222917">
              <w:rPr>
                <w:rFonts w:eastAsia="Gulim"/>
                <w:sz w:val="16"/>
                <w:szCs w:val="16"/>
                <w:lang w:val="en-US"/>
              </w:rPr>
              <w:t>2006</w:t>
            </w:r>
          </w:p>
        </w:tc>
        <w:tc>
          <w:tcPr>
            <w:tcW w:w="737" w:type="dxa"/>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13,507</w:t>
            </w:r>
          </w:p>
        </w:tc>
        <w:tc>
          <w:tcPr>
            <w:tcW w:w="737" w:type="dxa"/>
            <w:shd w:val="clear" w:color="auto" w:fill="auto"/>
            <w:vAlign w:val="bottom"/>
          </w:tcPr>
          <w:p w:rsidR="00AA22D0" w:rsidRPr="00222917" w:rsidRDefault="00AA22D0" w:rsidP="001C6A29">
            <w:pPr>
              <w:suppressAutoHyphens w:val="0"/>
              <w:spacing w:before="40" w:after="40" w:line="200" w:lineRule="exact"/>
              <w:jc w:val="right"/>
              <w:rPr>
                <w:rFonts w:eastAsia="Gulim"/>
                <w:b/>
                <w:sz w:val="16"/>
                <w:szCs w:val="16"/>
                <w:lang w:val="en-US"/>
              </w:rPr>
            </w:pPr>
            <w:r w:rsidRPr="00222917">
              <w:rPr>
                <w:rFonts w:eastAsia="Gulim"/>
                <w:b/>
                <w:sz w:val="16"/>
                <w:szCs w:val="16"/>
                <w:lang w:val="en-US"/>
              </w:rPr>
              <w:t>13,531</w:t>
            </w:r>
          </w:p>
        </w:tc>
        <w:tc>
          <w:tcPr>
            <w:tcW w:w="737" w:type="dxa"/>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315</w:t>
            </w:r>
          </w:p>
        </w:tc>
        <w:tc>
          <w:tcPr>
            <w:tcW w:w="737" w:type="dxa"/>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1,657</w:t>
            </w:r>
          </w:p>
        </w:tc>
        <w:tc>
          <w:tcPr>
            <w:tcW w:w="737" w:type="dxa"/>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279</w:t>
            </w:r>
          </w:p>
        </w:tc>
        <w:tc>
          <w:tcPr>
            <w:tcW w:w="737" w:type="dxa"/>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3,449</w:t>
            </w:r>
          </w:p>
        </w:tc>
        <w:tc>
          <w:tcPr>
            <w:tcW w:w="737" w:type="dxa"/>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5</w:t>
            </w:r>
          </w:p>
        </w:tc>
        <w:tc>
          <w:tcPr>
            <w:tcW w:w="737" w:type="dxa"/>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3,457</w:t>
            </w:r>
          </w:p>
        </w:tc>
        <w:tc>
          <w:tcPr>
            <w:tcW w:w="737" w:type="dxa"/>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40</w:t>
            </w:r>
          </w:p>
        </w:tc>
        <w:tc>
          <w:tcPr>
            <w:tcW w:w="737" w:type="dxa"/>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4,197</w:t>
            </w:r>
          </w:p>
        </w:tc>
        <w:tc>
          <w:tcPr>
            <w:tcW w:w="737" w:type="dxa"/>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132</w:t>
            </w:r>
          </w:p>
        </w:tc>
      </w:tr>
      <w:tr w:rsidR="00AA22D0" w:rsidRPr="00222917" w:rsidTr="00920219">
        <w:trPr>
          <w:trHeight w:val="240"/>
        </w:trPr>
        <w:tc>
          <w:tcPr>
            <w:tcW w:w="397" w:type="dxa"/>
            <w:shd w:val="clear" w:color="auto" w:fill="auto"/>
          </w:tcPr>
          <w:p w:rsidR="00AA22D0" w:rsidRPr="00222917" w:rsidRDefault="00AA22D0" w:rsidP="001C6A29">
            <w:pPr>
              <w:suppressAutoHyphens w:val="0"/>
              <w:spacing w:before="40" w:after="40" w:line="200" w:lineRule="exact"/>
              <w:rPr>
                <w:rFonts w:eastAsia="Gulim"/>
                <w:sz w:val="16"/>
                <w:szCs w:val="16"/>
                <w:lang w:val="en-US"/>
              </w:rPr>
            </w:pPr>
            <w:r w:rsidRPr="00222917">
              <w:rPr>
                <w:rFonts w:eastAsia="Gulim"/>
                <w:sz w:val="16"/>
                <w:szCs w:val="16"/>
                <w:lang w:val="en-US"/>
              </w:rPr>
              <w:t>2007</w:t>
            </w:r>
          </w:p>
        </w:tc>
        <w:tc>
          <w:tcPr>
            <w:tcW w:w="737" w:type="dxa"/>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12,782</w:t>
            </w:r>
          </w:p>
        </w:tc>
        <w:tc>
          <w:tcPr>
            <w:tcW w:w="737" w:type="dxa"/>
            <w:shd w:val="clear" w:color="auto" w:fill="auto"/>
            <w:vAlign w:val="bottom"/>
          </w:tcPr>
          <w:p w:rsidR="00AA22D0" w:rsidRPr="00222917" w:rsidRDefault="00AA22D0" w:rsidP="001C6A29">
            <w:pPr>
              <w:suppressAutoHyphens w:val="0"/>
              <w:spacing w:before="40" w:after="40" w:line="200" w:lineRule="exact"/>
              <w:jc w:val="right"/>
              <w:rPr>
                <w:rFonts w:eastAsia="Gulim"/>
                <w:b/>
                <w:sz w:val="16"/>
                <w:szCs w:val="16"/>
                <w:lang w:val="en-US"/>
              </w:rPr>
            </w:pPr>
            <w:r w:rsidRPr="00222917">
              <w:rPr>
                <w:rFonts w:eastAsia="Gulim"/>
                <w:b/>
                <w:sz w:val="16"/>
                <w:szCs w:val="16"/>
                <w:lang w:val="en-US"/>
              </w:rPr>
              <w:t>12,807</w:t>
            </w:r>
          </w:p>
        </w:tc>
        <w:tc>
          <w:tcPr>
            <w:tcW w:w="737" w:type="dxa"/>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265</w:t>
            </w:r>
          </w:p>
        </w:tc>
        <w:tc>
          <w:tcPr>
            <w:tcW w:w="737" w:type="dxa"/>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1,492</w:t>
            </w:r>
          </w:p>
        </w:tc>
        <w:tc>
          <w:tcPr>
            <w:tcW w:w="737" w:type="dxa"/>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200</w:t>
            </w:r>
          </w:p>
        </w:tc>
        <w:tc>
          <w:tcPr>
            <w:tcW w:w="737" w:type="dxa"/>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2,847</w:t>
            </w:r>
          </w:p>
        </w:tc>
        <w:tc>
          <w:tcPr>
            <w:tcW w:w="737" w:type="dxa"/>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4</w:t>
            </w:r>
          </w:p>
        </w:tc>
        <w:tc>
          <w:tcPr>
            <w:tcW w:w="737" w:type="dxa"/>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3,091</w:t>
            </w:r>
          </w:p>
        </w:tc>
        <w:tc>
          <w:tcPr>
            <w:tcW w:w="737" w:type="dxa"/>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31</w:t>
            </w:r>
          </w:p>
        </w:tc>
        <w:tc>
          <w:tcPr>
            <w:tcW w:w="737" w:type="dxa"/>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4,735</w:t>
            </w:r>
          </w:p>
        </w:tc>
        <w:tc>
          <w:tcPr>
            <w:tcW w:w="737" w:type="dxa"/>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142</w:t>
            </w:r>
          </w:p>
        </w:tc>
      </w:tr>
      <w:tr w:rsidR="00AA22D0" w:rsidRPr="00222917" w:rsidTr="00920219">
        <w:trPr>
          <w:trHeight w:val="240"/>
        </w:trPr>
        <w:tc>
          <w:tcPr>
            <w:tcW w:w="397" w:type="dxa"/>
            <w:shd w:val="clear" w:color="auto" w:fill="auto"/>
          </w:tcPr>
          <w:p w:rsidR="00AA22D0" w:rsidRPr="00222917" w:rsidRDefault="00AA22D0" w:rsidP="001C6A29">
            <w:pPr>
              <w:suppressAutoHyphens w:val="0"/>
              <w:spacing w:before="40" w:after="40" w:line="200" w:lineRule="exact"/>
              <w:rPr>
                <w:rFonts w:eastAsia="Gulim"/>
                <w:sz w:val="16"/>
                <w:szCs w:val="16"/>
                <w:lang w:val="en-US"/>
              </w:rPr>
            </w:pPr>
            <w:r w:rsidRPr="00222917">
              <w:rPr>
                <w:rFonts w:eastAsia="Gulim"/>
                <w:sz w:val="16"/>
                <w:szCs w:val="16"/>
                <w:lang w:val="en-US"/>
              </w:rPr>
              <w:t>2008</w:t>
            </w:r>
          </w:p>
        </w:tc>
        <w:tc>
          <w:tcPr>
            <w:tcW w:w="737" w:type="dxa"/>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13,334</w:t>
            </w:r>
          </w:p>
        </w:tc>
        <w:tc>
          <w:tcPr>
            <w:tcW w:w="737" w:type="dxa"/>
            <w:shd w:val="clear" w:color="auto" w:fill="auto"/>
            <w:vAlign w:val="bottom"/>
          </w:tcPr>
          <w:p w:rsidR="00AA22D0" w:rsidRPr="00222917" w:rsidRDefault="00AA22D0" w:rsidP="001C6A29">
            <w:pPr>
              <w:suppressAutoHyphens w:val="0"/>
              <w:spacing w:before="40" w:after="40" w:line="200" w:lineRule="exact"/>
              <w:jc w:val="right"/>
              <w:rPr>
                <w:rFonts w:eastAsia="Gulim"/>
                <w:b/>
                <w:sz w:val="16"/>
                <w:szCs w:val="16"/>
                <w:lang w:val="en-US"/>
              </w:rPr>
            </w:pPr>
            <w:r w:rsidRPr="00222917">
              <w:rPr>
                <w:rFonts w:eastAsia="Gulim"/>
                <w:b/>
                <w:sz w:val="16"/>
                <w:szCs w:val="16"/>
                <w:lang w:val="en-US"/>
              </w:rPr>
              <w:t>13,341</w:t>
            </w:r>
          </w:p>
        </w:tc>
        <w:tc>
          <w:tcPr>
            <w:tcW w:w="737" w:type="dxa"/>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354</w:t>
            </w:r>
          </w:p>
        </w:tc>
        <w:tc>
          <w:tcPr>
            <w:tcW w:w="737" w:type="dxa"/>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1,487</w:t>
            </w:r>
          </w:p>
        </w:tc>
        <w:tc>
          <w:tcPr>
            <w:tcW w:w="737" w:type="dxa"/>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227</w:t>
            </w:r>
          </w:p>
        </w:tc>
        <w:tc>
          <w:tcPr>
            <w:tcW w:w="737" w:type="dxa"/>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2,593</w:t>
            </w:r>
          </w:p>
        </w:tc>
        <w:tc>
          <w:tcPr>
            <w:tcW w:w="737" w:type="dxa"/>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5</w:t>
            </w:r>
          </w:p>
        </w:tc>
        <w:tc>
          <w:tcPr>
            <w:tcW w:w="737" w:type="dxa"/>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3,707</w:t>
            </w:r>
          </w:p>
        </w:tc>
        <w:tc>
          <w:tcPr>
            <w:tcW w:w="737" w:type="dxa"/>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17</w:t>
            </w:r>
          </w:p>
        </w:tc>
        <w:tc>
          <w:tcPr>
            <w:tcW w:w="737" w:type="dxa"/>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4,833</w:t>
            </w:r>
          </w:p>
        </w:tc>
        <w:tc>
          <w:tcPr>
            <w:tcW w:w="737" w:type="dxa"/>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118</w:t>
            </w:r>
          </w:p>
        </w:tc>
      </w:tr>
      <w:tr w:rsidR="00AA22D0" w:rsidRPr="00222917" w:rsidTr="00920219">
        <w:trPr>
          <w:trHeight w:val="240"/>
        </w:trPr>
        <w:tc>
          <w:tcPr>
            <w:tcW w:w="397" w:type="dxa"/>
            <w:shd w:val="clear" w:color="auto" w:fill="auto"/>
          </w:tcPr>
          <w:p w:rsidR="00AA22D0" w:rsidRPr="00222917" w:rsidRDefault="00AA22D0" w:rsidP="001C6A29">
            <w:pPr>
              <w:suppressAutoHyphens w:val="0"/>
              <w:spacing w:before="40" w:after="40" w:line="200" w:lineRule="exact"/>
              <w:rPr>
                <w:rFonts w:eastAsia="Gulim"/>
                <w:sz w:val="16"/>
                <w:szCs w:val="16"/>
                <w:lang w:val="en-US"/>
              </w:rPr>
            </w:pPr>
            <w:r w:rsidRPr="00222917">
              <w:rPr>
                <w:rFonts w:eastAsia="Gulim"/>
                <w:sz w:val="16"/>
                <w:szCs w:val="16"/>
                <w:lang w:val="en-US"/>
              </w:rPr>
              <w:t>2009</w:t>
            </w:r>
          </w:p>
        </w:tc>
        <w:tc>
          <w:tcPr>
            <w:tcW w:w="737" w:type="dxa"/>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12,132</w:t>
            </w:r>
          </w:p>
        </w:tc>
        <w:tc>
          <w:tcPr>
            <w:tcW w:w="737" w:type="dxa"/>
            <w:shd w:val="clear" w:color="auto" w:fill="auto"/>
            <w:vAlign w:val="bottom"/>
          </w:tcPr>
          <w:p w:rsidR="00AA22D0" w:rsidRPr="00222917" w:rsidRDefault="00AA22D0" w:rsidP="001C6A29">
            <w:pPr>
              <w:suppressAutoHyphens w:val="0"/>
              <w:spacing w:before="40" w:after="40" w:line="200" w:lineRule="exact"/>
              <w:jc w:val="right"/>
              <w:rPr>
                <w:rFonts w:eastAsia="Gulim"/>
                <w:b/>
                <w:sz w:val="16"/>
                <w:szCs w:val="16"/>
                <w:lang w:val="en-US"/>
              </w:rPr>
            </w:pPr>
            <w:r w:rsidRPr="00222917">
              <w:rPr>
                <w:rFonts w:eastAsia="Gulim"/>
                <w:b/>
                <w:sz w:val="16"/>
                <w:szCs w:val="16"/>
                <w:lang w:val="en-US"/>
              </w:rPr>
              <w:t>12,154</w:t>
            </w:r>
          </w:p>
        </w:tc>
        <w:tc>
          <w:tcPr>
            <w:tcW w:w="737" w:type="dxa"/>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266</w:t>
            </w:r>
          </w:p>
        </w:tc>
        <w:tc>
          <w:tcPr>
            <w:tcW w:w="737" w:type="dxa"/>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996</w:t>
            </w:r>
          </w:p>
        </w:tc>
        <w:tc>
          <w:tcPr>
            <w:tcW w:w="737" w:type="dxa"/>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213</w:t>
            </w:r>
          </w:p>
        </w:tc>
        <w:tc>
          <w:tcPr>
            <w:tcW w:w="737" w:type="dxa"/>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2,197</w:t>
            </w:r>
          </w:p>
        </w:tc>
        <w:tc>
          <w:tcPr>
            <w:tcW w:w="737" w:type="dxa"/>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19</w:t>
            </w:r>
          </w:p>
        </w:tc>
        <w:tc>
          <w:tcPr>
            <w:tcW w:w="737" w:type="dxa"/>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3,745</w:t>
            </w:r>
          </w:p>
        </w:tc>
        <w:tc>
          <w:tcPr>
            <w:tcW w:w="737" w:type="dxa"/>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41</w:t>
            </w:r>
          </w:p>
        </w:tc>
        <w:tc>
          <w:tcPr>
            <w:tcW w:w="737" w:type="dxa"/>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4,579</w:t>
            </w:r>
          </w:p>
        </w:tc>
        <w:tc>
          <w:tcPr>
            <w:tcW w:w="737" w:type="dxa"/>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98</w:t>
            </w:r>
          </w:p>
        </w:tc>
      </w:tr>
      <w:tr w:rsidR="00AA22D0" w:rsidRPr="00222917" w:rsidTr="00920219">
        <w:trPr>
          <w:trHeight w:val="240"/>
        </w:trPr>
        <w:tc>
          <w:tcPr>
            <w:tcW w:w="397" w:type="dxa"/>
            <w:tcBorders>
              <w:bottom w:val="single" w:sz="12" w:space="0" w:color="auto"/>
            </w:tcBorders>
            <w:shd w:val="clear" w:color="auto" w:fill="auto"/>
          </w:tcPr>
          <w:p w:rsidR="00AA22D0" w:rsidRPr="00222917" w:rsidRDefault="00AA22D0" w:rsidP="001C6A29">
            <w:pPr>
              <w:suppressAutoHyphens w:val="0"/>
              <w:spacing w:before="40" w:after="40" w:line="200" w:lineRule="exact"/>
              <w:rPr>
                <w:rFonts w:eastAsia="Gulim"/>
                <w:sz w:val="16"/>
                <w:szCs w:val="16"/>
                <w:lang w:val="en-US"/>
              </w:rPr>
            </w:pPr>
            <w:r w:rsidRPr="00222917">
              <w:rPr>
                <w:rFonts w:eastAsia="Gulim"/>
                <w:sz w:val="16"/>
                <w:szCs w:val="16"/>
                <w:lang w:val="en-US"/>
              </w:rPr>
              <w:t>2010</w:t>
            </w:r>
          </w:p>
        </w:tc>
        <w:tc>
          <w:tcPr>
            <w:tcW w:w="737" w:type="dxa"/>
            <w:tcBorders>
              <w:bottom w:val="single" w:sz="12" w:space="0" w:color="auto"/>
            </w:tcBorders>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5,185</w:t>
            </w:r>
          </w:p>
        </w:tc>
        <w:tc>
          <w:tcPr>
            <w:tcW w:w="737" w:type="dxa"/>
            <w:tcBorders>
              <w:bottom w:val="single" w:sz="12" w:space="0" w:color="auto"/>
            </w:tcBorders>
            <w:shd w:val="clear" w:color="auto" w:fill="auto"/>
            <w:vAlign w:val="bottom"/>
          </w:tcPr>
          <w:p w:rsidR="00AA22D0" w:rsidRPr="00222917" w:rsidRDefault="00AA22D0" w:rsidP="001C6A29">
            <w:pPr>
              <w:suppressAutoHyphens w:val="0"/>
              <w:spacing w:before="40" w:after="40" w:line="200" w:lineRule="exact"/>
              <w:jc w:val="right"/>
              <w:rPr>
                <w:rFonts w:eastAsia="Gulim"/>
                <w:b/>
                <w:sz w:val="16"/>
                <w:szCs w:val="16"/>
                <w:lang w:val="en-US"/>
              </w:rPr>
            </w:pPr>
            <w:r w:rsidRPr="00222917">
              <w:rPr>
                <w:rFonts w:eastAsia="Gulim"/>
                <w:b/>
                <w:sz w:val="16"/>
                <w:szCs w:val="16"/>
                <w:lang w:val="en-US"/>
              </w:rPr>
              <w:t>5,240</w:t>
            </w:r>
          </w:p>
        </w:tc>
        <w:tc>
          <w:tcPr>
            <w:tcW w:w="737" w:type="dxa"/>
            <w:tcBorders>
              <w:bottom w:val="single" w:sz="12" w:space="0" w:color="auto"/>
            </w:tcBorders>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112</w:t>
            </w:r>
          </w:p>
        </w:tc>
        <w:tc>
          <w:tcPr>
            <w:tcW w:w="737" w:type="dxa"/>
            <w:tcBorders>
              <w:bottom w:val="single" w:sz="12" w:space="0" w:color="auto"/>
            </w:tcBorders>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465</w:t>
            </w:r>
          </w:p>
        </w:tc>
        <w:tc>
          <w:tcPr>
            <w:tcW w:w="737" w:type="dxa"/>
            <w:tcBorders>
              <w:bottom w:val="single" w:sz="12" w:space="0" w:color="auto"/>
            </w:tcBorders>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113</w:t>
            </w:r>
          </w:p>
        </w:tc>
        <w:tc>
          <w:tcPr>
            <w:tcW w:w="737" w:type="dxa"/>
            <w:tcBorders>
              <w:bottom w:val="single" w:sz="12" w:space="0" w:color="auto"/>
            </w:tcBorders>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928</w:t>
            </w:r>
          </w:p>
        </w:tc>
        <w:tc>
          <w:tcPr>
            <w:tcW w:w="737" w:type="dxa"/>
            <w:tcBorders>
              <w:bottom w:val="single" w:sz="12" w:space="0" w:color="auto"/>
            </w:tcBorders>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8</w:t>
            </w:r>
          </w:p>
        </w:tc>
        <w:tc>
          <w:tcPr>
            <w:tcW w:w="737" w:type="dxa"/>
            <w:tcBorders>
              <w:bottom w:val="single" w:sz="12" w:space="0" w:color="auto"/>
            </w:tcBorders>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1,654</w:t>
            </w:r>
          </w:p>
        </w:tc>
        <w:tc>
          <w:tcPr>
            <w:tcW w:w="737" w:type="dxa"/>
            <w:tcBorders>
              <w:bottom w:val="single" w:sz="12" w:space="0" w:color="auto"/>
            </w:tcBorders>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22</w:t>
            </w:r>
          </w:p>
        </w:tc>
        <w:tc>
          <w:tcPr>
            <w:tcW w:w="737" w:type="dxa"/>
            <w:tcBorders>
              <w:bottom w:val="single" w:sz="12" w:space="0" w:color="auto"/>
            </w:tcBorders>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1,908</w:t>
            </w:r>
          </w:p>
        </w:tc>
        <w:tc>
          <w:tcPr>
            <w:tcW w:w="737" w:type="dxa"/>
            <w:tcBorders>
              <w:bottom w:val="single" w:sz="12" w:space="0" w:color="auto"/>
            </w:tcBorders>
            <w:shd w:val="clear" w:color="auto" w:fill="auto"/>
            <w:vAlign w:val="bottom"/>
          </w:tcPr>
          <w:p w:rsidR="00AA22D0" w:rsidRPr="00222917" w:rsidRDefault="00AA22D0" w:rsidP="001C6A29">
            <w:pPr>
              <w:suppressAutoHyphens w:val="0"/>
              <w:spacing w:before="40" w:after="40" w:line="200" w:lineRule="exact"/>
              <w:jc w:val="right"/>
              <w:rPr>
                <w:rFonts w:eastAsia="Gulim"/>
                <w:sz w:val="16"/>
                <w:szCs w:val="16"/>
                <w:lang w:val="en-US"/>
              </w:rPr>
            </w:pPr>
            <w:r w:rsidRPr="00222917">
              <w:rPr>
                <w:rFonts w:eastAsia="Gulim"/>
                <w:sz w:val="16"/>
                <w:szCs w:val="16"/>
                <w:lang w:val="en-US"/>
              </w:rPr>
              <w:t>40</w:t>
            </w:r>
          </w:p>
        </w:tc>
      </w:tr>
    </w:tbl>
    <w:p w:rsidR="002D5BB0" w:rsidRPr="00222917" w:rsidRDefault="001C6A29" w:rsidP="001C6A29">
      <w:pPr>
        <w:pStyle w:val="H4G"/>
        <w:rPr>
          <w:lang w:val="en-US"/>
        </w:rPr>
      </w:pPr>
      <w:r w:rsidRPr="00222917">
        <w:rPr>
          <w:lang w:val="en-US"/>
        </w:rPr>
        <w:tab/>
      </w:r>
      <w:r w:rsidRPr="00222917">
        <w:rPr>
          <w:lang w:val="en-US"/>
        </w:rPr>
        <w:tab/>
      </w:r>
      <w:r w:rsidR="002D5BB0" w:rsidRPr="00222917">
        <w:rPr>
          <w:lang w:val="en-US"/>
        </w:rPr>
        <w:t xml:space="preserve">Human Rights Education Targeting Law Enforcement Officials in Charge </w:t>
      </w:r>
      <w:r w:rsidRPr="00222917">
        <w:rPr>
          <w:lang w:val="en-US"/>
        </w:rPr>
        <w:br/>
      </w:r>
      <w:r w:rsidR="002D5BB0" w:rsidRPr="00222917">
        <w:rPr>
          <w:lang w:val="en-US"/>
        </w:rPr>
        <w:t>of Domestic Violence</w:t>
      </w:r>
    </w:p>
    <w:p w:rsidR="002D5BB0" w:rsidRPr="00222917" w:rsidRDefault="00547908" w:rsidP="00547908">
      <w:pPr>
        <w:pStyle w:val="SingleTxtG"/>
        <w:rPr>
          <w:lang w:val="en-US"/>
        </w:rPr>
      </w:pPr>
      <w:r w:rsidRPr="00222917">
        <w:rPr>
          <w:lang w:val="en-US"/>
        </w:rPr>
        <w:t>89.</w:t>
      </w:r>
      <w:r w:rsidRPr="00222917">
        <w:rPr>
          <w:lang w:val="en-US"/>
        </w:rPr>
        <w:tab/>
      </w:r>
      <w:r w:rsidR="002D5BB0" w:rsidRPr="00222917">
        <w:rPr>
          <w:lang w:val="en-US"/>
        </w:rPr>
        <w:t>In its consideration of the third report, the Committee recommended that l</w:t>
      </w:r>
      <w:r w:rsidR="002D5BB0" w:rsidRPr="00222917">
        <w:rPr>
          <w:bCs/>
          <w:lang w:val="en-US"/>
        </w:rPr>
        <w:t xml:space="preserve">aw enforcement officials, police officers in particular, be provided with appropriate training to deal with cases of domestic violence, and that awareness-raising efforts be continued to sensitize the public </w:t>
      </w:r>
      <w:r w:rsidR="001C6A29" w:rsidRPr="00222917">
        <w:rPr>
          <w:lang w:val="en-US"/>
        </w:rPr>
        <w:t>(CCPR/C/KOR/CO/3/C RP.1, para. </w:t>
      </w:r>
      <w:r w:rsidR="002D5BB0" w:rsidRPr="00222917">
        <w:rPr>
          <w:lang w:val="en-US"/>
        </w:rPr>
        <w:t>11)</w:t>
      </w:r>
      <w:r w:rsidR="002D5BB0" w:rsidRPr="00222917">
        <w:rPr>
          <w:bCs/>
          <w:lang w:val="en-US"/>
        </w:rPr>
        <w:t>.</w:t>
      </w:r>
    </w:p>
    <w:p w:rsidR="002D5BB0" w:rsidRPr="00222917" w:rsidRDefault="00547908" w:rsidP="00547908">
      <w:pPr>
        <w:pStyle w:val="SingleTxtG"/>
        <w:rPr>
          <w:lang w:val="en-US"/>
        </w:rPr>
      </w:pPr>
      <w:r w:rsidRPr="00222917">
        <w:rPr>
          <w:lang w:val="en-US"/>
        </w:rPr>
        <w:t>90.</w:t>
      </w:r>
      <w:r w:rsidRPr="00222917">
        <w:rPr>
          <w:lang w:val="en-US"/>
        </w:rPr>
        <w:tab/>
      </w:r>
      <w:r w:rsidR="002D5BB0" w:rsidRPr="00222917">
        <w:rPr>
          <w:lang w:val="en-US"/>
        </w:rPr>
        <w:t>The Legal Research and Training Institute began offerin</w:t>
      </w:r>
      <w:r w:rsidR="00A2410C" w:rsidRPr="00222917">
        <w:rPr>
          <w:lang w:val="en-US"/>
        </w:rPr>
        <w:t>g on a yearly basis a class on “</w:t>
      </w:r>
      <w:r w:rsidR="002D5BB0" w:rsidRPr="00222917">
        <w:rPr>
          <w:lang w:val="en-US"/>
        </w:rPr>
        <w:t>characteristics of domestic violence based on counseling cases</w:t>
      </w:r>
      <w:r w:rsidR="00A2410C" w:rsidRPr="00222917">
        <w:rPr>
          <w:lang w:val="en-US"/>
        </w:rPr>
        <w:t>” in the curricular “</w:t>
      </w:r>
      <w:r w:rsidR="002D5BB0" w:rsidRPr="00222917">
        <w:rPr>
          <w:lang w:val="en-US"/>
        </w:rPr>
        <w:t xml:space="preserve">expert program on investigation on </w:t>
      </w:r>
      <w:r w:rsidR="002D5BB0" w:rsidRPr="00222917">
        <w:rPr>
          <w:bCs/>
          <w:lang w:val="en-US"/>
        </w:rPr>
        <w:t>crimes</w:t>
      </w:r>
      <w:r w:rsidR="002D5BB0" w:rsidRPr="00222917">
        <w:rPr>
          <w:lang w:val="en-US"/>
        </w:rPr>
        <w:t xml:space="preserve"> against women and children</w:t>
      </w:r>
      <w:r w:rsidR="00A2410C" w:rsidRPr="00222917">
        <w:rPr>
          <w:lang w:val="en-US"/>
        </w:rPr>
        <w:t>”</w:t>
      </w:r>
      <w:r w:rsidR="002D5BB0" w:rsidRPr="00222917">
        <w:rPr>
          <w:lang w:val="en-US"/>
        </w:rPr>
        <w:t xml:space="preserve"> </w:t>
      </w:r>
      <w:r w:rsidR="00A2410C" w:rsidRPr="00222917">
        <w:rPr>
          <w:lang w:val="en-US"/>
        </w:rPr>
        <w:t>for prosecutors and a class on “</w:t>
      </w:r>
      <w:r w:rsidR="002D5BB0" w:rsidRPr="00222917">
        <w:rPr>
          <w:lang w:val="en-US"/>
        </w:rPr>
        <w:t>explanation of domestic violence legislation and case study</w:t>
      </w:r>
      <w:r w:rsidR="00A2410C" w:rsidRPr="00222917">
        <w:rPr>
          <w:lang w:val="en-US"/>
        </w:rPr>
        <w:t>”</w:t>
      </w:r>
      <w:r w:rsidR="002D5BB0" w:rsidRPr="00222917">
        <w:rPr>
          <w:lang w:val="en-US"/>
        </w:rPr>
        <w:t xml:space="preserve"> in the curricular </w:t>
      </w:r>
      <w:r w:rsidR="00A2410C" w:rsidRPr="00222917">
        <w:rPr>
          <w:lang w:val="en-US"/>
        </w:rPr>
        <w:t>“</w:t>
      </w:r>
      <w:r w:rsidR="002D5BB0" w:rsidRPr="00222917">
        <w:rPr>
          <w:lang w:val="en-US"/>
        </w:rPr>
        <w:t>practical investigation program on crimes of abuse of women and children</w:t>
      </w:r>
      <w:r w:rsidR="00A2410C" w:rsidRPr="00222917">
        <w:rPr>
          <w:lang w:val="en-US"/>
        </w:rPr>
        <w:t>”</w:t>
      </w:r>
      <w:r w:rsidR="002D5BB0" w:rsidRPr="00222917">
        <w:rPr>
          <w:lang w:val="en-US"/>
        </w:rPr>
        <w:t xml:space="preserve"> for investigators.</w:t>
      </w:r>
      <w:r w:rsidR="00120D8B" w:rsidRPr="00222917">
        <w:rPr>
          <w:lang w:val="en-US"/>
        </w:rPr>
        <w:t xml:space="preserve"> </w:t>
      </w:r>
    </w:p>
    <w:p w:rsidR="002D5BB0" w:rsidRPr="00222917" w:rsidRDefault="00AF4C0E" w:rsidP="00AF4C0E">
      <w:pPr>
        <w:pStyle w:val="H23G"/>
        <w:rPr>
          <w:lang w:val="en-US"/>
        </w:rPr>
      </w:pPr>
      <w:r w:rsidRPr="00222917">
        <w:rPr>
          <w:lang w:val="en-US"/>
        </w:rPr>
        <w:tab/>
      </w:r>
      <w:r w:rsidRPr="00222917">
        <w:rPr>
          <w:lang w:val="en-US"/>
        </w:rPr>
        <w:tab/>
      </w:r>
      <w:r w:rsidR="002D5BB0" w:rsidRPr="00222917">
        <w:rPr>
          <w:lang w:val="en-US"/>
        </w:rPr>
        <w:t>Marital Rape</w:t>
      </w:r>
    </w:p>
    <w:p w:rsidR="002D5BB0" w:rsidRPr="00222917" w:rsidRDefault="00547908" w:rsidP="00547908">
      <w:pPr>
        <w:pStyle w:val="SingleTxtG"/>
        <w:rPr>
          <w:lang w:val="en-US"/>
        </w:rPr>
      </w:pPr>
      <w:r w:rsidRPr="00222917">
        <w:rPr>
          <w:lang w:val="en-US"/>
        </w:rPr>
        <w:t>91.</w:t>
      </w:r>
      <w:r w:rsidRPr="00222917">
        <w:rPr>
          <w:lang w:val="en-US"/>
        </w:rPr>
        <w:tab/>
      </w:r>
      <w:r w:rsidR="002D5BB0" w:rsidRPr="00222917">
        <w:rPr>
          <w:lang w:val="en-US"/>
        </w:rPr>
        <w:t xml:space="preserve">In its consideration of the third report, the Committee recommended that the penal legislation of the </w:t>
      </w:r>
      <w:smartTag w:uri="urn:schemas-microsoft-com:office:smarttags" w:element="place">
        <w:smartTag w:uri="urn:schemas-microsoft-com:office:smarttags" w:element="PlaceType">
          <w:r w:rsidR="002D5BB0" w:rsidRPr="00222917">
            <w:rPr>
              <w:lang w:val="en-US"/>
            </w:rPr>
            <w:t>Republic</w:t>
          </w:r>
        </w:smartTag>
        <w:r w:rsidR="002D5BB0" w:rsidRPr="00222917">
          <w:rPr>
            <w:lang w:val="en-US"/>
          </w:rPr>
          <w:t xml:space="preserve"> of </w:t>
        </w:r>
        <w:smartTag w:uri="urn:schemas-microsoft-com:office:smarttags" w:element="PlaceName">
          <w:r w:rsidR="002D5BB0" w:rsidRPr="00222917">
            <w:rPr>
              <w:lang w:val="en-US"/>
            </w:rPr>
            <w:t>Korea</w:t>
          </w:r>
        </w:smartTag>
      </w:smartTag>
      <w:r w:rsidR="002D5BB0" w:rsidRPr="00222917">
        <w:rPr>
          <w:lang w:val="en-US"/>
        </w:rPr>
        <w:t xml:space="preserve"> be reformed to establish marital rape as a criminal offense (CCPR/C</w:t>
      </w:r>
      <w:r w:rsidR="00CE6218" w:rsidRPr="00222917">
        <w:rPr>
          <w:lang w:val="en-US"/>
        </w:rPr>
        <w:t>/KOR/CO/3, para. </w:t>
      </w:r>
      <w:r w:rsidR="002D5BB0" w:rsidRPr="00222917">
        <w:rPr>
          <w:lang w:val="en-US"/>
        </w:rPr>
        <w:t xml:space="preserve">11). </w:t>
      </w:r>
    </w:p>
    <w:p w:rsidR="002D5BB0" w:rsidRPr="00222917" w:rsidRDefault="00547908" w:rsidP="00547908">
      <w:pPr>
        <w:pStyle w:val="SingleTxtG"/>
        <w:rPr>
          <w:lang w:val="en-US"/>
        </w:rPr>
      </w:pPr>
      <w:r w:rsidRPr="00222917">
        <w:rPr>
          <w:lang w:val="en-US"/>
        </w:rPr>
        <w:t>92.</w:t>
      </w:r>
      <w:r w:rsidRPr="00222917">
        <w:rPr>
          <w:lang w:val="en-US"/>
        </w:rPr>
        <w:tab/>
      </w:r>
      <w:r w:rsidR="002D5BB0" w:rsidRPr="00222917">
        <w:rPr>
          <w:lang w:val="en-US"/>
        </w:rPr>
        <w:t xml:space="preserve">Rape of a spouse can be penalized as rape under the </w:t>
      </w:r>
      <w:r w:rsidR="002D5BB0" w:rsidRPr="00C70182">
        <w:rPr>
          <w:iCs/>
          <w:lang w:val="en-US"/>
        </w:rPr>
        <w:t>Criminal Act</w:t>
      </w:r>
      <w:r w:rsidR="002D5BB0" w:rsidRPr="00222917">
        <w:rPr>
          <w:lang w:val="en-US"/>
        </w:rPr>
        <w:t xml:space="preserve">. A crime of rape may be acknowledged against any person, who forces his spouse to have sex with him by using violence or intimidation, </w:t>
      </w:r>
      <w:r w:rsidR="002D5BB0" w:rsidRPr="00222917">
        <w:rPr>
          <w:bCs/>
          <w:lang w:val="en-US"/>
        </w:rPr>
        <w:t>depending</w:t>
      </w:r>
      <w:r w:rsidR="002D5BB0" w:rsidRPr="00222917">
        <w:rPr>
          <w:lang w:val="en-US"/>
        </w:rPr>
        <w:t xml:space="preserve"> on individual and specific circumstances.</w:t>
      </w:r>
      <w:r w:rsidR="00120D8B" w:rsidRPr="00222917">
        <w:rPr>
          <w:lang w:val="en-US"/>
        </w:rPr>
        <w:t xml:space="preserve"> </w:t>
      </w:r>
    </w:p>
    <w:p w:rsidR="002D5BB0" w:rsidRPr="00222917" w:rsidRDefault="00547908" w:rsidP="00547908">
      <w:pPr>
        <w:pStyle w:val="SingleTxtG"/>
        <w:rPr>
          <w:lang w:val="en-US"/>
        </w:rPr>
      </w:pPr>
      <w:r w:rsidRPr="00222917">
        <w:rPr>
          <w:lang w:val="en-US"/>
        </w:rPr>
        <w:t>93.</w:t>
      </w:r>
      <w:r w:rsidRPr="00222917">
        <w:rPr>
          <w:lang w:val="en-US"/>
        </w:rPr>
        <w:tab/>
      </w:r>
      <w:r w:rsidR="002D5BB0" w:rsidRPr="00222917">
        <w:rPr>
          <w:lang w:val="en-US"/>
        </w:rPr>
        <w:t xml:space="preserve">On 12 February 2009, the Supreme Court of Korea ruled that a crime of rape is acknowledged against a defendant who forced sex with his wife without her consent on grounds that the martial relationship between the defendant and victim was legally maintained but already broken in </w:t>
      </w:r>
      <w:r w:rsidR="002D5BB0" w:rsidRPr="00222917">
        <w:rPr>
          <w:bCs/>
          <w:lang w:val="en-US"/>
        </w:rPr>
        <w:t>practice</w:t>
      </w:r>
      <w:r w:rsidR="002D5BB0" w:rsidRPr="00222917">
        <w:rPr>
          <w:lang w:val="en-US"/>
        </w:rPr>
        <w:t xml:space="preserve"> (2008 DO 8601). On 20 August 2004, the Seoul Central District Court acknowledged a crime of an indecent act by force causing bodily harm when a man sexually assaulted his wife after their marital relationship ended in essence as his wife had sought divorce. On 16 January 2009, the Busan District Court acknowledged a crime of rape against a man who forced sexual intercourse with his wife who is a foreigner by threatening her with a deadly weapon (2008 GO-HAP 808). </w:t>
      </w:r>
    </w:p>
    <w:p w:rsidR="002D5BB0" w:rsidRPr="00222917" w:rsidRDefault="00AF4C0E" w:rsidP="00AF4C0E">
      <w:pPr>
        <w:pStyle w:val="H23G"/>
        <w:rPr>
          <w:lang w:val="en-US"/>
        </w:rPr>
      </w:pPr>
      <w:r w:rsidRPr="00222917">
        <w:rPr>
          <w:lang w:val="en-US"/>
        </w:rPr>
        <w:tab/>
      </w:r>
      <w:r w:rsidRPr="00222917">
        <w:rPr>
          <w:lang w:val="en-US"/>
        </w:rPr>
        <w:tab/>
      </w:r>
      <w:r w:rsidR="002D5BB0" w:rsidRPr="00222917">
        <w:rPr>
          <w:lang w:val="en-US"/>
        </w:rPr>
        <w:t>Sexual Harassment</w:t>
      </w:r>
    </w:p>
    <w:p w:rsidR="002D5BB0" w:rsidRPr="00222917" w:rsidRDefault="00AF4C0E" w:rsidP="00AF4C0E">
      <w:pPr>
        <w:pStyle w:val="H4G"/>
        <w:rPr>
          <w:lang w:val="en-US"/>
        </w:rPr>
      </w:pPr>
      <w:r w:rsidRPr="00222917">
        <w:rPr>
          <w:lang w:val="en-US"/>
        </w:rPr>
        <w:tab/>
      </w:r>
      <w:r w:rsidRPr="00222917">
        <w:rPr>
          <w:lang w:val="en-US"/>
        </w:rPr>
        <w:tab/>
      </w:r>
      <w:r w:rsidR="002D5BB0" w:rsidRPr="00222917">
        <w:rPr>
          <w:lang w:val="en-US"/>
        </w:rPr>
        <w:t>General Information on Punishment of Sexual Harassment</w:t>
      </w:r>
      <w:r w:rsidR="00120D8B" w:rsidRPr="00222917">
        <w:rPr>
          <w:lang w:val="en-US"/>
        </w:rPr>
        <w:t xml:space="preserve"> </w:t>
      </w:r>
    </w:p>
    <w:p w:rsidR="002D5BB0" w:rsidRPr="00222917" w:rsidRDefault="00547908" w:rsidP="00547908">
      <w:pPr>
        <w:pStyle w:val="SingleTxtG"/>
        <w:rPr>
          <w:lang w:val="en-US"/>
        </w:rPr>
      </w:pPr>
      <w:r w:rsidRPr="00222917">
        <w:rPr>
          <w:lang w:val="en-US"/>
        </w:rPr>
        <w:t>94.</w:t>
      </w:r>
      <w:r w:rsidRPr="00222917">
        <w:rPr>
          <w:lang w:val="en-US"/>
        </w:rPr>
        <w:tab/>
      </w:r>
      <w:r w:rsidR="002D5BB0" w:rsidRPr="00222917">
        <w:rPr>
          <w:lang w:val="en-US"/>
        </w:rPr>
        <w:t xml:space="preserve">Sexual harassment itself is not subject to punishment, but some sexual harassment cases constitute criminal acts under the </w:t>
      </w:r>
      <w:r w:rsidR="002D5BB0" w:rsidRPr="00C70182">
        <w:rPr>
          <w:iCs/>
          <w:lang w:val="en-US"/>
        </w:rPr>
        <w:t xml:space="preserve">Act on the Punishment of Sexual Crimes and Protection of Victims Thereof </w:t>
      </w:r>
      <w:r w:rsidR="002D5BB0" w:rsidRPr="00222917">
        <w:rPr>
          <w:lang w:val="en-US"/>
        </w:rPr>
        <w:t xml:space="preserve">(compulsive indecent act in abuse of occupational authority and obscenity using communication media) and the </w:t>
      </w:r>
      <w:r w:rsidR="002D5BB0" w:rsidRPr="00C70182">
        <w:rPr>
          <w:iCs/>
          <w:lang w:val="en-US"/>
        </w:rPr>
        <w:t xml:space="preserve">Criminal Act </w:t>
      </w:r>
      <w:r w:rsidR="002D5BB0" w:rsidRPr="00222917">
        <w:rPr>
          <w:lang w:val="en-US"/>
        </w:rPr>
        <w:t>(rape of a woman under super</w:t>
      </w:r>
      <w:r w:rsidR="001A2BB2" w:rsidRPr="00222917">
        <w:rPr>
          <w:lang w:val="en-US"/>
        </w:rPr>
        <w:t>vision of the offender (</w:t>
      </w:r>
      <w:r w:rsidR="00681EC0" w:rsidRPr="00222917">
        <w:rPr>
          <w:lang w:val="en-US"/>
        </w:rPr>
        <w:t>a</w:t>
      </w:r>
      <w:r w:rsidR="001A2BB2" w:rsidRPr="00222917">
        <w:rPr>
          <w:lang w:val="en-US"/>
        </w:rPr>
        <w:t>rticle </w:t>
      </w:r>
      <w:r w:rsidR="002D5BB0" w:rsidRPr="00222917">
        <w:rPr>
          <w:lang w:val="en-US"/>
        </w:rPr>
        <w:t xml:space="preserve">303)). In addition, the </w:t>
      </w:r>
      <w:r w:rsidR="002D5BB0" w:rsidRPr="00222917">
        <w:rPr>
          <w:iCs/>
          <w:lang w:val="en-US"/>
        </w:rPr>
        <w:t xml:space="preserve">National Human Rights Commission Act </w:t>
      </w:r>
      <w:r w:rsidR="002D5BB0" w:rsidRPr="00222917">
        <w:rPr>
          <w:lang w:val="en-US"/>
        </w:rPr>
        <w:t xml:space="preserve">and the </w:t>
      </w:r>
      <w:r w:rsidR="002D5BB0" w:rsidRPr="00222917">
        <w:rPr>
          <w:iCs/>
          <w:lang w:val="en-US"/>
        </w:rPr>
        <w:t>Framework Act on Women’s Development</w:t>
      </w:r>
      <w:r w:rsidR="002D5BB0" w:rsidRPr="00222917">
        <w:rPr>
          <w:i/>
          <w:lang w:val="en-US"/>
        </w:rPr>
        <w:t xml:space="preserve"> </w:t>
      </w:r>
      <w:r w:rsidR="002D5BB0" w:rsidRPr="00222917">
        <w:rPr>
          <w:lang w:val="en-US"/>
        </w:rPr>
        <w:t xml:space="preserve">provide for matters pertaining to investigation, recommendation, punishment, and preventive education regarding sexual harassment. </w:t>
      </w:r>
    </w:p>
    <w:p w:rsidR="002D5BB0" w:rsidRPr="00222917" w:rsidRDefault="00547908" w:rsidP="00547908">
      <w:pPr>
        <w:pStyle w:val="SingleTxtG"/>
        <w:rPr>
          <w:lang w:val="en-US"/>
        </w:rPr>
      </w:pPr>
      <w:r w:rsidRPr="00222917">
        <w:rPr>
          <w:lang w:val="en-US"/>
        </w:rPr>
        <w:t>95.</w:t>
      </w:r>
      <w:r w:rsidRPr="00222917">
        <w:rPr>
          <w:lang w:val="en-US"/>
        </w:rPr>
        <w:tab/>
      </w:r>
      <w:r w:rsidR="002D5BB0" w:rsidRPr="00222917">
        <w:rPr>
          <w:lang w:val="en-US"/>
        </w:rPr>
        <w:t xml:space="preserve">The </w:t>
      </w:r>
      <w:r w:rsidR="002D5BB0" w:rsidRPr="00222917">
        <w:rPr>
          <w:iCs/>
          <w:lang w:val="en-US"/>
        </w:rPr>
        <w:t xml:space="preserve">Equal Employment </w:t>
      </w:r>
      <w:smartTag w:uri="urn:schemas-microsoft-com:office:smarttags" w:element="place">
        <w:r w:rsidR="002D5BB0" w:rsidRPr="00222917">
          <w:rPr>
            <w:iCs/>
            <w:lang w:val="en-US"/>
          </w:rPr>
          <w:t>Opportunity</w:t>
        </w:r>
      </w:smartTag>
      <w:r w:rsidR="002D5BB0" w:rsidRPr="00222917">
        <w:rPr>
          <w:iCs/>
          <w:lang w:val="en-US"/>
        </w:rPr>
        <w:t xml:space="preserve"> and Work Family Balance Assistance Act </w:t>
      </w:r>
      <w:r w:rsidR="002D5BB0" w:rsidRPr="00222917">
        <w:rPr>
          <w:lang w:val="en-US"/>
        </w:rPr>
        <w:t>contains provisions on the prohibition and prevention of sexual harassment against women (Chapter 2, Section 2). The Act forbids sexual haras</w:t>
      </w:r>
      <w:r w:rsidR="001A2BB2" w:rsidRPr="00222917">
        <w:rPr>
          <w:lang w:val="en-US"/>
        </w:rPr>
        <w:t>sment in the workplace (</w:t>
      </w:r>
      <w:r w:rsidR="00681EC0" w:rsidRPr="00222917">
        <w:rPr>
          <w:lang w:val="en-US"/>
        </w:rPr>
        <w:t>a</w:t>
      </w:r>
      <w:r w:rsidR="001A2BB2" w:rsidRPr="00222917">
        <w:rPr>
          <w:lang w:val="en-US"/>
        </w:rPr>
        <w:t>rticle </w:t>
      </w:r>
      <w:r w:rsidR="002D5BB0" w:rsidRPr="00222917">
        <w:rPr>
          <w:lang w:val="en-US"/>
        </w:rPr>
        <w:t>12), specifies employers’ obligation to conduct education on sexual harassment preve</w:t>
      </w:r>
      <w:r w:rsidR="001A2BB2" w:rsidRPr="00222917">
        <w:rPr>
          <w:lang w:val="en-US"/>
        </w:rPr>
        <w:t>ntion in the workplace (</w:t>
      </w:r>
      <w:r w:rsidR="00681EC0" w:rsidRPr="00222917">
        <w:rPr>
          <w:lang w:val="en-US"/>
        </w:rPr>
        <w:t>a</w:t>
      </w:r>
      <w:r w:rsidR="001A2BB2" w:rsidRPr="00222917">
        <w:rPr>
          <w:lang w:val="en-US"/>
        </w:rPr>
        <w:t>rticle </w:t>
      </w:r>
      <w:r w:rsidR="002D5BB0" w:rsidRPr="00222917">
        <w:rPr>
          <w:lang w:val="en-US"/>
        </w:rPr>
        <w:t xml:space="preserve">13), and provides for the commission of education on sexual </w:t>
      </w:r>
      <w:r w:rsidR="001A2BB2" w:rsidRPr="00222917">
        <w:rPr>
          <w:lang w:val="en-US"/>
        </w:rPr>
        <w:t>harassment prevention (</w:t>
      </w:r>
      <w:r w:rsidR="00681EC0" w:rsidRPr="00222917">
        <w:rPr>
          <w:lang w:val="en-US"/>
        </w:rPr>
        <w:t>a</w:t>
      </w:r>
      <w:r w:rsidR="001A2BB2" w:rsidRPr="00222917">
        <w:rPr>
          <w:lang w:val="en-US"/>
        </w:rPr>
        <w:t>rticle </w:t>
      </w:r>
      <w:r w:rsidR="002D5BB0" w:rsidRPr="00222917">
        <w:rPr>
          <w:lang w:val="en-US"/>
        </w:rPr>
        <w:t xml:space="preserve">13-2). When a case of sexual harassment in the workplace is confirmed, the employer is </w:t>
      </w:r>
      <w:r w:rsidR="002D5BB0" w:rsidRPr="00222917">
        <w:rPr>
          <w:bCs/>
          <w:lang w:val="en-US"/>
        </w:rPr>
        <w:t>obliged</w:t>
      </w:r>
      <w:r w:rsidR="002D5BB0" w:rsidRPr="00222917">
        <w:rPr>
          <w:lang w:val="en-US"/>
        </w:rPr>
        <w:t xml:space="preserve"> to take prompt disciplinary actions or other appropriate measure</w:t>
      </w:r>
      <w:r w:rsidR="001A2BB2" w:rsidRPr="00222917">
        <w:rPr>
          <w:lang w:val="en-US"/>
        </w:rPr>
        <w:t>s against the offender (</w:t>
      </w:r>
      <w:r w:rsidR="00681EC0" w:rsidRPr="00222917">
        <w:rPr>
          <w:lang w:val="en-US"/>
        </w:rPr>
        <w:t>a</w:t>
      </w:r>
      <w:r w:rsidR="001A2BB2" w:rsidRPr="00222917">
        <w:rPr>
          <w:lang w:val="en-US"/>
        </w:rPr>
        <w:t>rticle </w:t>
      </w:r>
      <w:r w:rsidR="002D5BB0" w:rsidRPr="00222917">
        <w:rPr>
          <w:lang w:val="en-US"/>
        </w:rPr>
        <w:t>14). On 21 December 2007, the Act was revised to include a provision designed to prevent sexual harassment that is frequently committed by customers and other persons in the service indus</w:t>
      </w:r>
      <w:r w:rsidR="001A2BB2" w:rsidRPr="00222917">
        <w:rPr>
          <w:lang w:val="en-US"/>
        </w:rPr>
        <w:t>try (</w:t>
      </w:r>
      <w:r w:rsidR="00681EC0" w:rsidRPr="00222917">
        <w:rPr>
          <w:lang w:val="en-US"/>
        </w:rPr>
        <w:t>a</w:t>
      </w:r>
      <w:r w:rsidR="001A2BB2" w:rsidRPr="00222917">
        <w:rPr>
          <w:lang w:val="en-US"/>
        </w:rPr>
        <w:t>rticle </w:t>
      </w:r>
      <w:r w:rsidR="002D5BB0" w:rsidRPr="00222917">
        <w:rPr>
          <w:lang w:val="en-US"/>
        </w:rPr>
        <w:t xml:space="preserve">14-2). </w:t>
      </w:r>
    </w:p>
    <w:p w:rsidR="002D5BB0" w:rsidRPr="00222917" w:rsidRDefault="00AF4C0E" w:rsidP="00AF4C0E">
      <w:pPr>
        <w:pStyle w:val="H4G"/>
        <w:rPr>
          <w:lang w:val="en-US"/>
        </w:rPr>
      </w:pPr>
      <w:r w:rsidRPr="00222917">
        <w:rPr>
          <w:lang w:val="en-US"/>
        </w:rPr>
        <w:tab/>
      </w:r>
      <w:r w:rsidRPr="00222917">
        <w:rPr>
          <w:lang w:val="en-US"/>
        </w:rPr>
        <w:tab/>
      </w:r>
      <w:r w:rsidR="002D5BB0" w:rsidRPr="00222917">
        <w:rPr>
          <w:lang w:val="en-US"/>
        </w:rPr>
        <w:t xml:space="preserve">Prevention of Sexual Harassment in Public Organizations </w:t>
      </w:r>
    </w:p>
    <w:p w:rsidR="002D5BB0" w:rsidRPr="00222917" w:rsidRDefault="00547908" w:rsidP="00547908">
      <w:pPr>
        <w:pStyle w:val="SingleTxtG"/>
        <w:rPr>
          <w:lang w:val="en-US"/>
        </w:rPr>
      </w:pPr>
      <w:r w:rsidRPr="00222917">
        <w:rPr>
          <w:lang w:val="en-US"/>
        </w:rPr>
        <w:t>96.</w:t>
      </w:r>
      <w:r w:rsidRPr="00222917">
        <w:rPr>
          <w:lang w:val="en-US"/>
        </w:rPr>
        <w:tab/>
      </w:r>
      <w:r w:rsidR="002D5BB0" w:rsidRPr="00222917">
        <w:rPr>
          <w:lang w:val="en-US"/>
        </w:rPr>
        <w:t xml:space="preserve">Public institutions </w:t>
      </w:r>
      <w:r w:rsidR="002D5BB0" w:rsidRPr="00222917">
        <w:rPr>
          <w:bCs/>
          <w:lang w:val="en-US"/>
        </w:rPr>
        <w:t>take</w:t>
      </w:r>
      <w:r w:rsidR="002D5BB0" w:rsidRPr="00222917">
        <w:rPr>
          <w:lang w:val="en-US"/>
        </w:rPr>
        <w:t xml:space="preserve"> measures to prevent sexual harassment and secondary damage to victims, including prevention education and systems for handling sexual harassment cases. From 2007 to 2010, 97.8% of public institutions carried out sexual harassment prevention education. </w:t>
      </w:r>
    </w:p>
    <w:p w:rsidR="002D5BB0" w:rsidRPr="00222917" w:rsidRDefault="00AF4C0E" w:rsidP="00AF4C0E">
      <w:pPr>
        <w:pStyle w:val="H23G"/>
        <w:rPr>
          <w:lang w:val="en-US"/>
        </w:rPr>
      </w:pPr>
      <w:r w:rsidRPr="00222917">
        <w:rPr>
          <w:lang w:val="en-US"/>
        </w:rPr>
        <w:tab/>
      </w:r>
      <w:r w:rsidRPr="00222917">
        <w:rPr>
          <w:lang w:val="en-US"/>
        </w:rPr>
        <w:tab/>
      </w:r>
      <w:r w:rsidR="002D5BB0" w:rsidRPr="00222917">
        <w:rPr>
          <w:lang w:val="en-US"/>
        </w:rPr>
        <w:t>Measures taken to Prevent Sexual Harassment by Public Institutions</w:t>
      </w:r>
    </w:p>
    <w:tbl>
      <w:tblPr>
        <w:tblW w:w="0" w:type="auto"/>
        <w:tblInd w:w="1134" w:type="dxa"/>
        <w:tblBorders>
          <w:top w:val="single" w:sz="4" w:space="0" w:color="auto"/>
        </w:tblBorders>
        <w:tblLayout w:type="fixed"/>
        <w:tblCellMar>
          <w:left w:w="0" w:type="dxa"/>
          <w:right w:w="0" w:type="dxa"/>
        </w:tblCellMar>
        <w:tblLook w:val="0000"/>
      </w:tblPr>
      <w:tblGrid>
        <w:gridCol w:w="3289"/>
        <w:gridCol w:w="1021"/>
        <w:gridCol w:w="1021"/>
        <w:gridCol w:w="1021"/>
        <w:gridCol w:w="1021"/>
      </w:tblGrid>
      <w:tr w:rsidR="0024745E" w:rsidRPr="00222917" w:rsidTr="00AF4C0E">
        <w:trPr>
          <w:trHeight w:val="240"/>
          <w:tblHeader/>
        </w:trPr>
        <w:tc>
          <w:tcPr>
            <w:tcW w:w="3289" w:type="dxa"/>
            <w:tcBorders>
              <w:top w:val="single" w:sz="4" w:space="0" w:color="auto"/>
              <w:bottom w:val="single" w:sz="12" w:space="0" w:color="auto"/>
            </w:tcBorders>
            <w:shd w:val="clear" w:color="auto" w:fill="auto"/>
            <w:vAlign w:val="bottom"/>
          </w:tcPr>
          <w:p w:rsidR="002D5BB0" w:rsidRPr="00222917" w:rsidRDefault="002D5BB0" w:rsidP="00AF4C0E">
            <w:pPr>
              <w:pStyle w:val="SingleTxtG"/>
              <w:suppressAutoHyphens w:val="0"/>
              <w:spacing w:before="80" w:after="80" w:line="200" w:lineRule="exact"/>
              <w:ind w:left="0" w:right="0"/>
              <w:jc w:val="left"/>
              <w:rPr>
                <w:i/>
                <w:sz w:val="16"/>
                <w:lang w:val="en-US"/>
              </w:rPr>
            </w:pPr>
            <w:r w:rsidRPr="00222917">
              <w:rPr>
                <w:bCs/>
                <w:i/>
                <w:sz w:val="16"/>
                <w:lang w:val="en-US"/>
              </w:rPr>
              <w:t>Year</w:t>
            </w:r>
          </w:p>
        </w:tc>
        <w:tc>
          <w:tcPr>
            <w:tcW w:w="1021" w:type="dxa"/>
            <w:tcBorders>
              <w:top w:val="single" w:sz="4" w:space="0" w:color="auto"/>
              <w:bottom w:val="single" w:sz="12" w:space="0" w:color="auto"/>
            </w:tcBorders>
            <w:shd w:val="clear" w:color="auto" w:fill="auto"/>
            <w:vAlign w:val="bottom"/>
          </w:tcPr>
          <w:p w:rsidR="002D5BB0" w:rsidRPr="00222917" w:rsidRDefault="002D5BB0" w:rsidP="00AF4C0E">
            <w:pPr>
              <w:pStyle w:val="SingleTxtG"/>
              <w:suppressAutoHyphens w:val="0"/>
              <w:spacing w:before="80" w:after="80" w:line="200" w:lineRule="exact"/>
              <w:ind w:left="0" w:right="0"/>
              <w:jc w:val="right"/>
              <w:rPr>
                <w:i/>
                <w:sz w:val="16"/>
                <w:lang w:val="en-US"/>
              </w:rPr>
            </w:pPr>
            <w:r w:rsidRPr="00222917">
              <w:rPr>
                <w:bCs/>
                <w:i/>
                <w:sz w:val="16"/>
                <w:lang w:val="en-US"/>
              </w:rPr>
              <w:t>2007</w:t>
            </w:r>
          </w:p>
        </w:tc>
        <w:tc>
          <w:tcPr>
            <w:tcW w:w="1021" w:type="dxa"/>
            <w:tcBorders>
              <w:top w:val="single" w:sz="4" w:space="0" w:color="auto"/>
              <w:bottom w:val="single" w:sz="12" w:space="0" w:color="auto"/>
            </w:tcBorders>
            <w:shd w:val="clear" w:color="auto" w:fill="auto"/>
            <w:vAlign w:val="bottom"/>
          </w:tcPr>
          <w:p w:rsidR="002D5BB0" w:rsidRPr="00222917" w:rsidRDefault="002D5BB0" w:rsidP="00AF4C0E">
            <w:pPr>
              <w:pStyle w:val="SingleTxtG"/>
              <w:suppressAutoHyphens w:val="0"/>
              <w:spacing w:before="80" w:after="80" w:line="200" w:lineRule="exact"/>
              <w:ind w:left="0" w:right="0"/>
              <w:jc w:val="right"/>
              <w:rPr>
                <w:i/>
                <w:sz w:val="16"/>
                <w:lang w:val="en-US"/>
              </w:rPr>
            </w:pPr>
            <w:r w:rsidRPr="00222917">
              <w:rPr>
                <w:bCs/>
                <w:i/>
                <w:sz w:val="16"/>
                <w:lang w:val="en-US"/>
              </w:rPr>
              <w:t>2008</w:t>
            </w:r>
          </w:p>
        </w:tc>
        <w:tc>
          <w:tcPr>
            <w:tcW w:w="1021" w:type="dxa"/>
            <w:tcBorders>
              <w:top w:val="single" w:sz="4" w:space="0" w:color="auto"/>
              <w:bottom w:val="single" w:sz="12" w:space="0" w:color="auto"/>
            </w:tcBorders>
            <w:shd w:val="clear" w:color="auto" w:fill="auto"/>
            <w:vAlign w:val="bottom"/>
          </w:tcPr>
          <w:p w:rsidR="002D5BB0" w:rsidRPr="00222917" w:rsidRDefault="002D5BB0" w:rsidP="00AF4C0E">
            <w:pPr>
              <w:pStyle w:val="SingleTxtG"/>
              <w:suppressAutoHyphens w:val="0"/>
              <w:spacing w:before="80" w:after="80" w:line="200" w:lineRule="exact"/>
              <w:ind w:left="0" w:right="0"/>
              <w:jc w:val="right"/>
              <w:rPr>
                <w:i/>
                <w:sz w:val="16"/>
                <w:lang w:val="en-US"/>
              </w:rPr>
            </w:pPr>
            <w:r w:rsidRPr="00222917">
              <w:rPr>
                <w:bCs/>
                <w:i/>
                <w:sz w:val="16"/>
                <w:lang w:val="en-US"/>
              </w:rPr>
              <w:t>2009</w:t>
            </w:r>
          </w:p>
        </w:tc>
        <w:tc>
          <w:tcPr>
            <w:tcW w:w="1021" w:type="dxa"/>
            <w:tcBorders>
              <w:top w:val="single" w:sz="4" w:space="0" w:color="auto"/>
              <w:bottom w:val="single" w:sz="12" w:space="0" w:color="auto"/>
            </w:tcBorders>
            <w:shd w:val="clear" w:color="auto" w:fill="auto"/>
            <w:vAlign w:val="bottom"/>
          </w:tcPr>
          <w:p w:rsidR="002D5BB0" w:rsidRPr="00222917" w:rsidRDefault="002D5BB0" w:rsidP="00AF4C0E">
            <w:pPr>
              <w:pStyle w:val="SingleTxtG"/>
              <w:suppressAutoHyphens w:val="0"/>
              <w:spacing w:before="80" w:after="80" w:line="200" w:lineRule="exact"/>
              <w:ind w:left="0" w:right="0"/>
              <w:jc w:val="right"/>
              <w:rPr>
                <w:bCs/>
                <w:i/>
                <w:sz w:val="16"/>
                <w:lang w:val="en-US"/>
              </w:rPr>
            </w:pPr>
            <w:r w:rsidRPr="00222917">
              <w:rPr>
                <w:bCs/>
                <w:i/>
                <w:sz w:val="16"/>
                <w:lang w:val="en-US"/>
              </w:rPr>
              <w:t>2010</w:t>
            </w:r>
          </w:p>
        </w:tc>
      </w:tr>
      <w:tr w:rsidR="0024745E" w:rsidRPr="00222917" w:rsidTr="00AF4C0E">
        <w:trPr>
          <w:trHeight w:val="240"/>
        </w:trPr>
        <w:tc>
          <w:tcPr>
            <w:tcW w:w="3289" w:type="dxa"/>
            <w:tcBorders>
              <w:top w:val="single" w:sz="12" w:space="0" w:color="auto"/>
            </w:tcBorders>
            <w:shd w:val="clear" w:color="auto" w:fill="auto"/>
          </w:tcPr>
          <w:p w:rsidR="002D5BB0" w:rsidRPr="00222917" w:rsidRDefault="002D5BB0" w:rsidP="00AF4C0E">
            <w:pPr>
              <w:pStyle w:val="SingleTxtG"/>
              <w:suppressAutoHyphens w:val="0"/>
              <w:spacing w:before="40" w:after="40" w:line="220" w:lineRule="exact"/>
              <w:ind w:left="0" w:right="0"/>
              <w:jc w:val="left"/>
              <w:rPr>
                <w:sz w:val="18"/>
                <w:lang w:val="en-US"/>
              </w:rPr>
            </w:pPr>
            <w:r w:rsidRPr="00222917">
              <w:rPr>
                <w:sz w:val="18"/>
                <w:lang w:val="en-US"/>
              </w:rPr>
              <w:t>Number of target institutions</w:t>
            </w:r>
          </w:p>
        </w:tc>
        <w:tc>
          <w:tcPr>
            <w:tcW w:w="1021" w:type="dxa"/>
            <w:tcBorders>
              <w:top w:val="single" w:sz="12" w:space="0" w:color="auto"/>
            </w:tcBorders>
            <w:shd w:val="clear" w:color="auto" w:fill="auto"/>
            <w:vAlign w:val="bottom"/>
          </w:tcPr>
          <w:p w:rsidR="002D5BB0" w:rsidRPr="00222917" w:rsidRDefault="002D5BB0" w:rsidP="00AF4C0E">
            <w:pPr>
              <w:pStyle w:val="SingleTxtG"/>
              <w:suppressAutoHyphens w:val="0"/>
              <w:spacing w:before="40" w:after="40" w:line="220" w:lineRule="exact"/>
              <w:ind w:left="0" w:right="0"/>
              <w:jc w:val="right"/>
              <w:rPr>
                <w:sz w:val="18"/>
                <w:lang w:val="en-US"/>
              </w:rPr>
            </w:pPr>
            <w:r w:rsidRPr="00222917">
              <w:rPr>
                <w:sz w:val="18"/>
                <w:lang w:val="en-US"/>
              </w:rPr>
              <w:t>12,042</w:t>
            </w:r>
          </w:p>
        </w:tc>
        <w:tc>
          <w:tcPr>
            <w:tcW w:w="1021" w:type="dxa"/>
            <w:tcBorders>
              <w:top w:val="single" w:sz="12" w:space="0" w:color="auto"/>
            </w:tcBorders>
            <w:shd w:val="clear" w:color="auto" w:fill="auto"/>
            <w:vAlign w:val="bottom"/>
          </w:tcPr>
          <w:p w:rsidR="002D5BB0" w:rsidRPr="00222917" w:rsidRDefault="002D5BB0" w:rsidP="00AF4C0E">
            <w:pPr>
              <w:pStyle w:val="SingleTxtG"/>
              <w:suppressAutoHyphens w:val="0"/>
              <w:spacing w:before="40" w:after="40" w:line="220" w:lineRule="exact"/>
              <w:ind w:left="0" w:right="0"/>
              <w:jc w:val="right"/>
              <w:rPr>
                <w:sz w:val="18"/>
                <w:lang w:val="en-US"/>
              </w:rPr>
            </w:pPr>
            <w:r w:rsidRPr="00222917">
              <w:rPr>
                <w:sz w:val="18"/>
                <w:lang w:val="en-US"/>
              </w:rPr>
              <w:t>12,383</w:t>
            </w:r>
          </w:p>
        </w:tc>
        <w:tc>
          <w:tcPr>
            <w:tcW w:w="1021" w:type="dxa"/>
            <w:tcBorders>
              <w:top w:val="single" w:sz="12" w:space="0" w:color="auto"/>
            </w:tcBorders>
            <w:shd w:val="clear" w:color="auto" w:fill="auto"/>
            <w:vAlign w:val="bottom"/>
          </w:tcPr>
          <w:p w:rsidR="002D5BB0" w:rsidRPr="00222917" w:rsidRDefault="002D5BB0" w:rsidP="00AF4C0E">
            <w:pPr>
              <w:pStyle w:val="SingleTxtG"/>
              <w:suppressAutoHyphens w:val="0"/>
              <w:spacing w:before="40" w:after="40" w:line="220" w:lineRule="exact"/>
              <w:ind w:left="0" w:right="0"/>
              <w:jc w:val="right"/>
              <w:rPr>
                <w:sz w:val="18"/>
                <w:lang w:val="en-US"/>
              </w:rPr>
            </w:pPr>
            <w:r w:rsidRPr="00222917">
              <w:rPr>
                <w:sz w:val="18"/>
                <w:lang w:val="en-US"/>
              </w:rPr>
              <w:t>14,634</w:t>
            </w:r>
          </w:p>
        </w:tc>
        <w:tc>
          <w:tcPr>
            <w:tcW w:w="1021" w:type="dxa"/>
            <w:tcBorders>
              <w:top w:val="single" w:sz="12" w:space="0" w:color="auto"/>
            </w:tcBorders>
            <w:shd w:val="clear" w:color="auto" w:fill="auto"/>
            <w:vAlign w:val="bottom"/>
          </w:tcPr>
          <w:p w:rsidR="002D5BB0" w:rsidRPr="00222917" w:rsidRDefault="002D5BB0" w:rsidP="00AF4C0E">
            <w:pPr>
              <w:pStyle w:val="SingleTxtG"/>
              <w:suppressAutoHyphens w:val="0"/>
              <w:spacing w:before="40" w:after="40" w:line="220" w:lineRule="exact"/>
              <w:ind w:left="0" w:right="0"/>
              <w:jc w:val="right"/>
              <w:rPr>
                <w:sz w:val="18"/>
                <w:lang w:val="en-US"/>
              </w:rPr>
            </w:pPr>
            <w:r w:rsidRPr="00222917">
              <w:rPr>
                <w:sz w:val="18"/>
                <w:lang w:val="en-US"/>
              </w:rPr>
              <w:t>15,692</w:t>
            </w:r>
          </w:p>
        </w:tc>
      </w:tr>
      <w:tr w:rsidR="0024745E" w:rsidRPr="00222917" w:rsidTr="00AF4C0E">
        <w:trPr>
          <w:trHeight w:val="240"/>
        </w:trPr>
        <w:tc>
          <w:tcPr>
            <w:tcW w:w="3289" w:type="dxa"/>
            <w:tcBorders>
              <w:bottom w:val="single" w:sz="12" w:space="0" w:color="auto"/>
            </w:tcBorders>
            <w:shd w:val="clear" w:color="auto" w:fill="auto"/>
          </w:tcPr>
          <w:p w:rsidR="002D5BB0" w:rsidRPr="00222917" w:rsidRDefault="002D5BB0" w:rsidP="00AF4C0E">
            <w:pPr>
              <w:pStyle w:val="SingleTxtG"/>
              <w:suppressAutoHyphens w:val="0"/>
              <w:spacing w:before="40" w:after="40" w:line="220" w:lineRule="exact"/>
              <w:ind w:left="0" w:right="0"/>
              <w:jc w:val="left"/>
              <w:rPr>
                <w:sz w:val="18"/>
                <w:lang w:val="en-US"/>
              </w:rPr>
            </w:pPr>
            <w:r w:rsidRPr="00222917">
              <w:rPr>
                <w:sz w:val="18"/>
                <w:lang w:val="en-US"/>
              </w:rPr>
              <w:t xml:space="preserve">Institutions providing preventive education </w:t>
            </w:r>
          </w:p>
        </w:tc>
        <w:tc>
          <w:tcPr>
            <w:tcW w:w="1021" w:type="dxa"/>
            <w:tcBorders>
              <w:bottom w:val="single" w:sz="12" w:space="0" w:color="auto"/>
            </w:tcBorders>
            <w:shd w:val="clear" w:color="auto" w:fill="auto"/>
            <w:vAlign w:val="bottom"/>
          </w:tcPr>
          <w:p w:rsidR="002D5BB0" w:rsidRPr="00222917" w:rsidRDefault="002D5BB0" w:rsidP="00AF4C0E">
            <w:pPr>
              <w:pStyle w:val="SingleTxtG"/>
              <w:suppressAutoHyphens w:val="0"/>
              <w:spacing w:before="40" w:after="40" w:line="220" w:lineRule="exact"/>
              <w:ind w:left="0" w:right="0"/>
              <w:jc w:val="right"/>
              <w:rPr>
                <w:sz w:val="18"/>
                <w:lang w:val="en-US"/>
              </w:rPr>
            </w:pPr>
            <w:r w:rsidRPr="00222917">
              <w:rPr>
                <w:sz w:val="18"/>
                <w:lang w:val="en-US"/>
              </w:rPr>
              <w:t>98.0%</w:t>
            </w:r>
          </w:p>
        </w:tc>
        <w:tc>
          <w:tcPr>
            <w:tcW w:w="1021" w:type="dxa"/>
            <w:tcBorders>
              <w:bottom w:val="single" w:sz="12" w:space="0" w:color="auto"/>
            </w:tcBorders>
            <w:shd w:val="clear" w:color="auto" w:fill="auto"/>
            <w:vAlign w:val="bottom"/>
          </w:tcPr>
          <w:p w:rsidR="002D5BB0" w:rsidRPr="00222917" w:rsidRDefault="002D5BB0" w:rsidP="00AF4C0E">
            <w:pPr>
              <w:pStyle w:val="SingleTxtG"/>
              <w:suppressAutoHyphens w:val="0"/>
              <w:spacing w:before="40" w:after="40" w:line="220" w:lineRule="exact"/>
              <w:ind w:left="0" w:right="0"/>
              <w:jc w:val="right"/>
              <w:rPr>
                <w:sz w:val="18"/>
                <w:lang w:val="en-US"/>
              </w:rPr>
            </w:pPr>
            <w:r w:rsidRPr="00222917">
              <w:rPr>
                <w:sz w:val="18"/>
                <w:lang w:val="en-US"/>
              </w:rPr>
              <w:t>97.7%</w:t>
            </w:r>
          </w:p>
        </w:tc>
        <w:tc>
          <w:tcPr>
            <w:tcW w:w="1021" w:type="dxa"/>
            <w:tcBorders>
              <w:bottom w:val="single" w:sz="12" w:space="0" w:color="auto"/>
            </w:tcBorders>
            <w:shd w:val="clear" w:color="auto" w:fill="auto"/>
            <w:vAlign w:val="bottom"/>
          </w:tcPr>
          <w:p w:rsidR="002D5BB0" w:rsidRPr="00222917" w:rsidRDefault="002D5BB0" w:rsidP="00AF4C0E">
            <w:pPr>
              <w:pStyle w:val="SingleTxtG"/>
              <w:suppressAutoHyphens w:val="0"/>
              <w:spacing w:before="40" w:after="40" w:line="220" w:lineRule="exact"/>
              <w:ind w:left="0" w:right="0"/>
              <w:jc w:val="right"/>
              <w:rPr>
                <w:sz w:val="18"/>
                <w:lang w:val="en-US"/>
              </w:rPr>
            </w:pPr>
            <w:r w:rsidRPr="00222917">
              <w:rPr>
                <w:sz w:val="18"/>
                <w:lang w:val="en-US"/>
              </w:rPr>
              <w:t>96.7%</w:t>
            </w:r>
          </w:p>
        </w:tc>
        <w:tc>
          <w:tcPr>
            <w:tcW w:w="1021" w:type="dxa"/>
            <w:tcBorders>
              <w:bottom w:val="single" w:sz="12" w:space="0" w:color="auto"/>
            </w:tcBorders>
            <w:shd w:val="clear" w:color="auto" w:fill="auto"/>
            <w:vAlign w:val="bottom"/>
          </w:tcPr>
          <w:p w:rsidR="002D5BB0" w:rsidRPr="00222917" w:rsidRDefault="002D5BB0" w:rsidP="00AF4C0E">
            <w:pPr>
              <w:pStyle w:val="SingleTxtG"/>
              <w:suppressAutoHyphens w:val="0"/>
              <w:spacing w:before="40" w:after="40" w:line="220" w:lineRule="exact"/>
              <w:ind w:left="0" w:right="0"/>
              <w:jc w:val="right"/>
              <w:rPr>
                <w:sz w:val="18"/>
                <w:lang w:val="en-US"/>
              </w:rPr>
            </w:pPr>
            <w:r w:rsidRPr="00222917">
              <w:rPr>
                <w:sz w:val="18"/>
                <w:lang w:val="en-US"/>
              </w:rPr>
              <w:t>98.7%</w:t>
            </w:r>
          </w:p>
        </w:tc>
      </w:tr>
    </w:tbl>
    <w:p w:rsidR="002D5BB0" w:rsidRPr="00222917" w:rsidRDefault="00547908" w:rsidP="00547908">
      <w:pPr>
        <w:pStyle w:val="SingleTxtG"/>
        <w:spacing w:before="240"/>
        <w:rPr>
          <w:lang w:val="en-US"/>
        </w:rPr>
      </w:pPr>
      <w:r w:rsidRPr="00222917">
        <w:rPr>
          <w:lang w:val="en-US"/>
        </w:rPr>
        <w:t>97.</w:t>
      </w:r>
      <w:r w:rsidRPr="00222917">
        <w:rPr>
          <w:lang w:val="en-US"/>
        </w:rPr>
        <w:tab/>
      </w:r>
      <w:r w:rsidR="002D5BB0" w:rsidRPr="00222917">
        <w:rPr>
          <w:lang w:val="en-US"/>
        </w:rPr>
        <w:t xml:space="preserve">The amendments of the </w:t>
      </w:r>
      <w:r w:rsidR="002D5BB0" w:rsidRPr="00C70182">
        <w:rPr>
          <w:iCs/>
          <w:lang w:val="en-US"/>
        </w:rPr>
        <w:t>Framework Act on Women’s Development</w:t>
      </w:r>
      <w:r w:rsidR="00C974F8" w:rsidRPr="00222917">
        <w:rPr>
          <w:lang w:val="en-US"/>
        </w:rPr>
        <w:t xml:space="preserve"> on 14 September 2008 (</w:t>
      </w:r>
      <w:r w:rsidR="00681EC0" w:rsidRPr="00222917">
        <w:rPr>
          <w:lang w:val="en-US"/>
        </w:rPr>
        <w:t>a</w:t>
      </w:r>
      <w:r w:rsidR="00C974F8" w:rsidRPr="00222917">
        <w:rPr>
          <w:lang w:val="en-US"/>
        </w:rPr>
        <w:t>rticle </w:t>
      </w:r>
      <w:r w:rsidR="002D5BB0" w:rsidRPr="00222917">
        <w:rPr>
          <w:lang w:val="en-US"/>
        </w:rPr>
        <w:t>17-2) and of its Enforcement Dec</w:t>
      </w:r>
      <w:r w:rsidR="00C974F8" w:rsidRPr="00222917">
        <w:rPr>
          <w:lang w:val="en-US"/>
        </w:rPr>
        <w:t>ree on 3 February 2009 (</w:t>
      </w:r>
      <w:r w:rsidR="00681EC0" w:rsidRPr="00222917">
        <w:rPr>
          <w:lang w:val="en-US"/>
        </w:rPr>
        <w:t>a</w:t>
      </w:r>
      <w:r w:rsidR="00C974F8" w:rsidRPr="00222917">
        <w:rPr>
          <w:lang w:val="en-US"/>
        </w:rPr>
        <w:t>rticle </w:t>
      </w:r>
      <w:r w:rsidR="002D5BB0" w:rsidRPr="00222917">
        <w:rPr>
          <w:lang w:val="en-US"/>
        </w:rPr>
        <w:t xml:space="preserve">27-2) introduced new measures to prevent sexual harassment. Preventive measures including education are made compulsory along with duty to report the result to the Minister of Gender Equality, who is </w:t>
      </w:r>
      <w:r w:rsidR="002D5BB0" w:rsidRPr="00222917">
        <w:rPr>
          <w:bCs/>
          <w:lang w:val="en-US"/>
        </w:rPr>
        <w:t>required</w:t>
      </w:r>
      <w:r w:rsidR="002D5BB0" w:rsidRPr="00222917">
        <w:rPr>
          <w:lang w:val="en-US"/>
        </w:rPr>
        <w:t xml:space="preserve"> to monitor preventive measures and take actions including special education for managers for poor performance. In addition, the result of monitoring measures to prevent sexual harassment may be disclosed publicly. </w:t>
      </w:r>
    </w:p>
    <w:p w:rsidR="002D5BB0" w:rsidRPr="00222917" w:rsidRDefault="00547908" w:rsidP="00547908">
      <w:pPr>
        <w:pStyle w:val="SingleTxtG"/>
        <w:rPr>
          <w:lang w:val="en-US"/>
        </w:rPr>
      </w:pPr>
      <w:r w:rsidRPr="00222917">
        <w:rPr>
          <w:lang w:val="en-US"/>
        </w:rPr>
        <w:t>98.</w:t>
      </w:r>
      <w:r w:rsidRPr="00222917">
        <w:rPr>
          <w:lang w:val="en-US"/>
        </w:rPr>
        <w:tab/>
      </w:r>
      <w:r w:rsidR="002D5BB0" w:rsidRPr="00222917">
        <w:rPr>
          <w:lang w:val="en-US"/>
        </w:rPr>
        <w:t xml:space="preserve">A sexual harassment prevention system targeting the public sector including state agencies, local governments, schools, and public service organizations has been in place. At the beginning of each year, the Government distributes guidelines to prevent sexual harassment to public institutions. With the computerization of integrated management system for prevention of sexual harassment and sex trade (shp.mogef.go.kr), reporting prevention measures and their monitoring became more efficient. Along with targeted education for the managers of poor performance, excellent performance is awarded. </w:t>
      </w:r>
    </w:p>
    <w:p w:rsidR="002D5BB0" w:rsidRPr="00222917" w:rsidRDefault="00547908" w:rsidP="00547908">
      <w:pPr>
        <w:pStyle w:val="SingleTxtG"/>
        <w:rPr>
          <w:lang w:val="en-US"/>
        </w:rPr>
      </w:pPr>
      <w:r w:rsidRPr="00222917">
        <w:rPr>
          <w:lang w:val="en-US"/>
        </w:rPr>
        <w:t>99.</w:t>
      </w:r>
      <w:r w:rsidRPr="00222917">
        <w:rPr>
          <w:lang w:val="en-US"/>
        </w:rPr>
        <w:tab/>
      </w:r>
      <w:r w:rsidR="002D5BB0" w:rsidRPr="00222917">
        <w:rPr>
          <w:lang w:val="en-US"/>
        </w:rPr>
        <w:t xml:space="preserve">In addition, the Government supports sexual harassment prevention education in public institutions by developing </w:t>
      </w:r>
      <w:r w:rsidR="002D5BB0" w:rsidRPr="00222917">
        <w:rPr>
          <w:bCs/>
          <w:lang w:val="en-US"/>
        </w:rPr>
        <w:t>education</w:t>
      </w:r>
      <w:r w:rsidR="002D5BB0" w:rsidRPr="00222917">
        <w:rPr>
          <w:lang w:val="en-US"/>
        </w:rPr>
        <w:t xml:space="preserve"> materials for distribution and providing training of sexual harassment prevention education instructors and counselors. From 2007 to 2010, 97.8% of public institutions carried out sexual harassment prevention education. </w:t>
      </w:r>
    </w:p>
    <w:p w:rsidR="002D5BB0" w:rsidRPr="00222917" w:rsidRDefault="00455482" w:rsidP="00455482">
      <w:pPr>
        <w:pStyle w:val="H4G"/>
        <w:rPr>
          <w:lang w:val="en-US"/>
        </w:rPr>
      </w:pPr>
      <w:r w:rsidRPr="00222917">
        <w:rPr>
          <w:lang w:val="en-US"/>
        </w:rPr>
        <w:tab/>
      </w:r>
      <w:r w:rsidRPr="00222917">
        <w:rPr>
          <w:lang w:val="en-US"/>
        </w:rPr>
        <w:tab/>
      </w:r>
      <w:r w:rsidR="002D5BB0" w:rsidRPr="00222917">
        <w:rPr>
          <w:lang w:val="en-US"/>
        </w:rPr>
        <w:t xml:space="preserve">Effort for Prevention of Sexual Harassment in the Workplace </w:t>
      </w:r>
    </w:p>
    <w:p w:rsidR="002D5BB0" w:rsidRPr="00222917" w:rsidRDefault="00547908" w:rsidP="00547908">
      <w:pPr>
        <w:pStyle w:val="SingleTxtG"/>
        <w:rPr>
          <w:lang w:val="en-US"/>
        </w:rPr>
      </w:pPr>
      <w:r w:rsidRPr="00222917">
        <w:rPr>
          <w:lang w:val="en-US"/>
        </w:rPr>
        <w:t>100.</w:t>
      </w:r>
      <w:r w:rsidRPr="00222917">
        <w:rPr>
          <w:lang w:val="en-US"/>
        </w:rPr>
        <w:tab/>
      </w:r>
      <w:r w:rsidR="002D5BB0" w:rsidRPr="00222917">
        <w:rPr>
          <w:lang w:val="en-US"/>
        </w:rPr>
        <w:t xml:space="preserve">The </w:t>
      </w:r>
      <w:r w:rsidR="002D5BB0" w:rsidRPr="00222917">
        <w:rPr>
          <w:iCs/>
          <w:lang w:val="en-US"/>
        </w:rPr>
        <w:t xml:space="preserve">Equal Employment Opportunity and Work Family Balance Assistance Act </w:t>
      </w:r>
      <w:r w:rsidR="002D5BB0" w:rsidRPr="00222917">
        <w:rPr>
          <w:lang w:val="en-US"/>
        </w:rPr>
        <w:t>provides for the prohibition and prevention of sexual harassment in the workplace (</w:t>
      </w:r>
      <w:r w:rsidR="00681EC0" w:rsidRPr="00222917">
        <w:rPr>
          <w:lang w:val="en-US"/>
        </w:rPr>
        <w:t>a</w:t>
      </w:r>
      <w:r w:rsidR="002D5BB0" w:rsidRPr="00222917">
        <w:rPr>
          <w:lang w:val="en-US"/>
        </w:rPr>
        <w:t>rticles</w:t>
      </w:r>
      <w:r w:rsidR="00C974F8" w:rsidRPr="00222917">
        <w:rPr>
          <w:lang w:val="en-US"/>
        </w:rPr>
        <w:t> 12 to 14-2, Chapter </w:t>
      </w:r>
      <w:r w:rsidR="002D5BB0" w:rsidRPr="00222917">
        <w:rPr>
          <w:lang w:val="en-US"/>
        </w:rPr>
        <w:t xml:space="preserve">2), </w:t>
      </w:r>
      <w:r w:rsidR="002D5BB0" w:rsidRPr="00222917">
        <w:rPr>
          <w:bCs/>
          <w:lang w:val="en-US"/>
        </w:rPr>
        <w:t>including</w:t>
      </w:r>
      <w:r w:rsidR="002D5BB0" w:rsidRPr="00222917">
        <w:rPr>
          <w:lang w:val="en-US"/>
        </w:rPr>
        <w:t xml:space="preserve"> obligatory sexual harassment prevention education, measures to be taken in the event of sexual harassment, prevention of sexual harassment by customers and other people, and prohibition of retribution in response to claims of sexual harassment. The Act also contains provisions on a penalty and fine for negligence in </w:t>
      </w:r>
      <w:r w:rsidR="00C974F8" w:rsidRPr="00222917">
        <w:rPr>
          <w:lang w:val="en-US"/>
        </w:rPr>
        <w:t>case of its violation (</w:t>
      </w:r>
      <w:r w:rsidR="00681EC0" w:rsidRPr="00222917">
        <w:rPr>
          <w:lang w:val="en-US"/>
        </w:rPr>
        <w:t>a</w:t>
      </w:r>
      <w:r w:rsidR="00C974F8" w:rsidRPr="00222917">
        <w:rPr>
          <w:lang w:val="en-US"/>
        </w:rPr>
        <w:t>rticles </w:t>
      </w:r>
      <w:r w:rsidR="002D5BB0" w:rsidRPr="00222917">
        <w:rPr>
          <w:lang w:val="en-US"/>
        </w:rPr>
        <w:t xml:space="preserve">37 to 39). </w:t>
      </w:r>
    </w:p>
    <w:p w:rsidR="002D5BB0" w:rsidRPr="00222917" w:rsidRDefault="00547908" w:rsidP="00547908">
      <w:pPr>
        <w:pStyle w:val="SingleTxtG"/>
        <w:rPr>
          <w:lang w:val="en-US"/>
        </w:rPr>
      </w:pPr>
      <w:r w:rsidRPr="00222917">
        <w:rPr>
          <w:lang w:val="en-US"/>
        </w:rPr>
        <w:t>101.</w:t>
      </w:r>
      <w:r w:rsidRPr="00222917">
        <w:rPr>
          <w:lang w:val="en-US"/>
        </w:rPr>
        <w:tab/>
      </w:r>
      <w:r w:rsidR="002D5BB0" w:rsidRPr="00222917">
        <w:rPr>
          <w:lang w:val="en-US"/>
        </w:rPr>
        <w:t>Joint monitoring and efforts for improvement by labor unions and managements of sexual harassment prevention education are made voluntarily on a yearly basis. The</w:t>
      </w:r>
      <w:r w:rsidR="00372906" w:rsidRPr="00222917">
        <w:rPr>
          <w:lang w:val="en-US"/>
        </w:rPr>
        <w:t> </w:t>
      </w:r>
      <w:r w:rsidR="002D5BB0" w:rsidRPr="00222917">
        <w:rPr>
          <w:lang w:val="en-US"/>
        </w:rPr>
        <w:t xml:space="preserve">Government inspects workplaces that are suspected to have conducted such education inadequately. With respect to workplaces employing a large number of women, the Government conducts overall inspection of their sexual harassment prevention education records and relevant documentation (required to retain for three years), and the inspection results are managed through a computerized system named </w:t>
      </w:r>
      <w:r w:rsidR="002D5BB0" w:rsidRPr="00222917">
        <w:rPr>
          <w:i/>
          <w:lang w:val="en-US"/>
        </w:rPr>
        <w:t>Nosanuri</w:t>
      </w:r>
      <w:r w:rsidR="002D5BB0" w:rsidRPr="00222917">
        <w:rPr>
          <w:lang w:val="en-US"/>
        </w:rPr>
        <w:t xml:space="preserve">. In addition, free-of charge instructors from a pool created by the </w:t>
      </w:r>
      <w:r w:rsidR="0005151A">
        <w:rPr>
          <w:lang w:val="en-US"/>
        </w:rPr>
        <w:t>G</w:t>
      </w:r>
      <w:r w:rsidR="002D5BB0" w:rsidRPr="00222917">
        <w:rPr>
          <w:lang w:val="en-US"/>
        </w:rPr>
        <w:t xml:space="preserve">overnment are sent to small workplaces that have difficulty with providing adequate preventive education despite a high risk of sexual harassment. The Government also engages in promoting prevention of sexual harassment through mass media and designates institutes providing preventive education. </w:t>
      </w:r>
    </w:p>
    <w:p w:rsidR="002D5BB0" w:rsidRPr="00222917" w:rsidRDefault="00455482" w:rsidP="00455482">
      <w:pPr>
        <w:pStyle w:val="H23G"/>
        <w:rPr>
          <w:lang w:val="en-US"/>
        </w:rPr>
      </w:pPr>
      <w:r w:rsidRPr="00222917">
        <w:rPr>
          <w:lang w:val="en-US"/>
        </w:rPr>
        <w:tab/>
      </w:r>
      <w:r w:rsidRPr="00222917">
        <w:rPr>
          <w:lang w:val="en-US"/>
        </w:rPr>
        <w:tab/>
      </w:r>
      <w:r w:rsidR="002D5BB0" w:rsidRPr="00222917">
        <w:rPr>
          <w:lang w:val="en-US"/>
        </w:rPr>
        <w:t>Voluntary Monitoring of Sexual Harassment Prevention in the Workplace</w:t>
      </w:r>
    </w:p>
    <w:tbl>
      <w:tblPr>
        <w:tblW w:w="8505" w:type="dxa"/>
        <w:tblInd w:w="1134" w:type="dxa"/>
        <w:tblBorders>
          <w:top w:val="single" w:sz="4" w:space="0" w:color="auto"/>
        </w:tblBorders>
        <w:tblLayout w:type="fixed"/>
        <w:tblCellMar>
          <w:left w:w="0" w:type="dxa"/>
          <w:right w:w="0" w:type="dxa"/>
        </w:tblCellMar>
        <w:tblLook w:val="0000"/>
      </w:tblPr>
      <w:tblGrid>
        <w:gridCol w:w="1135"/>
        <w:gridCol w:w="1135"/>
        <w:gridCol w:w="1247"/>
        <w:gridCol w:w="1247"/>
        <w:gridCol w:w="1247"/>
        <w:gridCol w:w="1247"/>
        <w:gridCol w:w="1247"/>
      </w:tblGrid>
      <w:tr w:rsidR="0024745E" w:rsidRPr="00222917" w:rsidTr="009F3787">
        <w:trPr>
          <w:trHeight w:val="240"/>
          <w:tblHeader/>
        </w:trPr>
        <w:tc>
          <w:tcPr>
            <w:tcW w:w="1134" w:type="dxa"/>
            <w:gridSpan w:val="2"/>
            <w:tcBorders>
              <w:top w:val="single" w:sz="4" w:space="0" w:color="auto"/>
              <w:bottom w:val="single" w:sz="12" w:space="0" w:color="auto"/>
            </w:tcBorders>
            <w:shd w:val="clear" w:color="auto" w:fill="auto"/>
            <w:vAlign w:val="bottom"/>
          </w:tcPr>
          <w:p w:rsidR="0024745E" w:rsidRPr="00222917" w:rsidRDefault="0024745E" w:rsidP="00A34665">
            <w:pPr>
              <w:suppressAutoHyphens w:val="0"/>
              <w:spacing w:before="80" w:after="80" w:line="200" w:lineRule="exact"/>
              <w:rPr>
                <w:rFonts w:eastAsia="Gulim"/>
                <w:i/>
                <w:sz w:val="16"/>
                <w:szCs w:val="22"/>
                <w:lang w:val="en-US"/>
              </w:rPr>
            </w:pPr>
            <w:r w:rsidRPr="00222917">
              <w:rPr>
                <w:rFonts w:eastAsia="Gulim"/>
                <w:bCs/>
                <w:i/>
                <w:sz w:val="16"/>
                <w:szCs w:val="22"/>
                <w:lang w:val="en-US"/>
              </w:rPr>
              <w:t>Year</w:t>
            </w:r>
          </w:p>
        </w:tc>
        <w:tc>
          <w:tcPr>
            <w:tcW w:w="1247" w:type="dxa"/>
            <w:tcBorders>
              <w:top w:val="single" w:sz="4" w:space="0" w:color="auto"/>
              <w:bottom w:val="single" w:sz="12" w:space="0" w:color="auto"/>
            </w:tcBorders>
            <w:shd w:val="clear" w:color="auto" w:fill="auto"/>
            <w:vAlign w:val="bottom"/>
          </w:tcPr>
          <w:p w:rsidR="0024745E" w:rsidRPr="00222917" w:rsidRDefault="0024745E" w:rsidP="00A34665">
            <w:pPr>
              <w:suppressAutoHyphens w:val="0"/>
              <w:spacing w:before="80" w:after="80" w:line="200" w:lineRule="exact"/>
              <w:jc w:val="right"/>
              <w:rPr>
                <w:rFonts w:eastAsia="Gulim"/>
                <w:i/>
                <w:sz w:val="16"/>
                <w:szCs w:val="22"/>
                <w:lang w:val="en-US"/>
              </w:rPr>
            </w:pPr>
            <w:r w:rsidRPr="00222917">
              <w:rPr>
                <w:rFonts w:eastAsia="Gulim"/>
                <w:bCs/>
                <w:i/>
                <w:sz w:val="16"/>
                <w:szCs w:val="22"/>
                <w:lang w:val="en-US"/>
              </w:rPr>
              <w:t>2006</w:t>
            </w:r>
          </w:p>
        </w:tc>
        <w:tc>
          <w:tcPr>
            <w:tcW w:w="1247" w:type="dxa"/>
            <w:tcBorders>
              <w:top w:val="single" w:sz="4" w:space="0" w:color="auto"/>
              <w:bottom w:val="single" w:sz="12" w:space="0" w:color="auto"/>
            </w:tcBorders>
            <w:shd w:val="clear" w:color="auto" w:fill="auto"/>
            <w:vAlign w:val="bottom"/>
          </w:tcPr>
          <w:p w:rsidR="0024745E" w:rsidRPr="00222917" w:rsidRDefault="0024745E" w:rsidP="00A34665">
            <w:pPr>
              <w:suppressAutoHyphens w:val="0"/>
              <w:spacing w:before="80" w:after="80" w:line="200" w:lineRule="exact"/>
              <w:jc w:val="right"/>
              <w:rPr>
                <w:rFonts w:eastAsia="Gulim"/>
                <w:i/>
                <w:sz w:val="16"/>
                <w:szCs w:val="22"/>
                <w:lang w:val="en-US"/>
              </w:rPr>
            </w:pPr>
            <w:r w:rsidRPr="00222917">
              <w:rPr>
                <w:rFonts w:eastAsia="Gulim"/>
                <w:bCs/>
                <w:i/>
                <w:sz w:val="16"/>
                <w:szCs w:val="22"/>
                <w:lang w:val="en-US"/>
              </w:rPr>
              <w:t>2007</w:t>
            </w:r>
          </w:p>
        </w:tc>
        <w:tc>
          <w:tcPr>
            <w:tcW w:w="1247" w:type="dxa"/>
            <w:tcBorders>
              <w:top w:val="single" w:sz="4" w:space="0" w:color="auto"/>
              <w:bottom w:val="single" w:sz="12" w:space="0" w:color="auto"/>
            </w:tcBorders>
            <w:shd w:val="clear" w:color="auto" w:fill="auto"/>
            <w:vAlign w:val="bottom"/>
          </w:tcPr>
          <w:p w:rsidR="0024745E" w:rsidRPr="00222917" w:rsidRDefault="0024745E" w:rsidP="00A34665">
            <w:pPr>
              <w:suppressAutoHyphens w:val="0"/>
              <w:spacing w:before="80" w:after="80" w:line="200" w:lineRule="exact"/>
              <w:jc w:val="right"/>
              <w:rPr>
                <w:rFonts w:eastAsia="Gulim"/>
                <w:i/>
                <w:sz w:val="16"/>
                <w:szCs w:val="22"/>
                <w:lang w:val="en-US"/>
              </w:rPr>
            </w:pPr>
            <w:r w:rsidRPr="00222917">
              <w:rPr>
                <w:rFonts w:eastAsia="Gulim"/>
                <w:bCs/>
                <w:i/>
                <w:sz w:val="16"/>
                <w:szCs w:val="22"/>
                <w:lang w:val="en-US"/>
              </w:rPr>
              <w:t>2008</w:t>
            </w:r>
          </w:p>
        </w:tc>
        <w:tc>
          <w:tcPr>
            <w:tcW w:w="1247" w:type="dxa"/>
            <w:tcBorders>
              <w:top w:val="single" w:sz="4" w:space="0" w:color="auto"/>
              <w:bottom w:val="single" w:sz="12" w:space="0" w:color="auto"/>
            </w:tcBorders>
            <w:shd w:val="clear" w:color="auto" w:fill="auto"/>
            <w:vAlign w:val="bottom"/>
          </w:tcPr>
          <w:p w:rsidR="0024745E" w:rsidRPr="00222917" w:rsidRDefault="0024745E" w:rsidP="00A34665">
            <w:pPr>
              <w:suppressAutoHyphens w:val="0"/>
              <w:spacing w:before="80" w:after="80" w:line="200" w:lineRule="exact"/>
              <w:jc w:val="right"/>
              <w:rPr>
                <w:rFonts w:eastAsia="Gulim"/>
                <w:i/>
                <w:sz w:val="16"/>
                <w:szCs w:val="22"/>
                <w:lang w:val="en-US"/>
              </w:rPr>
            </w:pPr>
            <w:r w:rsidRPr="00222917">
              <w:rPr>
                <w:rFonts w:eastAsia="Gulim"/>
                <w:bCs/>
                <w:i/>
                <w:sz w:val="16"/>
                <w:szCs w:val="22"/>
                <w:lang w:val="en-US"/>
              </w:rPr>
              <w:t>2009</w:t>
            </w:r>
          </w:p>
        </w:tc>
        <w:tc>
          <w:tcPr>
            <w:tcW w:w="1247" w:type="dxa"/>
            <w:tcBorders>
              <w:top w:val="single" w:sz="4" w:space="0" w:color="auto"/>
              <w:bottom w:val="single" w:sz="12" w:space="0" w:color="auto"/>
            </w:tcBorders>
            <w:shd w:val="clear" w:color="auto" w:fill="auto"/>
            <w:vAlign w:val="bottom"/>
          </w:tcPr>
          <w:p w:rsidR="0024745E" w:rsidRPr="00222917" w:rsidRDefault="0024745E" w:rsidP="00A34665">
            <w:pPr>
              <w:suppressAutoHyphens w:val="0"/>
              <w:spacing w:before="80" w:after="80" w:line="200" w:lineRule="exact"/>
              <w:jc w:val="right"/>
              <w:rPr>
                <w:rFonts w:eastAsia="Gulim"/>
                <w:bCs/>
                <w:i/>
                <w:sz w:val="16"/>
                <w:szCs w:val="22"/>
                <w:lang w:val="en-US"/>
              </w:rPr>
            </w:pPr>
            <w:r w:rsidRPr="00222917">
              <w:rPr>
                <w:rFonts w:eastAsia="Gulim"/>
                <w:bCs/>
                <w:i/>
                <w:sz w:val="16"/>
                <w:szCs w:val="22"/>
                <w:lang w:val="en-US"/>
              </w:rPr>
              <w:t>2010</w:t>
            </w:r>
          </w:p>
        </w:tc>
      </w:tr>
      <w:tr w:rsidR="0024745E" w:rsidRPr="00222917" w:rsidTr="009F3787">
        <w:trPr>
          <w:trHeight w:val="240"/>
        </w:trPr>
        <w:tc>
          <w:tcPr>
            <w:tcW w:w="1134" w:type="dxa"/>
            <w:gridSpan w:val="2"/>
            <w:tcBorders>
              <w:top w:val="single" w:sz="12" w:space="0" w:color="auto"/>
            </w:tcBorders>
            <w:shd w:val="clear" w:color="auto" w:fill="auto"/>
          </w:tcPr>
          <w:p w:rsidR="0024745E" w:rsidRPr="00222917" w:rsidRDefault="0024745E" w:rsidP="00A34665">
            <w:pPr>
              <w:suppressAutoHyphens w:val="0"/>
              <w:spacing w:before="40" w:after="40" w:line="220" w:lineRule="exact"/>
              <w:rPr>
                <w:rFonts w:eastAsia="Gulim"/>
                <w:sz w:val="18"/>
                <w:lang w:val="en-US"/>
              </w:rPr>
            </w:pPr>
            <w:r w:rsidRPr="00222917">
              <w:rPr>
                <w:rFonts w:eastAsia="Gulim"/>
                <w:bCs/>
                <w:sz w:val="18"/>
                <w:lang w:val="en-US"/>
              </w:rPr>
              <w:t>Target of monitoring</w:t>
            </w:r>
          </w:p>
        </w:tc>
        <w:tc>
          <w:tcPr>
            <w:tcW w:w="1247" w:type="dxa"/>
            <w:tcBorders>
              <w:top w:val="single" w:sz="12" w:space="0" w:color="auto"/>
            </w:tcBorders>
            <w:shd w:val="clear" w:color="auto" w:fill="auto"/>
            <w:vAlign w:val="bottom"/>
          </w:tcPr>
          <w:p w:rsidR="0024745E" w:rsidRPr="00222917" w:rsidRDefault="00897A25" w:rsidP="00A34665">
            <w:pPr>
              <w:suppressAutoHyphens w:val="0"/>
              <w:spacing w:before="40" w:after="40" w:line="220" w:lineRule="exact"/>
              <w:jc w:val="right"/>
              <w:rPr>
                <w:rFonts w:eastAsia="Gulim"/>
                <w:sz w:val="18"/>
                <w:lang w:val="en-US"/>
              </w:rPr>
            </w:pPr>
            <w:r w:rsidRPr="00222917">
              <w:rPr>
                <w:rFonts w:eastAsia="Gulim"/>
                <w:bCs/>
                <w:sz w:val="18"/>
                <w:lang w:val="en-US"/>
              </w:rPr>
              <w:t>With employees between</w:t>
            </w:r>
            <w:r w:rsidRPr="00222917">
              <w:rPr>
                <w:rFonts w:eastAsia="Gulim"/>
                <w:bCs/>
                <w:sz w:val="18"/>
                <w:lang w:val="en-US"/>
              </w:rPr>
              <w:br/>
            </w:r>
            <w:r w:rsidR="0024745E" w:rsidRPr="00222917">
              <w:rPr>
                <w:rFonts w:eastAsia="Gulim"/>
                <w:bCs/>
                <w:sz w:val="18"/>
                <w:lang w:val="en-US"/>
              </w:rPr>
              <w:t>10 and 19 (manufacturing business)</w:t>
            </w:r>
          </w:p>
        </w:tc>
        <w:tc>
          <w:tcPr>
            <w:tcW w:w="1247" w:type="dxa"/>
            <w:tcBorders>
              <w:top w:val="single" w:sz="12" w:space="0" w:color="auto"/>
            </w:tcBorders>
            <w:shd w:val="clear" w:color="auto" w:fill="auto"/>
            <w:vAlign w:val="bottom"/>
          </w:tcPr>
          <w:p w:rsidR="0024745E" w:rsidRPr="00222917" w:rsidRDefault="00897A25" w:rsidP="00A34665">
            <w:pPr>
              <w:suppressAutoHyphens w:val="0"/>
              <w:spacing w:before="40" w:after="40" w:line="220" w:lineRule="exact"/>
              <w:jc w:val="right"/>
              <w:rPr>
                <w:rFonts w:eastAsia="Gulim"/>
                <w:sz w:val="18"/>
                <w:lang w:val="en-US"/>
              </w:rPr>
            </w:pPr>
            <w:r w:rsidRPr="00222917">
              <w:rPr>
                <w:rFonts w:eastAsia="Gulim"/>
                <w:bCs/>
                <w:sz w:val="18"/>
                <w:lang w:val="en-US"/>
              </w:rPr>
              <w:t>With employees between</w:t>
            </w:r>
            <w:r w:rsidRPr="00222917">
              <w:rPr>
                <w:rFonts w:eastAsia="Gulim"/>
                <w:bCs/>
                <w:sz w:val="18"/>
                <w:lang w:val="en-US"/>
              </w:rPr>
              <w:br/>
            </w:r>
            <w:r w:rsidR="0024745E" w:rsidRPr="00222917">
              <w:rPr>
                <w:rFonts w:eastAsia="Gulim"/>
                <w:bCs/>
                <w:sz w:val="18"/>
                <w:lang w:val="en-US"/>
              </w:rPr>
              <w:t>10 and 19 (non-manufacturing business)</w:t>
            </w:r>
          </w:p>
        </w:tc>
        <w:tc>
          <w:tcPr>
            <w:tcW w:w="1247" w:type="dxa"/>
            <w:tcBorders>
              <w:top w:val="single" w:sz="12" w:space="0" w:color="auto"/>
            </w:tcBorders>
            <w:shd w:val="clear" w:color="auto" w:fill="auto"/>
            <w:vAlign w:val="bottom"/>
          </w:tcPr>
          <w:p w:rsidR="0024745E" w:rsidRPr="00222917" w:rsidRDefault="00A34665" w:rsidP="00A34665">
            <w:pPr>
              <w:suppressAutoHyphens w:val="0"/>
              <w:spacing w:before="40" w:after="40" w:line="220" w:lineRule="exact"/>
              <w:jc w:val="right"/>
              <w:rPr>
                <w:rFonts w:eastAsia="Gulim"/>
                <w:sz w:val="18"/>
                <w:lang w:val="en-US"/>
              </w:rPr>
            </w:pPr>
            <w:r w:rsidRPr="00222917">
              <w:rPr>
                <w:rFonts w:eastAsia="Gulim"/>
                <w:bCs/>
                <w:sz w:val="18"/>
                <w:lang w:val="en-US"/>
              </w:rPr>
              <w:t>W</w:t>
            </w:r>
            <w:r w:rsidR="0024745E" w:rsidRPr="00222917">
              <w:rPr>
                <w:rFonts w:eastAsia="Gulim"/>
                <w:bCs/>
                <w:sz w:val="18"/>
                <w:lang w:val="en-US"/>
              </w:rPr>
              <w:t>ith less than 10 employees</w:t>
            </w:r>
          </w:p>
        </w:tc>
        <w:tc>
          <w:tcPr>
            <w:tcW w:w="1247" w:type="dxa"/>
            <w:tcBorders>
              <w:top w:val="single" w:sz="12" w:space="0" w:color="auto"/>
            </w:tcBorders>
            <w:shd w:val="clear" w:color="auto" w:fill="auto"/>
            <w:vAlign w:val="bottom"/>
          </w:tcPr>
          <w:p w:rsidR="0024745E" w:rsidRPr="00222917" w:rsidRDefault="0024745E" w:rsidP="00A34665">
            <w:pPr>
              <w:suppressAutoHyphens w:val="0"/>
              <w:spacing w:before="40" w:after="40" w:line="220" w:lineRule="exact"/>
              <w:jc w:val="right"/>
              <w:rPr>
                <w:rFonts w:eastAsia="Gulim"/>
                <w:sz w:val="18"/>
                <w:lang w:val="en-US"/>
              </w:rPr>
            </w:pPr>
            <w:r w:rsidRPr="00222917">
              <w:rPr>
                <w:rFonts w:eastAsia="Gulim"/>
                <w:bCs/>
                <w:sz w:val="18"/>
                <w:lang w:val="en-US"/>
              </w:rPr>
              <w:t>Distribution, financial, restaurant, and communication business</w:t>
            </w:r>
          </w:p>
        </w:tc>
        <w:tc>
          <w:tcPr>
            <w:tcW w:w="1247" w:type="dxa"/>
            <w:tcBorders>
              <w:top w:val="single" w:sz="12" w:space="0" w:color="auto"/>
            </w:tcBorders>
            <w:shd w:val="clear" w:color="auto" w:fill="auto"/>
            <w:vAlign w:val="bottom"/>
          </w:tcPr>
          <w:p w:rsidR="0024745E" w:rsidRPr="00222917" w:rsidRDefault="00993957" w:rsidP="00A34665">
            <w:pPr>
              <w:suppressAutoHyphens w:val="0"/>
              <w:spacing w:before="40" w:after="40" w:line="220" w:lineRule="exact"/>
              <w:jc w:val="right"/>
              <w:rPr>
                <w:rFonts w:eastAsia="Gulim"/>
                <w:bCs/>
                <w:sz w:val="18"/>
                <w:lang w:val="en-US"/>
              </w:rPr>
            </w:pPr>
            <w:r w:rsidRPr="00222917">
              <w:rPr>
                <w:rFonts w:eastAsia="Gulim"/>
                <w:bCs/>
                <w:sz w:val="18"/>
                <w:lang w:val="en-US"/>
              </w:rPr>
              <w:t>W</w:t>
            </w:r>
            <w:r w:rsidR="0024745E" w:rsidRPr="00222917">
              <w:rPr>
                <w:rFonts w:eastAsia="Gulim"/>
                <w:bCs/>
                <w:sz w:val="18"/>
                <w:lang w:val="en-US"/>
              </w:rPr>
              <w:t>ith less than 50 employees</w:t>
            </w:r>
          </w:p>
        </w:tc>
      </w:tr>
      <w:tr w:rsidR="0024745E" w:rsidRPr="00222917" w:rsidTr="009F3787">
        <w:trPr>
          <w:trHeight w:val="240"/>
        </w:trPr>
        <w:tc>
          <w:tcPr>
            <w:tcW w:w="1134" w:type="dxa"/>
            <w:gridSpan w:val="2"/>
            <w:shd w:val="clear" w:color="auto" w:fill="auto"/>
          </w:tcPr>
          <w:p w:rsidR="0024745E" w:rsidRPr="00222917" w:rsidRDefault="00993957" w:rsidP="00A34665">
            <w:pPr>
              <w:suppressAutoHyphens w:val="0"/>
              <w:spacing w:before="40" w:after="40" w:line="220" w:lineRule="exact"/>
              <w:rPr>
                <w:rFonts w:eastAsia="Gulim"/>
                <w:sz w:val="18"/>
                <w:szCs w:val="22"/>
                <w:lang w:val="en-US"/>
              </w:rPr>
            </w:pPr>
            <w:r w:rsidRPr="00222917">
              <w:rPr>
                <w:rFonts w:eastAsia="Gulim"/>
                <w:sz w:val="18"/>
                <w:szCs w:val="22"/>
                <w:lang w:val="en-US"/>
              </w:rPr>
              <w:t>Number of work places c</w:t>
            </w:r>
            <w:r w:rsidR="0024745E" w:rsidRPr="00222917">
              <w:rPr>
                <w:rFonts w:eastAsia="Gulim"/>
                <w:sz w:val="18"/>
                <w:szCs w:val="22"/>
                <w:lang w:val="en-US"/>
              </w:rPr>
              <w:t>onducting monitoring</w:t>
            </w:r>
          </w:p>
        </w:tc>
        <w:tc>
          <w:tcPr>
            <w:tcW w:w="1247" w:type="dxa"/>
            <w:shd w:val="clear" w:color="auto" w:fill="auto"/>
            <w:vAlign w:val="bottom"/>
          </w:tcPr>
          <w:p w:rsidR="0024745E" w:rsidRPr="00222917" w:rsidRDefault="0024745E" w:rsidP="00A34665">
            <w:pPr>
              <w:suppressAutoHyphens w:val="0"/>
              <w:spacing w:before="40" w:after="40" w:line="220" w:lineRule="exact"/>
              <w:jc w:val="right"/>
              <w:rPr>
                <w:rFonts w:eastAsia="Gulim"/>
                <w:sz w:val="18"/>
                <w:szCs w:val="22"/>
                <w:lang w:val="en-US"/>
              </w:rPr>
            </w:pPr>
            <w:r w:rsidRPr="00222917">
              <w:rPr>
                <w:rFonts w:eastAsia="Gulim"/>
                <w:sz w:val="18"/>
                <w:szCs w:val="22"/>
                <w:lang w:val="en-US"/>
              </w:rPr>
              <w:t>7,593</w:t>
            </w:r>
          </w:p>
        </w:tc>
        <w:tc>
          <w:tcPr>
            <w:tcW w:w="1247" w:type="dxa"/>
            <w:shd w:val="clear" w:color="auto" w:fill="auto"/>
            <w:vAlign w:val="bottom"/>
          </w:tcPr>
          <w:p w:rsidR="0024745E" w:rsidRPr="00222917" w:rsidRDefault="0024745E" w:rsidP="00A34665">
            <w:pPr>
              <w:suppressAutoHyphens w:val="0"/>
              <w:spacing w:before="40" w:after="40" w:line="220" w:lineRule="exact"/>
              <w:jc w:val="right"/>
              <w:rPr>
                <w:rFonts w:eastAsia="Gulim"/>
                <w:sz w:val="18"/>
                <w:szCs w:val="22"/>
                <w:lang w:val="en-US"/>
              </w:rPr>
            </w:pPr>
            <w:r w:rsidRPr="00222917">
              <w:rPr>
                <w:rFonts w:eastAsia="Gulim"/>
                <w:sz w:val="18"/>
                <w:szCs w:val="22"/>
                <w:lang w:val="en-US"/>
              </w:rPr>
              <w:t>8,041</w:t>
            </w:r>
          </w:p>
        </w:tc>
        <w:tc>
          <w:tcPr>
            <w:tcW w:w="1247" w:type="dxa"/>
            <w:shd w:val="clear" w:color="auto" w:fill="auto"/>
            <w:vAlign w:val="bottom"/>
          </w:tcPr>
          <w:p w:rsidR="0024745E" w:rsidRPr="00222917" w:rsidRDefault="0024745E" w:rsidP="00A34665">
            <w:pPr>
              <w:suppressAutoHyphens w:val="0"/>
              <w:spacing w:before="40" w:after="40" w:line="220" w:lineRule="exact"/>
              <w:jc w:val="right"/>
              <w:rPr>
                <w:rFonts w:eastAsia="Gulim"/>
                <w:sz w:val="18"/>
                <w:szCs w:val="22"/>
                <w:lang w:val="en-US"/>
              </w:rPr>
            </w:pPr>
            <w:r w:rsidRPr="00222917">
              <w:rPr>
                <w:rFonts w:eastAsia="Gulim"/>
                <w:sz w:val="18"/>
                <w:szCs w:val="22"/>
                <w:lang w:val="en-US"/>
              </w:rPr>
              <w:t>8,165</w:t>
            </w:r>
          </w:p>
        </w:tc>
        <w:tc>
          <w:tcPr>
            <w:tcW w:w="1247" w:type="dxa"/>
            <w:shd w:val="clear" w:color="auto" w:fill="auto"/>
            <w:vAlign w:val="bottom"/>
          </w:tcPr>
          <w:p w:rsidR="0024745E" w:rsidRPr="00222917" w:rsidRDefault="0024745E" w:rsidP="00A34665">
            <w:pPr>
              <w:suppressAutoHyphens w:val="0"/>
              <w:spacing w:before="40" w:after="40" w:line="220" w:lineRule="exact"/>
              <w:jc w:val="right"/>
              <w:rPr>
                <w:rFonts w:eastAsia="Gulim"/>
                <w:sz w:val="18"/>
                <w:szCs w:val="22"/>
                <w:lang w:val="en-US"/>
              </w:rPr>
            </w:pPr>
            <w:r w:rsidRPr="00222917">
              <w:rPr>
                <w:rFonts w:eastAsia="Gulim"/>
                <w:sz w:val="18"/>
                <w:szCs w:val="22"/>
                <w:lang w:val="en-US"/>
              </w:rPr>
              <w:t>7,717</w:t>
            </w:r>
          </w:p>
        </w:tc>
        <w:tc>
          <w:tcPr>
            <w:tcW w:w="1247" w:type="dxa"/>
            <w:shd w:val="clear" w:color="auto" w:fill="auto"/>
            <w:vAlign w:val="bottom"/>
          </w:tcPr>
          <w:p w:rsidR="0024745E" w:rsidRPr="00222917" w:rsidRDefault="0024745E" w:rsidP="00A34665">
            <w:pPr>
              <w:suppressAutoHyphens w:val="0"/>
              <w:spacing w:before="40" w:after="40" w:line="220" w:lineRule="exact"/>
              <w:jc w:val="right"/>
              <w:rPr>
                <w:rFonts w:eastAsia="Gulim"/>
                <w:sz w:val="18"/>
                <w:szCs w:val="22"/>
                <w:lang w:val="en-US"/>
              </w:rPr>
            </w:pPr>
            <w:r w:rsidRPr="00222917">
              <w:rPr>
                <w:rFonts w:eastAsia="Gulim"/>
                <w:sz w:val="18"/>
                <w:szCs w:val="22"/>
                <w:lang w:val="en-US"/>
              </w:rPr>
              <w:t>7,321</w:t>
            </w:r>
          </w:p>
        </w:tc>
      </w:tr>
      <w:tr w:rsidR="0024745E" w:rsidRPr="00222917" w:rsidTr="009F3787">
        <w:trPr>
          <w:trHeight w:val="240"/>
        </w:trPr>
        <w:tc>
          <w:tcPr>
            <w:tcW w:w="1134" w:type="dxa"/>
            <w:vMerge w:val="restart"/>
            <w:shd w:val="clear" w:color="auto" w:fill="auto"/>
          </w:tcPr>
          <w:p w:rsidR="0024745E" w:rsidRPr="00222917" w:rsidRDefault="0024745E" w:rsidP="00993957">
            <w:pPr>
              <w:suppressAutoHyphens w:val="0"/>
              <w:spacing w:before="40" w:after="40" w:line="220" w:lineRule="exact"/>
              <w:rPr>
                <w:rFonts w:eastAsia="Gulim"/>
                <w:sz w:val="18"/>
                <w:szCs w:val="22"/>
                <w:lang w:val="en-US"/>
              </w:rPr>
            </w:pPr>
            <w:r w:rsidRPr="00222917">
              <w:rPr>
                <w:rFonts w:eastAsia="Gulim"/>
                <w:sz w:val="18"/>
                <w:szCs w:val="22"/>
                <w:lang w:val="en-US"/>
              </w:rPr>
              <w:t>Failure to</w:t>
            </w:r>
            <w:r w:rsidR="00993957" w:rsidRPr="00222917">
              <w:rPr>
                <w:rFonts w:eastAsia="Gulim"/>
                <w:sz w:val="18"/>
                <w:szCs w:val="22"/>
                <w:lang w:val="en-US"/>
              </w:rPr>
              <w:t> </w:t>
            </w:r>
            <w:r w:rsidRPr="00222917">
              <w:rPr>
                <w:rFonts w:eastAsia="Gulim"/>
                <w:sz w:val="18"/>
                <w:szCs w:val="22"/>
                <w:lang w:val="en-US"/>
              </w:rPr>
              <w:t xml:space="preserve">comply </w:t>
            </w:r>
          </w:p>
        </w:tc>
        <w:tc>
          <w:tcPr>
            <w:tcW w:w="1134" w:type="dxa"/>
            <w:shd w:val="clear" w:color="auto" w:fill="auto"/>
          </w:tcPr>
          <w:p w:rsidR="0024745E" w:rsidRPr="00222917" w:rsidRDefault="0024745E" w:rsidP="00A34665">
            <w:pPr>
              <w:suppressAutoHyphens w:val="0"/>
              <w:spacing w:before="40" w:after="40" w:line="220" w:lineRule="exact"/>
              <w:rPr>
                <w:rFonts w:eastAsia="Gulim"/>
                <w:sz w:val="18"/>
                <w:szCs w:val="22"/>
                <w:lang w:val="en-US"/>
              </w:rPr>
            </w:pPr>
            <w:r w:rsidRPr="00222917">
              <w:rPr>
                <w:rFonts w:eastAsia="Gulim"/>
                <w:sz w:val="18"/>
                <w:szCs w:val="22"/>
                <w:lang w:val="en-US"/>
              </w:rPr>
              <w:t xml:space="preserve">Number </w:t>
            </w:r>
          </w:p>
        </w:tc>
        <w:tc>
          <w:tcPr>
            <w:tcW w:w="1247" w:type="dxa"/>
            <w:shd w:val="clear" w:color="auto" w:fill="auto"/>
            <w:vAlign w:val="bottom"/>
          </w:tcPr>
          <w:p w:rsidR="0024745E" w:rsidRPr="00222917" w:rsidRDefault="0024745E" w:rsidP="00A34665">
            <w:pPr>
              <w:suppressAutoHyphens w:val="0"/>
              <w:spacing w:before="40" w:after="40" w:line="220" w:lineRule="exact"/>
              <w:jc w:val="right"/>
              <w:rPr>
                <w:rFonts w:eastAsia="Gulim"/>
                <w:sz w:val="18"/>
                <w:szCs w:val="22"/>
                <w:lang w:val="en-US"/>
              </w:rPr>
            </w:pPr>
            <w:r w:rsidRPr="00222917">
              <w:rPr>
                <w:rFonts w:eastAsia="Gulim"/>
                <w:sz w:val="18"/>
                <w:szCs w:val="22"/>
                <w:lang w:val="en-US"/>
              </w:rPr>
              <w:t>1,313</w:t>
            </w:r>
          </w:p>
        </w:tc>
        <w:tc>
          <w:tcPr>
            <w:tcW w:w="1247" w:type="dxa"/>
            <w:shd w:val="clear" w:color="auto" w:fill="auto"/>
            <w:vAlign w:val="bottom"/>
          </w:tcPr>
          <w:p w:rsidR="0024745E" w:rsidRPr="00222917" w:rsidRDefault="0024745E" w:rsidP="00A34665">
            <w:pPr>
              <w:suppressAutoHyphens w:val="0"/>
              <w:spacing w:before="40" w:after="40" w:line="220" w:lineRule="exact"/>
              <w:jc w:val="right"/>
              <w:rPr>
                <w:rFonts w:eastAsia="Gulim"/>
                <w:sz w:val="18"/>
                <w:szCs w:val="22"/>
                <w:lang w:val="en-US"/>
              </w:rPr>
            </w:pPr>
            <w:r w:rsidRPr="00222917">
              <w:rPr>
                <w:rFonts w:eastAsia="Gulim"/>
                <w:sz w:val="18"/>
                <w:szCs w:val="22"/>
                <w:lang w:val="en-US"/>
              </w:rPr>
              <w:t>1,788</w:t>
            </w:r>
          </w:p>
        </w:tc>
        <w:tc>
          <w:tcPr>
            <w:tcW w:w="1247" w:type="dxa"/>
            <w:shd w:val="clear" w:color="auto" w:fill="auto"/>
            <w:vAlign w:val="bottom"/>
          </w:tcPr>
          <w:p w:rsidR="0024745E" w:rsidRPr="00222917" w:rsidRDefault="0024745E" w:rsidP="00A34665">
            <w:pPr>
              <w:suppressAutoHyphens w:val="0"/>
              <w:spacing w:before="40" w:after="40" w:line="220" w:lineRule="exact"/>
              <w:jc w:val="right"/>
              <w:rPr>
                <w:rFonts w:eastAsia="Gulim"/>
                <w:sz w:val="18"/>
                <w:szCs w:val="22"/>
                <w:lang w:val="en-US"/>
              </w:rPr>
            </w:pPr>
            <w:r w:rsidRPr="00222917">
              <w:rPr>
                <w:rFonts w:eastAsia="Gulim"/>
                <w:sz w:val="18"/>
                <w:szCs w:val="22"/>
                <w:lang w:val="en-US"/>
              </w:rPr>
              <w:t>1,620</w:t>
            </w:r>
          </w:p>
        </w:tc>
        <w:tc>
          <w:tcPr>
            <w:tcW w:w="1247" w:type="dxa"/>
            <w:shd w:val="clear" w:color="auto" w:fill="auto"/>
            <w:vAlign w:val="bottom"/>
          </w:tcPr>
          <w:p w:rsidR="0024745E" w:rsidRPr="00222917" w:rsidRDefault="0024745E" w:rsidP="00A34665">
            <w:pPr>
              <w:suppressAutoHyphens w:val="0"/>
              <w:spacing w:before="40" w:after="40" w:line="220" w:lineRule="exact"/>
              <w:jc w:val="right"/>
              <w:rPr>
                <w:rFonts w:eastAsia="Gulim"/>
                <w:sz w:val="18"/>
                <w:szCs w:val="22"/>
                <w:lang w:val="en-US"/>
              </w:rPr>
            </w:pPr>
            <w:r w:rsidRPr="00222917">
              <w:rPr>
                <w:rFonts w:eastAsia="Gulim"/>
                <w:sz w:val="18"/>
                <w:szCs w:val="22"/>
                <w:lang w:val="en-US"/>
              </w:rPr>
              <w:t>643</w:t>
            </w:r>
          </w:p>
        </w:tc>
        <w:tc>
          <w:tcPr>
            <w:tcW w:w="1247" w:type="dxa"/>
            <w:shd w:val="clear" w:color="auto" w:fill="auto"/>
            <w:vAlign w:val="bottom"/>
          </w:tcPr>
          <w:p w:rsidR="0024745E" w:rsidRPr="00222917" w:rsidRDefault="0024745E" w:rsidP="00A34665">
            <w:pPr>
              <w:suppressAutoHyphens w:val="0"/>
              <w:spacing w:before="40" w:after="40" w:line="220" w:lineRule="exact"/>
              <w:jc w:val="right"/>
              <w:rPr>
                <w:rFonts w:eastAsia="Gulim"/>
                <w:sz w:val="18"/>
                <w:szCs w:val="22"/>
                <w:lang w:val="en-US"/>
              </w:rPr>
            </w:pPr>
            <w:r w:rsidRPr="00222917">
              <w:rPr>
                <w:rFonts w:eastAsia="Gulim"/>
                <w:sz w:val="18"/>
                <w:szCs w:val="22"/>
                <w:lang w:val="en-US"/>
              </w:rPr>
              <w:t>574</w:t>
            </w:r>
          </w:p>
        </w:tc>
      </w:tr>
      <w:tr w:rsidR="0024745E" w:rsidRPr="00222917" w:rsidTr="009F3787">
        <w:trPr>
          <w:trHeight w:val="240"/>
        </w:trPr>
        <w:tc>
          <w:tcPr>
            <w:tcW w:w="1134" w:type="dxa"/>
            <w:vMerge/>
            <w:tcBorders>
              <w:bottom w:val="single" w:sz="12" w:space="0" w:color="auto"/>
            </w:tcBorders>
            <w:shd w:val="clear" w:color="auto" w:fill="auto"/>
          </w:tcPr>
          <w:p w:rsidR="0024745E" w:rsidRPr="00222917" w:rsidRDefault="0024745E" w:rsidP="00A34665">
            <w:pPr>
              <w:suppressAutoHyphens w:val="0"/>
              <w:spacing w:before="40" w:after="40" w:line="220" w:lineRule="exact"/>
              <w:rPr>
                <w:rFonts w:eastAsia="Gulim"/>
                <w:sz w:val="18"/>
                <w:szCs w:val="22"/>
                <w:lang w:val="en-US"/>
              </w:rPr>
            </w:pPr>
          </w:p>
        </w:tc>
        <w:tc>
          <w:tcPr>
            <w:tcW w:w="1134" w:type="dxa"/>
            <w:tcBorders>
              <w:bottom w:val="single" w:sz="12" w:space="0" w:color="auto"/>
            </w:tcBorders>
            <w:shd w:val="clear" w:color="auto" w:fill="auto"/>
          </w:tcPr>
          <w:p w:rsidR="0024745E" w:rsidRPr="00222917" w:rsidRDefault="0024745E" w:rsidP="00A34665">
            <w:pPr>
              <w:suppressAutoHyphens w:val="0"/>
              <w:spacing w:before="40" w:after="40" w:line="220" w:lineRule="exact"/>
              <w:rPr>
                <w:rFonts w:eastAsia="Gulim"/>
                <w:sz w:val="18"/>
                <w:szCs w:val="22"/>
                <w:lang w:val="en-US"/>
              </w:rPr>
            </w:pPr>
            <w:r w:rsidRPr="00222917">
              <w:rPr>
                <w:rFonts w:eastAsia="Gulim"/>
                <w:sz w:val="18"/>
                <w:szCs w:val="22"/>
                <w:lang w:val="en-US"/>
              </w:rPr>
              <w:t>Ratio (%)</w:t>
            </w:r>
          </w:p>
        </w:tc>
        <w:tc>
          <w:tcPr>
            <w:tcW w:w="1247" w:type="dxa"/>
            <w:tcBorders>
              <w:bottom w:val="single" w:sz="12" w:space="0" w:color="auto"/>
            </w:tcBorders>
            <w:shd w:val="clear" w:color="auto" w:fill="auto"/>
            <w:vAlign w:val="bottom"/>
          </w:tcPr>
          <w:p w:rsidR="0024745E" w:rsidRPr="00222917" w:rsidRDefault="0024745E" w:rsidP="00A34665">
            <w:pPr>
              <w:suppressAutoHyphens w:val="0"/>
              <w:spacing w:before="40" w:after="40" w:line="220" w:lineRule="exact"/>
              <w:jc w:val="right"/>
              <w:rPr>
                <w:rFonts w:eastAsia="Gulim"/>
                <w:sz w:val="18"/>
                <w:szCs w:val="22"/>
                <w:lang w:val="en-US"/>
              </w:rPr>
            </w:pPr>
            <w:r w:rsidRPr="00222917">
              <w:rPr>
                <w:rFonts w:eastAsia="Gulim"/>
                <w:sz w:val="18"/>
                <w:szCs w:val="22"/>
                <w:lang w:val="en-US"/>
              </w:rPr>
              <w:t>17.3</w:t>
            </w:r>
          </w:p>
        </w:tc>
        <w:tc>
          <w:tcPr>
            <w:tcW w:w="1247" w:type="dxa"/>
            <w:tcBorders>
              <w:bottom w:val="single" w:sz="12" w:space="0" w:color="auto"/>
            </w:tcBorders>
            <w:shd w:val="clear" w:color="auto" w:fill="auto"/>
            <w:vAlign w:val="bottom"/>
          </w:tcPr>
          <w:p w:rsidR="0024745E" w:rsidRPr="00222917" w:rsidRDefault="0024745E" w:rsidP="00A34665">
            <w:pPr>
              <w:suppressAutoHyphens w:val="0"/>
              <w:spacing w:before="40" w:after="40" w:line="220" w:lineRule="exact"/>
              <w:jc w:val="right"/>
              <w:rPr>
                <w:rFonts w:eastAsia="Gulim"/>
                <w:sz w:val="18"/>
                <w:szCs w:val="22"/>
                <w:lang w:val="en-US"/>
              </w:rPr>
            </w:pPr>
            <w:r w:rsidRPr="00222917">
              <w:rPr>
                <w:rFonts w:eastAsia="Gulim"/>
                <w:sz w:val="18"/>
                <w:szCs w:val="22"/>
                <w:lang w:val="en-US"/>
              </w:rPr>
              <w:t>22.2</w:t>
            </w:r>
          </w:p>
        </w:tc>
        <w:tc>
          <w:tcPr>
            <w:tcW w:w="1247" w:type="dxa"/>
            <w:tcBorders>
              <w:bottom w:val="single" w:sz="12" w:space="0" w:color="auto"/>
            </w:tcBorders>
            <w:shd w:val="clear" w:color="auto" w:fill="auto"/>
            <w:vAlign w:val="bottom"/>
          </w:tcPr>
          <w:p w:rsidR="0024745E" w:rsidRPr="00222917" w:rsidRDefault="0024745E" w:rsidP="00A34665">
            <w:pPr>
              <w:suppressAutoHyphens w:val="0"/>
              <w:spacing w:before="40" w:after="40" w:line="220" w:lineRule="exact"/>
              <w:jc w:val="right"/>
              <w:rPr>
                <w:rFonts w:eastAsia="Gulim"/>
                <w:sz w:val="18"/>
                <w:szCs w:val="22"/>
                <w:lang w:val="en-US"/>
              </w:rPr>
            </w:pPr>
            <w:r w:rsidRPr="00222917">
              <w:rPr>
                <w:rFonts w:eastAsia="Gulim"/>
                <w:sz w:val="18"/>
                <w:szCs w:val="22"/>
                <w:lang w:val="en-US"/>
              </w:rPr>
              <w:t>19.8</w:t>
            </w:r>
          </w:p>
        </w:tc>
        <w:tc>
          <w:tcPr>
            <w:tcW w:w="1247" w:type="dxa"/>
            <w:tcBorders>
              <w:bottom w:val="single" w:sz="12" w:space="0" w:color="auto"/>
            </w:tcBorders>
            <w:shd w:val="clear" w:color="auto" w:fill="auto"/>
            <w:vAlign w:val="bottom"/>
          </w:tcPr>
          <w:p w:rsidR="0024745E" w:rsidRPr="00222917" w:rsidRDefault="0024745E" w:rsidP="00A34665">
            <w:pPr>
              <w:suppressAutoHyphens w:val="0"/>
              <w:spacing w:before="40" w:after="40" w:line="220" w:lineRule="exact"/>
              <w:jc w:val="right"/>
              <w:rPr>
                <w:rFonts w:eastAsia="Gulim"/>
                <w:sz w:val="18"/>
                <w:szCs w:val="22"/>
                <w:lang w:val="en-US"/>
              </w:rPr>
            </w:pPr>
            <w:r w:rsidRPr="00222917">
              <w:rPr>
                <w:rFonts w:eastAsia="Gulim"/>
                <w:sz w:val="18"/>
                <w:szCs w:val="22"/>
                <w:lang w:val="en-US"/>
              </w:rPr>
              <w:t>8.3</w:t>
            </w:r>
          </w:p>
        </w:tc>
        <w:tc>
          <w:tcPr>
            <w:tcW w:w="1247" w:type="dxa"/>
            <w:tcBorders>
              <w:bottom w:val="single" w:sz="12" w:space="0" w:color="auto"/>
            </w:tcBorders>
            <w:shd w:val="clear" w:color="auto" w:fill="auto"/>
            <w:vAlign w:val="bottom"/>
          </w:tcPr>
          <w:p w:rsidR="0024745E" w:rsidRPr="00222917" w:rsidRDefault="0024745E" w:rsidP="00A34665">
            <w:pPr>
              <w:suppressAutoHyphens w:val="0"/>
              <w:spacing w:before="40" w:after="40" w:line="220" w:lineRule="exact"/>
              <w:jc w:val="right"/>
              <w:rPr>
                <w:rFonts w:eastAsia="Gulim"/>
                <w:sz w:val="18"/>
                <w:szCs w:val="22"/>
                <w:lang w:val="en-US"/>
              </w:rPr>
            </w:pPr>
            <w:r w:rsidRPr="00222917">
              <w:rPr>
                <w:rFonts w:eastAsia="Gulim"/>
                <w:sz w:val="18"/>
                <w:szCs w:val="22"/>
                <w:lang w:val="en-US"/>
              </w:rPr>
              <w:t>7.8</w:t>
            </w:r>
          </w:p>
        </w:tc>
      </w:tr>
    </w:tbl>
    <w:p w:rsidR="002D5BB0" w:rsidRPr="00222917" w:rsidRDefault="002D5BB0" w:rsidP="00A34665">
      <w:pPr>
        <w:pStyle w:val="SingleTxtG"/>
        <w:spacing w:before="120"/>
        <w:ind w:firstLine="170"/>
        <w:jc w:val="left"/>
        <w:rPr>
          <w:sz w:val="18"/>
          <w:szCs w:val="18"/>
          <w:lang w:val="en-US"/>
        </w:rPr>
      </w:pPr>
      <w:r w:rsidRPr="00222917">
        <w:rPr>
          <w:sz w:val="18"/>
          <w:szCs w:val="18"/>
          <w:lang w:val="en-US"/>
        </w:rPr>
        <w:t xml:space="preserve">* </w:t>
      </w:r>
      <w:r w:rsidR="009F2B57" w:rsidRPr="00222917">
        <w:rPr>
          <w:sz w:val="18"/>
          <w:szCs w:val="18"/>
          <w:lang w:val="en-US"/>
        </w:rPr>
        <w:t xml:space="preserve"> </w:t>
      </w:r>
      <w:r w:rsidRPr="00222917">
        <w:rPr>
          <w:sz w:val="18"/>
          <w:szCs w:val="18"/>
          <w:lang w:val="en-US"/>
        </w:rPr>
        <w:t xml:space="preserve">All workplaces failing sexual harassment prevention took corrective measures. </w:t>
      </w:r>
    </w:p>
    <w:p w:rsidR="002D5BB0" w:rsidRPr="00222917" w:rsidRDefault="00E83EE2" w:rsidP="00E83EE2">
      <w:pPr>
        <w:pStyle w:val="H23G"/>
        <w:rPr>
          <w:lang w:val="en-US"/>
        </w:rPr>
      </w:pPr>
      <w:r w:rsidRPr="00222917">
        <w:rPr>
          <w:lang w:val="en-US"/>
        </w:rPr>
        <w:tab/>
      </w:r>
      <w:r w:rsidRPr="00222917">
        <w:rPr>
          <w:lang w:val="en-US"/>
        </w:rPr>
        <w:tab/>
      </w:r>
      <w:r w:rsidR="002D5BB0" w:rsidRPr="00222917">
        <w:rPr>
          <w:lang w:val="en-US"/>
        </w:rPr>
        <w:t>Government Inspection of Sexual Harassment Prevention in the Workplace</w:t>
      </w:r>
    </w:p>
    <w:tbl>
      <w:tblPr>
        <w:tblW w:w="8505" w:type="dxa"/>
        <w:tblInd w:w="1134" w:type="dxa"/>
        <w:tblBorders>
          <w:top w:val="single" w:sz="4" w:space="0" w:color="auto"/>
        </w:tblBorders>
        <w:tblLayout w:type="fixed"/>
        <w:tblCellMar>
          <w:left w:w="0" w:type="dxa"/>
          <w:right w:w="0" w:type="dxa"/>
        </w:tblCellMar>
        <w:tblLook w:val="0000"/>
      </w:tblPr>
      <w:tblGrid>
        <w:gridCol w:w="1135"/>
        <w:gridCol w:w="1135"/>
        <w:gridCol w:w="1247"/>
        <w:gridCol w:w="1247"/>
        <w:gridCol w:w="1247"/>
        <w:gridCol w:w="1247"/>
        <w:gridCol w:w="1247"/>
      </w:tblGrid>
      <w:tr w:rsidR="0024745E" w:rsidRPr="00222917" w:rsidTr="002D14AF">
        <w:trPr>
          <w:trHeight w:val="240"/>
          <w:tblHeader/>
        </w:trPr>
        <w:tc>
          <w:tcPr>
            <w:tcW w:w="1134" w:type="dxa"/>
            <w:gridSpan w:val="2"/>
            <w:tcBorders>
              <w:top w:val="single" w:sz="4" w:space="0" w:color="auto"/>
              <w:bottom w:val="single" w:sz="12" w:space="0" w:color="auto"/>
            </w:tcBorders>
            <w:shd w:val="clear" w:color="auto" w:fill="auto"/>
            <w:vAlign w:val="bottom"/>
          </w:tcPr>
          <w:p w:rsidR="002D5BB0" w:rsidRPr="00222917" w:rsidRDefault="002D5BB0" w:rsidP="00A34665">
            <w:pPr>
              <w:pStyle w:val="SingleTxtG"/>
              <w:suppressAutoHyphens w:val="0"/>
              <w:spacing w:before="80" w:after="80" w:line="200" w:lineRule="exact"/>
              <w:ind w:left="0" w:right="0"/>
              <w:jc w:val="left"/>
              <w:rPr>
                <w:i/>
                <w:sz w:val="16"/>
                <w:lang w:val="en-US"/>
              </w:rPr>
            </w:pPr>
            <w:r w:rsidRPr="00222917">
              <w:rPr>
                <w:bCs/>
                <w:i/>
                <w:sz w:val="16"/>
                <w:lang w:val="en-US"/>
              </w:rPr>
              <w:t>Year</w:t>
            </w:r>
          </w:p>
        </w:tc>
        <w:tc>
          <w:tcPr>
            <w:tcW w:w="1247" w:type="dxa"/>
            <w:tcBorders>
              <w:top w:val="single" w:sz="4" w:space="0" w:color="auto"/>
              <w:bottom w:val="single" w:sz="12" w:space="0" w:color="auto"/>
            </w:tcBorders>
            <w:shd w:val="clear" w:color="auto" w:fill="auto"/>
            <w:vAlign w:val="bottom"/>
          </w:tcPr>
          <w:p w:rsidR="002D5BB0" w:rsidRPr="00222917" w:rsidRDefault="002D5BB0" w:rsidP="00A34665">
            <w:pPr>
              <w:pStyle w:val="SingleTxtG"/>
              <w:suppressAutoHyphens w:val="0"/>
              <w:spacing w:before="80" w:after="80" w:line="200" w:lineRule="exact"/>
              <w:ind w:left="0" w:right="0"/>
              <w:jc w:val="right"/>
              <w:rPr>
                <w:i/>
                <w:sz w:val="16"/>
                <w:lang w:val="en-US"/>
              </w:rPr>
            </w:pPr>
            <w:r w:rsidRPr="00222917">
              <w:rPr>
                <w:bCs/>
                <w:i/>
                <w:sz w:val="16"/>
                <w:lang w:val="en-US"/>
              </w:rPr>
              <w:t>2006</w:t>
            </w:r>
          </w:p>
        </w:tc>
        <w:tc>
          <w:tcPr>
            <w:tcW w:w="1247" w:type="dxa"/>
            <w:tcBorders>
              <w:top w:val="single" w:sz="4" w:space="0" w:color="auto"/>
              <w:bottom w:val="single" w:sz="12" w:space="0" w:color="auto"/>
            </w:tcBorders>
            <w:shd w:val="clear" w:color="auto" w:fill="auto"/>
            <w:vAlign w:val="bottom"/>
          </w:tcPr>
          <w:p w:rsidR="002D5BB0" w:rsidRPr="00222917" w:rsidRDefault="002D5BB0" w:rsidP="00A34665">
            <w:pPr>
              <w:pStyle w:val="SingleTxtG"/>
              <w:suppressAutoHyphens w:val="0"/>
              <w:spacing w:before="80" w:after="80" w:line="200" w:lineRule="exact"/>
              <w:ind w:left="0" w:right="0"/>
              <w:jc w:val="right"/>
              <w:rPr>
                <w:i/>
                <w:sz w:val="16"/>
                <w:lang w:val="en-US"/>
              </w:rPr>
            </w:pPr>
            <w:r w:rsidRPr="00222917">
              <w:rPr>
                <w:bCs/>
                <w:i/>
                <w:sz w:val="16"/>
                <w:lang w:val="en-US"/>
              </w:rPr>
              <w:t>2007</w:t>
            </w:r>
          </w:p>
        </w:tc>
        <w:tc>
          <w:tcPr>
            <w:tcW w:w="1247" w:type="dxa"/>
            <w:tcBorders>
              <w:top w:val="single" w:sz="4" w:space="0" w:color="auto"/>
              <w:bottom w:val="single" w:sz="12" w:space="0" w:color="auto"/>
            </w:tcBorders>
            <w:shd w:val="clear" w:color="auto" w:fill="auto"/>
            <w:vAlign w:val="bottom"/>
          </w:tcPr>
          <w:p w:rsidR="002D5BB0" w:rsidRPr="00222917" w:rsidRDefault="002D5BB0" w:rsidP="00A34665">
            <w:pPr>
              <w:pStyle w:val="SingleTxtG"/>
              <w:suppressAutoHyphens w:val="0"/>
              <w:spacing w:before="80" w:after="80" w:line="200" w:lineRule="exact"/>
              <w:ind w:left="0" w:right="0"/>
              <w:jc w:val="right"/>
              <w:rPr>
                <w:i/>
                <w:sz w:val="16"/>
                <w:lang w:val="en-US"/>
              </w:rPr>
            </w:pPr>
            <w:r w:rsidRPr="00222917">
              <w:rPr>
                <w:bCs/>
                <w:i/>
                <w:sz w:val="16"/>
                <w:lang w:val="en-US"/>
              </w:rPr>
              <w:t>2008</w:t>
            </w:r>
          </w:p>
        </w:tc>
        <w:tc>
          <w:tcPr>
            <w:tcW w:w="1247" w:type="dxa"/>
            <w:tcBorders>
              <w:top w:val="single" w:sz="4" w:space="0" w:color="auto"/>
              <w:bottom w:val="single" w:sz="12" w:space="0" w:color="auto"/>
            </w:tcBorders>
            <w:shd w:val="clear" w:color="auto" w:fill="auto"/>
            <w:vAlign w:val="bottom"/>
          </w:tcPr>
          <w:p w:rsidR="002D5BB0" w:rsidRPr="00222917" w:rsidRDefault="002D5BB0" w:rsidP="00A34665">
            <w:pPr>
              <w:pStyle w:val="SingleTxtG"/>
              <w:suppressAutoHyphens w:val="0"/>
              <w:spacing w:before="80" w:after="80" w:line="200" w:lineRule="exact"/>
              <w:ind w:left="0" w:right="0"/>
              <w:jc w:val="right"/>
              <w:rPr>
                <w:i/>
                <w:sz w:val="16"/>
                <w:lang w:val="en-US"/>
              </w:rPr>
            </w:pPr>
            <w:r w:rsidRPr="00222917">
              <w:rPr>
                <w:bCs/>
                <w:i/>
                <w:sz w:val="16"/>
                <w:lang w:val="en-US"/>
              </w:rPr>
              <w:t>2009</w:t>
            </w:r>
          </w:p>
        </w:tc>
        <w:tc>
          <w:tcPr>
            <w:tcW w:w="1247" w:type="dxa"/>
            <w:tcBorders>
              <w:top w:val="single" w:sz="4" w:space="0" w:color="auto"/>
              <w:bottom w:val="single" w:sz="12" w:space="0" w:color="auto"/>
            </w:tcBorders>
            <w:shd w:val="clear" w:color="auto" w:fill="auto"/>
            <w:vAlign w:val="bottom"/>
          </w:tcPr>
          <w:p w:rsidR="002D5BB0" w:rsidRPr="00222917" w:rsidRDefault="002D5BB0" w:rsidP="00A34665">
            <w:pPr>
              <w:pStyle w:val="SingleTxtG"/>
              <w:suppressAutoHyphens w:val="0"/>
              <w:spacing w:before="80" w:after="80" w:line="200" w:lineRule="exact"/>
              <w:ind w:left="0" w:right="0"/>
              <w:jc w:val="right"/>
              <w:rPr>
                <w:bCs/>
                <w:i/>
                <w:sz w:val="16"/>
                <w:lang w:val="en-US"/>
              </w:rPr>
            </w:pPr>
            <w:r w:rsidRPr="00222917">
              <w:rPr>
                <w:bCs/>
                <w:i/>
                <w:sz w:val="16"/>
                <w:lang w:val="en-US"/>
              </w:rPr>
              <w:t>2010</w:t>
            </w:r>
          </w:p>
        </w:tc>
      </w:tr>
      <w:tr w:rsidR="0024745E" w:rsidRPr="00222917" w:rsidTr="002D14AF">
        <w:trPr>
          <w:trHeight w:val="240"/>
        </w:trPr>
        <w:tc>
          <w:tcPr>
            <w:tcW w:w="1134" w:type="dxa"/>
            <w:gridSpan w:val="2"/>
            <w:tcBorders>
              <w:top w:val="single" w:sz="12" w:space="0" w:color="auto"/>
            </w:tcBorders>
            <w:shd w:val="clear" w:color="auto" w:fill="auto"/>
          </w:tcPr>
          <w:p w:rsidR="002D5BB0" w:rsidRPr="00222917" w:rsidRDefault="002D5BB0" w:rsidP="00A34665">
            <w:pPr>
              <w:pStyle w:val="SingleTxtG"/>
              <w:suppressAutoHyphens w:val="0"/>
              <w:spacing w:before="40" w:after="40" w:line="220" w:lineRule="exact"/>
              <w:ind w:left="0" w:right="0"/>
              <w:jc w:val="left"/>
              <w:rPr>
                <w:sz w:val="18"/>
                <w:lang w:val="en-US"/>
              </w:rPr>
            </w:pPr>
            <w:r w:rsidRPr="00222917">
              <w:rPr>
                <w:sz w:val="18"/>
                <w:lang w:val="en-US"/>
              </w:rPr>
              <w:t>Number of inspected companies</w:t>
            </w:r>
          </w:p>
        </w:tc>
        <w:tc>
          <w:tcPr>
            <w:tcW w:w="1247" w:type="dxa"/>
            <w:tcBorders>
              <w:top w:val="single" w:sz="12" w:space="0" w:color="auto"/>
            </w:tcBorders>
            <w:shd w:val="clear" w:color="auto" w:fill="auto"/>
            <w:vAlign w:val="bottom"/>
          </w:tcPr>
          <w:p w:rsidR="002D5BB0" w:rsidRPr="00222917" w:rsidRDefault="002D5BB0" w:rsidP="00A34665">
            <w:pPr>
              <w:pStyle w:val="SingleTxtG"/>
              <w:suppressAutoHyphens w:val="0"/>
              <w:spacing w:before="40" w:after="40" w:line="220" w:lineRule="exact"/>
              <w:ind w:left="0" w:right="0"/>
              <w:jc w:val="right"/>
              <w:rPr>
                <w:sz w:val="18"/>
                <w:lang w:val="en-US"/>
              </w:rPr>
            </w:pPr>
            <w:r w:rsidRPr="00222917">
              <w:rPr>
                <w:sz w:val="18"/>
                <w:lang w:val="en-US"/>
              </w:rPr>
              <w:t>371</w:t>
            </w:r>
          </w:p>
        </w:tc>
        <w:tc>
          <w:tcPr>
            <w:tcW w:w="1247" w:type="dxa"/>
            <w:tcBorders>
              <w:top w:val="single" w:sz="12" w:space="0" w:color="auto"/>
            </w:tcBorders>
            <w:shd w:val="clear" w:color="auto" w:fill="auto"/>
            <w:vAlign w:val="bottom"/>
          </w:tcPr>
          <w:p w:rsidR="002D5BB0" w:rsidRPr="00222917" w:rsidRDefault="002D5BB0" w:rsidP="00A34665">
            <w:pPr>
              <w:pStyle w:val="SingleTxtG"/>
              <w:suppressAutoHyphens w:val="0"/>
              <w:spacing w:before="40" w:after="40" w:line="220" w:lineRule="exact"/>
              <w:ind w:left="0" w:right="0"/>
              <w:jc w:val="right"/>
              <w:rPr>
                <w:sz w:val="18"/>
                <w:lang w:val="en-US"/>
              </w:rPr>
            </w:pPr>
            <w:r w:rsidRPr="00222917">
              <w:rPr>
                <w:sz w:val="18"/>
                <w:lang w:val="en-US"/>
              </w:rPr>
              <w:t>877</w:t>
            </w:r>
          </w:p>
        </w:tc>
        <w:tc>
          <w:tcPr>
            <w:tcW w:w="1247" w:type="dxa"/>
            <w:tcBorders>
              <w:top w:val="single" w:sz="12" w:space="0" w:color="auto"/>
            </w:tcBorders>
            <w:shd w:val="clear" w:color="auto" w:fill="auto"/>
            <w:vAlign w:val="bottom"/>
          </w:tcPr>
          <w:p w:rsidR="002D5BB0" w:rsidRPr="00222917" w:rsidRDefault="002D5BB0" w:rsidP="00A34665">
            <w:pPr>
              <w:pStyle w:val="SingleTxtG"/>
              <w:suppressAutoHyphens w:val="0"/>
              <w:spacing w:before="40" w:after="40" w:line="220" w:lineRule="exact"/>
              <w:ind w:left="0" w:right="0"/>
              <w:jc w:val="right"/>
              <w:rPr>
                <w:sz w:val="18"/>
                <w:lang w:val="en-US"/>
              </w:rPr>
            </w:pPr>
            <w:r w:rsidRPr="00222917">
              <w:rPr>
                <w:sz w:val="18"/>
                <w:lang w:val="en-US"/>
              </w:rPr>
              <w:t>268</w:t>
            </w:r>
          </w:p>
        </w:tc>
        <w:tc>
          <w:tcPr>
            <w:tcW w:w="1247" w:type="dxa"/>
            <w:tcBorders>
              <w:top w:val="single" w:sz="12" w:space="0" w:color="auto"/>
            </w:tcBorders>
            <w:shd w:val="clear" w:color="auto" w:fill="auto"/>
            <w:vAlign w:val="bottom"/>
          </w:tcPr>
          <w:p w:rsidR="002D5BB0" w:rsidRPr="00222917" w:rsidRDefault="002D5BB0" w:rsidP="00A34665">
            <w:pPr>
              <w:pStyle w:val="SingleTxtG"/>
              <w:suppressAutoHyphens w:val="0"/>
              <w:spacing w:before="40" w:after="40" w:line="220" w:lineRule="exact"/>
              <w:ind w:left="0" w:right="0"/>
              <w:jc w:val="right"/>
              <w:rPr>
                <w:sz w:val="18"/>
                <w:lang w:val="en-US"/>
              </w:rPr>
            </w:pPr>
            <w:r w:rsidRPr="00222917">
              <w:rPr>
                <w:sz w:val="18"/>
                <w:lang w:val="en-US"/>
              </w:rPr>
              <w:t>488</w:t>
            </w:r>
          </w:p>
        </w:tc>
        <w:tc>
          <w:tcPr>
            <w:tcW w:w="1247" w:type="dxa"/>
            <w:tcBorders>
              <w:top w:val="single" w:sz="12" w:space="0" w:color="auto"/>
            </w:tcBorders>
            <w:shd w:val="clear" w:color="auto" w:fill="auto"/>
            <w:vAlign w:val="bottom"/>
          </w:tcPr>
          <w:p w:rsidR="002D5BB0" w:rsidRPr="00222917" w:rsidRDefault="002D5BB0" w:rsidP="00A34665">
            <w:pPr>
              <w:pStyle w:val="SingleTxtG"/>
              <w:suppressAutoHyphens w:val="0"/>
              <w:spacing w:before="40" w:after="40" w:line="220" w:lineRule="exact"/>
              <w:ind w:left="0" w:right="0"/>
              <w:jc w:val="right"/>
              <w:rPr>
                <w:sz w:val="18"/>
                <w:lang w:val="en-US"/>
              </w:rPr>
            </w:pPr>
            <w:r w:rsidRPr="00222917">
              <w:rPr>
                <w:sz w:val="18"/>
                <w:lang w:val="en-US"/>
              </w:rPr>
              <w:t>761</w:t>
            </w:r>
          </w:p>
        </w:tc>
      </w:tr>
      <w:tr w:rsidR="0024745E" w:rsidRPr="00222917" w:rsidTr="002D14AF">
        <w:trPr>
          <w:trHeight w:val="240"/>
        </w:trPr>
        <w:tc>
          <w:tcPr>
            <w:tcW w:w="1134" w:type="dxa"/>
            <w:vMerge w:val="restart"/>
            <w:shd w:val="clear" w:color="auto" w:fill="auto"/>
          </w:tcPr>
          <w:p w:rsidR="002D5BB0" w:rsidRPr="00222917" w:rsidRDefault="002D5BB0" w:rsidP="00A34665">
            <w:pPr>
              <w:pStyle w:val="SingleTxtG"/>
              <w:suppressAutoHyphens w:val="0"/>
              <w:spacing w:before="40" w:after="40" w:line="220" w:lineRule="exact"/>
              <w:ind w:left="0" w:right="0"/>
              <w:jc w:val="left"/>
              <w:rPr>
                <w:sz w:val="18"/>
                <w:lang w:val="en-US"/>
              </w:rPr>
            </w:pPr>
            <w:r w:rsidRPr="00222917">
              <w:rPr>
                <w:sz w:val="18"/>
                <w:lang w:val="en-US"/>
              </w:rPr>
              <w:t>Violations uncovered</w:t>
            </w:r>
          </w:p>
        </w:tc>
        <w:tc>
          <w:tcPr>
            <w:tcW w:w="1134" w:type="dxa"/>
            <w:shd w:val="clear" w:color="auto" w:fill="auto"/>
          </w:tcPr>
          <w:p w:rsidR="002D5BB0" w:rsidRPr="00222917" w:rsidRDefault="002D5BB0" w:rsidP="00A34665">
            <w:pPr>
              <w:pStyle w:val="SingleTxtG"/>
              <w:suppressAutoHyphens w:val="0"/>
              <w:spacing w:before="40" w:after="40" w:line="220" w:lineRule="exact"/>
              <w:ind w:left="0" w:right="0"/>
              <w:jc w:val="left"/>
              <w:rPr>
                <w:sz w:val="18"/>
                <w:lang w:val="en-US"/>
              </w:rPr>
            </w:pPr>
            <w:r w:rsidRPr="00222917">
              <w:rPr>
                <w:sz w:val="18"/>
                <w:lang w:val="en-US"/>
              </w:rPr>
              <w:t>Number of companies</w:t>
            </w:r>
          </w:p>
        </w:tc>
        <w:tc>
          <w:tcPr>
            <w:tcW w:w="1247" w:type="dxa"/>
            <w:shd w:val="clear" w:color="auto" w:fill="auto"/>
            <w:vAlign w:val="bottom"/>
          </w:tcPr>
          <w:p w:rsidR="002D5BB0" w:rsidRPr="00222917" w:rsidRDefault="002D5BB0" w:rsidP="00A34665">
            <w:pPr>
              <w:pStyle w:val="SingleTxtG"/>
              <w:suppressAutoHyphens w:val="0"/>
              <w:spacing w:before="40" w:after="40" w:line="220" w:lineRule="exact"/>
              <w:ind w:left="0" w:right="0"/>
              <w:jc w:val="right"/>
              <w:rPr>
                <w:sz w:val="18"/>
                <w:lang w:val="en-US"/>
              </w:rPr>
            </w:pPr>
            <w:r w:rsidRPr="00222917">
              <w:rPr>
                <w:sz w:val="18"/>
                <w:lang w:val="en-US"/>
              </w:rPr>
              <w:t>168</w:t>
            </w:r>
          </w:p>
        </w:tc>
        <w:tc>
          <w:tcPr>
            <w:tcW w:w="1247" w:type="dxa"/>
            <w:shd w:val="clear" w:color="auto" w:fill="auto"/>
            <w:vAlign w:val="bottom"/>
          </w:tcPr>
          <w:p w:rsidR="002D5BB0" w:rsidRPr="00222917" w:rsidRDefault="002D5BB0" w:rsidP="00A34665">
            <w:pPr>
              <w:pStyle w:val="SingleTxtG"/>
              <w:suppressAutoHyphens w:val="0"/>
              <w:spacing w:before="40" w:after="40" w:line="220" w:lineRule="exact"/>
              <w:ind w:left="0" w:right="0"/>
              <w:jc w:val="right"/>
              <w:rPr>
                <w:sz w:val="18"/>
                <w:lang w:val="en-US"/>
              </w:rPr>
            </w:pPr>
            <w:r w:rsidRPr="00222917">
              <w:rPr>
                <w:sz w:val="18"/>
                <w:lang w:val="en-US"/>
              </w:rPr>
              <w:t>144</w:t>
            </w:r>
          </w:p>
        </w:tc>
        <w:tc>
          <w:tcPr>
            <w:tcW w:w="1247" w:type="dxa"/>
            <w:shd w:val="clear" w:color="auto" w:fill="auto"/>
            <w:vAlign w:val="bottom"/>
          </w:tcPr>
          <w:p w:rsidR="002D5BB0" w:rsidRPr="00222917" w:rsidRDefault="002D5BB0" w:rsidP="00A34665">
            <w:pPr>
              <w:pStyle w:val="SingleTxtG"/>
              <w:suppressAutoHyphens w:val="0"/>
              <w:spacing w:before="40" w:after="40" w:line="220" w:lineRule="exact"/>
              <w:ind w:left="0" w:right="0"/>
              <w:jc w:val="right"/>
              <w:rPr>
                <w:sz w:val="18"/>
                <w:lang w:val="en-US"/>
              </w:rPr>
            </w:pPr>
            <w:r w:rsidRPr="00222917">
              <w:rPr>
                <w:sz w:val="18"/>
                <w:lang w:val="en-US"/>
              </w:rPr>
              <w:t>21</w:t>
            </w:r>
          </w:p>
        </w:tc>
        <w:tc>
          <w:tcPr>
            <w:tcW w:w="1247" w:type="dxa"/>
            <w:shd w:val="clear" w:color="auto" w:fill="auto"/>
            <w:vAlign w:val="bottom"/>
          </w:tcPr>
          <w:p w:rsidR="002D5BB0" w:rsidRPr="00222917" w:rsidRDefault="002D5BB0" w:rsidP="00A34665">
            <w:pPr>
              <w:pStyle w:val="SingleTxtG"/>
              <w:suppressAutoHyphens w:val="0"/>
              <w:spacing w:before="40" w:after="40" w:line="220" w:lineRule="exact"/>
              <w:ind w:left="0" w:right="0"/>
              <w:jc w:val="right"/>
              <w:rPr>
                <w:sz w:val="18"/>
                <w:lang w:val="en-US"/>
              </w:rPr>
            </w:pPr>
            <w:r w:rsidRPr="00222917">
              <w:rPr>
                <w:sz w:val="18"/>
                <w:lang w:val="en-US"/>
              </w:rPr>
              <w:t>20</w:t>
            </w:r>
          </w:p>
        </w:tc>
        <w:tc>
          <w:tcPr>
            <w:tcW w:w="1247" w:type="dxa"/>
            <w:shd w:val="clear" w:color="auto" w:fill="auto"/>
            <w:vAlign w:val="bottom"/>
          </w:tcPr>
          <w:p w:rsidR="002D5BB0" w:rsidRPr="00222917" w:rsidRDefault="002D5BB0" w:rsidP="00A34665">
            <w:pPr>
              <w:pStyle w:val="SingleTxtG"/>
              <w:suppressAutoHyphens w:val="0"/>
              <w:spacing w:before="40" w:after="40" w:line="220" w:lineRule="exact"/>
              <w:ind w:left="0" w:right="0"/>
              <w:jc w:val="right"/>
              <w:rPr>
                <w:sz w:val="18"/>
                <w:lang w:val="en-US"/>
              </w:rPr>
            </w:pPr>
            <w:r w:rsidRPr="00222917">
              <w:rPr>
                <w:sz w:val="18"/>
                <w:lang w:val="en-US"/>
              </w:rPr>
              <w:t>289</w:t>
            </w:r>
          </w:p>
        </w:tc>
      </w:tr>
      <w:tr w:rsidR="0024745E" w:rsidRPr="00222917" w:rsidTr="002D14AF">
        <w:trPr>
          <w:trHeight w:val="240"/>
        </w:trPr>
        <w:tc>
          <w:tcPr>
            <w:tcW w:w="1134" w:type="dxa"/>
            <w:vMerge/>
            <w:shd w:val="clear" w:color="auto" w:fill="auto"/>
          </w:tcPr>
          <w:p w:rsidR="002D5BB0" w:rsidRPr="00222917" w:rsidRDefault="002D5BB0" w:rsidP="00A34665">
            <w:pPr>
              <w:pStyle w:val="SingleTxtG"/>
              <w:suppressAutoHyphens w:val="0"/>
              <w:spacing w:before="40" w:after="40" w:line="220" w:lineRule="exact"/>
              <w:ind w:left="0" w:right="0"/>
              <w:jc w:val="left"/>
              <w:rPr>
                <w:sz w:val="18"/>
                <w:lang w:val="en-US"/>
              </w:rPr>
            </w:pPr>
          </w:p>
        </w:tc>
        <w:tc>
          <w:tcPr>
            <w:tcW w:w="1134" w:type="dxa"/>
            <w:shd w:val="clear" w:color="auto" w:fill="auto"/>
          </w:tcPr>
          <w:p w:rsidR="002D5BB0" w:rsidRPr="00222917" w:rsidRDefault="002D5BB0" w:rsidP="00A34665">
            <w:pPr>
              <w:pStyle w:val="SingleTxtG"/>
              <w:suppressAutoHyphens w:val="0"/>
              <w:spacing w:before="40" w:after="40" w:line="220" w:lineRule="exact"/>
              <w:ind w:left="0" w:right="0"/>
              <w:jc w:val="left"/>
              <w:rPr>
                <w:sz w:val="18"/>
                <w:lang w:val="en-US"/>
              </w:rPr>
            </w:pPr>
            <w:r w:rsidRPr="00222917">
              <w:rPr>
                <w:sz w:val="18"/>
                <w:lang w:val="en-US"/>
              </w:rPr>
              <w:t>Ratio (%)</w:t>
            </w:r>
          </w:p>
        </w:tc>
        <w:tc>
          <w:tcPr>
            <w:tcW w:w="1247" w:type="dxa"/>
            <w:shd w:val="clear" w:color="auto" w:fill="auto"/>
            <w:vAlign w:val="bottom"/>
          </w:tcPr>
          <w:p w:rsidR="002D5BB0" w:rsidRPr="00222917" w:rsidRDefault="002D5BB0" w:rsidP="00A34665">
            <w:pPr>
              <w:pStyle w:val="SingleTxtG"/>
              <w:suppressAutoHyphens w:val="0"/>
              <w:spacing w:before="40" w:after="40" w:line="220" w:lineRule="exact"/>
              <w:ind w:left="0" w:right="0"/>
              <w:jc w:val="right"/>
              <w:rPr>
                <w:sz w:val="18"/>
                <w:lang w:val="en-US"/>
              </w:rPr>
            </w:pPr>
            <w:r w:rsidRPr="00222917">
              <w:rPr>
                <w:sz w:val="18"/>
                <w:lang w:val="en-US"/>
              </w:rPr>
              <w:t>45.3</w:t>
            </w:r>
          </w:p>
        </w:tc>
        <w:tc>
          <w:tcPr>
            <w:tcW w:w="1247" w:type="dxa"/>
            <w:shd w:val="clear" w:color="auto" w:fill="auto"/>
            <w:vAlign w:val="bottom"/>
          </w:tcPr>
          <w:p w:rsidR="002D5BB0" w:rsidRPr="00222917" w:rsidRDefault="002D5BB0" w:rsidP="00A34665">
            <w:pPr>
              <w:pStyle w:val="SingleTxtG"/>
              <w:suppressAutoHyphens w:val="0"/>
              <w:spacing w:before="40" w:after="40" w:line="220" w:lineRule="exact"/>
              <w:ind w:left="0" w:right="0"/>
              <w:jc w:val="right"/>
              <w:rPr>
                <w:sz w:val="18"/>
                <w:lang w:val="en-US"/>
              </w:rPr>
            </w:pPr>
            <w:r w:rsidRPr="00222917">
              <w:rPr>
                <w:sz w:val="18"/>
                <w:lang w:val="en-US"/>
              </w:rPr>
              <w:t>16.4</w:t>
            </w:r>
          </w:p>
        </w:tc>
        <w:tc>
          <w:tcPr>
            <w:tcW w:w="1247" w:type="dxa"/>
            <w:shd w:val="clear" w:color="auto" w:fill="auto"/>
            <w:vAlign w:val="bottom"/>
          </w:tcPr>
          <w:p w:rsidR="002D5BB0" w:rsidRPr="00222917" w:rsidRDefault="002D5BB0" w:rsidP="00A34665">
            <w:pPr>
              <w:pStyle w:val="SingleTxtG"/>
              <w:suppressAutoHyphens w:val="0"/>
              <w:spacing w:before="40" w:after="40" w:line="220" w:lineRule="exact"/>
              <w:ind w:left="0" w:right="0"/>
              <w:jc w:val="right"/>
              <w:rPr>
                <w:sz w:val="18"/>
                <w:lang w:val="en-US"/>
              </w:rPr>
            </w:pPr>
            <w:r w:rsidRPr="00222917">
              <w:rPr>
                <w:sz w:val="18"/>
                <w:lang w:val="en-US"/>
              </w:rPr>
              <w:t>7.8</w:t>
            </w:r>
          </w:p>
        </w:tc>
        <w:tc>
          <w:tcPr>
            <w:tcW w:w="1247" w:type="dxa"/>
            <w:shd w:val="clear" w:color="auto" w:fill="auto"/>
            <w:vAlign w:val="bottom"/>
          </w:tcPr>
          <w:p w:rsidR="002D5BB0" w:rsidRPr="00222917" w:rsidRDefault="002D5BB0" w:rsidP="00A34665">
            <w:pPr>
              <w:pStyle w:val="SingleTxtG"/>
              <w:suppressAutoHyphens w:val="0"/>
              <w:spacing w:before="40" w:after="40" w:line="220" w:lineRule="exact"/>
              <w:ind w:left="0" w:right="0"/>
              <w:jc w:val="right"/>
              <w:rPr>
                <w:sz w:val="18"/>
                <w:lang w:val="en-US"/>
              </w:rPr>
            </w:pPr>
            <w:r w:rsidRPr="00222917">
              <w:rPr>
                <w:sz w:val="18"/>
                <w:lang w:val="en-US"/>
              </w:rPr>
              <w:t>4.1</w:t>
            </w:r>
          </w:p>
        </w:tc>
        <w:tc>
          <w:tcPr>
            <w:tcW w:w="1247" w:type="dxa"/>
            <w:shd w:val="clear" w:color="auto" w:fill="auto"/>
            <w:vAlign w:val="bottom"/>
          </w:tcPr>
          <w:p w:rsidR="002D5BB0" w:rsidRPr="00222917" w:rsidRDefault="002D5BB0" w:rsidP="00A34665">
            <w:pPr>
              <w:pStyle w:val="SingleTxtG"/>
              <w:suppressAutoHyphens w:val="0"/>
              <w:spacing w:before="40" w:after="40" w:line="220" w:lineRule="exact"/>
              <w:ind w:left="0" w:right="0"/>
              <w:jc w:val="right"/>
              <w:rPr>
                <w:sz w:val="18"/>
                <w:lang w:val="en-US"/>
              </w:rPr>
            </w:pPr>
            <w:r w:rsidRPr="00222917">
              <w:rPr>
                <w:sz w:val="18"/>
                <w:lang w:val="en-US"/>
              </w:rPr>
              <w:t>38.0</w:t>
            </w:r>
          </w:p>
        </w:tc>
      </w:tr>
      <w:tr w:rsidR="0024745E" w:rsidRPr="00222917" w:rsidTr="002D14AF">
        <w:trPr>
          <w:trHeight w:val="240"/>
        </w:trPr>
        <w:tc>
          <w:tcPr>
            <w:tcW w:w="1134" w:type="dxa"/>
            <w:vMerge w:val="restart"/>
            <w:shd w:val="clear" w:color="auto" w:fill="auto"/>
          </w:tcPr>
          <w:p w:rsidR="002D5BB0" w:rsidRPr="00222917" w:rsidRDefault="00DB431B" w:rsidP="00993957">
            <w:pPr>
              <w:pStyle w:val="SingleTxtG"/>
              <w:suppressAutoHyphens w:val="0"/>
              <w:spacing w:before="40" w:after="40" w:line="220" w:lineRule="exact"/>
              <w:ind w:left="0" w:right="0"/>
              <w:jc w:val="left"/>
              <w:rPr>
                <w:sz w:val="18"/>
                <w:lang w:val="en-US"/>
              </w:rPr>
            </w:pPr>
            <w:r w:rsidRPr="00222917">
              <w:rPr>
                <w:sz w:val="18"/>
                <w:lang w:val="en-US"/>
              </w:rPr>
              <w:t>M</w:t>
            </w:r>
            <w:r w:rsidR="002D5BB0" w:rsidRPr="00222917">
              <w:rPr>
                <w:sz w:val="18"/>
                <w:lang w:val="en-US"/>
              </w:rPr>
              <w:t>easures taken for</w:t>
            </w:r>
            <w:r w:rsidR="00993957" w:rsidRPr="00222917">
              <w:rPr>
                <w:sz w:val="18"/>
                <w:lang w:val="en-US"/>
              </w:rPr>
              <w:t> </w:t>
            </w:r>
            <w:r w:rsidR="002D5BB0" w:rsidRPr="00222917">
              <w:rPr>
                <w:sz w:val="18"/>
                <w:lang w:val="en-US"/>
              </w:rPr>
              <w:t>violations</w:t>
            </w:r>
          </w:p>
        </w:tc>
        <w:tc>
          <w:tcPr>
            <w:tcW w:w="1134" w:type="dxa"/>
            <w:shd w:val="clear" w:color="auto" w:fill="auto"/>
          </w:tcPr>
          <w:p w:rsidR="002D5BB0" w:rsidRPr="00222917" w:rsidRDefault="002D5BB0" w:rsidP="00A34665">
            <w:pPr>
              <w:pStyle w:val="SingleTxtG"/>
              <w:suppressAutoHyphens w:val="0"/>
              <w:spacing w:before="40" w:after="40" w:line="220" w:lineRule="exact"/>
              <w:ind w:left="0" w:right="0"/>
              <w:jc w:val="left"/>
              <w:rPr>
                <w:sz w:val="18"/>
                <w:lang w:val="en-US"/>
              </w:rPr>
            </w:pPr>
            <w:r w:rsidRPr="00222917">
              <w:rPr>
                <w:sz w:val="18"/>
                <w:lang w:val="en-US"/>
              </w:rPr>
              <w:t>Corrective measures</w:t>
            </w:r>
          </w:p>
        </w:tc>
        <w:tc>
          <w:tcPr>
            <w:tcW w:w="1247" w:type="dxa"/>
            <w:shd w:val="clear" w:color="auto" w:fill="auto"/>
            <w:vAlign w:val="bottom"/>
          </w:tcPr>
          <w:p w:rsidR="002D5BB0" w:rsidRPr="00222917" w:rsidRDefault="002D5BB0" w:rsidP="00A34665">
            <w:pPr>
              <w:pStyle w:val="SingleTxtG"/>
              <w:suppressAutoHyphens w:val="0"/>
              <w:spacing w:before="40" w:after="40" w:line="220" w:lineRule="exact"/>
              <w:ind w:left="0" w:right="0"/>
              <w:jc w:val="right"/>
              <w:rPr>
                <w:sz w:val="18"/>
                <w:lang w:val="en-US"/>
              </w:rPr>
            </w:pPr>
            <w:r w:rsidRPr="00222917">
              <w:rPr>
                <w:sz w:val="18"/>
                <w:lang w:val="en-US"/>
              </w:rPr>
              <w:t>166</w:t>
            </w:r>
          </w:p>
        </w:tc>
        <w:tc>
          <w:tcPr>
            <w:tcW w:w="1247" w:type="dxa"/>
            <w:shd w:val="clear" w:color="auto" w:fill="auto"/>
            <w:vAlign w:val="bottom"/>
          </w:tcPr>
          <w:p w:rsidR="002D5BB0" w:rsidRPr="00222917" w:rsidRDefault="002D5BB0" w:rsidP="00A34665">
            <w:pPr>
              <w:pStyle w:val="SingleTxtG"/>
              <w:suppressAutoHyphens w:val="0"/>
              <w:spacing w:before="40" w:after="40" w:line="220" w:lineRule="exact"/>
              <w:ind w:left="0" w:right="0"/>
              <w:jc w:val="right"/>
              <w:rPr>
                <w:sz w:val="18"/>
                <w:lang w:val="en-US"/>
              </w:rPr>
            </w:pPr>
            <w:r w:rsidRPr="00222917">
              <w:rPr>
                <w:sz w:val="18"/>
                <w:lang w:val="en-US"/>
              </w:rPr>
              <w:t>139</w:t>
            </w:r>
          </w:p>
        </w:tc>
        <w:tc>
          <w:tcPr>
            <w:tcW w:w="1247" w:type="dxa"/>
            <w:shd w:val="clear" w:color="auto" w:fill="auto"/>
            <w:vAlign w:val="bottom"/>
          </w:tcPr>
          <w:p w:rsidR="002D5BB0" w:rsidRPr="00222917" w:rsidRDefault="002D5BB0" w:rsidP="00A34665">
            <w:pPr>
              <w:pStyle w:val="SingleTxtG"/>
              <w:suppressAutoHyphens w:val="0"/>
              <w:spacing w:before="40" w:after="40" w:line="220" w:lineRule="exact"/>
              <w:ind w:left="0" w:right="0"/>
              <w:jc w:val="right"/>
              <w:rPr>
                <w:sz w:val="18"/>
                <w:lang w:val="en-US"/>
              </w:rPr>
            </w:pPr>
            <w:r w:rsidRPr="00222917">
              <w:rPr>
                <w:sz w:val="18"/>
                <w:lang w:val="en-US"/>
              </w:rPr>
              <w:t>21</w:t>
            </w:r>
          </w:p>
        </w:tc>
        <w:tc>
          <w:tcPr>
            <w:tcW w:w="1247" w:type="dxa"/>
            <w:shd w:val="clear" w:color="auto" w:fill="auto"/>
            <w:vAlign w:val="bottom"/>
          </w:tcPr>
          <w:p w:rsidR="002D5BB0" w:rsidRPr="00222917" w:rsidRDefault="002D5BB0" w:rsidP="00A34665">
            <w:pPr>
              <w:pStyle w:val="SingleTxtG"/>
              <w:suppressAutoHyphens w:val="0"/>
              <w:spacing w:before="40" w:after="40" w:line="220" w:lineRule="exact"/>
              <w:ind w:left="0" w:right="0"/>
              <w:jc w:val="right"/>
              <w:rPr>
                <w:sz w:val="18"/>
                <w:lang w:val="en-US"/>
              </w:rPr>
            </w:pPr>
            <w:r w:rsidRPr="00222917">
              <w:rPr>
                <w:sz w:val="18"/>
                <w:lang w:val="en-US"/>
              </w:rPr>
              <w:t>20</w:t>
            </w:r>
          </w:p>
        </w:tc>
        <w:tc>
          <w:tcPr>
            <w:tcW w:w="1247" w:type="dxa"/>
            <w:shd w:val="clear" w:color="auto" w:fill="auto"/>
            <w:vAlign w:val="bottom"/>
          </w:tcPr>
          <w:p w:rsidR="002D5BB0" w:rsidRPr="00222917" w:rsidRDefault="002D5BB0" w:rsidP="00A34665">
            <w:pPr>
              <w:pStyle w:val="SingleTxtG"/>
              <w:suppressAutoHyphens w:val="0"/>
              <w:spacing w:before="40" w:after="40" w:line="220" w:lineRule="exact"/>
              <w:ind w:left="0" w:right="0"/>
              <w:jc w:val="right"/>
              <w:rPr>
                <w:sz w:val="18"/>
                <w:lang w:val="en-US"/>
              </w:rPr>
            </w:pPr>
            <w:r w:rsidRPr="00222917">
              <w:rPr>
                <w:sz w:val="18"/>
                <w:lang w:val="en-US"/>
              </w:rPr>
              <w:t>288</w:t>
            </w:r>
          </w:p>
        </w:tc>
      </w:tr>
      <w:tr w:rsidR="0024745E" w:rsidRPr="00222917" w:rsidTr="002D14AF">
        <w:trPr>
          <w:trHeight w:val="240"/>
        </w:trPr>
        <w:tc>
          <w:tcPr>
            <w:tcW w:w="1134" w:type="dxa"/>
            <w:vMerge/>
            <w:tcBorders>
              <w:bottom w:val="single" w:sz="12" w:space="0" w:color="auto"/>
            </w:tcBorders>
            <w:shd w:val="clear" w:color="auto" w:fill="auto"/>
          </w:tcPr>
          <w:p w:rsidR="002D5BB0" w:rsidRPr="00222917" w:rsidRDefault="002D5BB0" w:rsidP="00A34665">
            <w:pPr>
              <w:pStyle w:val="SingleTxtG"/>
              <w:suppressAutoHyphens w:val="0"/>
              <w:spacing w:before="40" w:after="40" w:line="220" w:lineRule="exact"/>
              <w:ind w:left="0" w:right="0"/>
              <w:jc w:val="left"/>
              <w:rPr>
                <w:sz w:val="18"/>
                <w:lang w:val="en-US"/>
              </w:rPr>
            </w:pPr>
          </w:p>
        </w:tc>
        <w:tc>
          <w:tcPr>
            <w:tcW w:w="1134" w:type="dxa"/>
            <w:tcBorders>
              <w:bottom w:val="single" w:sz="12" w:space="0" w:color="auto"/>
            </w:tcBorders>
            <w:shd w:val="clear" w:color="auto" w:fill="auto"/>
          </w:tcPr>
          <w:p w:rsidR="002D5BB0" w:rsidRPr="00222917" w:rsidRDefault="002D5BB0" w:rsidP="00A34665">
            <w:pPr>
              <w:pStyle w:val="SingleTxtG"/>
              <w:suppressAutoHyphens w:val="0"/>
              <w:spacing w:before="40" w:after="40" w:line="220" w:lineRule="exact"/>
              <w:ind w:left="0" w:right="0"/>
              <w:jc w:val="left"/>
              <w:rPr>
                <w:sz w:val="18"/>
                <w:lang w:val="en-US"/>
              </w:rPr>
            </w:pPr>
            <w:r w:rsidRPr="00222917">
              <w:rPr>
                <w:sz w:val="18"/>
                <w:lang w:val="en-US"/>
              </w:rPr>
              <w:t>Fine for negligence</w:t>
            </w:r>
          </w:p>
        </w:tc>
        <w:tc>
          <w:tcPr>
            <w:tcW w:w="1247" w:type="dxa"/>
            <w:tcBorders>
              <w:bottom w:val="single" w:sz="12" w:space="0" w:color="auto"/>
            </w:tcBorders>
            <w:shd w:val="clear" w:color="auto" w:fill="auto"/>
            <w:vAlign w:val="bottom"/>
          </w:tcPr>
          <w:p w:rsidR="002D5BB0" w:rsidRPr="00222917" w:rsidRDefault="002D5BB0" w:rsidP="00A34665">
            <w:pPr>
              <w:pStyle w:val="SingleTxtG"/>
              <w:suppressAutoHyphens w:val="0"/>
              <w:spacing w:before="40" w:after="40" w:line="220" w:lineRule="exact"/>
              <w:ind w:left="0" w:right="0"/>
              <w:jc w:val="right"/>
              <w:rPr>
                <w:sz w:val="18"/>
                <w:lang w:val="en-US"/>
              </w:rPr>
            </w:pPr>
            <w:r w:rsidRPr="00222917">
              <w:rPr>
                <w:sz w:val="18"/>
                <w:lang w:val="en-US"/>
              </w:rPr>
              <w:t>2</w:t>
            </w:r>
          </w:p>
        </w:tc>
        <w:tc>
          <w:tcPr>
            <w:tcW w:w="1247" w:type="dxa"/>
            <w:tcBorders>
              <w:bottom w:val="single" w:sz="12" w:space="0" w:color="auto"/>
            </w:tcBorders>
            <w:shd w:val="clear" w:color="auto" w:fill="auto"/>
            <w:vAlign w:val="bottom"/>
          </w:tcPr>
          <w:p w:rsidR="002D5BB0" w:rsidRPr="00222917" w:rsidRDefault="002D5BB0" w:rsidP="00A34665">
            <w:pPr>
              <w:pStyle w:val="SingleTxtG"/>
              <w:suppressAutoHyphens w:val="0"/>
              <w:spacing w:before="40" w:after="40" w:line="220" w:lineRule="exact"/>
              <w:ind w:left="0" w:right="0"/>
              <w:jc w:val="right"/>
              <w:rPr>
                <w:sz w:val="18"/>
                <w:lang w:val="en-US"/>
              </w:rPr>
            </w:pPr>
            <w:r w:rsidRPr="00222917">
              <w:rPr>
                <w:sz w:val="18"/>
                <w:lang w:val="en-US"/>
              </w:rPr>
              <w:t>5</w:t>
            </w:r>
          </w:p>
        </w:tc>
        <w:tc>
          <w:tcPr>
            <w:tcW w:w="1247" w:type="dxa"/>
            <w:tcBorders>
              <w:bottom w:val="single" w:sz="12" w:space="0" w:color="auto"/>
            </w:tcBorders>
            <w:shd w:val="clear" w:color="auto" w:fill="auto"/>
            <w:vAlign w:val="bottom"/>
          </w:tcPr>
          <w:p w:rsidR="002D5BB0" w:rsidRPr="00222917" w:rsidRDefault="002D5BB0" w:rsidP="00A34665">
            <w:pPr>
              <w:pStyle w:val="SingleTxtG"/>
              <w:suppressAutoHyphens w:val="0"/>
              <w:spacing w:before="40" w:after="40" w:line="220" w:lineRule="exact"/>
              <w:ind w:left="0" w:right="0"/>
              <w:jc w:val="right"/>
              <w:rPr>
                <w:sz w:val="18"/>
                <w:lang w:val="en-US"/>
              </w:rPr>
            </w:pPr>
            <w:r w:rsidRPr="00222917">
              <w:rPr>
                <w:sz w:val="18"/>
                <w:lang w:val="en-US"/>
              </w:rPr>
              <w:t>-</w:t>
            </w:r>
          </w:p>
        </w:tc>
        <w:tc>
          <w:tcPr>
            <w:tcW w:w="1247" w:type="dxa"/>
            <w:tcBorders>
              <w:bottom w:val="single" w:sz="12" w:space="0" w:color="auto"/>
            </w:tcBorders>
            <w:shd w:val="clear" w:color="auto" w:fill="auto"/>
            <w:vAlign w:val="bottom"/>
          </w:tcPr>
          <w:p w:rsidR="002D5BB0" w:rsidRPr="00222917" w:rsidRDefault="002D5BB0" w:rsidP="00A34665">
            <w:pPr>
              <w:pStyle w:val="SingleTxtG"/>
              <w:suppressAutoHyphens w:val="0"/>
              <w:spacing w:before="40" w:after="40" w:line="220" w:lineRule="exact"/>
              <w:ind w:left="0" w:right="0"/>
              <w:jc w:val="right"/>
              <w:rPr>
                <w:sz w:val="18"/>
                <w:lang w:val="en-US"/>
              </w:rPr>
            </w:pPr>
            <w:r w:rsidRPr="00222917">
              <w:rPr>
                <w:sz w:val="18"/>
                <w:lang w:val="en-US"/>
              </w:rPr>
              <w:t>-</w:t>
            </w:r>
          </w:p>
        </w:tc>
        <w:tc>
          <w:tcPr>
            <w:tcW w:w="1247" w:type="dxa"/>
            <w:tcBorders>
              <w:bottom w:val="single" w:sz="12" w:space="0" w:color="auto"/>
            </w:tcBorders>
            <w:shd w:val="clear" w:color="auto" w:fill="auto"/>
            <w:vAlign w:val="bottom"/>
          </w:tcPr>
          <w:p w:rsidR="002D5BB0" w:rsidRPr="00222917" w:rsidRDefault="002D5BB0" w:rsidP="00A34665">
            <w:pPr>
              <w:pStyle w:val="SingleTxtG"/>
              <w:suppressAutoHyphens w:val="0"/>
              <w:spacing w:before="40" w:after="40" w:line="220" w:lineRule="exact"/>
              <w:ind w:left="0" w:right="0"/>
              <w:jc w:val="right"/>
              <w:rPr>
                <w:sz w:val="18"/>
                <w:lang w:val="en-US"/>
              </w:rPr>
            </w:pPr>
            <w:r w:rsidRPr="00222917">
              <w:rPr>
                <w:sz w:val="18"/>
                <w:lang w:val="en-US"/>
              </w:rPr>
              <w:t>1</w:t>
            </w:r>
          </w:p>
        </w:tc>
      </w:tr>
    </w:tbl>
    <w:p w:rsidR="002D5BB0" w:rsidRPr="00222917" w:rsidRDefault="00547908" w:rsidP="00547908">
      <w:pPr>
        <w:pStyle w:val="SingleTxtG"/>
        <w:spacing w:before="240"/>
        <w:rPr>
          <w:lang w:val="en-US"/>
        </w:rPr>
      </w:pPr>
      <w:r w:rsidRPr="00222917">
        <w:rPr>
          <w:lang w:val="en-US"/>
        </w:rPr>
        <w:t>102.</w:t>
      </w:r>
      <w:r w:rsidRPr="00222917">
        <w:rPr>
          <w:lang w:val="en-US"/>
        </w:rPr>
        <w:tab/>
      </w:r>
      <w:r w:rsidR="002D5BB0" w:rsidRPr="00222917">
        <w:rPr>
          <w:lang w:val="en-US"/>
        </w:rPr>
        <w:t xml:space="preserve">Prevention of sexual harassment is crucial in light of the limitations on </w:t>
      </w:r>
      <w:r w:rsidR="002D5BB0" w:rsidRPr="00222917">
        <w:rPr>
          <w:i/>
          <w:lang w:val="en-US"/>
        </w:rPr>
        <w:t>ex post facto</w:t>
      </w:r>
      <w:r w:rsidR="002D5BB0" w:rsidRPr="00222917">
        <w:rPr>
          <w:lang w:val="en-US"/>
        </w:rPr>
        <w:t xml:space="preserve"> recovery of damage from it. Accordingly, the Government focuses on awareness-raising on prevention of sexual harassment through developing educational materials for distribution. The Government included </w:t>
      </w:r>
      <w:r w:rsidR="002D5BB0" w:rsidRPr="00222917">
        <w:rPr>
          <w:bCs/>
          <w:lang w:val="en-US"/>
        </w:rPr>
        <w:t>workplaces</w:t>
      </w:r>
      <w:r w:rsidR="002D5BB0" w:rsidRPr="00222917">
        <w:rPr>
          <w:lang w:val="en-US"/>
        </w:rPr>
        <w:t xml:space="preserve"> where sexual harassment cases are reported in the targets of various inspections in order to prevent recurrence of sexual harassment, with a view to strengthening its guidance and supervision. </w:t>
      </w:r>
    </w:p>
    <w:p w:rsidR="002D5BB0" w:rsidRPr="003F1727" w:rsidRDefault="00455482" w:rsidP="00455482">
      <w:pPr>
        <w:pStyle w:val="HChG"/>
        <w:rPr>
          <w:sz w:val="24"/>
          <w:szCs w:val="24"/>
          <w:lang w:val="en-US"/>
        </w:rPr>
      </w:pPr>
      <w:bookmarkStart w:id="1" w:name="_Toc307504030"/>
      <w:bookmarkStart w:id="2" w:name="_Toc336435802"/>
      <w:r w:rsidRPr="00222917">
        <w:rPr>
          <w:lang w:val="en-US"/>
        </w:rPr>
        <w:tab/>
      </w:r>
      <w:r w:rsidRPr="00222917">
        <w:rPr>
          <w:lang w:val="en-US"/>
        </w:rPr>
        <w:tab/>
      </w:r>
      <w:r w:rsidR="002D5BB0" w:rsidRPr="003F1727">
        <w:rPr>
          <w:sz w:val="24"/>
          <w:szCs w:val="24"/>
          <w:lang w:val="en-US"/>
        </w:rPr>
        <w:t>Article 4</w:t>
      </w:r>
      <w:bookmarkEnd w:id="1"/>
      <w:bookmarkEnd w:id="2"/>
    </w:p>
    <w:p w:rsidR="002D5BB0" w:rsidRPr="00222917" w:rsidRDefault="00547908" w:rsidP="00547908">
      <w:pPr>
        <w:pStyle w:val="SingleTxtG"/>
        <w:rPr>
          <w:lang w:val="en-US"/>
        </w:rPr>
      </w:pPr>
      <w:r w:rsidRPr="00222917">
        <w:rPr>
          <w:lang w:val="en-US"/>
        </w:rPr>
        <w:t>103.</w:t>
      </w:r>
      <w:r w:rsidRPr="00222917">
        <w:rPr>
          <w:lang w:val="en-US"/>
        </w:rPr>
        <w:tab/>
      </w:r>
      <w:r w:rsidR="00C974F8" w:rsidRPr="00222917">
        <w:rPr>
          <w:lang w:val="en-US"/>
        </w:rPr>
        <w:t xml:space="preserve">With respect to </w:t>
      </w:r>
      <w:r w:rsidR="00681EC0" w:rsidRPr="00222917">
        <w:rPr>
          <w:lang w:val="en-US"/>
        </w:rPr>
        <w:t>a</w:t>
      </w:r>
      <w:r w:rsidR="00C974F8" w:rsidRPr="00222917">
        <w:rPr>
          <w:lang w:val="en-US"/>
        </w:rPr>
        <w:t>rticle </w:t>
      </w:r>
      <w:r w:rsidR="002D5BB0" w:rsidRPr="00222917">
        <w:rPr>
          <w:lang w:val="en-US"/>
        </w:rPr>
        <w:t xml:space="preserve">4 of the Covenant, </w:t>
      </w:r>
      <w:r w:rsidR="002D5BB0" w:rsidRPr="00222917">
        <w:rPr>
          <w:bCs/>
          <w:lang w:val="en-US"/>
        </w:rPr>
        <w:t>explanations</w:t>
      </w:r>
      <w:r w:rsidR="002D5BB0" w:rsidRPr="00222917">
        <w:rPr>
          <w:lang w:val="en-US"/>
        </w:rPr>
        <w:t xml:space="preserve"> were given in the first and second r</w:t>
      </w:r>
      <w:r w:rsidR="00C974F8" w:rsidRPr="00222917">
        <w:rPr>
          <w:lang w:val="en-US"/>
        </w:rPr>
        <w:t>eports (CCPR/C/68/Add.1, paras. 88-95; CCPR/C/114/Add.1, paras. </w:t>
      </w:r>
      <w:r w:rsidR="002D5BB0" w:rsidRPr="00222917">
        <w:rPr>
          <w:lang w:val="en-US"/>
        </w:rPr>
        <w:t xml:space="preserve">67-70). </w:t>
      </w:r>
    </w:p>
    <w:p w:rsidR="002D5BB0" w:rsidRPr="003F1727" w:rsidRDefault="00455482" w:rsidP="00455482">
      <w:pPr>
        <w:pStyle w:val="HChG"/>
        <w:rPr>
          <w:sz w:val="24"/>
          <w:szCs w:val="24"/>
          <w:lang w:val="en-US"/>
        </w:rPr>
      </w:pPr>
      <w:bookmarkStart w:id="3" w:name="_Toc307504031"/>
      <w:bookmarkStart w:id="4" w:name="_Toc336435803"/>
      <w:r w:rsidRPr="00222917">
        <w:rPr>
          <w:lang w:val="en-US"/>
        </w:rPr>
        <w:tab/>
      </w:r>
      <w:r w:rsidRPr="00222917">
        <w:rPr>
          <w:lang w:val="en-US"/>
        </w:rPr>
        <w:tab/>
      </w:r>
      <w:r w:rsidR="002D5BB0" w:rsidRPr="003F1727">
        <w:rPr>
          <w:sz w:val="24"/>
          <w:szCs w:val="24"/>
          <w:lang w:val="en-US"/>
        </w:rPr>
        <w:t>Article 5</w:t>
      </w:r>
      <w:bookmarkEnd w:id="3"/>
      <w:bookmarkEnd w:id="4"/>
    </w:p>
    <w:p w:rsidR="002D5BB0" w:rsidRPr="00222917" w:rsidRDefault="00547908" w:rsidP="00547908">
      <w:pPr>
        <w:pStyle w:val="SingleTxtG"/>
        <w:rPr>
          <w:lang w:val="en-US"/>
        </w:rPr>
      </w:pPr>
      <w:r w:rsidRPr="00222917">
        <w:rPr>
          <w:lang w:val="en-US"/>
        </w:rPr>
        <w:t>104.</w:t>
      </w:r>
      <w:r w:rsidRPr="00222917">
        <w:rPr>
          <w:lang w:val="en-US"/>
        </w:rPr>
        <w:tab/>
      </w:r>
      <w:r w:rsidR="002D5BB0" w:rsidRPr="00222917">
        <w:rPr>
          <w:lang w:val="en-US"/>
        </w:rPr>
        <w:t xml:space="preserve">Concerning </w:t>
      </w:r>
      <w:r w:rsidR="00681EC0" w:rsidRPr="00222917">
        <w:rPr>
          <w:lang w:val="en-US"/>
        </w:rPr>
        <w:t>a</w:t>
      </w:r>
      <w:r w:rsidR="002D5BB0" w:rsidRPr="00222917">
        <w:rPr>
          <w:lang w:val="en-US"/>
        </w:rPr>
        <w:t>rticle 5 of the Covenant, explanations were provided in the first and second r</w:t>
      </w:r>
      <w:r w:rsidR="00C974F8" w:rsidRPr="00222917">
        <w:rPr>
          <w:lang w:val="en-US"/>
        </w:rPr>
        <w:t xml:space="preserve">eports (CCPR/C/68/Add.1, paras. 96 and </w:t>
      </w:r>
      <w:r w:rsidR="002D5BB0" w:rsidRPr="00222917">
        <w:rPr>
          <w:lang w:val="en-US"/>
        </w:rPr>
        <w:t xml:space="preserve">97; </w:t>
      </w:r>
      <w:r w:rsidR="002D5BB0" w:rsidRPr="00222917">
        <w:rPr>
          <w:bCs/>
          <w:lang w:val="en-US"/>
        </w:rPr>
        <w:t>CCPR</w:t>
      </w:r>
      <w:r w:rsidR="00C974F8" w:rsidRPr="00222917">
        <w:rPr>
          <w:lang w:val="en-US"/>
        </w:rPr>
        <w:t>/C/114/Add.1, paras. </w:t>
      </w:r>
      <w:r w:rsidR="005F5775" w:rsidRPr="00222917">
        <w:rPr>
          <w:lang w:val="en-US"/>
        </w:rPr>
        <w:t>71 and </w:t>
      </w:r>
      <w:r w:rsidR="002D5BB0" w:rsidRPr="00222917">
        <w:rPr>
          <w:lang w:val="en-US"/>
        </w:rPr>
        <w:t xml:space="preserve">72). </w:t>
      </w:r>
    </w:p>
    <w:p w:rsidR="002D5BB0" w:rsidRPr="003F1727" w:rsidRDefault="00455482" w:rsidP="00455482">
      <w:pPr>
        <w:pStyle w:val="HChG"/>
        <w:rPr>
          <w:sz w:val="24"/>
          <w:szCs w:val="24"/>
          <w:lang w:val="en-US"/>
        </w:rPr>
      </w:pPr>
      <w:bookmarkStart w:id="5" w:name="_Toc307504032"/>
      <w:bookmarkStart w:id="6" w:name="_Toc336435804"/>
      <w:r w:rsidRPr="00222917">
        <w:rPr>
          <w:lang w:val="en-US"/>
        </w:rPr>
        <w:tab/>
      </w:r>
      <w:r w:rsidRPr="00222917">
        <w:rPr>
          <w:lang w:val="en-US"/>
        </w:rPr>
        <w:tab/>
      </w:r>
      <w:r w:rsidR="002D5BB0" w:rsidRPr="003F1727">
        <w:rPr>
          <w:sz w:val="24"/>
          <w:szCs w:val="24"/>
          <w:lang w:val="en-US"/>
        </w:rPr>
        <w:t>Article 6</w:t>
      </w:r>
      <w:bookmarkEnd w:id="5"/>
      <w:bookmarkEnd w:id="6"/>
    </w:p>
    <w:p w:rsidR="002D5BB0" w:rsidRPr="00222917" w:rsidRDefault="00455482" w:rsidP="00455482">
      <w:pPr>
        <w:pStyle w:val="H1G"/>
        <w:rPr>
          <w:lang w:val="en-US"/>
        </w:rPr>
      </w:pPr>
      <w:bookmarkStart w:id="7" w:name="_Toc307504033"/>
      <w:bookmarkStart w:id="8" w:name="_Toc336435805"/>
      <w:r w:rsidRPr="00222917">
        <w:rPr>
          <w:lang w:val="en-US"/>
        </w:rPr>
        <w:tab/>
      </w:r>
      <w:r w:rsidRPr="00222917">
        <w:rPr>
          <w:lang w:val="en-US"/>
        </w:rPr>
        <w:tab/>
      </w:r>
      <w:r w:rsidR="002D5BB0" w:rsidRPr="00222917">
        <w:rPr>
          <w:lang w:val="en-US"/>
        </w:rPr>
        <w:t>Paragraph 1</w:t>
      </w:r>
      <w:bookmarkEnd w:id="7"/>
      <w:bookmarkEnd w:id="8"/>
    </w:p>
    <w:p w:rsidR="002D5BB0" w:rsidRPr="00222917" w:rsidRDefault="00547908" w:rsidP="00547908">
      <w:pPr>
        <w:pStyle w:val="SingleTxtG"/>
        <w:rPr>
          <w:lang w:val="en-US"/>
        </w:rPr>
      </w:pPr>
      <w:r w:rsidRPr="00222917">
        <w:rPr>
          <w:lang w:val="en-US"/>
        </w:rPr>
        <w:t>105.</w:t>
      </w:r>
      <w:r w:rsidRPr="00222917">
        <w:rPr>
          <w:lang w:val="en-US"/>
        </w:rPr>
        <w:tab/>
      </w:r>
      <w:r w:rsidR="002D5BB0" w:rsidRPr="00222917">
        <w:rPr>
          <w:lang w:val="en-US"/>
        </w:rPr>
        <w:t xml:space="preserve">The first and second reports described the </w:t>
      </w:r>
      <w:r w:rsidR="002D5BB0" w:rsidRPr="00222917">
        <w:rPr>
          <w:bCs/>
          <w:lang w:val="en-US"/>
        </w:rPr>
        <w:t>Government’s</w:t>
      </w:r>
      <w:r w:rsidR="002D5BB0" w:rsidRPr="00222917">
        <w:rPr>
          <w:lang w:val="en-US"/>
        </w:rPr>
        <w:t xml:space="preserve"> legislation and institutions aimed at respecting and protecting right t</w:t>
      </w:r>
      <w:r w:rsidR="00A75340" w:rsidRPr="00222917">
        <w:rPr>
          <w:lang w:val="en-US"/>
        </w:rPr>
        <w:t>o life (CCPR/C/68/Add.1, paras. </w:t>
      </w:r>
      <w:r w:rsidR="002D5BB0" w:rsidRPr="00222917">
        <w:rPr>
          <w:lang w:val="en-US"/>
        </w:rPr>
        <w:t>98</w:t>
      </w:r>
      <w:r w:rsidR="00A75340" w:rsidRPr="00222917">
        <w:rPr>
          <w:lang w:val="en-US"/>
        </w:rPr>
        <w:t>-</w:t>
      </w:r>
      <w:r w:rsidR="002D5BB0" w:rsidRPr="00222917">
        <w:rPr>
          <w:lang w:val="en-US"/>
        </w:rPr>
        <w:t>100; CCPR/C/114/Add.1, paras.</w:t>
      </w:r>
      <w:r w:rsidR="00A75340" w:rsidRPr="00222917">
        <w:rPr>
          <w:lang w:val="en-US"/>
        </w:rPr>
        <w:t> </w:t>
      </w:r>
      <w:r w:rsidR="002D5BB0" w:rsidRPr="00222917">
        <w:rPr>
          <w:lang w:val="en-US"/>
        </w:rPr>
        <w:t>73</w:t>
      </w:r>
      <w:r w:rsidR="00A75340" w:rsidRPr="00222917">
        <w:rPr>
          <w:lang w:val="en-US"/>
        </w:rPr>
        <w:t>-</w:t>
      </w:r>
      <w:r w:rsidR="002D5BB0" w:rsidRPr="00222917">
        <w:rPr>
          <w:lang w:val="en-US"/>
        </w:rPr>
        <w:t xml:space="preserve">76). </w:t>
      </w:r>
    </w:p>
    <w:p w:rsidR="002D5BB0" w:rsidRPr="00222917" w:rsidRDefault="00A75340" w:rsidP="00A75340">
      <w:pPr>
        <w:pStyle w:val="H23G"/>
        <w:rPr>
          <w:lang w:val="en-US"/>
        </w:rPr>
      </w:pPr>
      <w:bookmarkStart w:id="9" w:name="_Toc307504034"/>
      <w:bookmarkStart w:id="10" w:name="_Toc336435806"/>
      <w:r w:rsidRPr="00222917">
        <w:rPr>
          <w:lang w:val="en-US"/>
        </w:rPr>
        <w:tab/>
      </w:r>
      <w:r w:rsidRPr="00222917">
        <w:rPr>
          <w:lang w:val="en-US"/>
        </w:rPr>
        <w:tab/>
      </w:r>
      <w:r w:rsidR="002D5BB0" w:rsidRPr="00222917">
        <w:rPr>
          <w:lang w:val="en-US"/>
        </w:rPr>
        <w:t>Death with Dignity</w:t>
      </w:r>
      <w:bookmarkEnd w:id="9"/>
      <w:bookmarkEnd w:id="10"/>
    </w:p>
    <w:p w:rsidR="002D5BB0" w:rsidRPr="00222917" w:rsidRDefault="00547908" w:rsidP="00547908">
      <w:pPr>
        <w:pStyle w:val="SingleTxtG"/>
        <w:rPr>
          <w:lang w:val="en-US"/>
        </w:rPr>
      </w:pPr>
      <w:r w:rsidRPr="00222917">
        <w:rPr>
          <w:lang w:val="en-US"/>
        </w:rPr>
        <w:t>106.</w:t>
      </w:r>
      <w:r w:rsidRPr="00222917">
        <w:rPr>
          <w:lang w:val="en-US"/>
        </w:rPr>
        <w:tab/>
      </w:r>
      <w:r w:rsidR="002D5BB0" w:rsidRPr="00222917">
        <w:rPr>
          <w:lang w:val="en-US"/>
        </w:rPr>
        <w:t xml:space="preserve">On 21 May 2009, the Supreme </w:t>
      </w:r>
      <w:r w:rsidR="002D5BB0" w:rsidRPr="00222917">
        <w:rPr>
          <w:bCs/>
          <w:lang w:val="en-US"/>
        </w:rPr>
        <w:t>Court</w:t>
      </w:r>
      <w:r w:rsidR="002D5BB0" w:rsidRPr="00222917">
        <w:rPr>
          <w:lang w:val="en-US"/>
        </w:rPr>
        <w:t xml:space="preserve"> of Korea ruled that discontinuance of life-sustaining treatment may be permitted in certain circumstances and presented criteria of such circumstances. Thus, life-sustaining treatment of a person, whose immediate death is certain with no prospective of regaining consciousness and a irrecoverable loss of vital physical function, may be discontinued if he is deemed to have decided so on his </w:t>
      </w:r>
      <w:r w:rsidR="00C974F8" w:rsidRPr="00222917">
        <w:rPr>
          <w:lang w:val="en-US"/>
        </w:rPr>
        <w:t xml:space="preserve">own in light of </w:t>
      </w:r>
      <w:r w:rsidR="00681EC0" w:rsidRPr="00222917">
        <w:rPr>
          <w:lang w:val="en-US"/>
        </w:rPr>
        <w:t>a</w:t>
      </w:r>
      <w:r w:rsidR="00C974F8" w:rsidRPr="00222917">
        <w:rPr>
          <w:lang w:val="en-US"/>
        </w:rPr>
        <w:t>rticle </w:t>
      </w:r>
      <w:r w:rsidR="002D5BB0" w:rsidRPr="00222917">
        <w:rPr>
          <w:lang w:val="en-US"/>
        </w:rPr>
        <w:t xml:space="preserve">10 of the Constitution which stipulates human dignity and worth and right to happiness for every citizen (2009 DA 17417 decision by a collegiate panel). </w:t>
      </w:r>
    </w:p>
    <w:p w:rsidR="002D5BB0" w:rsidRPr="00222917" w:rsidRDefault="00547908" w:rsidP="00547908">
      <w:pPr>
        <w:pStyle w:val="SingleTxtG"/>
        <w:rPr>
          <w:lang w:val="en-US"/>
        </w:rPr>
      </w:pPr>
      <w:r w:rsidRPr="00222917">
        <w:rPr>
          <w:lang w:val="en-US"/>
        </w:rPr>
        <w:t>107.</w:t>
      </w:r>
      <w:r w:rsidRPr="00222917">
        <w:rPr>
          <w:lang w:val="en-US"/>
        </w:rPr>
        <w:tab/>
      </w:r>
      <w:r w:rsidR="002D5BB0" w:rsidRPr="00222917">
        <w:rPr>
          <w:lang w:val="en-US"/>
        </w:rPr>
        <w:t>With the above</w:t>
      </w:r>
      <w:r w:rsidR="0020568A">
        <w:rPr>
          <w:lang w:val="en-US"/>
        </w:rPr>
        <w:t>-</w:t>
      </w:r>
      <w:r w:rsidR="002D5BB0" w:rsidRPr="00222917">
        <w:rPr>
          <w:lang w:val="en-US"/>
        </w:rPr>
        <w:t>mentioned ruling and the guidelines on discontinuance of life sustaining treatment issued by medical institutions in October 2009, patients may cease life-sustaining treatment by their own decision when required circumstances are satisfied. In</w:t>
      </w:r>
      <w:r w:rsidR="009F3787" w:rsidRPr="00222917">
        <w:rPr>
          <w:lang w:val="en-US"/>
        </w:rPr>
        <w:t> </w:t>
      </w:r>
      <w:r w:rsidR="002D5BB0" w:rsidRPr="00222917">
        <w:rPr>
          <w:lang w:val="en-US"/>
        </w:rPr>
        <w:t>connection with death with dignity, a bill on death with dignity and a bill on the right to die naturally at the last stage of life were also submitted to the 18</w:t>
      </w:r>
      <w:r w:rsidR="002D5BB0" w:rsidRPr="00222917">
        <w:rPr>
          <w:vertAlign w:val="superscript"/>
          <w:lang w:val="en-US"/>
        </w:rPr>
        <w:t>th</w:t>
      </w:r>
      <w:r w:rsidR="00A75340" w:rsidRPr="00222917">
        <w:rPr>
          <w:lang w:val="en-US"/>
        </w:rPr>
        <w:t xml:space="preserve"> </w:t>
      </w:r>
      <w:r w:rsidR="002D5BB0" w:rsidRPr="00222917">
        <w:rPr>
          <w:lang w:val="en-US"/>
        </w:rPr>
        <w:t>National Assembly.</w:t>
      </w:r>
      <w:r w:rsidR="00120D8B" w:rsidRPr="00222917">
        <w:rPr>
          <w:lang w:val="en-US"/>
        </w:rPr>
        <w:t xml:space="preserve"> </w:t>
      </w:r>
    </w:p>
    <w:p w:rsidR="002D5BB0" w:rsidRPr="00222917" w:rsidRDefault="00A75340" w:rsidP="00A75340">
      <w:pPr>
        <w:pStyle w:val="H1G"/>
        <w:rPr>
          <w:lang w:val="en-US"/>
        </w:rPr>
      </w:pPr>
      <w:bookmarkStart w:id="11" w:name="_Toc307504035"/>
      <w:bookmarkStart w:id="12" w:name="_Toc336435807"/>
      <w:r w:rsidRPr="00222917">
        <w:rPr>
          <w:lang w:val="en-US"/>
        </w:rPr>
        <w:tab/>
      </w:r>
      <w:r w:rsidRPr="00222917">
        <w:rPr>
          <w:lang w:val="en-US"/>
        </w:rPr>
        <w:tab/>
      </w:r>
      <w:r w:rsidR="002D5BB0" w:rsidRPr="00222917">
        <w:rPr>
          <w:lang w:val="en-US"/>
        </w:rPr>
        <w:t>Paragraph 2</w:t>
      </w:r>
      <w:bookmarkStart w:id="13" w:name="_Toc307504036"/>
      <w:bookmarkStart w:id="14" w:name="_Toc336435808"/>
      <w:bookmarkEnd w:id="11"/>
      <w:bookmarkEnd w:id="12"/>
    </w:p>
    <w:p w:rsidR="002D5BB0" w:rsidRPr="00222917" w:rsidRDefault="00A75340" w:rsidP="00A75340">
      <w:pPr>
        <w:pStyle w:val="H23G"/>
        <w:rPr>
          <w:lang w:val="en-US"/>
        </w:rPr>
      </w:pPr>
      <w:r w:rsidRPr="00222917">
        <w:rPr>
          <w:lang w:val="en-US"/>
        </w:rPr>
        <w:tab/>
      </w:r>
      <w:r w:rsidRPr="00222917">
        <w:rPr>
          <w:lang w:val="en-US"/>
        </w:rPr>
        <w:tab/>
      </w:r>
      <w:r w:rsidR="002D5BB0" w:rsidRPr="00222917">
        <w:rPr>
          <w:lang w:val="en-US"/>
        </w:rPr>
        <w:t>Death Penalty</w:t>
      </w:r>
      <w:bookmarkEnd w:id="13"/>
      <w:bookmarkEnd w:id="14"/>
    </w:p>
    <w:p w:rsidR="002D5BB0" w:rsidRPr="00222917" w:rsidRDefault="00547908" w:rsidP="00547908">
      <w:pPr>
        <w:pStyle w:val="SingleTxtG"/>
        <w:rPr>
          <w:lang w:val="en-US"/>
        </w:rPr>
      </w:pPr>
      <w:r w:rsidRPr="00222917">
        <w:rPr>
          <w:lang w:val="en-US"/>
        </w:rPr>
        <w:t>108.</w:t>
      </w:r>
      <w:r w:rsidRPr="00222917">
        <w:rPr>
          <w:lang w:val="en-US"/>
        </w:rPr>
        <w:tab/>
      </w:r>
      <w:r w:rsidR="002D5BB0" w:rsidRPr="00222917">
        <w:rPr>
          <w:lang w:val="en-US"/>
        </w:rPr>
        <w:t xml:space="preserve">No death penalty has been executed in the </w:t>
      </w:r>
      <w:smartTag w:uri="urn:schemas-microsoft-com:office:smarttags" w:element="PlaceType">
        <w:r w:rsidR="002D5BB0" w:rsidRPr="00222917">
          <w:rPr>
            <w:lang w:val="en-US"/>
          </w:rPr>
          <w:t>Republic</w:t>
        </w:r>
      </w:smartTag>
      <w:r w:rsidR="002D5BB0" w:rsidRPr="00222917">
        <w:rPr>
          <w:lang w:val="en-US"/>
        </w:rPr>
        <w:t xml:space="preserve"> of </w:t>
      </w:r>
      <w:smartTag w:uri="urn:schemas-microsoft-com:office:smarttags" w:element="PlaceName">
        <w:r w:rsidR="002D5BB0" w:rsidRPr="00222917">
          <w:rPr>
            <w:lang w:val="en-US"/>
          </w:rPr>
          <w:t>Korea</w:t>
        </w:r>
      </w:smartTag>
      <w:r w:rsidR="002D5BB0" w:rsidRPr="00222917">
        <w:rPr>
          <w:lang w:val="en-US"/>
        </w:rPr>
        <w:t xml:space="preserve"> since 1997 and Amnesty International has described </w:t>
      </w:r>
      <w:smartTag w:uri="urn:schemas-microsoft-com:office:smarttags" w:element="place">
        <w:smartTag w:uri="urn:schemas-microsoft-com:office:smarttags" w:element="country-region">
          <w:r w:rsidR="002D5BB0" w:rsidRPr="00222917">
            <w:rPr>
              <w:lang w:val="en-US"/>
            </w:rPr>
            <w:t>Korea</w:t>
          </w:r>
        </w:smartTag>
      </w:smartTag>
      <w:r w:rsidR="002D5BB0" w:rsidRPr="00222917">
        <w:rPr>
          <w:lang w:val="en-US"/>
        </w:rPr>
        <w:t xml:space="preserve"> as </w:t>
      </w:r>
      <w:r w:rsidR="00A75340" w:rsidRPr="00222917">
        <w:rPr>
          <w:lang w:val="en-US"/>
        </w:rPr>
        <w:t>“</w:t>
      </w:r>
      <w:r w:rsidR="002D5BB0" w:rsidRPr="00222917">
        <w:rPr>
          <w:lang w:val="en-US"/>
        </w:rPr>
        <w:t>abolitionist in practice</w:t>
      </w:r>
      <w:r w:rsidR="00A75340" w:rsidRPr="00222917">
        <w:rPr>
          <w:lang w:val="en-US"/>
        </w:rPr>
        <w:t>”</w:t>
      </w:r>
      <w:r w:rsidR="002D5BB0" w:rsidRPr="00222917">
        <w:rPr>
          <w:lang w:val="en-US"/>
        </w:rPr>
        <w:t xml:space="preserve"> since 30 December 2007. The Government considers that the issue of official announcement of a moratorium on or the legal abolition of the death </w:t>
      </w:r>
      <w:r w:rsidR="002D5BB0" w:rsidRPr="00222917">
        <w:rPr>
          <w:bCs/>
          <w:lang w:val="en-US"/>
        </w:rPr>
        <w:t>penalty</w:t>
      </w:r>
      <w:r w:rsidR="002D5BB0" w:rsidRPr="00222917">
        <w:rPr>
          <w:lang w:val="en-US"/>
        </w:rPr>
        <w:t xml:space="preserve"> is a critical matter in terms of the criminal jurisdiction of a state. Accordingly, it will remain under careful consideration through comprehensive evaluation of the function of the death penalty in criminal policy, public opinion and social realties. </w:t>
      </w:r>
    </w:p>
    <w:p w:rsidR="002D5BB0" w:rsidRPr="00222917" w:rsidRDefault="00547908" w:rsidP="00547908">
      <w:pPr>
        <w:pStyle w:val="SingleTxtG"/>
        <w:rPr>
          <w:lang w:val="en-US"/>
        </w:rPr>
      </w:pPr>
      <w:r w:rsidRPr="00222917">
        <w:rPr>
          <w:lang w:val="en-US"/>
        </w:rPr>
        <w:t>109.</w:t>
      </w:r>
      <w:r w:rsidRPr="00222917">
        <w:rPr>
          <w:lang w:val="en-US"/>
        </w:rPr>
        <w:tab/>
      </w:r>
      <w:r w:rsidR="002D5BB0" w:rsidRPr="00222917">
        <w:rPr>
          <w:lang w:val="en-US"/>
        </w:rPr>
        <w:t>As stated in the first, second, and third reports (CCPR/C/68/Add.1, para</w:t>
      </w:r>
      <w:r w:rsidR="00A75340" w:rsidRPr="00222917">
        <w:rPr>
          <w:lang w:val="en-US"/>
        </w:rPr>
        <w:t>. 101; CCPR/C/114/Add.1, paras. </w:t>
      </w:r>
      <w:r w:rsidR="002D5BB0" w:rsidRPr="00222917">
        <w:rPr>
          <w:lang w:val="en-US"/>
        </w:rPr>
        <w:t>77</w:t>
      </w:r>
      <w:r w:rsidR="00A75340" w:rsidRPr="00222917">
        <w:rPr>
          <w:lang w:val="en-US"/>
        </w:rPr>
        <w:t>-82; CCPR/C/KOR/2005/3, paras. </w:t>
      </w:r>
      <w:r w:rsidR="002D5BB0" w:rsidRPr="00222917">
        <w:rPr>
          <w:lang w:val="en-US"/>
        </w:rPr>
        <w:t>106</w:t>
      </w:r>
      <w:r w:rsidR="00A75340" w:rsidRPr="00222917">
        <w:rPr>
          <w:lang w:val="en-US"/>
        </w:rPr>
        <w:t>-</w:t>
      </w:r>
      <w:r w:rsidR="002D5BB0" w:rsidRPr="00222917">
        <w:rPr>
          <w:lang w:val="en-US"/>
        </w:rPr>
        <w:t xml:space="preserve">108) capital punishment is limited to extremely serious crimes and it is not the only punishment applicable in most cases, since </w:t>
      </w:r>
      <w:r w:rsidR="002D5BB0" w:rsidRPr="00222917">
        <w:rPr>
          <w:bCs/>
          <w:lang w:val="en-US"/>
        </w:rPr>
        <w:t>imprisonment</w:t>
      </w:r>
      <w:r w:rsidR="002D5BB0" w:rsidRPr="00222917">
        <w:rPr>
          <w:lang w:val="en-US"/>
        </w:rPr>
        <w:t xml:space="preserve"> with either unlimited or limited terms can be imposed instead of capital punishment. Therefore, a sentence of capital punishment is handed down only in exceptional cases of an extremely serious nature, and due process is fully respected in death sentencing. </w:t>
      </w:r>
    </w:p>
    <w:p w:rsidR="002D5BB0" w:rsidRPr="00222917" w:rsidRDefault="00A75340" w:rsidP="00A75340">
      <w:pPr>
        <w:pStyle w:val="H23G"/>
        <w:rPr>
          <w:b w:val="0"/>
          <w:sz w:val="16"/>
          <w:szCs w:val="16"/>
          <w:lang w:val="en-US"/>
        </w:rPr>
      </w:pPr>
      <w:r w:rsidRPr="00222917">
        <w:rPr>
          <w:lang w:val="en-US"/>
        </w:rPr>
        <w:tab/>
      </w:r>
      <w:r w:rsidRPr="00222917">
        <w:rPr>
          <w:lang w:val="en-US"/>
        </w:rPr>
        <w:tab/>
      </w:r>
      <w:r w:rsidR="002D5BB0" w:rsidRPr="00222917">
        <w:rPr>
          <w:lang w:val="en-US"/>
        </w:rPr>
        <w:t>Death-Row Inmates as of December 2010 by Type of Crime</w:t>
      </w:r>
      <w:r w:rsidRPr="00222917">
        <w:rPr>
          <w:lang w:val="en-US"/>
        </w:rPr>
        <w:br/>
      </w:r>
      <w:r w:rsidR="002D5BB0" w:rsidRPr="00222917">
        <w:rPr>
          <w:b w:val="0"/>
          <w:sz w:val="16"/>
          <w:szCs w:val="16"/>
          <w:lang w:val="en-US"/>
        </w:rPr>
        <w:t xml:space="preserve">(Number of persons) </w:t>
      </w:r>
    </w:p>
    <w:tbl>
      <w:tblPr>
        <w:tblW w:w="0" w:type="auto"/>
        <w:tblInd w:w="1134" w:type="dxa"/>
        <w:tblBorders>
          <w:top w:val="single" w:sz="4" w:space="0" w:color="auto"/>
          <w:bottom w:val="single" w:sz="12" w:space="0" w:color="auto"/>
          <w:insideH w:val="single" w:sz="12" w:space="0" w:color="auto"/>
        </w:tblBorders>
        <w:tblLayout w:type="fixed"/>
        <w:tblCellMar>
          <w:left w:w="0" w:type="dxa"/>
          <w:right w:w="0" w:type="dxa"/>
        </w:tblCellMar>
        <w:tblLook w:val="0000"/>
      </w:tblPr>
      <w:tblGrid>
        <w:gridCol w:w="1021"/>
        <w:gridCol w:w="794"/>
        <w:gridCol w:w="794"/>
        <w:gridCol w:w="794"/>
        <w:gridCol w:w="794"/>
        <w:gridCol w:w="794"/>
        <w:gridCol w:w="794"/>
        <w:gridCol w:w="794"/>
        <w:gridCol w:w="794"/>
      </w:tblGrid>
      <w:tr w:rsidR="0024745E" w:rsidRPr="00222917" w:rsidTr="00A75340">
        <w:trPr>
          <w:trHeight w:val="240"/>
          <w:tblHeader/>
        </w:trPr>
        <w:tc>
          <w:tcPr>
            <w:tcW w:w="1021" w:type="dxa"/>
            <w:shd w:val="clear" w:color="auto" w:fill="auto"/>
            <w:vAlign w:val="bottom"/>
          </w:tcPr>
          <w:p w:rsidR="002D5BB0" w:rsidRPr="00222917" w:rsidRDefault="002D5BB0" w:rsidP="00D5649B">
            <w:pPr>
              <w:pStyle w:val="SingleTxtG"/>
              <w:suppressAutoHyphens w:val="0"/>
              <w:spacing w:before="80" w:after="80" w:line="200" w:lineRule="exact"/>
              <w:ind w:left="0" w:right="0"/>
              <w:jc w:val="left"/>
              <w:rPr>
                <w:i/>
                <w:sz w:val="16"/>
                <w:szCs w:val="16"/>
                <w:lang w:val="en-US"/>
              </w:rPr>
            </w:pPr>
            <w:bookmarkStart w:id="15" w:name="BM_6ac56cbe"/>
            <w:bookmarkEnd w:id="15"/>
            <w:r w:rsidRPr="00222917">
              <w:rPr>
                <w:bCs/>
                <w:i/>
                <w:sz w:val="16"/>
                <w:szCs w:val="16"/>
                <w:lang w:val="en-US"/>
              </w:rPr>
              <w:t>Type</w:t>
            </w:r>
          </w:p>
        </w:tc>
        <w:tc>
          <w:tcPr>
            <w:tcW w:w="794" w:type="dxa"/>
            <w:shd w:val="clear" w:color="auto" w:fill="auto"/>
            <w:vAlign w:val="bottom"/>
          </w:tcPr>
          <w:p w:rsidR="002D5BB0" w:rsidRPr="00222917" w:rsidRDefault="002D5BB0" w:rsidP="00D5649B">
            <w:pPr>
              <w:pStyle w:val="SingleTxtG"/>
              <w:suppressAutoHyphens w:val="0"/>
              <w:spacing w:before="80" w:after="80" w:line="200" w:lineRule="exact"/>
              <w:ind w:left="0" w:right="0"/>
              <w:jc w:val="right"/>
              <w:rPr>
                <w:i/>
                <w:sz w:val="16"/>
                <w:szCs w:val="16"/>
                <w:lang w:val="en-US"/>
              </w:rPr>
            </w:pPr>
            <w:r w:rsidRPr="00222917">
              <w:rPr>
                <w:bCs/>
                <w:i/>
                <w:sz w:val="16"/>
                <w:szCs w:val="16"/>
                <w:lang w:val="en-US"/>
              </w:rPr>
              <w:t>Public security violation</w:t>
            </w:r>
          </w:p>
        </w:tc>
        <w:tc>
          <w:tcPr>
            <w:tcW w:w="794" w:type="dxa"/>
            <w:shd w:val="clear" w:color="auto" w:fill="auto"/>
            <w:vAlign w:val="bottom"/>
          </w:tcPr>
          <w:p w:rsidR="002D5BB0" w:rsidRPr="00222917" w:rsidRDefault="002D5BB0" w:rsidP="00D5649B">
            <w:pPr>
              <w:pStyle w:val="SingleTxtG"/>
              <w:suppressAutoHyphens w:val="0"/>
              <w:spacing w:before="80" w:after="80" w:line="200" w:lineRule="exact"/>
              <w:ind w:left="0" w:right="0"/>
              <w:jc w:val="right"/>
              <w:rPr>
                <w:i/>
                <w:sz w:val="16"/>
                <w:szCs w:val="16"/>
                <w:lang w:val="en-US"/>
              </w:rPr>
            </w:pPr>
            <w:r w:rsidRPr="00222917">
              <w:rPr>
                <w:bCs/>
                <w:i/>
                <w:sz w:val="16"/>
                <w:szCs w:val="16"/>
                <w:lang w:val="en-US"/>
              </w:rPr>
              <w:t>Murder</w:t>
            </w:r>
          </w:p>
        </w:tc>
        <w:tc>
          <w:tcPr>
            <w:tcW w:w="794" w:type="dxa"/>
            <w:shd w:val="clear" w:color="auto" w:fill="auto"/>
            <w:vAlign w:val="bottom"/>
          </w:tcPr>
          <w:p w:rsidR="002D5BB0" w:rsidRPr="00222917" w:rsidRDefault="002D5BB0" w:rsidP="00D5649B">
            <w:pPr>
              <w:pStyle w:val="SingleTxtG"/>
              <w:suppressAutoHyphens w:val="0"/>
              <w:spacing w:before="80" w:after="80" w:line="200" w:lineRule="exact"/>
              <w:ind w:left="0" w:right="0"/>
              <w:jc w:val="right"/>
              <w:rPr>
                <w:i/>
                <w:sz w:val="16"/>
                <w:szCs w:val="16"/>
                <w:lang w:val="en-US"/>
              </w:rPr>
            </w:pPr>
            <w:r w:rsidRPr="00222917">
              <w:rPr>
                <w:bCs/>
                <w:i/>
                <w:sz w:val="16"/>
                <w:szCs w:val="16"/>
                <w:lang w:val="en-US"/>
              </w:rPr>
              <w:t>Murder during robbery</w:t>
            </w:r>
          </w:p>
        </w:tc>
        <w:tc>
          <w:tcPr>
            <w:tcW w:w="794" w:type="dxa"/>
            <w:shd w:val="clear" w:color="auto" w:fill="auto"/>
            <w:vAlign w:val="bottom"/>
          </w:tcPr>
          <w:p w:rsidR="002D5BB0" w:rsidRPr="00222917" w:rsidRDefault="00D5649B" w:rsidP="00D5649B">
            <w:pPr>
              <w:pStyle w:val="SingleTxtG"/>
              <w:suppressAutoHyphens w:val="0"/>
              <w:spacing w:before="80" w:after="80" w:line="200" w:lineRule="exact"/>
              <w:ind w:left="0" w:right="0"/>
              <w:jc w:val="right"/>
              <w:rPr>
                <w:i/>
                <w:sz w:val="16"/>
                <w:szCs w:val="16"/>
                <w:lang w:val="en-US"/>
              </w:rPr>
            </w:pPr>
            <w:r w:rsidRPr="00222917">
              <w:rPr>
                <w:bCs/>
                <w:i/>
                <w:sz w:val="16"/>
                <w:szCs w:val="16"/>
                <w:lang w:val="en-US"/>
              </w:rPr>
              <w:t>Murder</w:t>
            </w:r>
            <w:r w:rsidRPr="00222917">
              <w:rPr>
                <w:bCs/>
                <w:i/>
                <w:sz w:val="16"/>
                <w:szCs w:val="16"/>
                <w:lang w:val="en-US"/>
              </w:rPr>
              <w:br/>
            </w:r>
            <w:r w:rsidR="002D5BB0" w:rsidRPr="00222917">
              <w:rPr>
                <w:bCs/>
                <w:i/>
                <w:sz w:val="16"/>
                <w:szCs w:val="16"/>
                <w:lang w:val="en-US"/>
              </w:rPr>
              <w:t>of lineal ascendant</w:t>
            </w:r>
          </w:p>
        </w:tc>
        <w:tc>
          <w:tcPr>
            <w:tcW w:w="794" w:type="dxa"/>
            <w:shd w:val="clear" w:color="auto" w:fill="auto"/>
            <w:vAlign w:val="bottom"/>
          </w:tcPr>
          <w:p w:rsidR="002D5BB0" w:rsidRPr="00222917" w:rsidRDefault="002D5BB0" w:rsidP="00D5649B">
            <w:pPr>
              <w:pStyle w:val="SingleTxtG"/>
              <w:suppressAutoHyphens w:val="0"/>
              <w:spacing w:before="80" w:after="80" w:line="200" w:lineRule="exact"/>
              <w:ind w:left="0" w:right="0"/>
              <w:jc w:val="right"/>
              <w:rPr>
                <w:i/>
                <w:sz w:val="16"/>
                <w:szCs w:val="16"/>
                <w:lang w:val="en-US"/>
              </w:rPr>
            </w:pPr>
            <w:r w:rsidRPr="00222917">
              <w:rPr>
                <w:bCs/>
                <w:i/>
                <w:sz w:val="16"/>
                <w:szCs w:val="16"/>
                <w:lang w:val="en-US"/>
              </w:rPr>
              <w:t>Murder after kid</w:t>
            </w:r>
            <w:r w:rsidR="00D5649B" w:rsidRPr="00222917">
              <w:rPr>
                <w:bCs/>
                <w:i/>
                <w:sz w:val="16"/>
                <w:szCs w:val="16"/>
                <w:lang w:val="en-US"/>
              </w:rPr>
              <w:t>-</w:t>
            </w:r>
            <w:r w:rsidRPr="00222917">
              <w:rPr>
                <w:bCs/>
                <w:i/>
                <w:sz w:val="16"/>
                <w:szCs w:val="16"/>
                <w:lang w:val="en-US"/>
              </w:rPr>
              <w:t>napping</w:t>
            </w:r>
          </w:p>
        </w:tc>
        <w:tc>
          <w:tcPr>
            <w:tcW w:w="794" w:type="dxa"/>
            <w:shd w:val="clear" w:color="auto" w:fill="auto"/>
            <w:vAlign w:val="bottom"/>
          </w:tcPr>
          <w:p w:rsidR="002D5BB0" w:rsidRPr="00222917" w:rsidRDefault="00D5649B" w:rsidP="00D5649B">
            <w:pPr>
              <w:pStyle w:val="SingleTxtG"/>
              <w:suppressAutoHyphens w:val="0"/>
              <w:spacing w:before="80" w:after="80" w:line="200" w:lineRule="exact"/>
              <w:ind w:left="0" w:right="0"/>
              <w:jc w:val="right"/>
              <w:rPr>
                <w:i/>
                <w:sz w:val="16"/>
                <w:szCs w:val="16"/>
                <w:lang w:val="en-US"/>
              </w:rPr>
            </w:pPr>
            <w:r w:rsidRPr="00222917">
              <w:rPr>
                <w:bCs/>
                <w:i/>
                <w:sz w:val="16"/>
                <w:szCs w:val="16"/>
                <w:lang w:val="en-US"/>
              </w:rPr>
              <w:t>Murder</w:t>
            </w:r>
            <w:r w:rsidRPr="00222917">
              <w:rPr>
                <w:bCs/>
                <w:i/>
                <w:sz w:val="16"/>
                <w:szCs w:val="16"/>
                <w:lang w:val="en-US"/>
              </w:rPr>
              <w:br/>
            </w:r>
            <w:r w:rsidR="002D5BB0" w:rsidRPr="00222917">
              <w:rPr>
                <w:bCs/>
                <w:i/>
                <w:sz w:val="16"/>
                <w:szCs w:val="16"/>
                <w:lang w:val="en-US"/>
              </w:rPr>
              <w:t>by rape</w:t>
            </w:r>
          </w:p>
        </w:tc>
        <w:tc>
          <w:tcPr>
            <w:tcW w:w="794" w:type="dxa"/>
            <w:shd w:val="clear" w:color="auto" w:fill="auto"/>
            <w:vAlign w:val="bottom"/>
          </w:tcPr>
          <w:p w:rsidR="002D5BB0" w:rsidRPr="00222917" w:rsidRDefault="002D5BB0" w:rsidP="00D5649B">
            <w:pPr>
              <w:pStyle w:val="SingleTxtG"/>
              <w:suppressAutoHyphens w:val="0"/>
              <w:spacing w:before="80" w:after="80" w:line="200" w:lineRule="exact"/>
              <w:ind w:left="0" w:right="0"/>
              <w:jc w:val="right"/>
              <w:rPr>
                <w:i/>
                <w:sz w:val="16"/>
                <w:szCs w:val="16"/>
                <w:lang w:val="en-US"/>
              </w:rPr>
            </w:pPr>
            <w:r w:rsidRPr="00222917">
              <w:rPr>
                <w:bCs/>
                <w:i/>
                <w:sz w:val="16"/>
                <w:szCs w:val="16"/>
                <w:lang w:val="en-US"/>
              </w:rPr>
              <w:t>Arson resulting</w:t>
            </w:r>
            <w:r w:rsidR="00D5649B" w:rsidRPr="00222917">
              <w:rPr>
                <w:bCs/>
                <w:i/>
                <w:sz w:val="16"/>
                <w:szCs w:val="16"/>
                <w:lang w:val="en-US"/>
              </w:rPr>
              <w:br/>
            </w:r>
            <w:r w:rsidRPr="00222917">
              <w:rPr>
                <w:bCs/>
                <w:i/>
                <w:sz w:val="16"/>
                <w:szCs w:val="16"/>
                <w:lang w:val="en-US"/>
              </w:rPr>
              <w:t>in death</w:t>
            </w:r>
          </w:p>
        </w:tc>
        <w:tc>
          <w:tcPr>
            <w:tcW w:w="794" w:type="dxa"/>
            <w:shd w:val="clear" w:color="auto" w:fill="auto"/>
            <w:vAlign w:val="bottom"/>
          </w:tcPr>
          <w:p w:rsidR="002D5BB0" w:rsidRPr="00222917" w:rsidRDefault="002D5BB0" w:rsidP="00D5649B">
            <w:pPr>
              <w:pStyle w:val="SingleTxtG"/>
              <w:suppressAutoHyphens w:val="0"/>
              <w:spacing w:before="80" w:after="80" w:line="200" w:lineRule="exact"/>
              <w:ind w:left="0" w:right="0"/>
              <w:jc w:val="right"/>
              <w:rPr>
                <w:b/>
                <w:i/>
                <w:sz w:val="16"/>
                <w:szCs w:val="16"/>
                <w:lang w:val="en-US"/>
              </w:rPr>
            </w:pPr>
            <w:r w:rsidRPr="00222917">
              <w:rPr>
                <w:b/>
                <w:bCs/>
                <w:i/>
                <w:sz w:val="16"/>
                <w:szCs w:val="16"/>
                <w:lang w:val="en-US"/>
              </w:rPr>
              <w:t>Total</w:t>
            </w:r>
          </w:p>
        </w:tc>
      </w:tr>
      <w:tr w:rsidR="0024745E" w:rsidRPr="00222917" w:rsidTr="00A75340">
        <w:trPr>
          <w:trHeight w:val="240"/>
        </w:trPr>
        <w:tc>
          <w:tcPr>
            <w:tcW w:w="1021" w:type="dxa"/>
            <w:shd w:val="clear" w:color="auto" w:fill="auto"/>
          </w:tcPr>
          <w:p w:rsidR="002D5BB0" w:rsidRPr="00222917" w:rsidRDefault="002D5BB0" w:rsidP="008751D7">
            <w:pPr>
              <w:pStyle w:val="SingleTxtG"/>
              <w:suppressAutoHyphens w:val="0"/>
              <w:spacing w:before="40" w:after="40" w:line="220" w:lineRule="exact"/>
              <w:ind w:left="0" w:right="0"/>
              <w:jc w:val="left"/>
              <w:rPr>
                <w:sz w:val="18"/>
                <w:szCs w:val="18"/>
                <w:lang w:val="en-US"/>
              </w:rPr>
            </w:pPr>
            <w:r w:rsidRPr="00222917">
              <w:rPr>
                <w:sz w:val="18"/>
                <w:szCs w:val="18"/>
                <w:lang w:val="en-US"/>
              </w:rPr>
              <w:t>Number of</w:t>
            </w:r>
            <w:r w:rsidR="00A75340" w:rsidRPr="00222917">
              <w:rPr>
                <w:sz w:val="18"/>
                <w:szCs w:val="18"/>
                <w:lang w:val="en-US"/>
              </w:rPr>
              <w:t> </w:t>
            </w:r>
            <w:r w:rsidRPr="00222917">
              <w:rPr>
                <w:sz w:val="18"/>
                <w:szCs w:val="18"/>
                <w:lang w:val="en-US"/>
              </w:rPr>
              <w:t>inmates</w:t>
            </w:r>
          </w:p>
        </w:tc>
        <w:tc>
          <w:tcPr>
            <w:tcW w:w="794" w:type="dxa"/>
            <w:shd w:val="clear" w:color="auto" w:fill="auto"/>
            <w:vAlign w:val="bottom"/>
          </w:tcPr>
          <w:p w:rsidR="002D5BB0" w:rsidRPr="00222917" w:rsidRDefault="002D5BB0" w:rsidP="008751D7">
            <w:pPr>
              <w:pStyle w:val="SingleTxtG"/>
              <w:suppressAutoHyphens w:val="0"/>
              <w:spacing w:before="40" w:after="40" w:line="220" w:lineRule="exact"/>
              <w:ind w:left="0" w:right="0"/>
              <w:jc w:val="right"/>
              <w:rPr>
                <w:sz w:val="18"/>
                <w:szCs w:val="18"/>
                <w:lang w:val="en-US"/>
              </w:rPr>
            </w:pPr>
            <w:r w:rsidRPr="00222917">
              <w:rPr>
                <w:sz w:val="18"/>
                <w:szCs w:val="18"/>
                <w:lang w:val="en-US"/>
              </w:rPr>
              <w:t>0</w:t>
            </w:r>
          </w:p>
        </w:tc>
        <w:tc>
          <w:tcPr>
            <w:tcW w:w="794" w:type="dxa"/>
            <w:shd w:val="clear" w:color="auto" w:fill="auto"/>
            <w:vAlign w:val="bottom"/>
          </w:tcPr>
          <w:p w:rsidR="002D5BB0" w:rsidRPr="00222917" w:rsidRDefault="002D5BB0" w:rsidP="008751D7">
            <w:pPr>
              <w:pStyle w:val="SingleTxtG"/>
              <w:suppressAutoHyphens w:val="0"/>
              <w:spacing w:before="40" w:after="40" w:line="220" w:lineRule="exact"/>
              <w:ind w:left="0" w:right="0"/>
              <w:jc w:val="right"/>
              <w:rPr>
                <w:sz w:val="18"/>
                <w:szCs w:val="18"/>
                <w:lang w:val="en-US"/>
              </w:rPr>
            </w:pPr>
            <w:r w:rsidRPr="00222917">
              <w:rPr>
                <w:sz w:val="18"/>
                <w:szCs w:val="18"/>
                <w:lang w:val="en-US"/>
              </w:rPr>
              <w:t>24</w:t>
            </w:r>
          </w:p>
        </w:tc>
        <w:tc>
          <w:tcPr>
            <w:tcW w:w="794" w:type="dxa"/>
            <w:shd w:val="clear" w:color="auto" w:fill="auto"/>
            <w:vAlign w:val="bottom"/>
          </w:tcPr>
          <w:p w:rsidR="002D5BB0" w:rsidRPr="00222917" w:rsidRDefault="002D5BB0" w:rsidP="008751D7">
            <w:pPr>
              <w:pStyle w:val="SingleTxtG"/>
              <w:suppressAutoHyphens w:val="0"/>
              <w:spacing w:before="40" w:after="40" w:line="220" w:lineRule="exact"/>
              <w:ind w:left="0" w:right="0"/>
              <w:jc w:val="right"/>
              <w:rPr>
                <w:sz w:val="18"/>
                <w:szCs w:val="18"/>
                <w:lang w:val="en-US"/>
              </w:rPr>
            </w:pPr>
            <w:r w:rsidRPr="00222917">
              <w:rPr>
                <w:sz w:val="18"/>
                <w:szCs w:val="18"/>
                <w:lang w:val="en-US"/>
              </w:rPr>
              <w:t>21</w:t>
            </w:r>
          </w:p>
        </w:tc>
        <w:tc>
          <w:tcPr>
            <w:tcW w:w="794" w:type="dxa"/>
            <w:shd w:val="clear" w:color="auto" w:fill="auto"/>
            <w:vAlign w:val="bottom"/>
          </w:tcPr>
          <w:p w:rsidR="002D5BB0" w:rsidRPr="00222917" w:rsidRDefault="002D5BB0" w:rsidP="008751D7">
            <w:pPr>
              <w:pStyle w:val="SingleTxtG"/>
              <w:suppressAutoHyphens w:val="0"/>
              <w:spacing w:before="40" w:after="40" w:line="220" w:lineRule="exact"/>
              <w:ind w:left="0" w:right="0"/>
              <w:jc w:val="right"/>
              <w:rPr>
                <w:sz w:val="18"/>
                <w:szCs w:val="18"/>
                <w:lang w:val="en-US"/>
              </w:rPr>
            </w:pPr>
            <w:r w:rsidRPr="00222917">
              <w:rPr>
                <w:sz w:val="18"/>
                <w:szCs w:val="18"/>
                <w:lang w:val="en-US"/>
              </w:rPr>
              <w:t>2</w:t>
            </w:r>
          </w:p>
        </w:tc>
        <w:tc>
          <w:tcPr>
            <w:tcW w:w="794" w:type="dxa"/>
            <w:shd w:val="clear" w:color="auto" w:fill="auto"/>
            <w:vAlign w:val="bottom"/>
          </w:tcPr>
          <w:p w:rsidR="002D5BB0" w:rsidRPr="00222917" w:rsidRDefault="002D5BB0" w:rsidP="008751D7">
            <w:pPr>
              <w:pStyle w:val="SingleTxtG"/>
              <w:suppressAutoHyphens w:val="0"/>
              <w:spacing w:before="40" w:after="40" w:line="220" w:lineRule="exact"/>
              <w:ind w:left="0" w:right="0"/>
              <w:jc w:val="right"/>
              <w:rPr>
                <w:sz w:val="18"/>
                <w:szCs w:val="18"/>
                <w:lang w:val="en-US"/>
              </w:rPr>
            </w:pPr>
            <w:r w:rsidRPr="00222917">
              <w:rPr>
                <w:sz w:val="18"/>
                <w:szCs w:val="18"/>
                <w:lang w:val="en-US"/>
              </w:rPr>
              <w:t>5</w:t>
            </w:r>
          </w:p>
        </w:tc>
        <w:tc>
          <w:tcPr>
            <w:tcW w:w="794" w:type="dxa"/>
            <w:shd w:val="clear" w:color="auto" w:fill="auto"/>
            <w:vAlign w:val="bottom"/>
          </w:tcPr>
          <w:p w:rsidR="002D5BB0" w:rsidRPr="00222917" w:rsidRDefault="002D5BB0" w:rsidP="008751D7">
            <w:pPr>
              <w:pStyle w:val="SingleTxtG"/>
              <w:suppressAutoHyphens w:val="0"/>
              <w:spacing w:before="40" w:after="40" w:line="220" w:lineRule="exact"/>
              <w:ind w:left="0" w:right="0"/>
              <w:jc w:val="right"/>
              <w:rPr>
                <w:sz w:val="18"/>
                <w:szCs w:val="18"/>
                <w:lang w:val="en-US"/>
              </w:rPr>
            </w:pPr>
            <w:r w:rsidRPr="00222917">
              <w:rPr>
                <w:sz w:val="18"/>
                <w:szCs w:val="18"/>
                <w:lang w:val="en-US"/>
              </w:rPr>
              <w:t>5</w:t>
            </w:r>
          </w:p>
        </w:tc>
        <w:tc>
          <w:tcPr>
            <w:tcW w:w="794" w:type="dxa"/>
            <w:shd w:val="clear" w:color="auto" w:fill="auto"/>
            <w:vAlign w:val="bottom"/>
          </w:tcPr>
          <w:p w:rsidR="002D5BB0" w:rsidRPr="00222917" w:rsidRDefault="002D5BB0" w:rsidP="008751D7">
            <w:pPr>
              <w:pStyle w:val="SingleTxtG"/>
              <w:suppressAutoHyphens w:val="0"/>
              <w:spacing w:before="40" w:after="40" w:line="220" w:lineRule="exact"/>
              <w:ind w:left="0" w:right="0"/>
              <w:jc w:val="right"/>
              <w:rPr>
                <w:sz w:val="18"/>
                <w:szCs w:val="18"/>
                <w:lang w:val="en-US"/>
              </w:rPr>
            </w:pPr>
            <w:r w:rsidRPr="00222917">
              <w:rPr>
                <w:sz w:val="18"/>
                <w:szCs w:val="18"/>
                <w:lang w:val="en-US"/>
              </w:rPr>
              <w:t>2</w:t>
            </w:r>
          </w:p>
        </w:tc>
        <w:tc>
          <w:tcPr>
            <w:tcW w:w="794" w:type="dxa"/>
            <w:shd w:val="clear" w:color="auto" w:fill="auto"/>
            <w:vAlign w:val="bottom"/>
          </w:tcPr>
          <w:p w:rsidR="002D5BB0" w:rsidRPr="00222917" w:rsidRDefault="002D5BB0" w:rsidP="008751D7">
            <w:pPr>
              <w:pStyle w:val="SingleTxtG"/>
              <w:suppressAutoHyphens w:val="0"/>
              <w:spacing w:before="40" w:after="40" w:line="220" w:lineRule="exact"/>
              <w:ind w:left="0" w:right="0"/>
              <w:jc w:val="right"/>
              <w:rPr>
                <w:b/>
                <w:sz w:val="18"/>
                <w:szCs w:val="18"/>
                <w:lang w:val="en-US"/>
              </w:rPr>
            </w:pPr>
            <w:r w:rsidRPr="00222917">
              <w:rPr>
                <w:b/>
                <w:sz w:val="18"/>
                <w:szCs w:val="18"/>
                <w:lang w:val="en-US"/>
              </w:rPr>
              <w:t>59</w:t>
            </w:r>
          </w:p>
        </w:tc>
      </w:tr>
    </w:tbl>
    <w:p w:rsidR="002D5BB0" w:rsidRPr="00222917" w:rsidRDefault="00A75340" w:rsidP="00A75340">
      <w:pPr>
        <w:pStyle w:val="H23G"/>
        <w:rPr>
          <w:lang w:val="en-US"/>
        </w:rPr>
      </w:pPr>
      <w:bookmarkStart w:id="16" w:name="_Toc307504037"/>
      <w:bookmarkStart w:id="17" w:name="_Toc336435809"/>
      <w:r w:rsidRPr="00222917">
        <w:rPr>
          <w:lang w:val="en-US"/>
        </w:rPr>
        <w:tab/>
      </w:r>
      <w:r w:rsidRPr="00222917">
        <w:rPr>
          <w:lang w:val="en-US"/>
        </w:rPr>
        <w:tab/>
      </w:r>
      <w:r w:rsidR="002D5BB0" w:rsidRPr="00222917">
        <w:rPr>
          <w:lang w:val="en-US"/>
        </w:rPr>
        <w:t>Status of Death Sentence</w:t>
      </w:r>
      <w:bookmarkEnd w:id="16"/>
      <w:bookmarkEnd w:id="17"/>
    </w:p>
    <w:p w:rsidR="002D5BB0" w:rsidRPr="00222917" w:rsidRDefault="00547908" w:rsidP="00547908">
      <w:pPr>
        <w:pStyle w:val="SingleTxtG"/>
        <w:rPr>
          <w:lang w:val="en-US"/>
        </w:rPr>
      </w:pPr>
      <w:r w:rsidRPr="00222917">
        <w:rPr>
          <w:lang w:val="en-US"/>
        </w:rPr>
        <w:t>110.</w:t>
      </w:r>
      <w:r w:rsidRPr="00222917">
        <w:rPr>
          <w:lang w:val="en-US"/>
        </w:rPr>
        <w:tab/>
      </w:r>
      <w:r w:rsidR="002D5BB0" w:rsidRPr="00222917">
        <w:rPr>
          <w:lang w:val="en-US"/>
        </w:rPr>
        <w:t xml:space="preserve">From 2004 through 2010, fewer than five </w:t>
      </w:r>
      <w:r w:rsidR="002D5BB0" w:rsidRPr="00222917">
        <w:rPr>
          <w:bCs/>
          <w:lang w:val="en-US"/>
        </w:rPr>
        <w:t>persons</w:t>
      </w:r>
      <w:r w:rsidR="002D5BB0" w:rsidRPr="00222917">
        <w:rPr>
          <w:lang w:val="en-US"/>
        </w:rPr>
        <w:t xml:space="preserve"> were sentenced to death annually.</w:t>
      </w:r>
      <w:r w:rsidR="00120D8B" w:rsidRPr="00222917">
        <w:rPr>
          <w:lang w:val="en-US"/>
        </w:rPr>
        <w:t xml:space="preserve"> </w:t>
      </w:r>
    </w:p>
    <w:p w:rsidR="002D5BB0" w:rsidRPr="00222917" w:rsidRDefault="00A75340" w:rsidP="00A75340">
      <w:pPr>
        <w:pStyle w:val="H23G"/>
        <w:rPr>
          <w:b w:val="0"/>
          <w:sz w:val="16"/>
          <w:szCs w:val="16"/>
          <w:lang w:val="en-US"/>
        </w:rPr>
      </w:pPr>
      <w:r w:rsidRPr="00222917">
        <w:rPr>
          <w:lang w:val="en-US"/>
        </w:rPr>
        <w:tab/>
      </w:r>
      <w:r w:rsidRPr="00222917">
        <w:rPr>
          <w:lang w:val="en-US"/>
        </w:rPr>
        <w:tab/>
      </w:r>
      <w:r w:rsidR="002D5BB0" w:rsidRPr="00222917">
        <w:rPr>
          <w:lang w:val="en-US"/>
        </w:rPr>
        <w:t>Annual Sentencing and Execution of Death Sentence</w:t>
      </w:r>
      <w:r w:rsidRPr="00222917">
        <w:rPr>
          <w:lang w:val="en-US"/>
        </w:rPr>
        <w:br/>
      </w:r>
      <w:r w:rsidR="002D5BB0" w:rsidRPr="00222917">
        <w:rPr>
          <w:b w:val="0"/>
          <w:sz w:val="16"/>
          <w:szCs w:val="16"/>
          <w:lang w:val="en-US"/>
        </w:rPr>
        <w:t xml:space="preserve">(Number of persons) </w:t>
      </w:r>
    </w:p>
    <w:tbl>
      <w:tblPr>
        <w:tblW w:w="0" w:type="auto"/>
        <w:tblInd w:w="1134" w:type="dxa"/>
        <w:tblBorders>
          <w:top w:val="single" w:sz="4" w:space="0" w:color="auto"/>
        </w:tblBorders>
        <w:tblLayout w:type="fixed"/>
        <w:tblCellMar>
          <w:left w:w="0" w:type="dxa"/>
          <w:right w:w="0" w:type="dxa"/>
        </w:tblCellMar>
        <w:tblLook w:val="0000"/>
      </w:tblPr>
      <w:tblGrid>
        <w:gridCol w:w="1814"/>
        <w:gridCol w:w="794"/>
        <w:gridCol w:w="794"/>
        <w:gridCol w:w="794"/>
        <w:gridCol w:w="794"/>
        <w:gridCol w:w="794"/>
        <w:gridCol w:w="794"/>
        <w:gridCol w:w="794"/>
      </w:tblGrid>
      <w:tr w:rsidR="0024745E" w:rsidRPr="00222917" w:rsidTr="002F182D">
        <w:trPr>
          <w:trHeight w:val="240"/>
          <w:tblHeader/>
        </w:trPr>
        <w:tc>
          <w:tcPr>
            <w:tcW w:w="1814" w:type="dxa"/>
            <w:tcBorders>
              <w:top w:val="single" w:sz="4" w:space="0" w:color="auto"/>
              <w:bottom w:val="single" w:sz="12" w:space="0" w:color="auto"/>
            </w:tcBorders>
            <w:shd w:val="clear" w:color="auto" w:fill="auto"/>
            <w:vAlign w:val="bottom"/>
          </w:tcPr>
          <w:p w:rsidR="002D5BB0" w:rsidRPr="00222917" w:rsidRDefault="002D5BB0" w:rsidP="002F182D">
            <w:pPr>
              <w:pStyle w:val="SingleTxtG"/>
              <w:suppressAutoHyphens w:val="0"/>
              <w:spacing w:before="80" w:after="80" w:line="200" w:lineRule="exact"/>
              <w:ind w:left="0" w:right="0"/>
              <w:jc w:val="left"/>
              <w:rPr>
                <w:i/>
                <w:sz w:val="16"/>
                <w:lang w:val="en-US"/>
              </w:rPr>
            </w:pPr>
            <w:bookmarkStart w:id="18" w:name="BM_6ac56cbf"/>
            <w:bookmarkEnd w:id="18"/>
            <w:r w:rsidRPr="00222917">
              <w:rPr>
                <w:bCs/>
                <w:i/>
                <w:sz w:val="16"/>
                <w:lang w:val="en-US"/>
              </w:rPr>
              <w:t>Year</w:t>
            </w:r>
          </w:p>
        </w:tc>
        <w:tc>
          <w:tcPr>
            <w:tcW w:w="794" w:type="dxa"/>
            <w:tcBorders>
              <w:top w:val="single" w:sz="4" w:space="0" w:color="auto"/>
              <w:bottom w:val="single" w:sz="12" w:space="0" w:color="auto"/>
            </w:tcBorders>
            <w:shd w:val="clear" w:color="auto" w:fill="auto"/>
            <w:vAlign w:val="bottom"/>
          </w:tcPr>
          <w:p w:rsidR="002D5BB0" w:rsidRPr="00222917" w:rsidRDefault="002D5BB0" w:rsidP="002F182D">
            <w:pPr>
              <w:pStyle w:val="SingleTxtG"/>
              <w:suppressAutoHyphens w:val="0"/>
              <w:spacing w:before="80" w:after="80" w:line="200" w:lineRule="exact"/>
              <w:ind w:left="0" w:right="0"/>
              <w:jc w:val="right"/>
              <w:rPr>
                <w:i/>
                <w:sz w:val="16"/>
                <w:lang w:val="en-US"/>
              </w:rPr>
            </w:pPr>
            <w:r w:rsidRPr="00222917">
              <w:rPr>
                <w:bCs/>
                <w:i/>
                <w:sz w:val="16"/>
                <w:lang w:val="en-US"/>
              </w:rPr>
              <w:t>2004</w:t>
            </w:r>
          </w:p>
        </w:tc>
        <w:tc>
          <w:tcPr>
            <w:tcW w:w="794" w:type="dxa"/>
            <w:tcBorders>
              <w:top w:val="single" w:sz="4" w:space="0" w:color="auto"/>
              <w:bottom w:val="single" w:sz="12" w:space="0" w:color="auto"/>
            </w:tcBorders>
            <w:shd w:val="clear" w:color="auto" w:fill="auto"/>
            <w:vAlign w:val="bottom"/>
          </w:tcPr>
          <w:p w:rsidR="002D5BB0" w:rsidRPr="00222917" w:rsidRDefault="002D5BB0" w:rsidP="002F182D">
            <w:pPr>
              <w:pStyle w:val="SingleTxtG"/>
              <w:suppressAutoHyphens w:val="0"/>
              <w:spacing w:before="80" w:after="80" w:line="200" w:lineRule="exact"/>
              <w:ind w:left="0" w:right="0"/>
              <w:jc w:val="right"/>
              <w:rPr>
                <w:i/>
                <w:sz w:val="16"/>
                <w:lang w:val="en-US"/>
              </w:rPr>
            </w:pPr>
            <w:r w:rsidRPr="00222917">
              <w:rPr>
                <w:bCs/>
                <w:i/>
                <w:sz w:val="16"/>
                <w:lang w:val="en-US"/>
              </w:rPr>
              <w:t>2005</w:t>
            </w:r>
          </w:p>
        </w:tc>
        <w:tc>
          <w:tcPr>
            <w:tcW w:w="794" w:type="dxa"/>
            <w:tcBorders>
              <w:top w:val="single" w:sz="4" w:space="0" w:color="auto"/>
              <w:bottom w:val="single" w:sz="12" w:space="0" w:color="auto"/>
            </w:tcBorders>
            <w:shd w:val="clear" w:color="auto" w:fill="auto"/>
            <w:vAlign w:val="bottom"/>
          </w:tcPr>
          <w:p w:rsidR="002D5BB0" w:rsidRPr="00222917" w:rsidRDefault="002D5BB0" w:rsidP="002F182D">
            <w:pPr>
              <w:pStyle w:val="SingleTxtG"/>
              <w:suppressAutoHyphens w:val="0"/>
              <w:spacing w:before="80" w:after="80" w:line="200" w:lineRule="exact"/>
              <w:ind w:left="0" w:right="0"/>
              <w:jc w:val="right"/>
              <w:rPr>
                <w:i/>
                <w:sz w:val="16"/>
                <w:lang w:val="en-US"/>
              </w:rPr>
            </w:pPr>
            <w:r w:rsidRPr="00222917">
              <w:rPr>
                <w:bCs/>
                <w:i/>
                <w:sz w:val="16"/>
                <w:lang w:val="en-US"/>
              </w:rPr>
              <w:t>2006</w:t>
            </w:r>
          </w:p>
        </w:tc>
        <w:tc>
          <w:tcPr>
            <w:tcW w:w="794" w:type="dxa"/>
            <w:tcBorders>
              <w:top w:val="single" w:sz="4" w:space="0" w:color="auto"/>
              <w:bottom w:val="single" w:sz="12" w:space="0" w:color="auto"/>
            </w:tcBorders>
            <w:shd w:val="clear" w:color="auto" w:fill="auto"/>
            <w:vAlign w:val="bottom"/>
          </w:tcPr>
          <w:p w:rsidR="002D5BB0" w:rsidRPr="00222917" w:rsidRDefault="002D5BB0" w:rsidP="002F182D">
            <w:pPr>
              <w:pStyle w:val="SingleTxtG"/>
              <w:suppressAutoHyphens w:val="0"/>
              <w:spacing w:before="80" w:after="80" w:line="200" w:lineRule="exact"/>
              <w:ind w:left="0" w:right="0"/>
              <w:jc w:val="right"/>
              <w:rPr>
                <w:i/>
                <w:sz w:val="16"/>
                <w:lang w:val="en-US"/>
              </w:rPr>
            </w:pPr>
            <w:r w:rsidRPr="00222917">
              <w:rPr>
                <w:bCs/>
                <w:i/>
                <w:sz w:val="16"/>
                <w:lang w:val="en-US"/>
              </w:rPr>
              <w:t>2007</w:t>
            </w:r>
          </w:p>
        </w:tc>
        <w:tc>
          <w:tcPr>
            <w:tcW w:w="794" w:type="dxa"/>
            <w:tcBorders>
              <w:top w:val="single" w:sz="4" w:space="0" w:color="auto"/>
              <w:bottom w:val="single" w:sz="12" w:space="0" w:color="auto"/>
            </w:tcBorders>
            <w:shd w:val="clear" w:color="auto" w:fill="auto"/>
            <w:vAlign w:val="bottom"/>
          </w:tcPr>
          <w:p w:rsidR="002D5BB0" w:rsidRPr="00222917" w:rsidRDefault="002D5BB0" w:rsidP="002F182D">
            <w:pPr>
              <w:pStyle w:val="SingleTxtG"/>
              <w:suppressAutoHyphens w:val="0"/>
              <w:spacing w:before="80" w:after="80" w:line="200" w:lineRule="exact"/>
              <w:ind w:left="0" w:right="0"/>
              <w:jc w:val="right"/>
              <w:rPr>
                <w:i/>
                <w:sz w:val="16"/>
                <w:lang w:val="en-US"/>
              </w:rPr>
            </w:pPr>
            <w:r w:rsidRPr="00222917">
              <w:rPr>
                <w:bCs/>
                <w:i/>
                <w:sz w:val="16"/>
                <w:lang w:val="en-US"/>
              </w:rPr>
              <w:t>2008</w:t>
            </w:r>
          </w:p>
        </w:tc>
        <w:tc>
          <w:tcPr>
            <w:tcW w:w="794" w:type="dxa"/>
            <w:tcBorders>
              <w:top w:val="single" w:sz="4" w:space="0" w:color="auto"/>
              <w:bottom w:val="single" w:sz="12" w:space="0" w:color="auto"/>
            </w:tcBorders>
            <w:shd w:val="clear" w:color="auto" w:fill="auto"/>
            <w:vAlign w:val="bottom"/>
          </w:tcPr>
          <w:p w:rsidR="002D5BB0" w:rsidRPr="00222917" w:rsidRDefault="002D5BB0" w:rsidP="002F182D">
            <w:pPr>
              <w:pStyle w:val="SingleTxtG"/>
              <w:suppressAutoHyphens w:val="0"/>
              <w:spacing w:before="80" w:after="80" w:line="200" w:lineRule="exact"/>
              <w:ind w:left="0" w:right="0"/>
              <w:jc w:val="right"/>
              <w:rPr>
                <w:i/>
                <w:sz w:val="16"/>
                <w:lang w:val="en-US"/>
              </w:rPr>
            </w:pPr>
            <w:r w:rsidRPr="00222917">
              <w:rPr>
                <w:bCs/>
                <w:i/>
                <w:sz w:val="16"/>
                <w:lang w:val="en-US"/>
              </w:rPr>
              <w:t>2009</w:t>
            </w:r>
          </w:p>
        </w:tc>
        <w:tc>
          <w:tcPr>
            <w:tcW w:w="794" w:type="dxa"/>
            <w:tcBorders>
              <w:top w:val="single" w:sz="4" w:space="0" w:color="auto"/>
              <w:bottom w:val="single" w:sz="12" w:space="0" w:color="auto"/>
            </w:tcBorders>
            <w:shd w:val="clear" w:color="auto" w:fill="auto"/>
            <w:vAlign w:val="bottom"/>
          </w:tcPr>
          <w:p w:rsidR="002D5BB0" w:rsidRPr="00222917" w:rsidRDefault="002D5BB0" w:rsidP="002F182D">
            <w:pPr>
              <w:pStyle w:val="SingleTxtG"/>
              <w:suppressAutoHyphens w:val="0"/>
              <w:spacing w:before="80" w:after="80" w:line="200" w:lineRule="exact"/>
              <w:ind w:left="0" w:right="0"/>
              <w:jc w:val="right"/>
              <w:rPr>
                <w:i/>
                <w:sz w:val="16"/>
                <w:lang w:val="en-US"/>
              </w:rPr>
            </w:pPr>
            <w:r w:rsidRPr="00222917">
              <w:rPr>
                <w:bCs/>
                <w:i/>
                <w:sz w:val="16"/>
                <w:lang w:val="en-US"/>
              </w:rPr>
              <w:t>2010</w:t>
            </w:r>
          </w:p>
        </w:tc>
      </w:tr>
      <w:tr w:rsidR="0024745E" w:rsidRPr="00222917" w:rsidTr="002F182D">
        <w:trPr>
          <w:trHeight w:val="240"/>
        </w:trPr>
        <w:tc>
          <w:tcPr>
            <w:tcW w:w="1814" w:type="dxa"/>
            <w:tcBorders>
              <w:top w:val="single" w:sz="12" w:space="0" w:color="auto"/>
            </w:tcBorders>
            <w:shd w:val="clear" w:color="auto" w:fill="auto"/>
          </w:tcPr>
          <w:p w:rsidR="002D5BB0" w:rsidRPr="00222917" w:rsidRDefault="002D5BB0" w:rsidP="002F182D">
            <w:pPr>
              <w:pStyle w:val="SingleTxtG"/>
              <w:suppressAutoHyphens w:val="0"/>
              <w:spacing w:before="40" w:after="40" w:line="220" w:lineRule="exact"/>
              <w:ind w:left="0" w:right="0"/>
              <w:jc w:val="left"/>
              <w:rPr>
                <w:sz w:val="18"/>
                <w:lang w:val="en-US"/>
              </w:rPr>
            </w:pPr>
            <w:r w:rsidRPr="00222917">
              <w:rPr>
                <w:sz w:val="18"/>
                <w:lang w:val="en-US"/>
              </w:rPr>
              <w:t>Finalized</w:t>
            </w:r>
          </w:p>
        </w:tc>
        <w:tc>
          <w:tcPr>
            <w:tcW w:w="794" w:type="dxa"/>
            <w:tcBorders>
              <w:top w:val="single" w:sz="12" w:space="0" w:color="auto"/>
            </w:tcBorders>
            <w:shd w:val="clear" w:color="auto" w:fill="auto"/>
            <w:vAlign w:val="bottom"/>
          </w:tcPr>
          <w:p w:rsidR="002D5BB0" w:rsidRPr="00222917" w:rsidRDefault="002D5BB0" w:rsidP="002F182D">
            <w:pPr>
              <w:pStyle w:val="SingleTxtG"/>
              <w:suppressAutoHyphens w:val="0"/>
              <w:spacing w:before="40" w:after="40" w:line="220" w:lineRule="exact"/>
              <w:ind w:left="0" w:right="0"/>
              <w:jc w:val="right"/>
              <w:rPr>
                <w:sz w:val="18"/>
                <w:lang w:val="en-US"/>
              </w:rPr>
            </w:pPr>
            <w:r w:rsidRPr="00222917">
              <w:rPr>
                <w:sz w:val="18"/>
                <w:lang w:val="en-US"/>
              </w:rPr>
              <w:t>2</w:t>
            </w:r>
          </w:p>
        </w:tc>
        <w:tc>
          <w:tcPr>
            <w:tcW w:w="794" w:type="dxa"/>
            <w:tcBorders>
              <w:top w:val="single" w:sz="12" w:space="0" w:color="auto"/>
            </w:tcBorders>
            <w:shd w:val="clear" w:color="auto" w:fill="auto"/>
            <w:vAlign w:val="bottom"/>
          </w:tcPr>
          <w:p w:rsidR="002D5BB0" w:rsidRPr="00222917" w:rsidRDefault="002D5BB0" w:rsidP="002F182D">
            <w:pPr>
              <w:pStyle w:val="SingleTxtG"/>
              <w:suppressAutoHyphens w:val="0"/>
              <w:spacing w:before="40" w:after="40" w:line="220" w:lineRule="exact"/>
              <w:ind w:left="0" w:right="0"/>
              <w:jc w:val="right"/>
              <w:rPr>
                <w:sz w:val="18"/>
                <w:lang w:val="en-US"/>
              </w:rPr>
            </w:pPr>
            <w:r w:rsidRPr="00222917">
              <w:rPr>
                <w:sz w:val="18"/>
                <w:lang w:val="en-US"/>
              </w:rPr>
              <w:t>3</w:t>
            </w:r>
          </w:p>
        </w:tc>
        <w:tc>
          <w:tcPr>
            <w:tcW w:w="794" w:type="dxa"/>
            <w:tcBorders>
              <w:top w:val="single" w:sz="12" w:space="0" w:color="auto"/>
            </w:tcBorders>
            <w:shd w:val="clear" w:color="auto" w:fill="auto"/>
            <w:vAlign w:val="bottom"/>
          </w:tcPr>
          <w:p w:rsidR="002D5BB0" w:rsidRPr="00222917" w:rsidRDefault="002D5BB0" w:rsidP="002F182D">
            <w:pPr>
              <w:pStyle w:val="SingleTxtG"/>
              <w:suppressAutoHyphens w:val="0"/>
              <w:spacing w:before="40" w:after="40" w:line="220" w:lineRule="exact"/>
              <w:ind w:left="0" w:right="0"/>
              <w:jc w:val="right"/>
              <w:rPr>
                <w:sz w:val="18"/>
                <w:lang w:val="en-US"/>
              </w:rPr>
            </w:pPr>
            <w:r w:rsidRPr="00222917">
              <w:rPr>
                <w:sz w:val="18"/>
                <w:lang w:val="en-US"/>
              </w:rPr>
              <w:t>2</w:t>
            </w:r>
          </w:p>
        </w:tc>
        <w:tc>
          <w:tcPr>
            <w:tcW w:w="794" w:type="dxa"/>
            <w:tcBorders>
              <w:top w:val="single" w:sz="12" w:space="0" w:color="auto"/>
            </w:tcBorders>
            <w:shd w:val="clear" w:color="auto" w:fill="auto"/>
            <w:vAlign w:val="bottom"/>
          </w:tcPr>
          <w:p w:rsidR="002D5BB0" w:rsidRPr="00222917" w:rsidRDefault="002D5BB0" w:rsidP="002F182D">
            <w:pPr>
              <w:pStyle w:val="SingleTxtG"/>
              <w:suppressAutoHyphens w:val="0"/>
              <w:spacing w:before="40" w:after="40" w:line="220" w:lineRule="exact"/>
              <w:ind w:left="0" w:right="0"/>
              <w:jc w:val="right"/>
              <w:rPr>
                <w:sz w:val="18"/>
                <w:lang w:val="en-US"/>
              </w:rPr>
            </w:pPr>
            <w:r w:rsidRPr="00222917">
              <w:rPr>
                <w:sz w:val="18"/>
                <w:lang w:val="en-US"/>
              </w:rPr>
              <w:t>3</w:t>
            </w:r>
          </w:p>
        </w:tc>
        <w:tc>
          <w:tcPr>
            <w:tcW w:w="794" w:type="dxa"/>
            <w:tcBorders>
              <w:top w:val="single" w:sz="12" w:space="0" w:color="auto"/>
            </w:tcBorders>
            <w:shd w:val="clear" w:color="auto" w:fill="auto"/>
            <w:vAlign w:val="bottom"/>
          </w:tcPr>
          <w:p w:rsidR="002D5BB0" w:rsidRPr="00222917" w:rsidRDefault="002D5BB0" w:rsidP="002F182D">
            <w:pPr>
              <w:pStyle w:val="SingleTxtG"/>
              <w:suppressAutoHyphens w:val="0"/>
              <w:spacing w:before="40" w:after="40" w:line="220" w:lineRule="exact"/>
              <w:ind w:left="0" w:right="0"/>
              <w:jc w:val="right"/>
              <w:rPr>
                <w:sz w:val="18"/>
                <w:lang w:val="en-US"/>
              </w:rPr>
            </w:pPr>
            <w:r w:rsidRPr="00222917">
              <w:rPr>
                <w:sz w:val="18"/>
                <w:lang w:val="en-US"/>
              </w:rPr>
              <w:t>0</w:t>
            </w:r>
          </w:p>
        </w:tc>
        <w:tc>
          <w:tcPr>
            <w:tcW w:w="794" w:type="dxa"/>
            <w:tcBorders>
              <w:top w:val="single" w:sz="12" w:space="0" w:color="auto"/>
            </w:tcBorders>
            <w:shd w:val="clear" w:color="auto" w:fill="auto"/>
            <w:vAlign w:val="bottom"/>
          </w:tcPr>
          <w:p w:rsidR="002D5BB0" w:rsidRPr="00222917" w:rsidRDefault="002D5BB0" w:rsidP="002F182D">
            <w:pPr>
              <w:pStyle w:val="SingleTxtG"/>
              <w:suppressAutoHyphens w:val="0"/>
              <w:spacing w:before="40" w:after="40" w:line="220" w:lineRule="exact"/>
              <w:ind w:left="0" w:right="0"/>
              <w:jc w:val="right"/>
              <w:rPr>
                <w:sz w:val="18"/>
                <w:lang w:val="en-US"/>
              </w:rPr>
            </w:pPr>
            <w:r w:rsidRPr="00222917">
              <w:rPr>
                <w:sz w:val="18"/>
                <w:lang w:val="en-US"/>
              </w:rPr>
              <w:t>3</w:t>
            </w:r>
          </w:p>
        </w:tc>
        <w:tc>
          <w:tcPr>
            <w:tcW w:w="794" w:type="dxa"/>
            <w:tcBorders>
              <w:top w:val="single" w:sz="12" w:space="0" w:color="auto"/>
            </w:tcBorders>
            <w:shd w:val="clear" w:color="auto" w:fill="auto"/>
            <w:vAlign w:val="bottom"/>
          </w:tcPr>
          <w:p w:rsidR="002D5BB0" w:rsidRPr="00222917" w:rsidRDefault="002D5BB0" w:rsidP="002F182D">
            <w:pPr>
              <w:pStyle w:val="SingleTxtG"/>
              <w:suppressAutoHyphens w:val="0"/>
              <w:spacing w:before="40" w:after="40" w:line="220" w:lineRule="exact"/>
              <w:ind w:left="0" w:right="0"/>
              <w:jc w:val="right"/>
              <w:rPr>
                <w:sz w:val="18"/>
                <w:lang w:val="en-US"/>
              </w:rPr>
            </w:pPr>
            <w:r w:rsidRPr="00222917">
              <w:rPr>
                <w:sz w:val="18"/>
                <w:lang w:val="en-US"/>
              </w:rPr>
              <w:t>2</w:t>
            </w:r>
          </w:p>
        </w:tc>
      </w:tr>
      <w:tr w:rsidR="0024745E" w:rsidRPr="00222917" w:rsidTr="002F182D">
        <w:trPr>
          <w:trHeight w:val="240"/>
        </w:trPr>
        <w:tc>
          <w:tcPr>
            <w:tcW w:w="1814" w:type="dxa"/>
            <w:tcBorders>
              <w:bottom w:val="single" w:sz="12" w:space="0" w:color="auto"/>
            </w:tcBorders>
            <w:shd w:val="clear" w:color="auto" w:fill="auto"/>
          </w:tcPr>
          <w:p w:rsidR="002D5BB0" w:rsidRPr="00222917" w:rsidRDefault="002D5BB0" w:rsidP="002F182D">
            <w:pPr>
              <w:pStyle w:val="SingleTxtG"/>
              <w:suppressAutoHyphens w:val="0"/>
              <w:spacing w:before="40" w:after="40" w:line="220" w:lineRule="exact"/>
              <w:ind w:left="0" w:right="0"/>
              <w:jc w:val="left"/>
              <w:rPr>
                <w:sz w:val="18"/>
                <w:lang w:val="en-US"/>
              </w:rPr>
            </w:pPr>
            <w:r w:rsidRPr="00222917">
              <w:rPr>
                <w:sz w:val="18"/>
                <w:lang w:val="en-US"/>
              </w:rPr>
              <w:t>Executed</w:t>
            </w:r>
          </w:p>
        </w:tc>
        <w:tc>
          <w:tcPr>
            <w:tcW w:w="794" w:type="dxa"/>
            <w:tcBorders>
              <w:bottom w:val="single" w:sz="12" w:space="0" w:color="auto"/>
            </w:tcBorders>
            <w:shd w:val="clear" w:color="auto" w:fill="auto"/>
            <w:vAlign w:val="bottom"/>
          </w:tcPr>
          <w:p w:rsidR="002D5BB0" w:rsidRPr="00222917" w:rsidRDefault="002D5BB0" w:rsidP="002F182D">
            <w:pPr>
              <w:pStyle w:val="SingleTxtG"/>
              <w:suppressAutoHyphens w:val="0"/>
              <w:spacing w:before="40" w:after="40" w:line="220" w:lineRule="exact"/>
              <w:ind w:left="0" w:right="0"/>
              <w:jc w:val="right"/>
              <w:rPr>
                <w:sz w:val="18"/>
                <w:lang w:val="en-US"/>
              </w:rPr>
            </w:pPr>
            <w:r w:rsidRPr="00222917">
              <w:rPr>
                <w:sz w:val="18"/>
                <w:lang w:val="en-US"/>
              </w:rPr>
              <w:t>0</w:t>
            </w:r>
          </w:p>
        </w:tc>
        <w:tc>
          <w:tcPr>
            <w:tcW w:w="794" w:type="dxa"/>
            <w:tcBorders>
              <w:bottom w:val="single" w:sz="12" w:space="0" w:color="auto"/>
            </w:tcBorders>
            <w:shd w:val="clear" w:color="auto" w:fill="auto"/>
            <w:vAlign w:val="bottom"/>
          </w:tcPr>
          <w:p w:rsidR="002D5BB0" w:rsidRPr="00222917" w:rsidRDefault="002D5BB0" w:rsidP="002F182D">
            <w:pPr>
              <w:pStyle w:val="SingleTxtG"/>
              <w:suppressAutoHyphens w:val="0"/>
              <w:spacing w:before="40" w:after="40" w:line="220" w:lineRule="exact"/>
              <w:ind w:left="0" w:right="0"/>
              <w:jc w:val="right"/>
              <w:rPr>
                <w:sz w:val="18"/>
                <w:lang w:val="en-US"/>
              </w:rPr>
            </w:pPr>
            <w:r w:rsidRPr="00222917">
              <w:rPr>
                <w:sz w:val="18"/>
                <w:lang w:val="en-US"/>
              </w:rPr>
              <w:t>0</w:t>
            </w:r>
          </w:p>
        </w:tc>
        <w:tc>
          <w:tcPr>
            <w:tcW w:w="794" w:type="dxa"/>
            <w:tcBorders>
              <w:bottom w:val="single" w:sz="12" w:space="0" w:color="auto"/>
            </w:tcBorders>
            <w:shd w:val="clear" w:color="auto" w:fill="auto"/>
            <w:vAlign w:val="bottom"/>
          </w:tcPr>
          <w:p w:rsidR="002D5BB0" w:rsidRPr="00222917" w:rsidRDefault="002D5BB0" w:rsidP="002F182D">
            <w:pPr>
              <w:pStyle w:val="SingleTxtG"/>
              <w:suppressAutoHyphens w:val="0"/>
              <w:spacing w:before="40" w:after="40" w:line="220" w:lineRule="exact"/>
              <w:ind w:left="0" w:right="0"/>
              <w:jc w:val="right"/>
              <w:rPr>
                <w:sz w:val="18"/>
                <w:lang w:val="en-US"/>
              </w:rPr>
            </w:pPr>
            <w:r w:rsidRPr="00222917">
              <w:rPr>
                <w:sz w:val="18"/>
                <w:lang w:val="en-US"/>
              </w:rPr>
              <w:t>0</w:t>
            </w:r>
          </w:p>
        </w:tc>
        <w:tc>
          <w:tcPr>
            <w:tcW w:w="794" w:type="dxa"/>
            <w:tcBorders>
              <w:bottom w:val="single" w:sz="12" w:space="0" w:color="auto"/>
            </w:tcBorders>
            <w:shd w:val="clear" w:color="auto" w:fill="auto"/>
            <w:vAlign w:val="bottom"/>
          </w:tcPr>
          <w:p w:rsidR="002D5BB0" w:rsidRPr="00222917" w:rsidRDefault="002D5BB0" w:rsidP="002F182D">
            <w:pPr>
              <w:pStyle w:val="SingleTxtG"/>
              <w:suppressAutoHyphens w:val="0"/>
              <w:spacing w:before="40" w:after="40" w:line="220" w:lineRule="exact"/>
              <w:ind w:left="0" w:right="0"/>
              <w:jc w:val="right"/>
              <w:rPr>
                <w:sz w:val="18"/>
                <w:lang w:val="en-US"/>
              </w:rPr>
            </w:pPr>
            <w:r w:rsidRPr="00222917">
              <w:rPr>
                <w:sz w:val="18"/>
                <w:lang w:val="en-US"/>
              </w:rPr>
              <w:t>0</w:t>
            </w:r>
          </w:p>
        </w:tc>
        <w:tc>
          <w:tcPr>
            <w:tcW w:w="794" w:type="dxa"/>
            <w:tcBorders>
              <w:bottom w:val="single" w:sz="12" w:space="0" w:color="auto"/>
            </w:tcBorders>
            <w:shd w:val="clear" w:color="auto" w:fill="auto"/>
            <w:vAlign w:val="bottom"/>
          </w:tcPr>
          <w:p w:rsidR="002D5BB0" w:rsidRPr="00222917" w:rsidRDefault="002D5BB0" w:rsidP="002F182D">
            <w:pPr>
              <w:pStyle w:val="SingleTxtG"/>
              <w:suppressAutoHyphens w:val="0"/>
              <w:spacing w:before="40" w:after="40" w:line="220" w:lineRule="exact"/>
              <w:ind w:left="0" w:right="0"/>
              <w:jc w:val="right"/>
              <w:rPr>
                <w:sz w:val="18"/>
                <w:lang w:val="en-US"/>
              </w:rPr>
            </w:pPr>
            <w:r w:rsidRPr="00222917">
              <w:rPr>
                <w:sz w:val="18"/>
                <w:lang w:val="en-US"/>
              </w:rPr>
              <w:t>0</w:t>
            </w:r>
          </w:p>
        </w:tc>
        <w:tc>
          <w:tcPr>
            <w:tcW w:w="794" w:type="dxa"/>
            <w:tcBorders>
              <w:bottom w:val="single" w:sz="12" w:space="0" w:color="auto"/>
            </w:tcBorders>
            <w:shd w:val="clear" w:color="auto" w:fill="auto"/>
            <w:vAlign w:val="bottom"/>
          </w:tcPr>
          <w:p w:rsidR="002D5BB0" w:rsidRPr="00222917" w:rsidRDefault="002D5BB0" w:rsidP="002F182D">
            <w:pPr>
              <w:pStyle w:val="SingleTxtG"/>
              <w:suppressAutoHyphens w:val="0"/>
              <w:spacing w:before="40" w:after="40" w:line="220" w:lineRule="exact"/>
              <w:ind w:left="0" w:right="0"/>
              <w:jc w:val="right"/>
              <w:rPr>
                <w:sz w:val="18"/>
                <w:lang w:val="en-US"/>
              </w:rPr>
            </w:pPr>
            <w:r w:rsidRPr="00222917">
              <w:rPr>
                <w:sz w:val="18"/>
                <w:lang w:val="en-US"/>
              </w:rPr>
              <w:t>0</w:t>
            </w:r>
          </w:p>
        </w:tc>
        <w:tc>
          <w:tcPr>
            <w:tcW w:w="794" w:type="dxa"/>
            <w:tcBorders>
              <w:bottom w:val="single" w:sz="12" w:space="0" w:color="auto"/>
            </w:tcBorders>
            <w:shd w:val="clear" w:color="auto" w:fill="auto"/>
            <w:vAlign w:val="bottom"/>
          </w:tcPr>
          <w:p w:rsidR="002D5BB0" w:rsidRPr="00222917" w:rsidRDefault="002D5BB0" w:rsidP="002F182D">
            <w:pPr>
              <w:pStyle w:val="SingleTxtG"/>
              <w:suppressAutoHyphens w:val="0"/>
              <w:spacing w:before="40" w:after="40" w:line="220" w:lineRule="exact"/>
              <w:ind w:left="0" w:right="0"/>
              <w:jc w:val="right"/>
              <w:rPr>
                <w:sz w:val="18"/>
                <w:lang w:val="en-US"/>
              </w:rPr>
            </w:pPr>
            <w:r w:rsidRPr="00222917">
              <w:rPr>
                <w:sz w:val="18"/>
                <w:lang w:val="en-US"/>
              </w:rPr>
              <w:t>0</w:t>
            </w:r>
          </w:p>
        </w:tc>
      </w:tr>
    </w:tbl>
    <w:p w:rsidR="002D5BB0" w:rsidRPr="00222917" w:rsidRDefault="002F182D" w:rsidP="002F182D">
      <w:pPr>
        <w:pStyle w:val="H23G"/>
        <w:rPr>
          <w:lang w:val="en-US"/>
        </w:rPr>
      </w:pPr>
      <w:bookmarkStart w:id="19" w:name="_Toc307504038"/>
      <w:bookmarkStart w:id="20" w:name="_Toc336435810"/>
      <w:r w:rsidRPr="00222917">
        <w:rPr>
          <w:lang w:val="en-US"/>
        </w:rPr>
        <w:tab/>
      </w:r>
      <w:r w:rsidRPr="00222917">
        <w:rPr>
          <w:lang w:val="en-US"/>
        </w:rPr>
        <w:tab/>
      </w:r>
      <w:r w:rsidR="002D5BB0" w:rsidRPr="00222917">
        <w:rPr>
          <w:lang w:val="en-US"/>
        </w:rPr>
        <w:t>Rulings of the Supreme Court of Korea and Decisions by the Constitutional Court of</w:t>
      </w:r>
      <w:r w:rsidRPr="00222917">
        <w:rPr>
          <w:lang w:val="en-US"/>
        </w:rPr>
        <w:t> </w:t>
      </w:r>
      <w:r w:rsidR="002D5BB0" w:rsidRPr="00222917">
        <w:rPr>
          <w:lang w:val="en-US"/>
        </w:rPr>
        <w:t>Korea Concerning the Death Penalty</w:t>
      </w:r>
      <w:bookmarkEnd w:id="19"/>
      <w:bookmarkEnd w:id="20"/>
    </w:p>
    <w:p w:rsidR="002D5BB0" w:rsidRPr="00222917" w:rsidRDefault="00547908" w:rsidP="00547908">
      <w:pPr>
        <w:pStyle w:val="SingleTxtG"/>
        <w:rPr>
          <w:lang w:val="en-US"/>
        </w:rPr>
      </w:pPr>
      <w:r w:rsidRPr="00222917">
        <w:rPr>
          <w:lang w:val="en-US"/>
        </w:rPr>
        <w:t>111.</w:t>
      </w:r>
      <w:r w:rsidRPr="00222917">
        <w:rPr>
          <w:lang w:val="en-US"/>
        </w:rPr>
        <w:tab/>
      </w:r>
      <w:r w:rsidR="002D5BB0" w:rsidRPr="00222917">
        <w:rPr>
          <w:lang w:val="en-US"/>
        </w:rPr>
        <w:t>On 25 February 2010, the Constitutional Court of Korea ruled that the death penalty does not conflict with the Constitution because the death penalty does not exceed the permissible limitation of rights and f</w:t>
      </w:r>
      <w:r w:rsidR="00EC77E2" w:rsidRPr="00222917">
        <w:rPr>
          <w:lang w:val="en-US"/>
        </w:rPr>
        <w:t xml:space="preserve">reedom as stipulated in </w:t>
      </w:r>
      <w:r w:rsidR="00681EC0" w:rsidRPr="00222917">
        <w:rPr>
          <w:lang w:val="en-US"/>
        </w:rPr>
        <w:t>a</w:t>
      </w:r>
      <w:r w:rsidR="00EC77E2" w:rsidRPr="00222917">
        <w:rPr>
          <w:lang w:val="en-US"/>
        </w:rPr>
        <w:t>rticle </w:t>
      </w:r>
      <w:r w:rsidR="002D5BB0" w:rsidRPr="00222917">
        <w:rPr>
          <w:lang w:val="en-US"/>
        </w:rPr>
        <w:t>37</w:t>
      </w:r>
      <w:r w:rsidR="00681EC0" w:rsidRPr="00222917">
        <w:rPr>
          <w:lang w:val="en-US"/>
        </w:rPr>
        <w:t xml:space="preserve"> </w:t>
      </w:r>
      <w:r w:rsidR="002D5BB0" w:rsidRPr="00222917">
        <w:rPr>
          <w:lang w:val="en-US"/>
        </w:rPr>
        <w:t>(2) of the Constitu</w:t>
      </w:r>
      <w:r w:rsidR="00EC77E2" w:rsidRPr="00222917">
        <w:rPr>
          <w:lang w:val="en-US"/>
        </w:rPr>
        <w:t xml:space="preserve">tion and is not against </w:t>
      </w:r>
      <w:r w:rsidR="00681EC0" w:rsidRPr="00222917">
        <w:rPr>
          <w:lang w:val="en-US"/>
        </w:rPr>
        <w:t>a</w:t>
      </w:r>
      <w:r w:rsidR="00EC77E2" w:rsidRPr="00222917">
        <w:rPr>
          <w:lang w:val="en-US"/>
        </w:rPr>
        <w:t>rticle </w:t>
      </w:r>
      <w:r w:rsidR="00C05316" w:rsidRPr="00222917">
        <w:rPr>
          <w:lang w:val="en-US"/>
        </w:rPr>
        <w:t>l</w:t>
      </w:r>
      <w:r w:rsidR="002D5BB0" w:rsidRPr="00222917">
        <w:rPr>
          <w:lang w:val="en-US"/>
        </w:rPr>
        <w:t xml:space="preserve">10 of the Constitution on the dignity and worth of human beings (2008 HUN-GA 23). The </w:t>
      </w:r>
      <w:r w:rsidR="002D5BB0" w:rsidRPr="00222917">
        <w:rPr>
          <w:bCs/>
          <w:lang w:val="en-US"/>
        </w:rPr>
        <w:t>Court</w:t>
      </w:r>
      <w:r w:rsidR="002D5BB0" w:rsidRPr="00222917">
        <w:rPr>
          <w:lang w:val="en-US"/>
        </w:rPr>
        <w:t xml:space="preserve"> was also of the view that the death penalty is not in breach of the principle of proportionality: first, the death penalty justly serves the purpose of crime prevention, delivery of justice, and social defense by deterring the criminal from committing other crimes; second, it complies with the principle of minimal limitation of rights since there is no alternative to the death penalty with the same effect as it has; third, the death penalty, also, is not in violation of the principle of balancing between legal interests concerned. The above</w:t>
      </w:r>
      <w:r w:rsidR="0020568A">
        <w:rPr>
          <w:lang w:val="en-US"/>
        </w:rPr>
        <w:t>-</w:t>
      </w:r>
      <w:r w:rsidR="002D5BB0" w:rsidRPr="00222917">
        <w:rPr>
          <w:lang w:val="en-US"/>
        </w:rPr>
        <w:t>mentioned public interests which the death penalty serves are to be valued not less than the perpetrator's individual interest in preserving life. The sentence of death in its practice has been limitedly imposed only for the most serious crimes such as vicious killings of many people so that such sentence of death could not be excessive compared to the cruelty of crime. This ruling was made by five constitutional opinions against four unconstitutional ones, while the ruling on 28 November 1996, which was mentioned in the third r</w:t>
      </w:r>
      <w:r w:rsidR="00C05316" w:rsidRPr="00222917">
        <w:rPr>
          <w:lang w:val="en-US"/>
        </w:rPr>
        <w:t>eport (CCPR/C/KOR/2005/3, para. </w:t>
      </w:r>
      <w:r w:rsidR="002D5BB0" w:rsidRPr="00222917">
        <w:rPr>
          <w:lang w:val="en-US"/>
        </w:rPr>
        <w:t>109), was by seven constitutional opinion against two unconstitutional opinions.</w:t>
      </w:r>
    </w:p>
    <w:p w:rsidR="002D5BB0" w:rsidRPr="00222917" w:rsidRDefault="00547908" w:rsidP="00547908">
      <w:pPr>
        <w:pStyle w:val="SingleTxtG"/>
        <w:rPr>
          <w:lang w:val="en-US"/>
        </w:rPr>
      </w:pPr>
      <w:r w:rsidRPr="00222917">
        <w:rPr>
          <w:lang w:val="en-US"/>
        </w:rPr>
        <w:t>112.</w:t>
      </w:r>
      <w:r w:rsidRPr="00222917">
        <w:rPr>
          <w:lang w:val="en-US"/>
        </w:rPr>
        <w:tab/>
      </w:r>
      <w:r w:rsidR="002D5BB0" w:rsidRPr="00222917">
        <w:rPr>
          <w:lang w:val="en-US"/>
        </w:rPr>
        <w:t>With its</w:t>
      </w:r>
      <w:r w:rsidR="005041F8" w:rsidRPr="00222917">
        <w:rPr>
          <w:lang w:val="en-US"/>
        </w:rPr>
        <w:t xml:space="preserve"> ruling on 24 March 2006 and 26 </w:t>
      </w:r>
      <w:r w:rsidR="002D5BB0" w:rsidRPr="00222917">
        <w:rPr>
          <w:lang w:val="en-US"/>
        </w:rPr>
        <w:t>February 2009, the Supreme Court maintained its position on the death penalty, which was explained in the third r</w:t>
      </w:r>
      <w:r w:rsidR="005041F8" w:rsidRPr="00222917">
        <w:rPr>
          <w:lang w:val="en-US"/>
        </w:rPr>
        <w:t>eport (CCPR/C/KOR/2005/3, para. </w:t>
      </w:r>
      <w:r w:rsidR="002D5BB0" w:rsidRPr="00222917">
        <w:rPr>
          <w:lang w:val="en-US"/>
        </w:rPr>
        <w:t xml:space="preserve">110), that </w:t>
      </w:r>
      <w:r w:rsidR="002D5BB0" w:rsidRPr="00222917">
        <w:rPr>
          <w:bCs/>
          <w:lang w:val="en-US"/>
        </w:rPr>
        <w:t>the</w:t>
      </w:r>
      <w:r w:rsidR="002D5BB0" w:rsidRPr="00222917">
        <w:rPr>
          <w:lang w:val="en-US"/>
        </w:rPr>
        <w:t xml:space="preserve"> death penalty should be imposed as the last resort only in special circumstances, which should be clarified taking into comprehensive consideration of all relevant matters including motives, means, and methods of crimes and recovery of damages (2006 DO 354, 2008 DO 9867). </w:t>
      </w:r>
    </w:p>
    <w:p w:rsidR="002D5BB0" w:rsidRPr="00222917" w:rsidRDefault="005041F8" w:rsidP="005041F8">
      <w:pPr>
        <w:pStyle w:val="H1G"/>
        <w:rPr>
          <w:lang w:val="en-US"/>
        </w:rPr>
      </w:pPr>
      <w:bookmarkStart w:id="21" w:name="_Toc307504039"/>
      <w:bookmarkStart w:id="22" w:name="_Toc336435811"/>
      <w:r w:rsidRPr="00222917">
        <w:rPr>
          <w:lang w:val="en-US"/>
        </w:rPr>
        <w:tab/>
      </w:r>
      <w:r w:rsidRPr="00222917">
        <w:rPr>
          <w:lang w:val="en-US"/>
        </w:rPr>
        <w:tab/>
      </w:r>
      <w:r w:rsidR="002D5BB0" w:rsidRPr="00222917">
        <w:rPr>
          <w:lang w:val="en-US"/>
        </w:rPr>
        <w:t>Paragraph 4</w:t>
      </w:r>
      <w:bookmarkEnd w:id="21"/>
      <w:bookmarkEnd w:id="22"/>
    </w:p>
    <w:p w:rsidR="002D5BB0" w:rsidRPr="00222917" w:rsidRDefault="005041F8" w:rsidP="005041F8">
      <w:pPr>
        <w:pStyle w:val="H23G"/>
        <w:rPr>
          <w:lang w:val="en-US"/>
        </w:rPr>
      </w:pPr>
      <w:bookmarkStart w:id="23" w:name="_Toc307504040"/>
      <w:bookmarkStart w:id="24" w:name="_Toc336435812"/>
      <w:r w:rsidRPr="00222917">
        <w:rPr>
          <w:lang w:val="en-US"/>
        </w:rPr>
        <w:tab/>
      </w:r>
      <w:r w:rsidRPr="00222917">
        <w:rPr>
          <w:lang w:val="en-US"/>
        </w:rPr>
        <w:tab/>
      </w:r>
      <w:r w:rsidR="002D5BB0" w:rsidRPr="00222917">
        <w:rPr>
          <w:lang w:val="en-US"/>
        </w:rPr>
        <w:t>Right to Request Amnesty and Commutation by Persons Sentenced to Death</w:t>
      </w:r>
      <w:bookmarkEnd w:id="23"/>
      <w:bookmarkEnd w:id="24"/>
    </w:p>
    <w:p w:rsidR="002D5BB0" w:rsidRPr="00222917" w:rsidRDefault="00547908" w:rsidP="00547908">
      <w:pPr>
        <w:pStyle w:val="SingleTxtG"/>
        <w:rPr>
          <w:lang w:val="en-US"/>
        </w:rPr>
      </w:pPr>
      <w:r w:rsidRPr="00222917">
        <w:rPr>
          <w:lang w:val="en-US"/>
        </w:rPr>
        <w:t>113.</w:t>
      </w:r>
      <w:r w:rsidRPr="00222917">
        <w:rPr>
          <w:lang w:val="en-US"/>
        </w:rPr>
        <w:tab/>
      </w:r>
      <w:r w:rsidR="002D5BB0" w:rsidRPr="00222917">
        <w:rPr>
          <w:lang w:val="en-US"/>
        </w:rPr>
        <w:t>The second report explained amnesty and commutation towards people sentenced to</w:t>
      </w:r>
      <w:r w:rsidR="005F5775" w:rsidRPr="00222917">
        <w:rPr>
          <w:lang w:val="en-US"/>
        </w:rPr>
        <w:t xml:space="preserve"> death (CCPR/C/114/Add.1, para. </w:t>
      </w:r>
      <w:r w:rsidR="002D5BB0" w:rsidRPr="00222917">
        <w:rPr>
          <w:lang w:val="en-US"/>
        </w:rPr>
        <w:t>87). In 2008, amnesty and commutation were given to six death-row inmates.</w:t>
      </w:r>
      <w:r w:rsidR="00120D8B" w:rsidRPr="00222917">
        <w:rPr>
          <w:lang w:val="en-US"/>
        </w:rPr>
        <w:t xml:space="preserve"> </w:t>
      </w:r>
    </w:p>
    <w:p w:rsidR="002D5BB0" w:rsidRPr="00222917" w:rsidRDefault="005041F8" w:rsidP="005041F8">
      <w:pPr>
        <w:pStyle w:val="H1G"/>
        <w:rPr>
          <w:lang w:val="en-US"/>
        </w:rPr>
      </w:pPr>
      <w:bookmarkStart w:id="25" w:name="_Toc307504041"/>
      <w:bookmarkStart w:id="26" w:name="_Toc336435813"/>
      <w:r w:rsidRPr="00222917">
        <w:rPr>
          <w:lang w:val="en-US"/>
        </w:rPr>
        <w:tab/>
      </w:r>
      <w:r w:rsidRPr="00222917">
        <w:rPr>
          <w:lang w:val="en-US"/>
        </w:rPr>
        <w:tab/>
      </w:r>
      <w:r w:rsidR="002D5BB0" w:rsidRPr="00222917">
        <w:rPr>
          <w:lang w:val="en-US"/>
        </w:rPr>
        <w:t>Paragraph 5</w:t>
      </w:r>
      <w:bookmarkEnd w:id="25"/>
      <w:bookmarkEnd w:id="26"/>
    </w:p>
    <w:p w:rsidR="002D5BB0" w:rsidRPr="00222917" w:rsidRDefault="005041F8" w:rsidP="005041F8">
      <w:pPr>
        <w:pStyle w:val="H23G"/>
        <w:rPr>
          <w:lang w:val="en-US"/>
        </w:rPr>
      </w:pPr>
      <w:bookmarkStart w:id="27" w:name="_Toc307504042"/>
      <w:bookmarkStart w:id="28" w:name="_Toc336435814"/>
      <w:r w:rsidRPr="00222917">
        <w:rPr>
          <w:lang w:val="en-US"/>
        </w:rPr>
        <w:tab/>
      </w:r>
      <w:r w:rsidRPr="00222917">
        <w:rPr>
          <w:lang w:val="en-US"/>
        </w:rPr>
        <w:tab/>
      </w:r>
      <w:r w:rsidR="002D5BB0" w:rsidRPr="00222917">
        <w:rPr>
          <w:lang w:val="en-US"/>
        </w:rPr>
        <w:t>Prohibition of Death Sentence Execution agains</w:t>
      </w:r>
      <w:r w:rsidRPr="00222917">
        <w:rPr>
          <w:lang w:val="en-US"/>
        </w:rPr>
        <w:t>t Persons below 18 years of age</w:t>
      </w:r>
      <w:r w:rsidRPr="00222917">
        <w:rPr>
          <w:lang w:val="en-US"/>
        </w:rPr>
        <w:br/>
      </w:r>
      <w:r w:rsidR="002D5BB0" w:rsidRPr="00222917">
        <w:rPr>
          <w:lang w:val="en-US"/>
        </w:rPr>
        <w:t>and Pregnant Women</w:t>
      </w:r>
      <w:bookmarkEnd w:id="27"/>
      <w:bookmarkEnd w:id="28"/>
    </w:p>
    <w:p w:rsidR="002D5BB0" w:rsidRPr="00222917" w:rsidRDefault="00547908" w:rsidP="00547908">
      <w:pPr>
        <w:pStyle w:val="SingleTxtG"/>
        <w:rPr>
          <w:lang w:val="en-US"/>
        </w:rPr>
      </w:pPr>
      <w:r w:rsidRPr="00222917">
        <w:rPr>
          <w:lang w:val="en-US"/>
        </w:rPr>
        <w:t>114.</w:t>
      </w:r>
      <w:r w:rsidRPr="00222917">
        <w:rPr>
          <w:lang w:val="en-US"/>
        </w:rPr>
        <w:tab/>
      </w:r>
      <w:r w:rsidR="002D5BB0" w:rsidRPr="00222917">
        <w:rPr>
          <w:lang w:val="en-US"/>
        </w:rPr>
        <w:t>The first report describes the prohibition of the death sentence against persons aged less than 18 and stay of execution of the death penalty against pregnant wo</w:t>
      </w:r>
      <w:r w:rsidR="005041F8" w:rsidRPr="00222917">
        <w:rPr>
          <w:lang w:val="en-US"/>
        </w:rPr>
        <w:t>men (CCPR/C/68/Add.1, para. </w:t>
      </w:r>
      <w:r w:rsidR="002D5BB0" w:rsidRPr="00222917">
        <w:rPr>
          <w:lang w:val="en-US"/>
        </w:rPr>
        <w:t xml:space="preserve">19). </w:t>
      </w:r>
    </w:p>
    <w:p w:rsidR="002D5BB0" w:rsidRPr="00222917" w:rsidRDefault="005041F8" w:rsidP="005041F8">
      <w:pPr>
        <w:pStyle w:val="H23G"/>
        <w:rPr>
          <w:lang w:val="en-US"/>
        </w:rPr>
      </w:pPr>
      <w:bookmarkStart w:id="29" w:name="_Toc307504043"/>
      <w:bookmarkStart w:id="30" w:name="_Toc336435815"/>
      <w:r w:rsidRPr="00222917">
        <w:rPr>
          <w:lang w:val="en-US"/>
        </w:rPr>
        <w:tab/>
      </w:r>
      <w:r w:rsidRPr="00222917">
        <w:rPr>
          <w:lang w:val="en-US"/>
        </w:rPr>
        <w:tab/>
      </w:r>
      <w:r w:rsidR="002D5BB0" w:rsidRPr="00222917">
        <w:rPr>
          <w:lang w:val="en-US"/>
        </w:rPr>
        <w:t>Treatment of Persons whose Death Penalty was Finalized</w:t>
      </w:r>
      <w:bookmarkEnd w:id="29"/>
      <w:bookmarkEnd w:id="30"/>
    </w:p>
    <w:p w:rsidR="002D5BB0" w:rsidRPr="00222917" w:rsidRDefault="00547908" w:rsidP="00547908">
      <w:pPr>
        <w:pStyle w:val="SingleTxtG"/>
        <w:rPr>
          <w:lang w:val="en-US"/>
        </w:rPr>
      </w:pPr>
      <w:r w:rsidRPr="00222917">
        <w:rPr>
          <w:lang w:val="en-US"/>
        </w:rPr>
        <w:t>115.</w:t>
      </w:r>
      <w:r w:rsidRPr="00222917">
        <w:rPr>
          <w:lang w:val="en-US"/>
        </w:rPr>
        <w:tab/>
      </w:r>
      <w:r w:rsidR="002D5BB0" w:rsidRPr="00222917">
        <w:rPr>
          <w:lang w:val="en-US"/>
        </w:rPr>
        <w:t xml:space="preserve">As explained in the first report, inmates sentenced to capital punishment are not subject to any discriminatory </w:t>
      </w:r>
      <w:r w:rsidR="002D5BB0" w:rsidRPr="00222917">
        <w:rPr>
          <w:bCs/>
          <w:lang w:val="en-US"/>
        </w:rPr>
        <w:t>treatment</w:t>
      </w:r>
      <w:r w:rsidR="002D5BB0" w:rsidRPr="00222917">
        <w:rPr>
          <w:lang w:val="en-US"/>
        </w:rPr>
        <w:t xml:space="preserve"> in comparison with other pri</w:t>
      </w:r>
      <w:r w:rsidR="005041F8" w:rsidRPr="00222917">
        <w:rPr>
          <w:lang w:val="en-US"/>
        </w:rPr>
        <w:t>soners (CCPR/C/68/Add.1, paras. </w:t>
      </w:r>
      <w:r w:rsidR="002D5BB0" w:rsidRPr="00222917">
        <w:rPr>
          <w:lang w:val="en-US"/>
        </w:rPr>
        <w:t>120</w:t>
      </w:r>
      <w:r w:rsidR="005041F8" w:rsidRPr="00222917">
        <w:rPr>
          <w:lang w:val="en-US"/>
        </w:rPr>
        <w:t xml:space="preserve"> and </w:t>
      </w:r>
      <w:r w:rsidR="002D5BB0" w:rsidRPr="00222917">
        <w:rPr>
          <w:lang w:val="en-US"/>
        </w:rPr>
        <w:t xml:space="preserve">121). </w:t>
      </w:r>
    </w:p>
    <w:p w:rsidR="002D5BB0" w:rsidRPr="00222917" w:rsidRDefault="00547908" w:rsidP="00547908">
      <w:pPr>
        <w:pStyle w:val="SingleTxtG"/>
        <w:rPr>
          <w:lang w:val="en-US"/>
        </w:rPr>
      </w:pPr>
      <w:r w:rsidRPr="00222917">
        <w:rPr>
          <w:lang w:val="en-US"/>
        </w:rPr>
        <w:t>116.</w:t>
      </w:r>
      <w:r w:rsidRPr="00222917">
        <w:rPr>
          <w:lang w:val="en-US"/>
        </w:rPr>
        <w:tab/>
      </w:r>
      <w:r w:rsidR="002D5BB0" w:rsidRPr="00222917">
        <w:rPr>
          <w:lang w:val="en-US"/>
        </w:rPr>
        <w:t xml:space="preserve">On 11 December 2008, the </w:t>
      </w:r>
      <w:r w:rsidR="002D5BB0" w:rsidRPr="00C70182">
        <w:rPr>
          <w:iCs/>
          <w:lang w:val="en-US"/>
        </w:rPr>
        <w:t>Administration and Treatment of Correctional Institution Inmates Act</w:t>
      </w:r>
      <w:r w:rsidR="002D5BB0" w:rsidRPr="00222917">
        <w:rPr>
          <w:lang w:val="en-US"/>
        </w:rPr>
        <w:t xml:space="preserve"> was revised to revamp provisions on imprisonment of persons whose death penalty sentence was finalized, ensuring that they would be imprisoned in facilities most appropriate for their treatment. The Act also clarified that they may be placed in a prison cell with other inmates when necessary for education and</w:t>
      </w:r>
      <w:r w:rsidR="00C974F8" w:rsidRPr="00222917">
        <w:rPr>
          <w:lang w:val="en-US"/>
        </w:rPr>
        <w:t xml:space="preserve"> edification programs (</w:t>
      </w:r>
      <w:r w:rsidR="00681EC0" w:rsidRPr="00222917">
        <w:rPr>
          <w:lang w:val="en-US"/>
        </w:rPr>
        <w:t>a</w:t>
      </w:r>
      <w:r w:rsidR="00C974F8" w:rsidRPr="00222917">
        <w:rPr>
          <w:lang w:val="en-US"/>
        </w:rPr>
        <w:t>rticles </w:t>
      </w:r>
      <w:r w:rsidR="002D5BB0" w:rsidRPr="00222917">
        <w:rPr>
          <w:lang w:val="en-US"/>
        </w:rPr>
        <w:t xml:space="preserve">11 and 89). In addition, persons whose death penalty sentence was finalized may exercise the right to defense as granted to </w:t>
      </w:r>
      <w:r w:rsidR="00C70182">
        <w:rPr>
          <w:lang w:val="en-US"/>
        </w:rPr>
        <w:t>non-</w:t>
      </w:r>
      <w:r w:rsidR="002D5BB0" w:rsidRPr="00222917">
        <w:rPr>
          <w:lang w:val="en-US"/>
        </w:rPr>
        <w:t>convicted prisoners if he is under investigation or trial for another criminal case, including consultation with defense counsel and</w:t>
      </w:r>
      <w:r w:rsidR="00C974F8" w:rsidRPr="00222917">
        <w:rPr>
          <w:lang w:val="en-US"/>
        </w:rPr>
        <w:t xml:space="preserve"> postal correspondence (</w:t>
      </w:r>
      <w:r w:rsidR="00681EC0" w:rsidRPr="00222917">
        <w:rPr>
          <w:lang w:val="en-US"/>
        </w:rPr>
        <w:t>a</w:t>
      </w:r>
      <w:r w:rsidR="00C974F8" w:rsidRPr="00222917">
        <w:rPr>
          <w:lang w:val="en-US"/>
        </w:rPr>
        <w:t>rticle </w:t>
      </w:r>
      <w:r w:rsidR="002D5BB0" w:rsidRPr="00222917">
        <w:rPr>
          <w:lang w:val="en-US"/>
        </w:rPr>
        <w:t>88). Considering that execution of a death penalty is deferred for a long period of time, the Act explicitly stipulates that education and edification programs may be provided for persons whose death sentence was finalized and that labor may be allowed at their request (</w:t>
      </w:r>
      <w:r w:rsidR="00681EC0" w:rsidRPr="00222917">
        <w:rPr>
          <w:lang w:val="en-US"/>
        </w:rPr>
        <w:t>a</w:t>
      </w:r>
      <w:r w:rsidR="002D5BB0" w:rsidRPr="00222917">
        <w:rPr>
          <w:lang w:val="en-US"/>
        </w:rPr>
        <w:t>rticle</w:t>
      </w:r>
      <w:r w:rsidR="00C974F8" w:rsidRPr="00222917">
        <w:rPr>
          <w:lang w:val="en-US"/>
        </w:rPr>
        <w:t> </w:t>
      </w:r>
      <w:r w:rsidR="002D5BB0" w:rsidRPr="00222917">
        <w:rPr>
          <w:lang w:val="en-US"/>
        </w:rPr>
        <w:t xml:space="preserve">90). The Act also guarantees four visits a month to persons on death row, treating them in a manner comparable to </w:t>
      </w:r>
      <w:r w:rsidR="00C70182">
        <w:rPr>
          <w:lang w:val="en-US"/>
        </w:rPr>
        <w:t>non-</w:t>
      </w:r>
      <w:r w:rsidR="002D5BB0" w:rsidRPr="00222917">
        <w:rPr>
          <w:lang w:val="en-US"/>
        </w:rPr>
        <w:t xml:space="preserve">convicted prisoners including permission of treatment at outside hospitals. </w:t>
      </w:r>
    </w:p>
    <w:p w:rsidR="002D5BB0" w:rsidRPr="00222917" w:rsidRDefault="00547908" w:rsidP="00547908">
      <w:pPr>
        <w:pStyle w:val="SingleTxtG"/>
        <w:rPr>
          <w:lang w:val="en-US"/>
        </w:rPr>
      </w:pPr>
      <w:r w:rsidRPr="00222917">
        <w:rPr>
          <w:lang w:val="en-US"/>
        </w:rPr>
        <w:t>117.</w:t>
      </w:r>
      <w:r w:rsidRPr="00222917">
        <w:rPr>
          <w:lang w:val="en-US"/>
        </w:rPr>
        <w:tab/>
      </w:r>
      <w:r w:rsidR="00D027B3" w:rsidRPr="00222917">
        <w:rPr>
          <w:lang w:val="en-US"/>
        </w:rPr>
        <w:t>A “</w:t>
      </w:r>
      <w:r w:rsidR="002D5BB0" w:rsidRPr="00222917">
        <w:rPr>
          <w:lang w:val="en-US"/>
        </w:rPr>
        <w:t>task forc</w:t>
      </w:r>
      <w:r w:rsidR="00D027B3" w:rsidRPr="00222917">
        <w:rPr>
          <w:lang w:val="en-US"/>
        </w:rPr>
        <w:t>e team for inmates on death row”</w:t>
      </w:r>
      <w:r w:rsidR="002D5BB0" w:rsidRPr="00222917">
        <w:rPr>
          <w:lang w:val="en-US"/>
        </w:rPr>
        <w:t xml:space="preserve"> including members of the clergy and clinical psychologists was </w:t>
      </w:r>
      <w:r w:rsidR="002D5BB0" w:rsidRPr="00222917">
        <w:rPr>
          <w:bCs/>
          <w:lang w:val="en-US"/>
        </w:rPr>
        <w:t>organized</w:t>
      </w:r>
      <w:r w:rsidR="002D5BB0" w:rsidRPr="00222917">
        <w:rPr>
          <w:lang w:val="en-US"/>
        </w:rPr>
        <w:t xml:space="preserve"> to improve counseling for mental edification. All</w:t>
      </w:r>
      <w:r w:rsidR="00D027B3" w:rsidRPr="00222917">
        <w:rPr>
          <w:lang w:val="en-US"/>
        </w:rPr>
        <w:t> </w:t>
      </w:r>
      <w:r w:rsidR="002D5BB0" w:rsidRPr="00222917">
        <w:rPr>
          <w:lang w:val="en-US"/>
        </w:rPr>
        <w:t xml:space="preserve">prisoners on death row have the right to access religious services of the religion of their choice. In addition, the scope of participation in general edification events was broadened, allowing the day of family gathering. Those who have been in correctional facilities more than three years without breaching regulations more than three times may work and attend training programs if they wish. In other words, the Government strives to improve the treatment of prisoners on death row through practical edification and work-related measures rather than simply detaining them in the waiting for the execution of the sentence. </w:t>
      </w:r>
    </w:p>
    <w:p w:rsidR="002D5BB0" w:rsidRPr="00641982" w:rsidRDefault="005041F8" w:rsidP="00B46E82">
      <w:pPr>
        <w:pStyle w:val="HChG"/>
        <w:rPr>
          <w:sz w:val="24"/>
          <w:szCs w:val="24"/>
          <w:lang w:val="en-US"/>
        </w:rPr>
      </w:pPr>
      <w:bookmarkStart w:id="31" w:name="_Toc307504044"/>
      <w:bookmarkStart w:id="32" w:name="_Toc336435816"/>
      <w:r w:rsidRPr="00222917">
        <w:rPr>
          <w:lang w:val="en-US"/>
        </w:rPr>
        <w:tab/>
      </w:r>
      <w:r w:rsidRPr="00222917">
        <w:rPr>
          <w:lang w:val="en-US"/>
        </w:rPr>
        <w:tab/>
      </w:r>
      <w:r w:rsidR="002D5BB0" w:rsidRPr="00641982">
        <w:rPr>
          <w:sz w:val="24"/>
          <w:szCs w:val="24"/>
          <w:lang w:val="en-US"/>
        </w:rPr>
        <w:t>Article 7</w:t>
      </w:r>
      <w:bookmarkEnd w:id="31"/>
      <w:bookmarkEnd w:id="32"/>
    </w:p>
    <w:p w:rsidR="002D5BB0" w:rsidRPr="00222917" w:rsidRDefault="00547908" w:rsidP="00547908">
      <w:pPr>
        <w:pStyle w:val="SingleTxtG"/>
        <w:rPr>
          <w:lang w:val="en-US"/>
        </w:rPr>
      </w:pPr>
      <w:r w:rsidRPr="00222917">
        <w:rPr>
          <w:lang w:val="en-US"/>
        </w:rPr>
        <w:t>118.</w:t>
      </w:r>
      <w:r w:rsidRPr="00222917">
        <w:rPr>
          <w:lang w:val="en-US"/>
        </w:rPr>
        <w:tab/>
      </w:r>
      <w:r w:rsidR="002D5BB0" w:rsidRPr="00222917">
        <w:rPr>
          <w:lang w:val="en-US"/>
        </w:rPr>
        <w:t xml:space="preserve">As stated in the initial report, there exists sufficient domestic legislation on torture or inhumane treatment such as the </w:t>
      </w:r>
      <w:r w:rsidR="002D5BB0" w:rsidRPr="00C70182">
        <w:rPr>
          <w:iCs/>
          <w:lang w:val="en-US"/>
        </w:rPr>
        <w:t>Constitution, Criminal Act</w:t>
      </w:r>
      <w:r w:rsidR="002D5BB0" w:rsidRPr="00222917">
        <w:rPr>
          <w:lang w:val="en-US"/>
        </w:rPr>
        <w:t xml:space="preserve">, and the </w:t>
      </w:r>
      <w:r w:rsidR="002D5BB0" w:rsidRPr="00C70182">
        <w:rPr>
          <w:iCs/>
          <w:lang w:val="en-US"/>
        </w:rPr>
        <w:t xml:space="preserve">Criminal Procedure Act </w:t>
      </w:r>
      <w:r w:rsidR="002D5BB0" w:rsidRPr="00222917">
        <w:rPr>
          <w:lang w:val="en-US"/>
        </w:rPr>
        <w:t>(CCPR/C/68/Add.1, paras.</w:t>
      </w:r>
      <w:r w:rsidR="00EB1ABD" w:rsidRPr="00222917">
        <w:rPr>
          <w:lang w:val="en-US"/>
        </w:rPr>
        <w:t> </w:t>
      </w:r>
      <w:r w:rsidR="002D5BB0" w:rsidRPr="00222917">
        <w:rPr>
          <w:lang w:val="en-US"/>
        </w:rPr>
        <w:t>136-139). As explained in the second report, prosecutors dedicated to human rights protection are posted at each public prosecutor’s office, and the heads of investigation departments are designated as human rights protection officers at each police station. Thus, the investigation authorities have stepped up their independent endeavor to prevent and detect torture or inhumane treatment (CCPR/C/114/Add.1, para.</w:t>
      </w:r>
      <w:r w:rsidR="00FA321A" w:rsidRPr="00222917">
        <w:rPr>
          <w:lang w:val="en-US"/>
        </w:rPr>
        <w:t> </w:t>
      </w:r>
      <w:r w:rsidR="002D5BB0" w:rsidRPr="00222917">
        <w:rPr>
          <w:lang w:val="en-US"/>
        </w:rPr>
        <w:t xml:space="preserve">96). </w:t>
      </w:r>
    </w:p>
    <w:p w:rsidR="002D5BB0" w:rsidRPr="00222917" w:rsidRDefault="005041F8" w:rsidP="005041F8">
      <w:pPr>
        <w:pStyle w:val="H23G"/>
        <w:rPr>
          <w:lang w:val="en-US"/>
        </w:rPr>
      </w:pPr>
      <w:bookmarkStart w:id="33" w:name="_Toc307504045"/>
      <w:bookmarkStart w:id="34" w:name="_Toc336435817"/>
      <w:r w:rsidRPr="00222917">
        <w:rPr>
          <w:lang w:val="en-US"/>
        </w:rPr>
        <w:tab/>
      </w:r>
      <w:r w:rsidRPr="00222917">
        <w:rPr>
          <w:lang w:val="en-US"/>
        </w:rPr>
        <w:tab/>
      </w:r>
      <w:r w:rsidR="002D5BB0" w:rsidRPr="00222917">
        <w:rPr>
          <w:lang w:val="en-US"/>
        </w:rPr>
        <w:t xml:space="preserve">Improvement of Use of Restraining Devices and the Disciplinary Punishment </w:t>
      </w:r>
      <w:r w:rsidR="00D027B3" w:rsidRPr="00222917">
        <w:rPr>
          <w:lang w:val="en-US"/>
        </w:rPr>
        <w:br/>
      </w:r>
      <w:r w:rsidR="002D5BB0" w:rsidRPr="00222917">
        <w:rPr>
          <w:lang w:val="en-US"/>
        </w:rPr>
        <w:t>against Prisoners</w:t>
      </w:r>
      <w:bookmarkEnd w:id="33"/>
      <w:bookmarkEnd w:id="34"/>
    </w:p>
    <w:p w:rsidR="002D5BB0" w:rsidRPr="00222917" w:rsidRDefault="00547908" w:rsidP="00547908">
      <w:pPr>
        <w:pStyle w:val="SingleTxtG"/>
        <w:rPr>
          <w:lang w:val="en-US"/>
        </w:rPr>
      </w:pPr>
      <w:r w:rsidRPr="00222917">
        <w:rPr>
          <w:lang w:val="en-US"/>
        </w:rPr>
        <w:t>119.</w:t>
      </w:r>
      <w:r w:rsidRPr="00222917">
        <w:rPr>
          <w:lang w:val="en-US"/>
        </w:rPr>
        <w:tab/>
      </w:r>
      <w:r w:rsidR="002D5BB0" w:rsidRPr="00222917">
        <w:rPr>
          <w:lang w:val="en-US"/>
        </w:rPr>
        <w:t xml:space="preserve">The Committee recommended that </w:t>
      </w:r>
      <w:r w:rsidR="002D5BB0" w:rsidRPr="00222917">
        <w:rPr>
          <w:bCs/>
          <w:lang w:val="en-US"/>
        </w:rPr>
        <w:t xml:space="preserve">perpetrators be punished in a manner proportionate to the seriousness of the offences committed by them, and effective remedies be made including compensation to victims. It also recommended the Republic of Korea to stop </w:t>
      </w:r>
      <w:r w:rsidR="002D5BB0" w:rsidRPr="00222917">
        <w:rPr>
          <w:lang w:val="en-US"/>
        </w:rPr>
        <w:t xml:space="preserve">practice of certain forms of disciplinary punishment, in particular, the use of restraining devices </w:t>
      </w:r>
      <w:r w:rsidR="002D5BB0" w:rsidRPr="00222917">
        <w:rPr>
          <w:bCs/>
          <w:lang w:val="en-US"/>
        </w:rPr>
        <w:t>including</w:t>
      </w:r>
      <w:r w:rsidR="002D5BB0" w:rsidRPr="00222917">
        <w:rPr>
          <w:lang w:val="en-US"/>
        </w:rPr>
        <w:t xml:space="preserve"> manacles, chains, and face masks, and the continuation of disciplinary punishment through the “stacking” of 30 day periods of isolation without any apparent time limit and to take appropriate measures to </w:t>
      </w:r>
      <w:r w:rsidR="002D5BB0" w:rsidRPr="00222917">
        <w:rPr>
          <w:bCs/>
          <w:lang w:val="en-US"/>
        </w:rPr>
        <w:t>prevent all forms of ill-treatment by law enforcement officials in all places of detention including mental health hospitals</w:t>
      </w:r>
      <w:r w:rsidR="00EB1ABD" w:rsidRPr="00222917">
        <w:rPr>
          <w:lang w:val="en-US"/>
        </w:rPr>
        <w:t xml:space="preserve"> (CCPR/C/KOR/CO/3, para. </w:t>
      </w:r>
      <w:r w:rsidR="002D5BB0" w:rsidRPr="00222917">
        <w:rPr>
          <w:lang w:val="en-US"/>
        </w:rPr>
        <w:t xml:space="preserve">13). </w:t>
      </w:r>
    </w:p>
    <w:p w:rsidR="002D5BB0" w:rsidRPr="00222917" w:rsidRDefault="00547908" w:rsidP="00547908">
      <w:pPr>
        <w:pStyle w:val="SingleTxtG"/>
        <w:rPr>
          <w:lang w:val="en-US"/>
        </w:rPr>
      </w:pPr>
      <w:r w:rsidRPr="00222917">
        <w:rPr>
          <w:lang w:val="en-US"/>
        </w:rPr>
        <w:t>120.</w:t>
      </w:r>
      <w:r w:rsidRPr="00222917">
        <w:rPr>
          <w:lang w:val="en-US"/>
        </w:rPr>
        <w:tab/>
      </w:r>
      <w:r w:rsidR="002D5BB0" w:rsidRPr="00222917">
        <w:rPr>
          <w:lang w:val="en-US"/>
        </w:rPr>
        <w:t xml:space="preserve">Use of restraining devices is permitted to the minimum extent necessary to attain a certain purpose only when </w:t>
      </w:r>
      <w:r w:rsidR="002D5BB0" w:rsidRPr="00222917">
        <w:rPr>
          <w:bCs/>
          <w:lang w:val="en-US"/>
        </w:rPr>
        <w:t>there</w:t>
      </w:r>
      <w:r w:rsidR="002D5BB0" w:rsidRPr="00222917">
        <w:rPr>
          <w:lang w:val="en-US"/>
        </w:rPr>
        <w:t xml:space="preserve"> exists a justifiable cause. The third report explained the causes, requirements, scope, and deferment of disciplinary punishment and s</w:t>
      </w:r>
      <w:r w:rsidR="00EB1ABD" w:rsidRPr="00222917">
        <w:rPr>
          <w:lang w:val="en-US"/>
        </w:rPr>
        <w:t>o on (CCPR/C/KOR/2005/3, paras. 170-</w:t>
      </w:r>
      <w:r w:rsidR="002D5BB0" w:rsidRPr="00222917">
        <w:rPr>
          <w:lang w:val="en-US"/>
        </w:rPr>
        <w:t xml:space="preserve">177). </w:t>
      </w:r>
    </w:p>
    <w:p w:rsidR="002D5BB0" w:rsidRPr="00222917" w:rsidRDefault="00547908" w:rsidP="00547908">
      <w:pPr>
        <w:pStyle w:val="SingleTxtG"/>
        <w:rPr>
          <w:lang w:val="en-US"/>
        </w:rPr>
      </w:pPr>
      <w:r w:rsidRPr="00222917">
        <w:rPr>
          <w:lang w:val="en-US"/>
        </w:rPr>
        <w:t>121.</w:t>
      </w:r>
      <w:r w:rsidRPr="00222917">
        <w:rPr>
          <w:lang w:val="en-US"/>
        </w:rPr>
        <w:tab/>
      </w:r>
      <w:r w:rsidR="002D5BB0" w:rsidRPr="00222917">
        <w:rPr>
          <w:lang w:val="en-US"/>
        </w:rPr>
        <w:t xml:space="preserve">In December 2007, the Government wholly amended the </w:t>
      </w:r>
      <w:r w:rsidR="002D5BB0" w:rsidRPr="00C70182">
        <w:rPr>
          <w:iCs/>
          <w:lang w:val="en-US"/>
        </w:rPr>
        <w:t>Criminal Administration Act</w:t>
      </w:r>
      <w:r w:rsidR="002D5BB0" w:rsidRPr="00222917">
        <w:rPr>
          <w:lang w:val="en-US"/>
        </w:rPr>
        <w:t xml:space="preserve"> to the </w:t>
      </w:r>
      <w:r w:rsidR="002D5BB0" w:rsidRPr="00C70182">
        <w:rPr>
          <w:iCs/>
          <w:lang w:val="en-US"/>
        </w:rPr>
        <w:t>Administration and Treatment of Correctional Institution Inmates Act</w:t>
      </w:r>
      <w:r w:rsidR="002D5BB0" w:rsidRPr="00222917">
        <w:rPr>
          <w:lang w:val="en-US"/>
        </w:rPr>
        <w:t xml:space="preserve"> and consolidated legal protection regarding prisoners’ treatment and rights. According to the Committee’s recommendation, chains were excluded from the scope of allowable protective devices as they are inhumane. Instead, modern protective devices including protective clothing, beds, and guards that can be used on body parts of inmates as necessary while minimizing physical pressure on them were added to the scope of protective de</w:t>
      </w:r>
      <w:r w:rsidR="00C974F8" w:rsidRPr="00222917">
        <w:rPr>
          <w:lang w:val="en-US"/>
        </w:rPr>
        <w:t>vices that may be used (</w:t>
      </w:r>
      <w:r w:rsidR="00681EC0" w:rsidRPr="00222917">
        <w:rPr>
          <w:lang w:val="en-US"/>
        </w:rPr>
        <w:t>a</w:t>
      </w:r>
      <w:r w:rsidR="00C974F8" w:rsidRPr="00222917">
        <w:rPr>
          <w:lang w:val="en-US"/>
        </w:rPr>
        <w:t>rticle </w:t>
      </w:r>
      <w:r w:rsidR="002D5BB0" w:rsidRPr="00222917">
        <w:rPr>
          <w:lang w:val="en-US"/>
        </w:rPr>
        <w:t>98). There were only five types of disciplinary punishment against inmates that primarily entailed solitary confinement, and nine new types of punishment were created including labor service, suspension of participation in events, and restrictions on telephone communication, television watching, and use of goods purchased at their own expense. This enables imposition of more various disciplinary punishments in accordance with the nat</w:t>
      </w:r>
      <w:r w:rsidR="00C974F8" w:rsidRPr="00222917">
        <w:rPr>
          <w:lang w:val="en-US"/>
        </w:rPr>
        <w:t>ure of rule violations (</w:t>
      </w:r>
      <w:r w:rsidR="00681EC0" w:rsidRPr="00222917">
        <w:rPr>
          <w:lang w:val="en-US"/>
        </w:rPr>
        <w:t>a</w:t>
      </w:r>
      <w:r w:rsidR="00C974F8" w:rsidRPr="00222917">
        <w:rPr>
          <w:lang w:val="en-US"/>
        </w:rPr>
        <w:t>rticle </w:t>
      </w:r>
      <w:r w:rsidR="002D5BB0" w:rsidRPr="00222917">
        <w:rPr>
          <w:lang w:val="en-US"/>
        </w:rPr>
        <w:t xml:space="preserve">108). </w:t>
      </w:r>
    </w:p>
    <w:p w:rsidR="002D5BB0" w:rsidRPr="00222917" w:rsidRDefault="00547908" w:rsidP="00547908">
      <w:pPr>
        <w:pStyle w:val="SingleTxtG"/>
        <w:rPr>
          <w:lang w:val="en-US"/>
        </w:rPr>
      </w:pPr>
      <w:r w:rsidRPr="00222917">
        <w:rPr>
          <w:lang w:val="en-US"/>
        </w:rPr>
        <w:t>122.</w:t>
      </w:r>
      <w:r w:rsidRPr="00222917">
        <w:rPr>
          <w:lang w:val="en-US"/>
        </w:rPr>
        <w:tab/>
      </w:r>
      <w:r w:rsidR="002D5BB0" w:rsidRPr="00222917">
        <w:rPr>
          <w:lang w:val="en-US"/>
        </w:rPr>
        <w:t>The Act explicitly stipulates that disciplinary punishment may not be imposed repeatedly regarding the same act, explicitly prohibiting consecutive imposition of a period o</w:t>
      </w:r>
      <w:r w:rsidR="00C974F8" w:rsidRPr="00222917">
        <w:rPr>
          <w:lang w:val="en-US"/>
        </w:rPr>
        <w:t>f solitary confinement (</w:t>
      </w:r>
      <w:r w:rsidR="00681EC0" w:rsidRPr="00222917">
        <w:rPr>
          <w:lang w:val="en-US"/>
        </w:rPr>
        <w:t>a</w:t>
      </w:r>
      <w:r w:rsidR="00C974F8" w:rsidRPr="00222917">
        <w:rPr>
          <w:lang w:val="en-US"/>
        </w:rPr>
        <w:t>rticle </w:t>
      </w:r>
      <w:r w:rsidR="002D5BB0" w:rsidRPr="00222917">
        <w:rPr>
          <w:lang w:val="en-US"/>
        </w:rPr>
        <w:t>109</w:t>
      </w:r>
      <w:r w:rsidR="00681EC0" w:rsidRPr="00222917">
        <w:rPr>
          <w:lang w:val="en-US"/>
        </w:rPr>
        <w:t xml:space="preserve"> </w:t>
      </w:r>
      <w:r w:rsidR="002D5BB0" w:rsidRPr="00222917">
        <w:rPr>
          <w:lang w:val="en-US"/>
        </w:rPr>
        <w:t xml:space="preserve">(3)). Disciplinary punishment is determined by the disciplinary punishment </w:t>
      </w:r>
      <w:r w:rsidR="002D5BB0" w:rsidRPr="00222917">
        <w:rPr>
          <w:bCs/>
          <w:lang w:val="en-US"/>
        </w:rPr>
        <w:t>committee</w:t>
      </w:r>
      <w:r w:rsidR="002D5BB0" w:rsidRPr="00222917">
        <w:rPr>
          <w:lang w:val="en-US"/>
        </w:rPr>
        <w:t xml:space="preserve"> in a correction facility. Such committee is comprised of five to seven members including three outside members. The Act guarantees the right to appeal and the right to present an opinion in person for those subject to disciplinary punishment as a means to ensure fairness in d</w:t>
      </w:r>
      <w:r w:rsidR="00C974F8" w:rsidRPr="00222917">
        <w:rPr>
          <w:lang w:val="en-US"/>
        </w:rPr>
        <w:t>isciplinary punishment (</w:t>
      </w:r>
      <w:r w:rsidR="00681EC0" w:rsidRPr="00222917">
        <w:rPr>
          <w:lang w:val="en-US"/>
        </w:rPr>
        <w:t>a</w:t>
      </w:r>
      <w:r w:rsidR="00C974F8" w:rsidRPr="00222917">
        <w:rPr>
          <w:lang w:val="en-US"/>
        </w:rPr>
        <w:t>rticle </w:t>
      </w:r>
      <w:r w:rsidR="002D5BB0" w:rsidRPr="00222917">
        <w:rPr>
          <w:lang w:val="en-US"/>
        </w:rPr>
        <w:t xml:space="preserve">111). </w:t>
      </w:r>
    </w:p>
    <w:p w:rsidR="002D5BB0" w:rsidRPr="00222917" w:rsidRDefault="00EB1ABD" w:rsidP="00EB1ABD">
      <w:pPr>
        <w:pStyle w:val="H23G"/>
        <w:rPr>
          <w:lang w:val="en-US"/>
        </w:rPr>
      </w:pPr>
      <w:bookmarkStart w:id="35" w:name="_Toc307504046"/>
      <w:bookmarkStart w:id="36" w:name="_Toc336435818"/>
      <w:r w:rsidRPr="00222917">
        <w:rPr>
          <w:lang w:val="en-US"/>
        </w:rPr>
        <w:tab/>
      </w:r>
      <w:r w:rsidRPr="00222917">
        <w:rPr>
          <w:lang w:val="en-US"/>
        </w:rPr>
        <w:tab/>
      </w:r>
      <w:r w:rsidR="002D5BB0" w:rsidRPr="00222917">
        <w:rPr>
          <w:lang w:val="en-US"/>
        </w:rPr>
        <w:t>Procedures of Remedy for Violation of Rights at Detention Facilities</w:t>
      </w:r>
      <w:bookmarkEnd w:id="35"/>
      <w:bookmarkEnd w:id="36"/>
    </w:p>
    <w:p w:rsidR="002D5BB0" w:rsidRPr="00222917" w:rsidRDefault="00547908" w:rsidP="00547908">
      <w:pPr>
        <w:pStyle w:val="SingleTxtG"/>
        <w:rPr>
          <w:lang w:val="en-US"/>
        </w:rPr>
      </w:pPr>
      <w:r w:rsidRPr="00222917">
        <w:rPr>
          <w:lang w:val="en-US"/>
        </w:rPr>
        <w:t>123.</w:t>
      </w:r>
      <w:r w:rsidRPr="00222917">
        <w:rPr>
          <w:lang w:val="en-US"/>
        </w:rPr>
        <w:tab/>
      </w:r>
      <w:r w:rsidR="002D5BB0" w:rsidRPr="00222917">
        <w:rPr>
          <w:lang w:val="en-US"/>
        </w:rPr>
        <w:t>As stated in the third report, inmates at detention facilities may file petitions with the Minister of Justice, institute administrative appeals and litigation in court, or submit complaints to the National Human Rights Commission of Korea, and have access to gratuitous legal counseling from the Korea Legal Aid Corpora</w:t>
      </w:r>
      <w:r w:rsidR="00EB1ABD" w:rsidRPr="00222917">
        <w:rPr>
          <w:lang w:val="en-US"/>
        </w:rPr>
        <w:t>tion (CCPR/C/KOR/2005/3, paras. 165-</w:t>
      </w:r>
      <w:r w:rsidR="002D5BB0" w:rsidRPr="00222917">
        <w:rPr>
          <w:lang w:val="en-US"/>
        </w:rPr>
        <w:t xml:space="preserve">169). For the </w:t>
      </w:r>
      <w:r w:rsidR="002D5BB0" w:rsidRPr="00222917">
        <w:rPr>
          <w:bCs/>
          <w:lang w:val="en-US"/>
        </w:rPr>
        <w:t>purpose</w:t>
      </w:r>
      <w:r w:rsidR="002D5BB0" w:rsidRPr="00222917">
        <w:rPr>
          <w:lang w:val="en-US"/>
        </w:rPr>
        <w:t xml:space="preserve"> of preventing ill-treatment by law enforcement officers in detention facilities, the Committee recommended that the Government take appropriate preventive measures including operation of </w:t>
      </w:r>
      <w:r w:rsidR="002D5BB0" w:rsidRPr="00222917">
        <w:rPr>
          <w:bCs/>
          <w:lang w:val="en-US"/>
        </w:rPr>
        <w:t xml:space="preserve">independent investigative bodies, independent inspection of facilities and videotaping of interrogations </w:t>
      </w:r>
      <w:r w:rsidR="002D5BB0" w:rsidRPr="00222917">
        <w:rPr>
          <w:lang w:val="en-US"/>
        </w:rPr>
        <w:t>(CCPR/C/KOR/CO/3, para.</w:t>
      </w:r>
      <w:r w:rsidR="00EB1ABD" w:rsidRPr="00222917">
        <w:rPr>
          <w:lang w:val="en-US"/>
        </w:rPr>
        <w:t> </w:t>
      </w:r>
      <w:r w:rsidR="002D5BB0" w:rsidRPr="00222917">
        <w:rPr>
          <w:lang w:val="en-US"/>
        </w:rPr>
        <w:t xml:space="preserve">13). As an independent national human rights institute, the National Human Rights Commission of Korea performs on-site inspection and </w:t>
      </w:r>
      <w:r w:rsidR="002D5BB0" w:rsidRPr="00C70182">
        <w:rPr>
          <w:iCs/>
          <w:lang w:val="en-US"/>
        </w:rPr>
        <w:t>ex officio</w:t>
      </w:r>
      <w:r w:rsidR="002D5BB0" w:rsidRPr="00222917">
        <w:rPr>
          <w:i/>
          <w:lang w:val="en-US"/>
        </w:rPr>
        <w:t xml:space="preserve"> </w:t>
      </w:r>
      <w:r w:rsidR="002D5BB0" w:rsidRPr="00222917">
        <w:rPr>
          <w:lang w:val="en-US"/>
        </w:rPr>
        <w:t>investigation at detention facilities, and examines individual complaints by inmates. A system of videotaping the prosecutor’s interrogation of the suspect was introduced as well.</w:t>
      </w:r>
      <w:r w:rsidR="00120D8B" w:rsidRPr="00222917">
        <w:rPr>
          <w:lang w:val="en-US"/>
        </w:rPr>
        <w:t xml:space="preserve"> </w:t>
      </w:r>
    </w:p>
    <w:p w:rsidR="002D5BB0" w:rsidRPr="00222917" w:rsidRDefault="00EB1ABD" w:rsidP="00EB1ABD">
      <w:pPr>
        <w:pStyle w:val="H4G"/>
        <w:rPr>
          <w:lang w:val="en-US"/>
        </w:rPr>
      </w:pPr>
      <w:bookmarkStart w:id="37" w:name="_Toc307504047"/>
      <w:bookmarkStart w:id="38" w:name="_Toc336435819"/>
      <w:r w:rsidRPr="00222917">
        <w:rPr>
          <w:lang w:val="en-US"/>
        </w:rPr>
        <w:tab/>
      </w:r>
      <w:r w:rsidRPr="00222917">
        <w:rPr>
          <w:lang w:val="en-US"/>
        </w:rPr>
        <w:tab/>
      </w:r>
      <w:r w:rsidR="002D5BB0" w:rsidRPr="00222917">
        <w:rPr>
          <w:lang w:val="en-US"/>
        </w:rPr>
        <w:t xml:space="preserve">Establishment and Operation of </w:t>
      </w:r>
      <w:smartTag w:uri="urn:schemas-microsoft-com:office:smarttags" w:element="place">
        <w:smartTag w:uri="urn:schemas-microsoft-com:office:smarttags" w:element="PlaceName">
          <w:r w:rsidR="002D5BB0" w:rsidRPr="00222917">
            <w:rPr>
              <w:lang w:val="en-US"/>
            </w:rPr>
            <w:t>Human</w:t>
          </w:r>
        </w:smartTag>
        <w:r w:rsidR="002D5BB0" w:rsidRPr="00222917">
          <w:rPr>
            <w:lang w:val="en-US"/>
          </w:rPr>
          <w:t xml:space="preserve"> </w:t>
        </w:r>
        <w:smartTag w:uri="urn:schemas-microsoft-com:office:smarttags" w:element="PlaceName">
          <w:r w:rsidR="002D5BB0" w:rsidRPr="00222917">
            <w:rPr>
              <w:lang w:val="en-US"/>
            </w:rPr>
            <w:t>Rights</w:t>
          </w:r>
        </w:smartTag>
        <w:r w:rsidR="002D5BB0" w:rsidRPr="00222917">
          <w:rPr>
            <w:lang w:val="en-US"/>
          </w:rPr>
          <w:t xml:space="preserve"> </w:t>
        </w:r>
        <w:smartTag w:uri="urn:schemas-microsoft-com:office:smarttags" w:element="PlaceName">
          <w:r w:rsidR="002D5BB0" w:rsidRPr="00222917">
            <w:rPr>
              <w:lang w:val="en-US"/>
            </w:rPr>
            <w:t>Violation</w:t>
          </w:r>
        </w:smartTag>
        <w:r w:rsidR="002D5BB0" w:rsidRPr="00222917">
          <w:rPr>
            <w:lang w:val="en-US"/>
          </w:rPr>
          <w:t xml:space="preserve"> </w:t>
        </w:r>
        <w:smartTag w:uri="urn:schemas-microsoft-com:office:smarttags" w:element="PlaceName">
          <w:r w:rsidR="002D5BB0" w:rsidRPr="00222917">
            <w:rPr>
              <w:lang w:val="en-US"/>
            </w:rPr>
            <w:t>Hotline</w:t>
          </w:r>
        </w:smartTag>
        <w:r w:rsidR="002D5BB0" w:rsidRPr="00222917">
          <w:rPr>
            <w:lang w:val="en-US"/>
          </w:rPr>
          <w:t xml:space="preserve"> </w:t>
        </w:r>
        <w:smartTag w:uri="urn:schemas-microsoft-com:office:smarttags" w:element="PlaceType">
          <w:r w:rsidR="002D5BB0" w:rsidRPr="00222917">
            <w:rPr>
              <w:lang w:val="en-US"/>
            </w:rPr>
            <w:t>Center</w:t>
          </w:r>
        </w:smartTag>
      </w:smartTag>
      <w:r w:rsidR="002D5BB0" w:rsidRPr="00222917">
        <w:rPr>
          <w:lang w:val="en-US"/>
        </w:rPr>
        <w:t xml:space="preserve"> </w:t>
      </w:r>
      <w:r w:rsidRPr="00222917">
        <w:rPr>
          <w:lang w:val="en-US"/>
        </w:rPr>
        <w:br/>
      </w:r>
      <w:r w:rsidR="002D5BB0" w:rsidRPr="00222917">
        <w:rPr>
          <w:lang w:val="en-US"/>
        </w:rPr>
        <w:t>by the Human Rights Bureau of the Ministry of Justice</w:t>
      </w:r>
      <w:bookmarkEnd w:id="37"/>
      <w:bookmarkEnd w:id="38"/>
      <w:r w:rsidR="00120D8B" w:rsidRPr="00222917">
        <w:rPr>
          <w:lang w:val="en-US"/>
        </w:rPr>
        <w:t xml:space="preserve"> </w:t>
      </w:r>
    </w:p>
    <w:p w:rsidR="002D5BB0" w:rsidRPr="00222917" w:rsidRDefault="00547908" w:rsidP="00547908">
      <w:pPr>
        <w:pStyle w:val="SingleTxtG"/>
        <w:rPr>
          <w:lang w:val="en-US"/>
        </w:rPr>
      </w:pPr>
      <w:r w:rsidRPr="00222917">
        <w:rPr>
          <w:lang w:val="en-US"/>
        </w:rPr>
        <w:t>124.</w:t>
      </w:r>
      <w:r w:rsidRPr="00222917">
        <w:rPr>
          <w:lang w:val="en-US"/>
        </w:rPr>
        <w:tab/>
      </w:r>
      <w:r w:rsidR="002D5BB0" w:rsidRPr="00222917">
        <w:rPr>
          <w:lang w:val="en-US"/>
        </w:rPr>
        <w:t xml:space="preserve">In May 2006, the Ministry of Justice set up the Human Rights Bureau and have since operated the Human Rights Violation Hotline Center for the purpose of investigation and prompt relief of human rights violations related to legal administration including investigation, correction, protection, and immigration control. The Center handles and processes human rights </w:t>
      </w:r>
      <w:r w:rsidR="002D5BB0" w:rsidRPr="00222917">
        <w:rPr>
          <w:bCs/>
          <w:lang w:val="en-US"/>
        </w:rPr>
        <w:t>violation</w:t>
      </w:r>
      <w:r w:rsidR="002D5BB0" w:rsidRPr="00222917">
        <w:rPr>
          <w:lang w:val="en-US"/>
        </w:rPr>
        <w:t xml:space="preserve"> cases in the process of legal administration ranging from investigation, correction, to immigration, pursuant to the rules on investigation and handling of human rights violations. Major cases are directly investigated by the Center, and investigation of other cases is commissioned or transferred to each relevant office, bureau, and headquarters of the Ministry. With the help of the </w:t>
      </w:r>
      <w:smartTag w:uri="urn:schemas-microsoft-com:office:smarttags" w:element="place">
        <w:smartTag w:uri="urn:schemas-microsoft-com:office:smarttags" w:element="PlaceName">
          <w:r w:rsidR="002D5BB0" w:rsidRPr="00222917">
            <w:rPr>
              <w:lang w:val="en-US"/>
            </w:rPr>
            <w:t>Korea</w:t>
          </w:r>
        </w:smartTag>
        <w:r w:rsidR="002D5BB0" w:rsidRPr="00222917">
          <w:rPr>
            <w:lang w:val="en-US"/>
          </w:rPr>
          <w:t xml:space="preserve"> </w:t>
        </w:r>
        <w:smartTag w:uri="urn:schemas-microsoft-com:office:smarttags" w:element="PlaceName">
          <w:r w:rsidR="002D5BB0" w:rsidRPr="00222917">
            <w:rPr>
              <w:lang w:val="en-US"/>
            </w:rPr>
            <w:t>Migrants</w:t>
          </w:r>
        </w:smartTag>
        <w:r w:rsidR="002D5BB0" w:rsidRPr="00222917">
          <w:rPr>
            <w:lang w:val="en-US"/>
          </w:rPr>
          <w:t xml:space="preserve"> </w:t>
        </w:r>
        <w:smartTag w:uri="urn:schemas-microsoft-com:office:smarttags" w:element="PlaceType">
          <w:r w:rsidR="002D5BB0" w:rsidRPr="00222917">
            <w:rPr>
              <w:lang w:val="en-US"/>
            </w:rPr>
            <w:t>Center</w:t>
          </w:r>
        </w:smartTag>
      </w:smartTag>
      <w:r w:rsidR="002D5BB0" w:rsidRPr="00222917">
        <w:rPr>
          <w:lang w:val="en-US"/>
        </w:rPr>
        <w:t>, it provides telephone s</w:t>
      </w:r>
      <w:r w:rsidR="00B51F2A" w:rsidRPr="00222917">
        <w:rPr>
          <w:lang w:val="en-US"/>
        </w:rPr>
        <w:t>ervices in 12 </w:t>
      </w:r>
      <w:r w:rsidR="002D5BB0" w:rsidRPr="00222917">
        <w:rPr>
          <w:lang w:val="en-US"/>
        </w:rPr>
        <w:t xml:space="preserve">languages including English, Chinese, Thai, and Vietnamese to enable reporting in a foreign language. Information on how to use the service is available on the web pages of the Ministry of Justice (www.moj.go.kr) and Human Rights Bureau (www.hr.go.kr). Petitions are received by telephone, post, and Internet. </w:t>
      </w:r>
    </w:p>
    <w:p w:rsidR="002D5BB0" w:rsidRPr="00222917" w:rsidRDefault="00547908" w:rsidP="00547908">
      <w:pPr>
        <w:pStyle w:val="SingleTxtG"/>
        <w:rPr>
          <w:lang w:val="en-US"/>
        </w:rPr>
      </w:pPr>
      <w:r w:rsidRPr="00222917">
        <w:rPr>
          <w:lang w:val="en-US"/>
        </w:rPr>
        <w:t>125.</w:t>
      </w:r>
      <w:r w:rsidRPr="00222917">
        <w:rPr>
          <w:lang w:val="en-US"/>
        </w:rPr>
        <w:tab/>
      </w:r>
      <w:r w:rsidR="002D5BB0" w:rsidRPr="00222917">
        <w:rPr>
          <w:lang w:val="en-US"/>
        </w:rPr>
        <w:t xml:space="preserve">From the installation of the Human Rights Bureau in May 2006 to December 2010, a total of 4,485 reports were made to the </w:t>
      </w:r>
      <w:smartTag w:uri="urn:schemas-microsoft-com:office:smarttags" w:element="place">
        <w:smartTag w:uri="urn:schemas-microsoft-com:office:smarttags" w:element="PlaceName">
          <w:r w:rsidR="002D5BB0" w:rsidRPr="00222917">
            <w:rPr>
              <w:lang w:val="en-US"/>
            </w:rPr>
            <w:t>Human</w:t>
          </w:r>
        </w:smartTag>
        <w:r w:rsidR="002D5BB0" w:rsidRPr="00222917">
          <w:rPr>
            <w:lang w:val="en-US"/>
          </w:rPr>
          <w:t xml:space="preserve"> </w:t>
        </w:r>
        <w:smartTag w:uri="urn:schemas-microsoft-com:office:smarttags" w:element="PlaceName">
          <w:r w:rsidR="002D5BB0" w:rsidRPr="00222917">
            <w:rPr>
              <w:lang w:val="en-US"/>
            </w:rPr>
            <w:t>Rights</w:t>
          </w:r>
        </w:smartTag>
        <w:r w:rsidR="002D5BB0" w:rsidRPr="00222917">
          <w:rPr>
            <w:lang w:val="en-US"/>
          </w:rPr>
          <w:t xml:space="preserve"> </w:t>
        </w:r>
        <w:smartTag w:uri="urn:schemas-microsoft-com:office:smarttags" w:element="PlaceName">
          <w:r w:rsidR="002D5BB0" w:rsidRPr="00222917">
            <w:rPr>
              <w:lang w:val="en-US"/>
            </w:rPr>
            <w:t>Violation</w:t>
          </w:r>
        </w:smartTag>
        <w:r w:rsidR="002D5BB0" w:rsidRPr="00222917">
          <w:rPr>
            <w:lang w:val="en-US"/>
          </w:rPr>
          <w:t xml:space="preserve"> </w:t>
        </w:r>
        <w:smartTag w:uri="urn:schemas-microsoft-com:office:smarttags" w:element="PlaceName">
          <w:r w:rsidR="002D5BB0" w:rsidRPr="00222917">
            <w:rPr>
              <w:lang w:val="en-US"/>
            </w:rPr>
            <w:t>Hotline</w:t>
          </w:r>
        </w:smartTag>
        <w:r w:rsidR="002D5BB0" w:rsidRPr="00222917">
          <w:rPr>
            <w:lang w:val="en-US"/>
          </w:rPr>
          <w:t xml:space="preserve"> </w:t>
        </w:r>
        <w:smartTag w:uri="urn:schemas-microsoft-com:office:smarttags" w:element="PlaceType">
          <w:r w:rsidR="002D5BB0" w:rsidRPr="00222917">
            <w:rPr>
              <w:lang w:val="en-US"/>
            </w:rPr>
            <w:t>Center</w:t>
          </w:r>
        </w:smartTag>
      </w:smartTag>
      <w:r w:rsidR="002D5BB0" w:rsidRPr="00222917">
        <w:rPr>
          <w:lang w:val="en-US"/>
        </w:rPr>
        <w:t xml:space="preserve">, which received a total of 3,817 cases, </w:t>
      </w:r>
      <w:r w:rsidR="002D5BB0" w:rsidRPr="00222917">
        <w:rPr>
          <w:bCs/>
          <w:lang w:val="en-US"/>
        </w:rPr>
        <w:t>accepted</w:t>
      </w:r>
      <w:r w:rsidR="002D5BB0" w:rsidRPr="00222917">
        <w:rPr>
          <w:lang w:val="en-US"/>
        </w:rPr>
        <w:t xml:space="preserve"> and remedied 325 cases, and directly investigated 1022 cases. Out of the reports made and received so far, 8.5% were accepted and 26.77% were directly investigated. </w:t>
      </w:r>
    </w:p>
    <w:p w:rsidR="002D5BB0" w:rsidRPr="00222917" w:rsidRDefault="00EB1ABD" w:rsidP="00EB1ABD">
      <w:pPr>
        <w:pStyle w:val="H23G"/>
        <w:rPr>
          <w:b w:val="0"/>
          <w:sz w:val="16"/>
          <w:szCs w:val="16"/>
          <w:lang w:val="en-US"/>
        </w:rPr>
      </w:pPr>
      <w:r w:rsidRPr="00222917">
        <w:rPr>
          <w:lang w:val="en-US"/>
        </w:rPr>
        <w:tab/>
      </w:r>
      <w:r w:rsidRPr="00222917">
        <w:rPr>
          <w:lang w:val="en-US"/>
        </w:rPr>
        <w:tab/>
      </w:r>
      <w:r w:rsidR="002D5BB0" w:rsidRPr="00222917">
        <w:rPr>
          <w:lang w:val="en-US"/>
        </w:rPr>
        <w:t>Statistics on Cases per Year</w:t>
      </w:r>
      <w:r w:rsidRPr="00222917">
        <w:rPr>
          <w:lang w:val="en-US"/>
        </w:rPr>
        <w:br/>
      </w:r>
      <w:r w:rsidR="002D5BB0" w:rsidRPr="00222917">
        <w:rPr>
          <w:b w:val="0"/>
          <w:sz w:val="16"/>
          <w:szCs w:val="16"/>
          <w:lang w:val="en-US"/>
        </w:rPr>
        <w:t>(Number of cases)</w:t>
      </w:r>
    </w:p>
    <w:tbl>
      <w:tblPr>
        <w:tblW w:w="0" w:type="auto"/>
        <w:tblInd w:w="1134" w:type="dxa"/>
        <w:tblBorders>
          <w:top w:val="single" w:sz="4" w:space="0" w:color="auto"/>
        </w:tblBorders>
        <w:tblLayout w:type="fixed"/>
        <w:tblCellMar>
          <w:left w:w="0" w:type="dxa"/>
          <w:right w:w="0" w:type="dxa"/>
        </w:tblCellMar>
        <w:tblLook w:val="0000"/>
      </w:tblPr>
      <w:tblGrid>
        <w:gridCol w:w="1701"/>
        <w:gridCol w:w="1134"/>
        <w:gridCol w:w="1134"/>
        <w:gridCol w:w="1134"/>
        <w:gridCol w:w="1134"/>
        <w:gridCol w:w="1134"/>
      </w:tblGrid>
      <w:tr w:rsidR="0024745E" w:rsidRPr="00222917" w:rsidTr="00EB1ABD">
        <w:trPr>
          <w:trHeight w:val="240"/>
          <w:tblHeader/>
        </w:trPr>
        <w:tc>
          <w:tcPr>
            <w:tcW w:w="1701" w:type="dxa"/>
            <w:tcBorders>
              <w:top w:val="single" w:sz="4" w:space="0" w:color="auto"/>
              <w:bottom w:val="single" w:sz="12" w:space="0" w:color="auto"/>
            </w:tcBorders>
            <w:shd w:val="clear" w:color="auto" w:fill="auto"/>
            <w:vAlign w:val="bottom"/>
          </w:tcPr>
          <w:p w:rsidR="002D5BB0" w:rsidRPr="00222917" w:rsidRDefault="002D5BB0" w:rsidP="00EB1ABD">
            <w:pPr>
              <w:pStyle w:val="SingleTxtG"/>
              <w:suppressAutoHyphens w:val="0"/>
              <w:spacing w:before="80" w:after="80" w:line="200" w:lineRule="exact"/>
              <w:ind w:left="0" w:right="0"/>
              <w:jc w:val="left"/>
              <w:rPr>
                <w:i/>
                <w:sz w:val="16"/>
                <w:lang w:val="en-US"/>
              </w:rPr>
            </w:pPr>
            <w:bookmarkStart w:id="39" w:name="BM_6ac56cc0"/>
            <w:bookmarkEnd w:id="39"/>
            <w:r w:rsidRPr="00222917">
              <w:rPr>
                <w:bCs/>
                <w:i/>
                <w:sz w:val="16"/>
                <w:lang w:val="en-US"/>
              </w:rPr>
              <w:t>Year</w:t>
            </w:r>
          </w:p>
        </w:tc>
        <w:tc>
          <w:tcPr>
            <w:tcW w:w="1134" w:type="dxa"/>
            <w:tcBorders>
              <w:top w:val="single" w:sz="4" w:space="0" w:color="auto"/>
              <w:bottom w:val="single" w:sz="12" w:space="0" w:color="auto"/>
            </w:tcBorders>
            <w:shd w:val="clear" w:color="auto" w:fill="auto"/>
            <w:vAlign w:val="bottom"/>
          </w:tcPr>
          <w:p w:rsidR="002D5BB0" w:rsidRPr="00222917" w:rsidRDefault="002D5BB0" w:rsidP="00EB1ABD">
            <w:pPr>
              <w:pStyle w:val="SingleTxtG"/>
              <w:suppressAutoHyphens w:val="0"/>
              <w:spacing w:before="80" w:after="80" w:line="200" w:lineRule="exact"/>
              <w:ind w:left="0" w:right="0"/>
              <w:jc w:val="right"/>
              <w:rPr>
                <w:i/>
                <w:sz w:val="16"/>
                <w:lang w:val="en-US"/>
              </w:rPr>
            </w:pPr>
            <w:r w:rsidRPr="00222917">
              <w:rPr>
                <w:bCs/>
                <w:i/>
                <w:sz w:val="16"/>
                <w:lang w:val="en-US"/>
              </w:rPr>
              <w:t>2006. 5~</w:t>
            </w:r>
          </w:p>
        </w:tc>
        <w:tc>
          <w:tcPr>
            <w:tcW w:w="1134" w:type="dxa"/>
            <w:tcBorders>
              <w:top w:val="single" w:sz="4" w:space="0" w:color="auto"/>
              <w:bottom w:val="single" w:sz="12" w:space="0" w:color="auto"/>
            </w:tcBorders>
            <w:shd w:val="clear" w:color="auto" w:fill="auto"/>
            <w:vAlign w:val="bottom"/>
          </w:tcPr>
          <w:p w:rsidR="002D5BB0" w:rsidRPr="00222917" w:rsidRDefault="002D5BB0" w:rsidP="00EB1ABD">
            <w:pPr>
              <w:pStyle w:val="SingleTxtG"/>
              <w:suppressAutoHyphens w:val="0"/>
              <w:spacing w:before="80" w:after="80" w:line="200" w:lineRule="exact"/>
              <w:ind w:left="0" w:right="0"/>
              <w:jc w:val="right"/>
              <w:rPr>
                <w:i/>
                <w:sz w:val="16"/>
                <w:lang w:val="en-US"/>
              </w:rPr>
            </w:pPr>
            <w:r w:rsidRPr="00222917">
              <w:rPr>
                <w:bCs/>
                <w:i/>
                <w:sz w:val="16"/>
                <w:lang w:val="en-US"/>
              </w:rPr>
              <w:t>2007</w:t>
            </w:r>
          </w:p>
        </w:tc>
        <w:tc>
          <w:tcPr>
            <w:tcW w:w="1134" w:type="dxa"/>
            <w:tcBorders>
              <w:top w:val="single" w:sz="4" w:space="0" w:color="auto"/>
              <w:bottom w:val="single" w:sz="12" w:space="0" w:color="auto"/>
            </w:tcBorders>
            <w:shd w:val="clear" w:color="auto" w:fill="auto"/>
            <w:vAlign w:val="bottom"/>
          </w:tcPr>
          <w:p w:rsidR="002D5BB0" w:rsidRPr="00222917" w:rsidRDefault="002D5BB0" w:rsidP="00EB1ABD">
            <w:pPr>
              <w:pStyle w:val="SingleTxtG"/>
              <w:suppressAutoHyphens w:val="0"/>
              <w:spacing w:before="80" w:after="80" w:line="200" w:lineRule="exact"/>
              <w:ind w:left="0" w:right="0"/>
              <w:jc w:val="right"/>
              <w:rPr>
                <w:i/>
                <w:sz w:val="16"/>
                <w:lang w:val="en-US"/>
              </w:rPr>
            </w:pPr>
            <w:r w:rsidRPr="00222917">
              <w:rPr>
                <w:bCs/>
                <w:i/>
                <w:sz w:val="16"/>
                <w:lang w:val="en-US"/>
              </w:rPr>
              <w:t>2008</w:t>
            </w:r>
          </w:p>
        </w:tc>
        <w:tc>
          <w:tcPr>
            <w:tcW w:w="1134" w:type="dxa"/>
            <w:tcBorders>
              <w:top w:val="single" w:sz="4" w:space="0" w:color="auto"/>
              <w:bottom w:val="single" w:sz="12" w:space="0" w:color="auto"/>
            </w:tcBorders>
            <w:shd w:val="clear" w:color="auto" w:fill="auto"/>
            <w:vAlign w:val="bottom"/>
          </w:tcPr>
          <w:p w:rsidR="002D5BB0" w:rsidRPr="00222917" w:rsidRDefault="002D5BB0" w:rsidP="00EB1ABD">
            <w:pPr>
              <w:pStyle w:val="SingleTxtG"/>
              <w:suppressAutoHyphens w:val="0"/>
              <w:spacing w:before="80" w:after="80" w:line="200" w:lineRule="exact"/>
              <w:ind w:left="0" w:right="0"/>
              <w:jc w:val="right"/>
              <w:rPr>
                <w:i/>
                <w:sz w:val="16"/>
                <w:lang w:val="en-US"/>
              </w:rPr>
            </w:pPr>
            <w:r w:rsidRPr="00222917">
              <w:rPr>
                <w:bCs/>
                <w:i/>
                <w:sz w:val="16"/>
                <w:lang w:val="en-US"/>
              </w:rPr>
              <w:t>2009</w:t>
            </w:r>
          </w:p>
        </w:tc>
        <w:tc>
          <w:tcPr>
            <w:tcW w:w="1134" w:type="dxa"/>
            <w:tcBorders>
              <w:top w:val="single" w:sz="4" w:space="0" w:color="auto"/>
              <w:bottom w:val="single" w:sz="12" w:space="0" w:color="auto"/>
            </w:tcBorders>
            <w:shd w:val="clear" w:color="auto" w:fill="auto"/>
            <w:vAlign w:val="bottom"/>
          </w:tcPr>
          <w:p w:rsidR="002D5BB0" w:rsidRPr="00222917" w:rsidRDefault="002D5BB0" w:rsidP="00EB1ABD">
            <w:pPr>
              <w:pStyle w:val="SingleTxtG"/>
              <w:suppressAutoHyphens w:val="0"/>
              <w:spacing w:before="80" w:after="80" w:line="200" w:lineRule="exact"/>
              <w:ind w:left="0" w:right="0"/>
              <w:jc w:val="right"/>
              <w:rPr>
                <w:i/>
                <w:sz w:val="16"/>
                <w:lang w:val="en-US"/>
              </w:rPr>
            </w:pPr>
            <w:r w:rsidRPr="00222917">
              <w:rPr>
                <w:bCs/>
                <w:i/>
                <w:sz w:val="16"/>
                <w:lang w:val="en-US"/>
              </w:rPr>
              <w:t>2010</w:t>
            </w:r>
          </w:p>
        </w:tc>
      </w:tr>
      <w:tr w:rsidR="0024745E" w:rsidRPr="00222917" w:rsidTr="00EB1ABD">
        <w:trPr>
          <w:trHeight w:val="240"/>
        </w:trPr>
        <w:tc>
          <w:tcPr>
            <w:tcW w:w="1701" w:type="dxa"/>
            <w:tcBorders>
              <w:top w:val="single" w:sz="12" w:space="0" w:color="auto"/>
            </w:tcBorders>
            <w:shd w:val="clear" w:color="auto" w:fill="auto"/>
          </w:tcPr>
          <w:p w:rsidR="002D5BB0" w:rsidRPr="00222917" w:rsidRDefault="002D5BB0" w:rsidP="00EB1ABD">
            <w:pPr>
              <w:pStyle w:val="SingleTxtG"/>
              <w:suppressAutoHyphens w:val="0"/>
              <w:spacing w:before="40" w:after="40" w:line="220" w:lineRule="exact"/>
              <w:ind w:left="0" w:right="0"/>
              <w:jc w:val="left"/>
              <w:rPr>
                <w:sz w:val="18"/>
                <w:lang w:val="en-US"/>
              </w:rPr>
            </w:pPr>
            <w:r w:rsidRPr="00222917">
              <w:rPr>
                <w:sz w:val="18"/>
                <w:lang w:val="en-US"/>
              </w:rPr>
              <w:t>Reported</w:t>
            </w:r>
          </w:p>
        </w:tc>
        <w:tc>
          <w:tcPr>
            <w:tcW w:w="1134" w:type="dxa"/>
            <w:tcBorders>
              <w:top w:val="single" w:sz="12" w:space="0" w:color="auto"/>
            </w:tcBorders>
            <w:shd w:val="clear" w:color="auto" w:fill="auto"/>
            <w:vAlign w:val="bottom"/>
          </w:tcPr>
          <w:p w:rsidR="002D5BB0" w:rsidRPr="00222917" w:rsidRDefault="002D5BB0" w:rsidP="00EB1ABD">
            <w:pPr>
              <w:pStyle w:val="SingleTxtG"/>
              <w:suppressAutoHyphens w:val="0"/>
              <w:spacing w:before="40" w:after="40" w:line="220" w:lineRule="exact"/>
              <w:ind w:left="0" w:right="0"/>
              <w:jc w:val="right"/>
              <w:rPr>
                <w:sz w:val="18"/>
                <w:lang w:val="en-US"/>
              </w:rPr>
            </w:pPr>
            <w:r w:rsidRPr="00222917">
              <w:rPr>
                <w:sz w:val="18"/>
                <w:lang w:val="en-US"/>
              </w:rPr>
              <w:t>410</w:t>
            </w:r>
          </w:p>
        </w:tc>
        <w:tc>
          <w:tcPr>
            <w:tcW w:w="1134" w:type="dxa"/>
            <w:tcBorders>
              <w:top w:val="single" w:sz="12" w:space="0" w:color="auto"/>
            </w:tcBorders>
            <w:shd w:val="clear" w:color="auto" w:fill="auto"/>
            <w:vAlign w:val="bottom"/>
          </w:tcPr>
          <w:p w:rsidR="002D5BB0" w:rsidRPr="00222917" w:rsidRDefault="002D5BB0" w:rsidP="00EB1ABD">
            <w:pPr>
              <w:pStyle w:val="SingleTxtG"/>
              <w:suppressAutoHyphens w:val="0"/>
              <w:spacing w:before="40" w:after="40" w:line="220" w:lineRule="exact"/>
              <w:ind w:left="0" w:right="0"/>
              <w:jc w:val="right"/>
              <w:rPr>
                <w:sz w:val="18"/>
                <w:lang w:val="en-US"/>
              </w:rPr>
            </w:pPr>
            <w:r w:rsidRPr="00222917">
              <w:rPr>
                <w:sz w:val="18"/>
                <w:lang w:val="en-US"/>
              </w:rPr>
              <w:t>576</w:t>
            </w:r>
          </w:p>
        </w:tc>
        <w:tc>
          <w:tcPr>
            <w:tcW w:w="1134" w:type="dxa"/>
            <w:tcBorders>
              <w:top w:val="single" w:sz="12" w:space="0" w:color="auto"/>
            </w:tcBorders>
            <w:shd w:val="clear" w:color="auto" w:fill="auto"/>
            <w:vAlign w:val="bottom"/>
          </w:tcPr>
          <w:p w:rsidR="002D5BB0" w:rsidRPr="00222917" w:rsidRDefault="002D5BB0" w:rsidP="00EB1ABD">
            <w:pPr>
              <w:pStyle w:val="SingleTxtG"/>
              <w:suppressAutoHyphens w:val="0"/>
              <w:spacing w:before="40" w:after="40" w:line="220" w:lineRule="exact"/>
              <w:ind w:left="0" w:right="0"/>
              <w:jc w:val="right"/>
              <w:rPr>
                <w:sz w:val="18"/>
                <w:lang w:val="en-US"/>
              </w:rPr>
            </w:pPr>
            <w:r w:rsidRPr="00222917">
              <w:rPr>
                <w:sz w:val="18"/>
                <w:lang w:val="en-US"/>
              </w:rPr>
              <w:t>1,156</w:t>
            </w:r>
          </w:p>
        </w:tc>
        <w:tc>
          <w:tcPr>
            <w:tcW w:w="1134" w:type="dxa"/>
            <w:tcBorders>
              <w:top w:val="single" w:sz="12" w:space="0" w:color="auto"/>
            </w:tcBorders>
            <w:shd w:val="clear" w:color="auto" w:fill="auto"/>
            <w:vAlign w:val="bottom"/>
          </w:tcPr>
          <w:p w:rsidR="002D5BB0" w:rsidRPr="00222917" w:rsidRDefault="002D5BB0" w:rsidP="00EB1ABD">
            <w:pPr>
              <w:pStyle w:val="SingleTxtG"/>
              <w:suppressAutoHyphens w:val="0"/>
              <w:spacing w:before="40" w:after="40" w:line="220" w:lineRule="exact"/>
              <w:ind w:left="0" w:right="0"/>
              <w:jc w:val="right"/>
              <w:rPr>
                <w:sz w:val="18"/>
                <w:lang w:val="en-US"/>
              </w:rPr>
            </w:pPr>
            <w:r w:rsidRPr="00222917">
              <w:rPr>
                <w:sz w:val="18"/>
                <w:lang w:val="en-US"/>
              </w:rPr>
              <w:t>1,171</w:t>
            </w:r>
          </w:p>
        </w:tc>
        <w:tc>
          <w:tcPr>
            <w:tcW w:w="1134" w:type="dxa"/>
            <w:tcBorders>
              <w:top w:val="single" w:sz="12" w:space="0" w:color="auto"/>
            </w:tcBorders>
            <w:shd w:val="clear" w:color="auto" w:fill="auto"/>
            <w:vAlign w:val="bottom"/>
          </w:tcPr>
          <w:p w:rsidR="002D5BB0" w:rsidRPr="00222917" w:rsidRDefault="002D5BB0" w:rsidP="00EB1ABD">
            <w:pPr>
              <w:pStyle w:val="SingleTxtG"/>
              <w:suppressAutoHyphens w:val="0"/>
              <w:spacing w:before="40" w:after="40" w:line="220" w:lineRule="exact"/>
              <w:ind w:left="0" w:right="0"/>
              <w:jc w:val="right"/>
              <w:rPr>
                <w:sz w:val="18"/>
                <w:lang w:val="en-US"/>
              </w:rPr>
            </w:pPr>
            <w:r w:rsidRPr="00222917">
              <w:rPr>
                <w:sz w:val="18"/>
                <w:lang w:val="en-US"/>
              </w:rPr>
              <w:t>1,172</w:t>
            </w:r>
          </w:p>
        </w:tc>
      </w:tr>
      <w:tr w:rsidR="0024745E" w:rsidRPr="00222917" w:rsidTr="00EB1ABD">
        <w:trPr>
          <w:trHeight w:val="240"/>
        </w:trPr>
        <w:tc>
          <w:tcPr>
            <w:tcW w:w="1701" w:type="dxa"/>
            <w:shd w:val="clear" w:color="auto" w:fill="auto"/>
          </w:tcPr>
          <w:p w:rsidR="002D5BB0" w:rsidRPr="00222917" w:rsidRDefault="002D5BB0" w:rsidP="00EB1ABD">
            <w:pPr>
              <w:pStyle w:val="SingleTxtG"/>
              <w:suppressAutoHyphens w:val="0"/>
              <w:spacing w:before="40" w:after="40" w:line="220" w:lineRule="exact"/>
              <w:ind w:left="0" w:right="0"/>
              <w:jc w:val="left"/>
              <w:rPr>
                <w:sz w:val="18"/>
                <w:lang w:val="en-US"/>
              </w:rPr>
            </w:pPr>
            <w:r w:rsidRPr="00222917">
              <w:rPr>
                <w:sz w:val="18"/>
                <w:lang w:val="en-US"/>
              </w:rPr>
              <w:t xml:space="preserve">Received </w:t>
            </w:r>
          </w:p>
        </w:tc>
        <w:tc>
          <w:tcPr>
            <w:tcW w:w="1134" w:type="dxa"/>
            <w:shd w:val="clear" w:color="auto" w:fill="auto"/>
            <w:vAlign w:val="bottom"/>
          </w:tcPr>
          <w:p w:rsidR="002D5BB0" w:rsidRPr="00222917" w:rsidRDefault="002D5BB0" w:rsidP="00EB1ABD">
            <w:pPr>
              <w:pStyle w:val="SingleTxtG"/>
              <w:suppressAutoHyphens w:val="0"/>
              <w:spacing w:before="40" w:after="40" w:line="220" w:lineRule="exact"/>
              <w:ind w:left="0" w:right="0"/>
              <w:jc w:val="right"/>
              <w:rPr>
                <w:sz w:val="18"/>
                <w:lang w:val="en-US"/>
              </w:rPr>
            </w:pPr>
            <w:r w:rsidRPr="00222917">
              <w:rPr>
                <w:sz w:val="18"/>
                <w:lang w:val="en-US"/>
              </w:rPr>
              <w:t>209</w:t>
            </w:r>
          </w:p>
        </w:tc>
        <w:tc>
          <w:tcPr>
            <w:tcW w:w="1134" w:type="dxa"/>
            <w:shd w:val="clear" w:color="auto" w:fill="auto"/>
            <w:vAlign w:val="bottom"/>
          </w:tcPr>
          <w:p w:rsidR="002D5BB0" w:rsidRPr="00222917" w:rsidRDefault="002D5BB0" w:rsidP="00EB1ABD">
            <w:pPr>
              <w:pStyle w:val="SingleTxtG"/>
              <w:suppressAutoHyphens w:val="0"/>
              <w:spacing w:before="40" w:after="40" w:line="220" w:lineRule="exact"/>
              <w:ind w:left="0" w:right="0"/>
              <w:jc w:val="right"/>
              <w:rPr>
                <w:sz w:val="18"/>
                <w:lang w:val="en-US"/>
              </w:rPr>
            </w:pPr>
            <w:r w:rsidRPr="00222917">
              <w:rPr>
                <w:sz w:val="18"/>
                <w:lang w:val="en-US"/>
              </w:rPr>
              <w:t>491</w:t>
            </w:r>
          </w:p>
        </w:tc>
        <w:tc>
          <w:tcPr>
            <w:tcW w:w="1134" w:type="dxa"/>
            <w:shd w:val="clear" w:color="auto" w:fill="auto"/>
            <w:vAlign w:val="bottom"/>
          </w:tcPr>
          <w:p w:rsidR="002D5BB0" w:rsidRPr="00222917" w:rsidRDefault="002D5BB0" w:rsidP="00EB1ABD">
            <w:pPr>
              <w:pStyle w:val="SingleTxtG"/>
              <w:suppressAutoHyphens w:val="0"/>
              <w:spacing w:before="40" w:after="40" w:line="220" w:lineRule="exact"/>
              <w:ind w:left="0" w:right="0"/>
              <w:jc w:val="right"/>
              <w:rPr>
                <w:sz w:val="18"/>
                <w:lang w:val="en-US"/>
              </w:rPr>
            </w:pPr>
            <w:r w:rsidRPr="00222917">
              <w:rPr>
                <w:sz w:val="18"/>
                <w:lang w:val="en-US"/>
              </w:rPr>
              <w:t>1,059</w:t>
            </w:r>
          </w:p>
        </w:tc>
        <w:tc>
          <w:tcPr>
            <w:tcW w:w="1134" w:type="dxa"/>
            <w:shd w:val="clear" w:color="auto" w:fill="auto"/>
            <w:vAlign w:val="bottom"/>
          </w:tcPr>
          <w:p w:rsidR="002D5BB0" w:rsidRPr="00222917" w:rsidRDefault="002D5BB0" w:rsidP="00EB1ABD">
            <w:pPr>
              <w:pStyle w:val="SingleTxtG"/>
              <w:suppressAutoHyphens w:val="0"/>
              <w:spacing w:before="40" w:after="40" w:line="220" w:lineRule="exact"/>
              <w:ind w:left="0" w:right="0"/>
              <w:jc w:val="right"/>
              <w:rPr>
                <w:sz w:val="18"/>
                <w:lang w:val="en-US"/>
              </w:rPr>
            </w:pPr>
            <w:r w:rsidRPr="00222917">
              <w:rPr>
                <w:sz w:val="18"/>
                <w:lang w:val="en-US"/>
              </w:rPr>
              <w:t>1,035</w:t>
            </w:r>
          </w:p>
        </w:tc>
        <w:tc>
          <w:tcPr>
            <w:tcW w:w="1134" w:type="dxa"/>
            <w:shd w:val="clear" w:color="auto" w:fill="auto"/>
            <w:vAlign w:val="bottom"/>
          </w:tcPr>
          <w:p w:rsidR="002D5BB0" w:rsidRPr="00222917" w:rsidRDefault="002D5BB0" w:rsidP="00EB1ABD">
            <w:pPr>
              <w:pStyle w:val="SingleTxtG"/>
              <w:suppressAutoHyphens w:val="0"/>
              <w:spacing w:before="40" w:after="40" w:line="220" w:lineRule="exact"/>
              <w:ind w:left="0" w:right="0"/>
              <w:jc w:val="right"/>
              <w:rPr>
                <w:sz w:val="18"/>
                <w:lang w:val="en-US"/>
              </w:rPr>
            </w:pPr>
            <w:r w:rsidRPr="00222917">
              <w:rPr>
                <w:sz w:val="18"/>
                <w:lang w:val="en-US"/>
              </w:rPr>
              <w:t>1023</w:t>
            </w:r>
          </w:p>
        </w:tc>
      </w:tr>
      <w:tr w:rsidR="0024745E" w:rsidRPr="00222917" w:rsidTr="00EB1ABD">
        <w:trPr>
          <w:trHeight w:val="240"/>
        </w:trPr>
        <w:tc>
          <w:tcPr>
            <w:tcW w:w="1701" w:type="dxa"/>
            <w:shd w:val="clear" w:color="auto" w:fill="auto"/>
          </w:tcPr>
          <w:p w:rsidR="002D5BB0" w:rsidRPr="00222917" w:rsidRDefault="002D5BB0" w:rsidP="00EB1ABD">
            <w:pPr>
              <w:pStyle w:val="SingleTxtG"/>
              <w:suppressAutoHyphens w:val="0"/>
              <w:spacing w:before="40" w:after="40" w:line="220" w:lineRule="exact"/>
              <w:ind w:left="0" w:right="0"/>
              <w:jc w:val="left"/>
              <w:rPr>
                <w:sz w:val="18"/>
                <w:lang w:val="en-US"/>
              </w:rPr>
            </w:pPr>
            <w:r w:rsidRPr="00222917">
              <w:rPr>
                <w:sz w:val="18"/>
                <w:lang w:val="en-US"/>
              </w:rPr>
              <w:t xml:space="preserve">Directly investigated </w:t>
            </w:r>
          </w:p>
        </w:tc>
        <w:tc>
          <w:tcPr>
            <w:tcW w:w="1134" w:type="dxa"/>
            <w:shd w:val="clear" w:color="auto" w:fill="auto"/>
            <w:vAlign w:val="bottom"/>
          </w:tcPr>
          <w:p w:rsidR="002D5BB0" w:rsidRPr="00222917" w:rsidRDefault="002D5BB0" w:rsidP="00EB1ABD">
            <w:pPr>
              <w:pStyle w:val="SingleTxtG"/>
              <w:suppressAutoHyphens w:val="0"/>
              <w:spacing w:before="40" w:after="40" w:line="220" w:lineRule="exact"/>
              <w:ind w:left="0" w:right="0"/>
              <w:jc w:val="right"/>
              <w:rPr>
                <w:sz w:val="18"/>
                <w:lang w:val="en-US"/>
              </w:rPr>
            </w:pPr>
            <w:r w:rsidRPr="00222917">
              <w:rPr>
                <w:sz w:val="18"/>
                <w:lang w:val="en-US"/>
              </w:rPr>
              <w:t>40 (19.1%)</w:t>
            </w:r>
          </w:p>
        </w:tc>
        <w:tc>
          <w:tcPr>
            <w:tcW w:w="1134" w:type="dxa"/>
            <w:shd w:val="clear" w:color="auto" w:fill="auto"/>
            <w:vAlign w:val="bottom"/>
          </w:tcPr>
          <w:p w:rsidR="002D5BB0" w:rsidRPr="00222917" w:rsidRDefault="002D5BB0" w:rsidP="00EB1ABD">
            <w:pPr>
              <w:pStyle w:val="SingleTxtG"/>
              <w:suppressAutoHyphens w:val="0"/>
              <w:spacing w:before="40" w:after="40" w:line="220" w:lineRule="exact"/>
              <w:ind w:left="0" w:right="0"/>
              <w:jc w:val="right"/>
              <w:rPr>
                <w:sz w:val="18"/>
                <w:lang w:val="en-US"/>
              </w:rPr>
            </w:pPr>
            <w:r w:rsidRPr="00222917">
              <w:rPr>
                <w:sz w:val="18"/>
                <w:lang w:val="en-US"/>
              </w:rPr>
              <w:t>116 (23.6%)</w:t>
            </w:r>
          </w:p>
        </w:tc>
        <w:tc>
          <w:tcPr>
            <w:tcW w:w="1134" w:type="dxa"/>
            <w:shd w:val="clear" w:color="auto" w:fill="auto"/>
            <w:vAlign w:val="bottom"/>
          </w:tcPr>
          <w:p w:rsidR="002D5BB0" w:rsidRPr="00222917" w:rsidRDefault="002D5BB0" w:rsidP="00EB1ABD">
            <w:pPr>
              <w:pStyle w:val="SingleTxtG"/>
              <w:suppressAutoHyphens w:val="0"/>
              <w:spacing w:before="40" w:after="40" w:line="220" w:lineRule="exact"/>
              <w:ind w:left="0" w:right="0"/>
              <w:jc w:val="right"/>
              <w:rPr>
                <w:sz w:val="18"/>
                <w:lang w:val="en-US"/>
              </w:rPr>
            </w:pPr>
            <w:r w:rsidRPr="00222917">
              <w:rPr>
                <w:sz w:val="18"/>
                <w:lang w:val="en-US"/>
              </w:rPr>
              <w:t>217 (20.5%)</w:t>
            </w:r>
          </w:p>
        </w:tc>
        <w:tc>
          <w:tcPr>
            <w:tcW w:w="1134" w:type="dxa"/>
            <w:shd w:val="clear" w:color="auto" w:fill="auto"/>
            <w:vAlign w:val="bottom"/>
          </w:tcPr>
          <w:p w:rsidR="002D5BB0" w:rsidRPr="00222917" w:rsidRDefault="002D5BB0" w:rsidP="00EB1ABD">
            <w:pPr>
              <w:pStyle w:val="SingleTxtG"/>
              <w:suppressAutoHyphens w:val="0"/>
              <w:spacing w:before="40" w:after="40" w:line="220" w:lineRule="exact"/>
              <w:ind w:left="0" w:right="0"/>
              <w:jc w:val="right"/>
              <w:rPr>
                <w:sz w:val="18"/>
                <w:lang w:val="en-US"/>
              </w:rPr>
            </w:pPr>
            <w:r w:rsidRPr="00222917">
              <w:rPr>
                <w:sz w:val="18"/>
                <w:lang w:val="en-US"/>
              </w:rPr>
              <w:t>281 (27.1%)</w:t>
            </w:r>
          </w:p>
        </w:tc>
        <w:tc>
          <w:tcPr>
            <w:tcW w:w="1134" w:type="dxa"/>
            <w:shd w:val="clear" w:color="auto" w:fill="auto"/>
            <w:vAlign w:val="bottom"/>
          </w:tcPr>
          <w:p w:rsidR="002D5BB0" w:rsidRPr="00222917" w:rsidRDefault="002D5BB0" w:rsidP="00EB1ABD">
            <w:pPr>
              <w:pStyle w:val="SingleTxtG"/>
              <w:suppressAutoHyphens w:val="0"/>
              <w:spacing w:before="40" w:after="40" w:line="220" w:lineRule="exact"/>
              <w:ind w:left="0" w:right="0"/>
              <w:jc w:val="right"/>
              <w:rPr>
                <w:sz w:val="18"/>
                <w:lang w:val="en-US"/>
              </w:rPr>
            </w:pPr>
            <w:r w:rsidRPr="00222917">
              <w:rPr>
                <w:sz w:val="18"/>
                <w:lang w:val="en-US"/>
              </w:rPr>
              <w:t>365 (36%)</w:t>
            </w:r>
          </w:p>
        </w:tc>
      </w:tr>
      <w:tr w:rsidR="0024745E" w:rsidRPr="00222917" w:rsidTr="00EB1ABD">
        <w:trPr>
          <w:trHeight w:val="240"/>
        </w:trPr>
        <w:tc>
          <w:tcPr>
            <w:tcW w:w="1701" w:type="dxa"/>
            <w:tcBorders>
              <w:bottom w:val="single" w:sz="12" w:space="0" w:color="auto"/>
            </w:tcBorders>
            <w:shd w:val="clear" w:color="auto" w:fill="auto"/>
          </w:tcPr>
          <w:p w:rsidR="002D5BB0" w:rsidRPr="00222917" w:rsidRDefault="002D5BB0" w:rsidP="00EB1ABD">
            <w:pPr>
              <w:pStyle w:val="SingleTxtG"/>
              <w:suppressAutoHyphens w:val="0"/>
              <w:spacing w:before="40" w:after="40" w:line="220" w:lineRule="exact"/>
              <w:ind w:left="0" w:right="0"/>
              <w:jc w:val="left"/>
              <w:rPr>
                <w:sz w:val="18"/>
                <w:lang w:val="en-US"/>
              </w:rPr>
            </w:pPr>
            <w:r w:rsidRPr="00222917">
              <w:rPr>
                <w:sz w:val="18"/>
                <w:lang w:val="en-US"/>
              </w:rPr>
              <w:t xml:space="preserve">Accepted and remedied </w:t>
            </w:r>
          </w:p>
        </w:tc>
        <w:tc>
          <w:tcPr>
            <w:tcW w:w="1134" w:type="dxa"/>
            <w:tcBorders>
              <w:bottom w:val="single" w:sz="12" w:space="0" w:color="auto"/>
            </w:tcBorders>
            <w:shd w:val="clear" w:color="auto" w:fill="auto"/>
            <w:vAlign w:val="bottom"/>
          </w:tcPr>
          <w:p w:rsidR="002D5BB0" w:rsidRPr="00222917" w:rsidRDefault="002D5BB0" w:rsidP="00EB1ABD">
            <w:pPr>
              <w:pStyle w:val="SingleTxtG"/>
              <w:suppressAutoHyphens w:val="0"/>
              <w:spacing w:before="40" w:after="40" w:line="220" w:lineRule="exact"/>
              <w:ind w:left="0" w:right="0"/>
              <w:jc w:val="right"/>
              <w:rPr>
                <w:sz w:val="18"/>
                <w:lang w:val="en-US"/>
              </w:rPr>
            </w:pPr>
            <w:r w:rsidRPr="00222917">
              <w:rPr>
                <w:sz w:val="18"/>
                <w:lang w:val="en-US"/>
              </w:rPr>
              <w:t>23 (11.0%)</w:t>
            </w:r>
          </w:p>
        </w:tc>
        <w:tc>
          <w:tcPr>
            <w:tcW w:w="1134" w:type="dxa"/>
            <w:tcBorders>
              <w:bottom w:val="single" w:sz="12" w:space="0" w:color="auto"/>
            </w:tcBorders>
            <w:shd w:val="clear" w:color="auto" w:fill="auto"/>
            <w:vAlign w:val="bottom"/>
          </w:tcPr>
          <w:p w:rsidR="002D5BB0" w:rsidRPr="00222917" w:rsidRDefault="002D5BB0" w:rsidP="00EB1ABD">
            <w:pPr>
              <w:pStyle w:val="SingleTxtG"/>
              <w:suppressAutoHyphens w:val="0"/>
              <w:spacing w:before="40" w:after="40" w:line="220" w:lineRule="exact"/>
              <w:ind w:left="0" w:right="0"/>
              <w:jc w:val="right"/>
              <w:rPr>
                <w:sz w:val="18"/>
                <w:lang w:val="en-US"/>
              </w:rPr>
            </w:pPr>
            <w:r w:rsidRPr="00222917">
              <w:rPr>
                <w:sz w:val="18"/>
                <w:lang w:val="en-US"/>
              </w:rPr>
              <w:t>42 (8.6%)</w:t>
            </w:r>
          </w:p>
        </w:tc>
        <w:tc>
          <w:tcPr>
            <w:tcW w:w="1134" w:type="dxa"/>
            <w:tcBorders>
              <w:bottom w:val="single" w:sz="12" w:space="0" w:color="auto"/>
            </w:tcBorders>
            <w:shd w:val="clear" w:color="auto" w:fill="auto"/>
            <w:vAlign w:val="bottom"/>
          </w:tcPr>
          <w:p w:rsidR="002D5BB0" w:rsidRPr="00222917" w:rsidRDefault="002D5BB0" w:rsidP="00EB1ABD">
            <w:pPr>
              <w:pStyle w:val="SingleTxtG"/>
              <w:suppressAutoHyphens w:val="0"/>
              <w:spacing w:before="40" w:after="40" w:line="220" w:lineRule="exact"/>
              <w:ind w:left="0" w:right="0"/>
              <w:jc w:val="right"/>
              <w:rPr>
                <w:sz w:val="18"/>
                <w:lang w:val="en-US"/>
              </w:rPr>
            </w:pPr>
            <w:r w:rsidRPr="00222917">
              <w:rPr>
                <w:sz w:val="18"/>
                <w:lang w:val="en-US"/>
              </w:rPr>
              <w:t>81 (7.6%)</w:t>
            </w:r>
          </w:p>
        </w:tc>
        <w:tc>
          <w:tcPr>
            <w:tcW w:w="1134" w:type="dxa"/>
            <w:tcBorders>
              <w:bottom w:val="single" w:sz="12" w:space="0" w:color="auto"/>
            </w:tcBorders>
            <w:shd w:val="clear" w:color="auto" w:fill="auto"/>
            <w:vAlign w:val="bottom"/>
          </w:tcPr>
          <w:p w:rsidR="002D5BB0" w:rsidRPr="00222917" w:rsidRDefault="002D5BB0" w:rsidP="00EB1ABD">
            <w:pPr>
              <w:pStyle w:val="SingleTxtG"/>
              <w:suppressAutoHyphens w:val="0"/>
              <w:spacing w:before="40" w:after="40" w:line="220" w:lineRule="exact"/>
              <w:ind w:left="0" w:right="0"/>
              <w:jc w:val="right"/>
              <w:rPr>
                <w:sz w:val="18"/>
                <w:lang w:val="en-US"/>
              </w:rPr>
            </w:pPr>
            <w:r w:rsidRPr="00222917">
              <w:rPr>
                <w:sz w:val="18"/>
                <w:lang w:val="en-US"/>
              </w:rPr>
              <w:t>87 (8.4%)</w:t>
            </w:r>
          </w:p>
        </w:tc>
        <w:tc>
          <w:tcPr>
            <w:tcW w:w="1134" w:type="dxa"/>
            <w:tcBorders>
              <w:bottom w:val="single" w:sz="12" w:space="0" w:color="auto"/>
            </w:tcBorders>
            <w:shd w:val="clear" w:color="auto" w:fill="auto"/>
            <w:vAlign w:val="bottom"/>
          </w:tcPr>
          <w:p w:rsidR="002D5BB0" w:rsidRPr="00222917" w:rsidRDefault="002D5BB0" w:rsidP="00EB1ABD">
            <w:pPr>
              <w:pStyle w:val="SingleTxtG"/>
              <w:suppressAutoHyphens w:val="0"/>
              <w:spacing w:before="40" w:after="40" w:line="220" w:lineRule="exact"/>
              <w:ind w:left="0" w:right="0"/>
              <w:jc w:val="right"/>
              <w:rPr>
                <w:sz w:val="18"/>
                <w:lang w:val="en-US"/>
              </w:rPr>
            </w:pPr>
            <w:r w:rsidRPr="00222917">
              <w:rPr>
                <w:sz w:val="18"/>
                <w:lang w:val="en-US"/>
              </w:rPr>
              <w:t>92 (9%)</w:t>
            </w:r>
          </w:p>
        </w:tc>
      </w:tr>
    </w:tbl>
    <w:p w:rsidR="002D5BB0" w:rsidRPr="00222917" w:rsidRDefault="00EB1ABD" w:rsidP="00EB1ABD">
      <w:pPr>
        <w:pStyle w:val="H23G"/>
        <w:rPr>
          <w:b w:val="0"/>
          <w:sz w:val="16"/>
          <w:szCs w:val="16"/>
          <w:lang w:val="en-US"/>
        </w:rPr>
      </w:pPr>
      <w:r w:rsidRPr="00222917">
        <w:rPr>
          <w:lang w:val="en-US"/>
        </w:rPr>
        <w:tab/>
      </w:r>
      <w:r w:rsidRPr="00222917">
        <w:rPr>
          <w:lang w:val="en-US"/>
        </w:rPr>
        <w:tab/>
      </w:r>
      <w:r w:rsidR="002D5BB0" w:rsidRPr="00222917">
        <w:rPr>
          <w:lang w:val="en-US"/>
        </w:rPr>
        <w:t>Statistics by Area</w:t>
      </w:r>
      <w:r w:rsidRPr="00222917">
        <w:rPr>
          <w:lang w:val="en-US"/>
        </w:rPr>
        <w:br/>
      </w:r>
      <w:r w:rsidRPr="00222917">
        <w:rPr>
          <w:b w:val="0"/>
          <w:sz w:val="16"/>
          <w:szCs w:val="16"/>
          <w:lang w:val="en-US"/>
        </w:rPr>
        <w:t>(Period: May 2006-</w:t>
      </w:r>
      <w:r w:rsidR="002D5BB0" w:rsidRPr="00222917">
        <w:rPr>
          <w:b w:val="0"/>
          <w:sz w:val="16"/>
          <w:szCs w:val="16"/>
          <w:lang w:val="en-US"/>
        </w:rPr>
        <w:t xml:space="preserve">December 2010, Number of cases) </w:t>
      </w:r>
    </w:p>
    <w:tbl>
      <w:tblPr>
        <w:tblW w:w="0" w:type="auto"/>
        <w:tblInd w:w="1134" w:type="dxa"/>
        <w:tblBorders>
          <w:top w:val="single" w:sz="4" w:space="0" w:color="auto"/>
        </w:tblBorders>
        <w:tblLayout w:type="fixed"/>
        <w:tblCellMar>
          <w:left w:w="0" w:type="dxa"/>
          <w:right w:w="0" w:type="dxa"/>
        </w:tblCellMar>
        <w:tblLook w:val="0000"/>
      </w:tblPr>
      <w:tblGrid>
        <w:gridCol w:w="1701"/>
        <w:gridCol w:w="1418"/>
        <w:gridCol w:w="1418"/>
        <w:gridCol w:w="1418"/>
        <w:gridCol w:w="1418"/>
      </w:tblGrid>
      <w:tr w:rsidR="0024745E" w:rsidRPr="00222917" w:rsidTr="009577C4">
        <w:trPr>
          <w:trHeight w:val="240"/>
          <w:tblHeader/>
        </w:trPr>
        <w:tc>
          <w:tcPr>
            <w:tcW w:w="1701" w:type="dxa"/>
            <w:tcBorders>
              <w:top w:val="single" w:sz="4" w:space="0" w:color="auto"/>
              <w:bottom w:val="single" w:sz="12" w:space="0" w:color="auto"/>
            </w:tcBorders>
            <w:shd w:val="clear" w:color="auto" w:fill="auto"/>
            <w:vAlign w:val="bottom"/>
          </w:tcPr>
          <w:p w:rsidR="002D5BB0" w:rsidRPr="00222917" w:rsidRDefault="002D5BB0" w:rsidP="009577C4">
            <w:pPr>
              <w:pStyle w:val="SingleTxtG"/>
              <w:suppressAutoHyphens w:val="0"/>
              <w:spacing w:before="80" w:after="80" w:line="200" w:lineRule="exact"/>
              <w:ind w:left="0" w:right="0"/>
              <w:jc w:val="left"/>
              <w:rPr>
                <w:i/>
                <w:sz w:val="16"/>
                <w:lang w:val="en-US"/>
              </w:rPr>
            </w:pPr>
            <w:bookmarkStart w:id="40" w:name="BM_6ac56cc1"/>
            <w:bookmarkEnd w:id="40"/>
            <w:r w:rsidRPr="00222917">
              <w:rPr>
                <w:bCs/>
                <w:i/>
                <w:sz w:val="16"/>
                <w:lang w:val="en-US"/>
              </w:rPr>
              <w:t>Area</w:t>
            </w:r>
          </w:p>
        </w:tc>
        <w:tc>
          <w:tcPr>
            <w:tcW w:w="1418" w:type="dxa"/>
            <w:tcBorders>
              <w:top w:val="single" w:sz="4" w:space="0" w:color="auto"/>
              <w:bottom w:val="single" w:sz="12" w:space="0" w:color="auto"/>
            </w:tcBorders>
            <w:shd w:val="clear" w:color="auto" w:fill="auto"/>
            <w:vAlign w:val="bottom"/>
          </w:tcPr>
          <w:p w:rsidR="002D5BB0" w:rsidRPr="00222917" w:rsidRDefault="002D5BB0" w:rsidP="009577C4">
            <w:pPr>
              <w:pStyle w:val="SingleTxtG"/>
              <w:suppressAutoHyphens w:val="0"/>
              <w:spacing w:before="80" w:after="80" w:line="200" w:lineRule="exact"/>
              <w:ind w:left="0" w:right="0"/>
              <w:jc w:val="right"/>
              <w:rPr>
                <w:i/>
                <w:sz w:val="16"/>
                <w:lang w:val="en-US"/>
              </w:rPr>
            </w:pPr>
            <w:r w:rsidRPr="00222917">
              <w:rPr>
                <w:bCs/>
                <w:i/>
                <w:sz w:val="16"/>
                <w:lang w:val="en-US"/>
              </w:rPr>
              <w:t>Received</w:t>
            </w:r>
          </w:p>
        </w:tc>
        <w:tc>
          <w:tcPr>
            <w:tcW w:w="1418" w:type="dxa"/>
            <w:tcBorders>
              <w:top w:val="single" w:sz="4" w:space="0" w:color="auto"/>
              <w:bottom w:val="single" w:sz="12" w:space="0" w:color="auto"/>
            </w:tcBorders>
            <w:shd w:val="clear" w:color="auto" w:fill="auto"/>
            <w:vAlign w:val="bottom"/>
          </w:tcPr>
          <w:p w:rsidR="002D5BB0" w:rsidRPr="00222917" w:rsidRDefault="002D5BB0" w:rsidP="008E15BD">
            <w:pPr>
              <w:pStyle w:val="SingleTxtG"/>
              <w:suppressAutoHyphens w:val="0"/>
              <w:spacing w:before="80" w:after="80" w:line="200" w:lineRule="exact"/>
              <w:ind w:left="0" w:right="0"/>
              <w:jc w:val="right"/>
              <w:rPr>
                <w:i/>
                <w:sz w:val="16"/>
                <w:lang w:val="en-US"/>
              </w:rPr>
            </w:pPr>
            <w:r w:rsidRPr="00222917">
              <w:rPr>
                <w:bCs/>
                <w:i/>
                <w:sz w:val="16"/>
                <w:lang w:val="en-US"/>
              </w:rPr>
              <w:t>Directly</w:t>
            </w:r>
            <w:r w:rsidR="008E15BD" w:rsidRPr="00222917">
              <w:rPr>
                <w:bCs/>
                <w:i/>
                <w:sz w:val="16"/>
                <w:lang w:val="en-US"/>
              </w:rPr>
              <w:br/>
            </w:r>
            <w:r w:rsidRPr="00222917">
              <w:rPr>
                <w:bCs/>
                <w:i/>
                <w:sz w:val="16"/>
                <w:lang w:val="en-US"/>
              </w:rPr>
              <w:t>investigated</w:t>
            </w:r>
          </w:p>
        </w:tc>
        <w:tc>
          <w:tcPr>
            <w:tcW w:w="1418" w:type="dxa"/>
            <w:tcBorders>
              <w:top w:val="single" w:sz="4" w:space="0" w:color="auto"/>
              <w:bottom w:val="single" w:sz="12" w:space="0" w:color="auto"/>
            </w:tcBorders>
            <w:shd w:val="clear" w:color="auto" w:fill="auto"/>
            <w:vAlign w:val="bottom"/>
          </w:tcPr>
          <w:p w:rsidR="002D5BB0" w:rsidRPr="00222917" w:rsidRDefault="008E15BD" w:rsidP="009577C4">
            <w:pPr>
              <w:pStyle w:val="SingleTxtG"/>
              <w:suppressAutoHyphens w:val="0"/>
              <w:spacing w:before="80" w:after="80" w:line="200" w:lineRule="exact"/>
              <w:ind w:left="0" w:right="0"/>
              <w:jc w:val="right"/>
              <w:rPr>
                <w:i/>
                <w:sz w:val="16"/>
                <w:lang w:val="en-US"/>
              </w:rPr>
            </w:pPr>
            <w:r w:rsidRPr="00222917">
              <w:rPr>
                <w:bCs/>
                <w:i/>
                <w:sz w:val="16"/>
                <w:lang w:val="en-US"/>
              </w:rPr>
              <w:t>Accepted</w:t>
            </w:r>
            <w:r w:rsidRPr="00222917">
              <w:rPr>
                <w:bCs/>
                <w:i/>
                <w:sz w:val="16"/>
                <w:lang w:val="en-US"/>
              </w:rPr>
              <w:br/>
            </w:r>
            <w:r w:rsidR="002D5BB0" w:rsidRPr="00222917">
              <w:rPr>
                <w:bCs/>
                <w:i/>
                <w:sz w:val="16"/>
                <w:lang w:val="en-US"/>
              </w:rPr>
              <w:t>and remedied</w:t>
            </w:r>
          </w:p>
        </w:tc>
        <w:tc>
          <w:tcPr>
            <w:tcW w:w="1418" w:type="dxa"/>
            <w:tcBorders>
              <w:top w:val="single" w:sz="4" w:space="0" w:color="auto"/>
              <w:bottom w:val="single" w:sz="12" w:space="0" w:color="auto"/>
            </w:tcBorders>
            <w:shd w:val="clear" w:color="auto" w:fill="auto"/>
            <w:vAlign w:val="bottom"/>
          </w:tcPr>
          <w:p w:rsidR="002D5BB0" w:rsidRPr="00222917" w:rsidRDefault="002D5BB0" w:rsidP="003A1B0B">
            <w:pPr>
              <w:pStyle w:val="SingleTxtG"/>
              <w:suppressAutoHyphens w:val="0"/>
              <w:spacing w:before="80" w:after="80" w:line="200" w:lineRule="exact"/>
              <w:ind w:left="0" w:right="0"/>
              <w:jc w:val="right"/>
              <w:rPr>
                <w:i/>
                <w:sz w:val="16"/>
                <w:lang w:val="en-US"/>
              </w:rPr>
            </w:pPr>
            <w:r w:rsidRPr="00222917">
              <w:rPr>
                <w:bCs/>
                <w:i/>
                <w:sz w:val="16"/>
                <w:lang w:val="en-US"/>
              </w:rPr>
              <w:t>Under</w:t>
            </w:r>
            <w:r w:rsidR="003A1B0B" w:rsidRPr="00222917">
              <w:rPr>
                <w:bCs/>
                <w:i/>
                <w:sz w:val="16"/>
                <w:lang w:val="en-US"/>
              </w:rPr>
              <w:br/>
            </w:r>
            <w:r w:rsidRPr="00222917">
              <w:rPr>
                <w:bCs/>
                <w:i/>
                <w:sz w:val="16"/>
                <w:lang w:val="en-US"/>
              </w:rPr>
              <w:t>investigation</w:t>
            </w:r>
          </w:p>
        </w:tc>
      </w:tr>
      <w:tr w:rsidR="0024745E" w:rsidRPr="00222917" w:rsidTr="009577C4">
        <w:trPr>
          <w:trHeight w:val="240"/>
        </w:trPr>
        <w:tc>
          <w:tcPr>
            <w:tcW w:w="1701" w:type="dxa"/>
            <w:tcBorders>
              <w:top w:val="single" w:sz="12" w:space="0" w:color="auto"/>
              <w:bottom w:val="single" w:sz="4" w:space="0" w:color="auto"/>
            </w:tcBorders>
            <w:shd w:val="clear" w:color="auto" w:fill="auto"/>
          </w:tcPr>
          <w:p w:rsidR="002D5BB0" w:rsidRPr="00222917" w:rsidRDefault="002D5BB0" w:rsidP="009577C4">
            <w:pPr>
              <w:pStyle w:val="SingleTxtG"/>
              <w:suppressAutoHyphens w:val="0"/>
              <w:spacing w:before="80" w:after="80" w:line="220" w:lineRule="exact"/>
              <w:ind w:left="284" w:right="0"/>
              <w:jc w:val="left"/>
              <w:rPr>
                <w:b/>
                <w:sz w:val="18"/>
                <w:lang w:val="en-US"/>
              </w:rPr>
            </w:pPr>
            <w:r w:rsidRPr="00222917">
              <w:rPr>
                <w:b/>
                <w:sz w:val="18"/>
                <w:lang w:val="en-US"/>
              </w:rPr>
              <w:t>Total</w:t>
            </w:r>
          </w:p>
        </w:tc>
        <w:tc>
          <w:tcPr>
            <w:tcW w:w="1418" w:type="dxa"/>
            <w:tcBorders>
              <w:top w:val="single" w:sz="12" w:space="0" w:color="auto"/>
              <w:bottom w:val="single" w:sz="4" w:space="0" w:color="auto"/>
            </w:tcBorders>
            <w:shd w:val="clear" w:color="auto" w:fill="auto"/>
            <w:vAlign w:val="bottom"/>
          </w:tcPr>
          <w:p w:rsidR="002D5BB0" w:rsidRPr="00222917" w:rsidRDefault="002D5BB0" w:rsidP="009577C4">
            <w:pPr>
              <w:pStyle w:val="SingleTxtG"/>
              <w:suppressAutoHyphens w:val="0"/>
              <w:spacing w:before="80" w:after="80" w:line="220" w:lineRule="exact"/>
              <w:ind w:left="0" w:right="0"/>
              <w:jc w:val="right"/>
              <w:rPr>
                <w:b/>
                <w:sz w:val="18"/>
                <w:lang w:val="en-US"/>
              </w:rPr>
            </w:pPr>
            <w:r w:rsidRPr="00222917">
              <w:rPr>
                <w:b/>
                <w:sz w:val="18"/>
                <w:lang w:val="en-US"/>
              </w:rPr>
              <w:t>3,817</w:t>
            </w:r>
          </w:p>
        </w:tc>
        <w:tc>
          <w:tcPr>
            <w:tcW w:w="1418" w:type="dxa"/>
            <w:tcBorders>
              <w:top w:val="single" w:sz="12" w:space="0" w:color="auto"/>
              <w:bottom w:val="single" w:sz="4" w:space="0" w:color="auto"/>
            </w:tcBorders>
            <w:shd w:val="clear" w:color="auto" w:fill="auto"/>
            <w:vAlign w:val="bottom"/>
          </w:tcPr>
          <w:p w:rsidR="002D5BB0" w:rsidRPr="00222917" w:rsidRDefault="002D5BB0" w:rsidP="009577C4">
            <w:pPr>
              <w:pStyle w:val="SingleTxtG"/>
              <w:suppressAutoHyphens w:val="0"/>
              <w:spacing w:before="80" w:after="80" w:line="220" w:lineRule="exact"/>
              <w:ind w:left="0" w:right="0"/>
              <w:jc w:val="right"/>
              <w:rPr>
                <w:b/>
                <w:sz w:val="18"/>
                <w:lang w:val="en-US"/>
              </w:rPr>
            </w:pPr>
            <w:r w:rsidRPr="00222917">
              <w:rPr>
                <w:b/>
                <w:sz w:val="18"/>
                <w:lang w:val="en-US"/>
              </w:rPr>
              <w:t>1022 (26.77%)</w:t>
            </w:r>
          </w:p>
        </w:tc>
        <w:tc>
          <w:tcPr>
            <w:tcW w:w="1418" w:type="dxa"/>
            <w:tcBorders>
              <w:top w:val="single" w:sz="12" w:space="0" w:color="auto"/>
              <w:bottom w:val="single" w:sz="4" w:space="0" w:color="auto"/>
            </w:tcBorders>
            <w:shd w:val="clear" w:color="auto" w:fill="auto"/>
            <w:vAlign w:val="bottom"/>
          </w:tcPr>
          <w:p w:rsidR="002D5BB0" w:rsidRPr="00222917" w:rsidRDefault="002D5BB0" w:rsidP="009577C4">
            <w:pPr>
              <w:pStyle w:val="SingleTxtG"/>
              <w:suppressAutoHyphens w:val="0"/>
              <w:spacing w:before="80" w:after="80" w:line="220" w:lineRule="exact"/>
              <w:ind w:left="0" w:right="0"/>
              <w:jc w:val="right"/>
              <w:rPr>
                <w:b/>
                <w:sz w:val="18"/>
                <w:lang w:val="en-US"/>
              </w:rPr>
            </w:pPr>
            <w:r w:rsidRPr="00222917">
              <w:rPr>
                <w:b/>
                <w:sz w:val="18"/>
                <w:lang w:val="en-US"/>
              </w:rPr>
              <w:t>325 (8.5%)</w:t>
            </w:r>
          </w:p>
        </w:tc>
        <w:tc>
          <w:tcPr>
            <w:tcW w:w="1418" w:type="dxa"/>
            <w:tcBorders>
              <w:top w:val="single" w:sz="12" w:space="0" w:color="auto"/>
              <w:bottom w:val="single" w:sz="4" w:space="0" w:color="auto"/>
            </w:tcBorders>
            <w:shd w:val="clear" w:color="auto" w:fill="auto"/>
            <w:vAlign w:val="bottom"/>
          </w:tcPr>
          <w:p w:rsidR="002D5BB0" w:rsidRPr="00222917" w:rsidRDefault="002D5BB0" w:rsidP="009577C4">
            <w:pPr>
              <w:pStyle w:val="SingleTxtG"/>
              <w:suppressAutoHyphens w:val="0"/>
              <w:spacing w:before="80" w:after="80" w:line="220" w:lineRule="exact"/>
              <w:ind w:left="0" w:right="0"/>
              <w:jc w:val="right"/>
              <w:rPr>
                <w:b/>
                <w:sz w:val="18"/>
                <w:lang w:val="en-US"/>
              </w:rPr>
            </w:pPr>
            <w:r w:rsidRPr="00222917">
              <w:rPr>
                <w:b/>
                <w:sz w:val="18"/>
                <w:lang w:val="en-US"/>
              </w:rPr>
              <w:t>0</w:t>
            </w:r>
          </w:p>
        </w:tc>
      </w:tr>
      <w:tr w:rsidR="0024745E" w:rsidRPr="00222917" w:rsidTr="009577C4">
        <w:trPr>
          <w:trHeight w:val="240"/>
        </w:trPr>
        <w:tc>
          <w:tcPr>
            <w:tcW w:w="1701" w:type="dxa"/>
            <w:tcBorders>
              <w:top w:val="single" w:sz="4" w:space="0" w:color="auto"/>
            </w:tcBorders>
            <w:shd w:val="clear" w:color="auto" w:fill="auto"/>
          </w:tcPr>
          <w:p w:rsidR="002D5BB0" w:rsidRPr="00222917" w:rsidRDefault="002D5BB0" w:rsidP="009577C4">
            <w:pPr>
              <w:pStyle w:val="SingleTxtG"/>
              <w:suppressAutoHyphens w:val="0"/>
              <w:spacing w:before="40" w:after="40" w:line="220" w:lineRule="exact"/>
              <w:ind w:left="0" w:right="0"/>
              <w:jc w:val="left"/>
              <w:rPr>
                <w:sz w:val="18"/>
                <w:lang w:val="en-US"/>
              </w:rPr>
            </w:pPr>
            <w:r w:rsidRPr="00222917">
              <w:rPr>
                <w:sz w:val="18"/>
                <w:lang w:val="en-US"/>
              </w:rPr>
              <w:t>Investigation</w:t>
            </w:r>
          </w:p>
        </w:tc>
        <w:tc>
          <w:tcPr>
            <w:tcW w:w="1418" w:type="dxa"/>
            <w:tcBorders>
              <w:top w:val="single" w:sz="4" w:space="0" w:color="auto"/>
            </w:tcBorders>
            <w:shd w:val="clear" w:color="auto" w:fill="auto"/>
            <w:vAlign w:val="bottom"/>
          </w:tcPr>
          <w:p w:rsidR="002D5BB0" w:rsidRPr="00222917" w:rsidRDefault="002D5BB0" w:rsidP="009577C4">
            <w:pPr>
              <w:pStyle w:val="SingleTxtG"/>
              <w:suppressAutoHyphens w:val="0"/>
              <w:spacing w:before="40" w:after="40" w:line="220" w:lineRule="exact"/>
              <w:ind w:left="0" w:right="0"/>
              <w:jc w:val="right"/>
              <w:rPr>
                <w:sz w:val="18"/>
                <w:lang w:val="en-US"/>
              </w:rPr>
            </w:pPr>
            <w:r w:rsidRPr="00222917">
              <w:rPr>
                <w:sz w:val="18"/>
                <w:lang w:val="en-US"/>
              </w:rPr>
              <w:t>386</w:t>
            </w:r>
          </w:p>
        </w:tc>
        <w:tc>
          <w:tcPr>
            <w:tcW w:w="1418" w:type="dxa"/>
            <w:tcBorders>
              <w:top w:val="single" w:sz="4" w:space="0" w:color="auto"/>
            </w:tcBorders>
            <w:shd w:val="clear" w:color="auto" w:fill="auto"/>
            <w:vAlign w:val="bottom"/>
          </w:tcPr>
          <w:p w:rsidR="002D5BB0" w:rsidRPr="00222917" w:rsidRDefault="002D5BB0" w:rsidP="009577C4">
            <w:pPr>
              <w:pStyle w:val="SingleTxtG"/>
              <w:suppressAutoHyphens w:val="0"/>
              <w:spacing w:before="40" w:after="40" w:line="220" w:lineRule="exact"/>
              <w:ind w:left="0" w:right="0"/>
              <w:jc w:val="right"/>
              <w:rPr>
                <w:sz w:val="18"/>
                <w:lang w:val="en-US"/>
              </w:rPr>
            </w:pPr>
            <w:r w:rsidRPr="00222917">
              <w:rPr>
                <w:sz w:val="18"/>
                <w:lang w:val="en-US"/>
              </w:rPr>
              <w:t>9 (2.33%)</w:t>
            </w:r>
          </w:p>
        </w:tc>
        <w:tc>
          <w:tcPr>
            <w:tcW w:w="1418" w:type="dxa"/>
            <w:tcBorders>
              <w:top w:val="single" w:sz="4" w:space="0" w:color="auto"/>
            </w:tcBorders>
            <w:shd w:val="clear" w:color="auto" w:fill="auto"/>
            <w:vAlign w:val="bottom"/>
          </w:tcPr>
          <w:p w:rsidR="002D5BB0" w:rsidRPr="00222917" w:rsidRDefault="002D5BB0" w:rsidP="009577C4">
            <w:pPr>
              <w:pStyle w:val="SingleTxtG"/>
              <w:suppressAutoHyphens w:val="0"/>
              <w:spacing w:before="40" w:after="40" w:line="220" w:lineRule="exact"/>
              <w:ind w:left="0" w:right="0"/>
              <w:jc w:val="right"/>
              <w:rPr>
                <w:sz w:val="18"/>
                <w:lang w:val="en-US"/>
              </w:rPr>
            </w:pPr>
            <w:r w:rsidRPr="00222917">
              <w:rPr>
                <w:sz w:val="18"/>
                <w:lang w:val="en-US"/>
              </w:rPr>
              <w:t>4 (1.0%)</w:t>
            </w:r>
          </w:p>
        </w:tc>
        <w:tc>
          <w:tcPr>
            <w:tcW w:w="1418" w:type="dxa"/>
            <w:tcBorders>
              <w:top w:val="single" w:sz="4" w:space="0" w:color="auto"/>
            </w:tcBorders>
            <w:shd w:val="clear" w:color="auto" w:fill="auto"/>
            <w:vAlign w:val="bottom"/>
          </w:tcPr>
          <w:p w:rsidR="002D5BB0" w:rsidRPr="00222917" w:rsidRDefault="002D5BB0" w:rsidP="009577C4">
            <w:pPr>
              <w:pStyle w:val="SingleTxtG"/>
              <w:suppressAutoHyphens w:val="0"/>
              <w:spacing w:before="40" w:after="40" w:line="220" w:lineRule="exact"/>
              <w:ind w:left="0" w:right="0"/>
              <w:jc w:val="right"/>
              <w:rPr>
                <w:sz w:val="18"/>
                <w:lang w:val="en-US"/>
              </w:rPr>
            </w:pPr>
            <w:r w:rsidRPr="00222917">
              <w:rPr>
                <w:sz w:val="18"/>
                <w:lang w:val="en-US"/>
              </w:rPr>
              <w:t>0</w:t>
            </w:r>
          </w:p>
        </w:tc>
      </w:tr>
      <w:tr w:rsidR="0024745E" w:rsidRPr="00222917" w:rsidTr="009577C4">
        <w:trPr>
          <w:trHeight w:val="240"/>
        </w:trPr>
        <w:tc>
          <w:tcPr>
            <w:tcW w:w="1701" w:type="dxa"/>
            <w:shd w:val="clear" w:color="auto" w:fill="auto"/>
          </w:tcPr>
          <w:p w:rsidR="002D5BB0" w:rsidRPr="00222917" w:rsidRDefault="002D5BB0" w:rsidP="009577C4">
            <w:pPr>
              <w:pStyle w:val="SingleTxtG"/>
              <w:suppressAutoHyphens w:val="0"/>
              <w:spacing w:before="40" w:after="40" w:line="220" w:lineRule="exact"/>
              <w:ind w:left="0" w:right="0"/>
              <w:jc w:val="left"/>
              <w:rPr>
                <w:sz w:val="18"/>
                <w:lang w:val="en-US"/>
              </w:rPr>
            </w:pPr>
            <w:r w:rsidRPr="00222917">
              <w:rPr>
                <w:sz w:val="18"/>
                <w:lang w:val="en-US"/>
              </w:rPr>
              <w:t>Correction</w:t>
            </w:r>
          </w:p>
        </w:tc>
        <w:tc>
          <w:tcPr>
            <w:tcW w:w="1418" w:type="dxa"/>
            <w:shd w:val="clear" w:color="auto" w:fill="auto"/>
            <w:vAlign w:val="bottom"/>
          </w:tcPr>
          <w:p w:rsidR="002D5BB0" w:rsidRPr="00222917" w:rsidRDefault="002D5BB0" w:rsidP="009577C4">
            <w:pPr>
              <w:pStyle w:val="SingleTxtG"/>
              <w:suppressAutoHyphens w:val="0"/>
              <w:spacing w:before="40" w:after="40" w:line="220" w:lineRule="exact"/>
              <w:ind w:left="0" w:right="0"/>
              <w:jc w:val="right"/>
              <w:rPr>
                <w:sz w:val="18"/>
                <w:lang w:val="en-US"/>
              </w:rPr>
            </w:pPr>
            <w:r w:rsidRPr="00222917">
              <w:rPr>
                <w:sz w:val="18"/>
                <w:lang w:val="en-US"/>
              </w:rPr>
              <w:t>2,413</w:t>
            </w:r>
          </w:p>
        </w:tc>
        <w:tc>
          <w:tcPr>
            <w:tcW w:w="1418" w:type="dxa"/>
            <w:shd w:val="clear" w:color="auto" w:fill="auto"/>
            <w:vAlign w:val="bottom"/>
          </w:tcPr>
          <w:p w:rsidR="002D5BB0" w:rsidRPr="00222917" w:rsidRDefault="002D5BB0" w:rsidP="009577C4">
            <w:pPr>
              <w:pStyle w:val="SingleTxtG"/>
              <w:suppressAutoHyphens w:val="0"/>
              <w:spacing w:before="40" w:after="40" w:line="220" w:lineRule="exact"/>
              <w:ind w:left="0" w:right="0"/>
              <w:jc w:val="right"/>
              <w:rPr>
                <w:sz w:val="18"/>
                <w:lang w:val="en-US"/>
              </w:rPr>
            </w:pPr>
            <w:r w:rsidRPr="00222917">
              <w:rPr>
                <w:sz w:val="18"/>
                <w:lang w:val="en-US"/>
              </w:rPr>
              <w:t>81 (33.81%)</w:t>
            </w:r>
          </w:p>
        </w:tc>
        <w:tc>
          <w:tcPr>
            <w:tcW w:w="1418" w:type="dxa"/>
            <w:shd w:val="clear" w:color="auto" w:fill="auto"/>
            <w:vAlign w:val="bottom"/>
          </w:tcPr>
          <w:p w:rsidR="002D5BB0" w:rsidRPr="00222917" w:rsidRDefault="002D5BB0" w:rsidP="009577C4">
            <w:pPr>
              <w:pStyle w:val="SingleTxtG"/>
              <w:suppressAutoHyphens w:val="0"/>
              <w:spacing w:before="40" w:after="40" w:line="220" w:lineRule="exact"/>
              <w:ind w:left="0" w:right="0"/>
              <w:jc w:val="right"/>
              <w:rPr>
                <w:sz w:val="18"/>
                <w:lang w:val="en-US"/>
              </w:rPr>
            </w:pPr>
            <w:r w:rsidRPr="00222917">
              <w:rPr>
                <w:sz w:val="18"/>
                <w:lang w:val="en-US"/>
              </w:rPr>
              <w:t>182 (7.5%)</w:t>
            </w:r>
          </w:p>
        </w:tc>
        <w:tc>
          <w:tcPr>
            <w:tcW w:w="1418" w:type="dxa"/>
            <w:shd w:val="clear" w:color="auto" w:fill="auto"/>
            <w:vAlign w:val="bottom"/>
          </w:tcPr>
          <w:p w:rsidR="002D5BB0" w:rsidRPr="00222917" w:rsidRDefault="002D5BB0" w:rsidP="009577C4">
            <w:pPr>
              <w:pStyle w:val="SingleTxtG"/>
              <w:suppressAutoHyphens w:val="0"/>
              <w:spacing w:before="40" w:after="40" w:line="220" w:lineRule="exact"/>
              <w:ind w:left="0" w:right="0"/>
              <w:jc w:val="right"/>
              <w:rPr>
                <w:sz w:val="18"/>
                <w:lang w:val="en-US"/>
              </w:rPr>
            </w:pPr>
            <w:r w:rsidRPr="00222917">
              <w:rPr>
                <w:sz w:val="18"/>
                <w:lang w:val="en-US"/>
              </w:rPr>
              <w:t>0</w:t>
            </w:r>
          </w:p>
        </w:tc>
      </w:tr>
      <w:tr w:rsidR="0024745E" w:rsidRPr="00222917" w:rsidTr="009577C4">
        <w:trPr>
          <w:trHeight w:val="240"/>
        </w:trPr>
        <w:tc>
          <w:tcPr>
            <w:tcW w:w="1701" w:type="dxa"/>
            <w:shd w:val="clear" w:color="auto" w:fill="auto"/>
          </w:tcPr>
          <w:p w:rsidR="002D5BB0" w:rsidRPr="00222917" w:rsidRDefault="002D5BB0" w:rsidP="009577C4">
            <w:pPr>
              <w:pStyle w:val="SingleTxtG"/>
              <w:suppressAutoHyphens w:val="0"/>
              <w:spacing w:before="40" w:after="40" w:line="220" w:lineRule="exact"/>
              <w:ind w:left="0" w:right="0"/>
              <w:jc w:val="left"/>
              <w:rPr>
                <w:sz w:val="18"/>
                <w:lang w:val="en-US"/>
              </w:rPr>
            </w:pPr>
            <w:r w:rsidRPr="00222917">
              <w:rPr>
                <w:sz w:val="18"/>
                <w:lang w:val="en-US"/>
              </w:rPr>
              <w:t>Immigration</w:t>
            </w:r>
          </w:p>
        </w:tc>
        <w:tc>
          <w:tcPr>
            <w:tcW w:w="1418" w:type="dxa"/>
            <w:shd w:val="clear" w:color="auto" w:fill="auto"/>
            <w:vAlign w:val="bottom"/>
          </w:tcPr>
          <w:p w:rsidR="002D5BB0" w:rsidRPr="00222917" w:rsidRDefault="002D5BB0" w:rsidP="009577C4">
            <w:pPr>
              <w:pStyle w:val="SingleTxtG"/>
              <w:suppressAutoHyphens w:val="0"/>
              <w:spacing w:before="40" w:after="40" w:line="220" w:lineRule="exact"/>
              <w:ind w:left="0" w:right="0"/>
              <w:jc w:val="right"/>
              <w:rPr>
                <w:sz w:val="18"/>
                <w:lang w:val="en-US"/>
              </w:rPr>
            </w:pPr>
            <w:r w:rsidRPr="00222917">
              <w:rPr>
                <w:sz w:val="18"/>
                <w:lang w:val="en-US"/>
              </w:rPr>
              <w:t>392</w:t>
            </w:r>
          </w:p>
        </w:tc>
        <w:tc>
          <w:tcPr>
            <w:tcW w:w="1418" w:type="dxa"/>
            <w:shd w:val="clear" w:color="auto" w:fill="auto"/>
            <w:vAlign w:val="bottom"/>
          </w:tcPr>
          <w:p w:rsidR="002D5BB0" w:rsidRPr="00222917" w:rsidRDefault="002D5BB0" w:rsidP="009577C4">
            <w:pPr>
              <w:pStyle w:val="SingleTxtG"/>
              <w:suppressAutoHyphens w:val="0"/>
              <w:spacing w:before="40" w:after="40" w:line="220" w:lineRule="exact"/>
              <w:ind w:left="0" w:right="0"/>
              <w:jc w:val="right"/>
              <w:rPr>
                <w:sz w:val="18"/>
                <w:lang w:val="en-US"/>
              </w:rPr>
            </w:pPr>
            <w:r w:rsidRPr="00222917">
              <w:rPr>
                <w:sz w:val="18"/>
                <w:lang w:val="en-US"/>
              </w:rPr>
              <w:t>112 (28.57%)</w:t>
            </w:r>
          </w:p>
        </w:tc>
        <w:tc>
          <w:tcPr>
            <w:tcW w:w="1418" w:type="dxa"/>
            <w:shd w:val="clear" w:color="auto" w:fill="auto"/>
            <w:vAlign w:val="bottom"/>
          </w:tcPr>
          <w:p w:rsidR="002D5BB0" w:rsidRPr="00222917" w:rsidRDefault="002D5BB0" w:rsidP="009577C4">
            <w:pPr>
              <w:pStyle w:val="SingleTxtG"/>
              <w:suppressAutoHyphens w:val="0"/>
              <w:spacing w:before="40" w:after="40" w:line="220" w:lineRule="exact"/>
              <w:ind w:left="0" w:right="0"/>
              <w:jc w:val="right"/>
              <w:rPr>
                <w:sz w:val="18"/>
                <w:lang w:val="en-US"/>
              </w:rPr>
            </w:pPr>
            <w:r w:rsidRPr="00222917">
              <w:rPr>
                <w:sz w:val="18"/>
                <w:lang w:val="en-US"/>
              </w:rPr>
              <w:t>77 (19.6%)</w:t>
            </w:r>
          </w:p>
        </w:tc>
        <w:tc>
          <w:tcPr>
            <w:tcW w:w="1418" w:type="dxa"/>
            <w:shd w:val="clear" w:color="auto" w:fill="auto"/>
            <w:vAlign w:val="bottom"/>
          </w:tcPr>
          <w:p w:rsidR="002D5BB0" w:rsidRPr="00222917" w:rsidRDefault="002D5BB0" w:rsidP="009577C4">
            <w:pPr>
              <w:pStyle w:val="SingleTxtG"/>
              <w:suppressAutoHyphens w:val="0"/>
              <w:spacing w:before="40" w:after="40" w:line="220" w:lineRule="exact"/>
              <w:ind w:left="0" w:right="0"/>
              <w:jc w:val="right"/>
              <w:rPr>
                <w:sz w:val="18"/>
                <w:lang w:val="en-US"/>
              </w:rPr>
            </w:pPr>
            <w:r w:rsidRPr="00222917">
              <w:rPr>
                <w:sz w:val="18"/>
                <w:lang w:val="en-US"/>
              </w:rPr>
              <w:t>0</w:t>
            </w:r>
          </w:p>
        </w:tc>
      </w:tr>
      <w:tr w:rsidR="0024745E" w:rsidRPr="00222917" w:rsidTr="009577C4">
        <w:trPr>
          <w:trHeight w:val="240"/>
        </w:trPr>
        <w:tc>
          <w:tcPr>
            <w:tcW w:w="1701" w:type="dxa"/>
            <w:shd w:val="clear" w:color="auto" w:fill="auto"/>
          </w:tcPr>
          <w:p w:rsidR="002D5BB0" w:rsidRPr="00222917" w:rsidRDefault="002D5BB0" w:rsidP="009577C4">
            <w:pPr>
              <w:pStyle w:val="SingleTxtG"/>
              <w:suppressAutoHyphens w:val="0"/>
              <w:spacing w:before="40" w:after="40" w:line="220" w:lineRule="exact"/>
              <w:ind w:left="0" w:right="0"/>
              <w:jc w:val="left"/>
              <w:rPr>
                <w:sz w:val="18"/>
                <w:lang w:val="en-US"/>
              </w:rPr>
            </w:pPr>
            <w:r w:rsidRPr="00222917">
              <w:rPr>
                <w:sz w:val="18"/>
                <w:lang w:val="en-US"/>
              </w:rPr>
              <w:t>Crime prevention</w:t>
            </w:r>
          </w:p>
        </w:tc>
        <w:tc>
          <w:tcPr>
            <w:tcW w:w="1418" w:type="dxa"/>
            <w:shd w:val="clear" w:color="auto" w:fill="auto"/>
            <w:vAlign w:val="bottom"/>
          </w:tcPr>
          <w:p w:rsidR="002D5BB0" w:rsidRPr="00222917" w:rsidRDefault="002D5BB0" w:rsidP="009577C4">
            <w:pPr>
              <w:pStyle w:val="SingleTxtG"/>
              <w:suppressAutoHyphens w:val="0"/>
              <w:spacing w:before="40" w:after="40" w:line="220" w:lineRule="exact"/>
              <w:ind w:left="0" w:right="0"/>
              <w:jc w:val="right"/>
              <w:rPr>
                <w:sz w:val="18"/>
                <w:lang w:val="en-US"/>
              </w:rPr>
            </w:pPr>
            <w:r w:rsidRPr="00222917">
              <w:rPr>
                <w:sz w:val="18"/>
                <w:lang w:val="en-US"/>
              </w:rPr>
              <w:t>121</w:t>
            </w:r>
          </w:p>
        </w:tc>
        <w:tc>
          <w:tcPr>
            <w:tcW w:w="1418" w:type="dxa"/>
            <w:shd w:val="clear" w:color="auto" w:fill="auto"/>
            <w:vAlign w:val="bottom"/>
          </w:tcPr>
          <w:p w:rsidR="002D5BB0" w:rsidRPr="00222917" w:rsidRDefault="002D5BB0" w:rsidP="009577C4">
            <w:pPr>
              <w:pStyle w:val="SingleTxtG"/>
              <w:suppressAutoHyphens w:val="0"/>
              <w:spacing w:before="40" w:after="40" w:line="220" w:lineRule="exact"/>
              <w:ind w:left="0" w:right="0"/>
              <w:jc w:val="right"/>
              <w:rPr>
                <w:sz w:val="18"/>
                <w:lang w:val="en-US"/>
              </w:rPr>
            </w:pPr>
            <w:r w:rsidRPr="00222917">
              <w:rPr>
                <w:sz w:val="18"/>
                <w:lang w:val="en-US"/>
              </w:rPr>
              <w:t>64 (52.89%)</w:t>
            </w:r>
          </w:p>
        </w:tc>
        <w:tc>
          <w:tcPr>
            <w:tcW w:w="1418" w:type="dxa"/>
            <w:shd w:val="clear" w:color="auto" w:fill="auto"/>
            <w:vAlign w:val="bottom"/>
          </w:tcPr>
          <w:p w:rsidR="002D5BB0" w:rsidRPr="00222917" w:rsidRDefault="002D5BB0" w:rsidP="009577C4">
            <w:pPr>
              <w:pStyle w:val="SingleTxtG"/>
              <w:suppressAutoHyphens w:val="0"/>
              <w:spacing w:before="40" w:after="40" w:line="220" w:lineRule="exact"/>
              <w:ind w:left="0" w:right="0"/>
              <w:jc w:val="right"/>
              <w:rPr>
                <w:sz w:val="18"/>
                <w:lang w:val="en-US"/>
              </w:rPr>
            </w:pPr>
            <w:r w:rsidRPr="00222917">
              <w:rPr>
                <w:sz w:val="18"/>
                <w:lang w:val="en-US"/>
              </w:rPr>
              <w:t>52 (43.0%)</w:t>
            </w:r>
          </w:p>
        </w:tc>
        <w:tc>
          <w:tcPr>
            <w:tcW w:w="1418" w:type="dxa"/>
            <w:shd w:val="clear" w:color="auto" w:fill="auto"/>
            <w:vAlign w:val="bottom"/>
          </w:tcPr>
          <w:p w:rsidR="002D5BB0" w:rsidRPr="00222917" w:rsidRDefault="002D5BB0" w:rsidP="009577C4">
            <w:pPr>
              <w:pStyle w:val="SingleTxtG"/>
              <w:suppressAutoHyphens w:val="0"/>
              <w:spacing w:before="40" w:after="40" w:line="220" w:lineRule="exact"/>
              <w:ind w:left="0" w:right="0"/>
              <w:jc w:val="right"/>
              <w:rPr>
                <w:sz w:val="18"/>
                <w:lang w:val="en-US"/>
              </w:rPr>
            </w:pPr>
            <w:r w:rsidRPr="00222917">
              <w:rPr>
                <w:sz w:val="18"/>
                <w:lang w:val="en-US"/>
              </w:rPr>
              <w:t>0</w:t>
            </w:r>
          </w:p>
        </w:tc>
      </w:tr>
      <w:tr w:rsidR="0024745E" w:rsidRPr="00222917" w:rsidTr="009577C4">
        <w:trPr>
          <w:trHeight w:val="240"/>
        </w:trPr>
        <w:tc>
          <w:tcPr>
            <w:tcW w:w="1701" w:type="dxa"/>
            <w:tcBorders>
              <w:bottom w:val="single" w:sz="12" w:space="0" w:color="auto"/>
            </w:tcBorders>
            <w:shd w:val="clear" w:color="auto" w:fill="auto"/>
          </w:tcPr>
          <w:p w:rsidR="002D5BB0" w:rsidRPr="00222917" w:rsidRDefault="002D5BB0" w:rsidP="009577C4">
            <w:pPr>
              <w:pStyle w:val="SingleTxtG"/>
              <w:suppressAutoHyphens w:val="0"/>
              <w:spacing w:before="40" w:after="40" w:line="220" w:lineRule="exact"/>
              <w:ind w:left="0" w:right="0"/>
              <w:jc w:val="left"/>
              <w:rPr>
                <w:sz w:val="18"/>
                <w:lang w:val="en-US"/>
              </w:rPr>
            </w:pPr>
            <w:r w:rsidRPr="00222917">
              <w:rPr>
                <w:sz w:val="18"/>
                <w:lang w:val="en-US"/>
              </w:rPr>
              <w:t>Others</w:t>
            </w:r>
          </w:p>
        </w:tc>
        <w:tc>
          <w:tcPr>
            <w:tcW w:w="1418" w:type="dxa"/>
            <w:tcBorders>
              <w:bottom w:val="single" w:sz="12" w:space="0" w:color="auto"/>
            </w:tcBorders>
            <w:shd w:val="clear" w:color="auto" w:fill="auto"/>
            <w:vAlign w:val="bottom"/>
          </w:tcPr>
          <w:p w:rsidR="002D5BB0" w:rsidRPr="00222917" w:rsidRDefault="002D5BB0" w:rsidP="009577C4">
            <w:pPr>
              <w:pStyle w:val="SingleTxtG"/>
              <w:suppressAutoHyphens w:val="0"/>
              <w:spacing w:before="40" w:after="40" w:line="220" w:lineRule="exact"/>
              <w:ind w:left="0" w:right="0"/>
              <w:jc w:val="right"/>
              <w:rPr>
                <w:sz w:val="18"/>
                <w:lang w:val="en-US"/>
              </w:rPr>
            </w:pPr>
            <w:r w:rsidRPr="00222917">
              <w:rPr>
                <w:sz w:val="18"/>
                <w:lang w:val="en-US"/>
              </w:rPr>
              <w:t>505</w:t>
            </w:r>
          </w:p>
        </w:tc>
        <w:tc>
          <w:tcPr>
            <w:tcW w:w="1418" w:type="dxa"/>
            <w:tcBorders>
              <w:bottom w:val="single" w:sz="12" w:space="0" w:color="auto"/>
            </w:tcBorders>
            <w:shd w:val="clear" w:color="auto" w:fill="auto"/>
            <w:vAlign w:val="bottom"/>
          </w:tcPr>
          <w:p w:rsidR="002D5BB0" w:rsidRPr="00222917" w:rsidRDefault="002D5BB0" w:rsidP="009577C4">
            <w:pPr>
              <w:pStyle w:val="SingleTxtG"/>
              <w:suppressAutoHyphens w:val="0"/>
              <w:spacing w:before="40" w:after="40" w:line="220" w:lineRule="exact"/>
              <w:ind w:left="0" w:right="0"/>
              <w:jc w:val="right"/>
              <w:rPr>
                <w:sz w:val="18"/>
                <w:lang w:val="en-US"/>
              </w:rPr>
            </w:pPr>
            <w:r w:rsidRPr="00222917">
              <w:rPr>
                <w:sz w:val="18"/>
                <w:lang w:val="en-US"/>
              </w:rPr>
              <w:t>21 (4.5%)</w:t>
            </w:r>
          </w:p>
        </w:tc>
        <w:tc>
          <w:tcPr>
            <w:tcW w:w="1418" w:type="dxa"/>
            <w:tcBorders>
              <w:bottom w:val="single" w:sz="12" w:space="0" w:color="auto"/>
            </w:tcBorders>
            <w:shd w:val="clear" w:color="auto" w:fill="auto"/>
            <w:vAlign w:val="bottom"/>
          </w:tcPr>
          <w:p w:rsidR="002D5BB0" w:rsidRPr="00222917" w:rsidRDefault="002D5BB0" w:rsidP="009577C4">
            <w:pPr>
              <w:pStyle w:val="SingleTxtG"/>
              <w:suppressAutoHyphens w:val="0"/>
              <w:spacing w:before="40" w:after="40" w:line="220" w:lineRule="exact"/>
              <w:ind w:left="0" w:right="0"/>
              <w:jc w:val="right"/>
              <w:rPr>
                <w:sz w:val="18"/>
                <w:lang w:val="en-US"/>
              </w:rPr>
            </w:pPr>
            <w:r w:rsidRPr="00222917">
              <w:rPr>
                <w:sz w:val="18"/>
                <w:lang w:val="en-US"/>
              </w:rPr>
              <w:t>10 (2.0%)</w:t>
            </w:r>
          </w:p>
        </w:tc>
        <w:tc>
          <w:tcPr>
            <w:tcW w:w="1418" w:type="dxa"/>
            <w:tcBorders>
              <w:bottom w:val="single" w:sz="12" w:space="0" w:color="auto"/>
            </w:tcBorders>
            <w:shd w:val="clear" w:color="auto" w:fill="auto"/>
            <w:vAlign w:val="bottom"/>
          </w:tcPr>
          <w:p w:rsidR="002D5BB0" w:rsidRPr="00222917" w:rsidRDefault="002D5BB0" w:rsidP="009577C4">
            <w:pPr>
              <w:pStyle w:val="SingleTxtG"/>
              <w:suppressAutoHyphens w:val="0"/>
              <w:spacing w:before="40" w:after="40" w:line="220" w:lineRule="exact"/>
              <w:ind w:left="0" w:right="0"/>
              <w:jc w:val="right"/>
              <w:rPr>
                <w:sz w:val="18"/>
                <w:lang w:val="en-US"/>
              </w:rPr>
            </w:pPr>
            <w:r w:rsidRPr="00222917">
              <w:rPr>
                <w:sz w:val="18"/>
                <w:lang w:val="en-US"/>
              </w:rPr>
              <w:t>0</w:t>
            </w:r>
          </w:p>
        </w:tc>
      </w:tr>
    </w:tbl>
    <w:p w:rsidR="002D5BB0" w:rsidRPr="00222917" w:rsidRDefault="00BC01D1" w:rsidP="00BC01D1">
      <w:pPr>
        <w:pStyle w:val="H4G"/>
        <w:rPr>
          <w:lang w:val="en-US"/>
        </w:rPr>
      </w:pPr>
      <w:bookmarkStart w:id="41" w:name="_Toc307504048"/>
      <w:bookmarkStart w:id="42" w:name="_Toc336435820"/>
      <w:r w:rsidRPr="00222917">
        <w:rPr>
          <w:lang w:val="en-US"/>
        </w:rPr>
        <w:tab/>
      </w:r>
      <w:r w:rsidRPr="00222917">
        <w:rPr>
          <w:lang w:val="en-US"/>
        </w:rPr>
        <w:tab/>
      </w:r>
      <w:r w:rsidR="002D5BB0" w:rsidRPr="00222917">
        <w:rPr>
          <w:lang w:val="en-US"/>
        </w:rPr>
        <w:t>Status of Petition System Operation in Correctional Facilities</w:t>
      </w:r>
      <w:bookmarkEnd w:id="41"/>
      <w:bookmarkEnd w:id="42"/>
      <w:r w:rsidR="002D5BB0" w:rsidRPr="00222917">
        <w:rPr>
          <w:lang w:val="en-US"/>
        </w:rPr>
        <w:t xml:space="preserve"> </w:t>
      </w:r>
    </w:p>
    <w:p w:rsidR="002D5BB0" w:rsidRPr="00222917" w:rsidRDefault="00547908" w:rsidP="00547908">
      <w:pPr>
        <w:pStyle w:val="SingleTxtG"/>
        <w:rPr>
          <w:lang w:val="en-US"/>
        </w:rPr>
      </w:pPr>
      <w:r w:rsidRPr="00222917">
        <w:rPr>
          <w:lang w:val="en-US"/>
        </w:rPr>
        <w:t>126.</w:t>
      </w:r>
      <w:r w:rsidRPr="00222917">
        <w:rPr>
          <w:lang w:val="en-US"/>
        </w:rPr>
        <w:tab/>
      </w:r>
      <w:r w:rsidR="002D5BB0" w:rsidRPr="00222917">
        <w:rPr>
          <w:lang w:val="en-US"/>
        </w:rPr>
        <w:t>The amended on 21 December 2007 allows inmates who wish to challenge</w:t>
      </w:r>
      <w:r w:rsidR="00C70182" w:rsidRPr="00C70182">
        <w:rPr>
          <w:iCs/>
          <w:lang w:val="en-US"/>
        </w:rPr>
        <w:t xml:space="preserve"> Administration and Treatment of Correctional Institution Inmates Act</w:t>
      </w:r>
      <w:r w:rsidR="002D5BB0" w:rsidRPr="00222917">
        <w:rPr>
          <w:lang w:val="en-US"/>
        </w:rPr>
        <w:t xml:space="preserve"> their treatment to file a petition not only with the Minister of Justice but also the heads of regional correction headquarters, granting them more opportunities to submit petitions</w:t>
      </w:r>
      <w:r w:rsidR="00B51F2A" w:rsidRPr="00222917">
        <w:rPr>
          <w:lang w:val="en-US"/>
        </w:rPr>
        <w:t xml:space="preserve"> (</w:t>
      </w:r>
      <w:r w:rsidR="00681EC0" w:rsidRPr="00222917">
        <w:rPr>
          <w:lang w:val="en-US"/>
        </w:rPr>
        <w:t>a</w:t>
      </w:r>
      <w:r w:rsidR="00B51F2A" w:rsidRPr="00222917">
        <w:rPr>
          <w:lang w:val="en-US"/>
        </w:rPr>
        <w:t>rticle </w:t>
      </w:r>
      <w:r w:rsidR="002D5BB0" w:rsidRPr="00222917">
        <w:rPr>
          <w:lang w:val="en-US"/>
        </w:rPr>
        <w:t>117). The</w:t>
      </w:r>
      <w:r w:rsidR="006E1165" w:rsidRPr="00222917">
        <w:rPr>
          <w:lang w:val="en-US"/>
        </w:rPr>
        <w:t> </w:t>
      </w:r>
      <w:r w:rsidR="002D5BB0" w:rsidRPr="00222917">
        <w:rPr>
          <w:lang w:val="en-US"/>
        </w:rPr>
        <w:t>scheme to enable submission of such petition to the Minister of Justice has been acknowledged as a remedy by involved institutions for violation of rights of inmates. Thus, the number of petitions instituted rose approximately 47% from 1,495 in 2006 to 2,205 in</w:t>
      </w:r>
      <w:r w:rsidR="006E1165" w:rsidRPr="00222917">
        <w:rPr>
          <w:lang w:val="en-US"/>
        </w:rPr>
        <w:t> </w:t>
      </w:r>
      <w:r w:rsidR="002D5BB0" w:rsidRPr="00222917">
        <w:rPr>
          <w:lang w:val="en-US"/>
        </w:rPr>
        <w:t xml:space="preserve">2009. </w:t>
      </w:r>
    </w:p>
    <w:p w:rsidR="002D5BB0" w:rsidRPr="00222917" w:rsidRDefault="006E1165" w:rsidP="006E1165">
      <w:pPr>
        <w:pStyle w:val="H23G"/>
        <w:rPr>
          <w:b w:val="0"/>
          <w:sz w:val="16"/>
          <w:szCs w:val="16"/>
          <w:lang w:val="en-US"/>
        </w:rPr>
      </w:pPr>
      <w:r w:rsidRPr="00222917">
        <w:rPr>
          <w:lang w:val="en-US"/>
        </w:rPr>
        <w:tab/>
      </w:r>
      <w:r w:rsidRPr="00222917">
        <w:rPr>
          <w:lang w:val="en-US"/>
        </w:rPr>
        <w:tab/>
      </w:r>
      <w:r w:rsidR="002D5BB0" w:rsidRPr="00222917">
        <w:rPr>
          <w:lang w:val="en-US"/>
        </w:rPr>
        <w:t>Number of Petitions Filed with the Minister of Justice</w:t>
      </w:r>
      <w:r w:rsidRPr="00222917">
        <w:rPr>
          <w:lang w:val="en-US"/>
        </w:rPr>
        <w:br/>
      </w:r>
      <w:r w:rsidR="001C7BFF" w:rsidRPr="00222917">
        <w:rPr>
          <w:b w:val="0"/>
          <w:sz w:val="16"/>
          <w:szCs w:val="16"/>
          <w:lang w:val="en-US"/>
        </w:rPr>
        <w:t>(Number of cases, %)</w:t>
      </w:r>
    </w:p>
    <w:tbl>
      <w:tblPr>
        <w:tblW w:w="0" w:type="auto"/>
        <w:tblInd w:w="1134" w:type="dxa"/>
        <w:tblBorders>
          <w:top w:val="single" w:sz="4" w:space="0" w:color="auto"/>
        </w:tblBorders>
        <w:tblLayout w:type="fixed"/>
        <w:tblCellMar>
          <w:left w:w="0" w:type="dxa"/>
          <w:right w:w="0" w:type="dxa"/>
        </w:tblCellMar>
        <w:tblLook w:val="0000"/>
      </w:tblPr>
      <w:tblGrid>
        <w:gridCol w:w="1814"/>
        <w:gridCol w:w="794"/>
        <w:gridCol w:w="794"/>
        <w:gridCol w:w="794"/>
        <w:gridCol w:w="794"/>
        <w:gridCol w:w="794"/>
        <w:gridCol w:w="794"/>
        <w:gridCol w:w="794"/>
      </w:tblGrid>
      <w:tr w:rsidR="001D2686" w:rsidRPr="00222917" w:rsidTr="00E024B6">
        <w:trPr>
          <w:trHeight w:val="240"/>
          <w:tblHeader/>
        </w:trPr>
        <w:tc>
          <w:tcPr>
            <w:tcW w:w="1814" w:type="dxa"/>
            <w:tcBorders>
              <w:top w:val="single" w:sz="4" w:space="0" w:color="auto"/>
              <w:bottom w:val="single" w:sz="12" w:space="0" w:color="auto"/>
            </w:tcBorders>
            <w:shd w:val="clear" w:color="auto" w:fill="auto"/>
            <w:vAlign w:val="bottom"/>
          </w:tcPr>
          <w:p w:rsidR="002D5BB0" w:rsidRPr="00222917" w:rsidRDefault="002D5BB0" w:rsidP="00011DD9">
            <w:pPr>
              <w:pStyle w:val="SingleTxtG"/>
              <w:suppressAutoHyphens w:val="0"/>
              <w:spacing w:before="80" w:after="80" w:line="200" w:lineRule="exact"/>
              <w:ind w:left="0" w:right="0"/>
              <w:jc w:val="left"/>
              <w:rPr>
                <w:i/>
                <w:sz w:val="16"/>
                <w:lang w:val="en-US"/>
              </w:rPr>
            </w:pPr>
            <w:bookmarkStart w:id="43" w:name="BM_6ac56cc2"/>
            <w:bookmarkEnd w:id="43"/>
            <w:r w:rsidRPr="00222917">
              <w:rPr>
                <w:bCs/>
                <w:i/>
                <w:sz w:val="16"/>
                <w:lang w:val="en-US"/>
              </w:rPr>
              <w:t>Year</w:t>
            </w:r>
          </w:p>
        </w:tc>
        <w:tc>
          <w:tcPr>
            <w:tcW w:w="794" w:type="dxa"/>
            <w:tcBorders>
              <w:top w:val="single" w:sz="4" w:space="0" w:color="auto"/>
              <w:bottom w:val="single" w:sz="12" w:space="0" w:color="auto"/>
            </w:tcBorders>
            <w:shd w:val="clear" w:color="auto" w:fill="auto"/>
            <w:vAlign w:val="bottom"/>
          </w:tcPr>
          <w:p w:rsidR="002D5BB0" w:rsidRPr="00222917" w:rsidRDefault="002D5BB0" w:rsidP="00011DD9">
            <w:pPr>
              <w:pStyle w:val="SingleTxtG"/>
              <w:suppressAutoHyphens w:val="0"/>
              <w:spacing w:before="80" w:after="80" w:line="200" w:lineRule="exact"/>
              <w:ind w:left="0" w:right="0"/>
              <w:jc w:val="right"/>
              <w:rPr>
                <w:i/>
                <w:sz w:val="16"/>
                <w:lang w:val="en-US"/>
              </w:rPr>
            </w:pPr>
            <w:r w:rsidRPr="00222917">
              <w:rPr>
                <w:bCs/>
                <w:i/>
                <w:sz w:val="16"/>
                <w:lang w:val="en-US"/>
              </w:rPr>
              <w:t>2004</w:t>
            </w:r>
          </w:p>
        </w:tc>
        <w:tc>
          <w:tcPr>
            <w:tcW w:w="794" w:type="dxa"/>
            <w:tcBorders>
              <w:top w:val="single" w:sz="4" w:space="0" w:color="auto"/>
              <w:bottom w:val="single" w:sz="12" w:space="0" w:color="auto"/>
            </w:tcBorders>
            <w:shd w:val="clear" w:color="auto" w:fill="auto"/>
            <w:vAlign w:val="bottom"/>
          </w:tcPr>
          <w:p w:rsidR="002D5BB0" w:rsidRPr="00222917" w:rsidRDefault="002D5BB0" w:rsidP="00011DD9">
            <w:pPr>
              <w:pStyle w:val="SingleTxtG"/>
              <w:suppressAutoHyphens w:val="0"/>
              <w:spacing w:before="80" w:after="80" w:line="200" w:lineRule="exact"/>
              <w:ind w:left="0" w:right="0"/>
              <w:jc w:val="right"/>
              <w:rPr>
                <w:i/>
                <w:sz w:val="16"/>
                <w:lang w:val="en-US"/>
              </w:rPr>
            </w:pPr>
            <w:r w:rsidRPr="00222917">
              <w:rPr>
                <w:bCs/>
                <w:i/>
                <w:sz w:val="16"/>
                <w:lang w:val="en-US"/>
              </w:rPr>
              <w:t>2005</w:t>
            </w:r>
          </w:p>
        </w:tc>
        <w:tc>
          <w:tcPr>
            <w:tcW w:w="794" w:type="dxa"/>
            <w:tcBorders>
              <w:top w:val="single" w:sz="4" w:space="0" w:color="auto"/>
              <w:bottom w:val="single" w:sz="12" w:space="0" w:color="auto"/>
            </w:tcBorders>
            <w:shd w:val="clear" w:color="auto" w:fill="auto"/>
            <w:vAlign w:val="bottom"/>
          </w:tcPr>
          <w:p w:rsidR="002D5BB0" w:rsidRPr="00222917" w:rsidRDefault="002D5BB0" w:rsidP="00011DD9">
            <w:pPr>
              <w:pStyle w:val="SingleTxtG"/>
              <w:suppressAutoHyphens w:val="0"/>
              <w:spacing w:before="80" w:after="80" w:line="200" w:lineRule="exact"/>
              <w:ind w:left="0" w:right="0"/>
              <w:jc w:val="right"/>
              <w:rPr>
                <w:i/>
                <w:sz w:val="16"/>
                <w:lang w:val="en-US"/>
              </w:rPr>
            </w:pPr>
            <w:r w:rsidRPr="00222917">
              <w:rPr>
                <w:bCs/>
                <w:i/>
                <w:sz w:val="16"/>
                <w:lang w:val="en-US"/>
              </w:rPr>
              <w:t>2006</w:t>
            </w:r>
          </w:p>
        </w:tc>
        <w:tc>
          <w:tcPr>
            <w:tcW w:w="794" w:type="dxa"/>
            <w:tcBorders>
              <w:top w:val="single" w:sz="4" w:space="0" w:color="auto"/>
              <w:bottom w:val="single" w:sz="12" w:space="0" w:color="auto"/>
            </w:tcBorders>
            <w:shd w:val="clear" w:color="auto" w:fill="auto"/>
            <w:vAlign w:val="bottom"/>
          </w:tcPr>
          <w:p w:rsidR="002D5BB0" w:rsidRPr="00222917" w:rsidRDefault="002D5BB0" w:rsidP="00011DD9">
            <w:pPr>
              <w:pStyle w:val="SingleTxtG"/>
              <w:suppressAutoHyphens w:val="0"/>
              <w:spacing w:before="80" w:after="80" w:line="200" w:lineRule="exact"/>
              <w:ind w:left="0" w:right="0"/>
              <w:jc w:val="right"/>
              <w:rPr>
                <w:i/>
                <w:sz w:val="16"/>
                <w:lang w:val="en-US"/>
              </w:rPr>
            </w:pPr>
            <w:r w:rsidRPr="00222917">
              <w:rPr>
                <w:bCs/>
                <w:i/>
                <w:sz w:val="16"/>
                <w:lang w:val="en-US"/>
              </w:rPr>
              <w:t>2007</w:t>
            </w:r>
          </w:p>
        </w:tc>
        <w:tc>
          <w:tcPr>
            <w:tcW w:w="794" w:type="dxa"/>
            <w:tcBorders>
              <w:top w:val="single" w:sz="4" w:space="0" w:color="auto"/>
              <w:bottom w:val="single" w:sz="12" w:space="0" w:color="auto"/>
            </w:tcBorders>
            <w:shd w:val="clear" w:color="auto" w:fill="auto"/>
            <w:vAlign w:val="bottom"/>
          </w:tcPr>
          <w:p w:rsidR="002D5BB0" w:rsidRPr="00222917" w:rsidRDefault="002D5BB0" w:rsidP="00011DD9">
            <w:pPr>
              <w:pStyle w:val="SingleTxtG"/>
              <w:suppressAutoHyphens w:val="0"/>
              <w:spacing w:before="80" w:after="80" w:line="200" w:lineRule="exact"/>
              <w:ind w:left="0" w:right="0"/>
              <w:jc w:val="right"/>
              <w:rPr>
                <w:i/>
                <w:sz w:val="16"/>
                <w:lang w:val="en-US"/>
              </w:rPr>
            </w:pPr>
            <w:r w:rsidRPr="00222917">
              <w:rPr>
                <w:bCs/>
                <w:i/>
                <w:sz w:val="16"/>
                <w:lang w:val="en-US"/>
              </w:rPr>
              <w:t>2008</w:t>
            </w:r>
          </w:p>
        </w:tc>
        <w:tc>
          <w:tcPr>
            <w:tcW w:w="794" w:type="dxa"/>
            <w:tcBorders>
              <w:top w:val="single" w:sz="4" w:space="0" w:color="auto"/>
              <w:bottom w:val="single" w:sz="12" w:space="0" w:color="auto"/>
            </w:tcBorders>
            <w:shd w:val="clear" w:color="auto" w:fill="auto"/>
            <w:vAlign w:val="bottom"/>
          </w:tcPr>
          <w:p w:rsidR="002D5BB0" w:rsidRPr="00222917" w:rsidRDefault="002D5BB0" w:rsidP="00011DD9">
            <w:pPr>
              <w:pStyle w:val="SingleTxtG"/>
              <w:suppressAutoHyphens w:val="0"/>
              <w:spacing w:before="80" w:after="80" w:line="200" w:lineRule="exact"/>
              <w:ind w:left="0" w:right="0"/>
              <w:jc w:val="right"/>
              <w:rPr>
                <w:i/>
                <w:sz w:val="16"/>
                <w:lang w:val="en-US"/>
              </w:rPr>
            </w:pPr>
            <w:r w:rsidRPr="00222917">
              <w:rPr>
                <w:bCs/>
                <w:i/>
                <w:sz w:val="16"/>
                <w:lang w:val="en-US"/>
              </w:rPr>
              <w:t>2009</w:t>
            </w:r>
          </w:p>
        </w:tc>
        <w:tc>
          <w:tcPr>
            <w:tcW w:w="794" w:type="dxa"/>
            <w:tcBorders>
              <w:top w:val="single" w:sz="4" w:space="0" w:color="auto"/>
              <w:bottom w:val="single" w:sz="12" w:space="0" w:color="auto"/>
            </w:tcBorders>
            <w:shd w:val="clear" w:color="auto" w:fill="auto"/>
            <w:vAlign w:val="bottom"/>
          </w:tcPr>
          <w:p w:rsidR="002D5BB0" w:rsidRPr="00222917" w:rsidRDefault="002D5BB0" w:rsidP="00011DD9">
            <w:pPr>
              <w:pStyle w:val="SingleTxtG"/>
              <w:suppressAutoHyphens w:val="0"/>
              <w:spacing w:before="80" w:after="80" w:line="200" w:lineRule="exact"/>
              <w:ind w:left="0" w:right="0"/>
              <w:jc w:val="right"/>
              <w:rPr>
                <w:bCs/>
                <w:i/>
                <w:sz w:val="16"/>
                <w:lang w:val="en-US"/>
              </w:rPr>
            </w:pPr>
            <w:r w:rsidRPr="00222917">
              <w:rPr>
                <w:bCs/>
                <w:i/>
                <w:sz w:val="16"/>
                <w:lang w:val="en-US"/>
              </w:rPr>
              <w:t>2010</w:t>
            </w:r>
          </w:p>
        </w:tc>
      </w:tr>
      <w:tr w:rsidR="0024745E" w:rsidRPr="00222917" w:rsidTr="00E024B6">
        <w:trPr>
          <w:trHeight w:val="240"/>
        </w:trPr>
        <w:tc>
          <w:tcPr>
            <w:tcW w:w="1814" w:type="dxa"/>
            <w:tcBorders>
              <w:top w:val="single" w:sz="12" w:space="0" w:color="auto"/>
            </w:tcBorders>
            <w:shd w:val="clear" w:color="auto" w:fill="auto"/>
          </w:tcPr>
          <w:p w:rsidR="002D5BB0" w:rsidRPr="00222917" w:rsidRDefault="00EE6AA5" w:rsidP="00011DD9">
            <w:pPr>
              <w:pStyle w:val="SingleTxtG"/>
              <w:suppressAutoHyphens w:val="0"/>
              <w:spacing w:before="40" w:after="40" w:line="220" w:lineRule="exact"/>
              <w:ind w:left="0" w:right="0"/>
              <w:jc w:val="left"/>
              <w:rPr>
                <w:sz w:val="18"/>
                <w:lang w:val="en-US"/>
              </w:rPr>
            </w:pPr>
            <w:r w:rsidRPr="00222917">
              <w:rPr>
                <w:sz w:val="18"/>
                <w:lang w:val="en-US"/>
              </w:rPr>
              <w:t>Number</w:t>
            </w:r>
            <w:r w:rsidR="002D5BB0" w:rsidRPr="00222917">
              <w:rPr>
                <w:sz w:val="18"/>
                <w:lang w:val="en-US"/>
              </w:rPr>
              <w:t xml:space="preserve"> of petitions</w:t>
            </w:r>
          </w:p>
        </w:tc>
        <w:tc>
          <w:tcPr>
            <w:tcW w:w="794" w:type="dxa"/>
            <w:tcBorders>
              <w:top w:val="single" w:sz="12" w:space="0" w:color="auto"/>
            </w:tcBorders>
            <w:shd w:val="clear" w:color="auto" w:fill="auto"/>
            <w:vAlign w:val="bottom"/>
          </w:tcPr>
          <w:p w:rsidR="002D5BB0" w:rsidRPr="00222917" w:rsidRDefault="002D5BB0" w:rsidP="00011DD9">
            <w:pPr>
              <w:pStyle w:val="SingleTxtG"/>
              <w:suppressAutoHyphens w:val="0"/>
              <w:spacing w:before="40" w:after="40" w:line="220" w:lineRule="exact"/>
              <w:ind w:left="0" w:right="0"/>
              <w:jc w:val="right"/>
              <w:rPr>
                <w:sz w:val="18"/>
                <w:lang w:val="en-US"/>
              </w:rPr>
            </w:pPr>
            <w:r w:rsidRPr="00222917">
              <w:rPr>
                <w:sz w:val="18"/>
                <w:lang w:val="en-US"/>
              </w:rPr>
              <w:t>1,200</w:t>
            </w:r>
          </w:p>
        </w:tc>
        <w:tc>
          <w:tcPr>
            <w:tcW w:w="794" w:type="dxa"/>
            <w:tcBorders>
              <w:top w:val="single" w:sz="12" w:space="0" w:color="auto"/>
            </w:tcBorders>
            <w:shd w:val="clear" w:color="auto" w:fill="auto"/>
            <w:vAlign w:val="bottom"/>
          </w:tcPr>
          <w:p w:rsidR="002D5BB0" w:rsidRPr="00222917" w:rsidRDefault="002D5BB0" w:rsidP="00011DD9">
            <w:pPr>
              <w:pStyle w:val="SingleTxtG"/>
              <w:suppressAutoHyphens w:val="0"/>
              <w:spacing w:before="40" w:after="40" w:line="220" w:lineRule="exact"/>
              <w:ind w:left="0" w:right="0"/>
              <w:jc w:val="right"/>
              <w:rPr>
                <w:sz w:val="18"/>
                <w:lang w:val="en-US"/>
              </w:rPr>
            </w:pPr>
            <w:r w:rsidRPr="00222917">
              <w:rPr>
                <w:sz w:val="18"/>
                <w:lang w:val="en-US"/>
              </w:rPr>
              <w:t>1,229</w:t>
            </w:r>
          </w:p>
        </w:tc>
        <w:tc>
          <w:tcPr>
            <w:tcW w:w="794" w:type="dxa"/>
            <w:tcBorders>
              <w:top w:val="single" w:sz="12" w:space="0" w:color="auto"/>
            </w:tcBorders>
            <w:shd w:val="clear" w:color="auto" w:fill="auto"/>
            <w:vAlign w:val="bottom"/>
          </w:tcPr>
          <w:p w:rsidR="002D5BB0" w:rsidRPr="00222917" w:rsidRDefault="002D5BB0" w:rsidP="00011DD9">
            <w:pPr>
              <w:pStyle w:val="SingleTxtG"/>
              <w:suppressAutoHyphens w:val="0"/>
              <w:spacing w:before="40" w:after="40" w:line="220" w:lineRule="exact"/>
              <w:ind w:left="0" w:right="0"/>
              <w:jc w:val="right"/>
              <w:rPr>
                <w:sz w:val="18"/>
                <w:lang w:val="en-US"/>
              </w:rPr>
            </w:pPr>
            <w:r w:rsidRPr="00222917">
              <w:rPr>
                <w:sz w:val="18"/>
                <w:lang w:val="en-US"/>
              </w:rPr>
              <w:t>1,495</w:t>
            </w:r>
          </w:p>
        </w:tc>
        <w:tc>
          <w:tcPr>
            <w:tcW w:w="794" w:type="dxa"/>
            <w:tcBorders>
              <w:top w:val="single" w:sz="12" w:space="0" w:color="auto"/>
            </w:tcBorders>
            <w:shd w:val="clear" w:color="auto" w:fill="auto"/>
            <w:vAlign w:val="bottom"/>
          </w:tcPr>
          <w:p w:rsidR="002D5BB0" w:rsidRPr="00222917" w:rsidRDefault="002D5BB0" w:rsidP="00011DD9">
            <w:pPr>
              <w:pStyle w:val="SingleTxtG"/>
              <w:suppressAutoHyphens w:val="0"/>
              <w:spacing w:before="40" w:after="40" w:line="220" w:lineRule="exact"/>
              <w:ind w:left="0" w:right="0"/>
              <w:jc w:val="right"/>
              <w:rPr>
                <w:sz w:val="18"/>
                <w:lang w:val="en-US"/>
              </w:rPr>
            </w:pPr>
            <w:r w:rsidRPr="00222917">
              <w:rPr>
                <w:sz w:val="18"/>
                <w:lang w:val="en-US"/>
              </w:rPr>
              <w:t>1,999</w:t>
            </w:r>
          </w:p>
        </w:tc>
        <w:tc>
          <w:tcPr>
            <w:tcW w:w="794" w:type="dxa"/>
            <w:tcBorders>
              <w:top w:val="single" w:sz="12" w:space="0" w:color="auto"/>
            </w:tcBorders>
            <w:shd w:val="clear" w:color="auto" w:fill="auto"/>
            <w:vAlign w:val="bottom"/>
          </w:tcPr>
          <w:p w:rsidR="002D5BB0" w:rsidRPr="00222917" w:rsidRDefault="002D5BB0" w:rsidP="00011DD9">
            <w:pPr>
              <w:pStyle w:val="SingleTxtG"/>
              <w:suppressAutoHyphens w:val="0"/>
              <w:spacing w:before="40" w:after="40" w:line="220" w:lineRule="exact"/>
              <w:ind w:left="0" w:right="0"/>
              <w:jc w:val="right"/>
              <w:rPr>
                <w:sz w:val="18"/>
                <w:lang w:val="en-US"/>
              </w:rPr>
            </w:pPr>
            <w:r w:rsidRPr="00222917">
              <w:rPr>
                <w:sz w:val="18"/>
                <w:lang w:val="en-US"/>
              </w:rPr>
              <w:t>2,330</w:t>
            </w:r>
          </w:p>
        </w:tc>
        <w:tc>
          <w:tcPr>
            <w:tcW w:w="794" w:type="dxa"/>
            <w:tcBorders>
              <w:top w:val="single" w:sz="12" w:space="0" w:color="auto"/>
            </w:tcBorders>
            <w:shd w:val="clear" w:color="auto" w:fill="auto"/>
            <w:vAlign w:val="bottom"/>
          </w:tcPr>
          <w:p w:rsidR="002D5BB0" w:rsidRPr="00222917" w:rsidRDefault="002D5BB0" w:rsidP="00011DD9">
            <w:pPr>
              <w:pStyle w:val="SingleTxtG"/>
              <w:suppressAutoHyphens w:val="0"/>
              <w:spacing w:before="40" w:after="40" w:line="220" w:lineRule="exact"/>
              <w:ind w:left="0" w:right="0"/>
              <w:jc w:val="right"/>
              <w:rPr>
                <w:sz w:val="18"/>
                <w:lang w:val="en-US"/>
              </w:rPr>
            </w:pPr>
            <w:r w:rsidRPr="00222917">
              <w:rPr>
                <w:sz w:val="18"/>
                <w:lang w:val="en-US"/>
              </w:rPr>
              <w:t>2,205</w:t>
            </w:r>
          </w:p>
        </w:tc>
        <w:tc>
          <w:tcPr>
            <w:tcW w:w="794" w:type="dxa"/>
            <w:tcBorders>
              <w:top w:val="single" w:sz="12" w:space="0" w:color="auto"/>
            </w:tcBorders>
            <w:shd w:val="clear" w:color="auto" w:fill="auto"/>
            <w:vAlign w:val="bottom"/>
          </w:tcPr>
          <w:p w:rsidR="002D5BB0" w:rsidRPr="00222917" w:rsidRDefault="002D5BB0" w:rsidP="00011DD9">
            <w:pPr>
              <w:pStyle w:val="SingleTxtG"/>
              <w:suppressAutoHyphens w:val="0"/>
              <w:spacing w:before="40" w:after="40" w:line="220" w:lineRule="exact"/>
              <w:ind w:left="0" w:right="0"/>
              <w:jc w:val="right"/>
              <w:rPr>
                <w:sz w:val="18"/>
                <w:lang w:val="en-US"/>
              </w:rPr>
            </w:pPr>
            <w:r w:rsidRPr="00222917">
              <w:rPr>
                <w:sz w:val="18"/>
                <w:lang w:val="en-US"/>
              </w:rPr>
              <w:t>1,573</w:t>
            </w:r>
          </w:p>
        </w:tc>
      </w:tr>
      <w:tr w:rsidR="0024745E" w:rsidRPr="00222917" w:rsidTr="00E024B6">
        <w:trPr>
          <w:trHeight w:val="240"/>
        </w:trPr>
        <w:tc>
          <w:tcPr>
            <w:tcW w:w="1814" w:type="dxa"/>
            <w:tcBorders>
              <w:bottom w:val="single" w:sz="12" w:space="0" w:color="auto"/>
            </w:tcBorders>
            <w:shd w:val="clear" w:color="auto" w:fill="auto"/>
          </w:tcPr>
          <w:p w:rsidR="002D5BB0" w:rsidRPr="00222917" w:rsidRDefault="002D5BB0" w:rsidP="00011DD9">
            <w:pPr>
              <w:pStyle w:val="SingleTxtG"/>
              <w:suppressAutoHyphens w:val="0"/>
              <w:spacing w:before="40" w:after="40" w:line="220" w:lineRule="exact"/>
              <w:ind w:left="0" w:right="0"/>
              <w:jc w:val="left"/>
              <w:rPr>
                <w:sz w:val="18"/>
                <w:lang w:val="en-US"/>
              </w:rPr>
            </w:pPr>
            <w:r w:rsidRPr="00222917">
              <w:rPr>
                <w:sz w:val="18"/>
                <w:lang w:val="en-US"/>
              </w:rPr>
              <w:t>Increase (decrease) rate from the previous year (%)</w:t>
            </w:r>
          </w:p>
        </w:tc>
        <w:tc>
          <w:tcPr>
            <w:tcW w:w="794" w:type="dxa"/>
            <w:tcBorders>
              <w:bottom w:val="single" w:sz="12" w:space="0" w:color="auto"/>
            </w:tcBorders>
            <w:shd w:val="clear" w:color="auto" w:fill="auto"/>
            <w:vAlign w:val="bottom"/>
          </w:tcPr>
          <w:p w:rsidR="002D5BB0" w:rsidRPr="00222917" w:rsidRDefault="002D5BB0" w:rsidP="00011DD9">
            <w:pPr>
              <w:pStyle w:val="SingleTxtG"/>
              <w:suppressAutoHyphens w:val="0"/>
              <w:spacing w:before="40" w:after="40" w:line="220" w:lineRule="exact"/>
              <w:ind w:left="0" w:right="0"/>
              <w:jc w:val="right"/>
              <w:rPr>
                <w:sz w:val="18"/>
                <w:lang w:val="en-US"/>
              </w:rPr>
            </w:pPr>
            <w:r w:rsidRPr="00222917">
              <w:rPr>
                <w:sz w:val="18"/>
                <w:lang w:val="en-US"/>
              </w:rPr>
              <w:t>-</w:t>
            </w:r>
          </w:p>
        </w:tc>
        <w:tc>
          <w:tcPr>
            <w:tcW w:w="794" w:type="dxa"/>
            <w:tcBorders>
              <w:bottom w:val="single" w:sz="12" w:space="0" w:color="auto"/>
            </w:tcBorders>
            <w:shd w:val="clear" w:color="auto" w:fill="auto"/>
            <w:vAlign w:val="bottom"/>
          </w:tcPr>
          <w:p w:rsidR="002D5BB0" w:rsidRPr="00222917" w:rsidRDefault="002D5BB0" w:rsidP="00011DD9">
            <w:pPr>
              <w:pStyle w:val="SingleTxtG"/>
              <w:suppressAutoHyphens w:val="0"/>
              <w:spacing w:before="40" w:after="40" w:line="220" w:lineRule="exact"/>
              <w:ind w:left="0" w:right="0"/>
              <w:jc w:val="right"/>
              <w:rPr>
                <w:sz w:val="18"/>
                <w:lang w:val="en-US"/>
              </w:rPr>
            </w:pPr>
            <w:r w:rsidRPr="00222917">
              <w:rPr>
                <w:sz w:val="18"/>
                <w:lang w:val="en-US"/>
              </w:rPr>
              <w:t>2.5</w:t>
            </w:r>
          </w:p>
        </w:tc>
        <w:tc>
          <w:tcPr>
            <w:tcW w:w="794" w:type="dxa"/>
            <w:tcBorders>
              <w:bottom w:val="single" w:sz="12" w:space="0" w:color="auto"/>
            </w:tcBorders>
            <w:shd w:val="clear" w:color="auto" w:fill="auto"/>
            <w:vAlign w:val="bottom"/>
          </w:tcPr>
          <w:p w:rsidR="002D5BB0" w:rsidRPr="00222917" w:rsidRDefault="002D5BB0" w:rsidP="00011DD9">
            <w:pPr>
              <w:pStyle w:val="SingleTxtG"/>
              <w:suppressAutoHyphens w:val="0"/>
              <w:spacing w:before="40" w:after="40" w:line="220" w:lineRule="exact"/>
              <w:ind w:left="0" w:right="0"/>
              <w:jc w:val="right"/>
              <w:rPr>
                <w:sz w:val="18"/>
                <w:lang w:val="en-US"/>
              </w:rPr>
            </w:pPr>
            <w:r w:rsidRPr="00222917">
              <w:rPr>
                <w:sz w:val="18"/>
                <w:lang w:val="en-US"/>
              </w:rPr>
              <w:t>21.6</w:t>
            </w:r>
          </w:p>
        </w:tc>
        <w:tc>
          <w:tcPr>
            <w:tcW w:w="794" w:type="dxa"/>
            <w:tcBorders>
              <w:bottom w:val="single" w:sz="12" w:space="0" w:color="auto"/>
            </w:tcBorders>
            <w:shd w:val="clear" w:color="auto" w:fill="auto"/>
            <w:vAlign w:val="bottom"/>
          </w:tcPr>
          <w:p w:rsidR="002D5BB0" w:rsidRPr="00222917" w:rsidRDefault="002D5BB0" w:rsidP="00011DD9">
            <w:pPr>
              <w:pStyle w:val="SingleTxtG"/>
              <w:suppressAutoHyphens w:val="0"/>
              <w:spacing w:before="40" w:after="40" w:line="220" w:lineRule="exact"/>
              <w:ind w:left="0" w:right="0"/>
              <w:jc w:val="right"/>
              <w:rPr>
                <w:sz w:val="18"/>
                <w:lang w:val="en-US"/>
              </w:rPr>
            </w:pPr>
            <w:r w:rsidRPr="00222917">
              <w:rPr>
                <w:sz w:val="18"/>
                <w:lang w:val="en-US"/>
              </w:rPr>
              <w:t>33.7</w:t>
            </w:r>
          </w:p>
        </w:tc>
        <w:tc>
          <w:tcPr>
            <w:tcW w:w="794" w:type="dxa"/>
            <w:tcBorders>
              <w:bottom w:val="single" w:sz="12" w:space="0" w:color="auto"/>
            </w:tcBorders>
            <w:shd w:val="clear" w:color="auto" w:fill="auto"/>
            <w:vAlign w:val="bottom"/>
          </w:tcPr>
          <w:p w:rsidR="002D5BB0" w:rsidRPr="00222917" w:rsidRDefault="002D5BB0" w:rsidP="00011DD9">
            <w:pPr>
              <w:pStyle w:val="SingleTxtG"/>
              <w:suppressAutoHyphens w:val="0"/>
              <w:spacing w:before="40" w:after="40" w:line="220" w:lineRule="exact"/>
              <w:ind w:left="0" w:right="0"/>
              <w:jc w:val="right"/>
              <w:rPr>
                <w:sz w:val="18"/>
                <w:lang w:val="en-US"/>
              </w:rPr>
            </w:pPr>
            <w:r w:rsidRPr="00222917">
              <w:rPr>
                <w:sz w:val="18"/>
                <w:lang w:val="en-US"/>
              </w:rPr>
              <w:t>16.6</w:t>
            </w:r>
          </w:p>
        </w:tc>
        <w:tc>
          <w:tcPr>
            <w:tcW w:w="794" w:type="dxa"/>
            <w:tcBorders>
              <w:bottom w:val="single" w:sz="12" w:space="0" w:color="auto"/>
            </w:tcBorders>
            <w:shd w:val="clear" w:color="auto" w:fill="auto"/>
            <w:vAlign w:val="bottom"/>
          </w:tcPr>
          <w:p w:rsidR="002D5BB0" w:rsidRPr="00222917" w:rsidRDefault="002D5BB0" w:rsidP="00011DD9">
            <w:pPr>
              <w:pStyle w:val="SingleTxtG"/>
              <w:suppressAutoHyphens w:val="0"/>
              <w:spacing w:before="40" w:after="40" w:line="220" w:lineRule="exact"/>
              <w:ind w:left="0" w:right="0"/>
              <w:jc w:val="right"/>
              <w:rPr>
                <w:sz w:val="18"/>
                <w:lang w:val="en-US"/>
              </w:rPr>
            </w:pPr>
            <w:r w:rsidRPr="00222917">
              <w:rPr>
                <w:sz w:val="18"/>
                <w:lang w:val="en-US"/>
              </w:rPr>
              <w:softHyphen/>
              <w:t>5.4</w:t>
            </w:r>
          </w:p>
        </w:tc>
        <w:tc>
          <w:tcPr>
            <w:tcW w:w="794" w:type="dxa"/>
            <w:tcBorders>
              <w:bottom w:val="single" w:sz="12" w:space="0" w:color="auto"/>
            </w:tcBorders>
            <w:shd w:val="clear" w:color="auto" w:fill="auto"/>
            <w:vAlign w:val="bottom"/>
          </w:tcPr>
          <w:p w:rsidR="002D5BB0" w:rsidRPr="00222917" w:rsidRDefault="002D5BB0" w:rsidP="00011DD9">
            <w:pPr>
              <w:pStyle w:val="SingleTxtG"/>
              <w:suppressAutoHyphens w:val="0"/>
              <w:spacing w:before="40" w:after="40" w:line="220" w:lineRule="exact"/>
              <w:ind w:left="0" w:right="0"/>
              <w:jc w:val="right"/>
              <w:rPr>
                <w:sz w:val="18"/>
                <w:lang w:val="en-US"/>
              </w:rPr>
            </w:pPr>
            <w:r w:rsidRPr="00222917">
              <w:rPr>
                <w:sz w:val="18"/>
                <w:lang w:val="en-US"/>
              </w:rPr>
              <w:t>-28.7</w:t>
            </w:r>
          </w:p>
        </w:tc>
      </w:tr>
    </w:tbl>
    <w:p w:rsidR="002D5BB0" w:rsidRPr="00222917" w:rsidRDefault="00547908" w:rsidP="00547908">
      <w:pPr>
        <w:pStyle w:val="SingleTxtG"/>
        <w:spacing w:before="240"/>
        <w:rPr>
          <w:lang w:val="en-US"/>
        </w:rPr>
      </w:pPr>
      <w:r w:rsidRPr="00222917">
        <w:rPr>
          <w:lang w:val="en-US"/>
        </w:rPr>
        <w:t>127.</w:t>
      </w:r>
      <w:r w:rsidRPr="00222917">
        <w:rPr>
          <w:lang w:val="en-US"/>
        </w:rPr>
        <w:tab/>
      </w:r>
      <w:r w:rsidR="002D5BB0" w:rsidRPr="00222917">
        <w:rPr>
          <w:lang w:val="en-US"/>
        </w:rPr>
        <w:t>The increase in the number of petitions filed by inmates delayed their processing. In</w:t>
      </w:r>
      <w:r w:rsidR="00011DD9" w:rsidRPr="00222917">
        <w:rPr>
          <w:lang w:val="en-US"/>
        </w:rPr>
        <w:t> </w:t>
      </w:r>
      <w:r w:rsidR="002D5BB0" w:rsidRPr="00222917">
        <w:rPr>
          <w:lang w:val="en-US"/>
        </w:rPr>
        <w:t>2006, each petition was processed in 87.7 days on average. With revision of the Guidelines on Handling of Petition-Related Affairs on 2 September 2009, the average period shortened to 80.5 days in 2009. To speed up petition processing, the petition investigation period for urgent matters was limited to 20 days. An expedited investigation system was adopted to ensure that remedy for violation of rights is accomplished within 30</w:t>
      </w:r>
      <w:r w:rsidR="006C4F5C" w:rsidRPr="00222917">
        <w:rPr>
          <w:lang w:val="en-US"/>
        </w:rPr>
        <w:t> </w:t>
      </w:r>
      <w:r w:rsidR="002D5BB0" w:rsidRPr="00222917">
        <w:rPr>
          <w:lang w:val="en-US"/>
        </w:rPr>
        <w:t xml:space="preserve">days. With respect to cases not requiring fact-finding reviews, a written investigation was introduced to allow for swift decisions on petitions through independent examination without investigation by petition investigators. In the future, expedited investigation instructions will be made concerning major and urgent </w:t>
      </w:r>
      <w:r w:rsidR="002D5BB0" w:rsidRPr="00222917">
        <w:rPr>
          <w:bCs/>
          <w:lang w:val="en-US"/>
        </w:rPr>
        <w:t>petitions</w:t>
      </w:r>
      <w:r w:rsidR="002D5BB0" w:rsidRPr="00222917">
        <w:rPr>
          <w:lang w:val="en-US"/>
        </w:rPr>
        <w:t>; the functions of a complaint handling team that handles petitions at each correction facility will be strengthened; and petition investigation staff at regional correction headquarters will be utilized more efficiently as part of a consistent effort to further streamline the petition processing period.</w:t>
      </w:r>
      <w:r w:rsidR="00120D8B" w:rsidRPr="00222917">
        <w:rPr>
          <w:lang w:val="en-US"/>
        </w:rPr>
        <w:t xml:space="preserve"> </w:t>
      </w:r>
    </w:p>
    <w:p w:rsidR="002D5BB0" w:rsidRPr="00222917" w:rsidRDefault="001C7BFF" w:rsidP="001C7BFF">
      <w:pPr>
        <w:pStyle w:val="H23G"/>
        <w:rPr>
          <w:b w:val="0"/>
          <w:sz w:val="16"/>
          <w:szCs w:val="16"/>
          <w:lang w:val="en-US"/>
        </w:rPr>
      </w:pPr>
      <w:r w:rsidRPr="00222917">
        <w:rPr>
          <w:lang w:val="en-US"/>
        </w:rPr>
        <w:tab/>
      </w:r>
      <w:r w:rsidRPr="00222917">
        <w:rPr>
          <w:lang w:val="en-US"/>
        </w:rPr>
        <w:tab/>
      </w:r>
      <w:r w:rsidR="002D5BB0" w:rsidRPr="00222917">
        <w:rPr>
          <w:lang w:val="en-US"/>
        </w:rPr>
        <w:t>Petition Processing Period by Year</w:t>
      </w:r>
      <w:r w:rsidRPr="00222917">
        <w:rPr>
          <w:lang w:val="en-US"/>
        </w:rPr>
        <w:br/>
      </w:r>
      <w:r w:rsidR="002D5BB0" w:rsidRPr="00222917">
        <w:rPr>
          <w:b w:val="0"/>
          <w:sz w:val="16"/>
          <w:szCs w:val="16"/>
          <w:lang w:val="en-US"/>
        </w:rPr>
        <w:t>(Number of days)</w:t>
      </w:r>
    </w:p>
    <w:tbl>
      <w:tblPr>
        <w:tblW w:w="0" w:type="auto"/>
        <w:tblInd w:w="1134" w:type="dxa"/>
        <w:tblBorders>
          <w:top w:val="single" w:sz="4" w:space="0" w:color="auto"/>
          <w:bottom w:val="single" w:sz="12" w:space="0" w:color="auto"/>
          <w:insideH w:val="single" w:sz="12" w:space="0" w:color="auto"/>
        </w:tblBorders>
        <w:tblLayout w:type="fixed"/>
        <w:tblCellMar>
          <w:left w:w="0" w:type="dxa"/>
          <w:right w:w="0" w:type="dxa"/>
        </w:tblCellMar>
        <w:tblLook w:val="0000"/>
      </w:tblPr>
      <w:tblGrid>
        <w:gridCol w:w="1701"/>
        <w:gridCol w:w="1134"/>
        <w:gridCol w:w="1134"/>
        <w:gridCol w:w="1134"/>
        <w:gridCol w:w="1134"/>
        <w:gridCol w:w="1134"/>
      </w:tblGrid>
      <w:tr w:rsidR="001D2686" w:rsidRPr="00222917" w:rsidTr="001C7BFF">
        <w:trPr>
          <w:trHeight w:val="240"/>
          <w:tblHeader/>
        </w:trPr>
        <w:tc>
          <w:tcPr>
            <w:tcW w:w="1701" w:type="dxa"/>
            <w:shd w:val="clear" w:color="auto" w:fill="auto"/>
            <w:vAlign w:val="bottom"/>
          </w:tcPr>
          <w:p w:rsidR="002D5BB0" w:rsidRPr="00222917" w:rsidRDefault="002D5BB0" w:rsidP="001C7BFF">
            <w:pPr>
              <w:pStyle w:val="SingleTxtG"/>
              <w:suppressAutoHyphens w:val="0"/>
              <w:spacing w:before="80" w:after="80" w:line="200" w:lineRule="exact"/>
              <w:ind w:left="0" w:right="0"/>
              <w:jc w:val="left"/>
              <w:rPr>
                <w:i/>
                <w:sz w:val="16"/>
                <w:lang w:val="en-US"/>
              </w:rPr>
            </w:pPr>
            <w:bookmarkStart w:id="44" w:name="BM_6ac56cc3"/>
            <w:bookmarkEnd w:id="44"/>
            <w:r w:rsidRPr="00222917">
              <w:rPr>
                <w:bCs/>
                <w:i/>
                <w:sz w:val="16"/>
                <w:lang w:val="en-US"/>
              </w:rPr>
              <w:t>Year</w:t>
            </w:r>
          </w:p>
        </w:tc>
        <w:tc>
          <w:tcPr>
            <w:tcW w:w="1134" w:type="dxa"/>
            <w:shd w:val="clear" w:color="auto" w:fill="auto"/>
            <w:vAlign w:val="bottom"/>
          </w:tcPr>
          <w:p w:rsidR="002D5BB0" w:rsidRPr="00222917" w:rsidRDefault="002D5BB0" w:rsidP="001C7BFF">
            <w:pPr>
              <w:pStyle w:val="SingleTxtG"/>
              <w:suppressAutoHyphens w:val="0"/>
              <w:spacing w:before="80" w:after="80" w:line="200" w:lineRule="exact"/>
              <w:ind w:left="0" w:right="0"/>
              <w:jc w:val="right"/>
              <w:rPr>
                <w:i/>
                <w:sz w:val="16"/>
                <w:lang w:val="en-US"/>
              </w:rPr>
            </w:pPr>
            <w:r w:rsidRPr="00222917">
              <w:rPr>
                <w:bCs/>
                <w:i/>
                <w:sz w:val="16"/>
                <w:lang w:val="en-US"/>
              </w:rPr>
              <w:t>2006</w:t>
            </w:r>
          </w:p>
        </w:tc>
        <w:tc>
          <w:tcPr>
            <w:tcW w:w="1134" w:type="dxa"/>
            <w:shd w:val="clear" w:color="auto" w:fill="auto"/>
            <w:vAlign w:val="bottom"/>
          </w:tcPr>
          <w:p w:rsidR="002D5BB0" w:rsidRPr="00222917" w:rsidRDefault="002D5BB0" w:rsidP="001C7BFF">
            <w:pPr>
              <w:pStyle w:val="SingleTxtG"/>
              <w:suppressAutoHyphens w:val="0"/>
              <w:spacing w:before="80" w:after="80" w:line="200" w:lineRule="exact"/>
              <w:ind w:left="0" w:right="0"/>
              <w:jc w:val="right"/>
              <w:rPr>
                <w:i/>
                <w:sz w:val="16"/>
                <w:lang w:val="en-US"/>
              </w:rPr>
            </w:pPr>
            <w:r w:rsidRPr="00222917">
              <w:rPr>
                <w:bCs/>
                <w:i/>
                <w:sz w:val="16"/>
                <w:lang w:val="en-US"/>
              </w:rPr>
              <w:t>2007</w:t>
            </w:r>
          </w:p>
        </w:tc>
        <w:tc>
          <w:tcPr>
            <w:tcW w:w="1134" w:type="dxa"/>
            <w:shd w:val="clear" w:color="auto" w:fill="auto"/>
            <w:vAlign w:val="bottom"/>
          </w:tcPr>
          <w:p w:rsidR="002D5BB0" w:rsidRPr="00222917" w:rsidRDefault="002D5BB0" w:rsidP="001C7BFF">
            <w:pPr>
              <w:pStyle w:val="SingleTxtG"/>
              <w:suppressAutoHyphens w:val="0"/>
              <w:spacing w:before="80" w:after="80" w:line="200" w:lineRule="exact"/>
              <w:ind w:left="0" w:right="0"/>
              <w:jc w:val="right"/>
              <w:rPr>
                <w:i/>
                <w:sz w:val="16"/>
                <w:lang w:val="en-US"/>
              </w:rPr>
            </w:pPr>
            <w:r w:rsidRPr="00222917">
              <w:rPr>
                <w:bCs/>
                <w:i/>
                <w:sz w:val="16"/>
                <w:lang w:val="en-US"/>
              </w:rPr>
              <w:t>2008</w:t>
            </w:r>
          </w:p>
        </w:tc>
        <w:tc>
          <w:tcPr>
            <w:tcW w:w="1134" w:type="dxa"/>
            <w:shd w:val="clear" w:color="auto" w:fill="auto"/>
            <w:vAlign w:val="bottom"/>
          </w:tcPr>
          <w:p w:rsidR="002D5BB0" w:rsidRPr="00222917" w:rsidRDefault="002D5BB0" w:rsidP="001C7BFF">
            <w:pPr>
              <w:pStyle w:val="SingleTxtG"/>
              <w:suppressAutoHyphens w:val="0"/>
              <w:spacing w:before="80" w:after="80" w:line="200" w:lineRule="exact"/>
              <w:ind w:left="0" w:right="0"/>
              <w:jc w:val="right"/>
              <w:rPr>
                <w:i/>
                <w:sz w:val="16"/>
                <w:lang w:val="en-US"/>
              </w:rPr>
            </w:pPr>
            <w:r w:rsidRPr="00222917">
              <w:rPr>
                <w:bCs/>
                <w:i/>
                <w:sz w:val="16"/>
                <w:lang w:val="en-US"/>
              </w:rPr>
              <w:t>2009</w:t>
            </w:r>
          </w:p>
        </w:tc>
        <w:tc>
          <w:tcPr>
            <w:tcW w:w="1134" w:type="dxa"/>
            <w:shd w:val="clear" w:color="auto" w:fill="auto"/>
            <w:vAlign w:val="bottom"/>
          </w:tcPr>
          <w:p w:rsidR="002D5BB0" w:rsidRPr="00222917" w:rsidRDefault="002D5BB0" w:rsidP="001C7BFF">
            <w:pPr>
              <w:pStyle w:val="SingleTxtG"/>
              <w:suppressAutoHyphens w:val="0"/>
              <w:spacing w:before="80" w:after="80" w:line="200" w:lineRule="exact"/>
              <w:ind w:left="0" w:right="0"/>
              <w:jc w:val="right"/>
              <w:rPr>
                <w:bCs/>
                <w:i/>
                <w:sz w:val="16"/>
                <w:lang w:val="en-US"/>
              </w:rPr>
            </w:pPr>
            <w:r w:rsidRPr="00222917">
              <w:rPr>
                <w:bCs/>
                <w:i/>
                <w:sz w:val="16"/>
                <w:lang w:val="en-US"/>
              </w:rPr>
              <w:t>2010</w:t>
            </w:r>
          </w:p>
        </w:tc>
      </w:tr>
      <w:tr w:rsidR="001D2686" w:rsidRPr="00222917" w:rsidTr="001C7BFF">
        <w:trPr>
          <w:trHeight w:val="240"/>
        </w:trPr>
        <w:tc>
          <w:tcPr>
            <w:tcW w:w="1701" w:type="dxa"/>
            <w:shd w:val="clear" w:color="auto" w:fill="auto"/>
          </w:tcPr>
          <w:p w:rsidR="002D5BB0" w:rsidRPr="00222917" w:rsidRDefault="002D5BB0" w:rsidP="001C7BFF">
            <w:pPr>
              <w:pStyle w:val="SingleTxtG"/>
              <w:suppressAutoHyphens w:val="0"/>
              <w:spacing w:before="40" w:after="40" w:line="220" w:lineRule="exact"/>
              <w:ind w:left="0" w:right="0"/>
              <w:jc w:val="left"/>
              <w:rPr>
                <w:sz w:val="18"/>
                <w:lang w:val="en-US"/>
              </w:rPr>
            </w:pPr>
            <w:r w:rsidRPr="00222917">
              <w:rPr>
                <w:sz w:val="18"/>
                <w:lang w:val="en-US"/>
              </w:rPr>
              <w:t>Average processing period</w:t>
            </w:r>
          </w:p>
        </w:tc>
        <w:tc>
          <w:tcPr>
            <w:tcW w:w="1134" w:type="dxa"/>
            <w:shd w:val="clear" w:color="auto" w:fill="auto"/>
            <w:vAlign w:val="bottom"/>
          </w:tcPr>
          <w:p w:rsidR="002D5BB0" w:rsidRPr="00222917" w:rsidRDefault="002D5BB0" w:rsidP="001C7BFF">
            <w:pPr>
              <w:pStyle w:val="SingleTxtG"/>
              <w:suppressAutoHyphens w:val="0"/>
              <w:spacing w:before="40" w:after="40" w:line="220" w:lineRule="exact"/>
              <w:ind w:left="0" w:right="0"/>
              <w:jc w:val="right"/>
              <w:rPr>
                <w:sz w:val="18"/>
                <w:lang w:val="en-US"/>
              </w:rPr>
            </w:pPr>
            <w:r w:rsidRPr="00222917">
              <w:rPr>
                <w:sz w:val="18"/>
                <w:lang w:val="en-US"/>
              </w:rPr>
              <w:t>87.7</w:t>
            </w:r>
          </w:p>
        </w:tc>
        <w:tc>
          <w:tcPr>
            <w:tcW w:w="1134" w:type="dxa"/>
            <w:shd w:val="clear" w:color="auto" w:fill="auto"/>
            <w:vAlign w:val="bottom"/>
          </w:tcPr>
          <w:p w:rsidR="002D5BB0" w:rsidRPr="00222917" w:rsidRDefault="002D5BB0" w:rsidP="001C7BFF">
            <w:pPr>
              <w:pStyle w:val="SingleTxtG"/>
              <w:suppressAutoHyphens w:val="0"/>
              <w:spacing w:before="40" w:after="40" w:line="220" w:lineRule="exact"/>
              <w:ind w:left="0" w:right="0"/>
              <w:jc w:val="right"/>
              <w:rPr>
                <w:sz w:val="18"/>
                <w:lang w:val="en-US"/>
              </w:rPr>
            </w:pPr>
            <w:r w:rsidRPr="00222917">
              <w:rPr>
                <w:sz w:val="18"/>
                <w:lang w:val="en-US"/>
              </w:rPr>
              <w:t>87.3</w:t>
            </w:r>
          </w:p>
        </w:tc>
        <w:tc>
          <w:tcPr>
            <w:tcW w:w="1134" w:type="dxa"/>
            <w:shd w:val="clear" w:color="auto" w:fill="auto"/>
            <w:vAlign w:val="bottom"/>
          </w:tcPr>
          <w:p w:rsidR="002D5BB0" w:rsidRPr="00222917" w:rsidRDefault="002D5BB0" w:rsidP="001C7BFF">
            <w:pPr>
              <w:pStyle w:val="SingleTxtG"/>
              <w:suppressAutoHyphens w:val="0"/>
              <w:spacing w:before="40" w:after="40" w:line="220" w:lineRule="exact"/>
              <w:ind w:left="0" w:right="0"/>
              <w:jc w:val="right"/>
              <w:rPr>
                <w:sz w:val="18"/>
                <w:lang w:val="en-US"/>
              </w:rPr>
            </w:pPr>
            <w:r w:rsidRPr="00222917">
              <w:rPr>
                <w:sz w:val="18"/>
                <w:lang w:val="en-US"/>
              </w:rPr>
              <w:t>84</w:t>
            </w:r>
          </w:p>
        </w:tc>
        <w:tc>
          <w:tcPr>
            <w:tcW w:w="1134" w:type="dxa"/>
            <w:shd w:val="clear" w:color="auto" w:fill="auto"/>
            <w:vAlign w:val="bottom"/>
          </w:tcPr>
          <w:p w:rsidR="002D5BB0" w:rsidRPr="00222917" w:rsidRDefault="002D5BB0" w:rsidP="001C7BFF">
            <w:pPr>
              <w:pStyle w:val="SingleTxtG"/>
              <w:suppressAutoHyphens w:val="0"/>
              <w:spacing w:before="40" w:after="40" w:line="220" w:lineRule="exact"/>
              <w:ind w:left="0" w:right="0"/>
              <w:jc w:val="right"/>
              <w:rPr>
                <w:sz w:val="18"/>
                <w:lang w:val="en-US"/>
              </w:rPr>
            </w:pPr>
            <w:r w:rsidRPr="00222917">
              <w:rPr>
                <w:bCs/>
                <w:sz w:val="18"/>
                <w:lang w:val="en-US"/>
              </w:rPr>
              <w:t>80.5</w:t>
            </w:r>
          </w:p>
        </w:tc>
        <w:tc>
          <w:tcPr>
            <w:tcW w:w="1134" w:type="dxa"/>
            <w:shd w:val="clear" w:color="auto" w:fill="auto"/>
            <w:vAlign w:val="bottom"/>
          </w:tcPr>
          <w:p w:rsidR="002D5BB0" w:rsidRPr="00222917" w:rsidRDefault="002D5BB0" w:rsidP="001C7BFF">
            <w:pPr>
              <w:pStyle w:val="SingleTxtG"/>
              <w:suppressAutoHyphens w:val="0"/>
              <w:spacing w:before="40" w:after="40" w:line="220" w:lineRule="exact"/>
              <w:ind w:left="0" w:right="0"/>
              <w:jc w:val="right"/>
              <w:rPr>
                <w:bCs/>
                <w:sz w:val="18"/>
                <w:lang w:val="en-US"/>
              </w:rPr>
            </w:pPr>
            <w:r w:rsidRPr="00222917">
              <w:rPr>
                <w:bCs/>
                <w:sz w:val="18"/>
                <w:lang w:val="en-US"/>
              </w:rPr>
              <w:t>77.1</w:t>
            </w:r>
          </w:p>
        </w:tc>
      </w:tr>
    </w:tbl>
    <w:p w:rsidR="002D5BB0" w:rsidRPr="00222917" w:rsidRDefault="001C7BFF" w:rsidP="001C7BFF">
      <w:pPr>
        <w:pStyle w:val="H4G"/>
        <w:rPr>
          <w:lang w:val="en-US"/>
        </w:rPr>
      </w:pPr>
      <w:bookmarkStart w:id="45" w:name="_Toc307504049"/>
      <w:bookmarkStart w:id="46" w:name="_Toc336435821"/>
      <w:r w:rsidRPr="00222917">
        <w:rPr>
          <w:lang w:val="en-US"/>
        </w:rPr>
        <w:tab/>
      </w:r>
      <w:r w:rsidRPr="00222917">
        <w:rPr>
          <w:lang w:val="en-US"/>
        </w:rPr>
        <w:tab/>
      </w:r>
      <w:r w:rsidR="002D5BB0" w:rsidRPr="00222917">
        <w:rPr>
          <w:lang w:val="en-US"/>
        </w:rPr>
        <w:t>Petitions to and Recommendations by the National Human Rights Commission</w:t>
      </w:r>
      <w:bookmarkEnd w:id="45"/>
      <w:bookmarkEnd w:id="46"/>
    </w:p>
    <w:p w:rsidR="002D5BB0" w:rsidRPr="00222917" w:rsidRDefault="00547908" w:rsidP="00547908">
      <w:pPr>
        <w:pStyle w:val="SingleTxtG"/>
        <w:rPr>
          <w:lang w:val="en-US"/>
        </w:rPr>
      </w:pPr>
      <w:r w:rsidRPr="00222917">
        <w:rPr>
          <w:lang w:val="en-US"/>
        </w:rPr>
        <w:t>128.</w:t>
      </w:r>
      <w:r w:rsidRPr="00222917">
        <w:rPr>
          <w:lang w:val="en-US"/>
        </w:rPr>
        <w:tab/>
      </w:r>
      <w:r w:rsidR="002D5BB0" w:rsidRPr="00222917">
        <w:rPr>
          <w:lang w:val="en-US"/>
        </w:rPr>
        <w:t xml:space="preserve">On 23 April 2009, the National Human Rights Commission carried out </w:t>
      </w:r>
      <w:r w:rsidR="002D5BB0" w:rsidRPr="00222917">
        <w:rPr>
          <w:i/>
          <w:lang w:val="en-US"/>
        </w:rPr>
        <w:t>ex officio</w:t>
      </w:r>
      <w:r w:rsidR="002D5BB0" w:rsidRPr="00222917">
        <w:rPr>
          <w:lang w:val="en-US"/>
        </w:rPr>
        <w:t xml:space="preserve"> investigation and confirmed that three police officers had committed cruel acts against suspects. The Commission filed a complaint against the officers with the prosecution and recommended the Commissioner General of the National Police Agency issue a caution. On</w:t>
      </w:r>
      <w:r w:rsidR="001C7BFF" w:rsidRPr="00222917">
        <w:rPr>
          <w:lang w:val="en-US"/>
        </w:rPr>
        <w:t> </w:t>
      </w:r>
      <w:r w:rsidR="002D5BB0" w:rsidRPr="00222917">
        <w:rPr>
          <w:lang w:val="en-US"/>
        </w:rPr>
        <w:t xml:space="preserve">14 September 2009, the </w:t>
      </w:r>
      <w:r w:rsidR="002D5BB0" w:rsidRPr="00222917">
        <w:rPr>
          <w:bCs/>
          <w:lang w:val="en-US"/>
        </w:rPr>
        <w:t>Commission</w:t>
      </w:r>
      <w:r w:rsidR="002D5BB0" w:rsidRPr="00222917">
        <w:rPr>
          <w:lang w:val="en-US"/>
        </w:rPr>
        <w:t xml:space="preserve"> decided that the act of exposing the face of a handcuffed suspect tied with a cord and wearing a convict’s uniform to the general public constituted violation of the inmate’s basic rights. Accordingly, it recommended that heads of prisons and detention centers devise measures to improve escort duties and conduct job competency education of officers who handle the affairs at issue. </w:t>
      </w:r>
    </w:p>
    <w:p w:rsidR="002D5BB0" w:rsidRPr="00222917" w:rsidRDefault="001C7BFF" w:rsidP="00B46E82">
      <w:pPr>
        <w:pStyle w:val="H23G"/>
        <w:ind w:left="0" w:firstLine="0"/>
        <w:rPr>
          <w:b w:val="0"/>
          <w:sz w:val="16"/>
          <w:szCs w:val="16"/>
          <w:lang w:val="en-US"/>
        </w:rPr>
      </w:pPr>
      <w:r w:rsidRPr="00222917">
        <w:rPr>
          <w:lang w:val="en-US"/>
        </w:rPr>
        <w:tab/>
      </w:r>
      <w:r w:rsidR="002D5BB0" w:rsidRPr="00222917">
        <w:rPr>
          <w:lang w:val="en-US"/>
        </w:rPr>
        <w:t>Human Rights Violation Cases at Detention and Protection Facilities</w:t>
      </w:r>
      <w:r w:rsidRPr="00222917">
        <w:rPr>
          <w:lang w:val="en-US"/>
        </w:rPr>
        <w:br/>
      </w:r>
      <w:r w:rsidR="00C31E7E" w:rsidRPr="00222917">
        <w:rPr>
          <w:b w:val="0"/>
          <w:sz w:val="16"/>
          <w:szCs w:val="16"/>
          <w:lang w:val="en-US"/>
        </w:rPr>
        <w:t>(Number of cases)</w:t>
      </w:r>
    </w:p>
    <w:tbl>
      <w:tblPr>
        <w:tblW w:w="9639" w:type="dxa"/>
        <w:tblBorders>
          <w:top w:val="single" w:sz="4" w:space="0" w:color="auto"/>
        </w:tblBorders>
        <w:tblLayout w:type="fixed"/>
        <w:tblCellMar>
          <w:left w:w="0" w:type="dxa"/>
          <w:right w:w="0" w:type="dxa"/>
        </w:tblCellMar>
        <w:tblLook w:val="0000"/>
      </w:tblPr>
      <w:tblGrid>
        <w:gridCol w:w="284"/>
        <w:gridCol w:w="1418"/>
        <w:gridCol w:w="567"/>
        <w:gridCol w:w="737"/>
        <w:gridCol w:w="737"/>
        <w:gridCol w:w="737"/>
        <w:gridCol w:w="737"/>
        <w:gridCol w:w="737"/>
        <w:gridCol w:w="737"/>
        <w:gridCol w:w="737"/>
        <w:gridCol w:w="737"/>
        <w:gridCol w:w="737"/>
        <w:gridCol w:w="737"/>
      </w:tblGrid>
      <w:tr w:rsidR="001D2686" w:rsidRPr="00222917" w:rsidTr="00CD0403">
        <w:trPr>
          <w:trHeight w:val="240"/>
          <w:tblHeader/>
        </w:trPr>
        <w:tc>
          <w:tcPr>
            <w:tcW w:w="284" w:type="dxa"/>
            <w:vMerge w:val="restart"/>
            <w:tcBorders>
              <w:top w:val="single" w:sz="4" w:space="0" w:color="auto"/>
              <w:bottom w:val="single" w:sz="12" w:space="0" w:color="auto"/>
            </w:tcBorders>
            <w:shd w:val="clear" w:color="auto" w:fill="auto"/>
            <w:vAlign w:val="bottom"/>
          </w:tcPr>
          <w:p w:rsidR="001D2686" w:rsidRPr="00222917" w:rsidRDefault="001D2686" w:rsidP="00B46E82">
            <w:pPr>
              <w:keepNext/>
              <w:keepLines/>
              <w:suppressAutoHyphens w:val="0"/>
              <w:spacing w:before="80" w:after="80" w:line="180" w:lineRule="exact"/>
              <w:rPr>
                <w:rFonts w:eastAsia="Gulim"/>
                <w:i/>
                <w:sz w:val="14"/>
                <w:szCs w:val="14"/>
                <w:lang w:val="en-US"/>
              </w:rPr>
            </w:pPr>
            <w:bookmarkStart w:id="47" w:name="BM_6ac56cc4"/>
            <w:bookmarkEnd w:id="47"/>
            <w:r w:rsidRPr="00222917">
              <w:rPr>
                <w:rFonts w:eastAsia="Gulim"/>
                <w:i/>
                <w:sz w:val="14"/>
                <w:szCs w:val="14"/>
                <w:lang w:val="en-US"/>
              </w:rPr>
              <w:t>Year</w:t>
            </w:r>
          </w:p>
        </w:tc>
        <w:tc>
          <w:tcPr>
            <w:tcW w:w="1418" w:type="dxa"/>
            <w:vMerge w:val="restart"/>
            <w:tcBorders>
              <w:top w:val="single" w:sz="4" w:space="0" w:color="auto"/>
              <w:bottom w:val="single" w:sz="12" w:space="0" w:color="auto"/>
            </w:tcBorders>
            <w:shd w:val="clear" w:color="auto" w:fill="auto"/>
            <w:vAlign w:val="bottom"/>
          </w:tcPr>
          <w:p w:rsidR="001D2686" w:rsidRPr="00222917" w:rsidRDefault="001D2686" w:rsidP="00B46E82">
            <w:pPr>
              <w:keepNext/>
              <w:keepLines/>
              <w:suppressAutoHyphens w:val="0"/>
              <w:spacing w:before="80" w:after="80" w:line="180" w:lineRule="exact"/>
              <w:jc w:val="right"/>
              <w:rPr>
                <w:rFonts w:eastAsia="Gulim"/>
                <w:i/>
                <w:sz w:val="14"/>
                <w:szCs w:val="14"/>
                <w:lang w:val="en-US"/>
              </w:rPr>
            </w:pPr>
            <w:r w:rsidRPr="00222917">
              <w:rPr>
                <w:rFonts w:eastAsia="Gulim"/>
                <w:i/>
                <w:sz w:val="14"/>
                <w:szCs w:val="14"/>
                <w:lang w:val="en-US"/>
              </w:rPr>
              <w:t>Type of institution</w:t>
            </w:r>
          </w:p>
        </w:tc>
        <w:tc>
          <w:tcPr>
            <w:tcW w:w="567" w:type="dxa"/>
            <w:vMerge w:val="restart"/>
            <w:tcBorders>
              <w:top w:val="single" w:sz="4" w:space="0" w:color="auto"/>
              <w:bottom w:val="single" w:sz="12" w:space="0" w:color="auto"/>
            </w:tcBorders>
            <w:shd w:val="clear" w:color="auto" w:fill="auto"/>
            <w:vAlign w:val="bottom"/>
          </w:tcPr>
          <w:p w:rsidR="001D2686" w:rsidRPr="00222917" w:rsidRDefault="001D2686" w:rsidP="00B46E82">
            <w:pPr>
              <w:keepNext/>
              <w:keepLines/>
              <w:suppressAutoHyphens w:val="0"/>
              <w:spacing w:before="80" w:after="80" w:line="180" w:lineRule="exact"/>
              <w:jc w:val="right"/>
              <w:rPr>
                <w:rFonts w:eastAsia="DotumChe"/>
                <w:i/>
                <w:sz w:val="14"/>
                <w:szCs w:val="14"/>
                <w:lang w:val="en-US"/>
              </w:rPr>
            </w:pPr>
            <w:r w:rsidRPr="00222917">
              <w:rPr>
                <w:rFonts w:eastAsia="Gulim"/>
                <w:i/>
                <w:sz w:val="14"/>
                <w:szCs w:val="14"/>
                <w:lang w:val="en-US"/>
              </w:rPr>
              <w:t>Received</w:t>
            </w:r>
          </w:p>
        </w:tc>
        <w:tc>
          <w:tcPr>
            <w:tcW w:w="737" w:type="dxa"/>
            <w:gridSpan w:val="10"/>
            <w:tcBorders>
              <w:top w:val="single" w:sz="4" w:space="0" w:color="auto"/>
              <w:bottom w:val="single" w:sz="4" w:space="0" w:color="auto"/>
            </w:tcBorders>
            <w:shd w:val="clear" w:color="auto" w:fill="auto"/>
            <w:vAlign w:val="bottom"/>
          </w:tcPr>
          <w:p w:rsidR="001D2686" w:rsidRPr="00222917" w:rsidRDefault="001D2686" w:rsidP="00B46E82">
            <w:pPr>
              <w:keepNext/>
              <w:keepLines/>
              <w:suppressAutoHyphens w:val="0"/>
              <w:spacing w:before="80" w:after="80" w:line="180" w:lineRule="exact"/>
              <w:jc w:val="center"/>
              <w:rPr>
                <w:rFonts w:eastAsia="Dotum"/>
                <w:i/>
                <w:sz w:val="14"/>
                <w:szCs w:val="14"/>
                <w:lang w:val="en-US"/>
              </w:rPr>
            </w:pPr>
            <w:r w:rsidRPr="00222917">
              <w:rPr>
                <w:rFonts w:eastAsia="Gulim"/>
                <w:i/>
                <w:sz w:val="14"/>
                <w:szCs w:val="14"/>
                <w:lang w:val="en-US"/>
              </w:rPr>
              <w:t>Concluded</w:t>
            </w:r>
          </w:p>
        </w:tc>
      </w:tr>
      <w:tr w:rsidR="006C52D3" w:rsidRPr="00222917" w:rsidTr="00CD0403">
        <w:trPr>
          <w:trHeight w:val="240"/>
          <w:tblHeader/>
        </w:trPr>
        <w:tc>
          <w:tcPr>
            <w:tcW w:w="284" w:type="dxa"/>
            <w:vMerge/>
            <w:tcBorders>
              <w:top w:val="single" w:sz="12" w:space="0" w:color="auto"/>
              <w:bottom w:val="single" w:sz="12" w:space="0" w:color="auto"/>
            </w:tcBorders>
            <w:shd w:val="clear" w:color="auto" w:fill="auto"/>
            <w:vAlign w:val="bottom"/>
          </w:tcPr>
          <w:p w:rsidR="001D2686" w:rsidRPr="00222917" w:rsidRDefault="001D2686" w:rsidP="00B46E82">
            <w:pPr>
              <w:keepNext/>
              <w:keepLines/>
              <w:suppressAutoHyphens w:val="0"/>
              <w:spacing w:before="80" w:after="80" w:line="180" w:lineRule="exact"/>
              <w:rPr>
                <w:rFonts w:eastAsia="Gulim"/>
                <w:i/>
                <w:sz w:val="14"/>
                <w:szCs w:val="14"/>
                <w:lang w:val="en-US"/>
              </w:rPr>
            </w:pPr>
          </w:p>
        </w:tc>
        <w:tc>
          <w:tcPr>
            <w:tcW w:w="1418" w:type="dxa"/>
            <w:vMerge/>
            <w:tcBorders>
              <w:top w:val="single" w:sz="12" w:space="0" w:color="auto"/>
              <w:bottom w:val="single" w:sz="12" w:space="0" w:color="auto"/>
            </w:tcBorders>
            <w:shd w:val="clear" w:color="auto" w:fill="auto"/>
            <w:vAlign w:val="bottom"/>
          </w:tcPr>
          <w:p w:rsidR="001D2686" w:rsidRPr="00222917" w:rsidRDefault="001D2686" w:rsidP="00B46E82">
            <w:pPr>
              <w:keepNext/>
              <w:keepLines/>
              <w:suppressAutoHyphens w:val="0"/>
              <w:spacing w:before="80" w:after="80" w:line="180" w:lineRule="exact"/>
              <w:jc w:val="right"/>
              <w:rPr>
                <w:rFonts w:eastAsia="Gulim"/>
                <w:i/>
                <w:sz w:val="14"/>
                <w:szCs w:val="14"/>
                <w:lang w:val="en-US"/>
              </w:rPr>
            </w:pPr>
          </w:p>
        </w:tc>
        <w:tc>
          <w:tcPr>
            <w:tcW w:w="567" w:type="dxa"/>
            <w:vMerge/>
            <w:tcBorders>
              <w:top w:val="single" w:sz="12" w:space="0" w:color="auto"/>
              <w:bottom w:val="single" w:sz="12" w:space="0" w:color="auto"/>
            </w:tcBorders>
            <w:shd w:val="clear" w:color="auto" w:fill="auto"/>
            <w:vAlign w:val="bottom"/>
          </w:tcPr>
          <w:p w:rsidR="001D2686" w:rsidRPr="00222917" w:rsidRDefault="001D2686" w:rsidP="00B46E82">
            <w:pPr>
              <w:keepNext/>
              <w:keepLines/>
              <w:suppressAutoHyphens w:val="0"/>
              <w:spacing w:before="80" w:after="80" w:line="180" w:lineRule="exact"/>
              <w:jc w:val="right"/>
              <w:rPr>
                <w:rFonts w:eastAsia="DotumChe"/>
                <w:i/>
                <w:sz w:val="14"/>
                <w:szCs w:val="14"/>
                <w:lang w:val="en-US"/>
              </w:rPr>
            </w:pPr>
          </w:p>
        </w:tc>
        <w:tc>
          <w:tcPr>
            <w:tcW w:w="737" w:type="dxa"/>
            <w:tcBorders>
              <w:top w:val="single" w:sz="4" w:space="0" w:color="auto"/>
              <w:bottom w:val="single" w:sz="12" w:space="0" w:color="auto"/>
            </w:tcBorders>
            <w:shd w:val="clear" w:color="auto" w:fill="auto"/>
            <w:vAlign w:val="bottom"/>
          </w:tcPr>
          <w:p w:rsidR="001D2686" w:rsidRPr="00222917" w:rsidRDefault="001D2686" w:rsidP="00B46E82">
            <w:pPr>
              <w:keepNext/>
              <w:keepLines/>
              <w:suppressAutoHyphens w:val="0"/>
              <w:spacing w:before="80" w:after="80" w:line="180" w:lineRule="exact"/>
              <w:jc w:val="right"/>
              <w:rPr>
                <w:rFonts w:eastAsia="나눔고딕"/>
                <w:b/>
                <w:i/>
                <w:sz w:val="14"/>
                <w:szCs w:val="14"/>
                <w:lang w:val="en-US"/>
              </w:rPr>
            </w:pPr>
            <w:r w:rsidRPr="00222917">
              <w:rPr>
                <w:rFonts w:eastAsia="Gulim"/>
                <w:b/>
                <w:i/>
                <w:sz w:val="14"/>
                <w:szCs w:val="14"/>
                <w:lang w:val="en-US"/>
              </w:rPr>
              <w:t>Total</w:t>
            </w:r>
          </w:p>
        </w:tc>
        <w:tc>
          <w:tcPr>
            <w:tcW w:w="737" w:type="dxa"/>
            <w:tcBorders>
              <w:top w:val="single" w:sz="4" w:space="0" w:color="auto"/>
              <w:bottom w:val="single" w:sz="12" w:space="0" w:color="auto"/>
            </w:tcBorders>
            <w:shd w:val="clear" w:color="auto" w:fill="auto"/>
            <w:vAlign w:val="bottom"/>
          </w:tcPr>
          <w:p w:rsidR="001D2686" w:rsidRPr="00222917" w:rsidRDefault="001D2686" w:rsidP="00B46E82">
            <w:pPr>
              <w:keepNext/>
              <w:keepLines/>
              <w:suppressAutoHyphens w:val="0"/>
              <w:spacing w:before="80" w:after="80" w:line="180" w:lineRule="exact"/>
              <w:jc w:val="right"/>
              <w:rPr>
                <w:rFonts w:eastAsia="DotumChe"/>
                <w:i/>
                <w:sz w:val="14"/>
                <w:szCs w:val="14"/>
                <w:lang w:val="en-US"/>
              </w:rPr>
            </w:pPr>
            <w:r w:rsidRPr="00222917">
              <w:rPr>
                <w:rFonts w:eastAsia="Gulim"/>
                <w:i/>
                <w:sz w:val="14"/>
                <w:szCs w:val="14"/>
                <w:lang w:val="en-US"/>
              </w:rPr>
              <w:t>Recom</w:t>
            </w:r>
            <w:r w:rsidR="006C52D3" w:rsidRPr="00222917">
              <w:rPr>
                <w:rFonts w:eastAsia="Gulim"/>
                <w:i/>
                <w:sz w:val="14"/>
                <w:szCs w:val="14"/>
                <w:lang w:val="en-US"/>
              </w:rPr>
              <w:t>-</w:t>
            </w:r>
            <w:r w:rsidRPr="00222917">
              <w:rPr>
                <w:rFonts w:eastAsia="Gulim"/>
                <w:i/>
                <w:sz w:val="14"/>
                <w:szCs w:val="14"/>
                <w:lang w:val="en-US"/>
              </w:rPr>
              <w:t>mendation</w:t>
            </w:r>
          </w:p>
        </w:tc>
        <w:tc>
          <w:tcPr>
            <w:tcW w:w="737" w:type="dxa"/>
            <w:tcBorders>
              <w:top w:val="single" w:sz="4" w:space="0" w:color="auto"/>
              <w:bottom w:val="single" w:sz="12" w:space="0" w:color="auto"/>
            </w:tcBorders>
            <w:shd w:val="clear" w:color="auto" w:fill="auto"/>
            <w:vAlign w:val="bottom"/>
          </w:tcPr>
          <w:p w:rsidR="001D2686" w:rsidRPr="00222917" w:rsidRDefault="001D2686" w:rsidP="00B46E82">
            <w:pPr>
              <w:keepNext/>
              <w:keepLines/>
              <w:suppressAutoHyphens w:val="0"/>
              <w:spacing w:before="80" w:after="80" w:line="180" w:lineRule="exact"/>
              <w:jc w:val="right"/>
              <w:rPr>
                <w:rFonts w:eastAsia="DotumChe"/>
                <w:i/>
                <w:sz w:val="14"/>
                <w:szCs w:val="14"/>
                <w:lang w:val="en-US"/>
              </w:rPr>
            </w:pPr>
            <w:r w:rsidRPr="00222917">
              <w:rPr>
                <w:rFonts w:eastAsia="Gulim"/>
                <w:i/>
                <w:sz w:val="14"/>
                <w:szCs w:val="14"/>
                <w:lang w:val="en-US"/>
              </w:rPr>
              <w:t>Complaint</w:t>
            </w:r>
          </w:p>
        </w:tc>
        <w:tc>
          <w:tcPr>
            <w:tcW w:w="737" w:type="dxa"/>
            <w:tcBorders>
              <w:top w:val="single" w:sz="4" w:space="0" w:color="auto"/>
              <w:bottom w:val="single" w:sz="12" w:space="0" w:color="auto"/>
            </w:tcBorders>
            <w:shd w:val="clear" w:color="auto" w:fill="auto"/>
            <w:vAlign w:val="bottom"/>
          </w:tcPr>
          <w:p w:rsidR="001D2686" w:rsidRPr="00222917" w:rsidRDefault="001D2686" w:rsidP="00B46E82">
            <w:pPr>
              <w:keepNext/>
              <w:keepLines/>
              <w:suppressAutoHyphens w:val="0"/>
              <w:spacing w:before="80" w:after="80" w:line="180" w:lineRule="exact"/>
              <w:jc w:val="right"/>
              <w:rPr>
                <w:rFonts w:eastAsia="DotumChe"/>
                <w:i/>
                <w:sz w:val="14"/>
                <w:szCs w:val="14"/>
                <w:lang w:val="en-US"/>
              </w:rPr>
            </w:pPr>
            <w:r w:rsidRPr="00222917">
              <w:rPr>
                <w:rFonts w:eastAsia="Gulim"/>
                <w:i/>
                <w:sz w:val="14"/>
                <w:szCs w:val="14"/>
                <w:lang w:val="en-US"/>
              </w:rPr>
              <w:t>Discipline recom</w:t>
            </w:r>
            <w:r w:rsidR="006C52D3" w:rsidRPr="00222917">
              <w:rPr>
                <w:rFonts w:eastAsia="Gulim"/>
                <w:i/>
                <w:sz w:val="14"/>
                <w:szCs w:val="14"/>
                <w:lang w:val="en-US"/>
              </w:rPr>
              <w:t>-</w:t>
            </w:r>
            <w:r w:rsidRPr="00222917">
              <w:rPr>
                <w:rFonts w:eastAsia="Gulim"/>
                <w:i/>
                <w:sz w:val="14"/>
                <w:szCs w:val="14"/>
                <w:lang w:val="en-US"/>
              </w:rPr>
              <w:t>mendation</w:t>
            </w:r>
          </w:p>
        </w:tc>
        <w:tc>
          <w:tcPr>
            <w:tcW w:w="737" w:type="dxa"/>
            <w:tcBorders>
              <w:top w:val="single" w:sz="4" w:space="0" w:color="auto"/>
              <w:bottom w:val="single" w:sz="12" w:space="0" w:color="auto"/>
            </w:tcBorders>
            <w:shd w:val="clear" w:color="auto" w:fill="auto"/>
            <w:vAlign w:val="bottom"/>
          </w:tcPr>
          <w:p w:rsidR="001D2686" w:rsidRPr="00222917" w:rsidRDefault="001D2686" w:rsidP="00B46E82">
            <w:pPr>
              <w:keepNext/>
              <w:keepLines/>
              <w:suppressAutoHyphens w:val="0"/>
              <w:spacing w:before="80" w:after="80" w:line="180" w:lineRule="exact"/>
              <w:jc w:val="right"/>
              <w:rPr>
                <w:rFonts w:eastAsia="DotumChe"/>
                <w:i/>
                <w:sz w:val="14"/>
                <w:szCs w:val="14"/>
                <w:lang w:val="en-US"/>
              </w:rPr>
            </w:pPr>
            <w:r w:rsidRPr="00222917">
              <w:rPr>
                <w:rFonts w:eastAsia="Gulim"/>
                <w:i/>
                <w:sz w:val="14"/>
                <w:szCs w:val="14"/>
                <w:lang w:val="en-US"/>
              </w:rPr>
              <w:t>Legal aid</w:t>
            </w:r>
          </w:p>
        </w:tc>
        <w:tc>
          <w:tcPr>
            <w:tcW w:w="737" w:type="dxa"/>
            <w:tcBorders>
              <w:top w:val="single" w:sz="4" w:space="0" w:color="auto"/>
              <w:bottom w:val="single" w:sz="12" w:space="0" w:color="auto"/>
            </w:tcBorders>
            <w:shd w:val="clear" w:color="auto" w:fill="auto"/>
            <w:vAlign w:val="bottom"/>
          </w:tcPr>
          <w:p w:rsidR="001D2686" w:rsidRPr="00222917" w:rsidRDefault="001D2686" w:rsidP="00B46E82">
            <w:pPr>
              <w:keepNext/>
              <w:keepLines/>
              <w:suppressAutoHyphens w:val="0"/>
              <w:spacing w:before="80" w:after="80" w:line="180" w:lineRule="exact"/>
              <w:jc w:val="right"/>
              <w:rPr>
                <w:rFonts w:eastAsia="DotumChe"/>
                <w:i/>
                <w:sz w:val="14"/>
                <w:szCs w:val="14"/>
                <w:lang w:val="en-US"/>
              </w:rPr>
            </w:pPr>
            <w:r w:rsidRPr="00222917">
              <w:rPr>
                <w:rFonts w:eastAsia="Gulim"/>
                <w:i/>
                <w:sz w:val="14"/>
                <w:szCs w:val="14"/>
                <w:lang w:val="en-US"/>
              </w:rPr>
              <w:t>Conclu</w:t>
            </w:r>
            <w:r w:rsidR="006C52D3" w:rsidRPr="00222917">
              <w:rPr>
                <w:rFonts w:eastAsia="Gulim"/>
                <w:i/>
                <w:sz w:val="14"/>
                <w:szCs w:val="14"/>
                <w:lang w:val="en-US"/>
              </w:rPr>
              <w:t>sion</w:t>
            </w:r>
            <w:r w:rsidR="006C52D3" w:rsidRPr="00222917">
              <w:rPr>
                <w:rFonts w:eastAsia="Gulim"/>
                <w:i/>
                <w:sz w:val="14"/>
                <w:szCs w:val="14"/>
                <w:lang w:val="en-US"/>
              </w:rPr>
              <w:br/>
            </w:r>
            <w:r w:rsidRPr="00222917">
              <w:rPr>
                <w:rFonts w:eastAsia="Gulim"/>
                <w:i/>
                <w:sz w:val="14"/>
                <w:szCs w:val="14"/>
                <w:lang w:val="en-US"/>
              </w:rPr>
              <w:t>by settle</w:t>
            </w:r>
            <w:r w:rsidR="00ED7A04" w:rsidRPr="00222917">
              <w:rPr>
                <w:rFonts w:eastAsia="Gulim"/>
                <w:i/>
                <w:sz w:val="14"/>
                <w:szCs w:val="14"/>
                <w:lang w:val="en-US"/>
              </w:rPr>
              <w:t>-</w:t>
            </w:r>
            <w:r w:rsidRPr="00222917">
              <w:rPr>
                <w:rFonts w:eastAsia="Gulim"/>
                <w:i/>
                <w:sz w:val="14"/>
                <w:szCs w:val="14"/>
                <w:lang w:val="en-US"/>
              </w:rPr>
              <w:t>ment</w:t>
            </w:r>
          </w:p>
        </w:tc>
        <w:tc>
          <w:tcPr>
            <w:tcW w:w="737" w:type="dxa"/>
            <w:tcBorders>
              <w:top w:val="single" w:sz="4" w:space="0" w:color="auto"/>
              <w:bottom w:val="single" w:sz="12" w:space="0" w:color="auto"/>
            </w:tcBorders>
            <w:shd w:val="clear" w:color="auto" w:fill="auto"/>
            <w:vAlign w:val="bottom"/>
          </w:tcPr>
          <w:p w:rsidR="001D2686" w:rsidRPr="00222917" w:rsidRDefault="001D2686" w:rsidP="00B46E82">
            <w:pPr>
              <w:keepNext/>
              <w:keepLines/>
              <w:suppressAutoHyphens w:val="0"/>
              <w:spacing w:before="80" w:after="80" w:line="180" w:lineRule="exact"/>
              <w:jc w:val="right"/>
              <w:rPr>
                <w:rFonts w:eastAsia="DotumChe"/>
                <w:i/>
                <w:sz w:val="14"/>
                <w:szCs w:val="14"/>
                <w:lang w:val="en-US"/>
              </w:rPr>
            </w:pPr>
            <w:r w:rsidRPr="00222917">
              <w:rPr>
                <w:rFonts w:eastAsia="Gulim"/>
                <w:i/>
                <w:sz w:val="14"/>
                <w:szCs w:val="14"/>
                <w:lang w:val="en-US"/>
              </w:rPr>
              <w:t>Rejection</w:t>
            </w:r>
          </w:p>
        </w:tc>
        <w:tc>
          <w:tcPr>
            <w:tcW w:w="737" w:type="dxa"/>
            <w:tcBorders>
              <w:top w:val="single" w:sz="4" w:space="0" w:color="auto"/>
              <w:bottom w:val="single" w:sz="12" w:space="0" w:color="auto"/>
            </w:tcBorders>
            <w:shd w:val="clear" w:color="auto" w:fill="auto"/>
            <w:vAlign w:val="bottom"/>
          </w:tcPr>
          <w:p w:rsidR="001D2686" w:rsidRPr="00222917" w:rsidRDefault="001D2686" w:rsidP="00B46E82">
            <w:pPr>
              <w:keepNext/>
              <w:keepLines/>
              <w:suppressAutoHyphens w:val="0"/>
              <w:spacing w:before="80" w:after="80" w:line="180" w:lineRule="exact"/>
              <w:jc w:val="right"/>
              <w:rPr>
                <w:rFonts w:eastAsia="DotumChe"/>
                <w:i/>
                <w:sz w:val="14"/>
                <w:szCs w:val="14"/>
                <w:lang w:val="en-US"/>
              </w:rPr>
            </w:pPr>
            <w:r w:rsidRPr="00222917">
              <w:rPr>
                <w:rFonts w:eastAsia="Gulim"/>
                <w:i/>
                <w:sz w:val="14"/>
                <w:szCs w:val="14"/>
                <w:lang w:val="en-US"/>
              </w:rPr>
              <w:t>Transfer</w:t>
            </w:r>
          </w:p>
        </w:tc>
        <w:tc>
          <w:tcPr>
            <w:tcW w:w="737" w:type="dxa"/>
            <w:tcBorders>
              <w:top w:val="single" w:sz="4" w:space="0" w:color="auto"/>
              <w:bottom w:val="single" w:sz="12" w:space="0" w:color="auto"/>
            </w:tcBorders>
            <w:shd w:val="clear" w:color="auto" w:fill="auto"/>
            <w:vAlign w:val="bottom"/>
          </w:tcPr>
          <w:p w:rsidR="001D2686" w:rsidRPr="00222917" w:rsidRDefault="001D2686" w:rsidP="00B46E82">
            <w:pPr>
              <w:keepNext/>
              <w:keepLines/>
              <w:suppressAutoHyphens w:val="0"/>
              <w:spacing w:before="80" w:after="80" w:line="180" w:lineRule="exact"/>
              <w:jc w:val="right"/>
              <w:rPr>
                <w:rFonts w:eastAsia="DotumChe"/>
                <w:i/>
                <w:sz w:val="14"/>
                <w:szCs w:val="14"/>
                <w:lang w:val="en-US"/>
              </w:rPr>
            </w:pPr>
            <w:r w:rsidRPr="00222917">
              <w:rPr>
                <w:rFonts w:eastAsia="Gulim"/>
                <w:i/>
                <w:sz w:val="14"/>
                <w:szCs w:val="14"/>
                <w:lang w:val="en-US"/>
              </w:rPr>
              <w:t>Dismissal</w:t>
            </w:r>
          </w:p>
        </w:tc>
        <w:tc>
          <w:tcPr>
            <w:tcW w:w="737" w:type="dxa"/>
            <w:tcBorders>
              <w:top w:val="single" w:sz="4" w:space="0" w:color="auto"/>
              <w:bottom w:val="single" w:sz="12" w:space="0" w:color="auto"/>
            </w:tcBorders>
            <w:shd w:val="clear" w:color="auto" w:fill="auto"/>
            <w:vAlign w:val="bottom"/>
          </w:tcPr>
          <w:p w:rsidR="001D2686" w:rsidRPr="00222917" w:rsidRDefault="001D2686" w:rsidP="00B46E82">
            <w:pPr>
              <w:keepNext/>
              <w:keepLines/>
              <w:suppressAutoHyphens w:val="0"/>
              <w:spacing w:before="80" w:after="80" w:line="180" w:lineRule="exact"/>
              <w:jc w:val="right"/>
              <w:rPr>
                <w:rFonts w:eastAsia="Gulim"/>
                <w:i/>
                <w:sz w:val="14"/>
                <w:szCs w:val="14"/>
                <w:lang w:val="en-US"/>
              </w:rPr>
            </w:pPr>
            <w:r w:rsidRPr="00222917">
              <w:rPr>
                <w:rFonts w:eastAsia="Gulim"/>
                <w:i/>
                <w:sz w:val="14"/>
                <w:szCs w:val="14"/>
                <w:lang w:val="en-US"/>
              </w:rPr>
              <w:t>Investigation disconti</w:t>
            </w:r>
            <w:r w:rsidR="006C52D3" w:rsidRPr="00222917">
              <w:rPr>
                <w:rFonts w:eastAsia="Gulim"/>
                <w:i/>
                <w:sz w:val="14"/>
                <w:szCs w:val="14"/>
                <w:lang w:val="en-US"/>
              </w:rPr>
              <w:t>-</w:t>
            </w:r>
            <w:r w:rsidRPr="00222917">
              <w:rPr>
                <w:rFonts w:eastAsia="Gulim"/>
                <w:i/>
                <w:sz w:val="14"/>
                <w:szCs w:val="14"/>
                <w:lang w:val="en-US"/>
              </w:rPr>
              <w:t>nuation</w:t>
            </w:r>
          </w:p>
        </w:tc>
      </w:tr>
      <w:tr w:rsidR="006C52D3" w:rsidRPr="00222917" w:rsidTr="00CD0403">
        <w:trPr>
          <w:trHeight w:val="240"/>
        </w:trPr>
        <w:tc>
          <w:tcPr>
            <w:tcW w:w="284" w:type="dxa"/>
            <w:vMerge w:val="restart"/>
            <w:tcBorders>
              <w:top w:val="single" w:sz="12" w:space="0" w:color="auto"/>
            </w:tcBorders>
            <w:shd w:val="clear" w:color="auto" w:fill="auto"/>
            <w:vAlign w:val="center"/>
          </w:tcPr>
          <w:p w:rsidR="001D2686" w:rsidRPr="00222917" w:rsidRDefault="001D2686" w:rsidP="00B46E82">
            <w:pPr>
              <w:keepNext/>
              <w:keepLines/>
              <w:suppressAutoHyphens w:val="0"/>
              <w:spacing w:before="40" w:after="40" w:line="200" w:lineRule="exact"/>
              <w:rPr>
                <w:rFonts w:eastAsia="Gulim"/>
                <w:sz w:val="16"/>
                <w:szCs w:val="16"/>
                <w:lang w:val="en-US"/>
              </w:rPr>
            </w:pPr>
            <w:r w:rsidRPr="00222917">
              <w:rPr>
                <w:rFonts w:eastAsia="Gulim"/>
                <w:sz w:val="16"/>
                <w:szCs w:val="16"/>
                <w:lang w:val="en-US"/>
              </w:rPr>
              <w:t>06</w:t>
            </w:r>
          </w:p>
        </w:tc>
        <w:tc>
          <w:tcPr>
            <w:tcW w:w="1418" w:type="dxa"/>
            <w:tcBorders>
              <w:top w:val="single" w:sz="12" w:space="0" w:color="auto"/>
            </w:tcBorders>
            <w:shd w:val="clear" w:color="auto" w:fill="auto"/>
            <w:vAlign w:val="bottom"/>
          </w:tcPr>
          <w:p w:rsidR="001D2686" w:rsidRPr="00222917" w:rsidRDefault="001D2686" w:rsidP="00B46E82">
            <w:pPr>
              <w:keepNext/>
              <w:keepLines/>
              <w:suppressAutoHyphens w:val="0"/>
              <w:spacing w:before="40" w:after="40" w:line="200" w:lineRule="exact"/>
              <w:jc w:val="right"/>
              <w:rPr>
                <w:rFonts w:eastAsia="Gulim"/>
                <w:sz w:val="16"/>
                <w:szCs w:val="16"/>
                <w:lang w:val="en-US"/>
              </w:rPr>
            </w:pPr>
            <w:r w:rsidRPr="00222917">
              <w:rPr>
                <w:rFonts w:eastAsia="Gulim"/>
                <w:sz w:val="16"/>
                <w:szCs w:val="16"/>
                <w:lang w:val="en-US"/>
              </w:rPr>
              <w:t>Detention facilities</w:t>
            </w:r>
          </w:p>
        </w:tc>
        <w:tc>
          <w:tcPr>
            <w:tcW w:w="567" w:type="dxa"/>
            <w:tcBorders>
              <w:top w:val="single" w:sz="12" w:space="0" w:color="auto"/>
            </w:tcBorders>
            <w:shd w:val="clear" w:color="auto" w:fill="auto"/>
            <w:vAlign w:val="bottom"/>
          </w:tcPr>
          <w:p w:rsidR="001D2686" w:rsidRPr="00222917" w:rsidRDefault="001D2686" w:rsidP="00B46E82">
            <w:pPr>
              <w:keepNext/>
              <w:keepLines/>
              <w:suppressAutoHyphens w:val="0"/>
              <w:spacing w:before="40" w:after="40" w:line="200" w:lineRule="exact"/>
              <w:jc w:val="right"/>
              <w:rPr>
                <w:rFonts w:eastAsia="Gulim"/>
                <w:sz w:val="16"/>
                <w:szCs w:val="16"/>
                <w:lang w:val="en-US"/>
              </w:rPr>
            </w:pPr>
            <w:r w:rsidRPr="00222917">
              <w:rPr>
                <w:rFonts w:eastAsia="Gulim"/>
                <w:sz w:val="16"/>
                <w:szCs w:val="16"/>
                <w:lang w:val="en-US"/>
              </w:rPr>
              <w:t>1,428</w:t>
            </w:r>
          </w:p>
        </w:tc>
        <w:tc>
          <w:tcPr>
            <w:tcW w:w="737" w:type="dxa"/>
            <w:tcBorders>
              <w:top w:val="single" w:sz="12" w:space="0" w:color="auto"/>
            </w:tcBorders>
            <w:shd w:val="clear" w:color="auto" w:fill="auto"/>
            <w:vAlign w:val="bottom"/>
          </w:tcPr>
          <w:p w:rsidR="001D2686" w:rsidRPr="00222917" w:rsidRDefault="001D2686" w:rsidP="00B46E82">
            <w:pPr>
              <w:keepNext/>
              <w:keepLines/>
              <w:suppressAutoHyphens w:val="0"/>
              <w:spacing w:before="40" w:after="40" w:line="200" w:lineRule="exact"/>
              <w:jc w:val="right"/>
              <w:rPr>
                <w:rFonts w:eastAsia="Gulim"/>
                <w:b/>
                <w:sz w:val="16"/>
                <w:szCs w:val="16"/>
                <w:lang w:val="en-US"/>
              </w:rPr>
            </w:pPr>
            <w:r w:rsidRPr="00222917">
              <w:rPr>
                <w:rFonts w:eastAsia="Gulim"/>
                <w:b/>
                <w:sz w:val="16"/>
                <w:szCs w:val="16"/>
                <w:lang w:val="en-US"/>
              </w:rPr>
              <w:t>1,092</w:t>
            </w:r>
          </w:p>
        </w:tc>
        <w:tc>
          <w:tcPr>
            <w:tcW w:w="737" w:type="dxa"/>
            <w:tcBorders>
              <w:top w:val="single" w:sz="12" w:space="0" w:color="auto"/>
            </w:tcBorders>
            <w:shd w:val="clear" w:color="auto" w:fill="auto"/>
            <w:vAlign w:val="bottom"/>
          </w:tcPr>
          <w:p w:rsidR="001D2686" w:rsidRPr="00222917" w:rsidRDefault="001D2686" w:rsidP="00B46E82">
            <w:pPr>
              <w:keepNext/>
              <w:keepLines/>
              <w:suppressAutoHyphens w:val="0"/>
              <w:spacing w:before="40" w:after="40" w:line="200" w:lineRule="exact"/>
              <w:jc w:val="right"/>
              <w:rPr>
                <w:rFonts w:eastAsia="Gulim"/>
                <w:sz w:val="16"/>
                <w:szCs w:val="16"/>
                <w:lang w:val="en-US"/>
              </w:rPr>
            </w:pPr>
            <w:r w:rsidRPr="00222917">
              <w:rPr>
                <w:rFonts w:eastAsia="Gulim"/>
                <w:sz w:val="16"/>
                <w:szCs w:val="16"/>
                <w:lang w:val="en-US"/>
              </w:rPr>
              <w:t>9</w:t>
            </w:r>
          </w:p>
        </w:tc>
        <w:tc>
          <w:tcPr>
            <w:tcW w:w="737" w:type="dxa"/>
            <w:tcBorders>
              <w:top w:val="single" w:sz="12" w:space="0" w:color="auto"/>
            </w:tcBorders>
            <w:shd w:val="clear" w:color="auto" w:fill="auto"/>
            <w:vAlign w:val="bottom"/>
          </w:tcPr>
          <w:p w:rsidR="001D2686" w:rsidRPr="00222917" w:rsidRDefault="001D2686" w:rsidP="00B46E82">
            <w:pPr>
              <w:keepNext/>
              <w:keepLines/>
              <w:suppressAutoHyphens w:val="0"/>
              <w:spacing w:before="40" w:after="40" w:line="200" w:lineRule="exact"/>
              <w:jc w:val="right"/>
              <w:rPr>
                <w:rFonts w:eastAsia="Gulim"/>
                <w:sz w:val="16"/>
                <w:szCs w:val="16"/>
                <w:lang w:val="en-US"/>
              </w:rPr>
            </w:pPr>
            <w:r w:rsidRPr="00222917">
              <w:rPr>
                <w:rFonts w:eastAsia="Gulim"/>
                <w:sz w:val="16"/>
                <w:szCs w:val="16"/>
                <w:lang w:val="en-US"/>
              </w:rPr>
              <w:t>-</w:t>
            </w:r>
          </w:p>
        </w:tc>
        <w:tc>
          <w:tcPr>
            <w:tcW w:w="737" w:type="dxa"/>
            <w:tcBorders>
              <w:top w:val="single" w:sz="12" w:space="0" w:color="auto"/>
            </w:tcBorders>
            <w:shd w:val="clear" w:color="auto" w:fill="auto"/>
            <w:vAlign w:val="bottom"/>
          </w:tcPr>
          <w:p w:rsidR="001D2686" w:rsidRPr="00222917" w:rsidRDefault="001D2686" w:rsidP="00B46E82">
            <w:pPr>
              <w:keepNext/>
              <w:keepLines/>
              <w:suppressAutoHyphens w:val="0"/>
              <w:spacing w:before="40" w:after="40" w:line="200" w:lineRule="exact"/>
              <w:jc w:val="right"/>
              <w:rPr>
                <w:rFonts w:eastAsia="Gulim"/>
                <w:sz w:val="16"/>
                <w:szCs w:val="16"/>
                <w:lang w:val="en-US"/>
              </w:rPr>
            </w:pPr>
            <w:r w:rsidRPr="00222917">
              <w:rPr>
                <w:rFonts w:eastAsia="Gulim"/>
                <w:sz w:val="16"/>
                <w:szCs w:val="16"/>
                <w:lang w:val="en-US"/>
              </w:rPr>
              <w:t>-</w:t>
            </w:r>
          </w:p>
        </w:tc>
        <w:tc>
          <w:tcPr>
            <w:tcW w:w="737" w:type="dxa"/>
            <w:tcBorders>
              <w:top w:val="single" w:sz="12" w:space="0" w:color="auto"/>
            </w:tcBorders>
            <w:shd w:val="clear" w:color="auto" w:fill="auto"/>
            <w:vAlign w:val="bottom"/>
          </w:tcPr>
          <w:p w:rsidR="001D2686" w:rsidRPr="00222917" w:rsidRDefault="001D2686" w:rsidP="00B46E82">
            <w:pPr>
              <w:keepNext/>
              <w:keepLines/>
              <w:suppressAutoHyphens w:val="0"/>
              <w:spacing w:before="40" w:after="40" w:line="200" w:lineRule="exact"/>
              <w:jc w:val="right"/>
              <w:rPr>
                <w:rFonts w:eastAsia="Gulim"/>
                <w:sz w:val="16"/>
                <w:szCs w:val="16"/>
                <w:lang w:val="en-US"/>
              </w:rPr>
            </w:pPr>
            <w:r w:rsidRPr="00222917">
              <w:rPr>
                <w:rFonts w:eastAsia="Gulim"/>
                <w:sz w:val="16"/>
                <w:szCs w:val="16"/>
                <w:lang w:val="en-US"/>
              </w:rPr>
              <w:t>-</w:t>
            </w:r>
          </w:p>
        </w:tc>
        <w:tc>
          <w:tcPr>
            <w:tcW w:w="737" w:type="dxa"/>
            <w:tcBorders>
              <w:top w:val="single" w:sz="12" w:space="0" w:color="auto"/>
            </w:tcBorders>
            <w:shd w:val="clear" w:color="auto" w:fill="auto"/>
            <w:vAlign w:val="bottom"/>
          </w:tcPr>
          <w:p w:rsidR="001D2686" w:rsidRPr="00222917" w:rsidRDefault="001D2686" w:rsidP="00B46E82">
            <w:pPr>
              <w:keepNext/>
              <w:keepLines/>
              <w:suppressAutoHyphens w:val="0"/>
              <w:spacing w:before="40" w:after="40" w:line="200" w:lineRule="exact"/>
              <w:jc w:val="right"/>
              <w:rPr>
                <w:rFonts w:eastAsia="Gulim"/>
                <w:sz w:val="16"/>
                <w:szCs w:val="16"/>
                <w:lang w:val="en-US"/>
              </w:rPr>
            </w:pPr>
            <w:r w:rsidRPr="00222917">
              <w:rPr>
                <w:rFonts w:eastAsia="Gulim"/>
                <w:sz w:val="16"/>
                <w:szCs w:val="16"/>
                <w:lang w:val="en-US"/>
              </w:rPr>
              <w:t>2</w:t>
            </w:r>
          </w:p>
        </w:tc>
        <w:tc>
          <w:tcPr>
            <w:tcW w:w="737" w:type="dxa"/>
            <w:tcBorders>
              <w:top w:val="single" w:sz="12" w:space="0" w:color="auto"/>
            </w:tcBorders>
            <w:shd w:val="clear" w:color="auto" w:fill="auto"/>
            <w:vAlign w:val="bottom"/>
          </w:tcPr>
          <w:p w:rsidR="001D2686" w:rsidRPr="00222917" w:rsidRDefault="001D2686" w:rsidP="00B46E82">
            <w:pPr>
              <w:keepNext/>
              <w:keepLines/>
              <w:suppressAutoHyphens w:val="0"/>
              <w:spacing w:before="40" w:after="40" w:line="200" w:lineRule="exact"/>
              <w:jc w:val="right"/>
              <w:rPr>
                <w:rFonts w:eastAsia="Gulim"/>
                <w:sz w:val="16"/>
                <w:szCs w:val="16"/>
                <w:lang w:val="en-US"/>
              </w:rPr>
            </w:pPr>
            <w:r w:rsidRPr="00222917">
              <w:rPr>
                <w:rFonts w:eastAsia="Gulim"/>
                <w:sz w:val="16"/>
                <w:szCs w:val="16"/>
                <w:lang w:val="en-US"/>
              </w:rPr>
              <w:t>813</w:t>
            </w:r>
          </w:p>
        </w:tc>
        <w:tc>
          <w:tcPr>
            <w:tcW w:w="737" w:type="dxa"/>
            <w:tcBorders>
              <w:top w:val="single" w:sz="12" w:space="0" w:color="auto"/>
            </w:tcBorders>
            <w:shd w:val="clear" w:color="auto" w:fill="auto"/>
            <w:vAlign w:val="bottom"/>
          </w:tcPr>
          <w:p w:rsidR="001D2686" w:rsidRPr="00222917" w:rsidRDefault="001D2686" w:rsidP="00B46E82">
            <w:pPr>
              <w:keepNext/>
              <w:keepLines/>
              <w:suppressAutoHyphens w:val="0"/>
              <w:spacing w:before="40" w:after="40" w:line="200" w:lineRule="exact"/>
              <w:jc w:val="right"/>
              <w:rPr>
                <w:rFonts w:eastAsia="Gulim"/>
                <w:sz w:val="16"/>
                <w:szCs w:val="16"/>
                <w:lang w:val="en-US"/>
              </w:rPr>
            </w:pPr>
            <w:r w:rsidRPr="00222917">
              <w:rPr>
                <w:rFonts w:eastAsia="Gulim"/>
                <w:sz w:val="16"/>
                <w:szCs w:val="16"/>
                <w:lang w:val="en-US"/>
              </w:rPr>
              <w:t>37</w:t>
            </w:r>
          </w:p>
        </w:tc>
        <w:tc>
          <w:tcPr>
            <w:tcW w:w="737" w:type="dxa"/>
            <w:tcBorders>
              <w:top w:val="single" w:sz="12" w:space="0" w:color="auto"/>
            </w:tcBorders>
            <w:shd w:val="clear" w:color="auto" w:fill="auto"/>
            <w:vAlign w:val="bottom"/>
          </w:tcPr>
          <w:p w:rsidR="001D2686" w:rsidRPr="00222917" w:rsidRDefault="001D2686" w:rsidP="00B46E82">
            <w:pPr>
              <w:keepNext/>
              <w:keepLines/>
              <w:suppressAutoHyphens w:val="0"/>
              <w:spacing w:before="40" w:after="40" w:line="200" w:lineRule="exact"/>
              <w:jc w:val="right"/>
              <w:rPr>
                <w:rFonts w:eastAsia="Gulim"/>
                <w:sz w:val="16"/>
                <w:szCs w:val="16"/>
                <w:lang w:val="en-US"/>
              </w:rPr>
            </w:pPr>
            <w:r w:rsidRPr="00222917">
              <w:rPr>
                <w:rFonts w:eastAsia="Gulim"/>
                <w:sz w:val="16"/>
                <w:szCs w:val="16"/>
                <w:lang w:val="en-US"/>
              </w:rPr>
              <w:t>231</w:t>
            </w:r>
          </w:p>
        </w:tc>
        <w:tc>
          <w:tcPr>
            <w:tcW w:w="737" w:type="dxa"/>
            <w:tcBorders>
              <w:top w:val="single" w:sz="12" w:space="0" w:color="auto"/>
            </w:tcBorders>
            <w:shd w:val="clear" w:color="auto" w:fill="auto"/>
            <w:vAlign w:val="bottom"/>
          </w:tcPr>
          <w:p w:rsidR="001D2686" w:rsidRPr="00222917" w:rsidRDefault="001D2686" w:rsidP="00B46E82">
            <w:pPr>
              <w:keepNext/>
              <w:keepLines/>
              <w:suppressAutoHyphens w:val="0"/>
              <w:spacing w:before="40" w:after="40" w:line="200" w:lineRule="exact"/>
              <w:jc w:val="right"/>
              <w:rPr>
                <w:rFonts w:eastAsia="Gulim"/>
                <w:sz w:val="16"/>
                <w:szCs w:val="16"/>
                <w:lang w:val="en-US"/>
              </w:rPr>
            </w:pPr>
            <w:r w:rsidRPr="00222917">
              <w:rPr>
                <w:rFonts w:eastAsia="Gulim"/>
                <w:sz w:val="16"/>
                <w:szCs w:val="16"/>
                <w:lang w:val="en-US"/>
              </w:rPr>
              <w:t>-</w:t>
            </w:r>
          </w:p>
        </w:tc>
      </w:tr>
      <w:tr w:rsidR="006C52D3" w:rsidRPr="00222917" w:rsidTr="00CD0403">
        <w:trPr>
          <w:trHeight w:val="240"/>
        </w:trPr>
        <w:tc>
          <w:tcPr>
            <w:tcW w:w="284" w:type="dxa"/>
            <w:vMerge/>
            <w:tcBorders>
              <w:top w:val="single" w:sz="12" w:space="0" w:color="auto"/>
            </w:tcBorders>
            <w:shd w:val="clear" w:color="auto" w:fill="auto"/>
            <w:vAlign w:val="center"/>
          </w:tcPr>
          <w:p w:rsidR="001D2686" w:rsidRPr="00222917" w:rsidRDefault="001D2686" w:rsidP="00827D25">
            <w:pPr>
              <w:suppressAutoHyphens w:val="0"/>
              <w:spacing w:before="40" w:after="40" w:line="200" w:lineRule="exact"/>
              <w:rPr>
                <w:rFonts w:eastAsia="Gulim"/>
                <w:sz w:val="16"/>
                <w:szCs w:val="16"/>
                <w:lang w:val="en-US"/>
              </w:rPr>
            </w:pPr>
          </w:p>
        </w:tc>
        <w:tc>
          <w:tcPr>
            <w:tcW w:w="1418"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Welfare Facilities</w:t>
            </w:r>
          </w:p>
        </w:tc>
        <w:tc>
          <w:tcPr>
            <w:tcW w:w="56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257</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b/>
                <w:sz w:val="16"/>
                <w:szCs w:val="16"/>
                <w:lang w:val="en-US"/>
              </w:rPr>
            </w:pPr>
            <w:r w:rsidRPr="00222917">
              <w:rPr>
                <w:rFonts w:eastAsia="Gulim"/>
                <w:b/>
                <w:sz w:val="16"/>
                <w:szCs w:val="16"/>
                <w:lang w:val="en-US"/>
              </w:rPr>
              <w:t>106</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4</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5</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51</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2</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40</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4</w:t>
            </w:r>
          </w:p>
        </w:tc>
      </w:tr>
      <w:tr w:rsidR="006C52D3" w:rsidRPr="00222917" w:rsidTr="00827D25">
        <w:trPr>
          <w:trHeight w:val="240"/>
        </w:trPr>
        <w:tc>
          <w:tcPr>
            <w:tcW w:w="284" w:type="dxa"/>
            <w:vMerge w:val="restart"/>
            <w:shd w:val="clear" w:color="auto" w:fill="auto"/>
            <w:vAlign w:val="center"/>
          </w:tcPr>
          <w:p w:rsidR="001D2686" w:rsidRPr="00222917" w:rsidRDefault="001D2686" w:rsidP="00827D25">
            <w:pPr>
              <w:suppressAutoHyphens w:val="0"/>
              <w:spacing w:before="40" w:after="40" w:line="200" w:lineRule="exact"/>
              <w:rPr>
                <w:rFonts w:eastAsia="Gulim"/>
                <w:sz w:val="16"/>
                <w:szCs w:val="16"/>
                <w:lang w:val="en-US"/>
              </w:rPr>
            </w:pPr>
            <w:r w:rsidRPr="00222917">
              <w:rPr>
                <w:rFonts w:eastAsia="Gulim"/>
                <w:sz w:val="16"/>
                <w:szCs w:val="16"/>
                <w:lang w:val="en-US"/>
              </w:rPr>
              <w:t>07</w:t>
            </w:r>
          </w:p>
        </w:tc>
        <w:tc>
          <w:tcPr>
            <w:tcW w:w="1418"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Detention facilities</w:t>
            </w:r>
          </w:p>
        </w:tc>
        <w:tc>
          <w:tcPr>
            <w:tcW w:w="56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2,004</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b/>
                <w:sz w:val="16"/>
                <w:szCs w:val="16"/>
                <w:lang w:val="en-US"/>
              </w:rPr>
            </w:pPr>
            <w:r w:rsidRPr="00222917">
              <w:rPr>
                <w:rFonts w:eastAsia="Gulim"/>
                <w:b/>
                <w:sz w:val="16"/>
                <w:szCs w:val="16"/>
                <w:lang w:val="en-US"/>
              </w:rPr>
              <w:t>1,554</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14</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6</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4</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1,115</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53</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362</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w:t>
            </w:r>
          </w:p>
        </w:tc>
      </w:tr>
      <w:tr w:rsidR="006C52D3" w:rsidRPr="00222917" w:rsidTr="00827D25">
        <w:trPr>
          <w:trHeight w:val="240"/>
        </w:trPr>
        <w:tc>
          <w:tcPr>
            <w:tcW w:w="284" w:type="dxa"/>
            <w:vMerge/>
            <w:shd w:val="clear" w:color="auto" w:fill="auto"/>
            <w:vAlign w:val="center"/>
          </w:tcPr>
          <w:p w:rsidR="001D2686" w:rsidRPr="00222917" w:rsidRDefault="001D2686" w:rsidP="00827D25">
            <w:pPr>
              <w:suppressAutoHyphens w:val="0"/>
              <w:spacing w:before="40" w:after="40" w:line="200" w:lineRule="exact"/>
              <w:rPr>
                <w:rFonts w:eastAsia="Gulim"/>
                <w:sz w:val="16"/>
                <w:szCs w:val="16"/>
                <w:lang w:val="en-US"/>
              </w:rPr>
            </w:pPr>
          </w:p>
        </w:tc>
        <w:tc>
          <w:tcPr>
            <w:tcW w:w="1418"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Welfare Facilities</w:t>
            </w:r>
          </w:p>
        </w:tc>
        <w:tc>
          <w:tcPr>
            <w:tcW w:w="56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587</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b/>
                <w:sz w:val="16"/>
                <w:szCs w:val="16"/>
                <w:lang w:val="en-US"/>
              </w:rPr>
            </w:pPr>
            <w:r w:rsidRPr="00222917">
              <w:rPr>
                <w:rFonts w:eastAsia="Gulim"/>
                <w:b/>
                <w:sz w:val="16"/>
                <w:szCs w:val="16"/>
                <w:lang w:val="en-US"/>
              </w:rPr>
              <w:t>232</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4</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8</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1</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133</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16</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67</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3</w:t>
            </w:r>
          </w:p>
        </w:tc>
      </w:tr>
      <w:tr w:rsidR="006C52D3" w:rsidRPr="00222917" w:rsidTr="00827D25">
        <w:trPr>
          <w:trHeight w:val="240"/>
        </w:trPr>
        <w:tc>
          <w:tcPr>
            <w:tcW w:w="284" w:type="dxa"/>
            <w:vMerge w:val="restart"/>
            <w:shd w:val="clear" w:color="auto" w:fill="auto"/>
            <w:vAlign w:val="center"/>
          </w:tcPr>
          <w:p w:rsidR="001D2686" w:rsidRPr="00222917" w:rsidRDefault="001D2686" w:rsidP="00827D25">
            <w:pPr>
              <w:suppressAutoHyphens w:val="0"/>
              <w:spacing w:before="40" w:after="40" w:line="200" w:lineRule="exact"/>
              <w:rPr>
                <w:rFonts w:eastAsia="Gulim"/>
                <w:sz w:val="16"/>
                <w:szCs w:val="16"/>
                <w:lang w:val="en-US"/>
              </w:rPr>
            </w:pPr>
            <w:r w:rsidRPr="00222917">
              <w:rPr>
                <w:rFonts w:eastAsia="Gulim"/>
                <w:sz w:val="16"/>
                <w:szCs w:val="16"/>
                <w:lang w:val="en-US"/>
              </w:rPr>
              <w:t>08</w:t>
            </w:r>
          </w:p>
        </w:tc>
        <w:tc>
          <w:tcPr>
            <w:tcW w:w="1418"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Detention facilities</w:t>
            </w:r>
          </w:p>
        </w:tc>
        <w:tc>
          <w:tcPr>
            <w:tcW w:w="56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1,950</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b/>
                <w:sz w:val="16"/>
                <w:szCs w:val="16"/>
                <w:lang w:val="en-US"/>
              </w:rPr>
            </w:pPr>
            <w:r w:rsidRPr="00222917">
              <w:rPr>
                <w:rFonts w:eastAsia="Gulim"/>
                <w:b/>
                <w:sz w:val="16"/>
                <w:szCs w:val="16"/>
                <w:lang w:val="en-US"/>
              </w:rPr>
              <w:t>1,599</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18</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1</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11</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1,018</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60</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490</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1</w:t>
            </w:r>
          </w:p>
        </w:tc>
      </w:tr>
      <w:tr w:rsidR="006C52D3" w:rsidRPr="00222917" w:rsidTr="00827D25">
        <w:trPr>
          <w:trHeight w:val="240"/>
        </w:trPr>
        <w:tc>
          <w:tcPr>
            <w:tcW w:w="284" w:type="dxa"/>
            <w:vMerge/>
            <w:shd w:val="clear" w:color="auto" w:fill="auto"/>
            <w:vAlign w:val="center"/>
          </w:tcPr>
          <w:p w:rsidR="001D2686" w:rsidRPr="00222917" w:rsidRDefault="001D2686" w:rsidP="00827D25">
            <w:pPr>
              <w:suppressAutoHyphens w:val="0"/>
              <w:spacing w:before="40" w:after="40" w:line="200" w:lineRule="exact"/>
              <w:rPr>
                <w:rFonts w:eastAsia="Gulim"/>
                <w:sz w:val="16"/>
                <w:szCs w:val="16"/>
                <w:lang w:val="en-US"/>
              </w:rPr>
            </w:pPr>
          </w:p>
        </w:tc>
        <w:tc>
          <w:tcPr>
            <w:tcW w:w="1418"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Welfare Facilities</w:t>
            </w:r>
          </w:p>
        </w:tc>
        <w:tc>
          <w:tcPr>
            <w:tcW w:w="56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686</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b/>
                <w:sz w:val="16"/>
                <w:szCs w:val="16"/>
                <w:lang w:val="en-US"/>
              </w:rPr>
            </w:pPr>
            <w:r w:rsidRPr="00222917">
              <w:rPr>
                <w:rFonts w:eastAsia="Gulim"/>
                <w:b/>
                <w:sz w:val="16"/>
                <w:szCs w:val="16"/>
                <w:lang w:val="en-US"/>
              </w:rPr>
              <w:t>388</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19</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1</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209</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5</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151</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3</w:t>
            </w:r>
          </w:p>
        </w:tc>
      </w:tr>
      <w:tr w:rsidR="006C52D3" w:rsidRPr="00222917" w:rsidTr="00827D25">
        <w:trPr>
          <w:trHeight w:val="240"/>
        </w:trPr>
        <w:tc>
          <w:tcPr>
            <w:tcW w:w="284" w:type="dxa"/>
            <w:vMerge w:val="restart"/>
            <w:shd w:val="clear" w:color="auto" w:fill="auto"/>
            <w:vAlign w:val="center"/>
          </w:tcPr>
          <w:p w:rsidR="001D2686" w:rsidRPr="00222917" w:rsidRDefault="001D2686" w:rsidP="00827D25">
            <w:pPr>
              <w:suppressAutoHyphens w:val="0"/>
              <w:spacing w:before="40" w:after="40" w:line="200" w:lineRule="exact"/>
              <w:rPr>
                <w:rFonts w:eastAsia="Gulim"/>
                <w:sz w:val="16"/>
                <w:szCs w:val="16"/>
                <w:lang w:val="en-US"/>
              </w:rPr>
            </w:pPr>
            <w:r w:rsidRPr="00222917">
              <w:rPr>
                <w:rFonts w:eastAsia="Gulim"/>
                <w:sz w:val="16"/>
                <w:szCs w:val="16"/>
                <w:lang w:val="en-US"/>
              </w:rPr>
              <w:t>09</w:t>
            </w:r>
          </w:p>
        </w:tc>
        <w:tc>
          <w:tcPr>
            <w:tcW w:w="1418"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Detention facilities</w:t>
            </w:r>
          </w:p>
        </w:tc>
        <w:tc>
          <w:tcPr>
            <w:tcW w:w="56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2,027</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b/>
                <w:sz w:val="16"/>
                <w:szCs w:val="16"/>
                <w:lang w:val="en-US"/>
              </w:rPr>
            </w:pPr>
            <w:r w:rsidRPr="00222917">
              <w:rPr>
                <w:rFonts w:eastAsia="Gulim"/>
                <w:b/>
                <w:sz w:val="16"/>
                <w:szCs w:val="16"/>
                <w:lang w:val="en-US"/>
              </w:rPr>
              <w:t>1,564</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13</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15</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972</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52</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504</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8</w:t>
            </w:r>
          </w:p>
        </w:tc>
      </w:tr>
      <w:tr w:rsidR="006C52D3" w:rsidRPr="00222917" w:rsidTr="00827D25">
        <w:trPr>
          <w:trHeight w:val="240"/>
        </w:trPr>
        <w:tc>
          <w:tcPr>
            <w:tcW w:w="284" w:type="dxa"/>
            <w:vMerge/>
            <w:shd w:val="clear" w:color="auto" w:fill="auto"/>
            <w:vAlign w:val="center"/>
          </w:tcPr>
          <w:p w:rsidR="001D2686" w:rsidRPr="00222917" w:rsidRDefault="001D2686" w:rsidP="00827D25">
            <w:pPr>
              <w:suppressAutoHyphens w:val="0"/>
              <w:spacing w:before="40" w:after="40" w:line="200" w:lineRule="exact"/>
              <w:rPr>
                <w:rFonts w:eastAsia="Gulim"/>
                <w:sz w:val="16"/>
                <w:szCs w:val="16"/>
                <w:lang w:val="en-US"/>
              </w:rPr>
            </w:pPr>
          </w:p>
        </w:tc>
        <w:tc>
          <w:tcPr>
            <w:tcW w:w="1418"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Welfare Facilities</w:t>
            </w:r>
          </w:p>
        </w:tc>
        <w:tc>
          <w:tcPr>
            <w:tcW w:w="56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489</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b/>
                <w:sz w:val="16"/>
                <w:szCs w:val="16"/>
                <w:lang w:val="en-US"/>
              </w:rPr>
            </w:pPr>
            <w:r w:rsidRPr="00222917">
              <w:rPr>
                <w:rFonts w:eastAsia="Gulim"/>
                <w:b/>
                <w:sz w:val="16"/>
                <w:szCs w:val="16"/>
                <w:lang w:val="en-US"/>
              </w:rPr>
              <w:t>360</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42</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1</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11</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136</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1</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169</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w:t>
            </w:r>
          </w:p>
        </w:tc>
      </w:tr>
      <w:tr w:rsidR="006C52D3" w:rsidRPr="00222917" w:rsidTr="00827D25">
        <w:trPr>
          <w:trHeight w:val="240"/>
        </w:trPr>
        <w:tc>
          <w:tcPr>
            <w:tcW w:w="284" w:type="dxa"/>
            <w:vMerge w:val="restart"/>
            <w:shd w:val="clear" w:color="auto" w:fill="auto"/>
            <w:vAlign w:val="center"/>
          </w:tcPr>
          <w:p w:rsidR="001D2686" w:rsidRPr="00222917" w:rsidRDefault="001D2686" w:rsidP="00827D25">
            <w:pPr>
              <w:suppressAutoHyphens w:val="0"/>
              <w:spacing w:before="40" w:after="40" w:line="200" w:lineRule="exact"/>
              <w:rPr>
                <w:rFonts w:eastAsia="Gulim"/>
                <w:sz w:val="16"/>
                <w:szCs w:val="16"/>
                <w:lang w:val="en-US"/>
              </w:rPr>
            </w:pPr>
            <w:r w:rsidRPr="00222917">
              <w:rPr>
                <w:rFonts w:eastAsia="Gulim"/>
                <w:sz w:val="16"/>
                <w:szCs w:val="16"/>
                <w:lang w:val="en-US"/>
              </w:rPr>
              <w:t>10</w:t>
            </w:r>
          </w:p>
        </w:tc>
        <w:tc>
          <w:tcPr>
            <w:tcW w:w="1418"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Detention facilities</w:t>
            </w:r>
          </w:p>
        </w:tc>
        <w:tc>
          <w:tcPr>
            <w:tcW w:w="56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1,880</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b/>
                <w:sz w:val="16"/>
                <w:szCs w:val="16"/>
                <w:lang w:val="en-US"/>
              </w:rPr>
            </w:pPr>
            <w:r w:rsidRPr="00222917">
              <w:rPr>
                <w:rFonts w:eastAsia="Gulim"/>
                <w:b/>
                <w:sz w:val="16"/>
                <w:szCs w:val="16"/>
                <w:lang w:val="en-US"/>
              </w:rPr>
              <w:t>1,441</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5</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9</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926</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44</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444</w:t>
            </w:r>
          </w:p>
        </w:tc>
        <w:tc>
          <w:tcPr>
            <w:tcW w:w="737" w:type="dxa"/>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13</w:t>
            </w:r>
          </w:p>
        </w:tc>
      </w:tr>
      <w:tr w:rsidR="006C52D3" w:rsidRPr="00222917" w:rsidTr="006C52D3">
        <w:trPr>
          <w:trHeight w:val="240"/>
        </w:trPr>
        <w:tc>
          <w:tcPr>
            <w:tcW w:w="284" w:type="dxa"/>
            <w:vMerge/>
            <w:tcBorders>
              <w:bottom w:val="single" w:sz="12" w:space="0" w:color="auto"/>
            </w:tcBorders>
            <w:shd w:val="clear" w:color="auto" w:fill="auto"/>
          </w:tcPr>
          <w:p w:rsidR="001D2686" w:rsidRPr="00222917" w:rsidRDefault="001D2686" w:rsidP="00C31E7E">
            <w:pPr>
              <w:suppressAutoHyphens w:val="0"/>
              <w:spacing w:before="40" w:after="40" w:line="200" w:lineRule="exact"/>
              <w:rPr>
                <w:rFonts w:eastAsia="Gulim"/>
                <w:sz w:val="16"/>
                <w:szCs w:val="16"/>
                <w:lang w:val="en-US"/>
              </w:rPr>
            </w:pPr>
          </w:p>
        </w:tc>
        <w:tc>
          <w:tcPr>
            <w:tcW w:w="1418" w:type="dxa"/>
            <w:tcBorders>
              <w:bottom w:val="single" w:sz="12" w:space="0" w:color="auto"/>
            </w:tcBorders>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Welfare Facilities</w:t>
            </w:r>
          </w:p>
        </w:tc>
        <w:tc>
          <w:tcPr>
            <w:tcW w:w="567" w:type="dxa"/>
            <w:tcBorders>
              <w:bottom w:val="single" w:sz="12" w:space="0" w:color="auto"/>
            </w:tcBorders>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1,371</w:t>
            </w:r>
          </w:p>
        </w:tc>
        <w:tc>
          <w:tcPr>
            <w:tcW w:w="737" w:type="dxa"/>
            <w:tcBorders>
              <w:bottom w:val="single" w:sz="12" w:space="0" w:color="auto"/>
            </w:tcBorders>
            <w:shd w:val="clear" w:color="auto" w:fill="auto"/>
            <w:vAlign w:val="bottom"/>
          </w:tcPr>
          <w:p w:rsidR="001D2686" w:rsidRPr="00222917" w:rsidRDefault="001D2686" w:rsidP="00C31E7E">
            <w:pPr>
              <w:suppressAutoHyphens w:val="0"/>
              <w:spacing w:before="40" w:after="40" w:line="200" w:lineRule="exact"/>
              <w:jc w:val="right"/>
              <w:rPr>
                <w:rFonts w:eastAsia="Gulim"/>
                <w:b/>
                <w:sz w:val="16"/>
                <w:szCs w:val="16"/>
                <w:lang w:val="en-US"/>
              </w:rPr>
            </w:pPr>
            <w:r w:rsidRPr="00222917">
              <w:rPr>
                <w:rFonts w:eastAsia="Gulim"/>
                <w:b/>
                <w:sz w:val="16"/>
                <w:szCs w:val="16"/>
                <w:lang w:val="en-US"/>
              </w:rPr>
              <w:t>1,109</w:t>
            </w:r>
          </w:p>
        </w:tc>
        <w:tc>
          <w:tcPr>
            <w:tcW w:w="737" w:type="dxa"/>
            <w:tcBorders>
              <w:bottom w:val="single" w:sz="12" w:space="0" w:color="auto"/>
            </w:tcBorders>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53</w:t>
            </w:r>
          </w:p>
        </w:tc>
        <w:tc>
          <w:tcPr>
            <w:tcW w:w="737" w:type="dxa"/>
            <w:tcBorders>
              <w:bottom w:val="single" w:sz="12" w:space="0" w:color="auto"/>
            </w:tcBorders>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1</w:t>
            </w:r>
          </w:p>
        </w:tc>
        <w:tc>
          <w:tcPr>
            <w:tcW w:w="737" w:type="dxa"/>
            <w:tcBorders>
              <w:bottom w:val="single" w:sz="12" w:space="0" w:color="auto"/>
            </w:tcBorders>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1</w:t>
            </w:r>
          </w:p>
        </w:tc>
        <w:tc>
          <w:tcPr>
            <w:tcW w:w="737" w:type="dxa"/>
            <w:tcBorders>
              <w:bottom w:val="single" w:sz="12" w:space="0" w:color="auto"/>
            </w:tcBorders>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w:t>
            </w:r>
          </w:p>
        </w:tc>
        <w:tc>
          <w:tcPr>
            <w:tcW w:w="737" w:type="dxa"/>
            <w:tcBorders>
              <w:bottom w:val="single" w:sz="12" w:space="0" w:color="auto"/>
            </w:tcBorders>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39</w:t>
            </w:r>
          </w:p>
        </w:tc>
        <w:tc>
          <w:tcPr>
            <w:tcW w:w="737" w:type="dxa"/>
            <w:tcBorders>
              <w:bottom w:val="single" w:sz="12" w:space="0" w:color="auto"/>
            </w:tcBorders>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685</w:t>
            </w:r>
          </w:p>
        </w:tc>
        <w:tc>
          <w:tcPr>
            <w:tcW w:w="737" w:type="dxa"/>
            <w:tcBorders>
              <w:bottom w:val="single" w:sz="12" w:space="0" w:color="auto"/>
            </w:tcBorders>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11</w:t>
            </w:r>
          </w:p>
        </w:tc>
        <w:tc>
          <w:tcPr>
            <w:tcW w:w="737" w:type="dxa"/>
            <w:tcBorders>
              <w:bottom w:val="single" w:sz="12" w:space="0" w:color="auto"/>
            </w:tcBorders>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311</w:t>
            </w:r>
          </w:p>
        </w:tc>
        <w:tc>
          <w:tcPr>
            <w:tcW w:w="737" w:type="dxa"/>
            <w:tcBorders>
              <w:bottom w:val="single" w:sz="12" w:space="0" w:color="auto"/>
            </w:tcBorders>
            <w:shd w:val="clear" w:color="auto" w:fill="auto"/>
            <w:vAlign w:val="bottom"/>
          </w:tcPr>
          <w:p w:rsidR="001D2686" w:rsidRPr="00222917" w:rsidRDefault="001D2686" w:rsidP="00C31E7E">
            <w:pPr>
              <w:suppressAutoHyphens w:val="0"/>
              <w:spacing w:before="40" w:after="40" w:line="200" w:lineRule="exact"/>
              <w:jc w:val="right"/>
              <w:rPr>
                <w:rFonts w:eastAsia="Gulim"/>
                <w:sz w:val="16"/>
                <w:szCs w:val="16"/>
                <w:lang w:val="en-US"/>
              </w:rPr>
            </w:pPr>
            <w:r w:rsidRPr="00222917">
              <w:rPr>
                <w:rFonts w:eastAsia="Gulim"/>
                <w:sz w:val="16"/>
                <w:szCs w:val="16"/>
                <w:lang w:val="en-US"/>
              </w:rPr>
              <w:t>8</w:t>
            </w:r>
          </w:p>
        </w:tc>
      </w:tr>
    </w:tbl>
    <w:p w:rsidR="002D5BB0" w:rsidRPr="00222917" w:rsidRDefault="00C31E7E" w:rsidP="00C31E7E">
      <w:pPr>
        <w:pStyle w:val="H23G"/>
        <w:rPr>
          <w:lang w:val="en-US"/>
        </w:rPr>
      </w:pPr>
      <w:bookmarkStart w:id="48" w:name="_Toc307504050"/>
      <w:bookmarkStart w:id="49" w:name="_Toc336435822"/>
      <w:r w:rsidRPr="00222917">
        <w:rPr>
          <w:lang w:val="en-US"/>
        </w:rPr>
        <w:tab/>
      </w:r>
      <w:r w:rsidRPr="00222917">
        <w:rPr>
          <w:lang w:val="en-US"/>
        </w:rPr>
        <w:tab/>
      </w:r>
      <w:r w:rsidR="002D5BB0" w:rsidRPr="00222917">
        <w:rPr>
          <w:lang w:val="en-US"/>
        </w:rPr>
        <w:t>Revision and Execution of the Criminal Procedure Act</w:t>
      </w:r>
      <w:bookmarkEnd w:id="48"/>
      <w:bookmarkEnd w:id="49"/>
    </w:p>
    <w:p w:rsidR="002D5BB0" w:rsidRPr="00222917" w:rsidRDefault="00547908" w:rsidP="00547908">
      <w:pPr>
        <w:pStyle w:val="SingleTxtG"/>
        <w:rPr>
          <w:lang w:val="en-US"/>
        </w:rPr>
      </w:pPr>
      <w:r w:rsidRPr="00222917">
        <w:rPr>
          <w:lang w:val="en-US"/>
        </w:rPr>
        <w:t>129.</w:t>
      </w:r>
      <w:r w:rsidRPr="00222917">
        <w:rPr>
          <w:lang w:val="en-US"/>
        </w:rPr>
        <w:tab/>
      </w:r>
      <w:r w:rsidR="00177A55" w:rsidRPr="00222917">
        <w:rPr>
          <w:lang w:val="en-US"/>
        </w:rPr>
        <w:t>On 1 </w:t>
      </w:r>
      <w:r w:rsidR="002D5BB0" w:rsidRPr="00222917">
        <w:rPr>
          <w:lang w:val="en-US"/>
        </w:rPr>
        <w:t xml:space="preserve">June 2007, the </w:t>
      </w:r>
      <w:r w:rsidR="002D5BB0" w:rsidRPr="00C70182">
        <w:rPr>
          <w:iCs/>
          <w:lang w:val="en-US"/>
        </w:rPr>
        <w:t xml:space="preserve">Criminal Procedure Act </w:t>
      </w:r>
      <w:r w:rsidR="002D5BB0" w:rsidRPr="00222917">
        <w:rPr>
          <w:lang w:val="en-US"/>
        </w:rPr>
        <w:t>underwent a sweeping revision. The</w:t>
      </w:r>
      <w:r w:rsidR="00827D25" w:rsidRPr="00222917">
        <w:rPr>
          <w:lang w:val="en-US"/>
        </w:rPr>
        <w:t> </w:t>
      </w:r>
      <w:r w:rsidR="002D5BB0" w:rsidRPr="00222917">
        <w:rPr>
          <w:lang w:val="en-US"/>
        </w:rPr>
        <w:t>revised Act has provisions to step up human rights protection for suspects and defendants and to promote suspects’ right to defense. Recommendations by the Committee were reflected in the process of its revision. As major actions to prevent the possibility of torture, the Act expressly provides for the principles to permit participation by defense counsel in suspect interrogation, allow the presence of a person who has a reliable relationship with a suspect, and exclude evidence obtained by illegal means including torture from the scope of admissible evidence. These actions were not stipulated explicitly in the past. The Act also expands the state-appointed counsel system, restricts urgent arrests, and introduces videotaping and recording of an investigation process.</w:t>
      </w:r>
      <w:r w:rsidR="00120D8B" w:rsidRPr="00222917">
        <w:rPr>
          <w:lang w:val="en-US"/>
        </w:rPr>
        <w:t xml:space="preserve"> </w:t>
      </w:r>
      <w:bookmarkStart w:id="50" w:name="_Toc307504051"/>
      <w:bookmarkStart w:id="51" w:name="_Toc336435823"/>
    </w:p>
    <w:p w:rsidR="002D5BB0" w:rsidRPr="00222917" w:rsidRDefault="00177A55" w:rsidP="00177A55">
      <w:pPr>
        <w:pStyle w:val="H4G"/>
        <w:rPr>
          <w:lang w:val="en-US"/>
        </w:rPr>
      </w:pPr>
      <w:r w:rsidRPr="00222917">
        <w:rPr>
          <w:lang w:val="en-US"/>
        </w:rPr>
        <w:tab/>
      </w:r>
      <w:r w:rsidRPr="00222917">
        <w:rPr>
          <w:lang w:val="en-US"/>
        </w:rPr>
        <w:tab/>
      </w:r>
      <w:r w:rsidR="002D5BB0" w:rsidRPr="00222917">
        <w:rPr>
          <w:lang w:val="en-US"/>
        </w:rPr>
        <w:t>Videotaping and Recording of Investigation Process</w:t>
      </w:r>
      <w:bookmarkEnd w:id="50"/>
      <w:bookmarkEnd w:id="51"/>
    </w:p>
    <w:p w:rsidR="002D5BB0" w:rsidRPr="00222917" w:rsidRDefault="00547908" w:rsidP="00547908">
      <w:pPr>
        <w:pStyle w:val="SingleTxtG"/>
        <w:rPr>
          <w:lang w:val="en-US"/>
        </w:rPr>
      </w:pPr>
      <w:r w:rsidRPr="00222917">
        <w:rPr>
          <w:lang w:val="en-US"/>
        </w:rPr>
        <w:t>130.</w:t>
      </w:r>
      <w:r w:rsidRPr="00222917">
        <w:rPr>
          <w:lang w:val="en-US"/>
        </w:rPr>
        <w:tab/>
      </w:r>
      <w:r w:rsidR="002D5BB0" w:rsidRPr="00222917">
        <w:rPr>
          <w:lang w:val="en-US"/>
        </w:rPr>
        <w:t xml:space="preserve">The revised </w:t>
      </w:r>
      <w:r w:rsidR="002D5BB0" w:rsidRPr="00C70182">
        <w:rPr>
          <w:iCs/>
          <w:lang w:val="en-US"/>
        </w:rPr>
        <w:t>Criminal Procedure Act</w:t>
      </w:r>
      <w:r w:rsidR="002D5BB0" w:rsidRPr="00222917">
        <w:rPr>
          <w:lang w:val="en-US"/>
        </w:rPr>
        <w:t xml:space="preserve"> establishes a legal basis for videotaping statements by suspects (</w:t>
      </w:r>
      <w:r w:rsidR="00681EC0" w:rsidRPr="00222917">
        <w:rPr>
          <w:lang w:val="en-US"/>
        </w:rPr>
        <w:t>a</w:t>
      </w:r>
      <w:r w:rsidR="002D5BB0" w:rsidRPr="00222917">
        <w:rPr>
          <w:lang w:val="en-US"/>
        </w:rPr>
        <w:t>rticle</w:t>
      </w:r>
      <w:r w:rsidR="00C974F8" w:rsidRPr="00222917">
        <w:rPr>
          <w:lang w:val="en-US"/>
        </w:rPr>
        <w:t> </w:t>
      </w:r>
      <w:r w:rsidR="002D5BB0" w:rsidRPr="00222917">
        <w:rPr>
          <w:lang w:val="en-US"/>
        </w:rPr>
        <w:t>244-2) and strengthens suspects’ right to remain silent by requiring notification of such right and presenta</w:t>
      </w:r>
      <w:r w:rsidR="00C974F8" w:rsidRPr="00222917">
        <w:rPr>
          <w:lang w:val="en-US"/>
        </w:rPr>
        <w:t>tion of a record of it (</w:t>
      </w:r>
      <w:r w:rsidR="00681EC0" w:rsidRPr="00222917">
        <w:rPr>
          <w:lang w:val="en-US"/>
        </w:rPr>
        <w:t>a</w:t>
      </w:r>
      <w:r w:rsidR="00C974F8" w:rsidRPr="00222917">
        <w:rPr>
          <w:lang w:val="en-US"/>
        </w:rPr>
        <w:t>rticle </w:t>
      </w:r>
      <w:r w:rsidR="002D5BB0" w:rsidRPr="00222917">
        <w:rPr>
          <w:lang w:val="en-US"/>
        </w:rPr>
        <w:t>244-3). In</w:t>
      </w:r>
      <w:r w:rsidR="00177A55" w:rsidRPr="00222917">
        <w:rPr>
          <w:lang w:val="en-US"/>
        </w:rPr>
        <w:t> </w:t>
      </w:r>
      <w:r w:rsidR="002D5BB0" w:rsidRPr="00222917">
        <w:rPr>
          <w:lang w:val="en-US"/>
        </w:rPr>
        <w:t>addition, the Act requires prosecutors or judicial police officers to record matters necessary to confirm investigation proceedings including the time when a suspect arrived at the place of investigation and the time when investigation w</w:t>
      </w:r>
      <w:r w:rsidR="00C974F8" w:rsidRPr="00222917">
        <w:rPr>
          <w:lang w:val="en-US"/>
        </w:rPr>
        <w:t>as begun and completed (</w:t>
      </w:r>
      <w:r w:rsidR="00681EC0" w:rsidRPr="00222917">
        <w:rPr>
          <w:lang w:val="en-US"/>
        </w:rPr>
        <w:t>a</w:t>
      </w:r>
      <w:r w:rsidR="00C974F8" w:rsidRPr="00222917">
        <w:rPr>
          <w:lang w:val="en-US"/>
        </w:rPr>
        <w:t>rticle </w:t>
      </w:r>
      <w:r w:rsidR="002D5BB0" w:rsidRPr="00222917">
        <w:rPr>
          <w:lang w:val="en-US"/>
        </w:rPr>
        <w:t xml:space="preserve">244-4). </w:t>
      </w:r>
    </w:p>
    <w:p w:rsidR="002D5BB0" w:rsidRPr="00222917" w:rsidRDefault="00177A55" w:rsidP="00177A55">
      <w:pPr>
        <w:pStyle w:val="H23G"/>
        <w:rPr>
          <w:lang w:val="en-US"/>
        </w:rPr>
      </w:pPr>
      <w:r w:rsidRPr="00222917">
        <w:rPr>
          <w:lang w:val="en-US"/>
        </w:rPr>
        <w:tab/>
      </w:r>
      <w:r w:rsidRPr="00222917">
        <w:rPr>
          <w:lang w:val="en-US"/>
        </w:rPr>
        <w:tab/>
      </w:r>
      <w:r w:rsidR="002D5BB0" w:rsidRPr="00222917">
        <w:rPr>
          <w:lang w:val="en-US"/>
        </w:rPr>
        <w:t>Use of the Videotaping System by Public Prosecutor’s Offices</w:t>
      </w:r>
      <w:r w:rsidRPr="00222917">
        <w:rPr>
          <w:lang w:val="en-US"/>
        </w:rPr>
        <w:br/>
      </w:r>
      <w:r w:rsidR="002D5BB0" w:rsidRPr="00222917">
        <w:rPr>
          <w:b w:val="0"/>
          <w:sz w:val="16"/>
          <w:szCs w:val="16"/>
          <w:lang w:val="en-US"/>
        </w:rPr>
        <w:t>(Number of cases and persons)</w:t>
      </w:r>
      <w:r w:rsidR="002D5BB0" w:rsidRPr="00222917">
        <w:rPr>
          <w:lang w:val="en-US"/>
        </w:rPr>
        <w:t xml:space="preserve"> </w:t>
      </w:r>
    </w:p>
    <w:tbl>
      <w:tblPr>
        <w:tblW w:w="0" w:type="auto"/>
        <w:tblInd w:w="1134" w:type="dxa"/>
        <w:tblBorders>
          <w:top w:val="single" w:sz="4" w:space="0" w:color="auto"/>
        </w:tblBorders>
        <w:tblLayout w:type="fixed"/>
        <w:tblCellMar>
          <w:left w:w="0" w:type="dxa"/>
          <w:right w:w="0" w:type="dxa"/>
        </w:tblCellMar>
        <w:tblLook w:val="00A0"/>
      </w:tblPr>
      <w:tblGrid>
        <w:gridCol w:w="2268"/>
        <w:gridCol w:w="851"/>
        <w:gridCol w:w="851"/>
        <w:gridCol w:w="851"/>
        <w:gridCol w:w="851"/>
        <w:gridCol w:w="851"/>
        <w:gridCol w:w="851"/>
      </w:tblGrid>
      <w:tr w:rsidR="001D2686" w:rsidRPr="00222917" w:rsidTr="001C18E1">
        <w:trPr>
          <w:trHeight w:val="240"/>
          <w:tblHeader/>
        </w:trPr>
        <w:tc>
          <w:tcPr>
            <w:tcW w:w="2268" w:type="dxa"/>
            <w:tcBorders>
              <w:top w:val="single" w:sz="4" w:space="0" w:color="auto"/>
              <w:bottom w:val="single" w:sz="12" w:space="0" w:color="auto"/>
            </w:tcBorders>
            <w:shd w:val="clear" w:color="auto" w:fill="auto"/>
            <w:tcMar>
              <w:top w:w="15" w:type="dxa"/>
              <w:left w:w="15" w:type="dxa"/>
              <w:bottom w:w="15" w:type="dxa"/>
              <w:right w:w="15" w:type="dxa"/>
            </w:tcMar>
            <w:vAlign w:val="bottom"/>
          </w:tcPr>
          <w:p w:rsidR="002D5BB0" w:rsidRPr="00222917" w:rsidRDefault="002D5BB0" w:rsidP="001C18E1">
            <w:pPr>
              <w:pStyle w:val="SingleTxtG"/>
              <w:suppressAutoHyphens w:val="0"/>
              <w:spacing w:before="80" w:after="80" w:line="200" w:lineRule="exact"/>
              <w:ind w:left="0" w:right="0"/>
              <w:jc w:val="left"/>
              <w:rPr>
                <w:i/>
                <w:sz w:val="16"/>
                <w:lang w:val="en-US"/>
              </w:rPr>
            </w:pPr>
            <w:bookmarkStart w:id="52" w:name="BM_6ac56cc5"/>
            <w:bookmarkEnd w:id="52"/>
            <w:r w:rsidRPr="00222917">
              <w:rPr>
                <w:bCs/>
                <w:i/>
                <w:sz w:val="16"/>
                <w:lang w:val="en-US"/>
              </w:rPr>
              <w:t>Year</w:t>
            </w:r>
          </w:p>
        </w:tc>
        <w:tc>
          <w:tcPr>
            <w:tcW w:w="851" w:type="dxa"/>
            <w:tcBorders>
              <w:top w:val="single" w:sz="4" w:space="0" w:color="auto"/>
              <w:bottom w:val="single" w:sz="12" w:space="0" w:color="auto"/>
            </w:tcBorders>
            <w:shd w:val="clear" w:color="auto" w:fill="auto"/>
            <w:tcMar>
              <w:top w:w="15" w:type="dxa"/>
              <w:left w:w="15" w:type="dxa"/>
              <w:bottom w:w="15" w:type="dxa"/>
              <w:right w:w="15" w:type="dxa"/>
            </w:tcMar>
            <w:vAlign w:val="bottom"/>
          </w:tcPr>
          <w:p w:rsidR="002D5BB0" w:rsidRPr="00222917" w:rsidRDefault="002D5BB0" w:rsidP="001C18E1">
            <w:pPr>
              <w:pStyle w:val="SingleTxtG"/>
              <w:suppressAutoHyphens w:val="0"/>
              <w:spacing w:before="80" w:after="80" w:line="200" w:lineRule="exact"/>
              <w:ind w:left="0" w:right="0"/>
              <w:jc w:val="right"/>
              <w:rPr>
                <w:i/>
                <w:sz w:val="16"/>
                <w:lang w:val="en-US"/>
              </w:rPr>
            </w:pPr>
            <w:r w:rsidRPr="00222917">
              <w:rPr>
                <w:bCs/>
                <w:i/>
                <w:sz w:val="16"/>
                <w:lang w:val="en-US"/>
              </w:rPr>
              <w:t>2005</w:t>
            </w:r>
          </w:p>
        </w:tc>
        <w:tc>
          <w:tcPr>
            <w:tcW w:w="851" w:type="dxa"/>
            <w:tcBorders>
              <w:top w:val="single" w:sz="4" w:space="0" w:color="auto"/>
              <w:bottom w:val="single" w:sz="12" w:space="0" w:color="auto"/>
            </w:tcBorders>
            <w:shd w:val="clear" w:color="auto" w:fill="auto"/>
            <w:tcMar>
              <w:top w:w="15" w:type="dxa"/>
              <w:left w:w="15" w:type="dxa"/>
              <w:bottom w:w="15" w:type="dxa"/>
              <w:right w:w="15" w:type="dxa"/>
            </w:tcMar>
            <w:vAlign w:val="bottom"/>
          </w:tcPr>
          <w:p w:rsidR="002D5BB0" w:rsidRPr="00222917" w:rsidRDefault="002D5BB0" w:rsidP="001C18E1">
            <w:pPr>
              <w:pStyle w:val="SingleTxtG"/>
              <w:suppressAutoHyphens w:val="0"/>
              <w:spacing w:before="80" w:after="80" w:line="200" w:lineRule="exact"/>
              <w:ind w:left="0" w:right="0"/>
              <w:jc w:val="right"/>
              <w:rPr>
                <w:i/>
                <w:sz w:val="16"/>
                <w:lang w:val="en-US"/>
              </w:rPr>
            </w:pPr>
            <w:r w:rsidRPr="00222917">
              <w:rPr>
                <w:bCs/>
                <w:i/>
                <w:sz w:val="16"/>
                <w:lang w:val="en-US"/>
              </w:rPr>
              <w:t>2006</w:t>
            </w:r>
          </w:p>
        </w:tc>
        <w:tc>
          <w:tcPr>
            <w:tcW w:w="851" w:type="dxa"/>
            <w:tcBorders>
              <w:top w:val="single" w:sz="4" w:space="0" w:color="auto"/>
              <w:bottom w:val="single" w:sz="12" w:space="0" w:color="auto"/>
            </w:tcBorders>
            <w:shd w:val="clear" w:color="auto" w:fill="auto"/>
            <w:tcMar>
              <w:top w:w="15" w:type="dxa"/>
              <w:left w:w="15" w:type="dxa"/>
              <w:bottom w:w="15" w:type="dxa"/>
              <w:right w:w="15" w:type="dxa"/>
            </w:tcMar>
            <w:vAlign w:val="bottom"/>
          </w:tcPr>
          <w:p w:rsidR="002D5BB0" w:rsidRPr="00222917" w:rsidRDefault="002D5BB0" w:rsidP="001C18E1">
            <w:pPr>
              <w:pStyle w:val="SingleTxtG"/>
              <w:suppressAutoHyphens w:val="0"/>
              <w:spacing w:before="80" w:after="80" w:line="200" w:lineRule="exact"/>
              <w:ind w:left="0" w:right="0"/>
              <w:jc w:val="right"/>
              <w:rPr>
                <w:i/>
                <w:sz w:val="16"/>
                <w:lang w:val="en-US"/>
              </w:rPr>
            </w:pPr>
            <w:r w:rsidRPr="00222917">
              <w:rPr>
                <w:bCs/>
                <w:i/>
                <w:sz w:val="16"/>
                <w:lang w:val="en-US"/>
              </w:rPr>
              <w:t>2007</w:t>
            </w:r>
          </w:p>
        </w:tc>
        <w:tc>
          <w:tcPr>
            <w:tcW w:w="851" w:type="dxa"/>
            <w:tcBorders>
              <w:top w:val="single" w:sz="4" w:space="0" w:color="auto"/>
              <w:bottom w:val="single" w:sz="12" w:space="0" w:color="auto"/>
            </w:tcBorders>
            <w:shd w:val="clear" w:color="auto" w:fill="auto"/>
            <w:tcMar>
              <w:top w:w="15" w:type="dxa"/>
              <w:left w:w="15" w:type="dxa"/>
              <w:bottom w:w="15" w:type="dxa"/>
              <w:right w:w="15" w:type="dxa"/>
            </w:tcMar>
            <w:vAlign w:val="bottom"/>
          </w:tcPr>
          <w:p w:rsidR="002D5BB0" w:rsidRPr="00222917" w:rsidRDefault="002D5BB0" w:rsidP="001C18E1">
            <w:pPr>
              <w:pStyle w:val="SingleTxtG"/>
              <w:suppressAutoHyphens w:val="0"/>
              <w:spacing w:before="80" w:after="80" w:line="200" w:lineRule="exact"/>
              <w:ind w:left="0" w:right="0"/>
              <w:jc w:val="right"/>
              <w:rPr>
                <w:i/>
                <w:sz w:val="16"/>
                <w:lang w:val="en-US"/>
              </w:rPr>
            </w:pPr>
            <w:r w:rsidRPr="00222917">
              <w:rPr>
                <w:bCs/>
                <w:i/>
                <w:sz w:val="16"/>
                <w:lang w:val="en-US"/>
              </w:rPr>
              <w:t>2008</w:t>
            </w:r>
          </w:p>
        </w:tc>
        <w:tc>
          <w:tcPr>
            <w:tcW w:w="851" w:type="dxa"/>
            <w:tcBorders>
              <w:top w:val="single" w:sz="4" w:space="0" w:color="auto"/>
              <w:bottom w:val="single" w:sz="12" w:space="0" w:color="auto"/>
            </w:tcBorders>
            <w:shd w:val="clear" w:color="auto" w:fill="auto"/>
            <w:tcMar>
              <w:top w:w="15" w:type="dxa"/>
              <w:left w:w="15" w:type="dxa"/>
              <w:bottom w:w="15" w:type="dxa"/>
              <w:right w:w="15" w:type="dxa"/>
            </w:tcMar>
            <w:vAlign w:val="bottom"/>
          </w:tcPr>
          <w:p w:rsidR="002D5BB0" w:rsidRPr="00222917" w:rsidRDefault="002D5BB0" w:rsidP="001C18E1">
            <w:pPr>
              <w:pStyle w:val="SingleTxtG"/>
              <w:suppressAutoHyphens w:val="0"/>
              <w:spacing w:before="80" w:after="80" w:line="200" w:lineRule="exact"/>
              <w:ind w:left="0" w:right="0"/>
              <w:jc w:val="right"/>
              <w:rPr>
                <w:i/>
                <w:sz w:val="16"/>
                <w:lang w:val="en-US"/>
              </w:rPr>
            </w:pPr>
            <w:r w:rsidRPr="00222917">
              <w:rPr>
                <w:bCs/>
                <w:i/>
                <w:sz w:val="16"/>
                <w:lang w:val="en-US"/>
              </w:rPr>
              <w:t>2009</w:t>
            </w:r>
          </w:p>
        </w:tc>
        <w:tc>
          <w:tcPr>
            <w:tcW w:w="851" w:type="dxa"/>
            <w:tcBorders>
              <w:top w:val="single" w:sz="4" w:space="0" w:color="auto"/>
              <w:bottom w:val="single" w:sz="12" w:space="0" w:color="auto"/>
            </w:tcBorders>
            <w:shd w:val="clear" w:color="auto" w:fill="auto"/>
            <w:tcMar>
              <w:top w:w="15" w:type="dxa"/>
              <w:left w:w="15" w:type="dxa"/>
              <w:bottom w:w="15" w:type="dxa"/>
              <w:right w:w="15" w:type="dxa"/>
            </w:tcMar>
            <w:vAlign w:val="bottom"/>
          </w:tcPr>
          <w:p w:rsidR="002D5BB0" w:rsidRPr="00222917" w:rsidRDefault="002D5BB0" w:rsidP="001C18E1">
            <w:pPr>
              <w:pStyle w:val="SingleTxtG"/>
              <w:suppressAutoHyphens w:val="0"/>
              <w:spacing w:before="80" w:after="80" w:line="200" w:lineRule="exact"/>
              <w:ind w:left="0" w:right="0"/>
              <w:jc w:val="right"/>
              <w:rPr>
                <w:bCs/>
                <w:i/>
                <w:sz w:val="16"/>
                <w:lang w:val="en-US"/>
              </w:rPr>
            </w:pPr>
            <w:r w:rsidRPr="00222917">
              <w:rPr>
                <w:bCs/>
                <w:i/>
                <w:sz w:val="16"/>
                <w:lang w:val="en-US"/>
              </w:rPr>
              <w:t>2010</w:t>
            </w:r>
          </w:p>
        </w:tc>
      </w:tr>
      <w:tr w:rsidR="001D2686" w:rsidRPr="00222917" w:rsidTr="001C18E1">
        <w:trPr>
          <w:trHeight w:val="240"/>
        </w:trPr>
        <w:tc>
          <w:tcPr>
            <w:tcW w:w="2268" w:type="dxa"/>
            <w:tcBorders>
              <w:top w:val="single" w:sz="12" w:space="0" w:color="auto"/>
            </w:tcBorders>
            <w:shd w:val="clear" w:color="auto" w:fill="auto"/>
            <w:tcMar>
              <w:top w:w="15" w:type="dxa"/>
              <w:left w:w="15" w:type="dxa"/>
              <w:bottom w:w="15" w:type="dxa"/>
              <w:right w:w="15" w:type="dxa"/>
            </w:tcMar>
          </w:tcPr>
          <w:p w:rsidR="002D5BB0" w:rsidRPr="00222917" w:rsidRDefault="002D5BB0" w:rsidP="001C18E1">
            <w:pPr>
              <w:pStyle w:val="SingleTxtG"/>
              <w:suppressAutoHyphens w:val="0"/>
              <w:spacing w:before="40" w:after="40" w:line="220" w:lineRule="exact"/>
              <w:ind w:left="0" w:right="0"/>
              <w:jc w:val="left"/>
              <w:rPr>
                <w:sz w:val="18"/>
                <w:lang w:val="en-US"/>
              </w:rPr>
            </w:pPr>
            <w:r w:rsidRPr="00222917">
              <w:rPr>
                <w:sz w:val="18"/>
                <w:lang w:val="en-US"/>
              </w:rPr>
              <w:t>No. of investigations</w:t>
            </w:r>
          </w:p>
        </w:tc>
        <w:tc>
          <w:tcPr>
            <w:tcW w:w="851" w:type="dxa"/>
            <w:tcBorders>
              <w:top w:val="single" w:sz="12" w:space="0" w:color="auto"/>
            </w:tcBorders>
            <w:shd w:val="clear" w:color="auto" w:fill="auto"/>
            <w:tcMar>
              <w:top w:w="15" w:type="dxa"/>
              <w:left w:w="15" w:type="dxa"/>
              <w:bottom w:w="15" w:type="dxa"/>
              <w:right w:w="15" w:type="dxa"/>
            </w:tcMar>
            <w:vAlign w:val="bottom"/>
          </w:tcPr>
          <w:p w:rsidR="002D5BB0" w:rsidRPr="00222917" w:rsidRDefault="002D5BB0" w:rsidP="001C18E1">
            <w:pPr>
              <w:pStyle w:val="SingleTxtG"/>
              <w:suppressAutoHyphens w:val="0"/>
              <w:spacing w:before="40" w:after="40" w:line="220" w:lineRule="exact"/>
              <w:ind w:left="0" w:right="0"/>
              <w:jc w:val="right"/>
              <w:rPr>
                <w:sz w:val="18"/>
                <w:lang w:val="en-US"/>
              </w:rPr>
            </w:pPr>
            <w:r w:rsidRPr="00222917">
              <w:rPr>
                <w:sz w:val="18"/>
                <w:lang w:val="en-US"/>
              </w:rPr>
              <w:t>2,145</w:t>
            </w:r>
          </w:p>
        </w:tc>
        <w:tc>
          <w:tcPr>
            <w:tcW w:w="851" w:type="dxa"/>
            <w:tcBorders>
              <w:top w:val="single" w:sz="12" w:space="0" w:color="auto"/>
            </w:tcBorders>
            <w:shd w:val="clear" w:color="auto" w:fill="auto"/>
            <w:tcMar>
              <w:top w:w="15" w:type="dxa"/>
              <w:left w:w="15" w:type="dxa"/>
              <w:bottom w:w="15" w:type="dxa"/>
              <w:right w:w="15" w:type="dxa"/>
            </w:tcMar>
            <w:vAlign w:val="bottom"/>
          </w:tcPr>
          <w:p w:rsidR="002D5BB0" w:rsidRPr="00222917" w:rsidRDefault="002D5BB0" w:rsidP="001C18E1">
            <w:pPr>
              <w:pStyle w:val="SingleTxtG"/>
              <w:suppressAutoHyphens w:val="0"/>
              <w:spacing w:before="40" w:after="40" w:line="220" w:lineRule="exact"/>
              <w:ind w:left="0" w:right="0"/>
              <w:jc w:val="right"/>
              <w:rPr>
                <w:sz w:val="18"/>
                <w:lang w:val="en-US"/>
              </w:rPr>
            </w:pPr>
            <w:r w:rsidRPr="00222917">
              <w:rPr>
                <w:sz w:val="18"/>
                <w:lang w:val="en-US"/>
              </w:rPr>
              <w:t>4,855</w:t>
            </w:r>
          </w:p>
        </w:tc>
        <w:tc>
          <w:tcPr>
            <w:tcW w:w="851" w:type="dxa"/>
            <w:tcBorders>
              <w:top w:val="single" w:sz="12" w:space="0" w:color="auto"/>
            </w:tcBorders>
            <w:shd w:val="clear" w:color="auto" w:fill="auto"/>
            <w:tcMar>
              <w:top w:w="15" w:type="dxa"/>
              <w:left w:w="15" w:type="dxa"/>
              <w:bottom w:w="15" w:type="dxa"/>
              <w:right w:w="15" w:type="dxa"/>
            </w:tcMar>
            <w:vAlign w:val="bottom"/>
          </w:tcPr>
          <w:p w:rsidR="002D5BB0" w:rsidRPr="00222917" w:rsidRDefault="002D5BB0" w:rsidP="001C18E1">
            <w:pPr>
              <w:pStyle w:val="SingleTxtG"/>
              <w:suppressAutoHyphens w:val="0"/>
              <w:spacing w:before="40" w:after="40" w:line="220" w:lineRule="exact"/>
              <w:ind w:left="0" w:right="0"/>
              <w:jc w:val="right"/>
              <w:rPr>
                <w:sz w:val="18"/>
                <w:lang w:val="en-US"/>
              </w:rPr>
            </w:pPr>
            <w:r w:rsidRPr="00222917">
              <w:rPr>
                <w:sz w:val="18"/>
                <w:lang w:val="en-US"/>
              </w:rPr>
              <w:t>19,197</w:t>
            </w:r>
          </w:p>
        </w:tc>
        <w:tc>
          <w:tcPr>
            <w:tcW w:w="851" w:type="dxa"/>
            <w:tcBorders>
              <w:top w:val="single" w:sz="12" w:space="0" w:color="auto"/>
            </w:tcBorders>
            <w:shd w:val="clear" w:color="auto" w:fill="auto"/>
            <w:tcMar>
              <w:top w:w="15" w:type="dxa"/>
              <w:left w:w="15" w:type="dxa"/>
              <w:bottom w:w="15" w:type="dxa"/>
              <w:right w:w="15" w:type="dxa"/>
            </w:tcMar>
            <w:vAlign w:val="bottom"/>
          </w:tcPr>
          <w:p w:rsidR="002D5BB0" w:rsidRPr="00222917" w:rsidRDefault="002D5BB0" w:rsidP="001C18E1">
            <w:pPr>
              <w:pStyle w:val="SingleTxtG"/>
              <w:suppressAutoHyphens w:val="0"/>
              <w:spacing w:before="40" w:after="40" w:line="220" w:lineRule="exact"/>
              <w:ind w:left="0" w:right="0"/>
              <w:jc w:val="right"/>
              <w:rPr>
                <w:sz w:val="18"/>
                <w:lang w:val="en-US"/>
              </w:rPr>
            </w:pPr>
            <w:r w:rsidRPr="00222917">
              <w:rPr>
                <w:sz w:val="18"/>
                <w:lang w:val="en-US"/>
              </w:rPr>
              <w:t>25,191</w:t>
            </w:r>
          </w:p>
        </w:tc>
        <w:tc>
          <w:tcPr>
            <w:tcW w:w="851" w:type="dxa"/>
            <w:tcBorders>
              <w:top w:val="single" w:sz="12" w:space="0" w:color="auto"/>
            </w:tcBorders>
            <w:shd w:val="clear" w:color="auto" w:fill="auto"/>
            <w:tcMar>
              <w:top w:w="15" w:type="dxa"/>
              <w:left w:w="15" w:type="dxa"/>
              <w:bottom w:w="15" w:type="dxa"/>
              <w:right w:w="15" w:type="dxa"/>
            </w:tcMar>
            <w:vAlign w:val="bottom"/>
          </w:tcPr>
          <w:p w:rsidR="002D5BB0" w:rsidRPr="00222917" w:rsidRDefault="002D5BB0" w:rsidP="001C18E1">
            <w:pPr>
              <w:pStyle w:val="SingleTxtG"/>
              <w:suppressAutoHyphens w:val="0"/>
              <w:spacing w:before="40" w:after="40" w:line="220" w:lineRule="exact"/>
              <w:ind w:left="0" w:right="0"/>
              <w:jc w:val="right"/>
              <w:rPr>
                <w:sz w:val="18"/>
                <w:lang w:val="en-US"/>
              </w:rPr>
            </w:pPr>
            <w:r w:rsidRPr="00222917">
              <w:rPr>
                <w:sz w:val="18"/>
                <w:lang w:val="en-US"/>
              </w:rPr>
              <w:t>50,967</w:t>
            </w:r>
          </w:p>
        </w:tc>
        <w:tc>
          <w:tcPr>
            <w:tcW w:w="851" w:type="dxa"/>
            <w:tcBorders>
              <w:top w:val="single" w:sz="12" w:space="0" w:color="auto"/>
            </w:tcBorders>
            <w:shd w:val="clear" w:color="auto" w:fill="auto"/>
            <w:tcMar>
              <w:top w:w="15" w:type="dxa"/>
              <w:left w:w="15" w:type="dxa"/>
              <w:bottom w:w="15" w:type="dxa"/>
              <w:right w:w="15" w:type="dxa"/>
            </w:tcMar>
            <w:vAlign w:val="bottom"/>
          </w:tcPr>
          <w:p w:rsidR="002D5BB0" w:rsidRPr="00222917" w:rsidRDefault="002D5BB0" w:rsidP="001C18E1">
            <w:pPr>
              <w:pStyle w:val="SingleTxtG"/>
              <w:suppressAutoHyphens w:val="0"/>
              <w:spacing w:before="40" w:after="40" w:line="220" w:lineRule="exact"/>
              <w:ind w:left="0" w:right="0"/>
              <w:jc w:val="right"/>
              <w:rPr>
                <w:sz w:val="18"/>
                <w:lang w:val="en-US"/>
              </w:rPr>
            </w:pPr>
            <w:r w:rsidRPr="00222917">
              <w:rPr>
                <w:sz w:val="18"/>
                <w:lang w:val="en-US"/>
              </w:rPr>
              <w:t>15,273</w:t>
            </w:r>
          </w:p>
        </w:tc>
      </w:tr>
      <w:tr w:rsidR="001D2686" w:rsidRPr="00222917" w:rsidTr="001C18E1">
        <w:trPr>
          <w:trHeight w:val="240"/>
        </w:trPr>
        <w:tc>
          <w:tcPr>
            <w:tcW w:w="2268" w:type="dxa"/>
            <w:tcBorders>
              <w:bottom w:val="single" w:sz="12" w:space="0" w:color="auto"/>
            </w:tcBorders>
            <w:shd w:val="clear" w:color="auto" w:fill="auto"/>
            <w:tcMar>
              <w:top w:w="15" w:type="dxa"/>
              <w:left w:w="15" w:type="dxa"/>
              <w:bottom w:w="15" w:type="dxa"/>
              <w:right w:w="15" w:type="dxa"/>
            </w:tcMar>
          </w:tcPr>
          <w:p w:rsidR="002D5BB0" w:rsidRPr="00222917" w:rsidRDefault="002D5BB0" w:rsidP="001C18E1">
            <w:pPr>
              <w:pStyle w:val="SingleTxtG"/>
              <w:suppressAutoHyphens w:val="0"/>
              <w:spacing w:before="40" w:after="40" w:line="220" w:lineRule="exact"/>
              <w:ind w:left="0" w:right="0"/>
              <w:jc w:val="left"/>
              <w:rPr>
                <w:sz w:val="18"/>
                <w:lang w:val="en-US"/>
              </w:rPr>
            </w:pPr>
            <w:r w:rsidRPr="00222917">
              <w:rPr>
                <w:sz w:val="18"/>
                <w:lang w:val="en-US"/>
              </w:rPr>
              <w:t>No. of investigated persons</w:t>
            </w:r>
          </w:p>
        </w:tc>
        <w:tc>
          <w:tcPr>
            <w:tcW w:w="851" w:type="dxa"/>
            <w:tcBorders>
              <w:bottom w:val="single" w:sz="12" w:space="0" w:color="auto"/>
            </w:tcBorders>
            <w:shd w:val="clear" w:color="auto" w:fill="auto"/>
            <w:tcMar>
              <w:top w:w="15" w:type="dxa"/>
              <w:left w:w="15" w:type="dxa"/>
              <w:bottom w:w="15" w:type="dxa"/>
              <w:right w:w="15" w:type="dxa"/>
            </w:tcMar>
            <w:vAlign w:val="bottom"/>
          </w:tcPr>
          <w:p w:rsidR="002D5BB0" w:rsidRPr="00222917" w:rsidRDefault="002D5BB0" w:rsidP="001C18E1">
            <w:pPr>
              <w:pStyle w:val="SingleTxtG"/>
              <w:suppressAutoHyphens w:val="0"/>
              <w:spacing w:before="40" w:after="40" w:line="220" w:lineRule="exact"/>
              <w:ind w:left="0" w:right="0"/>
              <w:jc w:val="right"/>
              <w:rPr>
                <w:sz w:val="18"/>
                <w:lang w:val="en-US"/>
              </w:rPr>
            </w:pPr>
            <w:r w:rsidRPr="00222917">
              <w:rPr>
                <w:sz w:val="18"/>
                <w:lang w:val="en-US"/>
              </w:rPr>
              <w:t>2,237</w:t>
            </w:r>
          </w:p>
        </w:tc>
        <w:tc>
          <w:tcPr>
            <w:tcW w:w="851" w:type="dxa"/>
            <w:tcBorders>
              <w:bottom w:val="single" w:sz="12" w:space="0" w:color="auto"/>
            </w:tcBorders>
            <w:shd w:val="clear" w:color="auto" w:fill="auto"/>
            <w:tcMar>
              <w:top w:w="15" w:type="dxa"/>
              <w:left w:w="15" w:type="dxa"/>
              <w:bottom w:w="15" w:type="dxa"/>
              <w:right w:w="15" w:type="dxa"/>
            </w:tcMar>
            <w:vAlign w:val="bottom"/>
          </w:tcPr>
          <w:p w:rsidR="002D5BB0" w:rsidRPr="00222917" w:rsidRDefault="002D5BB0" w:rsidP="001C18E1">
            <w:pPr>
              <w:pStyle w:val="SingleTxtG"/>
              <w:suppressAutoHyphens w:val="0"/>
              <w:spacing w:before="40" w:after="40" w:line="220" w:lineRule="exact"/>
              <w:ind w:left="0" w:right="0"/>
              <w:jc w:val="right"/>
              <w:rPr>
                <w:sz w:val="18"/>
                <w:lang w:val="en-US"/>
              </w:rPr>
            </w:pPr>
            <w:r w:rsidRPr="00222917">
              <w:rPr>
                <w:sz w:val="18"/>
                <w:lang w:val="en-US"/>
              </w:rPr>
              <w:t>5,723</w:t>
            </w:r>
          </w:p>
        </w:tc>
        <w:tc>
          <w:tcPr>
            <w:tcW w:w="851" w:type="dxa"/>
            <w:tcBorders>
              <w:bottom w:val="single" w:sz="12" w:space="0" w:color="auto"/>
            </w:tcBorders>
            <w:shd w:val="clear" w:color="auto" w:fill="auto"/>
            <w:tcMar>
              <w:top w:w="15" w:type="dxa"/>
              <w:left w:w="15" w:type="dxa"/>
              <w:bottom w:w="15" w:type="dxa"/>
              <w:right w:w="15" w:type="dxa"/>
            </w:tcMar>
            <w:vAlign w:val="bottom"/>
          </w:tcPr>
          <w:p w:rsidR="002D5BB0" w:rsidRPr="00222917" w:rsidRDefault="002D5BB0" w:rsidP="001C18E1">
            <w:pPr>
              <w:pStyle w:val="SingleTxtG"/>
              <w:suppressAutoHyphens w:val="0"/>
              <w:spacing w:before="40" w:after="40" w:line="220" w:lineRule="exact"/>
              <w:ind w:left="0" w:right="0"/>
              <w:jc w:val="right"/>
              <w:rPr>
                <w:sz w:val="18"/>
                <w:lang w:val="en-US"/>
              </w:rPr>
            </w:pPr>
            <w:r w:rsidRPr="00222917">
              <w:rPr>
                <w:sz w:val="18"/>
                <w:lang w:val="en-US"/>
              </w:rPr>
              <w:t>22,016</w:t>
            </w:r>
          </w:p>
        </w:tc>
        <w:tc>
          <w:tcPr>
            <w:tcW w:w="851" w:type="dxa"/>
            <w:tcBorders>
              <w:bottom w:val="single" w:sz="12" w:space="0" w:color="auto"/>
            </w:tcBorders>
            <w:shd w:val="clear" w:color="auto" w:fill="auto"/>
            <w:tcMar>
              <w:top w:w="15" w:type="dxa"/>
              <w:left w:w="15" w:type="dxa"/>
              <w:bottom w:w="15" w:type="dxa"/>
              <w:right w:w="15" w:type="dxa"/>
            </w:tcMar>
            <w:vAlign w:val="bottom"/>
          </w:tcPr>
          <w:p w:rsidR="002D5BB0" w:rsidRPr="00222917" w:rsidRDefault="002D5BB0" w:rsidP="001C18E1">
            <w:pPr>
              <w:pStyle w:val="SingleTxtG"/>
              <w:suppressAutoHyphens w:val="0"/>
              <w:spacing w:before="40" w:after="40" w:line="220" w:lineRule="exact"/>
              <w:ind w:left="0" w:right="0"/>
              <w:jc w:val="right"/>
              <w:rPr>
                <w:sz w:val="18"/>
                <w:lang w:val="en-US"/>
              </w:rPr>
            </w:pPr>
            <w:r w:rsidRPr="00222917">
              <w:rPr>
                <w:sz w:val="18"/>
                <w:lang w:val="en-US"/>
              </w:rPr>
              <w:t>27,769</w:t>
            </w:r>
          </w:p>
        </w:tc>
        <w:tc>
          <w:tcPr>
            <w:tcW w:w="851" w:type="dxa"/>
            <w:tcBorders>
              <w:bottom w:val="single" w:sz="12" w:space="0" w:color="auto"/>
            </w:tcBorders>
            <w:shd w:val="clear" w:color="auto" w:fill="auto"/>
            <w:tcMar>
              <w:top w:w="15" w:type="dxa"/>
              <w:left w:w="15" w:type="dxa"/>
              <w:bottom w:w="15" w:type="dxa"/>
              <w:right w:w="15" w:type="dxa"/>
            </w:tcMar>
            <w:vAlign w:val="bottom"/>
          </w:tcPr>
          <w:p w:rsidR="002D5BB0" w:rsidRPr="00222917" w:rsidRDefault="002D5BB0" w:rsidP="001C18E1">
            <w:pPr>
              <w:pStyle w:val="SingleTxtG"/>
              <w:suppressAutoHyphens w:val="0"/>
              <w:spacing w:before="40" w:after="40" w:line="220" w:lineRule="exact"/>
              <w:ind w:left="0" w:right="0"/>
              <w:jc w:val="right"/>
              <w:rPr>
                <w:sz w:val="18"/>
                <w:lang w:val="en-US"/>
              </w:rPr>
            </w:pPr>
            <w:r w:rsidRPr="00222917">
              <w:rPr>
                <w:sz w:val="18"/>
                <w:lang w:val="en-US"/>
              </w:rPr>
              <w:t>59,324</w:t>
            </w:r>
          </w:p>
        </w:tc>
        <w:tc>
          <w:tcPr>
            <w:tcW w:w="851" w:type="dxa"/>
            <w:tcBorders>
              <w:bottom w:val="single" w:sz="12" w:space="0" w:color="auto"/>
            </w:tcBorders>
            <w:shd w:val="clear" w:color="auto" w:fill="auto"/>
            <w:tcMar>
              <w:top w:w="15" w:type="dxa"/>
              <w:left w:w="15" w:type="dxa"/>
              <w:bottom w:w="15" w:type="dxa"/>
              <w:right w:w="15" w:type="dxa"/>
            </w:tcMar>
            <w:vAlign w:val="bottom"/>
          </w:tcPr>
          <w:p w:rsidR="002D5BB0" w:rsidRPr="00222917" w:rsidRDefault="002D5BB0" w:rsidP="001C18E1">
            <w:pPr>
              <w:pStyle w:val="SingleTxtG"/>
              <w:suppressAutoHyphens w:val="0"/>
              <w:spacing w:before="40" w:after="40" w:line="220" w:lineRule="exact"/>
              <w:ind w:left="0" w:right="0"/>
              <w:jc w:val="right"/>
              <w:rPr>
                <w:sz w:val="18"/>
                <w:lang w:val="en-US"/>
              </w:rPr>
            </w:pPr>
            <w:r w:rsidRPr="00222917">
              <w:rPr>
                <w:sz w:val="18"/>
                <w:lang w:val="en-US"/>
              </w:rPr>
              <w:t>18,474</w:t>
            </w:r>
          </w:p>
        </w:tc>
      </w:tr>
    </w:tbl>
    <w:p w:rsidR="002D5BB0" w:rsidRPr="00222917" w:rsidRDefault="00C90BE6" w:rsidP="00C90BE6">
      <w:pPr>
        <w:pStyle w:val="H23G"/>
        <w:rPr>
          <w:b w:val="0"/>
          <w:sz w:val="16"/>
          <w:szCs w:val="16"/>
          <w:lang w:val="en-US"/>
        </w:rPr>
      </w:pPr>
      <w:r w:rsidRPr="00222917">
        <w:rPr>
          <w:lang w:val="en-US"/>
        </w:rPr>
        <w:tab/>
      </w:r>
      <w:r w:rsidRPr="00222917">
        <w:rPr>
          <w:lang w:val="en-US"/>
        </w:rPr>
        <w:tab/>
      </w:r>
      <w:r w:rsidR="002D5BB0" w:rsidRPr="00222917">
        <w:rPr>
          <w:lang w:val="en-US"/>
        </w:rPr>
        <w:t>Use of the Videotaping System by the National Police Agency</w:t>
      </w:r>
      <w:r w:rsidRPr="00222917">
        <w:rPr>
          <w:lang w:val="en-US"/>
        </w:rPr>
        <w:br/>
      </w:r>
      <w:r w:rsidRPr="00222917">
        <w:rPr>
          <w:b w:val="0"/>
          <w:sz w:val="16"/>
          <w:szCs w:val="16"/>
          <w:lang w:val="en-US"/>
        </w:rPr>
        <w:t>(Number of cases)</w:t>
      </w:r>
    </w:p>
    <w:tbl>
      <w:tblPr>
        <w:tblW w:w="0" w:type="auto"/>
        <w:tblInd w:w="1134" w:type="dxa"/>
        <w:tblBorders>
          <w:top w:val="single" w:sz="4" w:space="0" w:color="auto"/>
          <w:bottom w:val="single" w:sz="12" w:space="0" w:color="auto"/>
          <w:insideH w:val="single" w:sz="12" w:space="0" w:color="auto"/>
        </w:tblBorders>
        <w:tblLayout w:type="fixed"/>
        <w:tblCellMar>
          <w:left w:w="0" w:type="dxa"/>
          <w:right w:w="0" w:type="dxa"/>
        </w:tblCellMar>
        <w:tblLook w:val="00A0"/>
      </w:tblPr>
      <w:tblGrid>
        <w:gridCol w:w="2552"/>
        <w:gridCol w:w="964"/>
        <w:gridCol w:w="964"/>
        <w:gridCol w:w="964"/>
        <w:gridCol w:w="964"/>
        <w:gridCol w:w="964"/>
      </w:tblGrid>
      <w:tr w:rsidR="001D2686" w:rsidRPr="00222917" w:rsidTr="00C90BE6">
        <w:trPr>
          <w:trHeight w:val="240"/>
          <w:tblHeader/>
        </w:trPr>
        <w:tc>
          <w:tcPr>
            <w:tcW w:w="2552" w:type="dxa"/>
            <w:shd w:val="clear" w:color="auto" w:fill="auto"/>
            <w:tcMar>
              <w:top w:w="15" w:type="dxa"/>
              <w:left w:w="15" w:type="dxa"/>
              <w:bottom w:w="15" w:type="dxa"/>
              <w:right w:w="15" w:type="dxa"/>
            </w:tcMar>
            <w:vAlign w:val="bottom"/>
          </w:tcPr>
          <w:p w:rsidR="002D5BB0" w:rsidRPr="00222917" w:rsidRDefault="002D5BB0" w:rsidP="00C90BE6">
            <w:pPr>
              <w:pStyle w:val="SingleTxtG"/>
              <w:suppressAutoHyphens w:val="0"/>
              <w:spacing w:before="80" w:after="80" w:line="200" w:lineRule="exact"/>
              <w:ind w:left="0" w:right="0"/>
              <w:jc w:val="left"/>
              <w:rPr>
                <w:i/>
                <w:sz w:val="16"/>
                <w:lang w:val="en-US"/>
              </w:rPr>
            </w:pPr>
            <w:bookmarkStart w:id="53" w:name="BM_6ac56cc6"/>
            <w:bookmarkEnd w:id="53"/>
            <w:r w:rsidRPr="00222917">
              <w:rPr>
                <w:bCs/>
                <w:i/>
                <w:sz w:val="16"/>
                <w:lang w:val="en-US"/>
              </w:rPr>
              <w:t>Year</w:t>
            </w:r>
          </w:p>
        </w:tc>
        <w:tc>
          <w:tcPr>
            <w:tcW w:w="964" w:type="dxa"/>
            <w:shd w:val="clear" w:color="auto" w:fill="auto"/>
            <w:tcMar>
              <w:top w:w="15" w:type="dxa"/>
              <w:left w:w="15" w:type="dxa"/>
              <w:bottom w:w="15" w:type="dxa"/>
              <w:right w:w="15" w:type="dxa"/>
            </w:tcMar>
            <w:vAlign w:val="bottom"/>
          </w:tcPr>
          <w:p w:rsidR="002D5BB0" w:rsidRPr="00222917" w:rsidRDefault="002D5BB0" w:rsidP="00C90BE6">
            <w:pPr>
              <w:pStyle w:val="SingleTxtG"/>
              <w:suppressAutoHyphens w:val="0"/>
              <w:spacing w:before="80" w:after="80" w:line="200" w:lineRule="exact"/>
              <w:ind w:left="0" w:right="0"/>
              <w:jc w:val="right"/>
              <w:rPr>
                <w:i/>
                <w:sz w:val="16"/>
                <w:lang w:val="en-US"/>
              </w:rPr>
            </w:pPr>
            <w:r w:rsidRPr="00222917">
              <w:rPr>
                <w:bCs/>
                <w:i/>
                <w:sz w:val="16"/>
                <w:lang w:val="en-US"/>
              </w:rPr>
              <w:t>2006</w:t>
            </w:r>
          </w:p>
        </w:tc>
        <w:tc>
          <w:tcPr>
            <w:tcW w:w="964" w:type="dxa"/>
            <w:shd w:val="clear" w:color="auto" w:fill="auto"/>
            <w:tcMar>
              <w:top w:w="15" w:type="dxa"/>
              <w:left w:w="15" w:type="dxa"/>
              <w:bottom w:w="15" w:type="dxa"/>
              <w:right w:w="15" w:type="dxa"/>
            </w:tcMar>
            <w:vAlign w:val="bottom"/>
          </w:tcPr>
          <w:p w:rsidR="002D5BB0" w:rsidRPr="00222917" w:rsidRDefault="002D5BB0" w:rsidP="00C90BE6">
            <w:pPr>
              <w:pStyle w:val="SingleTxtG"/>
              <w:suppressAutoHyphens w:val="0"/>
              <w:spacing w:before="80" w:after="80" w:line="200" w:lineRule="exact"/>
              <w:ind w:left="0" w:right="0"/>
              <w:jc w:val="right"/>
              <w:rPr>
                <w:i/>
                <w:sz w:val="16"/>
                <w:lang w:val="en-US"/>
              </w:rPr>
            </w:pPr>
            <w:r w:rsidRPr="00222917">
              <w:rPr>
                <w:bCs/>
                <w:i/>
                <w:sz w:val="16"/>
                <w:lang w:val="en-US"/>
              </w:rPr>
              <w:t>2007</w:t>
            </w:r>
          </w:p>
        </w:tc>
        <w:tc>
          <w:tcPr>
            <w:tcW w:w="964" w:type="dxa"/>
            <w:shd w:val="clear" w:color="auto" w:fill="auto"/>
            <w:tcMar>
              <w:top w:w="15" w:type="dxa"/>
              <w:left w:w="15" w:type="dxa"/>
              <w:bottom w:w="15" w:type="dxa"/>
              <w:right w:w="15" w:type="dxa"/>
            </w:tcMar>
            <w:vAlign w:val="bottom"/>
          </w:tcPr>
          <w:p w:rsidR="002D5BB0" w:rsidRPr="00222917" w:rsidRDefault="002D5BB0" w:rsidP="00C90BE6">
            <w:pPr>
              <w:pStyle w:val="SingleTxtG"/>
              <w:suppressAutoHyphens w:val="0"/>
              <w:spacing w:before="80" w:after="80" w:line="200" w:lineRule="exact"/>
              <w:ind w:left="0" w:right="0"/>
              <w:jc w:val="right"/>
              <w:rPr>
                <w:i/>
                <w:sz w:val="16"/>
                <w:lang w:val="en-US"/>
              </w:rPr>
            </w:pPr>
            <w:r w:rsidRPr="00222917">
              <w:rPr>
                <w:bCs/>
                <w:i/>
                <w:sz w:val="16"/>
                <w:lang w:val="en-US"/>
              </w:rPr>
              <w:t>2008</w:t>
            </w:r>
          </w:p>
        </w:tc>
        <w:tc>
          <w:tcPr>
            <w:tcW w:w="964" w:type="dxa"/>
            <w:shd w:val="clear" w:color="auto" w:fill="auto"/>
            <w:tcMar>
              <w:top w:w="15" w:type="dxa"/>
              <w:left w:w="15" w:type="dxa"/>
              <w:bottom w:w="15" w:type="dxa"/>
              <w:right w:w="15" w:type="dxa"/>
            </w:tcMar>
            <w:vAlign w:val="bottom"/>
          </w:tcPr>
          <w:p w:rsidR="002D5BB0" w:rsidRPr="00222917" w:rsidRDefault="002D5BB0" w:rsidP="00C90BE6">
            <w:pPr>
              <w:pStyle w:val="SingleTxtG"/>
              <w:suppressAutoHyphens w:val="0"/>
              <w:spacing w:before="80" w:after="80" w:line="200" w:lineRule="exact"/>
              <w:ind w:left="0" w:right="0"/>
              <w:jc w:val="right"/>
              <w:rPr>
                <w:i/>
                <w:sz w:val="16"/>
                <w:lang w:val="en-US"/>
              </w:rPr>
            </w:pPr>
            <w:r w:rsidRPr="00222917">
              <w:rPr>
                <w:bCs/>
                <w:i/>
                <w:sz w:val="16"/>
                <w:lang w:val="en-US"/>
              </w:rPr>
              <w:t>2009</w:t>
            </w:r>
          </w:p>
        </w:tc>
        <w:tc>
          <w:tcPr>
            <w:tcW w:w="964" w:type="dxa"/>
            <w:shd w:val="clear" w:color="auto" w:fill="auto"/>
            <w:vAlign w:val="bottom"/>
          </w:tcPr>
          <w:p w:rsidR="002D5BB0" w:rsidRPr="00222917" w:rsidRDefault="002D5BB0" w:rsidP="00C90BE6">
            <w:pPr>
              <w:pStyle w:val="SingleTxtG"/>
              <w:suppressAutoHyphens w:val="0"/>
              <w:spacing w:before="80" w:after="80" w:line="200" w:lineRule="exact"/>
              <w:ind w:left="0" w:right="0"/>
              <w:jc w:val="right"/>
              <w:rPr>
                <w:bCs/>
                <w:i/>
                <w:sz w:val="16"/>
                <w:lang w:val="en-US"/>
              </w:rPr>
            </w:pPr>
            <w:r w:rsidRPr="00222917">
              <w:rPr>
                <w:bCs/>
                <w:i/>
                <w:sz w:val="16"/>
                <w:lang w:val="en-US"/>
              </w:rPr>
              <w:t>2010</w:t>
            </w:r>
          </w:p>
        </w:tc>
      </w:tr>
      <w:tr w:rsidR="001D2686" w:rsidRPr="00222917" w:rsidTr="00C90BE6">
        <w:trPr>
          <w:trHeight w:val="240"/>
        </w:trPr>
        <w:tc>
          <w:tcPr>
            <w:tcW w:w="2552" w:type="dxa"/>
            <w:shd w:val="clear" w:color="auto" w:fill="auto"/>
            <w:tcMar>
              <w:top w:w="15" w:type="dxa"/>
              <w:left w:w="15" w:type="dxa"/>
              <w:bottom w:w="15" w:type="dxa"/>
              <w:right w:w="15" w:type="dxa"/>
            </w:tcMar>
          </w:tcPr>
          <w:p w:rsidR="002D5BB0" w:rsidRPr="00222917" w:rsidRDefault="002D5BB0" w:rsidP="00C90BE6">
            <w:pPr>
              <w:pStyle w:val="SingleTxtG"/>
              <w:suppressAutoHyphens w:val="0"/>
              <w:spacing w:before="40" w:after="40" w:line="220" w:lineRule="exact"/>
              <w:ind w:left="0" w:right="0"/>
              <w:jc w:val="left"/>
              <w:rPr>
                <w:sz w:val="18"/>
                <w:lang w:val="en-US"/>
              </w:rPr>
            </w:pPr>
            <w:r w:rsidRPr="00222917">
              <w:rPr>
                <w:sz w:val="18"/>
                <w:lang w:val="en-US"/>
              </w:rPr>
              <w:t>No. of videotaping cases</w:t>
            </w:r>
          </w:p>
        </w:tc>
        <w:tc>
          <w:tcPr>
            <w:tcW w:w="964" w:type="dxa"/>
            <w:shd w:val="clear" w:color="auto" w:fill="auto"/>
            <w:tcMar>
              <w:top w:w="15" w:type="dxa"/>
              <w:left w:w="15" w:type="dxa"/>
              <w:bottom w:w="15" w:type="dxa"/>
              <w:right w:w="15" w:type="dxa"/>
            </w:tcMar>
            <w:vAlign w:val="bottom"/>
          </w:tcPr>
          <w:p w:rsidR="002D5BB0" w:rsidRPr="00222917" w:rsidRDefault="002D5BB0" w:rsidP="00C90BE6">
            <w:pPr>
              <w:pStyle w:val="SingleTxtG"/>
              <w:suppressAutoHyphens w:val="0"/>
              <w:spacing w:before="40" w:after="40" w:line="220" w:lineRule="exact"/>
              <w:ind w:left="0" w:right="0"/>
              <w:jc w:val="right"/>
              <w:rPr>
                <w:sz w:val="18"/>
                <w:lang w:val="en-US"/>
              </w:rPr>
            </w:pPr>
            <w:r w:rsidRPr="00222917">
              <w:rPr>
                <w:sz w:val="18"/>
                <w:lang w:val="en-US"/>
              </w:rPr>
              <w:t>943</w:t>
            </w:r>
          </w:p>
        </w:tc>
        <w:tc>
          <w:tcPr>
            <w:tcW w:w="964" w:type="dxa"/>
            <w:shd w:val="clear" w:color="auto" w:fill="auto"/>
            <w:tcMar>
              <w:top w:w="15" w:type="dxa"/>
              <w:left w:w="15" w:type="dxa"/>
              <w:bottom w:w="15" w:type="dxa"/>
              <w:right w:w="15" w:type="dxa"/>
            </w:tcMar>
            <w:vAlign w:val="bottom"/>
          </w:tcPr>
          <w:p w:rsidR="002D5BB0" w:rsidRPr="00222917" w:rsidRDefault="002D5BB0" w:rsidP="00C90BE6">
            <w:pPr>
              <w:pStyle w:val="SingleTxtG"/>
              <w:suppressAutoHyphens w:val="0"/>
              <w:spacing w:before="40" w:after="40" w:line="220" w:lineRule="exact"/>
              <w:ind w:left="0" w:right="0"/>
              <w:jc w:val="right"/>
              <w:rPr>
                <w:sz w:val="18"/>
                <w:lang w:val="en-US"/>
              </w:rPr>
            </w:pPr>
            <w:r w:rsidRPr="00222917">
              <w:rPr>
                <w:sz w:val="18"/>
                <w:lang w:val="en-US"/>
              </w:rPr>
              <w:t>18,103</w:t>
            </w:r>
          </w:p>
        </w:tc>
        <w:tc>
          <w:tcPr>
            <w:tcW w:w="964" w:type="dxa"/>
            <w:shd w:val="clear" w:color="auto" w:fill="auto"/>
            <w:tcMar>
              <w:top w:w="15" w:type="dxa"/>
              <w:left w:w="15" w:type="dxa"/>
              <w:bottom w:w="15" w:type="dxa"/>
              <w:right w:w="15" w:type="dxa"/>
            </w:tcMar>
            <w:vAlign w:val="bottom"/>
          </w:tcPr>
          <w:p w:rsidR="002D5BB0" w:rsidRPr="00222917" w:rsidRDefault="002D5BB0" w:rsidP="00C90BE6">
            <w:pPr>
              <w:pStyle w:val="SingleTxtG"/>
              <w:suppressAutoHyphens w:val="0"/>
              <w:spacing w:before="40" w:after="40" w:line="220" w:lineRule="exact"/>
              <w:ind w:left="0" w:right="0"/>
              <w:jc w:val="right"/>
              <w:rPr>
                <w:sz w:val="18"/>
                <w:lang w:val="en-US"/>
              </w:rPr>
            </w:pPr>
            <w:r w:rsidRPr="00222917">
              <w:rPr>
                <w:sz w:val="18"/>
                <w:lang w:val="en-US"/>
              </w:rPr>
              <w:t>89,338</w:t>
            </w:r>
          </w:p>
        </w:tc>
        <w:tc>
          <w:tcPr>
            <w:tcW w:w="964" w:type="dxa"/>
            <w:shd w:val="clear" w:color="auto" w:fill="auto"/>
            <w:tcMar>
              <w:top w:w="15" w:type="dxa"/>
              <w:left w:w="15" w:type="dxa"/>
              <w:bottom w:w="15" w:type="dxa"/>
              <w:right w:w="15" w:type="dxa"/>
            </w:tcMar>
            <w:vAlign w:val="bottom"/>
          </w:tcPr>
          <w:p w:rsidR="002D5BB0" w:rsidRPr="00222917" w:rsidRDefault="002D5BB0" w:rsidP="00C90BE6">
            <w:pPr>
              <w:pStyle w:val="SingleTxtG"/>
              <w:suppressAutoHyphens w:val="0"/>
              <w:spacing w:before="40" w:after="40" w:line="220" w:lineRule="exact"/>
              <w:ind w:left="0" w:right="0"/>
              <w:jc w:val="right"/>
              <w:rPr>
                <w:sz w:val="18"/>
                <w:lang w:val="en-US"/>
              </w:rPr>
            </w:pPr>
            <w:r w:rsidRPr="00222917">
              <w:rPr>
                <w:sz w:val="18"/>
                <w:lang w:val="en-US"/>
              </w:rPr>
              <w:t>73,371</w:t>
            </w:r>
          </w:p>
        </w:tc>
        <w:tc>
          <w:tcPr>
            <w:tcW w:w="964" w:type="dxa"/>
            <w:shd w:val="clear" w:color="auto" w:fill="auto"/>
            <w:vAlign w:val="bottom"/>
          </w:tcPr>
          <w:p w:rsidR="002D5BB0" w:rsidRPr="00222917" w:rsidRDefault="002D5BB0" w:rsidP="00C90BE6">
            <w:pPr>
              <w:pStyle w:val="SingleTxtG"/>
              <w:suppressAutoHyphens w:val="0"/>
              <w:spacing w:before="40" w:after="40" w:line="220" w:lineRule="exact"/>
              <w:ind w:left="0" w:right="0"/>
              <w:jc w:val="right"/>
              <w:rPr>
                <w:sz w:val="18"/>
                <w:lang w:val="en-US"/>
              </w:rPr>
            </w:pPr>
            <w:r w:rsidRPr="00222917">
              <w:rPr>
                <w:sz w:val="18"/>
                <w:lang w:val="en-US"/>
              </w:rPr>
              <w:t>32,124</w:t>
            </w:r>
          </w:p>
        </w:tc>
      </w:tr>
    </w:tbl>
    <w:p w:rsidR="002D5BB0" w:rsidRPr="00222917" w:rsidRDefault="00C90BE6" w:rsidP="00C90BE6">
      <w:pPr>
        <w:pStyle w:val="H4G"/>
        <w:rPr>
          <w:lang w:val="en-US"/>
        </w:rPr>
      </w:pPr>
      <w:bookmarkStart w:id="54" w:name="_Toc307504052"/>
      <w:bookmarkStart w:id="55" w:name="_Toc336435824"/>
      <w:r w:rsidRPr="00222917">
        <w:rPr>
          <w:lang w:val="en-US"/>
        </w:rPr>
        <w:tab/>
      </w:r>
      <w:r w:rsidRPr="00222917">
        <w:rPr>
          <w:lang w:val="en-US"/>
        </w:rPr>
        <w:tab/>
      </w:r>
      <w:r w:rsidR="002D5BB0" w:rsidRPr="00222917">
        <w:rPr>
          <w:lang w:val="en-US"/>
        </w:rPr>
        <w:t>Provision on Presence of Persons with a Reliable Relationship</w:t>
      </w:r>
      <w:bookmarkEnd w:id="54"/>
      <w:bookmarkEnd w:id="55"/>
      <w:r w:rsidR="002D5BB0" w:rsidRPr="00222917">
        <w:rPr>
          <w:lang w:val="en-US"/>
        </w:rPr>
        <w:t xml:space="preserve"> </w:t>
      </w:r>
    </w:p>
    <w:p w:rsidR="002D5BB0" w:rsidRPr="00222917" w:rsidRDefault="00547908" w:rsidP="00547908">
      <w:pPr>
        <w:pStyle w:val="SingleTxtG"/>
        <w:rPr>
          <w:lang w:val="en-US"/>
        </w:rPr>
      </w:pPr>
      <w:r w:rsidRPr="00222917">
        <w:rPr>
          <w:lang w:val="en-US"/>
        </w:rPr>
        <w:t>131.</w:t>
      </w:r>
      <w:r w:rsidRPr="00222917">
        <w:rPr>
          <w:lang w:val="en-US"/>
        </w:rPr>
        <w:tab/>
      </w:r>
      <w:r w:rsidR="002D5BB0" w:rsidRPr="00222917">
        <w:rPr>
          <w:lang w:val="en-US"/>
        </w:rPr>
        <w:t xml:space="preserve">A newly inserted provision enables accompaniment of a person who has a reliable relationship with a suspect when the suspect lacks sufficient ability to understand matters and to make and express his or her decision due to a physical or mental disability or when such presence is necessary for </w:t>
      </w:r>
      <w:r w:rsidR="002D5BB0" w:rsidRPr="00222917">
        <w:rPr>
          <w:bCs/>
          <w:lang w:val="en-US"/>
        </w:rPr>
        <w:t>the</w:t>
      </w:r>
      <w:r w:rsidR="002D5BB0" w:rsidRPr="00222917">
        <w:rPr>
          <w:lang w:val="en-US"/>
        </w:rPr>
        <w:t xml:space="preserve"> suspect’s psychological stability and smooth communication in consideration of his or her age, gender, nationality, or other circumstances (</w:t>
      </w:r>
      <w:r w:rsidR="00681EC0" w:rsidRPr="00222917">
        <w:rPr>
          <w:lang w:val="en-US"/>
        </w:rPr>
        <w:t>a</w:t>
      </w:r>
      <w:r w:rsidR="002D5BB0" w:rsidRPr="00222917">
        <w:rPr>
          <w:lang w:val="en-US"/>
        </w:rPr>
        <w:t>rticle</w:t>
      </w:r>
      <w:r w:rsidR="00C974F8" w:rsidRPr="00222917">
        <w:rPr>
          <w:lang w:val="en-US"/>
        </w:rPr>
        <w:t> </w:t>
      </w:r>
      <w:r w:rsidR="002D5BB0" w:rsidRPr="00222917">
        <w:rPr>
          <w:lang w:val="en-US"/>
        </w:rPr>
        <w:t xml:space="preserve">244-5). </w:t>
      </w:r>
    </w:p>
    <w:p w:rsidR="002D5BB0" w:rsidRPr="00222917" w:rsidRDefault="00C90BE6" w:rsidP="00C90BE6">
      <w:pPr>
        <w:pStyle w:val="H4G"/>
        <w:rPr>
          <w:lang w:val="en-US"/>
        </w:rPr>
      </w:pPr>
      <w:bookmarkStart w:id="56" w:name="_Toc307504053"/>
      <w:bookmarkStart w:id="57" w:name="_Toc336435825"/>
      <w:r w:rsidRPr="00222917">
        <w:rPr>
          <w:lang w:val="en-US"/>
        </w:rPr>
        <w:tab/>
      </w:r>
      <w:r w:rsidRPr="00222917">
        <w:rPr>
          <w:lang w:val="en-US"/>
        </w:rPr>
        <w:tab/>
      </w:r>
      <w:r w:rsidR="002D5BB0" w:rsidRPr="00222917">
        <w:rPr>
          <w:lang w:val="en-US"/>
        </w:rPr>
        <w:t>Principle of Excluding Illegally Obtained Evidence</w:t>
      </w:r>
      <w:bookmarkEnd w:id="56"/>
      <w:bookmarkEnd w:id="57"/>
      <w:r w:rsidR="002D5BB0" w:rsidRPr="00222917">
        <w:rPr>
          <w:lang w:val="en-US"/>
        </w:rPr>
        <w:t xml:space="preserve"> </w:t>
      </w:r>
    </w:p>
    <w:p w:rsidR="002D5BB0" w:rsidRPr="00222917" w:rsidRDefault="00547908" w:rsidP="00547908">
      <w:pPr>
        <w:pStyle w:val="SingleTxtG"/>
        <w:rPr>
          <w:lang w:val="en-US"/>
        </w:rPr>
      </w:pPr>
      <w:r w:rsidRPr="00222917">
        <w:rPr>
          <w:lang w:val="en-US"/>
        </w:rPr>
        <w:t>132.</w:t>
      </w:r>
      <w:r w:rsidRPr="00222917">
        <w:rPr>
          <w:lang w:val="en-US"/>
        </w:rPr>
        <w:tab/>
      </w:r>
      <w:r w:rsidR="002D5BB0" w:rsidRPr="00222917">
        <w:rPr>
          <w:lang w:val="en-US"/>
        </w:rPr>
        <w:t xml:space="preserve">The revised </w:t>
      </w:r>
      <w:r w:rsidR="002D5BB0" w:rsidRPr="00222917">
        <w:rPr>
          <w:iCs/>
          <w:lang w:val="en-US"/>
        </w:rPr>
        <w:t xml:space="preserve">Criminal Procedure Act </w:t>
      </w:r>
      <w:r w:rsidR="002D5BB0" w:rsidRPr="00222917">
        <w:rPr>
          <w:lang w:val="en-US"/>
        </w:rPr>
        <w:t xml:space="preserve">declares the principle that criminal facts shall be proved to the extent that there </w:t>
      </w:r>
      <w:r w:rsidR="00C974F8" w:rsidRPr="00222917">
        <w:rPr>
          <w:lang w:val="en-US"/>
        </w:rPr>
        <w:t>is no reasonable doubt (</w:t>
      </w:r>
      <w:r w:rsidR="00681EC0" w:rsidRPr="00222917">
        <w:rPr>
          <w:lang w:val="en-US"/>
        </w:rPr>
        <w:t>a</w:t>
      </w:r>
      <w:r w:rsidR="00C974F8" w:rsidRPr="00222917">
        <w:rPr>
          <w:lang w:val="en-US"/>
        </w:rPr>
        <w:t>rticle </w:t>
      </w:r>
      <w:r w:rsidR="002D5BB0" w:rsidRPr="00222917">
        <w:rPr>
          <w:lang w:val="en-US"/>
        </w:rPr>
        <w:t xml:space="preserve">307), which explicitly provides for the principle of excluding illegally obtained evidence by stipulating that evidence collected by </w:t>
      </w:r>
      <w:r w:rsidR="002D5BB0" w:rsidRPr="00222917">
        <w:rPr>
          <w:bCs/>
          <w:lang w:val="en-US"/>
        </w:rPr>
        <w:t>investigation</w:t>
      </w:r>
      <w:r w:rsidR="002D5BB0" w:rsidRPr="00222917">
        <w:rPr>
          <w:lang w:val="en-US"/>
        </w:rPr>
        <w:t xml:space="preserve"> authorities in breach of said provision shall not be admissible (</w:t>
      </w:r>
      <w:r w:rsidR="00681EC0" w:rsidRPr="00222917">
        <w:rPr>
          <w:lang w:val="en-US"/>
        </w:rPr>
        <w:t>a</w:t>
      </w:r>
      <w:r w:rsidR="002D5BB0" w:rsidRPr="00222917">
        <w:rPr>
          <w:lang w:val="en-US"/>
        </w:rPr>
        <w:t>rtic</w:t>
      </w:r>
      <w:r w:rsidR="00C974F8" w:rsidRPr="00222917">
        <w:rPr>
          <w:lang w:val="en-US"/>
        </w:rPr>
        <w:t>le </w:t>
      </w:r>
      <w:r w:rsidR="002D5BB0" w:rsidRPr="00222917">
        <w:rPr>
          <w:lang w:val="en-US"/>
        </w:rPr>
        <w:t>308-2). Even before such revision, confession made involuntarily as a result of a cruel act, etc. was not adopted as evidence. With revision of the Act, illegally obtained confessions and physical evidence are excluded from the scope of admissible evidence.</w:t>
      </w:r>
      <w:r w:rsidR="00120D8B" w:rsidRPr="00222917">
        <w:rPr>
          <w:lang w:val="en-US"/>
        </w:rPr>
        <w:t xml:space="preserve"> </w:t>
      </w:r>
    </w:p>
    <w:p w:rsidR="002D5BB0" w:rsidRPr="00222917" w:rsidRDefault="00C90BE6" w:rsidP="00C90BE6">
      <w:pPr>
        <w:pStyle w:val="H23G"/>
        <w:rPr>
          <w:lang w:val="en-US"/>
        </w:rPr>
      </w:pPr>
      <w:bookmarkStart w:id="58" w:name="_Toc307504054"/>
      <w:bookmarkStart w:id="59" w:name="_Toc336435826"/>
      <w:r w:rsidRPr="00222917">
        <w:rPr>
          <w:lang w:val="en-US"/>
        </w:rPr>
        <w:tab/>
      </w:r>
      <w:r w:rsidRPr="00222917">
        <w:rPr>
          <w:lang w:val="en-US"/>
        </w:rPr>
        <w:tab/>
      </w:r>
      <w:r w:rsidR="002D5BB0" w:rsidRPr="00222917">
        <w:rPr>
          <w:lang w:val="en-US"/>
        </w:rPr>
        <w:t>Efforts to Prohibit Torture and Inhumane Treatment in the Investigation Process</w:t>
      </w:r>
      <w:bookmarkEnd w:id="58"/>
      <w:bookmarkEnd w:id="59"/>
    </w:p>
    <w:p w:rsidR="002D5BB0" w:rsidRPr="00222917" w:rsidRDefault="00547908" w:rsidP="00547908">
      <w:pPr>
        <w:pStyle w:val="SingleTxtG"/>
        <w:rPr>
          <w:lang w:val="en-US"/>
        </w:rPr>
      </w:pPr>
      <w:r w:rsidRPr="00222917">
        <w:rPr>
          <w:lang w:val="en-US"/>
        </w:rPr>
        <w:t>133.</w:t>
      </w:r>
      <w:r w:rsidRPr="00222917">
        <w:rPr>
          <w:lang w:val="en-US"/>
        </w:rPr>
        <w:tab/>
      </w:r>
      <w:r w:rsidR="002D5BB0" w:rsidRPr="00222917">
        <w:rPr>
          <w:lang w:val="en-US"/>
        </w:rPr>
        <w:t xml:space="preserve">As explained in the second report, prosecutors dedicated to human rights protection are designated at each public prosecutor’s office, and the heads of investigation departments are selected as human rights protection officers at each police station. Thus, the investigation authorities have strengthened their independent endeavor to prevent and detect torture or inhumane </w:t>
      </w:r>
      <w:r w:rsidR="002D5BB0" w:rsidRPr="00222917">
        <w:rPr>
          <w:bCs/>
          <w:lang w:val="en-US"/>
        </w:rPr>
        <w:t>treatment</w:t>
      </w:r>
      <w:r w:rsidR="0036176A" w:rsidRPr="00222917">
        <w:rPr>
          <w:lang w:val="en-US"/>
        </w:rPr>
        <w:t xml:space="preserve"> (CCPR/C/114/Add.1, para. </w:t>
      </w:r>
      <w:r w:rsidR="002D5BB0" w:rsidRPr="00222917">
        <w:rPr>
          <w:lang w:val="en-US"/>
        </w:rPr>
        <w:t>96). The third report describes the form</w:t>
      </w:r>
      <w:r w:rsidR="0036176A" w:rsidRPr="00222917">
        <w:rPr>
          <w:lang w:val="en-US"/>
        </w:rPr>
        <w:t>ulation and enforcement of the “</w:t>
      </w:r>
      <w:r w:rsidR="002D5BB0" w:rsidRPr="00222917">
        <w:rPr>
          <w:lang w:val="en-US"/>
        </w:rPr>
        <w:t>Rules of Investigation on Protection of Human Rights</w:t>
      </w:r>
      <w:r w:rsidR="0036176A" w:rsidRPr="00222917">
        <w:rPr>
          <w:lang w:val="en-US"/>
        </w:rPr>
        <w:t xml:space="preserve">” (CCPR/C/KOR/2005/3, paras. 115 and </w:t>
      </w:r>
      <w:r w:rsidR="002D5BB0" w:rsidRPr="00222917">
        <w:rPr>
          <w:lang w:val="en-US"/>
        </w:rPr>
        <w:t xml:space="preserve">116). </w:t>
      </w:r>
    </w:p>
    <w:p w:rsidR="002D5BB0" w:rsidRPr="00222917" w:rsidRDefault="00547908" w:rsidP="00547908">
      <w:pPr>
        <w:pStyle w:val="SingleTxtG"/>
        <w:rPr>
          <w:lang w:val="en-US"/>
        </w:rPr>
      </w:pPr>
      <w:r w:rsidRPr="00222917">
        <w:rPr>
          <w:lang w:val="en-US"/>
        </w:rPr>
        <w:t>134.</w:t>
      </w:r>
      <w:r w:rsidRPr="00222917">
        <w:rPr>
          <w:lang w:val="en-US"/>
        </w:rPr>
        <w:tab/>
      </w:r>
      <w:r w:rsidR="002D5BB0" w:rsidRPr="00222917">
        <w:rPr>
          <w:lang w:val="en-US"/>
        </w:rPr>
        <w:t xml:space="preserve">The Rules of Investigation on Protection of Human Rights stated in the third report were wholly amended on 26 June 2006 as some pointed out that it was abstract and failed to reflect laws enacted or amended after its entry into force as well as institutional improvements. The revised </w:t>
      </w:r>
      <w:r w:rsidR="002D5BB0" w:rsidRPr="00222917">
        <w:rPr>
          <w:bCs/>
          <w:lang w:val="en-US"/>
        </w:rPr>
        <w:t>rules</w:t>
      </w:r>
      <w:r w:rsidR="002D5BB0" w:rsidRPr="00222917">
        <w:rPr>
          <w:lang w:val="en-US"/>
        </w:rPr>
        <w:t xml:space="preserve"> contain newly inserted or more detailed provisions on prohibition of discrimination, establishment of the principle of investigation without physical detention, enhancement of investigation transparency, and care for the underprivileged including youths and disabled persons to protect people’s human rights more thoroughly. Each year, the Ministry of Justice evaluates compliance with the rules by each public prosecutor’s office, shares best practices, and grants an award to the most outstanding public prosecutor’s office. </w:t>
      </w:r>
    </w:p>
    <w:p w:rsidR="002D5BB0" w:rsidRPr="00222917" w:rsidRDefault="00547908" w:rsidP="00547908">
      <w:pPr>
        <w:pStyle w:val="SingleTxtG"/>
        <w:rPr>
          <w:lang w:val="en-US"/>
        </w:rPr>
      </w:pPr>
      <w:r w:rsidRPr="00222917">
        <w:rPr>
          <w:lang w:val="en-US"/>
        </w:rPr>
        <w:t>135.</w:t>
      </w:r>
      <w:r w:rsidRPr="00222917">
        <w:rPr>
          <w:lang w:val="en-US"/>
        </w:rPr>
        <w:tab/>
      </w:r>
      <w:r w:rsidR="002D5BB0" w:rsidRPr="00222917">
        <w:rPr>
          <w:lang w:val="en-US"/>
        </w:rPr>
        <w:t>In September 2005, the Nati</w:t>
      </w:r>
      <w:r w:rsidR="00C81265" w:rsidRPr="00222917">
        <w:rPr>
          <w:lang w:val="en-US"/>
        </w:rPr>
        <w:t>onal Police Agency enacted the “</w:t>
      </w:r>
      <w:r w:rsidR="002D5BB0" w:rsidRPr="00222917">
        <w:rPr>
          <w:lang w:val="en-US"/>
        </w:rPr>
        <w:t>Professional Rules on Police Officers for Human Rights Protection</w:t>
      </w:r>
      <w:r w:rsidR="00C81265" w:rsidRPr="00222917">
        <w:rPr>
          <w:lang w:val="en-US"/>
        </w:rPr>
        <w:t>”</w:t>
      </w:r>
      <w:r w:rsidR="002D5BB0" w:rsidRPr="00222917">
        <w:rPr>
          <w:lang w:val="en-US"/>
        </w:rPr>
        <w:t xml:space="preserve"> in order to minimize human rights abuses during investigation. The rules specify the details of the existing </w:t>
      </w:r>
      <w:r w:rsidR="002D5BB0" w:rsidRPr="00C70182">
        <w:rPr>
          <w:iCs/>
          <w:lang w:val="en-US"/>
        </w:rPr>
        <w:t xml:space="preserve">Criminal Procedure Act </w:t>
      </w:r>
      <w:r w:rsidR="002D5BB0" w:rsidRPr="00222917">
        <w:rPr>
          <w:lang w:val="en-US"/>
        </w:rPr>
        <w:t xml:space="preserve">and the </w:t>
      </w:r>
      <w:r w:rsidR="002D5BB0" w:rsidRPr="00C70182">
        <w:rPr>
          <w:iCs/>
          <w:lang w:val="en-US"/>
        </w:rPr>
        <w:t>Act on the Performance of Duties by Police Officers</w:t>
      </w:r>
      <w:r w:rsidR="002D5BB0" w:rsidRPr="00222917">
        <w:rPr>
          <w:lang w:val="en-US"/>
        </w:rPr>
        <w:t>, providing for the principle of h</w:t>
      </w:r>
      <w:r w:rsidR="00C974F8" w:rsidRPr="00222917">
        <w:rPr>
          <w:lang w:val="en-US"/>
        </w:rPr>
        <w:t>uman rights protection (</w:t>
      </w:r>
      <w:r w:rsidR="00681EC0" w:rsidRPr="00222917">
        <w:rPr>
          <w:lang w:val="en-US"/>
        </w:rPr>
        <w:t>a</w:t>
      </w:r>
      <w:r w:rsidR="00C974F8" w:rsidRPr="00222917">
        <w:rPr>
          <w:lang w:val="en-US"/>
        </w:rPr>
        <w:t>rticle </w:t>
      </w:r>
      <w:r w:rsidR="002D5BB0" w:rsidRPr="00222917">
        <w:rPr>
          <w:lang w:val="en-US"/>
        </w:rPr>
        <w:t>4), prohibition of v</w:t>
      </w:r>
      <w:r w:rsidR="00C974F8" w:rsidRPr="00222917">
        <w:rPr>
          <w:lang w:val="en-US"/>
        </w:rPr>
        <w:t>iolence and cruel acts (</w:t>
      </w:r>
      <w:r w:rsidR="00681EC0" w:rsidRPr="00222917">
        <w:rPr>
          <w:lang w:val="en-US"/>
        </w:rPr>
        <w:t>a</w:t>
      </w:r>
      <w:r w:rsidR="00C974F8" w:rsidRPr="00222917">
        <w:rPr>
          <w:lang w:val="en-US"/>
        </w:rPr>
        <w:t>rticle </w:t>
      </w:r>
      <w:r w:rsidR="002D5BB0" w:rsidRPr="00222917">
        <w:rPr>
          <w:lang w:val="en-US"/>
        </w:rPr>
        <w:t xml:space="preserve">8), principle of investigation </w:t>
      </w:r>
      <w:r w:rsidR="002D5BB0" w:rsidRPr="00222917">
        <w:rPr>
          <w:bCs/>
          <w:lang w:val="en-US"/>
        </w:rPr>
        <w:t>without</w:t>
      </w:r>
      <w:r w:rsidR="00C974F8" w:rsidRPr="00222917">
        <w:rPr>
          <w:lang w:val="en-US"/>
        </w:rPr>
        <w:t xml:space="preserve"> physical detention (</w:t>
      </w:r>
      <w:r w:rsidR="00681EC0" w:rsidRPr="00222917">
        <w:rPr>
          <w:lang w:val="en-US"/>
        </w:rPr>
        <w:t>a</w:t>
      </w:r>
      <w:r w:rsidR="00C974F8" w:rsidRPr="00222917">
        <w:rPr>
          <w:lang w:val="en-US"/>
        </w:rPr>
        <w:t>rticle </w:t>
      </w:r>
      <w:r w:rsidR="002D5BB0" w:rsidRPr="00222917">
        <w:rPr>
          <w:lang w:val="en-US"/>
        </w:rPr>
        <w:t>47), matters of consideration at the time of arrest and detent</w:t>
      </w:r>
      <w:r w:rsidR="00C974F8" w:rsidRPr="00222917">
        <w:rPr>
          <w:lang w:val="en-US"/>
        </w:rPr>
        <w:t>ion (</w:t>
      </w:r>
      <w:r w:rsidR="00681EC0" w:rsidRPr="00222917">
        <w:rPr>
          <w:lang w:val="en-US"/>
        </w:rPr>
        <w:t>a</w:t>
      </w:r>
      <w:r w:rsidR="00C974F8" w:rsidRPr="00222917">
        <w:rPr>
          <w:lang w:val="en-US"/>
        </w:rPr>
        <w:t>rticle </w:t>
      </w:r>
      <w:r w:rsidR="002D5BB0" w:rsidRPr="00222917">
        <w:rPr>
          <w:lang w:val="en-US"/>
        </w:rPr>
        <w:t>53), limitations on th</w:t>
      </w:r>
      <w:r w:rsidR="00C974F8" w:rsidRPr="00222917">
        <w:rPr>
          <w:lang w:val="en-US"/>
        </w:rPr>
        <w:t>e use of weapons, etc. (</w:t>
      </w:r>
      <w:r w:rsidR="00681EC0" w:rsidRPr="00222917">
        <w:rPr>
          <w:lang w:val="en-US"/>
        </w:rPr>
        <w:t>a</w:t>
      </w:r>
      <w:r w:rsidR="00C974F8" w:rsidRPr="00222917">
        <w:rPr>
          <w:lang w:val="en-US"/>
        </w:rPr>
        <w:t>rticle </w:t>
      </w:r>
      <w:r w:rsidR="002D5BB0" w:rsidRPr="00222917">
        <w:rPr>
          <w:lang w:val="en-US"/>
        </w:rPr>
        <w:t>54), and prohibition of investigation late at night (</w:t>
      </w:r>
      <w:r w:rsidR="00681EC0" w:rsidRPr="00222917">
        <w:rPr>
          <w:lang w:val="en-US"/>
        </w:rPr>
        <w:t>a</w:t>
      </w:r>
      <w:r w:rsidR="002D5BB0" w:rsidRPr="00222917">
        <w:rPr>
          <w:lang w:val="en-US"/>
        </w:rPr>
        <w:t>rticle</w:t>
      </w:r>
      <w:r w:rsidR="00C974F8" w:rsidRPr="00222917">
        <w:rPr>
          <w:lang w:val="en-US"/>
        </w:rPr>
        <w:t> </w:t>
      </w:r>
      <w:r w:rsidR="002D5BB0" w:rsidRPr="00222917">
        <w:rPr>
          <w:lang w:val="en-US"/>
        </w:rPr>
        <w:t>64). Accordingly, the</w:t>
      </w:r>
      <w:r w:rsidR="00C81265" w:rsidRPr="00222917">
        <w:rPr>
          <w:lang w:val="en-US"/>
        </w:rPr>
        <w:t> “</w:t>
      </w:r>
      <w:r w:rsidR="002D5BB0" w:rsidRPr="00222917">
        <w:rPr>
          <w:lang w:val="en-US"/>
        </w:rPr>
        <w:t>Human Rights Committee of the National Police Agency</w:t>
      </w:r>
      <w:r w:rsidR="00C81265" w:rsidRPr="00222917">
        <w:rPr>
          <w:lang w:val="en-US"/>
        </w:rPr>
        <w:t>”</w:t>
      </w:r>
      <w:r w:rsidR="002D5BB0" w:rsidRPr="00222917">
        <w:rPr>
          <w:lang w:val="en-US"/>
        </w:rPr>
        <w:t xml:space="preserve"> consisting of outside personnel from civic groups, academia, and the religious community was organized to take charge of investigation and making recommendations as regards to human rights violations by the police and on-site inspection of facilities. The rules exceptionally permit late-night investigation only when the investigated person and counsel give consent or when expiration of the statute of limitations is impending.</w:t>
      </w:r>
      <w:r w:rsidR="00120D8B" w:rsidRPr="00222917">
        <w:rPr>
          <w:lang w:val="en-US"/>
        </w:rPr>
        <w:t xml:space="preserve"> </w:t>
      </w:r>
    </w:p>
    <w:p w:rsidR="002D5BB0" w:rsidRPr="00222917" w:rsidRDefault="00547908" w:rsidP="00547908">
      <w:pPr>
        <w:pStyle w:val="SingleTxtG"/>
        <w:rPr>
          <w:lang w:val="en-US"/>
        </w:rPr>
      </w:pPr>
      <w:r w:rsidRPr="00222917">
        <w:rPr>
          <w:lang w:val="en-US"/>
        </w:rPr>
        <w:t>136.</w:t>
      </w:r>
      <w:r w:rsidRPr="00222917">
        <w:rPr>
          <w:lang w:val="en-US"/>
        </w:rPr>
        <w:tab/>
      </w:r>
      <w:r w:rsidR="002D5BB0" w:rsidRPr="00222917">
        <w:rPr>
          <w:lang w:val="en-US"/>
        </w:rPr>
        <w:t>For the purpose of promoting human rights sensitivity in performing its duties, the Natio</w:t>
      </w:r>
      <w:r w:rsidR="00C81265" w:rsidRPr="00222917">
        <w:rPr>
          <w:lang w:val="en-US"/>
        </w:rPr>
        <w:t>nal Police Agency incorporated “</w:t>
      </w:r>
      <w:r w:rsidR="002D5BB0" w:rsidRPr="00222917">
        <w:rPr>
          <w:lang w:val="en-US"/>
        </w:rPr>
        <w:t>human rights education courses</w:t>
      </w:r>
      <w:r w:rsidR="00C81265" w:rsidRPr="00222917">
        <w:rPr>
          <w:lang w:val="en-US"/>
        </w:rPr>
        <w:t>”</w:t>
      </w:r>
      <w:r w:rsidR="002D5BB0" w:rsidRPr="00222917">
        <w:rPr>
          <w:lang w:val="en-US"/>
        </w:rPr>
        <w:t xml:space="preserve"> in regular education. In 2008, 111,104 persons were trained in 131 education courses for 2,568 hours. It also introduced a ‘human </w:t>
      </w:r>
      <w:r w:rsidR="002D5BB0" w:rsidRPr="00222917">
        <w:rPr>
          <w:bCs/>
          <w:lang w:val="en-US"/>
        </w:rPr>
        <w:t>rights</w:t>
      </w:r>
      <w:r w:rsidR="002D5BB0" w:rsidRPr="00222917">
        <w:rPr>
          <w:lang w:val="en-US"/>
        </w:rPr>
        <w:t xml:space="preserve"> counseling hotline’ system to swiftly tackle human rights abuses including illegal arrest, detention, violence, and cruel acts. During the period from 2005 to 2008, 1,219 cases were received and processed.</w:t>
      </w:r>
      <w:r w:rsidR="00120D8B" w:rsidRPr="00222917">
        <w:rPr>
          <w:lang w:val="en-US"/>
        </w:rPr>
        <w:t xml:space="preserve"> </w:t>
      </w:r>
    </w:p>
    <w:p w:rsidR="002D5BB0" w:rsidRPr="00222917" w:rsidRDefault="00C81265" w:rsidP="00C81265">
      <w:pPr>
        <w:pStyle w:val="H23G"/>
        <w:rPr>
          <w:lang w:val="en-US"/>
        </w:rPr>
      </w:pPr>
      <w:bookmarkStart w:id="60" w:name="_Toc307504055"/>
      <w:bookmarkStart w:id="61" w:name="_Toc336435827"/>
      <w:r w:rsidRPr="00222917">
        <w:rPr>
          <w:lang w:val="en-US"/>
        </w:rPr>
        <w:tab/>
      </w:r>
      <w:r w:rsidRPr="00222917">
        <w:rPr>
          <w:lang w:val="en-US"/>
        </w:rPr>
        <w:tab/>
      </w:r>
      <w:r w:rsidR="002D5BB0" w:rsidRPr="00222917">
        <w:rPr>
          <w:lang w:val="en-US"/>
        </w:rPr>
        <w:t>Measures Regarding an Inmate’s Suicide Caused by Sexual Violence by an Employee of Correction Facilities</w:t>
      </w:r>
      <w:bookmarkEnd w:id="60"/>
      <w:bookmarkEnd w:id="61"/>
    </w:p>
    <w:p w:rsidR="002D5BB0" w:rsidRPr="00222917" w:rsidRDefault="00547908" w:rsidP="00547908">
      <w:pPr>
        <w:pStyle w:val="SingleTxtG"/>
        <w:rPr>
          <w:lang w:val="en-US"/>
        </w:rPr>
      </w:pPr>
      <w:r w:rsidRPr="00222917">
        <w:rPr>
          <w:lang w:val="en-US"/>
        </w:rPr>
        <w:t>137.</w:t>
      </w:r>
      <w:r w:rsidRPr="00222917">
        <w:rPr>
          <w:lang w:val="en-US"/>
        </w:rPr>
        <w:tab/>
      </w:r>
      <w:r w:rsidR="002D5BB0" w:rsidRPr="00222917">
        <w:rPr>
          <w:lang w:val="en-US"/>
        </w:rPr>
        <w:t xml:space="preserve">In December 2005, an employee of the </w:t>
      </w:r>
      <w:smartTag w:uri="urn:schemas-microsoft-com:office:smarttags" w:element="place">
        <w:smartTag w:uri="urn:schemas-microsoft-com:office:smarttags" w:element="PlaceName">
          <w:r w:rsidR="002D5BB0" w:rsidRPr="00222917">
            <w:rPr>
              <w:lang w:val="en-US"/>
            </w:rPr>
            <w:t>Seoul</w:t>
          </w:r>
        </w:smartTag>
        <w:r w:rsidR="002D5BB0" w:rsidRPr="00222917">
          <w:rPr>
            <w:lang w:val="en-US"/>
          </w:rPr>
          <w:t xml:space="preserve"> </w:t>
        </w:r>
        <w:smartTag w:uri="urn:schemas-microsoft-com:office:smarttags" w:element="PlaceName">
          <w:r w:rsidR="002D5BB0" w:rsidRPr="00222917">
            <w:rPr>
              <w:lang w:val="en-US"/>
            </w:rPr>
            <w:t>Detention</w:t>
          </w:r>
        </w:smartTag>
        <w:r w:rsidR="002D5BB0" w:rsidRPr="00222917">
          <w:rPr>
            <w:lang w:val="en-US"/>
          </w:rPr>
          <w:t xml:space="preserve"> </w:t>
        </w:r>
        <w:smartTag w:uri="urn:schemas-microsoft-com:office:smarttags" w:element="PlaceType">
          <w:r w:rsidR="002D5BB0" w:rsidRPr="00222917">
            <w:rPr>
              <w:lang w:val="en-US"/>
            </w:rPr>
            <w:t>Center</w:t>
          </w:r>
        </w:smartTag>
      </w:smartTag>
      <w:r w:rsidR="002D5BB0" w:rsidRPr="00222917">
        <w:rPr>
          <w:lang w:val="en-US"/>
        </w:rPr>
        <w:t xml:space="preserve"> sexually molested twelve female inmates several times. One of these inmates committed suicide due to psychological shock. After </w:t>
      </w:r>
      <w:r w:rsidR="002D5BB0" w:rsidRPr="00222917">
        <w:rPr>
          <w:bCs/>
          <w:lang w:val="en-US"/>
        </w:rPr>
        <w:t>conducting</w:t>
      </w:r>
      <w:r w:rsidR="002D5BB0" w:rsidRPr="00222917">
        <w:rPr>
          <w:lang w:val="en-US"/>
        </w:rPr>
        <w:t xml:space="preserve"> a fact-finding investigation, the Government dismissed the employee concerned as a punitive action and issued a warning against other relevant employees for their failure to perform proper supervision. Apart from this, the Government paid about KRW 200 million to the victim as compensation for damage according to a claim for compensation and then recovered the amount by exercising the right to demand indemnity against the employee. Said employee was sentenced to four years in prison as a court acknowledged his crime of an indecent act by force causing bodily harm. </w:t>
      </w:r>
    </w:p>
    <w:p w:rsidR="002D5BB0" w:rsidRPr="00222917" w:rsidRDefault="00C81265" w:rsidP="00C81265">
      <w:pPr>
        <w:pStyle w:val="H23G"/>
        <w:rPr>
          <w:lang w:val="en-US"/>
        </w:rPr>
      </w:pPr>
      <w:bookmarkStart w:id="62" w:name="_Toc307504056"/>
      <w:bookmarkStart w:id="63" w:name="_Toc336435828"/>
      <w:r w:rsidRPr="00222917">
        <w:rPr>
          <w:lang w:val="en-US"/>
        </w:rPr>
        <w:tab/>
      </w:r>
      <w:r w:rsidRPr="00222917">
        <w:rPr>
          <w:lang w:val="en-US"/>
        </w:rPr>
        <w:tab/>
      </w:r>
      <w:r w:rsidR="002D5BB0" w:rsidRPr="00222917">
        <w:rPr>
          <w:lang w:val="en-US"/>
        </w:rPr>
        <w:t>Human Rights Education Concerning Prevention of Torture</w:t>
      </w:r>
      <w:bookmarkEnd w:id="62"/>
      <w:bookmarkEnd w:id="63"/>
    </w:p>
    <w:p w:rsidR="002D5BB0" w:rsidRPr="00222917" w:rsidRDefault="00547908" w:rsidP="00547908">
      <w:pPr>
        <w:pStyle w:val="SingleTxtG"/>
        <w:rPr>
          <w:lang w:val="en-US"/>
        </w:rPr>
      </w:pPr>
      <w:r w:rsidRPr="00222917">
        <w:rPr>
          <w:lang w:val="en-US"/>
        </w:rPr>
        <w:t>138.</w:t>
      </w:r>
      <w:r w:rsidRPr="00222917">
        <w:rPr>
          <w:lang w:val="en-US"/>
        </w:rPr>
        <w:tab/>
      </w:r>
      <w:r w:rsidR="002D5BB0" w:rsidRPr="00222917">
        <w:rPr>
          <w:lang w:val="en-US"/>
        </w:rPr>
        <w:t>To prevent torture in detention facilities, the Government provided workers and probation officers at juvenile correctional institutes and immigration detention centers with human rights education regarding the ban on torture and inhumane acts. The educatio</w:t>
      </w:r>
      <w:r w:rsidR="00C81265" w:rsidRPr="00222917">
        <w:rPr>
          <w:lang w:val="en-US"/>
        </w:rPr>
        <w:t>n course includes “</w:t>
      </w:r>
      <w:r w:rsidR="002D5BB0" w:rsidRPr="00222917">
        <w:rPr>
          <w:lang w:val="en-US"/>
        </w:rPr>
        <w:t>human rights investigation under the revis</w:t>
      </w:r>
      <w:r w:rsidR="00C81265" w:rsidRPr="00222917">
        <w:rPr>
          <w:lang w:val="en-US"/>
        </w:rPr>
        <w:t>ed Criminal Procedure Act” and “</w:t>
      </w:r>
      <w:r w:rsidR="002D5BB0" w:rsidRPr="00222917">
        <w:rPr>
          <w:lang w:val="en-US"/>
        </w:rPr>
        <w:t>investigation and human rights</w:t>
      </w:r>
      <w:r w:rsidR="00C81265" w:rsidRPr="00222917">
        <w:rPr>
          <w:lang w:val="en-US"/>
        </w:rPr>
        <w:t>”</w:t>
      </w:r>
      <w:r w:rsidR="002D5BB0" w:rsidRPr="00222917">
        <w:rPr>
          <w:lang w:val="en-US"/>
        </w:rPr>
        <w:t xml:space="preserve"> that concern prohibition of such acts as torture against a sus</w:t>
      </w:r>
      <w:r w:rsidR="00C81265" w:rsidRPr="00222917">
        <w:rPr>
          <w:lang w:val="en-US"/>
        </w:rPr>
        <w:t>pect during investigation; and “</w:t>
      </w:r>
      <w:r w:rsidR="002D5BB0" w:rsidRPr="00222917">
        <w:rPr>
          <w:lang w:val="en-US"/>
        </w:rPr>
        <w:t>correction devices utilization methods</w:t>
      </w:r>
      <w:r w:rsidR="00C81265" w:rsidRPr="00222917">
        <w:rPr>
          <w:lang w:val="en-US"/>
        </w:rPr>
        <w:t>”</w:t>
      </w:r>
      <w:r w:rsidR="002D5BB0" w:rsidRPr="00222917">
        <w:rPr>
          <w:lang w:val="en-US"/>
        </w:rPr>
        <w:t xml:space="preserve"> that encompass the principle of </w:t>
      </w:r>
      <w:r w:rsidR="002D5BB0" w:rsidRPr="00222917">
        <w:rPr>
          <w:bCs/>
          <w:lang w:val="en-US"/>
        </w:rPr>
        <w:t>proportionality</w:t>
      </w:r>
      <w:r w:rsidR="002D5BB0" w:rsidRPr="00222917">
        <w:rPr>
          <w:lang w:val="en-US"/>
        </w:rPr>
        <w:t xml:space="preserve"> pertaining to the use of correction devices, recommendations by the National Human Rights Commission on correction devices, and provisions in laws on correction to prevent abuse of correction devices. In accordance with its policy to bolster human rights education, the Government is striving to make education more concrete and practical when it formulates curricula and consults instructors.</w:t>
      </w:r>
      <w:r w:rsidR="00120D8B" w:rsidRPr="00222917">
        <w:rPr>
          <w:lang w:val="en-US"/>
        </w:rPr>
        <w:t xml:space="preserve"> </w:t>
      </w:r>
    </w:p>
    <w:p w:rsidR="002D5BB0" w:rsidRPr="00222917" w:rsidRDefault="00C81265" w:rsidP="00C81265">
      <w:pPr>
        <w:pStyle w:val="H23G"/>
        <w:rPr>
          <w:lang w:val="en-US"/>
        </w:rPr>
      </w:pPr>
      <w:r w:rsidRPr="00222917">
        <w:rPr>
          <w:lang w:val="en-US"/>
        </w:rPr>
        <w:tab/>
      </w:r>
      <w:r w:rsidRPr="00222917">
        <w:rPr>
          <w:lang w:val="en-US"/>
        </w:rPr>
        <w:tab/>
      </w:r>
      <w:r w:rsidR="002D5BB0" w:rsidRPr="00222917">
        <w:rPr>
          <w:lang w:val="en-US"/>
        </w:rPr>
        <w:t>Education for Government Employees</w:t>
      </w:r>
      <w:r w:rsidR="006A787F" w:rsidRPr="00222917">
        <w:rPr>
          <w:lang w:val="en-US"/>
        </w:rPr>
        <w:t xml:space="preserve"> Working at </w:t>
      </w:r>
      <w:r w:rsidR="002D5BB0" w:rsidRPr="00222917">
        <w:rPr>
          <w:lang w:val="en-US"/>
        </w:rPr>
        <w:t>Detention Facilities</w:t>
      </w:r>
    </w:p>
    <w:tbl>
      <w:tblPr>
        <w:tblW w:w="0" w:type="auto"/>
        <w:tblInd w:w="1134" w:type="dxa"/>
        <w:tblBorders>
          <w:top w:val="single" w:sz="4" w:space="0" w:color="auto"/>
        </w:tblBorders>
        <w:tblLayout w:type="fixed"/>
        <w:tblCellMar>
          <w:left w:w="0" w:type="dxa"/>
          <w:right w:w="0" w:type="dxa"/>
        </w:tblCellMar>
        <w:tblLook w:val="00A0"/>
      </w:tblPr>
      <w:tblGrid>
        <w:gridCol w:w="567"/>
        <w:gridCol w:w="4536"/>
        <w:gridCol w:w="1134"/>
        <w:gridCol w:w="1134"/>
      </w:tblGrid>
      <w:tr w:rsidR="001D2686" w:rsidRPr="00222917" w:rsidTr="009F228A">
        <w:trPr>
          <w:trHeight w:val="240"/>
          <w:tblHeader/>
        </w:trPr>
        <w:tc>
          <w:tcPr>
            <w:tcW w:w="567" w:type="dxa"/>
            <w:tcBorders>
              <w:top w:val="single" w:sz="4" w:space="0" w:color="auto"/>
              <w:bottom w:val="single" w:sz="12" w:space="0" w:color="auto"/>
            </w:tcBorders>
            <w:shd w:val="clear" w:color="auto" w:fill="auto"/>
            <w:tcMar>
              <w:top w:w="15" w:type="dxa"/>
              <w:left w:w="15" w:type="dxa"/>
              <w:bottom w:w="15" w:type="dxa"/>
              <w:right w:w="15" w:type="dxa"/>
            </w:tcMar>
            <w:vAlign w:val="bottom"/>
          </w:tcPr>
          <w:p w:rsidR="002D5BB0" w:rsidRPr="00222917" w:rsidRDefault="002D5BB0" w:rsidP="009F228A">
            <w:pPr>
              <w:pStyle w:val="SingleTxtG"/>
              <w:suppressAutoHyphens w:val="0"/>
              <w:spacing w:before="80" w:after="80" w:line="200" w:lineRule="exact"/>
              <w:ind w:left="0" w:right="0"/>
              <w:jc w:val="left"/>
              <w:rPr>
                <w:i/>
                <w:sz w:val="16"/>
                <w:lang w:val="en-US"/>
              </w:rPr>
            </w:pPr>
            <w:bookmarkStart w:id="64" w:name="BM_6ac56cc7"/>
            <w:bookmarkEnd w:id="64"/>
            <w:r w:rsidRPr="00222917">
              <w:rPr>
                <w:bCs/>
                <w:i/>
                <w:sz w:val="16"/>
                <w:lang w:val="en-US"/>
              </w:rPr>
              <w:t>Year</w:t>
            </w:r>
          </w:p>
        </w:tc>
        <w:tc>
          <w:tcPr>
            <w:tcW w:w="4536" w:type="dxa"/>
            <w:tcBorders>
              <w:top w:val="single" w:sz="4" w:space="0" w:color="auto"/>
              <w:bottom w:val="single" w:sz="12" w:space="0" w:color="auto"/>
            </w:tcBorders>
            <w:shd w:val="clear" w:color="auto" w:fill="auto"/>
            <w:tcMar>
              <w:top w:w="15" w:type="dxa"/>
              <w:left w:w="15" w:type="dxa"/>
              <w:bottom w:w="15" w:type="dxa"/>
              <w:right w:w="15" w:type="dxa"/>
            </w:tcMar>
            <w:vAlign w:val="bottom"/>
          </w:tcPr>
          <w:p w:rsidR="002D5BB0" w:rsidRPr="00222917" w:rsidRDefault="002D5BB0" w:rsidP="009F228A">
            <w:pPr>
              <w:pStyle w:val="SingleTxtG"/>
              <w:suppressAutoHyphens w:val="0"/>
              <w:spacing w:before="80" w:after="80" w:line="200" w:lineRule="exact"/>
              <w:ind w:left="0" w:right="0"/>
              <w:jc w:val="right"/>
              <w:rPr>
                <w:i/>
                <w:sz w:val="16"/>
                <w:lang w:val="en-US"/>
              </w:rPr>
            </w:pPr>
            <w:r w:rsidRPr="00222917">
              <w:rPr>
                <w:bCs/>
                <w:i/>
                <w:sz w:val="16"/>
                <w:lang w:val="en-US"/>
              </w:rPr>
              <w:t>Subjects</w:t>
            </w:r>
          </w:p>
        </w:tc>
        <w:tc>
          <w:tcPr>
            <w:tcW w:w="1134" w:type="dxa"/>
            <w:tcBorders>
              <w:top w:val="single" w:sz="4" w:space="0" w:color="auto"/>
              <w:bottom w:val="single" w:sz="12" w:space="0" w:color="auto"/>
            </w:tcBorders>
            <w:shd w:val="clear" w:color="auto" w:fill="auto"/>
            <w:tcMar>
              <w:top w:w="15" w:type="dxa"/>
              <w:left w:w="15" w:type="dxa"/>
              <w:bottom w:w="15" w:type="dxa"/>
              <w:right w:w="15" w:type="dxa"/>
            </w:tcMar>
            <w:vAlign w:val="bottom"/>
          </w:tcPr>
          <w:p w:rsidR="002D5BB0" w:rsidRPr="00222917" w:rsidRDefault="002D5BB0" w:rsidP="009F228A">
            <w:pPr>
              <w:pStyle w:val="SingleTxtG"/>
              <w:suppressAutoHyphens w:val="0"/>
              <w:spacing w:before="80" w:after="80" w:line="200" w:lineRule="exact"/>
              <w:ind w:left="0" w:right="0"/>
              <w:jc w:val="right"/>
              <w:rPr>
                <w:i/>
                <w:sz w:val="16"/>
                <w:lang w:val="en-US"/>
              </w:rPr>
            </w:pPr>
            <w:r w:rsidRPr="00222917">
              <w:rPr>
                <w:bCs/>
                <w:i/>
                <w:sz w:val="16"/>
                <w:lang w:val="en-US"/>
              </w:rPr>
              <w:t>No. of sessions</w:t>
            </w:r>
          </w:p>
        </w:tc>
        <w:tc>
          <w:tcPr>
            <w:tcW w:w="1134" w:type="dxa"/>
            <w:tcBorders>
              <w:top w:val="single" w:sz="4" w:space="0" w:color="auto"/>
              <w:bottom w:val="single" w:sz="12" w:space="0" w:color="auto"/>
            </w:tcBorders>
            <w:shd w:val="clear" w:color="auto" w:fill="auto"/>
            <w:tcMar>
              <w:top w:w="15" w:type="dxa"/>
              <w:left w:w="15" w:type="dxa"/>
              <w:bottom w:w="15" w:type="dxa"/>
              <w:right w:w="15" w:type="dxa"/>
            </w:tcMar>
            <w:vAlign w:val="bottom"/>
          </w:tcPr>
          <w:p w:rsidR="002D5BB0" w:rsidRPr="00222917" w:rsidRDefault="002D5BB0" w:rsidP="009F228A">
            <w:pPr>
              <w:pStyle w:val="SingleTxtG"/>
              <w:suppressAutoHyphens w:val="0"/>
              <w:spacing w:before="80" w:after="80" w:line="200" w:lineRule="exact"/>
              <w:ind w:left="0" w:right="0"/>
              <w:jc w:val="right"/>
              <w:rPr>
                <w:i/>
                <w:sz w:val="16"/>
                <w:lang w:val="en-US"/>
              </w:rPr>
            </w:pPr>
            <w:r w:rsidRPr="00222917">
              <w:rPr>
                <w:bCs/>
                <w:i/>
                <w:sz w:val="16"/>
                <w:lang w:val="en-US"/>
              </w:rPr>
              <w:t>No. of persons</w:t>
            </w:r>
          </w:p>
        </w:tc>
      </w:tr>
      <w:tr w:rsidR="001D2686" w:rsidRPr="00222917" w:rsidTr="009F228A">
        <w:trPr>
          <w:trHeight w:val="240"/>
        </w:trPr>
        <w:tc>
          <w:tcPr>
            <w:tcW w:w="567" w:type="dxa"/>
            <w:tcBorders>
              <w:top w:val="single" w:sz="12" w:space="0" w:color="auto"/>
            </w:tcBorders>
            <w:shd w:val="clear" w:color="auto" w:fill="auto"/>
            <w:tcMar>
              <w:top w:w="15" w:type="dxa"/>
              <w:left w:w="15" w:type="dxa"/>
              <w:bottom w:w="15" w:type="dxa"/>
              <w:right w:w="15" w:type="dxa"/>
            </w:tcMar>
          </w:tcPr>
          <w:p w:rsidR="002D5BB0" w:rsidRPr="00222917" w:rsidRDefault="002D5BB0" w:rsidP="009F228A">
            <w:pPr>
              <w:pStyle w:val="SingleTxtG"/>
              <w:suppressAutoHyphens w:val="0"/>
              <w:spacing w:before="40" w:after="40" w:line="220" w:lineRule="exact"/>
              <w:ind w:left="0" w:right="0"/>
              <w:jc w:val="left"/>
              <w:rPr>
                <w:sz w:val="18"/>
                <w:lang w:val="en-US"/>
              </w:rPr>
            </w:pPr>
            <w:r w:rsidRPr="00222917">
              <w:rPr>
                <w:sz w:val="18"/>
                <w:lang w:val="en-US"/>
              </w:rPr>
              <w:t>2007</w:t>
            </w:r>
          </w:p>
        </w:tc>
        <w:tc>
          <w:tcPr>
            <w:tcW w:w="4536" w:type="dxa"/>
            <w:tcBorders>
              <w:top w:val="single" w:sz="12" w:space="0" w:color="auto"/>
            </w:tcBorders>
            <w:shd w:val="clear" w:color="auto" w:fill="auto"/>
            <w:tcMar>
              <w:top w:w="15" w:type="dxa"/>
              <w:left w:w="15" w:type="dxa"/>
              <w:bottom w:w="15" w:type="dxa"/>
              <w:right w:w="15" w:type="dxa"/>
            </w:tcMar>
            <w:vAlign w:val="bottom"/>
          </w:tcPr>
          <w:p w:rsidR="002D5BB0" w:rsidRPr="00222917" w:rsidRDefault="002D5BB0" w:rsidP="009F228A">
            <w:pPr>
              <w:pStyle w:val="SingleTxtG"/>
              <w:suppressAutoHyphens w:val="0"/>
              <w:spacing w:before="40" w:after="40" w:line="220" w:lineRule="exact"/>
              <w:ind w:left="0" w:right="0"/>
              <w:jc w:val="right"/>
              <w:rPr>
                <w:sz w:val="18"/>
                <w:lang w:val="en-US"/>
              </w:rPr>
            </w:pPr>
            <w:r w:rsidRPr="00222917">
              <w:rPr>
                <w:sz w:val="18"/>
                <w:lang w:val="en-US"/>
              </w:rPr>
              <w:t>Methods to use security and restraining devices</w:t>
            </w:r>
          </w:p>
        </w:tc>
        <w:tc>
          <w:tcPr>
            <w:tcW w:w="1134" w:type="dxa"/>
            <w:tcBorders>
              <w:top w:val="single" w:sz="12" w:space="0" w:color="auto"/>
            </w:tcBorders>
            <w:shd w:val="clear" w:color="auto" w:fill="auto"/>
            <w:tcMar>
              <w:top w:w="15" w:type="dxa"/>
              <w:left w:w="15" w:type="dxa"/>
              <w:bottom w:w="15" w:type="dxa"/>
              <w:right w:w="15" w:type="dxa"/>
            </w:tcMar>
            <w:vAlign w:val="bottom"/>
          </w:tcPr>
          <w:p w:rsidR="002D5BB0" w:rsidRPr="00222917" w:rsidRDefault="002D5BB0" w:rsidP="009F228A">
            <w:pPr>
              <w:pStyle w:val="SingleTxtG"/>
              <w:suppressAutoHyphens w:val="0"/>
              <w:spacing w:before="40" w:after="40" w:line="220" w:lineRule="exact"/>
              <w:ind w:left="0" w:right="0"/>
              <w:jc w:val="right"/>
              <w:rPr>
                <w:sz w:val="18"/>
                <w:lang w:val="en-US"/>
              </w:rPr>
            </w:pPr>
            <w:r w:rsidRPr="00222917">
              <w:rPr>
                <w:sz w:val="18"/>
                <w:lang w:val="en-US"/>
              </w:rPr>
              <w:t>3</w:t>
            </w:r>
          </w:p>
        </w:tc>
        <w:tc>
          <w:tcPr>
            <w:tcW w:w="1134" w:type="dxa"/>
            <w:tcBorders>
              <w:top w:val="single" w:sz="12" w:space="0" w:color="auto"/>
            </w:tcBorders>
            <w:shd w:val="clear" w:color="auto" w:fill="auto"/>
            <w:tcMar>
              <w:top w:w="15" w:type="dxa"/>
              <w:left w:w="15" w:type="dxa"/>
              <w:bottom w:w="15" w:type="dxa"/>
              <w:right w:w="15" w:type="dxa"/>
            </w:tcMar>
            <w:vAlign w:val="bottom"/>
          </w:tcPr>
          <w:p w:rsidR="002D5BB0" w:rsidRPr="00222917" w:rsidRDefault="002D5BB0" w:rsidP="009F228A">
            <w:pPr>
              <w:pStyle w:val="SingleTxtG"/>
              <w:suppressAutoHyphens w:val="0"/>
              <w:spacing w:before="40" w:after="40" w:line="220" w:lineRule="exact"/>
              <w:ind w:left="0" w:right="0"/>
              <w:jc w:val="right"/>
              <w:rPr>
                <w:sz w:val="18"/>
                <w:lang w:val="en-US"/>
              </w:rPr>
            </w:pPr>
            <w:r w:rsidRPr="00222917">
              <w:rPr>
                <w:sz w:val="18"/>
                <w:lang w:val="en-US"/>
              </w:rPr>
              <w:t>340</w:t>
            </w:r>
          </w:p>
        </w:tc>
      </w:tr>
      <w:tr w:rsidR="001D2686" w:rsidRPr="00222917" w:rsidTr="009F228A">
        <w:trPr>
          <w:trHeight w:val="240"/>
        </w:trPr>
        <w:tc>
          <w:tcPr>
            <w:tcW w:w="567" w:type="dxa"/>
            <w:shd w:val="clear" w:color="auto" w:fill="auto"/>
            <w:tcMar>
              <w:top w:w="15" w:type="dxa"/>
              <w:left w:w="15" w:type="dxa"/>
              <w:bottom w:w="15" w:type="dxa"/>
              <w:right w:w="15" w:type="dxa"/>
            </w:tcMar>
          </w:tcPr>
          <w:p w:rsidR="002D5BB0" w:rsidRPr="00222917" w:rsidRDefault="002D5BB0" w:rsidP="009F228A">
            <w:pPr>
              <w:pStyle w:val="SingleTxtG"/>
              <w:suppressAutoHyphens w:val="0"/>
              <w:spacing w:before="40" w:after="40" w:line="220" w:lineRule="exact"/>
              <w:ind w:left="0" w:right="0"/>
              <w:jc w:val="left"/>
              <w:rPr>
                <w:sz w:val="18"/>
                <w:lang w:val="en-US"/>
              </w:rPr>
            </w:pPr>
            <w:r w:rsidRPr="00222917">
              <w:rPr>
                <w:sz w:val="18"/>
                <w:lang w:val="en-US"/>
              </w:rPr>
              <w:t>2008</w:t>
            </w:r>
          </w:p>
        </w:tc>
        <w:tc>
          <w:tcPr>
            <w:tcW w:w="4536" w:type="dxa"/>
            <w:shd w:val="clear" w:color="auto" w:fill="auto"/>
            <w:tcMar>
              <w:top w:w="15" w:type="dxa"/>
              <w:left w:w="15" w:type="dxa"/>
              <w:bottom w:w="15" w:type="dxa"/>
              <w:right w:w="15" w:type="dxa"/>
            </w:tcMar>
            <w:vAlign w:val="bottom"/>
          </w:tcPr>
          <w:p w:rsidR="002D5BB0" w:rsidRPr="00222917" w:rsidRDefault="002D5BB0" w:rsidP="009F228A">
            <w:pPr>
              <w:pStyle w:val="SingleTxtG"/>
              <w:suppressAutoHyphens w:val="0"/>
              <w:spacing w:before="40" w:after="40" w:line="220" w:lineRule="exact"/>
              <w:ind w:left="0" w:right="0"/>
              <w:jc w:val="right"/>
              <w:rPr>
                <w:sz w:val="18"/>
                <w:lang w:val="en-US"/>
              </w:rPr>
            </w:pPr>
            <w:r w:rsidRPr="00222917">
              <w:rPr>
                <w:sz w:val="18"/>
                <w:lang w:val="en-US"/>
              </w:rPr>
              <w:t>2 subjects including the methods to use security devices</w:t>
            </w:r>
          </w:p>
        </w:tc>
        <w:tc>
          <w:tcPr>
            <w:tcW w:w="1134" w:type="dxa"/>
            <w:shd w:val="clear" w:color="auto" w:fill="auto"/>
            <w:tcMar>
              <w:top w:w="15" w:type="dxa"/>
              <w:left w:w="15" w:type="dxa"/>
              <w:bottom w:w="15" w:type="dxa"/>
              <w:right w:w="15" w:type="dxa"/>
            </w:tcMar>
            <w:vAlign w:val="bottom"/>
          </w:tcPr>
          <w:p w:rsidR="002D5BB0" w:rsidRPr="00222917" w:rsidRDefault="002D5BB0" w:rsidP="009F228A">
            <w:pPr>
              <w:pStyle w:val="SingleTxtG"/>
              <w:suppressAutoHyphens w:val="0"/>
              <w:spacing w:before="40" w:after="40" w:line="220" w:lineRule="exact"/>
              <w:ind w:left="0" w:right="0"/>
              <w:jc w:val="right"/>
              <w:rPr>
                <w:sz w:val="18"/>
                <w:lang w:val="en-US"/>
              </w:rPr>
            </w:pPr>
            <w:r w:rsidRPr="00222917">
              <w:rPr>
                <w:sz w:val="18"/>
                <w:lang w:val="en-US"/>
              </w:rPr>
              <w:t>13</w:t>
            </w:r>
          </w:p>
        </w:tc>
        <w:tc>
          <w:tcPr>
            <w:tcW w:w="1134" w:type="dxa"/>
            <w:shd w:val="clear" w:color="auto" w:fill="auto"/>
            <w:tcMar>
              <w:top w:w="15" w:type="dxa"/>
              <w:left w:w="15" w:type="dxa"/>
              <w:bottom w:w="15" w:type="dxa"/>
              <w:right w:w="15" w:type="dxa"/>
            </w:tcMar>
            <w:vAlign w:val="bottom"/>
          </w:tcPr>
          <w:p w:rsidR="002D5BB0" w:rsidRPr="00222917" w:rsidRDefault="002D5BB0" w:rsidP="009F228A">
            <w:pPr>
              <w:pStyle w:val="SingleTxtG"/>
              <w:suppressAutoHyphens w:val="0"/>
              <w:spacing w:before="40" w:after="40" w:line="220" w:lineRule="exact"/>
              <w:ind w:left="0" w:right="0"/>
              <w:jc w:val="right"/>
              <w:rPr>
                <w:sz w:val="18"/>
                <w:lang w:val="en-US"/>
              </w:rPr>
            </w:pPr>
            <w:r w:rsidRPr="00222917">
              <w:rPr>
                <w:sz w:val="18"/>
                <w:lang w:val="en-US"/>
              </w:rPr>
              <w:t>531</w:t>
            </w:r>
          </w:p>
        </w:tc>
      </w:tr>
      <w:tr w:rsidR="001D2686" w:rsidRPr="00222917" w:rsidTr="009F228A">
        <w:trPr>
          <w:trHeight w:val="240"/>
        </w:trPr>
        <w:tc>
          <w:tcPr>
            <w:tcW w:w="567" w:type="dxa"/>
            <w:shd w:val="clear" w:color="auto" w:fill="auto"/>
            <w:tcMar>
              <w:top w:w="15" w:type="dxa"/>
              <w:left w:w="15" w:type="dxa"/>
              <w:bottom w:w="15" w:type="dxa"/>
              <w:right w:w="15" w:type="dxa"/>
            </w:tcMar>
          </w:tcPr>
          <w:p w:rsidR="002D5BB0" w:rsidRPr="00222917" w:rsidRDefault="002D5BB0" w:rsidP="009F228A">
            <w:pPr>
              <w:pStyle w:val="SingleTxtG"/>
              <w:suppressAutoHyphens w:val="0"/>
              <w:spacing w:before="40" w:after="40" w:line="220" w:lineRule="exact"/>
              <w:ind w:left="0" w:right="0"/>
              <w:jc w:val="left"/>
              <w:rPr>
                <w:sz w:val="18"/>
                <w:lang w:val="en-US"/>
              </w:rPr>
            </w:pPr>
            <w:r w:rsidRPr="00222917">
              <w:rPr>
                <w:sz w:val="18"/>
                <w:lang w:val="en-US"/>
              </w:rPr>
              <w:t>2009</w:t>
            </w:r>
          </w:p>
        </w:tc>
        <w:tc>
          <w:tcPr>
            <w:tcW w:w="4536" w:type="dxa"/>
            <w:shd w:val="clear" w:color="auto" w:fill="auto"/>
            <w:tcMar>
              <w:top w:w="15" w:type="dxa"/>
              <w:left w:w="15" w:type="dxa"/>
              <w:bottom w:w="15" w:type="dxa"/>
              <w:right w:w="15" w:type="dxa"/>
            </w:tcMar>
            <w:vAlign w:val="bottom"/>
          </w:tcPr>
          <w:p w:rsidR="002D5BB0" w:rsidRPr="00222917" w:rsidRDefault="002D5BB0" w:rsidP="009F228A">
            <w:pPr>
              <w:pStyle w:val="SingleTxtG"/>
              <w:suppressAutoHyphens w:val="0"/>
              <w:spacing w:before="40" w:after="40" w:line="220" w:lineRule="exact"/>
              <w:ind w:left="0" w:right="0"/>
              <w:jc w:val="right"/>
              <w:rPr>
                <w:sz w:val="18"/>
                <w:lang w:val="en-US"/>
              </w:rPr>
            </w:pPr>
            <w:r w:rsidRPr="00222917">
              <w:rPr>
                <w:sz w:val="18"/>
                <w:lang w:val="en-US"/>
              </w:rPr>
              <w:t>2 subjects including the methods to use security devices</w:t>
            </w:r>
          </w:p>
        </w:tc>
        <w:tc>
          <w:tcPr>
            <w:tcW w:w="1134" w:type="dxa"/>
            <w:shd w:val="clear" w:color="auto" w:fill="auto"/>
            <w:tcMar>
              <w:top w:w="15" w:type="dxa"/>
              <w:left w:w="15" w:type="dxa"/>
              <w:bottom w:w="15" w:type="dxa"/>
              <w:right w:w="15" w:type="dxa"/>
            </w:tcMar>
            <w:vAlign w:val="bottom"/>
          </w:tcPr>
          <w:p w:rsidR="002D5BB0" w:rsidRPr="00222917" w:rsidRDefault="002D5BB0" w:rsidP="009F228A">
            <w:pPr>
              <w:pStyle w:val="SingleTxtG"/>
              <w:suppressAutoHyphens w:val="0"/>
              <w:spacing w:before="40" w:after="40" w:line="220" w:lineRule="exact"/>
              <w:ind w:left="0" w:right="0"/>
              <w:jc w:val="right"/>
              <w:rPr>
                <w:sz w:val="18"/>
                <w:lang w:val="en-US"/>
              </w:rPr>
            </w:pPr>
            <w:r w:rsidRPr="00222917">
              <w:rPr>
                <w:sz w:val="18"/>
                <w:lang w:val="en-US"/>
              </w:rPr>
              <w:t>28</w:t>
            </w:r>
          </w:p>
        </w:tc>
        <w:tc>
          <w:tcPr>
            <w:tcW w:w="1134" w:type="dxa"/>
            <w:shd w:val="clear" w:color="auto" w:fill="auto"/>
            <w:tcMar>
              <w:top w:w="15" w:type="dxa"/>
              <w:left w:w="15" w:type="dxa"/>
              <w:bottom w:w="15" w:type="dxa"/>
              <w:right w:w="15" w:type="dxa"/>
            </w:tcMar>
            <w:vAlign w:val="bottom"/>
          </w:tcPr>
          <w:p w:rsidR="002D5BB0" w:rsidRPr="00222917" w:rsidRDefault="002D5BB0" w:rsidP="009F228A">
            <w:pPr>
              <w:pStyle w:val="SingleTxtG"/>
              <w:suppressAutoHyphens w:val="0"/>
              <w:spacing w:before="40" w:after="40" w:line="220" w:lineRule="exact"/>
              <w:ind w:left="0" w:right="0"/>
              <w:jc w:val="right"/>
              <w:rPr>
                <w:sz w:val="18"/>
                <w:lang w:val="en-US"/>
              </w:rPr>
            </w:pPr>
            <w:r w:rsidRPr="00222917">
              <w:rPr>
                <w:sz w:val="18"/>
                <w:lang w:val="en-US"/>
              </w:rPr>
              <w:t>2,087</w:t>
            </w:r>
          </w:p>
        </w:tc>
      </w:tr>
      <w:tr w:rsidR="001D2686" w:rsidRPr="00222917" w:rsidTr="009F228A">
        <w:trPr>
          <w:trHeight w:val="240"/>
        </w:trPr>
        <w:tc>
          <w:tcPr>
            <w:tcW w:w="567" w:type="dxa"/>
            <w:tcBorders>
              <w:bottom w:val="single" w:sz="12" w:space="0" w:color="auto"/>
            </w:tcBorders>
            <w:shd w:val="clear" w:color="auto" w:fill="auto"/>
            <w:tcMar>
              <w:top w:w="15" w:type="dxa"/>
              <w:left w:w="15" w:type="dxa"/>
              <w:bottom w:w="15" w:type="dxa"/>
              <w:right w:w="15" w:type="dxa"/>
            </w:tcMar>
          </w:tcPr>
          <w:p w:rsidR="002D5BB0" w:rsidRPr="00222917" w:rsidRDefault="002D5BB0" w:rsidP="009F228A">
            <w:pPr>
              <w:pStyle w:val="SingleTxtG"/>
              <w:suppressAutoHyphens w:val="0"/>
              <w:spacing w:before="40" w:after="40" w:line="220" w:lineRule="exact"/>
              <w:ind w:left="0" w:right="0"/>
              <w:jc w:val="left"/>
              <w:rPr>
                <w:sz w:val="18"/>
                <w:lang w:val="en-US"/>
              </w:rPr>
            </w:pPr>
            <w:r w:rsidRPr="00222917">
              <w:rPr>
                <w:sz w:val="18"/>
                <w:lang w:val="en-US"/>
              </w:rPr>
              <w:t>2010</w:t>
            </w:r>
          </w:p>
        </w:tc>
        <w:tc>
          <w:tcPr>
            <w:tcW w:w="4536" w:type="dxa"/>
            <w:tcBorders>
              <w:bottom w:val="single" w:sz="12" w:space="0" w:color="auto"/>
            </w:tcBorders>
            <w:shd w:val="clear" w:color="auto" w:fill="auto"/>
            <w:tcMar>
              <w:top w:w="15" w:type="dxa"/>
              <w:left w:w="15" w:type="dxa"/>
              <w:bottom w:w="15" w:type="dxa"/>
              <w:right w:w="15" w:type="dxa"/>
            </w:tcMar>
            <w:vAlign w:val="bottom"/>
          </w:tcPr>
          <w:p w:rsidR="002D5BB0" w:rsidRPr="00222917" w:rsidRDefault="002D5BB0" w:rsidP="009F228A">
            <w:pPr>
              <w:pStyle w:val="SingleTxtG"/>
              <w:suppressAutoHyphens w:val="0"/>
              <w:spacing w:before="40" w:after="40" w:line="220" w:lineRule="exact"/>
              <w:ind w:left="0" w:right="0"/>
              <w:jc w:val="right"/>
              <w:rPr>
                <w:sz w:val="18"/>
                <w:lang w:val="en-US"/>
              </w:rPr>
            </w:pPr>
            <w:r w:rsidRPr="00222917">
              <w:rPr>
                <w:sz w:val="18"/>
                <w:lang w:val="en-US"/>
              </w:rPr>
              <w:t>2 subjects including the methods to use correction devices</w:t>
            </w:r>
          </w:p>
        </w:tc>
        <w:tc>
          <w:tcPr>
            <w:tcW w:w="1134" w:type="dxa"/>
            <w:tcBorders>
              <w:bottom w:val="single" w:sz="12" w:space="0" w:color="auto"/>
            </w:tcBorders>
            <w:shd w:val="clear" w:color="auto" w:fill="auto"/>
            <w:tcMar>
              <w:top w:w="15" w:type="dxa"/>
              <w:left w:w="15" w:type="dxa"/>
              <w:bottom w:w="15" w:type="dxa"/>
              <w:right w:w="15" w:type="dxa"/>
            </w:tcMar>
            <w:vAlign w:val="bottom"/>
          </w:tcPr>
          <w:p w:rsidR="002D5BB0" w:rsidRPr="00222917" w:rsidRDefault="002D5BB0" w:rsidP="009F228A">
            <w:pPr>
              <w:pStyle w:val="SingleTxtG"/>
              <w:suppressAutoHyphens w:val="0"/>
              <w:spacing w:before="40" w:after="40" w:line="220" w:lineRule="exact"/>
              <w:ind w:left="0" w:right="0"/>
              <w:jc w:val="right"/>
              <w:rPr>
                <w:sz w:val="18"/>
                <w:lang w:val="en-US"/>
              </w:rPr>
            </w:pPr>
            <w:r w:rsidRPr="00222917">
              <w:rPr>
                <w:sz w:val="18"/>
                <w:lang w:val="en-US"/>
              </w:rPr>
              <w:t>31</w:t>
            </w:r>
          </w:p>
        </w:tc>
        <w:tc>
          <w:tcPr>
            <w:tcW w:w="1134" w:type="dxa"/>
            <w:tcBorders>
              <w:bottom w:val="single" w:sz="12" w:space="0" w:color="auto"/>
            </w:tcBorders>
            <w:shd w:val="clear" w:color="auto" w:fill="auto"/>
            <w:tcMar>
              <w:top w:w="15" w:type="dxa"/>
              <w:left w:w="15" w:type="dxa"/>
              <w:bottom w:w="15" w:type="dxa"/>
              <w:right w:w="15" w:type="dxa"/>
            </w:tcMar>
            <w:vAlign w:val="bottom"/>
          </w:tcPr>
          <w:p w:rsidR="002D5BB0" w:rsidRPr="00222917" w:rsidRDefault="002D5BB0" w:rsidP="009F228A">
            <w:pPr>
              <w:pStyle w:val="SingleTxtG"/>
              <w:suppressAutoHyphens w:val="0"/>
              <w:spacing w:before="40" w:after="40" w:line="220" w:lineRule="exact"/>
              <w:ind w:left="0" w:right="0"/>
              <w:jc w:val="right"/>
              <w:rPr>
                <w:sz w:val="18"/>
                <w:lang w:val="en-US"/>
              </w:rPr>
            </w:pPr>
            <w:r w:rsidRPr="00222917">
              <w:rPr>
                <w:sz w:val="18"/>
                <w:lang w:val="en-US"/>
              </w:rPr>
              <w:t>1,556</w:t>
            </w:r>
          </w:p>
        </w:tc>
      </w:tr>
    </w:tbl>
    <w:p w:rsidR="002D5BB0" w:rsidRPr="005334E7" w:rsidRDefault="009F228A" w:rsidP="00065B6D">
      <w:pPr>
        <w:pStyle w:val="HChG"/>
        <w:rPr>
          <w:sz w:val="24"/>
          <w:szCs w:val="24"/>
          <w:lang w:val="en-US"/>
        </w:rPr>
      </w:pPr>
      <w:bookmarkStart w:id="65" w:name="_Toc307504057"/>
      <w:bookmarkStart w:id="66" w:name="_Toc336435829"/>
      <w:r w:rsidRPr="00222917">
        <w:rPr>
          <w:lang w:val="en-US"/>
        </w:rPr>
        <w:tab/>
      </w:r>
      <w:r w:rsidRPr="00222917">
        <w:rPr>
          <w:lang w:val="en-US"/>
        </w:rPr>
        <w:tab/>
      </w:r>
      <w:r w:rsidR="002D5BB0" w:rsidRPr="005334E7">
        <w:rPr>
          <w:sz w:val="24"/>
          <w:szCs w:val="24"/>
          <w:lang w:val="en-US"/>
        </w:rPr>
        <w:t>Article 8</w:t>
      </w:r>
      <w:bookmarkEnd w:id="65"/>
      <w:bookmarkEnd w:id="66"/>
    </w:p>
    <w:p w:rsidR="002D5BB0" w:rsidRPr="00222917" w:rsidRDefault="009F228A" w:rsidP="009F228A">
      <w:pPr>
        <w:pStyle w:val="H23G"/>
        <w:rPr>
          <w:lang w:val="en-US"/>
        </w:rPr>
      </w:pPr>
      <w:bookmarkStart w:id="67" w:name="_Toc307504058"/>
      <w:bookmarkStart w:id="68" w:name="_Toc336435830"/>
      <w:r w:rsidRPr="00222917">
        <w:rPr>
          <w:lang w:val="en-US"/>
        </w:rPr>
        <w:tab/>
      </w:r>
      <w:r w:rsidRPr="00222917">
        <w:rPr>
          <w:lang w:val="en-US"/>
        </w:rPr>
        <w:tab/>
      </w:r>
      <w:r w:rsidR="002D5BB0" w:rsidRPr="00222917">
        <w:rPr>
          <w:lang w:val="en-US"/>
        </w:rPr>
        <w:t>Prohibition of Forced Labor</w:t>
      </w:r>
      <w:bookmarkEnd w:id="67"/>
      <w:bookmarkEnd w:id="68"/>
    </w:p>
    <w:p w:rsidR="002D5BB0" w:rsidRPr="00222917" w:rsidRDefault="00547908" w:rsidP="00547908">
      <w:pPr>
        <w:pStyle w:val="SingleTxtG"/>
        <w:rPr>
          <w:lang w:val="en-US"/>
        </w:rPr>
      </w:pPr>
      <w:r w:rsidRPr="00222917">
        <w:rPr>
          <w:lang w:val="en-US"/>
        </w:rPr>
        <w:t>139.</w:t>
      </w:r>
      <w:r w:rsidRPr="00222917">
        <w:rPr>
          <w:lang w:val="en-US"/>
        </w:rPr>
        <w:tab/>
      </w:r>
      <w:r w:rsidR="002D5BB0" w:rsidRPr="00222917">
        <w:rPr>
          <w:lang w:val="en-US"/>
        </w:rPr>
        <w:t xml:space="preserve">As expounded upon in the first report, forced labor is prohibited under the Constitution (CCPR/C/68/Add.1, </w:t>
      </w:r>
      <w:r w:rsidR="002D5BB0" w:rsidRPr="00222917">
        <w:rPr>
          <w:bCs/>
          <w:lang w:val="en-US"/>
        </w:rPr>
        <w:t>paras</w:t>
      </w:r>
      <w:r w:rsidR="002D5BB0" w:rsidRPr="00222917">
        <w:rPr>
          <w:lang w:val="en-US"/>
        </w:rPr>
        <w:t>.</w:t>
      </w:r>
      <w:r w:rsidR="00FD6374" w:rsidRPr="00222917">
        <w:rPr>
          <w:lang w:val="en-US"/>
        </w:rPr>
        <w:t> </w:t>
      </w:r>
      <w:r w:rsidR="002D5BB0" w:rsidRPr="00222917">
        <w:rPr>
          <w:lang w:val="en-US"/>
        </w:rPr>
        <w:t xml:space="preserve">140-146). </w:t>
      </w:r>
    </w:p>
    <w:p w:rsidR="002D5BB0" w:rsidRPr="00222917" w:rsidRDefault="00547908" w:rsidP="00547908">
      <w:pPr>
        <w:pStyle w:val="SingleTxtG"/>
        <w:rPr>
          <w:lang w:val="en-US"/>
        </w:rPr>
      </w:pPr>
      <w:r w:rsidRPr="00222917">
        <w:rPr>
          <w:lang w:val="en-US"/>
        </w:rPr>
        <w:t>140.</w:t>
      </w:r>
      <w:r w:rsidRPr="00222917">
        <w:rPr>
          <w:lang w:val="en-US"/>
        </w:rPr>
        <w:tab/>
      </w:r>
      <w:r w:rsidR="002D5BB0" w:rsidRPr="00222917">
        <w:rPr>
          <w:lang w:val="en-US"/>
        </w:rPr>
        <w:t xml:space="preserve">The </w:t>
      </w:r>
      <w:r w:rsidR="002D5BB0" w:rsidRPr="00222917">
        <w:rPr>
          <w:iCs/>
          <w:lang w:val="en-US"/>
        </w:rPr>
        <w:t>Labor Standards Act</w:t>
      </w:r>
      <w:r w:rsidR="002D5BB0" w:rsidRPr="00222917">
        <w:rPr>
          <w:lang w:val="en-US"/>
        </w:rPr>
        <w:t xml:space="preserve"> forbids forced labor by providing that “no employer shall force a worker to work against his own free will through the use of violence, intimidation, confinement, or any other means which unlawfully restrict mental or physical fre</w:t>
      </w:r>
      <w:r w:rsidR="00C974F8" w:rsidRPr="00222917">
        <w:rPr>
          <w:lang w:val="en-US"/>
        </w:rPr>
        <w:t>edom” (</w:t>
      </w:r>
      <w:r w:rsidR="00681EC0" w:rsidRPr="00222917">
        <w:rPr>
          <w:lang w:val="en-US"/>
        </w:rPr>
        <w:t>a</w:t>
      </w:r>
      <w:r w:rsidR="00C974F8" w:rsidRPr="00222917">
        <w:rPr>
          <w:lang w:val="en-US"/>
        </w:rPr>
        <w:t>rticle </w:t>
      </w:r>
      <w:r w:rsidR="002D5BB0" w:rsidRPr="00222917">
        <w:rPr>
          <w:lang w:val="en-US"/>
        </w:rPr>
        <w:t xml:space="preserve">7). Any person who violates </w:t>
      </w:r>
      <w:r w:rsidR="002D5BB0" w:rsidRPr="00222917">
        <w:rPr>
          <w:bCs/>
          <w:lang w:val="en-US"/>
        </w:rPr>
        <w:t>this</w:t>
      </w:r>
      <w:r w:rsidR="002D5BB0" w:rsidRPr="00222917">
        <w:rPr>
          <w:lang w:val="en-US"/>
        </w:rPr>
        <w:t xml:space="preserve"> provision shall be punished by imprisonment of up to five years or by a fine not ex</w:t>
      </w:r>
      <w:r w:rsidR="00C974F8" w:rsidRPr="00222917">
        <w:rPr>
          <w:lang w:val="en-US"/>
        </w:rPr>
        <w:t>ceeding KRW 30 million (</w:t>
      </w:r>
      <w:r w:rsidR="00681EC0" w:rsidRPr="00222917">
        <w:rPr>
          <w:lang w:val="en-US"/>
        </w:rPr>
        <w:t>a</w:t>
      </w:r>
      <w:r w:rsidR="00C974F8" w:rsidRPr="00222917">
        <w:rPr>
          <w:lang w:val="en-US"/>
        </w:rPr>
        <w:t>rticle </w:t>
      </w:r>
      <w:r w:rsidR="002D5BB0" w:rsidRPr="00222917">
        <w:rPr>
          <w:lang w:val="en-US"/>
        </w:rPr>
        <w:t xml:space="preserve">107). </w:t>
      </w:r>
    </w:p>
    <w:p w:rsidR="002D5BB0" w:rsidRPr="00222917" w:rsidRDefault="009F228A" w:rsidP="00681EC0">
      <w:pPr>
        <w:pStyle w:val="H23G"/>
        <w:rPr>
          <w:b w:val="0"/>
          <w:sz w:val="16"/>
          <w:szCs w:val="16"/>
          <w:lang w:val="en-US"/>
        </w:rPr>
      </w:pPr>
      <w:r w:rsidRPr="00222917">
        <w:rPr>
          <w:lang w:val="en-US"/>
        </w:rPr>
        <w:tab/>
      </w:r>
      <w:r w:rsidRPr="00222917">
        <w:rPr>
          <w:lang w:val="en-US"/>
        </w:rPr>
        <w:tab/>
      </w:r>
      <w:r w:rsidR="002D5BB0" w:rsidRPr="00222917">
        <w:rPr>
          <w:lang w:val="en-US"/>
        </w:rPr>
        <w:t xml:space="preserve">Receipt and Processing of Reports Regarding </w:t>
      </w:r>
      <w:r w:rsidR="00681EC0" w:rsidRPr="00222917">
        <w:rPr>
          <w:lang w:val="en-US"/>
        </w:rPr>
        <w:t>a</w:t>
      </w:r>
      <w:r w:rsidR="002D5BB0" w:rsidRPr="00222917">
        <w:rPr>
          <w:lang w:val="en-US"/>
        </w:rPr>
        <w:t>rticle 7 of the Labor Standards Act</w:t>
      </w:r>
      <w:r w:rsidRPr="00222917">
        <w:rPr>
          <w:lang w:val="en-US"/>
        </w:rPr>
        <w:br/>
      </w:r>
      <w:r w:rsidR="002D5BB0" w:rsidRPr="00222917">
        <w:rPr>
          <w:b w:val="0"/>
          <w:sz w:val="16"/>
          <w:szCs w:val="16"/>
          <w:lang w:val="en-US"/>
        </w:rPr>
        <w:t xml:space="preserve">(Number of cases) </w:t>
      </w:r>
    </w:p>
    <w:tbl>
      <w:tblPr>
        <w:tblW w:w="0" w:type="auto"/>
        <w:tblInd w:w="1134" w:type="dxa"/>
        <w:tblBorders>
          <w:top w:val="single" w:sz="4" w:space="0" w:color="auto"/>
        </w:tblBorders>
        <w:tblLayout w:type="fixed"/>
        <w:tblCellMar>
          <w:left w:w="0" w:type="dxa"/>
          <w:right w:w="0" w:type="dxa"/>
        </w:tblCellMar>
        <w:tblLook w:val="00A0"/>
      </w:tblPr>
      <w:tblGrid>
        <w:gridCol w:w="1418"/>
        <w:gridCol w:w="1985"/>
        <w:gridCol w:w="1985"/>
        <w:gridCol w:w="1985"/>
      </w:tblGrid>
      <w:tr w:rsidR="001D2686" w:rsidRPr="00222917" w:rsidTr="00306D68">
        <w:trPr>
          <w:trHeight w:val="240"/>
          <w:tblHeader/>
        </w:trPr>
        <w:tc>
          <w:tcPr>
            <w:tcW w:w="1418" w:type="dxa"/>
            <w:tcBorders>
              <w:top w:val="single" w:sz="4" w:space="0" w:color="auto"/>
              <w:bottom w:val="single" w:sz="12" w:space="0" w:color="auto"/>
            </w:tcBorders>
            <w:shd w:val="clear" w:color="auto" w:fill="auto"/>
            <w:tcMar>
              <w:top w:w="15" w:type="dxa"/>
              <w:left w:w="15" w:type="dxa"/>
              <w:bottom w:w="15" w:type="dxa"/>
              <w:right w:w="15" w:type="dxa"/>
            </w:tcMar>
            <w:vAlign w:val="bottom"/>
          </w:tcPr>
          <w:p w:rsidR="002D5BB0" w:rsidRPr="00222917" w:rsidRDefault="002D5BB0" w:rsidP="00306D68">
            <w:pPr>
              <w:pStyle w:val="SingleTxtG"/>
              <w:suppressAutoHyphens w:val="0"/>
              <w:spacing w:before="80" w:after="80" w:line="200" w:lineRule="exact"/>
              <w:ind w:left="0" w:right="0"/>
              <w:jc w:val="left"/>
              <w:rPr>
                <w:i/>
                <w:sz w:val="16"/>
                <w:lang w:val="en-US"/>
              </w:rPr>
            </w:pPr>
            <w:bookmarkStart w:id="69" w:name="BM_6ac56cc8"/>
            <w:bookmarkEnd w:id="69"/>
            <w:r w:rsidRPr="00222917">
              <w:rPr>
                <w:bCs/>
                <w:i/>
                <w:sz w:val="16"/>
                <w:lang w:val="en-US"/>
              </w:rPr>
              <w:t>Year</w:t>
            </w:r>
          </w:p>
        </w:tc>
        <w:tc>
          <w:tcPr>
            <w:tcW w:w="1985" w:type="dxa"/>
            <w:tcBorders>
              <w:top w:val="single" w:sz="4" w:space="0" w:color="auto"/>
              <w:bottom w:val="single" w:sz="12" w:space="0" w:color="auto"/>
            </w:tcBorders>
            <w:shd w:val="clear" w:color="auto" w:fill="auto"/>
            <w:tcMar>
              <w:top w:w="15" w:type="dxa"/>
              <w:left w:w="15" w:type="dxa"/>
              <w:bottom w:w="15" w:type="dxa"/>
              <w:right w:w="15" w:type="dxa"/>
            </w:tcMar>
            <w:vAlign w:val="bottom"/>
          </w:tcPr>
          <w:p w:rsidR="002D5BB0" w:rsidRPr="00222917" w:rsidRDefault="002D5BB0" w:rsidP="00306D68">
            <w:pPr>
              <w:pStyle w:val="SingleTxtG"/>
              <w:suppressAutoHyphens w:val="0"/>
              <w:spacing w:before="80" w:after="80" w:line="200" w:lineRule="exact"/>
              <w:ind w:left="0" w:right="0"/>
              <w:jc w:val="right"/>
              <w:rPr>
                <w:i/>
                <w:sz w:val="16"/>
                <w:lang w:val="en-US"/>
              </w:rPr>
            </w:pPr>
            <w:r w:rsidRPr="00222917">
              <w:rPr>
                <w:bCs/>
                <w:i/>
                <w:sz w:val="16"/>
                <w:lang w:val="en-US"/>
              </w:rPr>
              <w:t>Receipt</w:t>
            </w:r>
          </w:p>
        </w:tc>
        <w:tc>
          <w:tcPr>
            <w:tcW w:w="1985" w:type="dxa"/>
            <w:tcBorders>
              <w:top w:val="single" w:sz="4" w:space="0" w:color="auto"/>
              <w:bottom w:val="single" w:sz="12" w:space="0" w:color="auto"/>
            </w:tcBorders>
            <w:shd w:val="clear" w:color="auto" w:fill="auto"/>
            <w:tcMar>
              <w:top w:w="15" w:type="dxa"/>
              <w:left w:w="15" w:type="dxa"/>
              <w:bottom w:w="15" w:type="dxa"/>
              <w:right w:w="15" w:type="dxa"/>
            </w:tcMar>
            <w:vAlign w:val="bottom"/>
          </w:tcPr>
          <w:p w:rsidR="002D5BB0" w:rsidRPr="00222917" w:rsidRDefault="002D5BB0" w:rsidP="00306D68">
            <w:pPr>
              <w:pStyle w:val="SingleTxtG"/>
              <w:suppressAutoHyphens w:val="0"/>
              <w:spacing w:before="80" w:after="80" w:line="200" w:lineRule="exact"/>
              <w:ind w:left="0" w:right="0"/>
              <w:jc w:val="right"/>
              <w:rPr>
                <w:i/>
                <w:sz w:val="16"/>
                <w:lang w:val="en-US"/>
              </w:rPr>
            </w:pPr>
            <w:r w:rsidRPr="00222917">
              <w:rPr>
                <w:bCs/>
                <w:i/>
                <w:sz w:val="16"/>
                <w:lang w:val="en-US"/>
              </w:rPr>
              <w:t>Ad</w:t>
            </w:r>
            <w:r w:rsidR="00306D68" w:rsidRPr="00222917">
              <w:rPr>
                <w:bCs/>
                <w:i/>
                <w:sz w:val="16"/>
                <w:lang w:val="en-US"/>
              </w:rPr>
              <w:t>ministrative conclusion</w:t>
            </w:r>
            <w:r w:rsidR="00306D68" w:rsidRPr="00222917">
              <w:rPr>
                <w:bCs/>
                <w:i/>
                <w:sz w:val="16"/>
                <w:lang w:val="en-US"/>
              </w:rPr>
              <w:br/>
            </w:r>
            <w:r w:rsidRPr="00222917">
              <w:rPr>
                <w:bCs/>
                <w:i/>
                <w:sz w:val="16"/>
                <w:lang w:val="en-US"/>
              </w:rPr>
              <w:t>or non-prosecution</w:t>
            </w:r>
          </w:p>
        </w:tc>
        <w:tc>
          <w:tcPr>
            <w:tcW w:w="1985" w:type="dxa"/>
            <w:tcBorders>
              <w:top w:val="single" w:sz="4" w:space="0" w:color="auto"/>
              <w:bottom w:val="single" w:sz="12" w:space="0" w:color="auto"/>
            </w:tcBorders>
            <w:shd w:val="clear" w:color="auto" w:fill="auto"/>
            <w:tcMar>
              <w:top w:w="15" w:type="dxa"/>
              <w:left w:w="15" w:type="dxa"/>
              <w:bottom w:w="15" w:type="dxa"/>
              <w:right w:w="15" w:type="dxa"/>
            </w:tcMar>
            <w:vAlign w:val="bottom"/>
          </w:tcPr>
          <w:p w:rsidR="002D5BB0" w:rsidRPr="00222917" w:rsidRDefault="002D5BB0" w:rsidP="00306D68">
            <w:pPr>
              <w:pStyle w:val="SingleTxtG"/>
              <w:suppressAutoHyphens w:val="0"/>
              <w:spacing w:before="80" w:after="80" w:line="200" w:lineRule="exact"/>
              <w:ind w:left="0" w:right="0"/>
              <w:jc w:val="right"/>
              <w:rPr>
                <w:i/>
                <w:sz w:val="16"/>
                <w:lang w:val="en-US"/>
              </w:rPr>
            </w:pPr>
            <w:r w:rsidRPr="00222917">
              <w:rPr>
                <w:bCs/>
                <w:i/>
                <w:sz w:val="16"/>
                <w:lang w:val="en-US"/>
              </w:rPr>
              <w:t>Judicial action</w:t>
            </w:r>
          </w:p>
        </w:tc>
      </w:tr>
      <w:tr w:rsidR="001D2686" w:rsidRPr="00222917" w:rsidTr="00306D68">
        <w:trPr>
          <w:trHeight w:val="240"/>
        </w:trPr>
        <w:tc>
          <w:tcPr>
            <w:tcW w:w="1418" w:type="dxa"/>
            <w:tcBorders>
              <w:top w:val="single" w:sz="12" w:space="0" w:color="auto"/>
            </w:tcBorders>
            <w:shd w:val="clear" w:color="auto" w:fill="auto"/>
            <w:tcMar>
              <w:top w:w="15" w:type="dxa"/>
              <w:left w:w="15" w:type="dxa"/>
              <w:bottom w:w="15" w:type="dxa"/>
              <w:right w:w="15" w:type="dxa"/>
            </w:tcMar>
          </w:tcPr>
          <w:p w:rsidR="002D5BB0" w:rsidRPr="00222917" w:rsidRDefault="002D5BB0" w:rsidP="00306D68">
            <w:pPr>
              <w:pStyle w:val="SingleTxtG"/>
              <w:suppressAutoHyphens w:val="0"/>
              <w:spacing w:before="40" w:after="40" w:line="220" w:lineRule="exact"/>
              <w:ind w:left="0" w:right="0"/>
              <w:jc w:val="left"/>
              <w:rPr>
                <w:sz w:val="18"/>
                <w:lang w:val="en-US"/>
              </w:rPr>
            </w:pPr>
            <w:r w:rsidRPr="00222917">
              <w:rPr>
                <w:sz w:val="18"/>
                <w:lang w:val="en-US"/>
              </w:rPr>
              <w:t>2008</w:t>
            </w:r>
          </w:p>
        </w:tc>
        <w:tc>
          <w:tcPr>
            <w:tcW w:w="1985" w:type="dxa"/>
            <w:tcBorders>
              <w:top w:val="single" w:sz="12" w:space="0" w:color="auto"/>
            </w:tcBorders>
            <w:shd w:val="clear" w:color="auto" w:fill="auto"/>
            <w:tcMar>
              <w:top w:w="15" w:type="dxa"/>
              <w:left w:w="15" w:type="dxa"/>
              <w:bottom w:w="15" w:type="dxa"/>
              <w:right w:w="15" w:type="dxa"/>
            </w:tcMar>
            <w:vAlign w:val="bottom"/>
          </w:tcPr>
          <w:p w:rsidR="002D5BB0" w:rsidRPr="00222917" w:rsidRDefault="002D5BB0" w:rsidP="00306D68">
            <w:pPr>
              <w:pStyle w:val="SingleTxtG"/>
              <w:suppressAutoHyphens w:val="0"/>
              <w:spacing w:before="40" w:after="40" w:line="220" w:lineRule="exact"/>
              <w:ind w:left="0" w:right="0"/>
              <w:jc w:val="right"/>
              <w:rPr>
                <w:sz w:val="18"/>
                <w:lang w:val="en-US"/>
              </w:rPr>
            </w:pPr>
            <w:r w:rsidRPr="00222917">
              <w:rPr>
                <w:sz w:val="18"/>
                <w:lang w:val="en-US"/>
              </w:rPr>
              <w:t>300</w:t>
            </w:r>
          </w:p>
        </w:tc>
        <w:tc>
          <w:tcPr>
            <w:tcW w:w="1985" w:type="dxa"/>
            <w:tcBorders>
              <w:top w:val="single" w:sz="12" w:space="0" w:color="auto"/>
            </w:tcBorders>
            <w:shd w:val="clear" w:color="auto" w:fill="auto"/>
            <w:tcMar>
              <w:top w:w="15" w:type="dxa"/>
              <w:left w:w="15" w:type="dxa"/>
              <w:bottom w:w="15" w:type="dxa"/>
              <w:right w:w="15" w:type="dxa"/>
            </w:tcMar>
            <w:vAlign w:val="bottom"/>
          </w:tcPr>
          <w:p w:rsidR="002D5BB0" w:rsidRPr="00222917" w:rsidRDefault="002D5BB0" w:rsidP="00306D68">
            <w:pPr>
              <w:pStyle w:val="SingleTxtG"/>
              <w:suppressAutoHyphens w:val="0"/>
              <w:spacing w:before="40" w:after="40" w:line="220" w:lineRule="exact"/>
              <w:ind w:left="0" w:right="0"/>
              <w:jc w:val="right"/>
              <w:rPr>
                <w:sz w:val="18"/>
                <w:lang w:val="en-US"/>
              </w:rPr>
            </w:pPr>
            <w:r w:rsidRPr="00222917">
              <w:rPr>
                <w:sz w:val="18"/>
                <w:lang w:val="en-US"/>
              </w:rPr>
              <w:t>132</w:t>
            </w:r>
          </w:p>
        </w:tc>
        <w:tc>
          <w:tcPr>
            <w:tcW w:w="1985" w:type="dxa"/>
            <w:tcBorders>
              <w:top w:val="single" w:sz="12" w:space="0" w:color="auto"/>
            </w:tcBorders>
            <w:shd w:val="clear" w:color="auto" w:fill="auto"/>
            <w:tcMar>
              <w:top w:w="15" w:type="dxa"/>
              <w:left w:w="15" w:type="dxa"/>
              <w:bottom w:w="15" w:type="dxa"/>
              <w:right w:w="15" w:type="dxa"/>
            </w:tcMar>
            <w:vAlign w:val="bottom"/>
          </w:tcPr>
          <w:p w:rsidR="002D5BB0" w:rsidRPr="00222917" w:rsidRDefault="002D5BB0" w:rsidP="00306D68">
            <w:pPr>
              <w:pStyle w:val="SingleTxtG"/>
              <w:suppressAutoHyphens w:val="0"/>
              <w:spacing w:before="40" w:after="40" w:line="220" w:lineRule="exact"/>
              <w:ind w:left="0" w:right="0"/>
              <w:jc w:val="right"/>
              <w:rPr>
                <w:sz w:val="18"/>
                <w:lang w:val="en-US"/>
              </w:rPr>
            </w:pPr>
            <w:r w:rsidRPr="00222917">
              <w:rPr>
                <w:sz w:val="18"/>
                <w:lang w:val="en-US"/>
              </w:rPr>
              <w:t>168</w:t>
            </w:r>
          </w:p>
        </w:tc>
      </w:tr>
      <w:tr w:rsidR="001D2686" w:rsidRPr="00222917" w:rsidTr="00306D68">
        <w:trPr>
          <w:trHeight w:val="240"/>
        </w:trPr>
        <w:tc>
          <w:tcPr>
            <w:tcW w:w="1418" w:type="dxa"/>
            <w:shd w:val="clear" w:color="auto" w:fill="auto"/>
            <w:tcMar>
              <w:top w:w="15" w:type="dxa"/>
              <w:left w:w="15" w:type="dxa"/>
              <w:bottom w:w="15" w:type="dxa"/>
              <w:right w:w="15" w:type="dxa"/>
            </w:tcMar>
          </w:tcPr>
          <w:p w:rsidR="002D5BB0" w:rsidRPr="00222917" w:rsidRDefault="002D5BB0" w:rsidP="00306D68">
            <w:pPr>
              <w:pStyle w:val="SingleTxtG"/>
              <w:suppressAutoHyphens w:val="0"/>
              <w:spacing w:before="40" w:after="40" w:line="220" w:lineRule="exact"/>
              <w:ind w:left="0" w:right="0"/>
              <w:jc w:val="left"/>
              <w:rPr>
                <w:sz w:val="18"/>
                <w:lang w:val="en-US"/>
              </w:rPr>
            </w:pPr>
            <w:r w:rsidRPr="00222917">
              <w:rPr>
                <w:sz w:val="18"/>
                <w:lang w:val="en-US"/>
              </w:rPr>
              <w:t>2009</w:t>
            </w:r>
          </w:p>
        </w:tc>
        <w:tc>
          <w:tcPr>
            <w:tcW w:w="1985" w:type="dxa"/>
            <w:shd w:val="clear" w:color="auto" w:fill="auto"/>
            <w:tcMar>
              <w:top w:w="15" w:type="dxa"/>
              <w:left w:w="15" w:type="dxa"/>
              <w:bottom w:w="15" w:type="dxa"/>
              <w:right w:w="15" w:type="dxa"/>
            </w:tcMar>
            <w:vAlign w:val="bottom"/>
          </w:tcPr>
          <w:p w:rsidR="002D5BB0" w:rsidRPr="00222917" w:rsidRDefault="002D5BB0" w:rsidP="00306D68">
            <w:pPr>
              <w:pStyle w:val="SingleTxtG"/>
              <w:suppressAutoHyphens w:val="0"/>
              <w:spacing w:before="40" w:after="40" w:line="220" w:lineRule="exact"/>
              <w:ind w:left="0" w:right="0"/>
              <w:jc w:val="right"/>
              <w:rPr>
                <w:sz w:val="18"/>
                <w:lang w:val="en-US"/>
              </w:rPr>
            </w:pPr>
            <w:r w:rsidRPr="00222917">
              <w:rPr>
                <w:sz w:val="18"/>
                <w:lang w:val="en-US"/>
              </w:rPr>
              <w:t>258</w:t>
            </w:r>
          </w:p>
        </w:tc>
        <w:tc>
          <w:tcPr>
            <w:tcW w:w="1985" w:type="dxa"/>
            <w:shd w:val="clear" w:color="auto" w:fill="auto"/>
            <w:tcMar>
              <w:top w:w="15" w:type="dxa"/>
              <w:left w:w="15" w:type="dxa"/>
              <w:bottom w:w="15" w:type="dxa"/>
              <w:right w:w="15" w:type="dxa"/>
            </w:tcMar>
            <w:vAlign w:val="bottom"/>
          </w:tcPr>
          <w:p w:rsidR="002D5BB0" w:rsidRPr="00222917" w:rsidRDefault="002D5BB0" w:rsidP="00306D68">
            <w:pPr>
              <w:pStyle w:val="SingleTxtG"/>
              <w:suppressAutoHyphens w:val="0"/>
              <w:spacing w:before="40" w:after="40" w:line="220" w:lineRule="exact"/>
              <w:ind w:left="0" w:right="0"/>
              <w:jc w:val="right"/>
              <w:rPr>
                <w:sz w:val="18"/>
                <w:lang w:val="en-US"/>
              </w:rPr>
            </w:pPr>
            <w:r w:rsidRPr="00222917">
              <w:rPr>
                <w:sz w:val="18"/>
                <w:lang w:val="en-US"/>
              </w:rPr>
              <w:t>113</w:t>
            </w:r>
          </w:p>
        </w:tc>
        <w:tc>
          <w:tcPr>
            <w:tcW w:w="1985" w:type="dxa"/>
            <w:shd w:val="clear" w:color="auto" w:fill="auto"/>
            <w:tcMar>
              <w:top w:w="15" w:type="dxa"/>
              <w:left w:w="15" w:type="dxa"/>
              <w:bottom w:w="15" w:type="dxa"/>
              <w:right w:w="15" w:type="dxa"/>
            </w:tcMar>
            <w:vAlign w:val="bottom"/>
          </w:tcPr>
          <w:p w:rsidR="002D5BB0" w:rsidRPr="00222917" w:rsidRDefault="002D5BB0" w:rsidP="00306D68">
            <w:pPr>
              <w:pStyle w:val="SingleTxtG"/>
              <w:suppressAutoHyphens w:val="0"/>
              <w:spacing w:before="40" w:after="40" w:line="220" w:lineRule="exact"/>
              <w:ind w:left="0" w:right="0"/>
              <w:jc w:val="right"/>
              <w:rPr>
                <w:sz w:val="18"/>
                <w:lang w:val="en-US"/>
              </w:rPr>
            </w:pPr>
            <w:r w:rsidRPr="00222917">
              <w:rPr>
                <w:sz w:val="18"/>
                <w:lang w:val="en-US"/>
              </w:rPr>
              <w:t>145</w:t>
            </w:r>
          </w:p>
        </w:tc>
      </w:tr>
      <w:tr w:rsidR="001D2686" w:rsidRPr="00222917" w:rsidTr="00306D68">
        <w:trPr>
          <w:trHeight w:val="240"/>
        </w:trPr>
        <w:tc>
          <w:tcPr>
            <w:tcW w:w="1418" w:type="dxa"/>
            <w:tcBorders>
              <w:bottom w:val="single" w:sz="12" w:space="0" w:color="auto"/>
            </w:tcBorders>
            <w:shd w:val="clear" w:color="auto" w:fill="auto"/>
            <w:tcMar>
              <w:top w:w="15" w:type="dxa"/>
              <w:left w:w="15" w:type="dxa"/>
              <w:bottom w:w="15" w:type="dxa"/>
              <w:right w:w="15" w:type="dxa"/>
            </w:tcMar>
          </w:tcPr>
          <w:p w:rsidR="002D5BB0" w:rsidRPr="00222917" w:rsidRDefault="002D5BB0" w:rsidP="00306D68">
            <w:pPr>
              <w:pStyle w:val="SingleTxtG"/>
              <w:suppressAutoHyphens w:val="0"/>
              <w:spacing w:before="40" w:after="40" w:line="220" w:lineRule="exact"/>
              <w:ind w:left="0" w:right="0"/>
              <w:jc w:val="left"/>
              <w:rPr>
                <w:sz w:val="18"/>
                <w:lang w:val="en-US"/>
              </w:rPr>
            </w:pPr>
            <w:r w:rsidRPr="00222917">
              <w:rPr>
                <w:sz w:val="18"/>
                <w:lang w:val="en-US"/>
              </w:rPr>
              <w:t>2010</w:t>
            </w:r>
          </w:p>
        </w:tc>
        <w:tc>
          <w:tcPr>
            <w:tcW w:w="1985" w:type="dxa"/>
            <w:tcBorders>
              <w:bottom w:val="single" w:sz="12" w:space="0" w:color="auto"/>
            </w:tcBorders>
            <w:shd w:val="clear" w:color="auto" w:fill="auto"/>
            <w:tcMar>
              <w:top w:w="15" w:type="dxa"/>
              <w:left w:w="15" w:type="dxa"/>
              <w:bottom w:w="15" w:type="dxa"/>
              <w:right w:w="15" w:type="dxa"/>
            </w:tcMar>
            <w:vAlign w:val="bottom"/>
          </w:tcPr>
          <w:p w:rsidR="002D5BB0" w:rsidRPr="00222917" w:rsidRDefault="002D5BB0" w:rsidP="00306D68">
            <w:pPr>
              <w:pStyle w:val="SingleTxtG"/>
              <w:suppressAutoHyphens w:val="0"/>
              <w:spacing w:before="40" w:after="40" w:line="220" w:lineRule="exact"/>
              <w:ind w:left="0" w:right="0"/>
              <w:jc w:val="right"/>
              <w:rPr>
                <w:sz w:val="18"/>
                <w:lang w:val="en-US"/>
              </w:rPr>
            </w:pPr>
            <w:r w:rsidRPr="00222917">
              <w:rPr>
                <w:sz w:val="18"/>
                <w:lang w:val="en-US"/>
              </w:rPr>
              <w:t>323</w:t>
            </w:r>
          </w:p>
        </w:tc>
        <w:tc>
          <w:tcPr>
            <w:tcW w:w="1985" w:type="dxa"/>
            <w:tcBorders>
              <w:bottom w:val="single" w:sz="12" w:space="0" w:color="auto"/>
            </w:tcBorders>
            <w:shd w:val="clear" w:color="auto" w:fill="auto"/>
            <w:tcMar>
              <w:top w:w="15" w:type="dxa"/>
              <w:left w:w="15" w:type="dxa"/>
              <w:bottom w:w="15" w:type="dxa"/>
              <w:right w:w="15" w:type="dxa"/>
            </w:tcMar>
            <w:vAlign w:val="bottom"/>
          </w:tcPr>
          <w:p w:rsidR="002D5BB0" w:rsidRPr="00222917" w:rsidRDefault="002D5BB0" w:rsidP="00306D68">
            <w:pPr>
              <w:pStyle w:val="SingleTxtG"/>
              <w:suppressAutoHyphens w:val="0"/>
              <w:spacing w:before="40" w:after="40" w:line="220" w:lineRule="exact"/>
              <w:ind w:left="0" w:right="0"/>
              <w:jc w:val="right"/>
              <w:rPr>
                <w:sz w:val="18"/>
                <w:lang w:val="en-US"/>
              </w:rPr>
            </w:pPr>
            <w:r w:rsidRPr="00222917">
              <w:rPr>
                <w:sz w:val="18"/>
                <w:lang w:val="en-US"/>
              </w:rPr>
              <w:t>145</w:t>
            </w:r>
          </w:p>
        </w:tc>
        <w:tc>
          <w:tcPr>
            <w:tcW w:w="1985" w:type="dxa"/>
            <w:tcBorders>
              <w:bottom w:val="single" w:sz="12" w:space="0" w:color="auto"/>
            </w:tcBorders>
            <w:shd w:val="clear" w:color="auto" w:fill="auto"/>
            <w:tcMar>
              <w:top w:w="15" w:type="dxa"/>
              <w:left w:w="15" w:type="dxa"/>
              <w:bottom w:w="15" w:type="dxa"/>
              <w:right w:w="15" w:type="dxa"/>
            </w:tcMar>
            <w:vAlign w:val="bottom"/>
          </w:tcPr>
          <w:p w:rsidR="002D5BB0" w:rsidRPr="00222917" w:rsidRDefault="002D5BB0" w:rsidP="00306D68">
            <w:pPr>
              <w:pStyle w:val="SingleTxtG"/>
              <w:suppressAutoHyphens w:val="0"/>
              <w:spacing w:before="40" w:after="40" w:line="220" w:lineRule="exact"/>
              <w:ind w:left="0" w:right="0"/>
              <w:jc w:val="right"/>
              <w:rPr>
                <w:sz w:val="18"/>
                <w:lang w:val="en-US"/>
              </w:rPr>
            </w:pPr>
            <w:r w:rsidRPr="00222917">
              <w:rPr>
                <w:sz w:val="18"/>
                <w:lang w:val="en-US"/>
              </w:rPr>
              <w:t>178</w:t>
            </w:r>
          </w:p>
        </w:tc>
      </w:tr>
    </w:tbl>
    <w:p w:rsidR="002D5BB0" w:rsidRPr="00222917" w:rsidRDefault="00FD6374" w:rsidP="00FD6374">
      <w:pPr>
        <w:pStyle w:val="H23G"/>
        <w:rPr>
          <w:lang w:val="en-US"/>
        </w:rPr>
      </w:pPr>
      <w:bookmarkStart w:id="70" w:name="_Toc307504059"/>
      <w:bookmarkStart w:id="71" w:name="_Toc336435831"/>
      <w:r w:rsidRPr="00222917">
        <w:rPr>
          <w:lang w:val="en-US"/>
        </w:rPr>
        <w:tab/>
      </w:r>
      <w:r w:rsidRPr="00222917">
        <w:rPr>
          <w:lang w:val="en-US"/>
        </w:rPr>
        <w:tab/>
      </w:r>
      <w:r w:rsidR="002D5BB0" w:rsidRPr="00222917">
        <w:rPr>
          <w:lang w:val="en-US"/>
        </w:rPr>
        <w:t>Efforts for Prevention of Human Trafficking</w:t>
      </w:r>
      <w:bookmarkEnd w:id="70"/>
      <w:bookmarkEnd w:id="71"/>
    </w:p>
    <w:p w:rsidR="002D5BB0" w:rsidRPr="00222917" w:rsidRDefault="00547908" w:rsidP="00547908">
      <w:pPr>
        <w:pStyle w:val="SingleTxtG"/>
        <w:rPr>
          <w:lang w:val="en-US"/>
        </w:rPr>
      </w:pPr>
      <w:r w:rsidRPr="00222917">
        <w:rPr>
          <w:lang w:val="en-US"/>
        </w:rPr>
        <w:t>141.</w:t>
      </w:r>
      <w:r w:rsidRPr="00222917">
        <w:rPr>
          <w:lang w:val="en-US"/>
        </w:rPr>
        <w:tab/>
      </w:r>
      <w:r w:rsidR="002D5BB0" w:rsidRPr="00222917">
        <w:rPr>
          <w:lang w:val="en-US"/>
        </w:rPr>
        <w:t>In order to prevent human trafficking for the purpose of prostitution, the Government improved the scheme of issuing entertainment and artistic activity visas (E</w:t>
      </w:r>
      <w:r w:rsidR="00065B6D" w:rsidRPr="00222917">
        <w:rPr>
          <w:lang w:val="en-US"/>
        </w:rPr>
        <w:noBreakHyphen/>
      </w:r>
      <w:r w:rsidR="002D5BB0" w:rsidRPr="00222917">
        <w:rPr>
          <w:lang w:val="en-US"/>
        </w:rPr>
        <w:t>6</w:t>
      </w:r>
      <w:r w:rsidR="00065B6D" w:rsidRPr="00222917">
        <w:rPr>
          <w:lang w:val="en-US"/>
        </w:rPr>
        <w:t> </w:t>
      </w:r>
      <w:r w:rsidR="002D5BB0" w:rsidRPr="00222917">
        <w:rPr>
          <w:lang w:val="en-US"/>
        </w:rPr>
        <w:t xml:space="preserve">visa). The government-wide ‘Countermeasure Meeting of Agencies Concerned for Prevention of Human </w:t>
      </w:r>
      <w:r w:rsidR="002D5BB0" w:rsidRPr="00222917">
        <w:rPr>
          <w:bCs/>
          <w:lang w:val="en-US"/>
        </w:rPr>
        <w:t>Trafficking’</w:t>
      </w:r>
      <w:r w:rsidR="002D5BB0" w:rsidRPr="00222917">
        <w:rPr>
          <w:lang w:val="en-US"/>
        </w:rPr>
        <w:t xml:space="preserve"> was held. The Government also deters inflow of foreign females into the </w:t>
      </w:r>
      <w:smartTag w:uri="urn:schemas-microsoft-com:office:smarttags" w:element="place">
        <w:smartTag w:uri="urn:schemas-microsoft-com:office:smarttags" w:element="PlaceType">
          <w:r w:rsidR="002D5BB0" w:rsidRPr="00222917">
            <w:rPr>
              <w:lang w:val="en-US"/>
            </w:rPr>
            <w:t>Republic</w:t>
          </w:r>
        </w:smartTag>
        <w:r w:rsidR="002D5BB0" w:rsidRPr="00222917">
          <w:rPr>
            <w:lang w:val="en-US"/>
          </w:rPr>
          <w:t xml:space="preserve"> of </w:t>
        </w:r>
        <w:smartTag w:uri="urn:schemas-microsoft-com:office:smarttags" w:element="PlaceName">
          <w:r w:rsidR="002D5BB0" w:rsidRPr="00222917">
            <w:rPr>
              <w:lang w:val="en-US"/>
            </w:rPr>
            <w:t>Korea</w:t>
          </w:r>
        </w:smartTag>
      </w:smartTag>
      <w:r w:rsidR="002D5BB0" w:rsidRPr="00222917">
        <w:rPr>
          <w:lang w:val="en-US"/>
        </w:rPr>
        <w:t xml:space="preserve"> by human trafficking organizations and presses for protective measures for foreign females victimized by human trafficking, as stated in the third r</w:t>
      </w:r>
      <w:r w:rsidR="00065B6D" w:rsidRPr="00222917">
        <w:rPr>
          <w:lang w:val="en-US"/>
        </w:rPr>
        <w:t>eport (CCPR/C/KOR/2005/3, para. </w:t>
      </w:r>
      <w:r w:rsidR="002D5BB0" w:rsidRPr="00222917">
        <w:rPr>
          <w:lang w:val="en-US"/>
        </w:rPr>
        <w:t xml:space="preserve">132). </w:t>
      </w:r>
    </w:p>
    <w:p w:rsidR="002D5BB0" w:rsidRPr="00222917" w:rsidRDefault="00547908" w:rsidP="00547908">
      <w:pPr>
        <w:pStyle w:val="SingleTxtG"/>
        <w:rPr>
          <w:lang w:val="en-US"/>
        </w:rPr>
      </w:pPr>
      <w:r w:rsidRPr="00222917">
        <w:rPr>
          <w:lang w:val="en-US"/>
        </w:rPr>
        <w:t>142.</w:t>
      </w:r>
      <w:r w:rsidRPr="00222917">
        <w:rPr>
          <w:lang w:val="en-US"/>
        </w:rPr>
        <w:tab/>
      </w:r>
      <w:r w:rsidR="002D5BB0" w:rsidRPr="00222917">
        <w:rPr>
          <w:lang w:val="en-US"/>
        </w:rPr>
        <w:t>The Ministry of Justice has been making a steady effort to bolster review of E-6 visa issuance and conduct interviews and investigations in examining extensions of stays in order to prevent human trafficking of foreigners with E-6 visa. For example, in issuing visas to foreign entertainers, the Government confirms whether they have qualifications and experience acknowledged by public institutions, etc. of the countries concerned. And when it issues visas to employees of tourism businesses, the Government checks the photographs and personal information on passport copies of a p</w:t>
      </w:r>
      <w:r w:rsidR="00065B6D" w:rsidRPr="00222917">
        <w:rPr>
          <w:lang w:val="en-US"/>
        </w:rPr>
        <w:t>erformance group attached to a “</w:t>
      </w:r>
      <w:r w:rsidR="002D5BB0" w:rsidRPr="00222917">
        <w:rPr>
          <w:lang w:val="en-US"/>
        </w:rPr>
        <w:t>performance permit</w:t>
      </w:r>
      <w:r w:rsidR="00065B6D" w:rsidRPr="00222917">
        <w:rPr>
          <w:lang w:val="en-US"/>
        </w:rPr>
        <w:t>”</w:t>
      </w:r>
      <w:r w:rsidR="002D5BB0" w:rsidRPr="00222917">
        <w:rPr>
          <w:lang w:val="en-US"/>
        </w:rPr>
        <w:t xml:space="preserve"> of the Korea Media Rating Board to thoroughly verify identification.</w:t>
      </w:r>
    </w:p>
    <w:p w:rsidR="002D5BB0" w:rsidRPr="00222917" w:rsidRDefault="00547908" w:rsidP="00547908">
      <w:pPr>
        <w:pStyle w:val="SingleTxtG"/>
        <w:rPr>
          <w:lang w:val="en-US"/>
        </w:rPr>
      </w:pPr>
      <w:r w:rsidRPr="00222917">
        <w:rPr>
          <w:lang w:val="en-US"/>
        </w:rPr>
        <w:t>143.</w:t>
      </w:r>
      <w:r w:rsidRPr="00222917">
        <w:rPr>
          <w:lang w:val="en-US"/>
        </w:rPr>
        <w:tab/>
      </w:r>
      <w:r w:rsidR="002D5BB0" w:rsidRPr="00222917">
        <w:rPr>
          <w:lang w:val="en-US"/>
        </w:rPr>
        <w:t xml:space="preserve">In November 2004, the Government has been discussing government-wide measures countering human </w:t>
      </w:r>
      <w:r w:rsidR="002D5BB0" w:rsidRPr="00222917">
        <w:rPr>
          <w:bCs/>
          <w:lang w:val="en-US"/>
        </w:rPr>
        <w:t>trafficking</w:t>
      </w:r>
      <w:r w:rsidR="002D5BB0" w:rsidRPr="00222917">
        <w:rPr>
          <w:lang w:val="en-US"/>
        </w:rPr>
        <w:t xml:space="preserve"> for prostitution by operating an ‘inspection team to implement anti-prostitution measures’ and convening its regular meetings based on collaboration among related agencies. In particular, the Government selected ‘prohibition of overseas sex trade’ as a core task, engaging in an intense discussion on ways to strengthen investigation on overseas sex trade, promote public relations activities, and step up supervision of tourism companies, etc. In March 2008, the Government revised the </w:t>
      </w:r>
      <w:r w:rsidR="002D5BB0" w:rsidRPr="00222917">
        <w:rPr>
          <w:i/>
          <w:lang w:val="en-US"/>
        </w:rPr>
        <w:t>Passport Act</w:t>
      </w:r>
      <w:r w:rsidR="002D5BB0" w:rsidRPr="00222917">
        <w:rPr>
          <w:lang w:val="en-US"/>
        </w:rPr>
        <w:t xml:space="preserve"> to thwart overseas sex trade. Under the revised Act, violators may be ordered to return their passports or restrictions may be placed on issuance of passports to them.</w:t>
      </w:r>
    </w:p>
    <w:p w:rsidR="002D5BB0" w:rsidRPr="00222917" w:rsidRDefault="00547908" w:rsidP="00547908">
      <w:pPr>
        <w:pStyle w:val="SingleTxtG"/>
        <w:rPr>
          <w:lang w:val="en-US"/>
        </w:rPr>
      </w:pPr>
      <w:r w:rsidRPr="00222917">
        <w:rPr>
          <w:lang w:val="en-US"/>
        </w:rPr>
        <w:t>144.</w:t>
      </w:r>
      <w:r w:rsidRPr="00222917">
        <w:rPr>
          <w:lang w:val="en-US"/>
        </w:rPr>
        <w:tab/>
      </w:r>
      <w:r w:rsidR="002D5BB0" w:rsidRPr="00222917">
        <w:rPr>
          <w:lang w:val="en-US"/>
        </w:rPr>
        <w:t xml:space="preserve">In addition, the Government participated in the working group on the review of the implementation of the </w:t>
      </w:r>
      <w:r w:rsidR="002D5BB0" w:rsidRPr="00222917">
        <w:rPr>
          <w:iCs/>
          <w:lang w:val="en-US"/>
        </w:rPr>
        <w:t xml:space="preserve">United Nations Convention against Transnational Organized Crime and the Protocols </w:t>
      </w:r>
      <w:r w:rsidR="002D5BB0" w:rsidRPr="00222917">
        <w:rPr>
          <w:lang w:val="en-US"/>
        </w:rPr>
        <w:t xml:space="preserve">thereto, ASEAN+3 Senior Officials Meeting on Transnational Crime, international conference on organized </w:t>
      </w:r>
      <w:r w:rsidR="002D5BB0" w:rsidRPr="00222917">
        <w:rPr>
          <w:bCs/>
          <w:lang w:val="en-US"/>
        </w:rPr>
        <w:t>crime</w:t>
      </w:r>
      <w:r w:rsidR="002D5BB0" w:rsidRPr="00222917">
        <w:rPr>
          <w:lang w:val="en-US"/>
        </w:rPr>
        <w:t xml:space="preserve"> and terrorism in Asia, </w:t>
      </w:r>
      <w:r w:rsidR="000946CF" w:rsidRPr="00222917">
        <w:rPr>
          <w:lang w:val="en-US"/>
        </w:rPr>
        <w:t xml:space="preserve">the </w:t>
      </w:r>
      <w:r w:rsidR="002D5BB0" w:rsidRPr="00222917">
        <w:rPr>
          <w:lang w:val="en-US"/>
        </w:rPr>
        <w:t xml:space="preserve">Commission on Crime Prevention and Criminal Justice, US-hosted conference on human trafficking prevention, Australia-hosted international conference on human trafficking eradication, Israel-hosted workshop on human trafficking prevention, and conference on countermeasures against organized crime in East Asia, etc. to join in international efforts to deter human trafficking. </w:t>
      </w:r>
    </w:p>
    <w:p w:rsidR="002D5BB0" w:rsidRPr="00222917" w:rsidRDefault="00065B6D" w:rsidP="00065B6D">
      <w:pPr>
        <w:pStyle w:val="H23G"/>
        <w:rPr>
          <w:lang w:val="en-US"/>
        </w:rPr>
      </w:pPr>
      <w:bookmarkStart w:id="72" w:name="_Toc307504060"/>
      <w:bookmarkStart w:id="73" w:name="_Toc336435832"/>
      <w:r w:rsidRPr="00222917">
        <w:rPr>
          <w:lang w:val="en-US"/>
        </w:rPr>
        <w:tab/>
      </w:r>
      <w:r w:rsidRPr="00222917">
        <w:rPr>
          <w:lang w:val="en-US"/>
        </w:rPr>
        <w:tab/>
      </w:r>
      <w:r w:rsidR="002D5BB0" w:rsidRPr="00222917">
        <w:rPr>
          <w:lang w:val="en-US"/>
        </w:rPr>
        <w:t>Status of International Treaties Concerning Forced Labor</w:t>
      </w:r>
      <w:bookmarkEnd w:id="72"/>
      <w:bookmarkEnd w:id="73"/>
    </w:p>
    <w:p w:rsidR="002D5BB0" w:rsidRPr="00222917" w:rsidRDefault="00547908" w:rsidP="00547908">
      <w:pPr>
        <w:pStyle w:val="SingleTxtG"/>
        <w:rPr>
          <w:lang w:val="en-US"/>
        </w:rPr>
      </w:pPr>
      <w:r w:rsidRPr="00222917">
        <w:rPr>
          <w:lang w:val="en-US"/>
        </w:rPr>
        <w:t>145.</w:t>
      </w:r>
      <w:r w:rsidRPr="00222917">
        <w:rPr>
          <w:lang w:val="en-US"/>
        </w:rPr>
        <w:tab/>
      </w:r>
      <w:r w:rsidR="002D5BB0" w:rsidRPr="00222917">
        <w:rPr>
          <w:lang w:val="en-US"/>
        </w:rPr>
        <w:t>The Government has ratified the following international treaties related to prohibition of forced labor:</w:t>
      </w:r>
      <w:r w:rsidR="00120D8B" w:rsidRPr="00222917">
        <w:rPr>
          <w:lang w:val="en-US"/>
        </w:rPr>
        <w:t xml:space="preserve"> </w:t>
      </w:r>
    </w:p>
    <w:p w:rsidR="002D5BB0" w:rsidRPr="00222917" w:rsidRDefault="00547908" w:rsidP="00547908">
      <w:pPr>
        <w:pStyle w:val="Bullet1G"/>
        <w:numPr>
          <w:ilvl w:val="0"/>
          <w:numId w:val="0"/>
        </w:numPr>
        <w:tabs>
          <w:tab w:val="left" w:pos="1701"/>
        </w:tabs>
        <w:ind w:left="1701" w:hanging="170"/>
        <w:rPr>
          <w:lang w:val="en-US"/>
        </w:rPr>
      </w:pPr>
      <w:r w:rsidRPr="00222917">
        <w:rPr>
          <w:lang w:val="en-US"/>
        </w:rPr>
        <w:t>•</w:t>
      </w:r>
      <w:r w:rsidRPr="00222917">
        <w:rPr>
          <w:lang w:val="en-US"/>
        </w:rPr>
        <w:tab/>
      </w:r>
      <w:r w:rsidR="002D5BB0" w:rsidRPr="00222917">
        <w:rPr>
          <w:lang w:val="en-US"/>
        </w:rPr>
        <w:t xml:space="preserve">Convention </w:t>
      </w:r>
      <w:r w:rsidR="000946CF" w:rsidRPr="00222917">
        <w:rPr>
          <w:lang w:val="en-US"/>
        </w:rPr>
        <w:t>c</w:t>
      </w:r>
      <w:r w:rsidR="002D5BB0" w:rsidRPr="00222917">
        <w:rPr>
          <w:lang w:val="en-US"/>
        </w:rPr>
        <w:t>oncerning Minimum Age f</w:t>
      </w:r>
      <w:r w:rsidR="00F80270" w:rsidRPr="00222917">
        <w:rPr>
          <w:lang w:val="en-US"/>
        </w:rPr>
        <w:t>or Admission to Employment</w:t>
      </w:r>
      <w:r w:rsidR="000946CF" w:rsidRPr="00222917">
        <w:rPr>
          <w:lang w:val="en-US"/>
        </w:rPr>
        <w:t>, 1973</w:t>
      </w:r>
      <w:r w:rsidR="00F80270" w:rsidRPr="00222917">
        <w:rPr>
          <w:lang w:val="en-US"/>
        </w:rPr>
        <w:t xml:space="preserve"> (</w:t>
      </w:r>
      <w:r w:rsidR="00820CC9" w:rsidRPr="00222917">
        <w:rPr>
          <w:lang w:val="en-US"/>
        </w:rPr>
        <w:t xml:space="preserve">International Labour </w:t>
      </w:r>
      <w:r w:rsidR="00820CC9" w:rsidRPr="00222917">
        <w:rPr>
          <w:rStyle w:val="SingleTxtGChar"/>
          <w:lang w:val="en-US" w:eastAsia="ru-RU"/>
        </w:rPr>
        <w:t>Organization</w:t>
      </w:r>
      <w:r w:rsidR="00820CC9" w:rsidRPr="00222917">
        <w:rPr>
          <w:lang w:val="en-US"/>
        </w:rPr>
        <w:t xml:space="preserve"> (</w:t>
      </w:r>
      <w:r w:rsidR="00F80270" w:rsidRPr="00222917">
        <w:rPr>
          <w:lang w:val="en-US"/>
        </w:rPr>
        <w:t>ILO</w:t>
      </w:r>
      <w:r w:rsidR="00820CC9" w:rsidRPr="00222917">
        <w:rPr>
          <w:lang w:val="en-US"/>
        </w:rPr>
        <w:t>)</w:t>
      </w:r>
      <w:r w:rsidR="00F80270" w:rsidRPr="00222917">
        <w:rPr>
          <w:lang w:val="en-US"/>
        </w:rPr>
        <w:t> </w:t>
      </w:r>
      <w:r w:rsidR="002D5BB0" w:rsidRPr="00222917">
        <w:rPr>
          <w:lang w:val="en-US"/>
        </w:rPr>
        <w:t>Convent</w:t>
      </w:r>
      <w:r w:rsidR="00EE6AA5" w:rsidRPr="00222917">
        <w:rPr>
          <w:lang w:val="en-US"/>
        </w:rPr>
        <w:t>ion</w:t>
      </w:r>
      <w:r w:rsidR="002D5BB0" w:rsidRPr="00222917">
        <w:rPr>
          <w:lang w:val="en-US"/>
        </w:rPr>
        <w:t xml:space="preserve"> No.138)</w:t>
      </w:r>
      <w:r w:rsidR="00F80270" w:rsidRPr="00222917">
        <w:rPr>
          <w:lang w:val="en-US"/>
        </w:rPr>
        <w:t>;</w:t>
      </w:r>
    </w:p>
    <w:p w:rsidR="002D5BB0" w:rsidRPr="00222917" w:rsidRDefault="00547908" w:rsidP="00547908">
      <w:pPr>
        <w:pStyle w:val="Bullet1G"/>
        <w:numPr>
          <w:ilvl w:val="0"/>
          <w:numId w:val="0"/>
        </w:numPr>
        <w:tabs>
          <w:tab w:val="left" w:pos="1701"/>
        </w:tabs>
        <w:ind w:left="1701" w:hanging="170"/>
        <w:rPr>
          <w:lang w:val="en-US"/>
        </w:rPr>
      </w:pPr>
      <w:r w:rsidRPr="00222917">
        <w:rPr>
          <w:lang w:val="en-US"/>
        </w:rPr>
        <w:t>•</w:t>
      </w:r>
      <w:r w:rsidRPr="00222917">
        <w:rPr>
          <w:lang w:val="en-US"/>
        </w:rPr>
        <w:tab/>
      </w:r>
      <w:r w:rsidR="002D5BB0" w:rsidRPr="00222917">
        <w:rPr>
          <w:lang w:val="en-US"/>
        </w:rPr>
        <w:t xml:space="preserve">Convention for the Suppression of the Traffic in Persons and of the Exploitation of the Prostitution of Others and </w:t>
      </w:r>
      <w:r w:rsidR="00EC46D5" w:rsidRPr="00222917">
        <w:rPr>
          <w:lang w:val="en-US"/>
        </w:rPr>
        <w:t>the</w:t>
      </w:r>
      <w:r w:rsidR="002D5BB0" w:rsidRPr="00222917">
        <w:rPr>
          <w:lang w:val="en-US"/>
        </w:rPr>
        <w:t xml:space="preserve"> Final Protocol</w:t>
      </w:r>
      <w:r w:rsidR="00EC46D5" w:rsidRPr="00222917">
        <w:rPr>
          <w:lang w:val="en-US"/>
        </w:rPr>
        <w:t xml:space="preserve"> thereto</w:t>
      </w:r>
      <w:r w:rsidR="00F80270" w:rsidRPr="00222917">
        <w:rPr>
          <w:lang w:val="en-US"/>
        </w:rPr>
        <w:t>;</w:t>
      </w:r>
    </w:p>
    <w:p w:rsidR="002D5BB0" w:rsidRPr="00222917" w:rsidRDefault="00547908" w:rsidP="00547908">
      <w:pPr>
        <w:pStyle w:val="Bullet1G"/>
        <w:numPr>
          <w:ilvl w:val="0"/>
          <w:numId w:val="0"/>
        </w:numPr>
        <w:tabs>
          <w:tab w:val="left" w:pos="1701"/>
        </w:tabs>
        <w:ind w:left="1701" w:hanging="170"/>
        <w:rPr>
          <w:lang w:val="en-US"/>
        </w:rPr>
      </w:pPr>
      <w:r w:rsidRPr="00222917">
        <w:rPr>
          <w:lang w:val="en-US"/>
        </w:rPr>
        <w:t>•</w:t>
      </w:r>
      <w:r w:rsidRPr="00222917">
        <w:rPr>
          <w:lang w:val="en-US"/>
        </w:rPr>
        <w:tab/>
      </w:r>
      <w:r w:rsidR="002D5BB0" w:rsidRPr="00222917">
        <w:rPr>
          <w:lang w:val="en-US"/>
        </w:rPr>
        <w:t>Convention concerning the Prohibition and Immediate Action for the Elimination of the Worst Forms o</w:t>
      </w:r>
      <w:r w:rsidR="00F80270" w:rsidRPr="00222917">
        <w:rPr>
          <w:lang w:val="en-US"/>
        </w:rPr>
        <w:t>f Child Labour</w:t>
      </w:r>
      <w:r w:rsidR="00EC46D5" w:rsidRPr="00222917">
        <w:rPr>
          <w:lang w:val="en-US"/>
        </w:rPr>
        <w:t>, 1999</w:t>
      </w:r>
      <w:r w:rsidR="00F80270" w:rsidRPr="00222917">
        <w:rPr>
          <w:lang w:val="en-US"/>
        </w:rPr>
        <w:t xml:space="preserve"> (ILO Convent</w:t>
      </w:r>
      <w:r w:rsidR="00EE6AA5" w:rsidRPr="00222917">
        <w:rPr>
          <w:lang w:val="en-US"/>
        </w:rPr>
        <w:t>ion</w:t>
      </w:r>
      <w:r w:rsidR="00F80270" w:rsidRPr="00222917">
        <w:rPr>
          <w:lang w:val="en-US"/>
        </w:rPr>
        <w:t xml:space="preserve"> No. </w:t>
      </w:r>
      <w:r w:rsidR="002D5BB0" w:rsidRPr="00222917">
        <w:rPr>
          <w:lang w:val="en-US"/>
        </w:rPr>
        <w:t>182)</w:t>
      </w:r>
      <w:r w:rsidR="00F80270" w:rsidRPr="00222917">
        <w:rPr>
          <w:lang w:val="en-US"/>
        </w:rPr>
        <w:t>;</w:t>
      </w:r>
    </w:p>
    <w:p w:rsidR="002D5BB0" w:rsidRPr="00222917" w:rsidRDefault="00547908" w:rsidP="00547908">
      <w:pPr>
        <w:pStyle w:val="Bullet1G"/>
        <w:numPr>
          <w:ilvl w:val="0"/>
          <w:numId w:val="0"/>
        </w:numPr>
        <w:tabs>
          <w:tab w:val="left" w:pos="1701"/>
        </w:tabs>
        <w:ind w:left="1701" w:hanging="170"/>
        <w:rPr>
          <w:lang w:val="en-US"/>
        </w:rPr>
      </w:pPr>
      <w:r w:rsidRPr="00222917">
        <w:rPr>
          <w:lang w:val="en-US"/>
        </w:rPr>
        <w:t>•</w:t>
      </w:r>
      <w:r w:rsidRPr="00222917">
        <w:rPr>
          <w:lang w:val="en-US"/>
        </w:rPr>
        <w:tab/>
      </w:r>
      <w:r w:rsidR="002D5BB0" w:rsidRPr="00222917">
        <w:rPr>
          <w:lang w:val="en-US"/>
        </w:rPr>
        <w:t xml:space="preserve">Optional Protocol to the Convention on the Rights of the Child on the </w:t>
      </w:r>
      <w:r w:rsidR="00EC46D5" w:rsidRPr="00222917">
        <w:rPr>
          <w:lang w:val="en-US"/>
        </w:rPr>
        <w:t>s</w:t>
      </w:r>
      <w:r w:rsidR="002D5BB0" w:rsidRPr="00222917">
        <w:rPr>
          <w:lang w:val="en-US"/>
        </w:rPr>
        <w:t xml:space="preserve">ale of </w:t>
      </w:r>
      <w:r w:rsidR="00EC46D5" w:rsidRPr="00222917">
        <w:rPr>
          <w:lang w:val="en-US"/>
        </w:rPr>
        <w:t>c</w:t>
      </w:r>
      <w:r w:rsidR="002D5BB0" w:rsidRPr="00222917">
        <w:rPr>
          <w:lang w:val="en-US"/>
        </w:rPr>
        <w:t xml:space="preserve">hildren, </w:t>
      </w:r>
      <w:r w:rsidR="00EC46D5" w:rsidRPr="00222917">
        <w:rPr>
          <w:lang w:val="en-US"/>
        </w:rPr>
        <w:t>c</w:t>
      </w:r>
      <w:r w:rsidR="002D5BB0" w:rsidRPr="00222917">
        <w:rPr>
          <w:lang w:val="en-US"/>
        </w:rPr>
        <w:t xml:space="preserve">hild </w:t>
      </w:r>
      <w:r w:rsidR="00EC46D5" w:rsidRPr="00222917">
        <w:rPr>
          <w:lang w:val="en-US"/>
        </w:rPr>
        <w:t>p</w:t>
      </w:r>
      <w:r w:rsidR="002D5BB0" w:rsidRPr="00222917">
        <w:rPr>
          <w:lang w:val="en-US"/>
        </w:rPr>
        <w:t xml:space="preserve">rostitution and </w:t>
      </w:r>
      <w:r w:rsidR="00EC46D5" w:rsidRPr="00222917">
        <w:rPr>
          <w:lang w:val="en-US"/>
        </w:rPr>
        <w:t>c</w:t>
      </w:r>
      <w:r w:rsidR="002D5BB0" w:rsidRPr="00222917">
        <w:rPr>
          <w:lang w:val="en-US"/>
        </w:rPr>
        <w:t xml:space="preserve">hild </w:t>
      </w:r>
      <w:r w:rsidR="00EC46D5" w:rsidRPr="00222917">
        <w:rPr>
          <w:lang w:val="en-US"/>
        </w:rPr>
        <w:t>p</w:t>
      </w:r>
      <w:r w:rsidR="002D5BB0" w:rsidRPr="00222917">
        <w:rPr>
          <w:lang w:val="en-US"/>
        </w:rPr>
        <w:t>ornography</w:t>
      </w:r>
      <w:r w:rsidR="00F80270" w:rsidRPr="00222917">
        <w:rPr>
          <w:lang w:val="en-US"/>
        </w:rPr>
        <w:t>;</w:t>
      </w:r>
    </w:p>
    <w:p w:rsidR="002D5BB0" w:rsidRPr="00222917" w:rsidRDefault="00547908" w:rsidP="00547908">
      <w:pPr>
        <w:pStyle w:val="Bullet1G"/>
        <w:numPr>
          <w:ilvl w:val="0"/>
          <w:numId w:val="0"/>
        </w:numPr>
        <w:tabs>
          <w:tab w:val="left" w:pos="1701"/>
        </w:tabs>
        <w:ind w:left="1701" w:hanging="170"/>
        <w:rPr>
          <w:lang w:val="en-US"/>
        </w:rPr>
      </w:pPr>
      <w:r w:rsidRPr="00222917">
        <w:rPr>
          <w:lang w:val="en-US"/>
        </w:rPr>
        <w:t>•</w:t>
      </w:r>
      <w:r w:rsidRPr="00222917">
        <w:rPr>
          <w:lang w:val="en-US"/>
        </w:rPr>
        <w:tab/>
      </w:r>
      <w:r w:rsidR="002D5BB0" w:rsidRPr="00222917">
        <w:rPr>
          <w:lang w:val="en-US"/>
        </w:rPr>
        <w:t>Agreement between the Government of the Republic of Korea and the Government of the United States of America on Enhancing Cooperation to Prevent and Combat Crime</w:t>
      </w:r>
      <w:r w:rsidR="00F80270" w:rsidRPr="00222917">
        <w:rPr>
          <w:lang w:val="en-US"/>
        </w:rPr>
        <w:t>.</w:t>
      </w:r>
    </w:p>
    <w:p w:rsidR="002D5BB0" w:rsidRPr="00825E32" w:rsidRDefault="00065B6D" w:rsidP="00065B6D">
      <w:pPr>
        <w:pStyle w:val="HChG"/>
        <w:rPr>
          <w:sz w:val="24"/>
          <w:szCs w:val="24"/>
          <w:lang w:val="en-US"/>
        </w:rPr>
      </w:pPr>
      <w:bookmarkStart w:id="74" w:name="_Toc307504061"/>
      <w:bookmarkStart w:id="75" w:name="_Toc336435833"/>
      <w:r w:rsidRPr="00222917">
        <w:rPr>
          <w:lang w:val="en-US"/>
        </w:rPr>
        <w:tab/>
      </w:r>
      <w:r w:rsidRPr="00222917">
        <w:rPr>
          <w:lang w:val="en-US"/>
        </w:rPr>
        <w:tab/>
      </w:r>
      <w:r w:rsidR="002D5BB0" w:rsidRPr="00825E32">
        <w:rPr>
          <w:sz w:val="24"/>
          <w:szCs w:val="24"/>
          <w:lang w:val="en-US"/>
        </w:rPr>
        <w:t>Article 9</w:t>
      </w:r>
      <w:bookmarkEnd w:id="74"/>
      <w:bookmarkEnd w:id="75"/>
    </w:p>
    <w:p w:rsidR="002D5BB0" w:rsidRPr="00222917" w:rsidRDefault="00065B6D" w:rsidP="00065B6D">
      <w:pPr>
        <w:pStyle w:val="H1G"/>
        <w:rPr>
          <w:lang w:val="en-US"/>
        </w:rPr>
      </w:pPr>
      <w:bookmarkStart w:id="76" w:name="_Toc307504062"/>
      <w:bookmarkStart w:id="77" w:name="_Toc336435834"/>
      <w:r w:rsidRPr="00222917">
        <w:rPr>
          <w:lang w:val="en-US"/>
        </w:rPr>
        <w:tab/>
      </w:r>
      <w:r w:rsidRPr="00222917">
        <w:rPr>
          <w:lang w:val="en-US"/>
        </w:rPr>
        <w:tab/>
      </w:r>
      <w:r w:rsidR="002D5BB0" w:rsidRPr="00222917">
        <w:rPr>
          <w:lang w:val="en-US"/>
        </w:rPr>
        <w:t>Paragraph 1</w:t>
      </w:r>
      <w:bookmarkEnd w:id="76"/>
      <w:bookmarkEnd w:id="77"/>
    </w:p>
    <w:p w:rsidR="002D5BB0" w:rsidRPr="00222917" w:rsidRDefault="00547908" w:rsidP="00547908">
      <w:pPr>
        <w:pStyle w:val="SingleTxtG"/>
        <w:rPr>
          <w:lang w:val="en-US"/>
        </w:rPr>
      </w:pPr>
      <w:r w:rsidRPr="00222917">
        <w:rPr>
          <w:lang w:val="en-US"/>
        </w:rPr>
        <w:t>146.</w:t>
      </w:r>
      <w:r w:rsidRPr="00222917">
        <w:rPr>
          <w:lang w:val="en-US"/>
        </w:rPr>
        <w:tab/>
      </w:r>
      <w:r w:rsidR="002D5BB0" w:rsidRPr="00222917">
        <w:rPr>
          <w:lang w:val="en-US"/>
        </w:rPr>
        <w:t xml:space="preserve">As explained in the second report, the Constitution and the </w:t>
      </w:r>
      <w:r w:rsidR="002D5BB0" w:rsidRPr="00222917">
        <w:rPr>
          <w:iCs/>
          <w:lang w:val="en-US"/>
        </w:rPr>
        <w:t xml:space="preserve">Criminal Procedure Act </w:t>
      </w:r>
      <w:r w:rsidR="002D5BB0" w:rsidRPr="00222917">
        <w:rPr>
          <w:lang w:val="en-US"/>
        </w:rPr>
        <w:t xml:space="preserve">provide for the principle of warrant requirements in order to guarantee right to liberty and prohibit arbitrary arrest and detention. The arrest warrant system was introduced to remove any room for human rights abuse </w:t>
      </w:r>
      <w:r w:rsidR="002D5BB0" w:rsidRPr="00222917">
        <w:rPr>
          <w:bCs/>
          <w:lang w:val="en-US"/>
        </w:rPr>
        <w:t>caused</w:t>
      </w:r>
      <w:r w:rsidR="002D5BB0" w:rsidRPr="00222917">
        <w:rPr>
          <w:lang w:val="en-US"/>
        </w:rPr>
        <w:t xml:space="preserve"> by arbitrary accompaniment to a police station or prosecutor’s office at the request of investigative authorities (CCPR/C/114/Add.10, paras.</w:t>
      </w:r>
      <w:r w:rsidR="00306D68" w:rsidRPr="00222917">
        <w:rPr>
          <w:lang w:val="en-US"/>
        </w:rPr>
        <w:t xml:space="preserve"> 108 and </w:t>
      </w:r>
      <w:r w:rsidR="002D5BB0" w:rsidRPr="00222917">
        <w:rPr>
          <w:lang w:val="en-US"/>
        </w:rPr>
        <w:t>109). As stated in the third report, the Government has expanded non-face-to-face investigation and investigation without physical detention, conducts arrest and detention according to writs issued by judges, and carries out specialized education on applications for arrest and detention warrants (CCPR/C/KOR/2005/3, paras.</w:t>
      </w:r>
      <w:r w:rsidR="00306D68" w:rsidRPr="00222917">
        <w:rPr>
          <w:lang w:val="en-US"/>
        </w:rPr>
        <w:t> </w:t>
      </w:r>
      <w:r w:rsidR="002D5BB0" w:rsidRPr="00222917">
        <w:rPr>
          <w:lang w:val="en-US"/>
        </w:rPr>
        <w:t>134</w:t>
      </w:r>
      <w:r w:rsidR="00306D68" w:rsidRPr="00222917">
        <w:rPr>
          <w:lang w:val="en-US"/>
        </w:rPr>
        <w:t>-</w:t>
      </w:r>
      <w:r w:rsidR="002D5BB0" w:rsidRPr="00222917">
        <w:rPr>
          <w:lang w:val="en-US"/>
        </w:rPr>
        <w:t xml:space="preserve">137). </w:t>
      </w:r>
    </w:p>
    <w:p w:rsidR="002D5BB0" w:rsidRPr="00222917" w:rsidRDefault="00306D68" w:rsidP="00306D68">
      <w:pPr>
        <w:pStyle w:val="H23G"/>
        <w:rPr>
          <w:lang w:val="en-US"/>
        </w:rPr>
      </w:pPr>
      <w:bookmarkStart w:id="78" w:name="_Toc307504063"/>
      <w:bookmarkStart w:id="79" w:name="_Toc336435835"/>
      <w:r w:rsidRPr="00222917">
        <w:rPr>
          <w:lang w:val="en-US"/>
        </w:rPr>
        <w:tab/>
      </w:r>
      <w:r w:rsidRPr="00222917">
        <w:rPr>
          <w:lang w:val="en-US"/>
        </w:rPr>
        <w:tab/>
      </w:r>
      <w:r w:rsidR="002D5BB0" w:rsidRPr="00222917">
        <w:rPr>
          <w:lang w:val="en-US"/>
        </w:rPr>
        <w:t>Principle of Investigation and Trial without Physical Detention</w:t>
      </w:r>
      <w:bookmarkEnd w:id="78"/>
      <w:bookmarkEnd w:id="79"/>
    </w:p>
    <w:p w:rsidR="002D5BB0" w:rsidRPr="00222917" w:rsidRDefault="00547908" w:rsidP="00547908">
      <w:pPr>
        <w:pStyle w:val="SingleTxtG"/>
        <w:rPr>
          <w:lang w:val="en-US"/>
        </w:rPr>
      </w:pPr>
      <w:r w:rsidRPr="00222917">
        <w:rPr>
          <w:lang w:val="en-US"/>
        </w:rPr>
        <w:t>147.</w:t>
      </w:r>
      <w:r w:rsidRPr="00222917">
        <w:rPr>
          <w:lang w:val="en-US"/>
        </w:rPr>
        <w:tab/>
      </w:r>
      <w:r w:rsidR="002D5BB0" w:rsidRPr="00222917">
        <w:rPr>
          <w:lang w:val="en-US"/>
        </w:rPr>
        <w:t xml:space="preserve">The </w:t>
      </w:r>
      <w:r w:rsidR="002D5BB0" w:rsidRPr="00222917">
        <w:rPr>
          <w:iCs/>
          <w:lang w:val="en-US"/>
        </w:rPr>
        <w:t xml:space="preserve">Criminal Procedure Act </w:t>
      </w:r>
      <w:r w:rsidR="002D5BB0" w:rsidRPr="00222917">
        <w:rPr>
          <w:lang w:val="en-US"/>
        </w:rPr>
        <w:t>amended on 1 June 2007, explicitly sets forth the principle of investigation with</w:t>
      </w:r>
      <w:r w:rsidR="00C974F8" w:rsidRPr="00222917">
        <w:rPr>
          <w:lang w:val="en-US"/>
        </w:rPr>
        <w:t>out physical detention (</w:t>
      </w:r>
      <w:r w:rsidR="00681EC0" w:rsidRPr="00222917">
        <w:rPr>
          <w:lang w:val="en-US"/>
        </w:rPr>
        <w:t>a</w:t>
      </w:r>
      <w:r w:rsidR="00C974F8" w:rsidRPr="00222917">
        <w:rPr>
          <w:lang w:val="en-US"/>
        </w:rPr>
        <w:t>rticle </w:t>
      </w:r>
      <w:r w:rsidR="002D5BB0" w:rsidRPr="00222917">
        <w:rPr>
          <w:lang w:val="en-US"/>
        </w:rPr>
        <w:t>198</w:t>
      </w:r>
      <w:r w:rsidR="00681EC0" w:rsidRPr="00222917">
        <w:rPr>
          <w:lang w:val="en-US"/>
        </w:rPr>
        <w:t xml:space="preserve"> </w:t>
      </w:r>
      <w:r w:rsidR="002D5BB0" w:rsidRPr="00222917">
        <w:rPr>
          <w:lang w:val="en-US"/>
        </w:rPr>
        <w:t>(1)). Under the revised Act, in examining grounds for detention, every court shall take into consideration the seriousness of a crime, risk of repetition of the crime, and anticipated harm to the victim, important witnesses, or such, in addition to the matters of consideration such as criminal charges, risk of evidence destruction and flight, and absence of fixed residence (</w:t>
      </w:r>
      <w:r w:rsidR="00681EC0" w:rsidRPr="00222917">
        <w:rPr>
          <w:lang w:val="en-US"/>
        </w:rPr>
        <w:t>a</w:t>
      </w:r>
      <w:r w:rsidR="002D5BB0" w:rsidRPr="00222917">
        <w:rPr>
          <w:lang w:val="en-US"/>
        </w:rPr>
        <w:t>rticle</w:t>
      </w:r>
      <w:r w:rsidR="00306D68" w:rsidRPr="00222917">
        <w:rPr>
          <w:lang w:val="en-US"/>
        </w:rPr>
        <w:t> </w:t>
      </w:r>
      <w:r w:rsidR="002D5BB0" w:rsidRPr="00222917">
        <w:rPr>
          <w:lang w:val="en-US"/>
        </w:rPr>
        <w:t>70</w:t>
      </w:r>
      <w:r w:rsidR="00681EC0" w:rsidRPr="00222917">
        <w:rPr>
          <w:lang w:val="en-US"/>
        </w:rPr>
        <w:t xml:space="preserve"> </w:t>
      </w:r>
      <w:r w:rsidR="002D5BB0" w:rsidRPr="00222917">
        <w:rPr>
          <w:lang w:val="en-US"/>
        </w:rPr>
        <w:t xml:space="preserve">(2)). In order to prevent unfair long-term detention, the Act stipulates that the period of detention shall be two months and may be renewed only twice. However, it may be renewed three times if it is unavoidable and necessary for an appellate court to hold an additional hearing for the examination on the evidence requested by a defendant or a counsel, a written statement submitted to supplement the cause of appeal or for </w:t>
      </w:r>
      <w:r w:rsidR="00C974F8" w:rsidRPr="00222917">
        <w:rPr>
          <w:lang w:val="en-US"/>
        </w:rPr>
        <w:t>any other reason, etc. (</w:t>
      </w:r>
      <w:r w:rsidR="00681EC0" w:rsidRPr="00222917">
        <w:rPr>
          <w:lang w:val="en-US"/>
        </w:rPr>
        <w:t>a</w:t>
      </w:r>
      <w:r w:rsidR="00C974F8" w:rsidRPr="00222917">
        <w:rPr>
          <w:lang w:val="en-US"/>
        </w:rPr>
        <w:t>rticle </w:t>
      </w:r>
      <w:r w:rsidR="002D5BB0" w:rsidRPr="00222917">
        <w:rPr>
          <w:lang w:val="en-US"/>
        </w:rPr>
        <w:t xml:space="preserve">92). </w:t>
      </w:r>
    </w:p>
    <w:p w:rsidR="002D5BB0" w:rsidRPr="00222917" w:rsidRDefault="00306D68" w:rsidP="00306D68">
      <w:pPr>
        <w:pStyle w:val="H23G"/>
        <w:rPr>
          <w:lang w:val="en-US"/>
        </w:rPr>
      </w:pPr>
      <w:r w:rsidRPr="00222917">
        <w:rPr>
          <w:lang w:val="en-US"/>
        </w:rPr>
        <w:tab/>
      </w:r>
      <w:r w:rsidRPr="00222917">
        <w:rPr>
          <w:lang w:val="en-US"/>
        </w:rPr>
        <w:tab/>
      </w:r>
      <w:r w:rsidR="002D5BB0" w:rsidRPr="00222917">
        <w:rPr>
          <w:lang w:val="en-US"/>
        </w:rPr>
        <w:t>Ratio of Persons Detained by the Prosecution</w:t>
      </w:r>
    </w:p>
    <w:tbl>
      <w:tblPr>
        <w:tblW w:w="0" w:type="auto"/>
        <w:tblInd w:w="1134" w:type="dxa"/>
        <w:tblBorders>
          <w:top w:val="single" w:sz="4" w:space="0" w:color="auto"/>
          <w:bottom w:val="single" w:sz="12" w:space="0" w:color="auto"/>
          <w:insideH w:val="single" w:sz="12" w:space="0" w:color="auto"/>
        </w:tblBorders>
        <w:tblLayout w:type="fixed"/>
        <w:tblCellMar>
          <w:left w:w="0" w:type="dxa"/>
          <w:right w:w="0" w:type="dxa"/>
        </w:tblCellMar>
        <w:tblLook w:val="00A0"/>
      </w:tblPr>
      <w:tblGrid>
        <w:gridCol w:w="1011"/>
        <w:gridCol w:w="909"/>
        <w:gridCol w:w="909"/>
        <w:gridCol w:w="909"/>
        <w:gridCol w:w="908"/>
        <w:gridCol w:w="908"/>
        <w:gridCol w:w="908"/>
        <w:gridCol w:w="908"/>
      </w:tblGrid>
      <w:tr w:rsidR="001D2686" w:rsidRPr="00222917" w:rsidTr="00FD6374">
        <w:trPr>
          <w:trHeight w:val="240"/>
          <w:tblHeader/>
        </w:trPr>
        <w:tc>
          <w:tcPr>
            <w:tcW w:w="1011" w:type="dxa"/>
            <w:shd w:val="clear" w:color="auto" w:fill="auto"/>
            <w:tcMar>
              <w:top w:w="15" w:type="dxa"/>
              <w:left w:w="15" w:type="dxa"/>
              <w:bottom w:w="15" w:type="dxa"/>
              <w:right w:w="15" w:type="dxa"/>
            </w:tcMar>
            <w:vAlign w:val="bottom"/>
          </w:tcPr>
          <w:p w:rsidR="002D5BB0" w:rsidRPr="00222917" w:rsidRDefault="002D5BB0" w:rsidP="00FD6374">
            <w:pPr>
              <w:pStyle w:val="SingleTxtG"/>
              <w:suppressAutoHyphens w:val="0"/>
              <w:spacing w:before="80" w:after="80" w:line="200" w:lineRule="exact"/>
              <w:ind w:left="0" w:right="0"/>
              <w:jc w:val="left"/>
              <w:rPr>
                <w:i/>
                <w:sz w:val="16"/>
                <w:lang w:val="en-US"/>
              </w:rPr>
            </w:pPr>
            <w:bookmarkStart w:id="80" w:name="BM_6ac56cc9"/>
            <w:bookmarkEnd w:id="80"/>
            <w:r w:rsidRPr="00222917">
              <w:rPr>
                <w:i/>
                <w:sz w:val="16"/>
                <w:lang w:val="en-US"/>
              </w:rPr>
              <w:t>Year</w:t>
            </w:r>
          </w:p>
        </w:tc>
        <w:tc>
          <w:tcPr>
            <w:tcW w:w="909" w:type="dxa"/>
            <w:shd w:val="clear" w:color="auto" w:fill="auto"/>
            <w:tcMar>
              <w:top w:w="15" w:type="dxa"/>
              <w:left w:w="15" w:type="dxa"/>
              <w:bottom w:w="15" w:type="dxa"/>
              <w:right w:w="15" w:type="dxa"/>
            </w:tcMar>
            <w:vAlign w:val="bottom"/>
          </w:tcPr>
          <w:p w:rsidR="002D5BB0" w:rsidRPr="00222917" w:rsidRDefault="00065B6D" w:rsidP="00FD6374">
            <w:pPr>
              <w:pStyle w:val="SingleTxtG"/>
              <w:suppressAutoHyphens w:val="0"/>
              <w:spacing w:before="80" w:after="80" w:line="200" w:lineRule="exact"/>
              <w:ind w:left="0" w:right="0"/>
              <w:jc w:val="right"/>
              <w:rPr>
                <w:i/>
                <w:sz w:val="16"/>
                <w:lang w:val="en-US"/>
              </w:rPr>
            </w:pPr>
            <w:r w:rsidRPr="00222917">
              <w:rPr>
                <w:i/>
                <w:sz w:val="16"/>
                <w:lang w:val="en-US"/>
              </w:rPr>
              <w:t>k</w:t>
            </w:r>
            <w:r w:rsidR="002D5BB0" w:rsidRPr="00222917">
              <w:rPr>
                <w:i/>
                <w:sz w:val="16"/>
                <w:lang w:val="en-US"/>
              </w:rPr>
              <w:t>2004</w:t>
            </w:r>
          </w:p>
        </w:tc>
        <w:tc>
          <w:tcPr>
            <w:tcW w:w="909" w:type="dxa"/>
            <w:shd w:val="clear" w:color="auto" w:fill="auto"/>
            <w:tcMar>
              <w:top w:w="15" w:type="dxa"/>
              <w:left w:w="15" w:type="dxa"/>
              <w:bottom w:w="15" w:type="dxa"/>
              <w:right w:w="15" w:type="dxa"/>
            </w:tcMar>
            <w:vAlign w:val="bottom"/>
          </w:tcPr>
          <w:p w:rsidR="002D5BB0" w:rsidRPr="00222917" w:rsidRDefault="002D5BB0" w:rsidP="00FD6374">
            <w:pPr>
              <w:pStyle w:val="SingleTxtG"/>
              <w:suppressAutoHyphens w:val="0"/>
              <w:spacing w:before="80" w:after="80" w:line="200" w:lineRule="exact"/>
              <w:ind w:left="0" w:right="0"/>
              <w:jc w:val="right"/>
              <w:rPr>
                <w:i/>
                <w:sz w:val="16"/>
                <w:lang w:val="en-US"/>
              </w:rPr>
            </w:pPr>
            <w:r w:rsidRPr="00222917">
              <w:rPr>
                <w:i/>
                <w:sz w:val="16"/>
                <w:lang w:val="en-US"/>
              </w:rPr>
              <w:t>2005</w:t>
            </w:r>
          </w:p>
        </w:tc>
        <w:tc>
          <w:tcPr>
            <w:tcW w:w="909" w:type="dxa"/>
            <w:shd w:val="clear" w:color="auto" w:fill="auto"/>
            <w:tcMar>
              <w:top w:w="15" w:type="dxa"/>
              <w:left w:w="15" w:type="dxa"/>
              <w:bottom w:w="15" w:type="dxa"/>
              <w:right w:w="15" w:type="dxa"/>
            </w:tcMar>
            <w:vAlign w:val="bottom"/>
          </w:tcPr>
          <w:p w:rsidR="002D5BB0" w:rsidRPr="00222917" w:rsidRDefault="002D5BB0" w:rsidP="00FD6374">
            <w:pPr>
              <w:pStyle w:val="SingleTxtG"/>
              <w:suppressAutoHyphens w:val="0"/>
              <w:spacing w:before="80" w:after="80" w:line="200" w:lineRule="exact"/>
              <w:ind w:left="0" w:right="0"/>
              <w:jc w:val="right"/>
              <w:rPr>
                <w:i/>
                <w:sz w:val="16"/>
                <w:lang w:val="en-US"/>
              </w:rPr>
            </w:pPr>
            <w:r w:rsidRPr="00222917">
              <w:rPr>
                <w:i/>
                <w:sz w:val="16"/>
                <w:lang w:val="en-US"/>
              </w:rPr>
              <w:t>2006</w:t>
            </w:r>
          </w:p>
        </w:tc>
        <w:tc>
          <w:tcPr>
            <w:tcW w:w="908" w:type="dxa"/>
            <w:shd w:val="clear" w:color="auto" w:fill="auto"/>
            <w:tcMar>
              <w:top w:w="15" w:type="dxa"/>
              <w:left w:w="15" w:type="dxa"/>
              <w:bottom w:w="15" w:type="dxa"/>
              <w:right w:w="15" w:type="dxa"/>
            </w:tcMar>
            <w:vAlign w:val="bottom"/>
          </w:tcPr>
          <w:p w:rsidR="002D5BB0" w:rsidRPr="00222917" w:rsidRDefault="002D5BB0" w:rsidP="00FD6374">
            <w:pPr>
              <w:pStyle w:val="SingleTxtG"/>
              <w:suppressAutoHyphens w:val="0"/>
              <w:spacing w:before="80" w:after="80" w:line="200" w:lineRule="exact"/>
              <w:ind w:left="0" w:right="0"/>
              <w:jc w:val="right"/>
              <w:rPr>
                <w:i/>
                <w:sz w:val="16"/>
                <w:lang w:val="en-US"/>
              </w:rPr>
            </w:pPr>
            <w:r w:rsidRPr="00222917">
              <w:rPr>
                <w:i/>
                <w:sz w:val="16"/>
                <w:lang w:val="en-US"/>
              </w:rPr>
              <w:t>2007</w:t>
            </w:r>
          </w:p>
        </w:tc>
        <w:tc>
          <w:tcPr>
            <w:tcW w:w="908" w:type="dxa"/>
            <w:shd w:val="clear" w:color="auto" w:fill="auto"/>
            <w:tcMar>
              <w:top w:w="15" w:type="dxa"/>
              <w:left w:w="15" w:type="dxa"/>
              <w:bottom w:w="15" w:type="dxa"/>
              <w:right w:w="15" w:type="dxa"/>
            </w:tcMar>
            <w:vAlign w:val="bottom"/>
          </w:tcPr>
          <w:p w:rsidR="002D5BB0" w:rsidRPr="00222917" w:rsidRDefault="002D5BB0" w:rsidP="00FD6374">
            <w:pPr>
              <w:pStyle w:val="SingleTxtG"/>
              <w:suppressAutoHyphens w:val="0"/>
              <w:spacing w:before="80" w:after="80" w:line="200" w:lineRule="exact"/>
              <w:ind w:left="0" w:right="0"/>
              <w:jc w:val="right"/>
              <w:rPr>
                <w:i/>
                <w:sz w:val="16"/>
                <w:lang w:val="en-US"/>
              </w:rPr>
            </w:pPr>
            <w:r w:rsidRPr="00222917">
              <w:rPr>
                <w:i/>
                <w:sz w:val="16"/>
                <w:lang w:val="en-US"/>
              </w:rPr>
              <w:t>2008</w:t>
            </w:r>
          </w:p>
        </w:tc>
        <w:tc>
          <w:tcPr>
            <w:tcW w:w="908" w:type="dxa"/>
            <w:shd w:val="clear" w:color="auto" w:fill="auto"/>
            <w:tcMar>
              <w:top w:w="15" w:type="dxa"/>
              <w:left w:w="15" w:type="dxa"/>
              <w:bottom w:w="15" w:type="dxa"/>
              <w:right w:w="15" w:type="dxa"/>
            </w:tcMar>
            <w:vAlign w:val="bottom"/>
          </w:tcPr>
          <w:p w:rsidR="002D5BB0" w:rsidRPr="00222917" w:rsidRDefault="002D5BB0" w:rsidP="00FD6374">
            <w:pPr>
              <w:pStyle w:val="SingleTxtG"/>
              <w:suppressAutoHyphens w:val="0"/>
              <w:spacing w:before="80" w:after="80" w:line="200" w:lineRule="exact"/>
              <w:ind w:left="0" w:right="0"/>
              <w:jc w:val="right"/>
              <w:rPr>
                <w:i/>
                <w:sz w:val="16"/>
                <w:lang w:val="en-US"/>
              </w:rPr>
            </w:pPr>
            <w:r w:rsidRPr="00222917">
              <w:rPr>
                <w:i/>
                <w:sz w:val="16"/>
                <w:lang w:val="en-US"/>
              </w:rPr>
              <w:t>2009</w:t>
            </w:r>
          </w:p>
        </w:tc>
        <w:tc>
          <w:tcPr>
            <w:tcW w:w="908" w:type="dxa"/>
            <w:shd w:val="clear" w:color="auto" w:fill="auto"/>
            <w:tcMar>
              <w:top w:w="15" w:type="dxa"/>
              <w:left w:w="15" w:type="dxa"/>
              <w:bottom w:w="15" w:type="dxa"/>
              <w:right w:w="15" w:type="dxa"/>
            </w:tcMar>
            <w:vAlign w:val="bottom"/>
          </w:tcPr>
          <w:p w:rsidR="002D5BB0" w:rsidRPr="00222917" w:rsidRDefault="002D5BB0" w:rsidP="00FD6374">
            <w:pPr>
              <w:pStyle w:val="SingleTxtG"/>
              <w:suppressAutoHyphens w:val="0"/>
              <w:spacing w:before="80" w:after="80" w:line="200" w:lineRule="exact"/>
              <w:ind w:left="0" w:right="0"/>
              <w:jc w:val="right"/>
              <w:rPr>
                <w:i/>
                <w:sz w:val="16"/>
                <w:lang w:val="en-US"/>
              </w:rPr>
            </w:pPr>
            <w:r w:rsidRPr="00222917">
              <w:rPr>
                <w:i/>
                <w:sz w:val="16"/>
                <w:lang w:val="en-US"/>
              </w:rPr>
              <w:t>2010</w:t>
            </w:r>
          </w:p>
        </w:tc>
      </w:tr>
      <w:tr w:rsidR="001D2686" w:rsidRPr="00222917" w:rsidTr="00FD6374">
        <w:trPr>
          <w:trHeight w:val="240"/>
        </w:trPr>
        <w:tc>
          <w:tcPr>
            <w:tcW w:w="1011" w:type="dxa"/>
            <w:shd w:val="clear" w:color="auto" w:fill="auto"/>
            <w:tcMar>
              <w:top w:w="15" w:type="dxa"/>
              <w:left w:w="15" w:type="dxa"/>
              <w:bottom w:w="15" w:type="dxa"/>
              <w:right w:w="15" w:type="dxa"/>
            </w:tcMar>
          </w:tcPr>
          <w:p w:rsidR="002D5BB0" w:rsidRPr="00222917" w:rsidRDefault="002D5BB0" w:rsidP="00FD6374">
            <w:pPr>
              <w:pStyle w:val="SingleTxtG"/>
              <w:suppressAutoHyphens w:val="0"/>
              <w:spacing w:before="40" w:after="40" w:line="220" w:lineRule="exact"/>
              <w:ind w:left="0" w:right="0"/>
              <w:jc w:val="left"/>
              <w:rPr>
                <w:sz w:val="18"/>
                <w:lang w:val="en-US"/>
              </w:rPr>
            </w:pPr>
            <w:r w:rsidRPr="00222917">
              <w:rPr>
                <w:sz w:val="18"/>
                <w:lang w:val="en-US"/>
              </w:rPr>
              <w:t>Ratio of confined persons (%)</w:t>
            </w:r>
          </w:p>
        </w:tc>
        <w:tc>
          <w:tcPr>
            <w:tcW w:w="909" w:type="dxa"/>
            <w:shd w:val="clear" w:color="auto" w:fill="auto"/>
            <w:tcMar>
              <w:top w:w="15" w:type="dxa"/>
              <w:left w:w="15" w:type="dxa"/>
              <w:bottom w:w="15" w:type="dxa"/>
              <w:right w:w="15" w:type="dxa"/>
            </w:tcMar>
            <w:vAlign w:val="bottom"/>
          </w:tcPr>
          <w:p w:rsidR="002D5BB0" w:rsidRPr="00222917" w:rsidRDefault="002D5BB0" w:rsidP="00FD6374">
            <w:pPr>
              <w:pStyle w:val="SingleTxtG"/>
              <w:suppressAutoHyphens w:val="0"/>
              <w:spacing w:before="40" w:after="40" w:line="220" w:lineRule="exact"/>
              <w:ind w:left="0" w:right="0"/>
              <w:jc w:val="right"/>
              <w:rPr>
                <w:sz w:val="18"/>
                <w:lang w:val="en-US"/>
              </w:rPr>
            </w:pPr>
            <w:r w:rsidRPr="00222917">
              <w:rPr>
                <w:sz w:val="18"/>
                <w:lang w:val="en-US"/>
              </w:rPr>
              <w:t>3.2</w:t>
            </w:r>
          </w:p>
        </w:tc>
        <w:tc>
          <w:tcPr>
            <w:tcW w:w="909" w:type="dxa"/>
            <w:shd w:val="clear" w:color="auto" w:fill="auto"/>
            <w:tcMar>
              <w:top w:w="15" w:type="dxa"/>
              <w:left w:w="15" w:type="dxa"/>
              <w:bottom w:w="15" w:type="dxa"/>
              <w:right w:w="15" w:type="dxa"/>
            </w:tcMar>
            <w:vAlign w:val="bottom"/>
          </w:tcPr>
          <w:p w:rsidR="002D5BB0" w:rsidRPr="00222917" w:rsidRDefault="002D5BB0" w:rsidP="00FD6374">
            <w:pPr>
              <w:pStyle w:val="SingleTxtG"/>
              <w:suppressAutoHyphens w:val="0"/>
              <w:spacing w:before="40" w:after="40" w:line="220" w:lineRule="exact"/>
              <w:ind w:left="0" w:right="0"/>
              <w:jc w:val="right"/>
              <w:rPr>
                <w:sz w:val="18"/>
                <w:lang w:val="en-US"/>
              </w:rPr>
            </w:pPr>
            <w:r w:rsidRPr="00222917">
              <w:rPr>
                <w:sz w:val="18"/>
                <w:lang w:val="en-US"/>
              </w:rPr>
              <w:t>2.6</w:t>
            </w:r>
          </w:p>
        </w:tc>
        <w:tc>
          <w:tcPr>
            <w:tcW w:w="909" w:type="dxa"/>
            <w:shd w:val="clear" w:color="auto" w:fill="auto"/>
            <w:tcMar>
              <w:top w:w="15" w:type="dxa"/>
              <w:left w:w="15" w:type="dxa"/>
              <w:bottom w:w="15" w:type="dxa"/>
              <w:right w:w="15" w:type="dxa"/>
            </w:tcMar>
            <w:vAlign w:val="bottom"/>
          </w:tcPr>
          <w:p w:rsidR="002D5BB0" w:rsidRPr="00222917" w:rsidRDefault="002D5BB0" w:rsidP="00FD6374">
            <w:pPr>
              <w:pStyle w:val="SingleTxtG"/>
              <w:suppressAutoHyphens w:val="0"/>
              <w:spacing w:before="40" w:after="40" w:line="220" w:lineRule="exact"/>
              <w:ind w:left="0" w:right="0"/>
              <w:jc w:val="right"/>
              <w:rPr>
                <w:sz w:val="18"/>
                <w:lang w:val="en-US"/>
              </w:rPr>
            </w:pPr>
            <w:r w:rsidRPr="00222917">
              <w:rPr>
                <w:sz w:val="18"/>
                <w:lang w:val="en-US"/>
              </w:rPr>
              <w:t>2.1</w:t>
            </w:r>
          </w:p>
        </w:tc>
        <w:tc>
          <w:tcPr>
            <w:tcW w:w="908" w:type="dxa"/>
            <w:shd w:val="clear" w:color="auto" w:fill="auto"/>
            <w:tcMar>
              <w:top w:w="15" w:type="dxa"/>
              <w:left w:w="15" w:type="dxa"/>
              <w:bottom w:w="15" w:type="dxa"/>
              <w:right w:w="15" w:type="dxa"/>
            </w:tcMar>
            <w:vAlign w:val="bottom"/>
          </w:tcPr>
          <w:p w:rsidR="002D5BB0" w:rsidRPr="00222917" w:rsidRDefault="002D5BB0" w:rsidP="00FD6374">
            <w:pPr>
              <w:pStyle w:val="SingleTxtG"/>
              <w:suppressAutoHyphens w:val="0"/>
              <w:spacing w:before="40" w:after="40" w:line="220" w:lineRule="exact"/>
              <w:ind w:left="0" w:right="0"/>
              <w:jc w:val="right"/>
              <w:rPr>
                <w:sz w:val="18"/>
                <w:lang w:val="en-US"/>
              </w:rPr>
            </w:pPr>
            <w:r w:rsidRPr="00222917">
              <w:rPr>
                <w:sz w:val="18"/>
                <w:lang w:val="en-US"/>
              </w:rPr>
              <w:t>1.7</w:t>
            </w:r>
          </w:p>
        </w:tc>
        <w:tc>
          <w:tcPr>
            <w:tcW w:w="908" w:type="dxa"/>
            <w:shd w:val="clear" w:color="auto" w:fill="auto"/>
            <w:tcMar>
              <w:top w:w="15" w:type="dxa"/>
              <w:left w:w="15" w:type="dxa"/>
              <w:bottom w:w="15" w:type="dxa"/>
              <w:right w:w="15" w:type="dxa"/>
            </w:tcMar>
            <w:vAlign w:val="bottom"/>
          </w:tcPr>
          <w:p w:rsidR="002D5BB0" w:rsidRPr="00222917" w:rsidRDefault="002D5BB0" w:rsidP="00FD6374">
            <w:pPr>
              <w:pStyle w:val="SingleTxtG"/>
              <w:suppressAutoHyphens w:val="0"/>
              <w:spacing w:before="40" w:after="40" w:line="220" w:lineRule="exact"/>
              <w:ind w:left="0" w:right="0"/>
              <w:jc w:val="right"/>
              <w:rPr>
                <w:sz w:val="18"/>
                <w:lang w:val="en-US"/>
              </w:rPr>
            </w:pPr>
            <w:r w:rsidRPr="00222917">
              <w:rPr>
                <w:sz w:val="18"/>
                <w:lang w:val="en-US"/>
              </w:rPr>
              <w:t>1.5</w:t>
            </w:r>
          </w:p>
        </w:tc>
        <w:tc>
          <w:tcPr>
            <w:tcW w:w="908" w:type="dxa"/>
            <w:shd w:val="clear" w:color="auto" w:fill="auto"/>
            <w:tcMar>
              <w:top w:w="15" w:type="dxa"/>
              <w:left w:w="15" w:type="dxa"/>
              <w:bottom w:w="15" w:type="dxa"/>
              <w:right w:w="15" w:type="dxa"/>
            </w:tcMar>
            <w:vAlign w:val="bottom"/>
          </w:tcPr>
          <w:p w:rsidR="002D5BB0" w:rsidRPr="00222917" w:rsidRDefault="002D5BB0" w:rsidP="00FD6374">
            <w:pPr>
              <w:pStyle w:val="SingleTxtG"/>
              <w:suppressAutoHyphens w:val="0"/>
              <w:spacing w:before="40" w:after="40" w:line="220" w:lineRule="exact"/>
              <w:ind w:left="0" w:right="0"/>
              <w:jc w:val="right"/>
              <w:rPr>
                <w:sz w:val="18"/>
                <w:lang w:val="en-US"/>
              </w:rPr>
            </w:pPr>
            <w:r w:rsidRPr="00222917">
              <w:rPr>
                <w:sz w:val="18"/>
                <w:lang w:val="en-US"/>
              </w:rPr>
              <w:t>1.5</w:t>
            </w:r>
          </w:p>
        </w:tc>
        <w:tc>
          <w:tcPr>
            <w:tcW w:w="908" w:type="dxa"/>
            <w:shd w:val="clear" w:color="auto" w:fill="auto"/>
            <w:tcMar>
              <w:top w:w="15" w:type="dxa"/>
              <w:left w:w="15" w:type="dxa"/>
              <w:bottom w:w="15" w:type="dxa"/>
              <w:right w:w="15" w:type="dxa"/>
            </w:tcMar>
            <w:vAlign w:val="bottom"/>
          </w:tcPr>
          <w:p w:rsidR="002D5BB0" w:rsidRPr="00222917" w:rsidRDefault="002D5BB0" w:rsidP="00FD6374">
            <w:pPr>
              <w:pStyle w:val="SingleTxtG"/>
              <w:suppressAutoHyphens w:val="0"/>
              <w:spacing w:before="40" w:after="40" w:line="220" w:lineRule="exact"/>
              <w:ind w:left="0" w:right="0"/>
              <w:jc w:val="right"/>
              <w:rPr>
                <w:sz w:val="18"/>
                <w:lang w:val="en-US"/>
              </w:rPr>
            </w:pPr>
            <w:r w:rsidRPr="00222917">
              <w:rPr>
                <w:sz w:val="18"/>
                <w:lang w:val="en-US"/>
              </w:rPr>
              <w:t>1.3</w:t>
            </w:r>
          </w:p>
        </w:tc>
      </w:tr>
    </w:tbl>
    <w:p w:rsidR="002D5BB0" w:rsidRPr="00222917" w:rsidRDefault="00306D68" w:rsidP="00306D68">
      <w:pPr>
        <w:pStyle w:val="H23G"/>
        <w:rPr>
          <w:lang w:val="en-US"/>
        </w:rPr>
      </w:pPr>
      <w:r w:rsidRPr="00222917">
        <w:rPr>
          <w:lang w:val="en-US"/>
        </w:rPr>
        <w:tab/>
      </w:r>
      <w:r w:rsidRPr="00222917">
        <w:rPr>
          <w:lang w:val="en-US"/>
        </w:rPr>
        <w:tab/>
      </w:r>
      <w:r w:rsidR="002D5BB0" w:rsidRPr="00222917">
        <w:rPr>
          <w:lang w:val="en-US"/>
        </w:rPr>
        <w:t>Police Detention Rate</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0A0"/>
      </w:tblPr>
      <w:tblGrid>
        <w:gridCol w:w="1356"/>
        <w:gridCol w:w="1202"/>
        <w:gridCol w:w="1201"/>
        <w:gridCol w:w="1201"/>
        <w:gridCol w:w="1201"/>
        <w:gridCol w:w="1209"/>
      </w:tblGrid>
      <w:tr w:rsidR="001D2686" w:rsidRPr="00222917" w:rsidTr="001D2686">
        <w:trPr>
          <w:trHeight w:val="240"/>
          <w:tblHeader/>
        </w:trPr>
        <w:tc>
          <w:tcPr>
            <w:tcW w:w="919" w:type="pct"/>
            <w:shd w:val="clear" w:color="auto" w:fill="auto"/>
            <w:tcMar>
              <w:top w:w="15" w:type="dxa"/>
              <w:left w:w="15" w:type="dxa"/>
              <w:bottom w:w="15" w:type="dxa"/>
              <w:right w:w="15" w:type="dxa"/>
            </w:tcMar>
            <w:vAlign w:val="bottom"/>
          </w:tcPr>
          <w:p w:rsidR="002D5BB0" w:rsidRPr="00222917" w:rsidRDefault="002D5BB0" w:rsidP="001D2686">
            <w:pPr>
              <w:pStyle w:val="SingleTxtG"/>
              <w:suppressAutoHyphens w:val="0"/>
              <w:spacing w:before="80" w:after="80" w:line="200" w:lineRule="exact"/>
              <w:ind w:left="0" w:right="0"/>
              <w:jc w:val="left"/>
              <w:rPr>
                <w:i/>
                <w:sz w:val="16"/>
                <w:lang w:val="en-US"/>
              </w:rPr>
            </w:pPr>
            <w:bookmarkStart w:id="81" w:name="BM_6ac56cca"/>
            <w:bookmarkEnd w:id="81"/>
            <w:r w:rsidRPr="00222917">
              <w:rPr>
                <w:bCs/>
                <w:i/>
                <w:sz w:val="16"/>
                <w:lang w:val="en-US"/>
              </w:rPr>
              <w:t>Year</w:t>
            </w:r>
          </w:p>
        </w:tc>
        <w:tc>
          <w:tcPr>
            <w:tcW w:w="815" w:type="pct"/>
            <w:shd w:val="clear" w:color="auto" w:fill="auto"/>
            <w:tcMar>
              <w:top w:w="15" w:type="dxa"/>
              <w:left w:w="15" w:type="dxa"/>
              <w:bottom w:w="15" w:type="dxa"/>
              <w:right w:w="15" w:type="dxa"/>
            </w:tcMar>
            <w:vAlign w:val="bottom"/>
          </w:tcPr>
          <w:p w:rsidR="002D5BB0" w:rsidRPr="00222917" w:rsidRDefault="002D5BB0" w:rsidP="001D2686">
            <w:pPr>
              <w:pStyle w:val="SingleTxtG"/>
              <w:suppressAutoHyphens w:val="0"/>
              <w:spacing w:before="80" w:after="80" w:line="200" w:lineRule="exact"/>
              <w:ind w:left="113" w:right="0"/>
              <w:jc w:val="right"/>
              <w:rPr>
                <w:i/>
                <w:sz w:val="16"/>
                <w:lang w:val="en-US"/>
              </w:rPr>
            </w:pPr>
            <w:r w:rsidRPr="00222917">
              <w:rPr>
                <w:bCs/>
                <w:i/>
                <w:sz w:val="16"/>
                <w:lang w:val="en-US"/>
              </w:rPr>
              <w:t>2006</w:t>
            </w:r>
          </w:p>
        </w:tc>
        <w:tc>
          <w:tcPr>
            <w:tcW w:w="815" w:type="pct"/>
            <w:shd w:val="clear" w:color="auto" w:fill="auto"/>
            <w:tcMar>
              <w:top w:w="15" w:type="dxa"/>
              <w:left w:w="15" w:type="dxa"/>
              <w:bottom w:w="15" w:type="dxa"/>
              <w:right w:w="15" w:type="dxa"/>
            </w:tcMar>
            <w:vAlign w:val="bottom"/>
          </w:tcPr>
          <w:p w:rsidR="002D5BB0" w:rsidRPr="00222917" w:rsidRDefault="002D5BB0" w:rsidP="001D2686">
            <w:pPr>
              <w:pStyle w:val="SingleTxtG"/>
              <w:suppressAutoHyphens w:val="0"/>
              <w:spacing w:before="80" w:after="80" w:line="200" w:lineRule="exact"/>
              <w:ind w:left="113" w:right="0"/>
              <w:jc w:val="right"/>
              <w:rPr>
                <w:i/>
                <w:sz w:val="16"/>
                <w:lang w:val="en-US"/>
              </w:rPr>
            </w:pPr>
            <w:r w:rsidRPr="00222917">
              <w:rPr>
                <w:bCs/>
                <w:i/>
                <w:sz w:val="16"/>
                <w:lang w:val="en-US"/>
              </w:rPr>
              <w:t>2007</w:t>
            </w:r>
          </w:p>
        </w:tc>
        <w:tc>
          <w:tcPr>
            <w:tcW w:w="815" w:type="pct"/>
            <w:shd w:val="clear" w:color="auto" w:fill="auto"/>
            <w:tcMar>
              <w:top w:w="15" w:type="dxa"/>
              <w:left w:w="15" w:type="dxa"/>
              <w:bottom w:w="15" w:type="dxa"/>
              <w:right w:w="15" w:type="dxa"/>
            </w:tcMar>
            <w:vAlign w:val="bottom"/>
          </w:tcPr>
          <w:p w:rsidR="002D5BB0" w:rsidRPr="00222917" w:rsidRDefault="002D5BB0" w:rsidP="001D2686">
            <w:pPr>
              <w:pStyle w:val="SingleTxtG"/>
              <w:suppressAutoHyphens w:val="0"/>
              <w:spacing w:before="80" w:after="80" w:line="200" w:lineRule="exact"/>
              <w:ind w:left="113" w:right="0"/>
              <w:jc w:val="right"/>
              <w:rPr>
                <w:i/>
                <w:sz w:val="16"/>
                <w:lang w:val="en-US"/>
              </w:rPr>
            </w:pPr>
            <w:r w:rsidRPr="00222917">
              <w:rPr>
                <w:bCs/>
                <w:i/>
                <w:sz w:val="16"/>
                <w:lang w:val="en-US"/>
              </w:rPr>
              <w:t>2008</w:t>
            </w:r>
          </w:p>
        </w:tc>
        <w:tc>
          <w:tcPr>
            <w:tcW w:w="815" w:type="pct"/>
            <w:shd w:val="clear" w:color="auto" w:fill="auto"/>
            <w:tcMar>
              <w:top w:w="15" w:type="dxa"/>
              <w:left w:w="15" w:type="dxa"/>
              <w:bottom w:w="15" w:type="dxa"/>
              <w:right w:w="15" w:type="dxa"/>
            </w:tcMar>
            <w:vAlign w:val="bottom"/>
          </w:tcPr>
          <w:p w:rsidR="002D5BB0" w:rsidRPr="00222917" w:rsidRDefault="002D5BB0" w:rsidP="001D2686">
            <w:pPr>
              <w:pStyle w:val="SingleTxtG"/>
              <w:suppressAutoHyphens w:val="0"/>
              <w:spacing w:before="80" w:after="80" w:line="200" w:lineRule="exact"/>
              <w:ind w:left="113" w:right="0"/>
              <w:jc w:val="right"/>
              <w:rPr>
                <w:i/>
                <w:sz w:val="16"/>
                <w:lang w:val="en-US"/>
              </w:rPr>
            </w:pPr>
            <w:r w:rsidRPr="00222917">
              <w:rPr>
                <w:bCs/>
                <w:i/>
                <w:sz w:val="16"/>
                <w:lang w:val="en-US"/>
              </w:rPr>
              <w:t>2009</w:t>
            </w:r>
          </w:p>
        </w:tc>
        <w:tc>
          <w:tcPr>
            <w:tcW w:w="820" w:type="pct"/>
            <w:shd w:val="clear" w:color="auto" w:fill="auto"/>
            <w:vAlign w:val="bottom"/>
          </w:tcPr>
          <w:p w:rsidR="002D5BB0" w:rsidRPr="00222917" w:rsidRDefault="002D5BB0" w:rsidP="001D2686">
            <w:pPr>
              <w:pStyle w:val="SingleTxtG"/>
              <w:suppressAutoHyphens w:val="0"/>
              <w:spacing w:before="80" w:after="80" w:line="200" w:lineRule="exact"/>
              <w:ind w:left="113" w:right="0"/>
              <w:jc w:val="right"/>
              <w:rPr>
                <w:bCs/>
                <w:i/>
                <w:sz w:val="16"/>
                <w:lang w:val="en-US"/>
              </w:rPr>
            </w:pPr>
            <w:r w:rsidRPr="00222917">
              <w:rPr>
                <w:bCs/>
                <w:i/>
                <w:sz w:val="16"/>
                <w:lang w:val="en-US"/>
              </w:rPr>
              <w:t>2010</w:t>
            </w:r>
          </w:p>
        </w:tc>
      </w:tr>
      <w:tr w:rsidR="001D2686" w:rsidRPr="00222917" w:rsidTr="001D2686">
        <w:trPr>
          <w:trHeight w:val="240"/>
        </w:trPr>
        <w:tc>
          <w:tcPr>
            <w:tcW w:w="919" w:type="pct"/>
            <w:shd w:val="clear" w:color="auto" w:fill="auto"/>
            <w:tcMar>
              <w:top w:w="15" w:type="dxa"/>
              <w:left w:w="15" w:type="dxa"/>
              <w:bottom w:w="15" w:type="dxa"/>
              <w:right w:w="15" w:type="dxa"/>
            </w:tcMar>
          </w:tcPr>
          <w:p w:rsidR="002D5BB0" w:rsidRPr="00222917" w:rsidRDefault="002D5BB0" w:rsidP="001D2686">
            <w:pPr>
              <w:pStyle w:val="SingleTxtG"/>
              <w:suppressAutoHyphens w:val="0"/>
              <w:spacing w:before="40" w:after="40" w:line="220" w:lineRule="exact"/>
              <w:ind w:left="0" w:right="0"/>
              <w:jc w:val="left"/>
              <w:rPr>
                <w:sz w:val="18"/>
                <w:lang w:val="en-US"/>
              </w:rPr>
            </w:pPr>
            <w:r w:rsidRPr="00222917">
              <w:rPr>
                <w:sz w:val="18"/>
                <w:lang w:val="en-US"/>
              </w:rPr>
              <w:t>Rate of detention by police (%)*</w:t>
            </w:r>
          </w:p>
        </w:tc>
        <w:tc>
          <w:tcPr>
            <w:tcW w:w="815" w:type="pct"/>
            <w:shd w:val="clear" w:color="auto" w:fill="auto"/>
            <w:tcMar>
              <w:top w:w="15" w:type="dxa"/>
              <w:left w:w="15" w:type="dxa"/>
              <w:bottom w:w="15" w:type="dxa"/>
              <w:right w:w="15" w:type="dxa"/>
            </w:tcMar>
            <w:vAlign w:val="bottom"/>
          </w:tcPr>
          <w:p w:rsidR="002D5BB0" w:rsidRPr="00222917" w:rsidRDefault="002D5BB0" w:rsidP="001D2686">
            <w:pPr>
              <w:pStyle w:val="SingleTxtG"/>
              <w:suppressAutoHyphens w:val="0"/>
              <w:spacing w:before="40" w:after="40" w:line="220" w:lineRule="exact"/>
              <w:ind w:left="113" w:right="0"/>
              <w:jc w:val="right"/>
              <w:rPr>
                <w:sz w:val="18"/>
                <w:lang w:val="en-US"/>
              </w:rPr>
            </w:pPr>
            <w:r w:rsidRPr="00222917">
              <w:rPr>
                <w:sz w:val="18"/>
                <w:lang w:val="en-US"/>
              </w:rPr>
              <w:t>2.4</w:t>
            </w:r>
          </w:p>
        </w:tc>
        <w:tc>
          <w:tcPr>
            <w:tcW w:w="815" w:type="pct"/>
            <w:shd w:val="clear" w:color="auto" w:fill="auto"/>
            <w:tcMar>
              <w:top w:w="15" w:type="dxa"/>
              <w:left w:w="15" w:type="dxa"/>
              <w:bottom w:w="15" w:type="dxa"/>
              <w:right w:w="15" w:type="dxa"/>
            </w:tcMar>
            <w:vAlign w:val="bottom"/>
          </w:tcPr>
          <w:p w:rsidR="002D5BB0" w:rsidRPr="00222917" w:rsidRDefault="002D5BB0" w:rsidP="001D2686">
            <w:pPr>
              <w:pStyle w:val="SingleTxtG"/>
              <w:suppressAutoHyphens w:val="0"/>
              <w:spacing w:before="40" w:after="40" w:line="220" w:lineRule="exact"/>
              <w:ind w:left="113" w:right="0"/>
              <w:jc w:val="right"/>
              <w:rPr>
                <w:sz w:val="18"/>
                <w:lang w:val="en-US"/>
              </w:rPr>
            </w:pPr>
            <w:r w:rsidRPr="00222917">
              <w:rPr>
                <w:sz w:val="18"/>
                <w:lang w:val="en-US"/>
              </w:rPr>
              <w:t>2</w:t>
            </w:r>
          </w:p>
        </w:tc>
        <w:tc>
          <w:tcPr>
            <w:tcW w:w="815" w:type="pct"/>
            <w:shd w:val="clear" w:color="auto" w:fill="auto"/>
            <w:tcMar>
              <w:top w:w="15" w:type="dxa"/>
              <w:left w:w="15" w:type="dxa"/>
              <w:bottom w:w="15" w:type="dxa"/>
              <w:right w:w="15" w:type="dxa"/>
            </w:tcMar>
            <w:vAlign w:val="bottom"/>
          </w:tcPr>
          <w:p w:rsidR="002D5BB0" w:rsidRPr="00222917" w:rsidRDefault="002D5BB0" w:rsidP="001D2686">
            <w:pPr>
              <w:pStyle w:val="SingleTxtG"/>
              <w:suppressAutoHyphens w:val="0"/>
              <w:spacing w:before="40" w:after="40" w:line="220" w:lineRule="exact"/>
              <w:ind w:left="113" w:right="0"/>
              <w:jc w:val="right"/>
              <w:rPr>
                <w:sz w:val="18"/>
                <w:lang w:val="en-US"/>
              </w:rPr>
            </w:pPr>
            <w:r w:rsidRPr="00222917">
              <w:rPr>
                <w:sz w:val="18"/>
                <w:lang w:val="en-US"/>
              </w:rPr>
              <w:t>1.7</w:t>
            </w:r>
          </w:p>
        </w:tc>
        <w:tc>
          <w:tcPr>
            <w:tcW w:w="815" w:type="pct"/>
            <w:shd w:val="clear" w:color="auto" w:fill="auto"/>
            <w:tcMar>
              <w:top w:w="15" w:type="dxa"/>
              <w:left w:w="15" w:type="dxa"/>
              <w:bottom w:w="15" w:type="dxa"/>
              <w:right w:w="15" w:type="dxa"/>
            </w:tcMar>
            <w:vAlign w:val="bottom"/>
          </w:tcPr>
          <w:p w:rsidR="002D5BB0" w:rsidRPr="00222917" w:rsidRDefault="002D5BB0" w:rsidP="001D2686">
            <w:pPr>
              <w:pStyle w:val="SingleTxtG"/>
              <w:suppressAutoHyphens w:val="0"/>
              <w:spacing w:before="40" w:after="40" w:line="220" w:lineRule="exact"/>
              <w:ind w:left="113" w:right="0"/>
              <w:jc w:val="right"/>
              <w:rPr>
                <w:sz w:val="18"/>
                <w:lang w:val="en-US"/>
              </w:rPr>
            </w:pPr>
            <w:r w:rsidRPr="00222917">
              <w:rPr>
                <w:sz w:val="18"/>
                <w:lang w:val="en-US"/>
              </w:rPr>
              <w:t>1.7</w:t>
            </w:r>
          </w:p>
        </w:tc>
        <w:tc>
          <w:tcPr>
            <w:tcW w:w="820" w:type="pct"/>
            <w:shd w:val="clear" w:color="auto" w:fill="auto"/>
            <w:vAlign w:val="bottom"/>
          </w:tcPr>
          <w:p w:rsidR="002D5BB0" w:rsidRPr="00222917" w:rsidRDefault="002D5BB0" w:rsidP="001D2686">
            <w:pPr>
              <w:pStyle w:val="SingleTxtG"/>
              <w:suppressAutoHyphens w:val="0"/>
              <w:spacing w:before="40" w:after="40" w:line="220" w:lineRule="exact"/>
              <w:ind w:left="113" w:right="0"/>
              <w:jc w:val="right"/>
              <w:rPr>
                <w:sz w:val="18"/>
                <w:lang w:val="en-US"/>
              </w:rPr>
            </w:pPr>
            <w:r w:rsidRPr="00222917">
              <w:rPr>
                <w:sz w:val="18"/>
                <w:lang w:val="en-US"/>
              </w:rPr>
              <w:t>1.5</w:t>
            </w:r>
          </w:p>
        </w:tc>
      </w:tr>
    </w:tbl>
    <w:p w:rsidR="002D5BB0" w:rsidRPr="00222917" w:rsidRDefault="002D5BB0" w:rsidP="0043215C">
      <w:pPr>
        <w:pStyle w:val="SingleTxtG"/>
        <w:spacing w:before="120" w:after="240"/>
        <w:ind w:firstLine="170"/>
        <w:jc w:val="left"/>
        <w:rPr>
          <w:sz w:val="18"/>
          <w:szCs w:val="18"/>
          <w:lang w:val="en-US"/>
        </w:rPr>
      </w:pPr>
      <w:r w:rsidRPr="00222917">
        <w:rPr>
          <w:sz w:val="18"/>
          <w:szCs w:val="18"/>
          <w:lang w:val="en-US"/>
        </w:rPr>
        <w:t>* Number of persons detained/total number of persons arrested</w:t>
      </w:r>
      <w:r w:rsidR="00D300AA" w:rsidRPr="00222917">
        <w:rPr>
          <w:sz w:val="18"/>
          <w:szCs w:val="18"/>
          <w:lang w:val="en-US"/>
        </w:rPr>
        <w:t>.</w:t>
      </w:r>
    </w:p>
    <w:p w:rsidR="002D5BB0" w:rsidRPr="00222917" w:rsidRDefault="00547908" w:rsidP="00547908">
      <w:pPr>
        <w:pStyle w:val="SingleTxtG"/>
        <w:rPr>
          <w:lang w:val="en-US"/>
        </w:rPr>
      </w:pPr>
      <w:r w:rsidRPr="00222917">
        <w:rPr>
          <w:lang w:val="en-US"/>
        </w:rPr>
        <w:t>148.</w:t>
      </w:r>
      <w:r w:rsidRPr="00222917">
        <w:rPr>
          <w:lang w:val="en-US"/>
        </w:rPr>
        <w:tab/>
      </w:r>
      <w:r w:rsidR="002D5BB0" w:rsidRPr="00222917">
        <w:rPr>
          <w:lang w:val="en-US"/>
        </w:rPr>
        <w:t xml:space="preserve">In addition, the revised </w:t>
      </w:r>
      <w:r w:rsidR="002D5BB0" w:rsidRPr="00C70182">
        <w:rPr>
          <w:iCs/>
          <w:lang w:val="en-US"/>
        </w:rPr>
        <w:t xml:space="preserve">Criminal Procedure Act </w:t>
      </w:r>
      <w:r w:rsidR="002D5BB0" w:rsidRPr="00222917">
        <w:rPr>
          <w:lang w:val="en-US"/>
        </w:rPr>
        <w:t xml:space="preserve">explicitly provides that a court may, if deemed necessary to confine a defendant who is taken into custody for a hearing for examination before detention, </w:t>
      </w:r>
      <w:r w:rsidR="002D5BB0" w:rsidRPr="00222917">
        <w:rPr>
          <w:bCs/>
          <w:lang w:val="en-US"/>
        </w:rPr>
        <w:t>confine</w:t>
      </w:r>
      <w:r w:rsidR="002D5BB0" w:rsidRPr="00222917">
        <w:rPr>
          <w:lang w:val="en-US"/>
        </w:rPr>
        <w:t xml:space="preserve"> the defendant in a correctional facility, a detention house, or a police station’s jail and that in such instance, the confinement period may not exceed 24 hours from the time of be</w:t>
      </w:r>
      <w:r w:rsidR="00C974F8" w:rsidRPr="00222917">
        <w:rPr>
          <w:lang w:val="en-US"/>
        </w:rPr>
        <w:t>ing taken into custody (</w:t>
      </w:r>
      <w:r w:rsidR="00681EC0" w:rsidRPr="00222917">
        <w:rPr>
          <w:lang w:val="en-US"/>
        </w:rPr>
        <w:t>a</w:t>
      </w:r>
      <w:r w:rsidR="00C974F8" w:rsidRPr="00222917">
        <w:rPr>
          <w:lang w:val="en-US"/>
        </w:rPr>
        <w:t>rticle </w:t>
      </w:r>
      <w:r w:rsidR="002D5BB0" w:rsidRPr="00222917">
        <w:rPr>
          <w:lang w:val="en-US"/>
        </w:rPr>
        <w:t xml:space="preserve">71-2). </w:t>
      </w:r>
    </w:p>
    <w:p w:rsidR="002D5BB0" w:rsidRPr="00222917" w:rsidRDefault="00547908" w:rsidP="00547908">
      <w:pPr>
        <w:pStyle w:val="SingleTxtG"/>
        <w:rPr>
          <w:lang w:val="en-US"/>
        </w:rPr>
      </w:pPr>
      <w:r w:rsidRPr="00222917">
        <w:rPr>
          <w:lang w:val="en-US"/>
        </w:rPr>
        <w:t>149.</w:t>
      </w:r>
      <w:r w:rsidRPr="00222917">
        <w:rPr>
          <w:lang w:val="en-US"/>
        </w:rPr>
        <w:tab/>
      </w:r>
      <w:r w:rsidR="002D5BB0" w:rsidRPr="00222917">
        <w:rPr>
          <w:lang w:val="en-US"/>
        </w:rPr>
        <w:t xml:space="preserve">The </w:t>
      </w:r>
      <w:r w:rsidR="002D5BB0" w:rsidRPr="00222917">
        <w:rPr>
          <w:iCs/>
          <w:lang w:val="en-US"/>
        </w:rPr>
        <w:t>Criminal Procedure Act</w:t>
      </w:r>
      <w:r w:rsidR="002D5BB0" w:rsidRPr="00222917">
        <w:rPr>
          <w:lang w:val="en-US"/>
        </w:rPr>
        <w:t xml:space="preserve"> amended in 2007 is believed to have produced a dramatic improvement in the detention and arrest system. The Act enhances the urgent arrest system, increases compulsory release on bail, sets forth more conditions for release on bail including permission of </w:t>
      </w:r>
      <w:r w:rsidR="002D5BB0" w:rsidRPr="00222917">
        <w:rPr>
          <w:bCs/>
          <w:lang w:val="en-US"/>
        </w:rPr>
        <w:t>release</w:t>
      </w:r>
      <w:r w:rsidR="002D5BB0" w:rsidRPr="00222917">
        <w:rPr>
          <w:lang w:val="en-US"/>
        </w:rPr>
        <w:t xml:space="preserve"> without payment of bail, introduces compulsory hearings for examination before detention, and improves review on legality of arrest and detention for its application to all types of arrested and detained persons.</w:t>
      </w:r>
      <w:r w:rsidR="00120D8B" w:rsidRPr="00222917">
        <w:rPr>
          <w:lang w:val="en-US"/>
        </w:rPr>
        <w:t xml:space="preserve"> </w:t>
      </w:r>
    </w:p>
    <w:p w:rsidR="002D5BB0" w:rsidRPr="00222917" w:rsidRDefault="007F6682" w:rsidP="007F6682">
      <w:pPr>
        <w:pStyle w:val="H23G"/>
        <w:rPr>
          <w:lang w:val="en-US"/>
        </w:rPr>
      </w:pPr>
      <w:bookmarkStart w:id="82" w:name="_Toc307504064"/>
      <w:bookmarkStart w:id="83" w:name="_Toc336435836"/>
      <w:r w:rsidRPr="00222917">
        <w:rPr>
          <w:lang w:val="en-US"/>
        </w:rPr>
        <w:tab/>
      </w:r>
      <w:r w:rsidRPr="00222917">
        <w:rPr>
          <w:lang w:val="en-US"/>
        </w:rPr>
        <w:tab/>
      </w:r>
      <w:r w:rsidR="002D5BB0" w:rsidRPr="00222917">
        <w:rPr>
          <w:lang w:val="en-US"/>
        </w:rPr>
        <w:t xml:space="preserve">Reinforcement of Patients’ Self-Determination at the Time of Admission </w:t>
      </w:r>
      <w:r w:rsidRPr="00222917">
        <w:rPr>
          <w:lang w:val="en-US"/>
        </w:rPr>
        <w:br/>
      </w:r>
      <w:r w:rsidR="002D5BB0" w:rsidRPr="00222917">
        <w:rPr>
          <w:lang w:val="en-US"/>
        </w:rPr>
        <w:t>to and Discharge from Mental Health Facilities</w:t>
      </w:r>
      <w:bookmarkEnd w:id="82"/>
      <w:bookmarkEnd w:id="83"/>
    </w:p>
    <w:p w:rsidR="002D5BB0" w:rsidRPr="00222917" w:rsidRDefault="00547908" w:rsidP="00547908">
      <w:pPr>
        <w:pStyle w:val="SingleTxtG"/>
        <w:rPr>
          <w:lang w:val="en-US"/>
        </w:rPr>
      </w:pPr>
      <w:r w:rsidRPr="00222917">
        <w:rPr>
          <w:lang w:val="en-US"/>
        </w:rPr>
        <w:t>150.</w:t>
      </w:r>
      <w:r w:rsidRPr="00222917">
        <w:rPr>
          <w:lang w:val="en-US"/>
        </w:rPr>
        <w:tab/>
      </w:r>
      <w:r w:rsidR="002D5BB0" w:rsidRPr="00222917">
        <w:rPr>
          <w:lang w:val="en-US"/>
        </w:rPr>
        <w:t xml:space="preserve">On 21 March 2008, the </w:t>
      </w:r>
      <w:r w:rsidR="002D5BB0" w:rsidRPr="00222917">
        <w:rPr>
          <w:iCs/>
          <w:lang w:val="en-US"/>
        </w:rPr>
        <w:t>Mental Health Act</w:t>
      </w:r>
      <w:r w:rsidR="002D5BB0" w:rsidRPr="00222917">
        <w:rPr>
          <w:lang w:val="en-US"/>
        </w:rPr>
        <w:t xml:space="preserve"> was wholly amended to restrict installation and opening of mental care facilities and mental medical institutions (hereinafter referred to as “mental medical institutions, etc.”) by persons criminally punished due to human rights violations for five years from the dat</w:t>
      </w:r>
      <w:r w:rsidR="00C974F8" w:rsidRPr="00222917">
        <w:rPr>
          <w:lang w:val="en-US"/>
        </w:rPr>
        <w:t>e of penalty execution (</w:t>
      </w:r>
      <w:r w:rsidR="00681EC0" w:rsidRPr="00222917">
        <w:rPr>
          <w:lang w:val="en-US"/>
        </w:rPr>
        <w:t>a</w:t>
      </w:r>
      <w:r w:rsidR="00C974F8" w:rsidRPr="00222917">
        <w:rPr>
          <w:lang w:val="en-US"/>
        </w:rPr>
        <w:t>rticle </w:t>
      </w:r>
      <w:r w:rsidR="002D5BB0" w:rsidRPr="00222917">
        <w:rPr>
          <w:lang w:val="en-US"/>
        </w:rPr>
        <w:t xml:space="preserve">12-2). The amended Act stipulates that the heads of mental medical institutions, etc. who permit hospitalization, etc. of persons at the request of those who are not legally responsible for their protective custody shall be sentenced to a prison term of not longer than a year or a fine not exceeding </w:t>
      </w:r>
      <w:r w:rsidR="002D5BB0" w:rsidRPr="00222917">
        <w:rPr>
          <w:bCs/>
          <w:lang w:val="en-US"/>
        </w:rPr>
        <w:t>KRW</w:t>
      </w:r>
      <w:r w:rsidR="00C974F8" w:rsidRPr="00222917">
        <w:rPr>
          <w:lang w:val="en-US"/>
        </w:rPr>
        <w:t xml:space="preserve"> 5 million (</w:t>
      </w:r>
      <w:r w:rsidR="00681EC0" w:rsidRPr="00222917">
        <w:rPr>
          <w:lang w:val="en-US"/>
        </w:rPr>
        <w:t>a</w:t>
      </w:r>
      <w:r w:rsidR="00C974F8" w:rsidRPr="00222917">
        <w:rPr>
          <w:lang w:val="en-US"/>
        </w:rPr>
        <w:t>rticles </w:t>
      </w:r>
      <w:r w:rsidR="002D5BB0" w:rsidRPr="00222917">
        <w:rPr>
          <w:lang w:val="en-US"/>
        </w:rPr>
        <w:t xml:space="preserve">24 and 57). The Act requires the heads of mental medical institutions, etc. to check the legality of continued hospitalization of patients hospitalized voluntarily at least once a year and newly provides for applicable punishment to strengthen mentally-ill persons’ right to self-determination concerning </w:t>
      </w:r>
      <w:r w:rsidR="00C974F8" w:rsidRPr="00222917">
        <w:rPr>
          <w:lang w:val="en-US"/>
        </w:rPr>
        <w:t>their hospitalization (</w:t>
      </w:r>
      <w:r w:rsidR="00681EC0" w:rsidRPr="00222917">
        <w:rPr>
          <w:lang w:val="en-US"/>
        </w:rPr>
        <w:t>a</w:t>
      </w:r>
      <w:r w:rsidR="00C974F8" w:rsidRPr="00222917">
        <w:rPr>
          <w:lang w:val="en-US"/>
        </w:rPr>
        <w:t>rticles </w:t>
      </w:r>
      <w:r w:rsidR="002D5BB0" w:rsidRPr="00222917">
        <w:rPr>
          <w:lang w:val="en-US"/>
        </w:rPr>
        <w:t xml:space="preserve">23 and 57). </w:t>
      </w:r>
    </w:p>
    <w:p w:rsidR="002D5BB0" w:rsidRPr="00222917" w:rsidRDefault="007F6682" w:rsidP="00277C2B">
      <w:pPr>
        <w:pStyle w:val="H23G"/>
        <w:rPr>
          <w:b w:val="0"/>
          <w:sz w:val="16"/>
          <w:szCs w:val="16"/>
          <w:lang w:val="en-US"/>
        </w:rPr>
      </w:pPr>
      <w:r w:rsidRPr="00222917">
        <w:rPr>
          <w:lang w:val="en-US"/>
        </w:rPr>
        <w:tab/>
      </w:r>
      <w:r w:rsidRPr="00222917">
        <w:rPr>
          <w:lang w:val="en-US"/>
        </w:rPr>
        <w:tab/>
      </w:r>
      <w:r w:rsidR="002D5BB0" w:rsidRPr="00222917">
        <w:rPr>
          <w:lang w:val="en-US"/>
        </w:rPr>
        <w:t>Hospitalization at Mental Medical Institutions by Type</w:t>
      </w:r>
      <w:r w:rsidRPr="00222917">
        <w:rPr>
          <w:lang w:val="en-US"/>
        </w:rPr>
        <w:br/>
      </w:r>
      <w:r w:rsidR="002D5BB0" w:rsidRPr="00222917">
        <w:rPr>
          <w:b w:val="0"/>
          <w:sz w:val="16"/>
          <w:szCs w:val="16"/>
          <w:lang w:val="en-US"/>
        </w:rPr>
        <w:t>(Number of persons, %)</w:t>
      </w:r>
    </w:p>
    <w:tbl>
      <w:tblPr>
        <w:tblW w:w="0" w:type="auto"/>
        <w:tblInd w:w="1134" w:type="dxa"/>
        <w:tblBorders>
          <w:top w:val="single" w:sz="4" w:space="0" w:color="auto"/>
        </w:tblBorders>
        <w:tblLayout w:type="fixed"/>
        <w:tblCellMar>
          <w:left w:w="0" w:type="dxa"/>
          <w:right w:w="0" w:type="dxa"/>
        </w:tblCellMar>
        <w:tblLook w:val="00A0"/>
      </w:tblPr>
      <w:tblGrid>
        <w:gridCol w:w="624"/>
        <w:gridCol w:w="964"/>
        <w:gridCol w:w="964"/>
        <w:gridCol w:w="964"/>
        <w:gridCol w:w="964"/>
        <w:gridCol w:w="964"/>
        <w:gridCol w:w="964"/>
        <w:gridCol w:w="964"/>
      </w:tblGrid>
      <w:tr w:rsidR="001D2686" w:rsidRPr="00222917" w:rsidTr="006C25D9">
        <w:trPr>
          <w:trHeight w:val="240"/>
          <w:tblHeader/>
        </w:trPr>
        <w:tc>
          <w:tcPr>
            <w:tcW w:w="624"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tcPr>
          <w:p w:rsidR="001D2686" w:rsidRPr="00222917" w:rsidRDefault="001D2686" w:rsidP="00277C2B">
            <w:pPr>
              <w:keepNext/>
              <w:keepLines/>
              <w:suppressAutoHyphens w:val="0"/>
              <w:snapToGrid w:val="0"/>
              <w:spacing w:before="80" w:after="80" w:line="180" w:lineRule="exact"/>
              <w:rPr>
                <w:i/>
                <w:sz w:val="14"/>
                <w:szCs w:val="14"/>
                <w:lang w:val="en-US"/>
              </w:rPr>
            </w:pPr>
            <w:r w:rsidRPr="00222917">
              <w:rPr>
                <w:rFonts w:eastAsia="Gulim"/>
                <w:bCs/>
                <w:i/>
                <w:sz w:val="14"/>
                <w:szCs w:val="14"/>
                <w:lang w:val="en-US"/>
              </w:rPr>
              <w:t>Year</w:t>
            </w:r>
          </w:p>
        </w:tc>
        <w:tc>
          <w:tcPr>
            <w:tcW w:w="964"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tcPr>
          <w:p w:rsidR="001D2686" w:rsidRPr="00222917" w:rsidRDefault="00754CF3" w:rsidP="00277C2B">
            <w:pPr>
              <w:keepNext/>
              <w:keepLines/>
              <w:suppressAutoHyphens w:val="0"/>
              <w:spacing w:before="80" w:after="80" w:line="180" w:lineRule="exact"/>
              <w:jc w:val="right"/>
              <w:rPr>
                <w:rFonts w:eastAsia="Gulim"/>
                <w:i/>
                <w:sz w:val="14"/>
                <w:szCs w:val="14"/>
                <w:lang w:val="en-US"/>
              </w:rPr>
            </w:pPr>
            <w:r w:rsidRPr="00222917">
              <w:rPr>
                <w:rFonts w:eastAsia="Gulim"/>
                <w:bCs/>
                <w:i/>
                <w:sz w:val="14"/>
                <w:szCs w:val="14"/>
                <w:lang w:val="en-US"/>
              </w:rPr>
              <w:t>Total number</w:t>
            </w:r>
            <w:r w:rsidRPr="00222917">
              <w:rPr>
                <w:rFonts w:eastAsia="Gulim"/>
                <w:bCs/>
                <w:i/>
                <w:sz w:val="14"/>
                <w:szCs w:val="14"/>
                <w:lang w:val="en-US"/>
              </w:rPr>
              <w:br/>
            </w:r>
            <w:r w:rsidR="001D2686" w:rsidRPr="00222917">
              <w:rPr>
                <w:rFonts w:eastAsia="Gulim"/>
                <w:bCs/>
                <w:i/>
                <w:sz w:val="14"/>
                <w:szCs w:val="14"/>
                <w:lang w:val="en-US"/>
              </w:rPr>
              <w:t xml:space="preserve">of </w:t>
            </w:r>
            <w:r w:rsidR="00452614" w:rsidRPr="00222917">
              <w:rPr>
                <w:rFonts w:eastAsia="Gulim"/>
                <w:bCs/>
                <w:i/>
                <w:sz w:val="14"/>
                <w:szCs w:val="14"/>
                <w:lang w:val="en-US"/>
              </w:rPr>
              <w:t>hospitalized</w:t>
            </w:r>
            <w:r w:rsidR="001D2686" w:rsidRPr="00222917">
              <w:rPr>
                <w:rFonts w:eastAsia="Gulim"/>
                <w:bCs/>
                <w:i/>
                <w:sz w:val="14"/>
                <w:szCs w:val="14"/>
                <w:lang w:val="en-US"/>
              </w:rPr>
              <w:t xml:space="preserve"> patients</w:t>
            </w:r>
          </w:p>
        </w:tc>
        <w:tc>
          <w:tcPr>
            <w:tcW w:w="964"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tcPr>
          <w:p w:rsidR="001D2686" w:rsidRPr="00222917" w:rsidRDefault="001D2686" w:rsidP="00277C2B">
            <w:pPr>
              <w:keepNext/>
              <w:keepLines/>
              <w:suppressAutoHyphens w:val="0"/>
              <w:spacing w:before="80" w:after="80" w:line="180" w:lineRule="exact"/>
              <w:jc w:val="right"/>
              <w:rPr>
                <w:rFonts w:eastAsia="Gulim"/>
                <w:i/>
                <w:sz w:val="14"/>
                <w:szCs w:val="14"/>
                <w:lang w:val="en-US"/>
              </w:rPr>
            </w:pPr>
            <w:r w:rsidRPr="00222917">
              <w:rPr>
                <w:rFonts w:eastAsia="Gulim"/>
                <w:bCs/>
                <w:i/>
                <w:sz w:val="14"/>
                <w:szCs w:val="14"/>
                <w:lang w:val="en-US"/>
              </w:rPr>
              <w:t>Voluntary hospitalization</w:t>
            </w:r>
          </w:p>
        </w:tc>
        <w:tc>
          <w:tcPr>
            <w:tcW w:w="964" w:type="dxa"/>
            <w:gridSpan w:val="3"/>
            <w:tcBorders>
              <w:top w:val="single" w:sz="4" w:space="0" w:color="auto"/>
              <w:bottom w:val="single" w:sz="12" w:space="0" w:color="auto"/>
            </w:tcBorders>
            <w:shd w:val="clear" w:color="auto" w:fill="auto"/>
            <w:tcMar>
              <w:top w:w="0" w:type="dxa"/>
              <w:left w:w="0" w:type="dxa"/>
              <w:bottom w:w="0" w:type="dxa"/>
              <w:right w:w="0" w:type="dxa"/>
            </w:tcMar>
            <w:vAlign w:val="bottom"/>
          </w:tcPr>
          <w:p w:rsidR="001D2686" w:rsidRPr="00222917" w:rsidRDefault="001D2686" w:rsidP="00277C2B">
            <w:pPr>
              <w:keepNext/>
              <w:keepLines/>
              <w:suppressAutoHyphens w:val="0"/>
              <w:spacing w:before="80" w:after="80" w:line="180" w:lineRule="exact"/>
              <w:jc w:val="center"/>
              <w:rPr>
                <w:rFonts w:eastAsia="Gulim"/>
                <w:i/>
                <w:sz w:val="14"/>
                <w:szCs w:val="14"/>
                <w:lang w:val="en-US"/>
              </w:rPr>
            </w:pPr>
            <w:r w:rsidRPr="00222917">
              <w:rPr>
                <w:rFonts w:eastAsia="Gulim"/>
                <w:bCs/>
                <w:i/>
                <w:sz w:val="14"/>
                <w:szCs w:val="14"/>
                <w:lang w:val="en-US"/>
              </w:rPr>
              <w:t>Hospitalization by</w:t>
            </w:r>
            <w:r w:rsidR="00754CF3" w:rsidRPr="00222917">
              <w:rPr>
                <w:rFonts w:eastAsia="Gulim"/>
                <w:bCs/>
                <w:i/>
                <w:sz w:val="14"/>
                <w:szCs w:val="14"/>
                <w:lang w:val="en-US"/>
              </w:rPr>
              <w:t xml:space="preserve"> persons</w:t>
            </w:r>
            <w:r w:rsidR="00754CF3" w:rsidRPr="00222917">
              <w:rPr>
                <w:rFonts w:eastAsia="Gulim"/>
                <w:bCs/>
                <w:i/>
                <w:sz w:val="14"/>
                <w:szCs w:val="14"/>
                <w:lang w:val="en-US"/>
              </w:rPr>
              <w:br/>
            </w:r>
            <w:r w:rsidRPr="00222917">
              <w:rPr>
                <w:rFonts w:eastAsia="Gulim"/>
                <w:bCs/>
                <w:i/>
                <w:sz w:val="14"/>
                <w:szCs w:val="14"/>
                <w:lang w:val="en-US"/>
              </w:rPr>
              <w:t>responsible for protective custody</w:t>
            </w:r>
          </w:p>
        </w:tc>
        <w:tc>
          <w:tcPr>
            <w:tcW w:w="964"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tcPr>
          <w:p w:rsidR="001D2686" w:rsidRPr="00222917" w:rsidRDefault="00754CF3" w:rsidP="00277C2B">
            <w:pPr>
              <w:keepNext/>
              <w:keepLines/>
              <w:suppressAutoHyphens w:val="0"/>
              <w:spacing w:before="80" w:after="80" w:line="180" w:lineRule="exact"/>
              <w:jc w:val="right"/>
              <w:rPr>
                <w:rFonts w:eastAsia="Gulim"/>
                <w:i/>
                <w:sz w:val="14"/>
                <w:szCs w:val="14"/>
                <w:lang w:val="en-US"/>
              </w:rPr>
            </w:pPr>
            <w:r w:rsidRPr="00222917">
              <w:rPr>
                <w:rFonts w:eastAsia="Gulim"/>
                <w:bCs/>
                <w:i/>
                <w:sz w:val="14"/>
                <w:szCs w:val="14"/>
                <w:lang w:val="en-US"/>
              </w:rPr>
              <w:t>Hospitalization by the head</w:t>
            </w:r>
            <w:r w:rsidRPr="00222917">
              <w:rPr>
                <w:rFonts w:eastAsia="Gulim"/>
                <w:bCs/>
                <w:i/>
                <w:sz w:val="14"/>
                <w:szCs w:val="14"/>
                <w:lang w:val="en-US"/>
              </w:rPr>
              <w:br/>
            </w:r>
            <w:r w:rsidR="00452614" w:rsidRPr="00222917">
              <w:rPr>
                <w:rFonts w:eastAsia="Gulim"/>
                <w:bCs/>
                <w:i/>
                <w:sz w:val="14"/>
                <w:szCs w:val="14"/>
                <w:lang w:val="en-US"/>
              </w:rPr>
              <w:t>of a l</w:t>
            </w:r>
            <w:r w:rsidR="001D2686" w:rsidRPr="00222917">
              <w:rPr>
                <w:rFonts w:eastAsia="Gulim"/>
                <w:bCs/>
                <w:i/>
                <w:sz w:val="14"/>
                <w:szCs w:val="14"/>
                <w:lang w:val="en-US"/>
              </w:rPr>
              <w:t>ocal government</w:t>
            </w:r>
          </w:p>
        </w:tc>
        <w:tc>
          <w:tcPr>
            <w:tcW w:w="964"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tcPr>
          <w:p w:rsidR="001D2686" w:rsidRPr="00222917" w:rsidRDefault="001D2686" w:rsidP="00277C2B">
            <w:pPr>
              <w:keepNext/>
              <w:keepLines/>
              <w:suppressAutoHyphens w:val="0"/>
              <w:spacing w:before="80" w:after="80" w:line="180" w:lineRule="exact"/>
              <w:jc w:val="right"/>
              <w:rPr>
                <w:rFonts w:eastAsia="Gulim"/>
                <w:i/>
                <w:sz w:val="14"/>
                <w:szCs w:val="14"/>
                <w:lang w:val="en-US"/>
              </w:rPr>
            </w:pPr>
            <w:r w:rsidRPr="00222917">
              <w:rPr>
                <w:rFonts w:eastAsia="Gulim"/>
                <w:bCs/>
                <w:i/>
                <w:sz w:val="14"/>
                <w:szCs w:val="14"/>
                <w:lang w:val="en-US"/>
              </w:rPr>
              <w:t>Emergency hospitalization</w:t>
            </w:r>
          </w:p>
        </w:tc>
      </w:tr>
      <w:tr w:rsidR="001D2686" w:rsidRPr="00222917" w:rsidTr="006C25D9">
        <w:trPr>
          <w:trHeight w:val="240"/>
          <w:tblHeader/>
        </w:trPr>
        <w:tc>
          <w:tcPr>
            <w:tcW w:w="624" w:type="dxa"/>
            <w:vMerge/>
            <w:tcBorders>
              <w:top w:val="single" w:sz="12" w:space="0" w:color="auto"/>
              <w:bottom w:val="single" w:sz="12" w:space="0" w:color="auto"/>
            </w:tcBorders>
            <w:shd w:val="clear" w:color="auto" w:fill="auto"/>
            <w:vAlign w:val="bottom"/>
          </w:tcPr>
          <w:p w:rsidR="001D2686" w:rsidRPr="00222917" w:rsidRDefault="001D2686" w:rsidP="00277C2B">
            <w:pPr>
              <w:keepNext/>
              <w:keepLines/>
              <w:suppressAutoHyphens w:val="0"/>
              <w:spacing w:before="40" w:after="40" w:line="180" w:lineRule="exact"/>
              <w:rPr>
                <w:i/>
                <w:sz w:val="14"/>
                <w:szCs w:val="14"/>
                <w:lang w:val="en-US"/>
              </w:rPr>
            </w:pPr>
          </w:p>
        </w:tc>
        <w:tc>
          <w:tcPr>
            <w:tcW w:w="964" w:type="dxa"/>
            <w:vMerge/>
            <w:tcBorders>
              <w:top w:val="single" w:sz="12" w:space="0" w:color="auto"/>
              <w:bottom w:val="single" w:sz="12" w:space="0" w:color="auto"/>
            </w:tcBorders>
            <w:shd w:val="clear" w:color="auto" w:fill="auto"/>
            <w:vAlign w:val="bottom"/>
          </w:tcPr>
          <w:p w:rsidR="001D2686" w:rsidRPr="00222917" w:rsidRDefault="001D2686" w:rsidP="00277C2B">
            <w:pPr>
              <w:keepNext/>
              <w:keepLines/>
              <w:suppressAutoHyphens w:val="0"/>
              <w:spacing w:before="40" w:after="40" w:line="180" w:lineRule="exact"/>
              <w:jc w:val="right"/>
              <w:rPr>
                <w:i/>
                <w:sz w:val="14"/>
                <w:szCs w:val="14"/>
                <w:lang w:val="en-US"/>
              </w:rPr>
            </w:pPr>
          </w:p>
        </w:tc>
        <w:tc>
          <w:tcPr>
            <w:tcW w:w="964" w:type="dxa"/>
            <w:vMerge/>
            <w:tcBorders>
              <w:top w:val="single" w:sz="12" w:space="0" w:color="auto"/>
              <w:bottom w:val="single" w:sz="12" w:space="0" w:color="auto"/>
            </w:tcBorders>
            <w:shd w:val="clear" w:color="auto" w:fill="auto"/>
            <w:vAlign w:val="bottom"/>
          </w:tcPr>
          <w:p w:rsidR="001D2686" w:rsidRPr="00222917" w:rsidRDefault="001D2686" w:rsidP="00277C2B">
            <w:pPr>
              <w:keepNext/>
              <w:keepLines/>
              <w:suppressAutoHyphens w:val="0"/>
              <w:spacing w:before="40" w:after="40" w:line="180" w:lineRule="exact"/>
              <w:jc w:val="right"/>
              <w:rPr>
                <w:i/>
                <w:sz w:val="14"/>
                <w:szCs w:val="14"/>
                <w:lang w:val="en-US"/>
              </w:rPr>
            </w:pPr>
          </w:p>
        </w:tc>
        <w:tc>
          <w:tcPr>
            <w:tcW w:w="964" w:type="dxa"/>
            <w:tcBorders>
              <w:top w:val="single" w:sz="12" w:space="0" w:color="auto"/>
              <w:bottom w:val="single" w:sz="12" w:space="0" w:color="auto"/>
            </w:tcBorders>
            <w:shd w:val="clear" w:color="auto" w:fill="auto"/>
            <w:tcMar>
              <w:top w:w="0" w:type="dxa"/>
              <w:left w:w="0" w:type="dxa"/>
              <w:bottom w:w="0" w:type="dxa"/>
              <w:right w:w="0" w:type="dxa"/>
            </w:tcMar>
            <w:vAlign w:val="bottom"/>
          </w:tcPr>
          <w:p w:rsidR="001D2686" w:rsidRPr="00222917" w:rsidRDefault="00754CF3" w:rsidP="00277C2B">
            <w:pPr>
              <w:keepNext/>
              <w:keepLines/>
              <w:suppressAutoHyphens w:val="0"/>
              <w:spacing w:before="40" w:after="40" w:line="180" w:lineRule="exact"/>
              <w:jc w:val="right"/>
              <w:rPr>
                <w:rFonts w:eastAsia="Gulim"/>
                <w:i/>
                <w:sz w:val="14"/>
                <w:szCs w:val="14"/>
                <w:lang w:val="en-US"/>
              </w:rPr>
            </w:pPr>
            <w:r w:rsidRPr="00222917">
              <w:rPr>
                <w:rFonts w:eastAsia="Gulim"/>
                <w:bCs/>
                <w:i/>
                <w:sz w:val="14"/>
                <w:szCs w:val="14"/>
                <w:lang w:val="en-US"/>
              </w:rPr>
              <w:t>When a person responsible</w:t>
            </w:r>
            <w:r w:rsidRPr="00222917">
              <w:rPr>
                <w:rFonts w:eastAsia="Gulim"/>
                <w:bCs/>
                <w:i/>
                <w:sz w:val="14"/>
                <w:szCs w:val="14"/>
                <w:lang w:val="en-US"/>
              </w:rPr>
              <w:br/>
            </w:r>
            <w:r w:rsidR="001D2686" w:rsidRPr="00222917">
              <w:rPr>
                <w:rFonts w:eastAsia="Gulim"/>
                <w:bCs/>
                <w:i/>
                <w:sz w:val="14"/>
                <w:szCs w:val="14"/>
                <w:lang w:val="en-US"/>
              </w:rPr>
              <w:t>for protective custody is a family member</w:t>
            </w:r>
          </w:p>
        </w:tc>
        <w:tc>
          <w:tcPr>
            <w:tcW w:w="964" w:type="dxa"/>
            <w:tcBorders>
              <w:top w:val="single" w:sz="12" w:space="0" w:color="auto"/>
              <w:bottom w:val="single" w:sz="12" w:space="0" w:color="auto"/>
            </w:tcBorders>
            <w:shd w:val="clear" w:color="auto" w:fill="auto"/>
            <w:tcMar>
              <w:top w:w="0" w:type="dxa"/>
              <w:left w:w="0" w:type="dxa"/>
              <w:bottom w:w="0" w:type="dxa"/>
              <w:right w:w="0" w:type="dxa"/>
            </w:tcMar>
            <w:vAlign w:val="bottom"/>
          </w:tcPr>
          <w:p w:rsidR="001D2686" w:rsidRPr="00222917" w:rsidRDefault="00754CF3" w:rsidP="00277C2B">
            <w:pPr>
              <w:keepNext/>
              <w:keepLines/>
              <w:suppressAutoHyphens w:val="0"/>
              <w:spacing w:before="40" w:after="40" w:line="180" w:lineRule="exact"/>
              <w:jc w:val="right"/>
              <w:rPr>
                <w:rFonts w:eastAsia="Gulim"/>
                <w:i/>
                <w:sz w:val="14"/>
                <w:szCs w:val="14"/>
                <w:lang w:val="en-US"/>
              </w:rPr>
            </w:pPr>
            <w:r w:rsidRPr="00222917">
              <w:rPr>
                <w:rFonts w:eastAsia="Gulim"/>
                <w:bCs/>
                <w:i/>
                <w:sz w:val="14"/>
                <w:szCs w:val="14"/>
                <w:lang w:val="en-US"/>
              </w:rPr>
              <w:t>When a person responsible</w:t>
            </w:r>
            <w:r w:rsidRPr="00222917">
              <w:rPr>
                <w:rFonts w:eastAsia="Gulim"/>
                <w:bCs/>
                <w:i/>
                <w:sz w:val="14"/>
                <w:szCs w:val="14"/>
                <w:lang w:val="en-US"/>
              </w:rPr>
              <w:br/>
            </w:r>
            <w:r w:rsidR="001D2686" w:rsidRPr="00222917">
              <w:rPr>
                <w:rFonts w:eastAsia="Gulim"/>
                <w:bCs/>
                <w:i/>
                <w:sz w:val="14"/>
                <w:szCs w:val="14"/>
                <w:lang w:val="en-US"/>
              </w:rPr>
              <w:t>for protective custody is the head of a local government</w:t>
            </w:r>
          </w:p>
        </w:tc>
        <w:tc>
          <w:tcPr>
            <w:tcW w:w="964" w:type="dxa"/>
            <w:tcBorders>
              <w:top w:val="single" w:sz="12" w:space="0" w:color="auto"/>
              <w:bottom w:val="single" w:sz="12" w:space="0" w:color="auto"/>
            </w:tcBorders>
            <w:shd w:val="clear" w:color="auto" w:fill="auto"/>
            <w:tcMar>
              <w:top w:w="0" w:type="dxa"/>
              <w:left w:w="0" w:type="dxa"/>
              <w:bottom w:w="0" w:type="dxa"/>
              <w:right w:w="0" w:type="dxa"/>
            </w:tcMar>
            <w:vAlign w:val="bottom"/>
          </w:tcPr>
          <w:p w:rsidR="001D2686" w:rsidRPr="00222917" w:rsidRDefault="00754CF3" w:rsidP="00277C2B">
            <w:pPr>
              <w:keepNext/>
              <w:keepLines/>
              <w:suppressAutoHyphens w:val="0"/>
              <w:spacing w:before="40" w:after="40" w:line="180" w:lineRule="exact"/>
              <w:jc w:val="right"/>
              <w:rPr>
                <w:rFonts w:eastAsia="Gulim"/>
                <w:i/>
                <w:sz w:val="14"/>
                <w:szCs w:val="14"/>
                <w:lang w:val="en-US"/>
              </w:rPr>
            </w:pPr>
            <w:r w:rsidRPr="00222917">
              <w:rPr>
                <w:rFonts w:eastAsia="Gulim"/>
                <w:bCs/>
                <w:i/>
                <w:sz w:val="14"/>
                <w:szCs w:val="14"/>
                <w:lang w:val="en-US"/>
              </w:rPr>
              <w:t>Institute</w:t>
            </w:r>
            <w:r w:rsidRPr="00222917">
              <w:rPr>
                <w:rFonts w:eastAsia="Gulim"/>
                <w:bCs/>
                <w:i/>
                <w:sz w:val="14"/>
                <w:szCs w:val="14"/>
                <w:lang w:val="en-US"/>
              </w:rPr>
              <w:br/>
            </w:r>
            <w:r w:rsidR="001D2686" w:rsidRPr="00222917">
              <w:rPr>
                <w:rFonts w:eastAsia="Gulim"/>
                <w:bCs/>
                <w:i/>
                <w:sz w:val="14"/>
                <w:szCs w:val="14"/>
                <w:lang w:val="en-US"/>
              </w:rPr>
              <w:t>of Forensic Psychiatry</w:t>
            </w:r>
          </w:p>
        </w:tc>
        <w:tc>
          <w:tcPr>
            <w:tcW w:w="964" w:type="dxa"/>
            <w:vMerge/>
            <w:tcBorders>
              <w:top w:val="single" w:sz="12" w:space="0" w:color="auto"/>
              <w:bottom w:val="single" w:sz="12" w:space="0" w:color="auto"/>
            </w:tcBorders>
            <w:shd w:val="clear" w:color="auto" w:fill="auto"/>
            <w:vAlign w:val="bottom"/>
          </w:tcPr>
          <w:p w:rsidR="001D2686" w:rsidRPr="00222917" w:rsidRDefault="001D2686" w:rsidP="00277C2B">
            <w:pPr>
              <w:keepNext/>
              <w:keepLines/>
              <w:suppressAutoHyphens w:val="0"/>
              <w:spacing w:before="40" w:after="40" w:line="180" w:lineRule="exact"/>
              <w:jc w:val="right"/>
              <w:rPr>
                <w:i/>
                <w:sz w:val="14"/>
                <w:szCs w:val="14"/>
                <w:lang w:val="en-US"/>
              </w:rPr>
            </w:pPr>
          </w:p>
        </w:tc>
        <w:tc>
          <w:tcPr>
            <w:tcW w:w="964" w:type="dxa"/>
            <w:vMerge/>
            <w:tcBorders>
              <w:top w:val="single" w:sz="12" w:space="0" w:color="auto"/>
              <w:bottom w:val="single" w:sz="12" w:space="0" w:color="auto"/>
            </w:tcBorders>
            <w:shd w:val="clear" w:color="auto" w:fill="auto"/>
            <w:vAlign w:val="bottom"/>
          </w:tcPr>
          <w:p w:rsidR="001D2686" w:rsidRPr="00222917" w:rsidRDefault="001D2686" w:rsidP="00277C2B">
            <w:pPr>
              <w:keepNext/>
              <w:keepLines/>
              <w:suppressAutoHyphens w:val="0"/>
              <w:spacing w:before="40" w:after="40" w:line="180" w:lineRule="exact"/>
              <w:jc w:val="right"/>
              <w:rPr>
                <w:i/>
                <w:sz w:val="14"/>
                <w:szCs w:val="14"/>
                <w:lang w:val="en-US"/>
              </w:rPr>
            </w:pPr>
          </w:p>
        </w:tc>
      </w:tr>
      <w:tr w:rsidR="001D2686" w:rsidRPr="00222917" w:rsidTr="003137E5">
        <w:trPr>
          <w:trHeight w:val="240"/>
        </w:trPr>
        <w:tc>
          <w:tcPr>
            <w:tcW w:w="624" w:type="dxa"/>
            <w:tcBorders>
              <w:top w:val="single" w:sz="12" w:space="0" w:color="auto"/>
            </w:tcBorders>
            <w:shd w:val="clear" w:color="auto" w:fill="auto"/>
            <w:tcMar>
              <w:top w:w="0" w:type="dxa"/>
              <w:left w:w="0" w:type="dxa"/>
              <w:bottom w:w="0" w:type="dxa"/>
              <w:right w:w="0" w:type="dxa"/>
            </w:tcMar>
            <w:vAlign w:val="center"/>
          </w:tcPr>
          <w:p w:rsidR="001D2686" w:rsidRPr="00222917" w:rsidRDefault="001D2686" w:rsidP="00277C2B">
            <w:pPr>
              <w:keepNext/>
              <w:keepLines/>
              <w:suppressAutoHyphens w:val="0"/>
              <w:snapToGrid w:val="0"/>
              <w:spacing w:before="40" w:after="40" w:line="200" w:lineRule="exact"/>
              <w:rPr>
                <w:sz w:val="16"/>
                <w:szCs w:val="16"/>
                <w:lang w:val="en-US"/>
              </w:rPr>
            </w:pPr>
            <w:r w:rsidRPr="00222917">
              <w:rPr>
                <w:rFonts w:eastAsia="Gulim"/>
                <w:sz w:val="16"/>
                <w:szCs w:val="16"/>
                <w:lang w:val="en-US"/>
              </w:rPr>
              <w:t>2008</w:t>
            </w:r>
          </w:p>
        </w:tc>
        <w:tc>
          <w:tcPr>
            <w:tcW w:w="964" w:type="dxa"/>
            <w:tcBorders>
              <w:top w:val="single" w:sz="12" w:space="0" w:color="auto"/>
            </w:tcBorders>
            <w:shd w:val="clear" w:color="auto" w:fill="auto"/>
            <w:tcMar>
              <w:top w:w="0" w:type="dxa"/>
              <w:left w:w="0" w:type="dxa"/>
              <w:bottom w:w="0" w:type="dxa"/>
              <w:right w:w="0" w:type="dxa"/>
            </w:tcMar>
          </w:tcPr>
          <w:p w:rsidR="001D2686" w:rsidRPr="00222917" w:rsidRDefault="001D2686" w:rsidP="00277C2B">
            <w:pPr>
              <w:keepNext/>
              <w:keepLines/>
              <w:suppressAutoHyphens w:val="0"/>
              <w:snapToGrid w:val="0"/>
              <w:spacing w:before="40" w:after="40" w:line="200" w:lineRule="exact"/>
              <w:jc w:val="right"/>
              <w:rPr>
                <w:sz w:val="16"/>
                <w:szCs w:val="16"/>
                <w:lang w:val="en-US"/>
              </w:rPr>
            </w:pPr>
            <w:r w:rsidRPr="00222917">
              <w:rPr>
                <w:rFonts w:eastAsia="Gulim"/>
                <w:sz w:val="16"/>
                <w:szCs w:val="16"/>
                <w:lang w:val="en-US"/>
              </w:rPr>
              <w:t>56,260</w:t>
            </w:r>
          </w:p>
        </w:tc>
        <w:tc>
          <w:tcPr>
            <w:tcW w:w="964" w:type="dxa"/>
            <w:tcBorders>
              <w:top w:val="single" w:sz="12" w:space="0" w:color="auto"/>
            </w:tcBorders>
            <w:shd w:val="clear" w:color="auto" w:fill="auto"/>
            <w:tcMar>
              <w:top w:w="0" w:type="dxa"/>
              <w:left w:w="0" w:type="dxa"/>
              <w:bottom w:w="0" w:type="dxa"/>
              <w:right w:w="0" w:type="dxa"/>
            </w:tcMar>
            <w:vAlign w:val="bottom"/>
          </w:tcPr>
          <w:p w:rsidR="001D2686" w:rsidRPr="00222917" w:rsidRDefault="001D2686" w:rsidP="00277C2B">
            <w:pPr>
              <w:keepNext/>
              <w:keepLines/>
              <w:suppressAutoHyphens w:val="0"/>
              <w:snapToGrid w:val="0"/>
              <w:spacing w:before="40" w:after="40" w:line="200" w:lineRule="exact"/>
              <w:jc w:val="right"/>
              <w:rPr>
                <w:sz w:val="16"/>
                <w:szCs w:val="16"/>
                <w:lang w:val="en-US"/>
              </w:rPr>
            </w:pPr>
            <w:r w:rsidRPr="00222917">
              <w:rPr>
                <w:rFonts w:eastAsia="Gulim"/>
                <w:sz w:val="16"/>
                <w:szCs w:val="16"/>
                <w:lang w:val="en-US"/>
              </w:rPr>
              <w:t>8,894</w:t>
            </w:r>
          </w:p>
          <w:p w:rsidR="001D2686" w:rsidRPr="00222917" w:rsidRDefault="001D2686" w:rsidP="00277C2B">
            <w:pPr>
              <w:keepNext/>
              <w:keepLines/>
              <w:suppressAutoHyphens w:val="0"/>
              <w:snapToGrid w:val="0"/>
              <w:spacing w:before="40" w:after="40" w:line="200" w:lineRule="exact"/>
              <w:jc w:val="right"/>
              <w:rPr>
                <w:sz w:val="16"/>
                <w:szCs w:val="16"/>
                <w:lang w:val="en-US"/>
              </w:rPr>
            </w:pPr>
            <w:r w:rsidRPr="00222917">
              <w:rPr>
                <w:rFonts w:eastAsia="Gulim"/>
                <w:sz w:val="16"/>
                <w:szCs w:val="16"/>
                <w:lang w:val="en-US"/>
              </w:rPr>
              <w:t>(15.8%)</w:t>
            </w:r>
          </w:p>
        </w:tc>
        <w:tc>
          <w:tcPr>
            <w:tcW w:w="964" w:type="dxa"/>
            <w:tcBorders>
              <w:top w:val="single" w:sz="12" w:space="0" w:color="auto"/>
            </w:tcBorders>
            <w:shd w:val="clear" w:color="auto" w:fill="auto"/>
            <w:tcMar>
              <w:top w:w="0" w:type="dxa"/>
              <w:left w:w="0" w:type="dxa"/>
              <w:bottom w:w="0" w:type="dxa"/>
              <w:right w:w="0" w:type="dxa"/>
            </w:tcMar>
            <w:vAlign w:val="bottom"/>
          </w:tcPr>
          <w:p w:rsidR="001D2686" w:rsidRPr="00222917" w:rsidRDefault="001D2686" w:rsidP="00277C2B">
            <w:pPr>
              <w:keepNext/>
              <w:keepLines/>
              <w:suppressAutoHyphens w:val="0"/>
              <w:snapToGrid w:val="0"/>
              <w:spacing w:before="40" w:after="40" w:line="200" w:lineRule="exact"/>
              <w:jc w:val="right"/>
              <w:rPr>
                <w:sz w:val="16"/>
                <w:szCs w:val="16"/>
                <w:lang w:val="en-US"/>
              </w:rPr>
            </w:pPr>
            <w:r w:rsidRPr="00222917">
              <w:rPr>
                <w:rFonts w:eastAsia="Gulim"/>
                <w:sz w:val="16"/>
                <w:szCs w:val="16"/>
                <w:lang w:val="en-US"/>
              </w:rPr>
              <w:t>42,615</w:t>
            </w:r>
          </w:p>
          <w:p w:rsidR="001D2686" w:rsidRPr="00222917" w:rsidRDefault="001D2686" w:rsidP="00277C2B">
            <w:pPr>
              <w:keepNext/>
              <w:keepLines/>
              <w:suppressAutoHyphens w:val="0"/>
              <w:snapToGrid w:val="0"/>
              <w:spacing w:before="40" w:after="40" w:line="200" w:lineRule="exact"/>
              <w:jc w:val="right"/>
              <w:rPr>
                <w:sz w:val="16"/>
                <w:szCs w:val="16"/>
                <w:lang w:val="en-US"/>
              </w:rPr>
            </w:pPr>
            <w:r w:rsidRPr="00222917">
              <w:rPr>
                <w:rFonts w:eastAsia="Gulim"/>
                <w:sz w:val="16"/>
                <w:szCs w:val="16"/>
                <w:lang w:val="en-US"/>
              </w:rPr>
              <w:t>(75.8%)</w:t>
            </w:r>
          </w:p>
        </w:tc>
        <w:tc>
          <w:tcPr>
            <w:tcW w:w="964" w:type="dxa"/>
            <w:tcBorders>
              <w:top w:val="single" w:sz="12" w:space="0" w:color="auto"/>
            </w:tcBorders>
            <w:shd w:val="clear" w:color="auto" w:fill="auto"/>
            <w:tcMar>
              <w:top w:w="0" w:type="dxa"/>
              <w:left w:w="0" w:type="dxa"/>
              <w:bottom w:w="0" w:type="dxa"/>
              <w:right w:w="0" w:type="dxa"/>
            </w:tcMar>
            <w:vAlign w:val="bottom"/>
          </w:tcPr>
          <w:p w:rsidR="001D2686" w:rsidRPr="00222917" w:rsidRDefault="001D2686" w:rsidP="00277C2B">
            <w:pPr>
              <w:keepNext/>
              <w:keepLines/>
              <w:suppressAutoHyphens w:val="0"/>
              <w:snapToGrid w:val="0"/>
              <w:spacing w:before="40" w:after="40" w:line="200" w:lineRule="exact"/>
              <w:jc w:val="right"/>
              <w:rPr>
                <w:sz w:val="16"/>
                <w:szCs w:val="16"/>
                <w:lang w:val="en-US"/>
              </w:rPr>
            </w:pPr>
            <w:r w:rsidRPr="00222917">
              <w:rPr>
                <w:rFonts w:eastAsia="Gulim"/>
                <w:sz w:val="16"/>
                <w:szCs w:val="16"/>
                <w:lang w:val="en-US"/>
              </w:rPr>
              <w:t>3,817</w:t>
            </w:r>
          </w:p>
          <w:p w:rsidR="001D2686" w:rsidRPr="00222917" w:rsidRDefault="001D2686" w:rsidP="00277C2B">
            <w:pPr>
              <w:keepNext/>
              <w:keepLines/>
              <w:suppressAutoHyphens w:val="0"/>
              <w:snapToGrid w:val="0"/>
              <w:spacing w:before="40" w:after="40" w:line="200" w:lineRule="exact"/>
              <w:jc w:val="right"/>
              <w:rPr>
                <w:sz w:val="16"/>
                <w:szCs w:val="16"/>
                <w:lang w:val="en-US"/>
              </w:rPr>
            </w:pPr>
            <w:r w:rsidRPr="00222917">
              <w:rPr>
                <w:rFonts w:eastAsia="Gulim"/>
                <w:sz w:val="16"/>
                <w:szCs w:val="16"/>
                <w:lang w:val="en-US"/>
              </w:rPr>
              <w:t>(6.8%)</w:t>
            </w:r>
          </w:p>
        </w:tc>
        <w:tc>
          <w:tcPr>
            <w:tcW w:w="964" w:type="dxa"/>
            <w:tcBorders>
              <w:top w:val="single" w:sz="12" w:space="0" w:color="auto"/>
            </w:tcBorders>
            <w:shd w:val="clear" w:color="auto" w:fill="auto"/>
            <w:tcMar>
              <w:top w:w="0" w:type="dxa"/>
              <w:left w:w="0" w:type="dxa"/>
              <w:bottom w:w="0" w:type="dxa"/>
              <w:right w:w="0" w:type="dxa"/>
            </w:tcMar>
            <w:vAlign w:val="bottom"/>
          </w:tcPr>
          <w:p w:rsidR="001D2686" w:rsidRPr="00222917" w:rsidRDefault="001D2686" w:rsidP="00277C2B">
            <w:pPr>
              <w:keepNext/>
              <w:keepLines/>
              <w:suppressAutoHyphens w:val="0"/>
              <w:snapToGrid w:val="0"/>
              <w:spacing w:before="40" w:after="40" w:line="200" w:lineRule="exact"/>
              <w:jc w:val="right"/>
              <w:rPr>
                <w:sz w:val="16"/>
                <w:szCs w:val="16"/>
                <w:lang w:val="en-US"/>
              </w:rPr>
            </w:pPr>
            <w:r w:rsidRPr="00222917">
              <w:rPr>
                <w:rFonts w:eastAsia="Gulim"/>
                <w:sz w:val="16"/>
                <w:szCs w:val="16"/>
                <w:lang w:val="en-US"/>
              </w:rPr>
              <w:t>785</w:t>
            </w:r>
          </w:p>
          <w:p w:rsidR="001D2686" w:rsidRPr="00222917" w:rsidRDefault="001D2686" w:rsidP="00277C2B">
            <w:pPr>
              <w:keepNext/>
              <w:keepLines/>
              <w:suppressAutoHyphens w:val="0"/>
              <w:snapToGrid w:val="0"/>
              <w:spacing w:before="40" w:after="40" w:line="200" w:lineRule="exact"/>
              <w:jc w:val="right"/>
              <w:rPr>
                <w:sz w:val="16"/>
                <w:szCs w:val="16"/>
                <w:lang w:val="en-US"/>
              </w:rPr>
            </w:pPr>
            <w:r w:rsidRPr="00222917">
              <w:rPr>
                <w:rFonts w:eastAsia="Gulim"/>
                <w:sz w:val="16"/>
                <w:szCs w:val="16"/>
                <w:lang w:val="en-US"/>
              </w:rPr>
              <w:t>(1.4%)</w:t>
            </w:r>
          </w:p>
        </w:tc>
        <w:tc>
          <w:tcPr>
            <w:tcW w:w="964" w:type="dxa"/>
            <w:tcBorders>
              <w:top w:val="single" w:sz="12" w:space="0" w:color="auto"/>
            </w:tcBorders>
            <w:shd w:val="clear" w:color="auto" w:fill="auto"/>
            <w:tcMar>
              <w:top w:w="0" w:type="dxa"/>
              <w:left w:w="0" w:type="dxa"/>
              <w:bottom w:w="0" w:type="dxa"/>
              <w:right w:w="0" w:type="dxa"/>
            </w:tcMar>
            <w:vAlign w:val="bottom"/>
          </w:tcPr>
          <w:p w:rsidR="001D2686" w:rsidRPr="00222917" w:rsidRDefault="001D2686" w:rsidP="00277C2B">
            <w:pPr>
              <w:keepNext/>
              <w:keepLines/>
              <w:suppressAutoHyphens w:val="0"/>
              <w:snapToGrid w:val="0"/>
              <w:spacing w:before="40" w:after="40" w:line="200" w:lineRule="exact"/>
              <w:jc w:val="right"/>
              <w:rPr>
                <w:sz w:val="16"/>
                <w:szCs w:val="16"/>
                <w:lang w:val="en-US"/>
              </w:rPr>
            </w:pPr>
            <w:r w:rsidRPr="00222917">
              <w:rPr>
                <w:rFonts w:eastAsia="Gulim"/>
                <w:sz w:val="16"/>
                <w:szCs w:val="16"/>
                <w:lang w:val="en-US"/>
              </w:rPr>
              <w:t>112</w:t>
            </w:r>
          </w:p>
          <w:p w:rsidR="001D2686" w:rsidRPr="00222917" w:rsidRDefault="001D2686" w:rsidP="00277C2B">
            <w:pPr>
              <w:keepNext/>
              <w:keepLines/>
              <w:suppressAutoHyphens w:val="0"/>
              <w:snapToGrid w:val="0"/>
              <w:spacing w:before="40" w:after="40" w:line="200" w:lineRule="exact"/>
              <w:jc w:val="right"/>
              <w:rPr>
                <w:sz w:val="16"/>
                <w:szCs w:val="16"/>
                <w:lang w:val="en-US"/>
              </w:rPr>
            </w:pPr>
            <w:r w:rsidRPr="00222917">
              <w:rPr>
                <w:rFonts w:eastAsia="Gulim"/>
                <w:sz w:val="16"/>
                <w:szCs w:val="16"/>
                <w:lang w:val="en-US"/>
              </w:rPr>
              <w:t>(0.2%)</w:t>
            </w:r>
          </w:p>
        </w:tc>
        <w:tc>
          <w:tcPr>
            <w:tcW w:w="964" w:type="dxa"/>
            <w:tcBorders>
              <w:top w:val="single" w:sz="12" w:space="0" w:color="auto"/>
            </w:tcBorders>
            <w:shd w:val="clear" w:color="auto" w:fill="auto"/>
            <w:tcMar>
              <w:top w:w="0" w:type="dxa"/>
              <w:left w:w="0" w:type="dxa"/>
              <w:bottom w:w="0" w:type="dxa"/>
              <w:right w:w="0" w:type="dxa"/>
            </w:tcMar>
            <w:vAlign w:val="bottom"/>
          </w:tcPr>
          <w:p w:rsidR="001D2686" w:rsidRPr="00222917" w:rsidRDefault="001D2686" w:rsidP="00277C2B">
            <w:pPr>
              <w:keepNext/>
              <w:keepLines/>
              <w:suppressAutoHyphens w:val="0"/>
              <w:snapToGrid w:val="0"/>
              <w:spacing w:before="40" w:after="40" w:line="200" w:lineRule="exact"/>
              <w:jc w:val="right"/>
              <w:rPr>
                <w:sz w:val="16"/>
                <w:szCs w:val="16"/>
                <w:lang w:val="en-US"/>
              </w:rPr>
            </w:pPr>
            <w:r w:rsidRPr="00222917">
              <w:rPr>
                <w:rFonts w:eastAsia="Gulim"/>
                <w:sz w:val="16"/>
                <w:szCs w:val="16"/>
                <w:lang w:val="en-US"/>
              </w:rPr>
              <w:t>37</w:t>
            </w:r>
          </w:p>
          <w:p w:rsidR="001D2686" w:rsidRPr="00222917" w:rsidRDefault="001D2686" w:rsidP="00277C2B">
            <w:pPr>
              <w:keepNext/>
              <w:keepLines/>
              <w:suppressAutoHyphens w:val="0"/>
              <w:snapToGrid w:val="0"/>
              <w:spacing w:before="40" w:after="40" w:line="200" w:lineRule="exact"/>
              <w:jc w:val="right"/>
              <w:rPr>
                <w:sz w:val="16"/>
                <w:szCs w:val="16"/>
                <w:lang w:val="en-US"/>
              </w:rPr>
            </w:pPr>
            <w:r w:rsidRPr="00222917">
              <w:rPr>
                <w:rFonts w:eastAsia="Gulim"/>
                <w:sz w:val="16"/>
                <w:szCs w:val="16"/>
                <w:lang w:val="en-US"/>
              </w:rPr>
              <w:t>(0.1%)</w:t>
            </w:r>
          </w:p>
        </w:tc>
      </w:tr>
      <w:tr w:rsidR="001D2686" w:rsidRPr="00222917" w:rsidTr="003137E5">
        <w:trPr>
          <w:trHeight w:val="240"/>
        </w:trPr>
        <w:tc>
          <w:tcPr>
            <w:tcW w:w="624" w:type="dxa"/>
            <w:shd w:val="clear" w:color="auto" w:fill="auto"/>
            <w:tcMar>
              <w:top w:w="0" w:type="dxa"/>
              <w:left w:w="0" w:type="dxa"/>
              <w:bottom w:w="0" w:type="dxa"/>
              <w:right w:w="0" w:type="dxa"/>
            </w:tcMar>
            <w:vAlign w:val="center"/>
          </w:tcPr>
          <w:p w:rsidR="001D2686" w:rsidRPr="00222917" w:rsidRDefault="001D2686" w:rsidP="003137E5">
            <w:pPr>
              <w:suppressAutoHyphens w:val="0"/>
              <w:snapToGrid w:val="0"/>
              <w:spacing w:before="40" w:after="40" w:line="200" w:lineRule="exact"/>
              <w:rPr>
                <w:sz w:val="16"/>
                <w:szCs w:val="16"/>
                <w:lang w:val="en-US"/>
              </w:rPr>
            </w:pPr>
            <w:r w:rsidRPr="00222917">
              <w:rPr>
                <w:rFonts w:eastAsia="Gulim"/>
                <w:sz w:val="16"/>
                <w:szCs w:val="16"/>
                <w:lang w:val="en-US"/>
              </w:rPr>
              <w:t>2009</w:t>
            </w:r>
          </w:p>
        </w:tc>
        <w:tc>
          <w:tcPr>
            <w:tcW w:w="964" w:type="dxa"/>
            <w:shd w:val="clear" w:color="auto" w:fill="auto"/>
            <w:tcMar>
              <w:top w:w="0" w:type="dxa"/>
              <w:left w:w="0" w:type="dxa"/>
              <w:bottom w:w="0" w:type="dxa"/>
              <w:right w:w="0" w:type="dxa"/>
            </w:tcMar>
          </w:tcPr>
          <w:p w:rsidR="001D2686" w:rsidRPr="00222917" w:rsidRDefault="001D2686" w:rsidP="003137E5">
            <w:pPr>
              <w:suppressAutoHyphens w:val="0"/>
              <w:snapToGrid w:val="0"/>
              <w:spacing w:before="40" w:after="40" w:line="200" w:lineRule="exact"/>
              <w:jc w:val="right"/>
              <w:rPr>
                <w:sz w:val="16"/>
                <w:szCs w:val="16"/>
                <w:lang w:val="en-US"/>
              </w:rPr>
            </w:pPr>
            <w:r w:rsidRPr="00222917">
              <w:rPr>
                <w:rFonts w:eastAsia="Gulim"/>
                <w:sz w:val="16"/>
                <w:szCs w:val="16"/>
                <w:lang w:val="en-US"/>
              </w:rPr>
              <w:t>59,190</w:t>
            </w:r>
          </w:p>
        </w:tc>
        <w:tc>
          <w:tcPr>
            <w:tcW w:w="964" w:type="dxa"/>
            <w:shd w:val="clear" w:color="auto" w:fill="auto"/>
            <w:tcMar>
              <w:top w:w="0" w:type="dxa"/>
              <w:left w:w="0" w:type="dxa"/>
              <w:bottom w:w="0" w:type="dxa"/>
              <w:right w:w="0" w:type="dxa"/>
            </w:tcMar>
            <w:vAlign w:val="bottom"/>
          </w:tcPr>
          <w:p w:rsidR="001D2686" w:rsidRPr="00222917" w:rsidRDefault="001D2686" w:rsidP="006C25D9">
            <w:pPr>
              <w:suppressAutoHyphens w:val="0"/>
              <w:snapToGrid w:val="0"/>
              <w:spacing w:before="40" w:after="40" w:line="200" w:lineRule="exact"/>
              <w:jc w:val="right"/>
              <w:rPr>
                <w:sz w:val="16"/>
                <w:szCs w:val="16"/>
                <w:lang w:val="en-US"/>
              </w:rPr>
            </w:pPr>
            <w:r w:rsidRPr="00222917">
              <w:rPr>
                <w:rFonts w:eastAsia="Gulim"/>
                <w:sz w:val="16"/>
                <w:szCs w:val="16"/>
                <w:lang w:val="en-US"/>
              </w:rPr>
              <w:t>11,625</w:t>
            </w:r>
          </w:p>
          <w:p w:rsidR="001D2686" w:rsidRPr="00222917" w:rsidRDefault="001D2686" w:rsidP="006C25D9">
            <w:pPr>
              <w:suppressAutoHyphens w:val="0"/>
              <w:snapToGrid w:val="0"/>
              <w:spacing w:before="40" w:after="40" w:line="200" w:lineRule="exact"/>
              <w:jc w:val="right"/>
              <w:rPr>
                <w:sz w:val="16"/>
                <w:szCs w:val="16"/>
                <w:lang w:val="en-US"/>
              </w:rPr>
            </w:pPr>
            <w:r w:rsidRPr="00222917">
              <w:rPr>
                <w:rFonts w:eastAsia="Gulim"/>
                <w:sz w:val="16"/>
                <w:szCs w:val="16"/>
                <w:lang w:val="en-US"/>
              </w:rPr>
              <w:t>(19.6%)</w:t>
            </w:r>
          </w:p>
        </w:tc>
        <w:tc>
          <w:tcPr>
            <w:tcW w:w="964" w:type="dxa"/>
            <w:shd w:val="clear" w:color="auto" w:fill="auto"/>
            <w:tcMar>
              <w:top w:w="0" w:type="dxa"/>
              <w:left w:w="0" w:type="dxa"/>
              <w:bottom w:w="0" w:type="dxa"/>
              <w:right w:w="0" w:type="dxa"/>
            </w:tcMar>
            <w:vAlign w:val="bottom"/>
          </w:tcPr>
          <w:p w:rsidR="001D2686" w:rsidRPr="00222917" w:rsidRDefault="001D2686" w:rsidP="006C25D9">
            <w:pPr>
              <w:suppressAutoHyphens w:val="0"/>
              <w:snapToGrid w:val="0"/>
              <w:spacing w:before="40" w:after="40" w:line="200" w:lineRule="exact"/>
              <w:jc w:val="right"/>
              <w:rPr>
                <w:sz w:val="16"/>
                <w:szCs w:val="16"/>
                <w:lang w:val="en-US"/>
              </w:rPr>
            </w:pPr>
            <w:r w:rsidRPr="00222917">
              <w:rPr>
                <w:rFonts w:eastAsia="Gulim"/>
                <w:sz w:val="16"/>
                <w:szCs w:val="16"/>
                <w:lang w:val="en-US"/>
              </w:rPr>
              <w:t>42,974</w:t>
            </w:r>
          </w:p>
          <w:p w:rsidR="001D2686" w:rsidRPr="00222917" w:rsidRDefault="001D2686" w:rsidP="006C25D9">
            <w:pPr>
              <w:suppressAutoHyphens w:val="0"/>
              <w:snapToGrid w:val="0"/>
              <w:spacing w:before="40" w:after="40" w:line="200" w:lineRule="exact"/>
              <w:jc w:val="right"/>
              <w:rPr>
                <w:sz w:val="16"/>
                <w:szCs w:val="16"/>
                <w:lang w:val="en-US"/>
              </w:rPr>
            </w:pPr>
            <w:r w:rsidRPr="00222917">
              <w:rPr>
                <w:rFonts w:eastAsia="Gulim"/>
                <w:sz w:val="16"/>
                <w:szCs w:val="16"/>
                <w:lang w:val="en-US"/>
              </w:rPr>
              <w:t>(72.6%)</w:t>
            </w:r>
          </w:p>
        </w:tc>
        <w:tc>
          <w:tcPr>
            <w:tcW w:w="964" w:type="dxa"/>
            <w:shd w:val="clear" w:color="auto" w:fill="auto"/>
            <w:tcMar>
              <w:top w:w="0" w:type="dxa"/>
              <w:left w:w="0" w:type="dxa"/>
              <w:bottom w:w="0" w:type="dxa"/>
              <w:right w:w="0" w:type="dxa"/>
            </w:tcMar>
            <w:vAlign w:val="bottom"/>
          </w:tcPr>
          <w:p w:rsidR="001D2686" w:rsidRPr="00222917" w:rsidRDefault="001D2686" w:rsidP="006C25D9">
            <w:pPr>
              <w:suppressAutoHyphens w:val="0"/>
              <w:snapToGrid w:val="0"/>
              <w:spacing w:before="40" w:after="40" w:line="200" w:lineRule="exact"/>
              <w:jc w:val="right"/>
              <w:rPr>
                <w:sz w:val="16"/>
                <w:szCs w:val="16"/>
                <w:lang w:val="en-US"/>
              </w:rPr>
            </w:pPr>
            <w:r w:rsidRPr="00222917">
              <w:rPr>
                <w:rFonts w:eastAsia="Gulim"/>
                <w:sz w:val="16"/>
                <w:szCs w:val="16"/>
                <w:lang w:val="en-US"/>
              </w:rPr>
              <w:t>3,488</w:t>
            </w:r>
          </w:p>
          <w:p w:rsidR="001D2686" w:rsidRPr="00222917" w:rsidRDefault="001D2686" w:rsidP="006C25D9">
            <w:pPr>
              <w:suppressAutoHyphens w:val="0"/>
              <w:snapToGrid w:val="0"/>
              <w:spacing w:before="40" w:after="40" w:line="200" w:lineRule="exact"/>
              <w:jc w:val="right"/>
              <w:rPr>
                <w:sz w:val="16"/>
                <w:szCs w:val="16"/>
                <w:lang w:val="en-US"/>
              </w:rPr>
            </w:pPr>
            <w:r w:rsidRPr="00222917">
              <w:rPr>
                <w:rFonts w:eastAsia="Gulim"/>
                <w:sz w:val="16"/>
                <w:szCs w:val="16"/>
                <w:lang w:val="en-US"/>
              </w:rPr>
              <w:t>(5.9%)</w:t>
            </w:r>
          </w:p>
        </w:tc>
        <w:tc>
          <w:tcPr>
            <w:tcW w:w="964" w:type="dxa"/>
            <w:shd w:val="clear" w:color="auto" w:fill="auto"/>
            <w:tcMar>
              <w:top w:w="0" w:type="dxa"/>
              <w:left w:w="0" w:type="dxa"/>
              <w:bottom w:w="0" w:type="dxa"/>
              <w:right w:w="0" w:type="dxa"/>
            </w:tcMar>
            <w:vAlign w:val="bottom"/>
          </w:tcPr>
          <w:p w:rsidR="001D2686" w:rsidRPr="00222917" w:rsidRDefault="001D2686" w:rsidP="006C25D9">
            <w:pPr>
              <w:suppressAutoHyphens w:val="0"/>
              <w:snapToGrid w:val="0"/>
              <w:spacing w:before="40" w:after="40" w:line="200" w:lineRule="exact"/>
              <w:jc w:val="right"/>
              <w:rPr>
                <w:sz w:val="16"/>
                <w:szCs w:val="16"/>
                <w:lang w:val="en-US"/>
              </w:rPr>
            </w:pPr>
            <w:r w:rsidRPr="00222917">
              <w:rPr>
                <w:rFonts w:eastAsia="Gulim"/>
                <w:sz w:val="16"/>
                <w:szCs w:val="16"/>
                <w:lang w:val="en-US"/>
              </w:rPr>
              <w:t>851</w:t>
            </w:r>
          </w:p>
          <w:p w:rsidR="001D2686" w:rsidRPr="00222917" w:rsidRDefault="001D2686" w:rsidP="006C25D9">
            <w:pPr>
              <w:suppressAutoHyphens w:val="0"/>
              <w:snapToGrid w:val="0"/>
              <w:spacing w:before="40" w:after="40" w:line="200" w:lineRule="exact"/>
              <w:jc w:val="right"/>
              <w:rPr>
                <w:sz w:val="16"/>
                <w:szCs w:val="16"/>
                <w:lang w:val="en-US"/>
              </w:rPr>
            </w:pPr>
            <w:r w:rsidRPr="00222917">
              <w:rPr>
                <w:rFonts w:eastAsia="Gulim"/>
                <w:sz w:val="16"/>
                <w:szCs w:val="16"/>
                <w:lang w:val="en-US"/>
              </w:rPr>
              <w:t>(1.4%)</w:t>
            </w:r>
          </w:p>
        </w:tc>
        <w:tc>
          <w:tcPr>
            <w:tcW w:w="964" w:type="dxa"/>
            <w:shd w:val="clear" w:color="auto" w:fill="auto"/>
            <w:tcMar>
              <w:top w:w="0" w:type="dxa"/>
              <w:left w:w="0" w:type="dxa"/>
              <w:bottom w:w="0" w:type="dxa"/>
              <w:right w:w="0" w:type="dxa"/>
            </w:tcMar>
            <w:vAlign w:val="bottom"/>
          </w:tcPr>
          <w:p w:rsidR="001D2686" w:rsidRPr="00222917" w:rsidRDefault="001D2686" w:rsidP="006C25D9">
            <w:pPr>
              <w:suppressAutoHyphens w:val="0"/>
              <w:snapToGrid w:val="0"/>
              <w:spacing w:before="40" w:after="40" w:line="200" w:lineRule="exact"/>
              <w:jc w:val="right"/>
              <w:rPr>
                <w:sz w:val="16"/>
                <w:szCs w:val="16"/>
                <w:lang w:val="en-US"/>
              </w:rPr>
            </w:pPr>
            <w:r w:rsidRPr="00222917">
              <w:rPr>
                <w:rFonts w:eastAsia="Gulim"/>
                <w:sz w:val="16"/>
                <w:szCs w:val="16"/>
                <w:lang w:val="en-US"/>
              </w:rPr>
              <w:t>176</w:t>
            </w:r>
          </w:p>
          <w:p w:rsidR="001D2686" w:rsidRPr="00222917" w:rsidRDefault="001D2686" w:rsidP="006C25D9">
            <w:pPr>
              <w:suppressAutoHyphens w:val="0"/>
              <w:snapToGrid w:val="0"/>
              <w:spacing w:before="40" w:after="40" w:line="200" w:lineRule="exact"/>
              <w:jc w:val="right"/>
              <w:rPr>
                <w:sz w:val="16"/>
                <w:szCs w:val="16"/>
                <w:lang w:val="en-US"/>
              </w:rPr>
            </w:pPr>
            <w:r w:rsidRPr="00222917">
              <w:rPr>
                <w:rFonts w:eastAsia="Gulim"/>
                <w:sz w:val="16"/>
                <w:szCs w:val="16"/>
                <w:lang w:val="en-US"/>
              </w:rPr>
              <w:t>(0.3%)</w:t>
            </w:r>
          </w:p>
        </w:tc>
        <w:tc>
          <w:tcPr>
            <w:tcW w:w="964" w:type="dxa"/>
            <w:shd w:val="clear" w:color="auto" w:fill="auto"/>
            <w:tcMar>
              <w:top w:w="0" w:type="dxa"/>
              <w:left w:w="0" w:type="dxa"/>
              <w:bottom w:w="0" w:type="dxa"/>
              <w:right w:w="0" w:type="dxa"/>
            </w:tcMar>
            <w:vAlign w:val="bottom"/>
          </w:tcPr>
          <w:p w:rsidR="001D2686" w:rsidRPr="00222917" w:rsidRDefault="001D2686" w:rsidP="006C25D9">
            <w:pPr>
              <w:suppressAutoHyphens w:val="0"/>
              <w:snapToGrid w:val="0"/>
              <w:spacing w:before="40" w:after="40" w:line="200" w:lineRule="exact"/>
              <w:jc w:val="right"/>
              <w:rPr>
                <w:sz w:val="16"/>
                <w:szCs w:val="16"/>
                <w:lang w:val="en-US"/>
              </w:rPr>
            </w:pPr>
            <w:r w:rsidRPr="00222917">
              <w:rPr>
                <w:rFonts w:eastAsia="Gulim"/>
                <w:sz w:val="16"/>
                <w:szCs w:val="16"/>
                <w:lang w:val="en-US"/>
              </w:rPr>
              <w:t>76</w:t>
            </w:r>
          </w:p>
          <w:p w:rsidR="001D2686" w:rsidRPr="00222917" w:rsidRDefault="001D2686" w:rsidP="006C25D9">
            <w:pPr>
              <w:suppressAutoHyphens w:val="0"/>
              <w:snapToGrid w:val="0"/>
              <w:spacing w:before="40" w:after="40" w:line="200" w:lineRule="exact"/>
              <w:jc w:val="right"/>
              <w:rPr>
                <w:sz w:val="16"/>
                <w:szCs w:val="16"/>
                <w:lang w:val="en-US"/>
              </w:rPr>
            </w:pPr>
            <w:r w:rsidRPr="00222917">
              <w:rPr>
                <w:rFonts w:eastAsia="Gulim"/>
                <w:sz w:val="16"/>
                <w:szCs w:val="16"/>
                <w:lang w:val="en-US"/>
              </w:rPr>
              <w:t>(0.1%)</w:t>
            </w:r>
          </w:p>
        </w:tc>
      </w:tr>
      <w:tr w:rsidR="001D2686" w:rsidRPr="00222917" w:rsidTr="003137E5">
        <w:trPr>
          <w:trHeight w:val="240"/>
        </w:trPr>
        <w:tc>
          <w:tcPr>
            <w:tcW w:w="624" w:type="dxa"/>
            <w:tcBorders>
              <w:bottom w:val="single" w:sz="12" w:space="0" w:color="auto"/>
            </w:tcBorders>
            <w:shd w:val="clear" w:color="auto" w:fill="auto"/>
            <w:tcMar>
              <w:top w:w="0" w:type="dxa"/>
              <w:left w:w="0" w:type="dxa"/>
              <w:bottom w:w="0" w:type="dxa"/>
              <w:right w:w="0" w:type="dxa"/>
            </w:tcMar>
            <w:vAlign w:val="center"/>
          </w:tcPr>
          <w:p w:rsidR="001D2686" w:rsidRPr="00222917" w:rsidRDefault="001D2686" w:rsidP="003137E5">
            <w:pPr>
              <w:suppressAutoHyphens w:val="0"/>
              <w:snapToGrid w:val="0"/>
              <w:spacing w:before="40" w:after="40" w:line="200" w:lineRule="exact"/>
              <w:rPr>
                <w:rFonts w:eastAsia="Gulim"/>
                <w:sz w:val="16"/>
                <w:szCs w:val="16"/>
                <w:lang w:val="en-US"/>
              </w:rPr>
            </w:pPr>
            <w:r w:rsidRPr="00222917">
              <w:rPr>
                <w:rFonts w:eastAsia="Gulim"/>
                <w:sz w:val="16"/>
                <w:szCs w:val="16"/>
                <w:lang w:val="en-US"/>
              </w:rPr>
              <w:t>2010</w:t>
            </w:r>
          </w:p>
        </w:tc>
        <w:tc>
          <w:tcPr>
            <w:tcW w:w="964" w:type="dxa"/>
            <w:tcBorders>
              <w:bottom w:val="single" w:sz="12" w:space="0" w:color="auto"/>
            </w:tcBorders>
            <w:shd w:val="clear" w:color="auto" w:fill="auto"/>
            <w:tcMar>
              <w:top w:w="0" w:type="dxa"/>
              <w:left w:w="0" w:type="dxa"/>
              <w:bottom w:w="0" w:type="dxa"/>
              <w:right w:w="0" w:type="dxa"/>
            </w:tcMar>
          </w:tcPr>
          <w:p w:rsidR="001D2686" w:rsidRPr="00222917" w:rsidRDefault="001D2686" w:rsidP="003137E5">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63,630</w:t>
            </w:r>
          </w:p>
        </w:tc>
        <w:tc>
          <w:tcPr>
            <w:tcW w:w="964" w:type="dxa"/>
            <w:tcBorders>
              <w:bottom w:val="single" w:sz="12" w:space="0" w:color="auto"/>
            </w:tcBorders>
            <w:shd w:val="clear" w:color="auto" w:fill="auto"/>
            <w:tcMar>
              <w:top w:w="0" w:type="dxa"/>
              <w:left w:w="0" w:type="dxa"/>
              <w:bottom w:w="0" w:type="dxa"/>
              <w:right w:w="0" w:type="dxa"/>
            </w:tcMar>
            <w:vAlign w:val="bottom"/>
          </w:tcPr>
          <w:p w:rsidR="001D2686" w:rsidRPr="00222917" w:rsidRDefault="001D2686" w:rsidP="006C25D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14,502</w:t>
            </w:r>
          </w:p>
          <w:p w:rsidR="001D2686" w:rsidRPr="00222917" w:rsidRDefault="001D2686" w:rsidP="006C25D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(22.8%)</w:t>
            </w:r>
          </w:p>
        </w:tc>
        <w:tc>
          <w:tcPr>
            <w:tcW w:w="964" w:type="dxa"/>
            <w:tcBorders>
              <w:bottom w:val="single" w:sz="12" w:space="0" w:color="auto"/>
            </w:tcBorders>
            <w:shd w:val="clear" w:color="auto" w:fill="auto"/>
            <w:tcMar>
              <w:top w:w="0" w:type="dxa"/>
              <w:left w:w="0" w:type="dxa"/>
              <w:bottom w:w="0" w:type="dxa"/>
              <w:right w:w="0" w:type="dxa"/>
            </w:tcMar>
            <w:vAlign w:val="bottom"/>
          </w:tcPr>
          <w:p w:rsidR="001D2686" w:rsidRPr="00222917" w:rsidRDefault="001D2686" w:rsidP="006C25D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44,530</w:t>
            </w:r>
          </w:p>
          <w:p w:rsidR="001D2686" w:rsidRPr="00222917" w:rsidRDefault="001D2686" w:rsidP="006C25D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(70.0%)</w:t>
            </w:r>
          </w:p>
        </w:tc>
        <w:tc>
          <w:tcPr>
            <w:tcW w:w="964" w:type="dxa"/>
            <w:tcBorders>
              <w:bottom w:val="single" w:sz="12" w:space="0" w:color="auto"/>
            </w:tcBorders>
            <w:shd w:val="clear" w:color="auto" w:fill="auto"/>
            <w:tcMar>
              <w:top w:w="0" w:type="dxa"/>
              <w:left w:w="0" w:type="dxa"/>
              <w:bottom w:w="0" w:type="dxa"/>
              <w:right w:w="0" w:type="dxa"/>
            </w:tcMar>
            <w:vAlign w:val="bottom"/>
          </w:tcPr>
          <w:p w:rsidR="001D2686" w:rsidRPr="00222917" w:rsidRDefault="001D2686" w:rsidP="006C25D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3,328</w:t>
            </w:r>
          </w:p>
          <w:p w:rsidR="001D2686" w:rsidRPr="00222917" w:rsidRDefault="001D2686" w:rsidP="006C25D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(5.2%)</w:t>
            </w:r>
          </w:p>
        </w:tc>
        <w:tc>
          <w:tcPr>
            <w:tcW w:w="964" w:type="dxa"/>
            <w:tcBorders>
              <w:bottom w:val="single" w:sz="12" w:space="0" w:color="auto"/>
            </w:tcBorders>
            <w:shd w:val="clear" w:color="auto" w:fill="auto"/>
            <w:tcMar>
              <w:top w:w="0" w:type="dxa"/>
              <w:left w:w="0" w:type="dxa"/>
              <w:bottom w:w="0" w:type="dxa"/>
              <w:right w:w="0" w:type="dxa"/>
            </w:tcMar>
            <w:vAlign w:val="bottom"/>
          </w:tcPr>
          <w:p w:rsidR="001D2686" w:rsidRPr="00222917" w:rsidRDefault="001D2686" w:rsidP="006C25D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910</w:t>
            </w:r>
          </w:p>
          <w:p w:rsidR="001D2686" w:rsidRPr="00222917" w:rsidRDefault="001D2686" w:rsidP="006C25D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(1.4%)</w:t>
            </w:r>
          </w:p>
        </w:tc>
        <w:tc>
          <w:tcPr>
            <w:tcW w:w="964" w:type="dxa"/>
            <w:tcBorders>
              <w:bottom w:val="single" w:sz="12" w:space="0" w:color="auto"/>
            </w:tcBorders>
            <w:shd w:val="clear" w:color="auto" w:fill="auto"/>
            <w:tcMar>
              <w:top w:w="0" w:type="dxa"/>
              <w:left w:w="0" w:type="dxa"/>
              <w:bottom w:w="0" w:type="dxa"/>
              <w:right w:w="0" w:type="dxa"/>
            </w:tcMar>
            <w:vAlign w:val="bottom"/>
          </w:tcPr>
          <w:p w:rsidR="001D2686" w:rsidRPr="00222917" w:rsidRDefault="001D2686" w:rsidP="006C25D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251</w:t>
            </w:r>
          </w:p>
          <w:p w:rsidR="001D2686" w:rsidRPr="00222917" w:rsidRDefault="001D2686" w:rsidP="006C25D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(0.4%)</w:t>
            </w:r>
          </w:p>
        </w:tc>
        <w:tc>
          <w:tcPr>
            <w:tcW w:w="964" w:type="dxa"/>
            <w:tcBorders>
              <w:bottom w:val="single" w:sz="12" w:space="0" w:color="auto"/>
            </w:tcBorders>
            <w:shd w:val="clear" w:color="auto" w:fill="auto"/>
            <w:tcMar>
              <w:top w:w="0" w:type="dxa"/>
              <w:left w:w="0" w:type="dxa"/>
              <w:bottom w:w="0" w:type="dxa"/>
              <w:right w:w="0" w:type="dxa"/>
            </w:tcMar>
            <w:vAlign w:val="bottom"/>
          </w:tcPr>
          <w:p w:rsidR="001D2686" w:rsidRPr="00222917" w:rsidRDefault="001D2686" w:rsidP="006C25D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109</w:t>
            </w:r>
          </w:p>
          <w:p w:rsidR="001D2686" w:rsidRPr="00222917" w:rsidRDefault="001D2686" w:rsidP="006C25D9">
            <w:pPr>
              <w:suppressAutoHyphens w:val="0"/>
              <w:snapToGrid w:val="0"/>
              <w:spacing w:before="40" w:after="40" w:line="200" w:lineRule="exact"/>
              <w:jc w:val="right"/>
              <w:rPr>
                <w:rFonts w:eastAsia="Gulim"/>
                <w:sz w:val="16"/>
                <w:szCs w:val="16"/>
                <w:lang w:val="en-US"/>
              </w:rPr>
            </w:pPr>
            <w:r w:rsidRPr="00222917">
              <w:rPr>
                <w:rFonts w:eastAsia="Gulim"/>
                <w:sz w:val="16"/>
                <w:szCs w:val="16"/>
                <w:lang w:val="en-US"/>
              </w:rPr>
              <w:t>(0.2%)</w:t>
            </w:r>
          </w:p>
        </w:tc>
      </w:tr>
    </w:tbl>
    <w:p w:rsidR="002D5BB0" w:rsidRPr="00222917" w:rsidRDefault="00547908" w:rsidP="00547908">
      <w:pPr>
        <w:pStyle w:val="SingleTxtG"/>
        <w:spacing w:before="240"/>
        <w:rPr>
          <w:lang w:val="en-US"/>
        </w:rPr>
      </w:pPr>
      <w:r w:rsidRPr="00222917">
        <w:rPr>
          <w:lang w:val="en-US"/>
        </w:rPr>
        <w:t>151.</w:t>
      </w:r>
      <w:r w:rsidRPr="00222917">
        <w:rPr>
          <w:lang w:val="en-US"/>
        </w:rPr>
        <w:tab/>
      </w:r>
      <w:r w:rsidR="002D5BB0" w:rsidRPr="00222917">
        <w:rPr>
          <w:lang w:val="en-US"/>
        </w:rPr>
        <w:t xml:space="preserve">On 15 January 2009, the Supreme Court made a decision that if mental medical institutions fail to take procedures required under the </w:t>
      </w:r>
      <w:r w:rsidR="002D5BB0" w:rsidRPr="00C70182">
        <w:rPr>
          <w:iCs/>
          <w:lang w:val="en-US"/>
        </w:rPr>
        <w:t>Mental Health Act</w:t>
      </w:r>
      <w:r w:rsidR="002D5BB0" w:rsidRPr="00222917">
        <w:rPr>
          <w:lang w:val="en-US"/>
        </w:rPr>
        <w:t xml:space="preserve"> including a failure to report an illegal process of </w:t>
      </w:r>
      <w:r w:rsidR="002D5BB0" w:rsidRPr="00222917">
        <w:rPr>
          <w:bCs/>
          <w:lang w:val="en-US"/>
        </w:rPr>
        <w:t>hospitalization</w:t>
      </w:r>
      <w:r w:rsidR="002D5BB0" w:rsidRPr="00222917">
        <w:rPr>
          <w:lang w:val="en-US"/>
        </w:rPr>
        <w:t xml:space="preserve"> and discharge, the entire period of such hospitalization constitutes a delict as it is an act of unlawful confinement (2006 DA 19832). </w:t>
      </w:r>
    </w:p>
    <w:p w:rsidR="002D5BB0" w:rsidRPr="00222917" w:rsidRDefault="00277C2B" w:rsidP="00277C2B">
      <w:pPr>
        <w:pStyle w:val="H23G"/>
        <w:rPr>
          <w:lang w:val="en-US"/>
        </w:rPr>
      </w:pPr>
      <w:bookmarkStart w:id="84" w:name="_Toc307504065"/>
      <w:bookmarkStart w:id="85" w:name="_Toc336435837"/>
      <w:r w:rsidRPr="00222917">
        <w:rPr>
          <w:lang w:val="en-US"/>
        </w:rPr>
        <w:tab/>
      </w:r>
      <w:r w:rsidRPr="00222917">
        <w:rPr>
          <w:lang w:val="en-US"/>
        </w:rPr>
        <w:tab/>
      </w:r>
      <w:r w:rsidR="002D5BB0" w:rsidRPr="00222917">
        <w:rPr>
          <w:lang w:val="en-US"/>
        </w:rPr>
        <w:t>Detainment under the Immigration Control Act</w:t>
      </w:r>
      <w:bookmarkEnd w:id="84"/>
      <w:bookmarkEnd w:id="85"/>
    </w:p>
    <w:p w:rsidR="002D5BB0" w:rsidRPr="00222917" w:rsidRDefault="00547908" w:rsidP="00547908">
      <w:pPr>
        <w:pStyle w:val="SingleTxtG"/>
        <w:rPr>
          <w:lang w:val="en-US"/>
        </w:rPr>
      </w:pPr>
      <w:r w:rsidRPr="00222917">
        <w:rPr>
          <w:lang w:val="en-US"/>
        </w:rPr>
        <w:t>152.</w:t>
      </w:r>
      <w:r w:rsidRPr="00222917">
        <w:rPr>
          <w:lang w:val="en-US"/>
        </w:rPr>
        <w:tab/>
      </w:r>
      <w:r w:rsidR="002D5BB0" w:rsidRPr="00222917">
        <w:rPr>
          <w:lang w:val="en-US"/>
        </w:rPr>
        <w:t>As explained in the third report, w</w:t>
      </w:r>
      <w:r w:rsidR="002D5BB0" w:rsidRPr="00222917">
        <w:rPr>
          <w:bCs/>
          <w:lang w:val="en-US"/>
        </w:rPr>
        <w:t>hen it is impossible to immediately execute a deportation order against a person, the</w:t>
      </w:r>
      <w:r w:rsidR="002D5BB0" w:rsidRPr="00222917">
        <w:rPr>
          <w:lang w:val="en-US"/>
        </w:rPr>
        <w:t xml:space="preserve"> </w:t>
      </w:r>
      <w:r w:rsidR="002D5BB0" w:rsidRPr="00222917">
        <w:rPr>
          <w:bCs/>
          <w:lang w:val="en-US"/>
        </w:rPr>
        <w:t>heads</w:t>
      </w:r>
      <w:r w:rsidR="002D5BB0" w:rsidRPr="00222917">
        <w:rPr>
          <w:lang w:val="en-US"/>
        </w:rPr>
        <w:t xml:space="preserve"> of immigration offices, branch offices, or immigration detention centers (hereinafter referred to as “heads of immigration offices, etc.) </w:t>
      </w:r>
      <w:r w:rsidR="002D5BB0" w:rsidRPr="00222917">
        <w:rPr>
          <w:bCs/>
          <w:lang w:val="en-US"/>
        </w:rPr>
        <w:t xml:space="preserve">may, pursuant to the </w:t>
      </w:r>
      <w:r w:rsidR="002D5BB0" w:rsidRPr="00C70182">
        <w:rPr>
          <w:iCs/>
          <w:lang w:val="en-US"/>
        </w:rPr>
        <w:t>Immigration Control Act</w:t>
      </w:r>
      <w:r w:rsidR="002D5BB0" w:rsidRPr="00222917">
        <w:rPr>
          <w:lang w:val="en-US"/>
        </w:rPr>
        <w:t xml:space="preserve">, </w:t>
      </w:r>
      <w:r w:rsidR="002D5BB0" w:rsidRPr="00222917">
        <w:rPr>
          <w:bCs/>
          <w:lang w:val="en-US"/>
        </w:rPr>
        <w:t>place the person in question in a foreigner custody facility</w:t>
      </w:r>
      <w:r w:rsidR="002D5BB0" w:rsidRPr="00222917">
        <w:rPr>
          <w:lang w:val="en-US"/>
        </w:rPr>
        <w:t xml:space="preserve">, immigration detention center, etc. until his deportation is possible. </w:t>
      </w:r>
      <w:r w:rsidR="002D5BB0" w:rsidRPr="00222917">
        <w:rPr>
          <w:bCs/>
          <w:lang w:val="en-US"/>
        </w:rPr>
        <w:t xml:space="preserve">Furthermore, when it becomes evident that the foreigner cannot be deported, the custody measure of the person may be lifted with certain conditions attached </w:t>
      </w:r>
      <w:r w:rsidR="002D5BB0" w:rsidRPr="00222917">
        <w:rPr>
          <w:lang w:val="en-US"/>
        </w:rPr>
        <w:t xml:space="preserve">(CCPR/C/KOR/2005/3, para. 222). </w:t>
      </w:r>
    </w:p>
    <w:p w:rsidR="002D5BB0" w:rsidRPr="00222917" w:rsidRDefault="00547908" w:rsidP="00547908">
      <w:pPr>
        <w:pStyle w:val="SingleTxtG"/>
        <w:rPr>
          <w:lang w:val="en-US"/>
        </w:rPr>
      </w:pPr>
      <w:r w:rsidRPr="00222917">
        <w:rPr>
          <w:lang w:val="en-US"/>
        </w:rPr>
        <w:t>153.</w:t>
      </w:r>
      <w:r w:rsidRPr="00222917">
        <w:rPr>
          <w:lang w:val="en-US"/>
        </w:rPr>
        <w:tab/>
      </w:r>
      <w:r w:rsidR="002D5BB0" w:rsidRPr="00222917">
        <w:rPr>
          <w:lang w:val="en-US"/>
        </w:rPr>
        <w:t xml:space="preserve">Foreigners detained under a written detention order may file with a court an administrative lawsuit requesting cancellation of the order in accordance with the </w:t>
      </w:r>
      <w:r w:rsidR="002D5BB0" w:rsidRPr="00C70182">
        <w:rPr>
          <w:iCs/>
          <w:lang w:val="en-US"/>
        </w:rPr>
        <w:t>Administrative Litigation Act</w:t>
      </w:r>
      <w:r w:rsidR="002D5BB0" w:rsidRPr="00222917">
        <w:rPr>
          <w:lang w:val="en-US"/>
        </w:rPr>
        <w:t xml:space="preserve"> within 90 days from the day when the person gains knowledge of the order. As long as foreigners remain in custody, they may raise objections to their detention under the </w:t>
      </w:r>
      <w:r w:rsidR="002D5BB0" w:rsidRPr="00C70182">
        <w:rPr>
          <w:iCs/>
          <w:lang w:val="en-US"/>
        </w:rPr>
        <w:t>Immigration Control Act</w:t>
      </w:r>
      <w:r w:rsidR="002D5BB0" w:rsidRPr="00222917">
        <w:rPr>
          <w:lang w:val="en-US"/>
        </w:rPr>
        <w:t xml:space="preserve"> regardless of t</w:t>
      </w:r>
      <w:r w:rsidR="00C974F8" w:rsidRPr="00222917">
        <w:rPr>
          <w:lang w:val="en-US"/>
        </w:rPr>
        <w:t>he period of detention (</w:t>
      </w:r>
      <w:r w:rsidR="00681EC0" w:rsidRPr="00222917">
        <w:rPr>
          <w:lang w:val="en-US"/>
        </w:rPr>
        <w:t>a</w:t>
      </w:r>
      <w:r w:rsidR="00C974F8" w:rsidRPr="00222917">
        <w:rPr>
          <w:lang w:val="en-US"/>
        </w:rPr>
        <w:t>rticle </w:t>
      </w:r>
      <w:r w:rsidR="002D5BB0" w:rsidRPr="00222917">
        <w:rPr>
          <w:lang w:val="en-US"/>
        </w:rPr>
        <w:t xml:space="preserve">55). In order to give further publicity to the procedure of remedy for violation of their rights, the Government </w:t>
      </w:r>
      <w:r w:rsidR="002D5BB0" w:rsidRPr="00222917">
        <w:rPr>
          <w:bCs/>
          <w:lang w:val="en-US"/>
        </w:rPr>
        <w:t>published</w:t>
      </w:r>
      <w:r w:rsidR="002D5BB0" w:rsidRPr="00222917">
        <w:rPr>
          <w:lang w:val="en-US"/>
        </w:rPr>
        <w:t xml:space="preserve"> a booklet titled “Guide to Remedy for and Daily Activities of Detainees in Immigration Detention Centers” in July 2009. The booklet was published in 10 languages including Korean, English, Chinese, and Mongolian. The</w:t>
      </w:r>
      <w:r w:rsidR="00411B58" w:rsidRPr="00222917">
        <w:rPr>
          <w:lang w:val="en-US"/>
        </w:rPr>
        <w:t> </w:t>
      </w:r>
      <w:r w:rsidR="002D5BB0" w:rsidRPr="00222917">
        <w:rPr>
          <w:lang w:val="en-US"/>
        </w:rPr>
        <w:t>Government published 4,000 copies of the booklet and keeps them available at each immigration detention center and immigration office.</w:t>
      </w:r>
      <w:r w:rsidR="00120D8B" w:rsidRPr="00222917">
        <w:rPr>
          <w:lang w:val="en-US"/>
        </w:rPr>
        <w:t xml:space="preserve"> </w:t>
      </w:r>
    </w:p>
    <w:p w:rsidR="002D5BB0" w:rsidRPr="00222917" w:rsidRDefault="00547908" w:rsidP="00547908">
      <w:pPr>
        <w:pStyle w:val="SingleTxtG"/>
        <w:rPr>
          <w:lang w:val="en-US"/>
        </w:rPr>
      </w:pPr>
      <w:r w:rsidRPr="00222917">
        <w:rPr>
          <w:lang w:val="en-US"/>
        </w:rPr>
        <w:t>154.</w:t>
      </w:r>
      <w:r w:rsidRPr="00222917">
        <w:rPr>
          <w:lang w:val="en-US"/>
        </w:rPr>
        <w:tab/>
      </w:r>
      <w:r w:rsidR="002D5BB0" w:rsidRPr="00222917">
        <w:rPr>
          <w:lang w:val="en-US"/>
        </w:rPr>
        <w:t xml:space="preserve">Most detained foreigners depart from the </w:t>
      </w:r>
      <w:smartTag w:uri="urn:schemas-microsoft-com:office:smarttags" w:element="place">
        <w:smartTag w:uri="urn:schemas-microsoft-com:office:smarttags" w:element="PlaceType">
          <w:r w:rsidR="002D5BB0" w:rsidRPr="00222917">
            <w:rPr>
              <w:lang w:val="en-US"/>
            </w:rPr>
            <w:t>Republic</w:t>
          </w:r>
        </w:smartTag>
        <w:r w:rsidR="002D5BB0" w:rsidRPr="00222917">
          <w:rPr>
            <w:lang w:val="en-US"/>
          </w:rPr>
          <w:t xml:space="preserve"> of </w:t>
        </w:r>
        <w:smartTag w:uri="urn:schemas-microsoft-com:office:smarttags" w:element="PlaceName">
          <w:r w:rsidR="002D5BB0" w:rsidRPr="00222917">
            <w:rPr>
              <w:lang w:val="en-US"/>
            </w:rPr>
            <w:t>Korea</w:t>
          </w:r>
        </w:smartTag>
      </w:smartTag>
      <w:r w:rsidR="002D5BB0" w:rsidRPr="00222917">
        <w:rPr>
          <w:lang w:val="en-US"/>
        </w:rPr>
        <w:t xml:space="preserve"> within 10 days upon completion of preparation for their return home. Most cases that foreigners remain in custody for an extended period of time are due to protection of their rights or ascribable to themselves such as issuance of a travel </w:t>
      </w:r>
      <w:r w:rsidR="002D5BB0" w:rsidRPr="00222917">
        <w:rPr>
          <w:bCs/>
          <w:lang w:val="en-US"/>
        </w:rPr>
        <w:t>certificate</w:t>
      </w:r>
      <w:r w:rsidR="002D5BB0" w:rsidRPr="00222917">
        <w:rPr>
          <w:lang w:val="en-US"/>
        </w:rPr>
        <w:t xml:space="preserve"> and settlement of back pay. Since it was noted that in such cases, long-term detention of foreigners may lead to violation of their human rights, the </w:t>
      </w:r>
      <w:r w:rsidR="002D5BB0" w:rsidRPr="00222917">
        <w:rPr>
          <w:iCs/>
          <w:lang w:val="en-US"/>
        </w:rPr>
        <w:t xml:space="preserve">Immigration Control Act </w:t>
      </w:r>
      <w:r w:rsidR="002D5BB0" w:rsidRPr="00222917">
        <w:rPr>
          <w:lang w:val="en-US"/>
        </w:rPr>
        <w:t>was revised on 21 April 2010. The Act provides that if a person subject to a deportation order remains detained for more than three months, advance approval from the Minister of Justice shall be obtained every three months to extend detention. Otherwise, the custody m</w:t>
      </w:r>
      <w:r w:rsidR="00C974F8" w:rsidRPr="00222917">
        <w:rPr>
          <w:lang w:val="en-US"/>
        </w:rPr>
        <w:t>easures will be lifted (</w:t>
      </w:r>
      <w:r w:rsidR="00681EC0" w:rsidRPr="00222917">
        <w:rPr>
          <w:lang w:val="en-US"/>
        </w:rPr>
        <w:t>a</w:t>
      </w:r>
      <w:r w:rsidR="00C974F8" w:rsidRPr="00222917">
        <w:rPr>
          <w:lang w:val="en-US"/>
        </w:rPr>
        <w:t>rticle </w:t>
      </w:r>
      <w:r w:rsidR="002D5BB0" w:rsidRPr="00222917">
        <w:rPr>
          <w:lang w:val="en-US"/>
        </w:rPr>
        <w:t>63</w:t>
      </w:r>
      <w:r w:rsidR="00681EC0" w:rsidRPr="00222917">
        <w:rPr>
          <w:lang w:val="en-US"/>
        </w:rPr>
        <w:t xml:space="preserve"> </w:t>
      </w:r>
      <w:r w:rsidR="002D5BB0" w:rsidRPr="00222917">
        <w:rPr>
          <w:lang w:val="en-US"/>
        </w:rPr>
        <w:t xml:space="preserve">(2) and (3)). </w:t>
      </w:r>
    </w:p>
    <w:p w:rsidR="002D5BB0" w:rsidRPr="00222917" w:rsidRDefault="00411B58" w:rsidP="00411B58">
      <w:pPr>
        <w:pStyle w:val="H1G"/>
        <w:rPr>
          <w:lang w:val="en-US"/>
        </w:rPr>
      </w:pPr>
      <w:bookmarkStart w:id="86" w:name="_Toc307504066"/>
      <w:bookmarkStart w:id="87" w:name="_Toc336435838"/>
      <w:r w:rsidRPr="00222917">
        <w:rPr>
          <w:lang w:val="en-US"/>
        </w:rPr>
        <w:tab/>
      </w:r>
      <w:r w:rsidRPr="00222917">
        <w:rPr>
          <w:lang w:val="en-US"/>
        </w:rPr>
        <w:tab/>
      </w:r>
      <w:r w:rsidR="002D5BB0" w:rsidRPr="00222917">
        <w:rPr>
          <w:lang w:val="en-US"/>
        </w:rPr>
        <w:t>Paragraph 2</w:t>
      </w:r>
      <w:bookmarkEnd w:id="86"/>
      <w:bookmarkEnd w:id="87"/>
    </w:p>
    <w:p w:rsidR="002D5BB0" w:rsidRPr="00222917" w:rsidRDefault="00547908" w:rsidP="00547908">
      <w:pPr>
        <w:pStyle w:val="SingleTxtG"/>
        <w:rPr>
          <w:lang w:val="en-US"/>
        </w:rPr>
      </w:pPr>
      <w:r w:rsidRPr="00222917">
        <w:rPr>
          <w:lang w:val="en-US"/>
        </w:rPr>
        <w:t>155.</w:t>
      </w:r>
      <w:r w:rsidRPr="00222917">
        <w:rPr>
          <w:lang w:val="en-US"/>
        </w:rPr>
        <w:tab/>
      </w:r>
      <w:r w:rsidR="002D5BB0" w:rsidRPr="00222917">
        <w:rPr>
          <w:lang w:val="en-US"/>
        </w:rPr>
        <w:t xml:space="preserve">As expounded in the second report, the Constitution and the </w:t>
      </w:r>
      <w:r w:rsidR="002D5BB0" w:rsidRPr="00C70182">
        <w:rPr>
          <w:iCs/>
          <w:lang w:val="en-US"/>
        </w:rPr>
        <w:t xml:space="preserve">Criminal Procedure Act </w:t>
      </w:r>
      <w:r w:rsidR="002D5BB0" w:rsidRPr="00222917">
        <w:rPr>
          <w:lang w:val="en-US"/>
        </w:rPr>
        <w:t xml:space="preserve">provide that persons arrested or detained shall be informed of the reason of their arrest or detention and their right to appoint </w:t>
      </w:r>
      <w:r w:rsidR="002D5BB0" w:rsidRPr="00222917">
        <w:rPr>
          <w:bCs/>
          <w:lang w:val="en-US"/>
        </w:rPr>
        <w:t>counsel</w:t>
      </w:r>
      <w:r w:rsidR="002D5BB0" w:rsidRPr="00222917">
        <w:rPr>
          <w:lang w:val="en-US"/>
        </w:rPr>
        <w:t>. In addition, their family members should be immediately informed of the cause, time and place of their arrest or det</w:t>
      </w:r>
      <w:r w:rsidR="00411B58" w:rsidRPr="00222917">
        <w:rPr>
          <w:lang w:val="en-US"/>
        </w:rPr>
        <w:t>ention (CCPR/C/114/Add.1, para. </w:t>
      </w:r>
      <w:r w:rsidR="002D5BB0" w:rsidRPr="00222917">
        <w:rPr>
          <w:lang w:val="en-US"/>
        </w:rPr>
        <w:t xml:space="preserve">111). </w:t>
      </w:r>
    </w:p>
    <w:p w:rsidR="002D5BB0" w:rsidRPr="00222917" w:rsidRDefault="00411B58" w:rsidP="00411B58">
      <w:pPr>
        <w:pStyle w:val="H23G"/>
        <w:rPr>
          <w:lang w:val="en-US"/>
        </w:rPr>
      </w:pPr>
      <w:bookmarkStart w:id="88" w:name="_Toc307504067"/>
      <w:bookmarkStart w:id="89" w:name="_Toc336435839"/>
      <w:r w:rsidRPr="00222917">
        <w:rPr>
          <w:lang w:val="en-US"/>
        </w:rPr>
        <w:tab/>
      </w:r>
      <w:r w:rsidRPr="00222917">
        <w:rPr>
          <w:lang w:val="en-US"/>
        </w:rPr>
        <w:tab/>
      </w:r>
      <w:r w:rsidR="002D5BB0" w:rsidRPr="00222917">
        <w:rPr>
          <w:lang w:val="en-US"/>
        </w:rPr>
        <w:t>Guarantee of the Right to Counsel</w:t>
      </w:r>
      <w:bookmarkEnd w:id="88"/>
      <w:bookmarkEnd w:id="89"/>
      <w:r w:rsidR="002D5BB0" w:rsidRPr="00222917">
        <w:rPr>
          <w:lang w:val="en-US"/>
        </w:rPr>
        <w:t xml:space="preserve"> </w:t>
      </w:r>
    </w:p>
    <w:p w:rsidR="002D5BB0" w:rsidRPr="00222917" w:rsidRDefault="00547908" w:rsidP="00547908">
      <w:pPr>
        <w:pStyle w:val="SingleTxtG"/>
        <w:rPr>
          <w:lang w:val="en-US"/>
        </w:rPr>
      </w:pPr>
      <w:r w:rsidRPr="00222917">
        <w:rPr>
          <w:lang w:val="en-US"/>
        </w:rPr>
        <w:t>156.</w:t>
      </w:r>
      <w:r w:rsidRPr="00222917">
        <w:rPr>
          <w:lang w:val="en-US"/>
        </w:rPr>
        <w:tab/>
      </w:r>
      <w:r w:rsidR="002D5BB0" w:rsidRPr="00222917">
        <w:rPr>
          <w:lang w:val="en-US"/>
        </w:rPr>
        <w:t xml:space="preserve">In its consideration of the third report, the Committee was concerned by the Government’s interference with the right to counsel during pre-trial criminal detention. In particular, the Committee was </w:t>
      </w:r>
      <w:r w:rsidR="002D5BB0" w:rsidRPr="00222917">
        <w:rPr>
          <w:bCs/>
          <w:lang w:val="en-US"/>
        </w:rPr>
        <w:t>concerned</w:t>
      </w:r>
      <w:r w:rsidR="002D5BB0" w:rsidRPr="00222917">
        <w:rPr>
          <w:lang w:val="en-US"/>
        </w:rPr>
        <w:t xml:space="preserve"> that consultation with counsel was permitted only during interrogation, and that even during interrogation, police officials may deny access to counsel on grounds that it will purportedly interfere with the investigation, aid a fugitive defendant, or endanger the acquisition of evidence (CCPR/C/KOR/CO/3, para.</w:t>
      </w:r>
      <w:r w:rsidR="00411B58" w:rsidRPr="00222917">
        <w:rPr>
          <w:lang w:val="en-US"/>
        </w:rPr>
        <w:t> </w:t>
      </w:r>
      <w:r w:rsidR="002D5BB0" w:rsidRPr="00222917">
        <w:rPr>
          <w:lang w:val="en-US"/>
        </w:rPr>
        <w:t xml:space="preserve">14). </w:t>
      </w:r>
    </w:p>
    <w:p w:rsidR="002D5BB0" w:rsidRPr="00222917" w:rsidRDefault="00547908" w:rsidP="00547908">
      <w:pPr>
        <w:pStyle w:val="SingleTxtG"/>
        <w:rPr>
          <w:lang w:val="en-US"/>
        </w:rPr>
      </w:pPr>
      <w:r w:rsidRPr="00222917">
        <w:rPr>
          <w:lang w:val="en-US"/>
        </w:rPr>
        <w:t>157.</w:t>
      </w:r>
      <w:r w:rsidRPr="00222917">
        <w:rPr>
          <w:lang w:val="en-US"/>
        </w:rPr>
        <w:tab/>
      </w:r>
      <w:r w:rsidR="002D5BB0" w:rsidRPr="00222917">
        <w:rPr>
          <w:lang w:val="en-US"/>
        </w:rPr>
        <w:t xml:space="preserve">Under the </w:t>
      </w:r>
      <w:r w:rsidR="002D5BB0" w:rsidRPr="00C70182">
        <w:rPr>
          <w:iCs/>
          <w:lang w:val="en-US"/>
        </w:rPr>
        <w:t xml:space="preserve">Criminal Procedure Act </w:t>
      </w:r>
      <w:r w:rsidR="002D5BB0" w:rsidRPr="00222917">
        <w:rPr>
          <w:lang w:val="en-US"/>
        </w:rPr>
        <w:t>revised on 1 June 2007, suspects subject to a hearing for examination before detention as well as detained suspects are included in the scope of persons for whom state-appointed counsel should be d</w:t>
      </w:r>
      <w:r w:rsidR="00C974F8" w:rsidRPr="00222917">
        <w:rPr>
          <w:lang w:val="en-US"/>
        </w:rPr>
        <w:t>esignated compulsorily (</w:t>
      </w:r>
      <w:r w:rsidR="00681EC0" w:rsidRPr="00222917">
        <w:rPr>
          <w:lang w:val="en-US"/>
        </w:rPr>
        <w:t>a</w:t>
      </w:r>
      <w:r w:rsidR="00C974F8" w:rsidRPr="00222917">
        <w:rPr>
          <w:lang w:val="en-US"/>
        </w:rPr>
        <w:t>rticle </w:t>
      </w:r>
      <w:r w:rsidR="002D5BB0" w:rsidRPr="00222917">
        <w:rPr>
          <w:lang w:val="en-US"/>
        </w:rPr>
        <w:t>201-2</w:t>
      </w:r>
      <w:r w:rsidR="00681EC0" w:rsidRPr="00222917">
        <w:rPr>
          <w:lang w:val="en-US"/>
        </w:rPr>
        <w:t xml:space="preserve"> </w:t>
      </w:r>
      <w:r w:rsidR="002D5BB0" w:rsidRPr="00222917">
        <w:rPr>
          <w:lang w:val="en-US"/>
        </w:rPr>
        <w:t xml:space="preserve">(8)). Provisions newly inserted in the Act specify that the right to counsel of suspects not detained shall not be </w:t>
      </w:r>
      <w:r w:rsidR="002D5BB0" w:rsidRPr="00222917">
        <w:rPr>
          <w:bCs/>
          <w:lang w:val="en-US"/>
        </w:rPr>
        <w:t>restricted</w:t>
      </w:r>
      <w:r w:rsidR="002D5BB0" w:rsidRPr="00222917">
        <w:rPr>
          <w:lang w:val="en-US"/>
        </w:rPr>
        <w:t xml:space="preserve"> on grounds that investigation is underway; an opinion of a counselor who participates in interrogation shall be stated after the interrogation in principle; and a counselor may raise an objection even in the middle of interrogation regarding any unfair</w:t>
      </w:r>
      <w:r w:rsidR="00C974F8" w:rsidRPr="00222917">
        <w:rPr>
          <w:lang w:val="en-US"/>
        </w:rPr>
        <w:t xml:space="preserve"> interrogation methods (</w:t>
      </w:r>
      <w:r w:rsidR="00681EC0" w:rsidRPr="00222917">
        <w:rPr>
          <w:lang w:val="en-US"/>
        </w:rPr>
        <w:t>a</w:t>
      </w:r>
      <w:r w:rsidR="00C974F8" w:rsidRPr="00222917">
        <w:rPr>
          <w:lang w:val="en-US"/>
        </w:rPr>
        <w:t>rticle </w:t>
      </w:r>
      <w:r w:rsidR="002D5BB0" w:rsidRPr="00222917">
        <w:rPr>
          <w:lang w:val="en-US"/>
        </w:rPr>
        <w:t>243-2).</w:t>
      </w:r>
    </w:p>
    <w:p w:rsidR="002D5BB0" w:rsidRPr="00222917" w:rsidRDefault="00411B58" w:rsidP="00411B58">
      <w:pPr>
        <w:pStyle w:val="H23G"/>
        <w:rPr>
          <w:b w:val="0"/>
          <w:sz w:val="16"/>
          <w:szCs w:val="16"/>
          <w:lang w:val="en-US"/>
        </w:rPr>
      </w:pPr>
      <w:r w:rsidRPr="00222917">
        <w:rPr>
          <w:lang w:val="en-US"/>
        </w:rPr>
        <w:tab/>
      </w:r>
      <w:r w:rsidRPr="00222917">
        <w:rPr>
          <w:lang w:val="en-US"/>
        </w:rPr>
        <w:tab/>
      </w:r>
      <w:r w:rsidR="002D5BB0" w:rsidRPr="00222917">
        <w:rPr>
          <w:lang w:val="en-US"/>
        </w:rPr>
        <w:t>Participation by Counsel in Interrogation</w:t>
      </w:r>
      <w:r w:rsidRPr="00222917">
        <w:rPr>
          <w:lang w:val="en-US"/>
        </w:rPr>
        <w:br/>
      </w:r>
      <w:r w:rsidR="002D5BB0" w:rsidRPr="00222917">
        <w:rPr>
          <w:b w:val="0"/>
          <w:sz w:val="16"/>
          <w:szCs w:val="16"/>
          <w:lang w:val="en-US"/>
        </w:rPr>
        <w:t xml:space="preserve">(Number of cases) </w:t>
      </w:r>
    </w:p>
    <w:tbl>
      <w:tblPr>
        <w:tblW w:w="0" w:type="auto"/>
        <w:tblInd w:w="1134" w:type="dxa"/>
        <w:tblBorders>
          <w:top w:val="single" w:sz="4" w:space="0" w:color="auto"/>
          <w:bottom w:val="single" w:sz="12" w:space="0" w:color="auto"/>
          <w:insideH w:val="single" w:sz="12" w:space="0" w:color="auto"/>
        </w:tblBorders>
        <w:tblLayout w:type="fixed"/>
        <w:tblCellMar>
          <w:left w:w="0" w:type="dxa"/>
          <w:right w:w="0" w:type="dxa"/>
        </w:tblCellMar>
        <w:tblLook w:val="00A0"/>
      </w:tblPr>
      <w:tblGrid>
        <w:gridCol w:w="2608"/>
        <w:gridCol w:w="794"/>
        <w:gridCol w:w="794"/>
        <w:gridCol w:w="794"/>
        <w:gridCol w:w="794"/>
        <w:gridCol w:w="794"/>
        <w:gridCol w:w="794"/>
      </w:tblGrid>
      <w:tr w:rsidR="001D2686" w:rsidRPr="00222917" w:rsidTr="00411B58">
        <w:trPr>
          <w:trHeight w:val="240"/>
          <w:tblHeader/>
        </w:trPr>
        <w:tc>
          <w:tcPr>
            <w:tcW w:w="2608" w:type="dxa"/>
            <w:shd w:val="clear" w:color="auto" w:fill="auto"/>
            <w:tcMar>
              <w:top w:w="15" w:type="dxa"/>
              <w:left w:w="15" w:type="dxa"/>
              <w:bottom w:w="15" w:type="dxa"/>
              <w:right w:w="15" w:type="dxa"/>
            </w:tcMar>
            <w:vAlign w:val="bottom"/>
          </w:tcPr>
          <w:p w:rsidR="002D5BB0" w:rsidRPr="00222917" w:rsidRDefault="002D5BB0" w:rsidP="00411B58">
            <w:pPr>
              <w:pStyle w:val="SingleTxtG"/>
              <w:suppressAutoHyphens w:val="0"/>
              <w:spacing w:before="80" w:after="80" w:line="200" w:lineRule="exact"/>
              <w:ind w:left="0" w:right="0"/>
              <w:jc w:val="left"/>
              <w:rPr>
                <w:i/>
                <w:sz w:val="16"/>
                <w:lang w:val="en-US"/>
              </w:rPr>
            </w:pPr>
            <w:bookmarkStart w:id="90" w:name="BM_6ac56ccc"/>
            <w:bookmarkEnd w:id="90"/>
            <w:r w:rsidRPr="00222917">
              <w:rPr>
                <w:bCs/>
                <w:i/>
                <w:sz w:val="16"/>
                <w:lang w:val="en-US"/>
              </w:rPr>
              <w:t>Year</w:t>
            </w:r>
          </w:p>
        </w:tc>
        <w:tc>
          <w:tcPr>
            <w:tcW w:w="794" w:type="dxa"/>
            <w:shd w:val="clear" w:color="auto" w:fill="auto"/>
            <w:tcMar>
              <w:top w:w="15" w:type="dxa"/>
              <w:left w:w="15" w:type="dxa"/>
              <w:bottom w:w="15" w:type="dxa"/>
              <w:right w:w="15" w:type="dxa"/>
            </w:tcMar>
            <w:vAlign w:val="bottom"/>
          </w:tcPr>
          <w:p w:rsidR="002D5BB0" w:rsidRPr="00222917" w:rsidRDefault="002D5BB0" w:rsidP="00411B58">
            <w:pPr>
              <w:pStyle w:val="SingleTxtG"/>
              <w:suppressAutoHyphens w:val="0"/>
              <w:spacing w:before="80" w:after="80" w:line="200" w:lineRule="exact"/>
              <w:ind w:left="0" w:right="0"/>
              <w:jc w:val="right"/>
              <w:rPr>
                <w:i/>
                <w:sz w:val="16"/>
                <w:lang w:val="en-US"/>
              </w:rPr>
            </w:pPr>
            <w:r w:rsidRPr="00222917">
              <w:rPr>
                <w:bCs/>
                <w:i/>
                <w:sz w:val="16"/>
                <w:lang w:val="en-US"/>
              </w:rPr>
              <w:t>2005</w:t>
            </w:r>
          </w:p>
        </w:tc>
        <w:tc>
          <w:tcPr>
            <w:tcW w:w="794" w:type="dxa"/>
            <w:shd w:val="clear" w:color="auto" w:fill="auto"/>
            <w:tcMar>
              <w:top w:w="15" w:type="dxa"/>
              <w:left w:w="15" w:type="dxa"/>
              <w:bottom w:w="15" w:type="dxa"/>
              <w:right w:w="15" w:type="dxa"/>
            </w:tcMar>
            <w:vAlign w:val="bottom"/>
          </w:tcPr>
          <w:p w:rsidR="002D5BB0" w:rsidRPr="00222917" w:rsidRDefault="002D5BB0" w:rsidP="00411B58">
            <w:pPr>
              <w:pStyle w:val="SingleTxtG"/>
              <w:suppressAutoHyphens w:val="0"/>
              <w:spacing w:before="80" w:after="80" w:line="200" w:lineRule="exact"/>
              <w:ind w:left="0" w:right="0"/>
              <w:jc w:val="right"/>
              <w:rPr>
                <w:i/>
                <w:sz w:val="16"/>
                <w:lang w:val="en-US"/>
              </w:rPr>
            </w:pPr>
            <w:r w:rsidRPr="00222917">
              <w:rPr>
                <w:bCs/>
                <w:i/>
                <w:sz w:val="16"/>
                <w:lang w:val="en-US"/>
              </w:rPr>
              <w:t>2006</w:t>
            </w:r>
          </w:p>
        </w:tc>
        <w:tc>
          <w:tcPr>
            <w:tcW w:w="794" w:type="dxa"/>
            <w:shd w:val="clear" w:color="auto" w:fill="auto"/>
            <w:tcMar>
              <w:top w:w="15" w:type="dxa"/>
              <w:left w:w="15" w:type="dxa"/>
              <w:bottom w:w="15" w:type="dxa"/>
              <w:right w:w="15" w:type="dxa"/>
            </w:tcMar>
            <w:vAlign w:val="bottom"/>
          </w:tcPr>
          <w:p w:rsidR="002D5BB0" w:rsidRPr="00222917" w:rsidRDefault="002D5BB0" w:rsidP="00411B58">
            <w:pPr>
              <w:pStyle w:val="SingleTxtG"/>
              <w:suppressAutoHyphens w:val="0"/>
              <w:spacing w:before="80" w:after="80" w:line="200" w:lineRule="exact"/>
              <w:ind w:left="0" w:right="0"/>
              <w:jc w:val="right"/>
              <w:rPr>
                <w:i/>
                <w:sz w:val="16"/>
                <w:lang w:val="en-US"/>
              </w:rPr>
            </w:pPr>
            <w:r w:rsidRPr="00222917">
              <w:rPr>
                <w:bCs/>
                <w:i/>
                <w:sz w:val="16"/>
                <w:lang w:val="en-US"/>
              </w:rPr>
              <w:t>2007</w:t>
            </w:r>
          </w:p>
        </w:tc>
        <w:tc>
          <w:tcPr>
            <w:tcW w:w="794" w:type="dxa"/>
            <w:shd w:val="clear" w:color="auto" w:fill="auto"/>
            <w:tcMar>
              <w:top w:w="15" w:type="dxa"/>
              <w:left w:w="15" w:type="dxa"/>
              <w:bottom w:w="15" w:type="dxa"/>
              <w:right w:w="15" w:type="dxa"/>
            </w:tcMar>
            <w:vAlign w:val="bottom"/>
          </w:tcPr>
          <w:p w:rsidR="002D5BB0" w:rsidRPr="00222917" w:rsidRDefault="002D5BB0" w:rsidP="00411B58">
            <w:pPr>
              <w:pStyle w:val="SingleTxtG"/>
              <w:suppressAutoHyphens w:val="0"/>
              <w:spacing w:before="80" w:after="80" w:line="200" w:lineRule="exact"/>
              <w:ind w:left="0" w:right="0"/>
              <w:jc w:val="right"/>
              <w:rPr>
                <w:i/>
                <w:sz w:val="16"/>
                <w:lang w:val="en-US"/>
              </w:rPr>
            </w:pPr>
            <w:r w:rsidRPr="00222917">
              <w:rPr>
                <w:bCs/>
                <w:i/>
                <w:sz w:val="16"/>
                <w:lang w:val="en-US"/>
              </w:rPr>
              <w:t>2008</w:t>
            </w:r>
          </w:p>
        </w:tc>
        <w:tc>
          <w:tcPr>
            <w:tcW w:w="794" w:type="dxa"/>
            <w:shd w:val="clear" w:color="auto" w:fill="auto"/>
            <w:tcMar>
              <w:top w:w="15" w:type="dxa"/>
              <w:left w:w="15" w:type="dxa"/>
              <w:bottom w:w="15" w:type="dxa"/>
              <w:right w:w="15" w:type="dxa"/>
            </w:tcMar>
            <w:vAlign w:val="bottom"/>
          </w:tcPr>
          <w:p w:rsidR="002D5BB0" w:rsidRPr="00222917" w:rsidRDefault="002D5BB0" w:rsidP="00411B58">
            <w:pPr>
              <w:pStyle w:val="SingleTxtG"/>
              <w:suppressAutoHyphens w:val="0"/>
              <w:spacing w:before="80" w:after="80" w:line="200" w:lineRule="exact"/>
              <w:ind w:left="0" w:right="0"/>
              <w:jc w:val="right"/>
              <w:rPr>
                <w:i/>
                <w:sz w:val="16"/>
                <w:lang w:val="en-US"/>
              </w:rPr>
            </w:pPr>
            <w:r w:rsidRPr="00222917">
              <w:rPr>
                <w:bCs/>
                <w:i/>
                <w:sz w:val="16"/>
                <w:lang w:val="en-US"/>
              </w:rPr>
              <w:t>2009</w:t>
            </w:r>
          </w:p>
        </w:tc>
        <w:tc>
          <w:tcPr>
            <w:tcW w:w="794" w:type="dxa"/>
            <w:shd w:val="clear" w:color="auto" w:fill="auto"/>
            <w:vAlign w:val="bottom"/>
          </w:tcPr>
          <w:p w:rsidR="002D5BB0" w:rsidRPr="00222917" w:rsidRDefault="002D5BB0" w:rsidP="00411B58">
            <w:pPr>
              <w:pStyle w:val="SingleTxtG"/>
              <w:suppressAutoHyphens w:val="0"/>
              <w:spacing w:before="80" w:after="80" w:line="200" w:lineRule="exact"/>
              <w:ind w:left="0" w:right="0"/>
              <w:jc w:val="right"/>
              <w:rPr>
                <w:bCs/>
                <w:i/>
                <w:sz w:val="16"/>
                <w:lang w:val="en-US"/>
              </w:rPr>
            </w:pPr>
            <w:r w:rsidRPr="00222917">
              <w:rPr>
                <w:bCs/>
                <w:i/>
                <w:sz w:val="16"/>
                <w:lang w:val="en-US"/>
              </w:rPr>
              <w:t>2010</w:t>
            </w:r>
          </w:p>
        </w:tc>
      </w:tr>
      <w:tr w:rsidR="001D2686" w:rsidRPr="00222917" w:rsidTr="00411B58">
        <w:trPr>
          <w:trHeight w:val="240"/>
        </w:trPr>
        <w:tc>
          <w:tcPr>
            <w:tcW w:w="2608" w:type="dxa"/>
            <w:shd w:val="clear" w:color="auto" w:fill="auto"/>
            <w:tcMar>
              <w:top w:w="15" w:type="dxa"/>
              <w:left w:w="15" w:type="dxa"/>
              <w:bottom w:w="15" w:type="dxa"/>
              <w:right w:w="15" w:type="dxa"/>
            </w:tcMar>
          </w:tcPr>
          <w:p w:rsidR="002D5BB0" w:rsidRPr="00222917" w:rsidRDefault="002D5BB0" w:rsidP="00411B58">
            <w:pPr>
              <w:pStyle w:val="SingleTxtG"/>
              <w:suppressAutoHyphens w:val="0"/>
              <w:spacing w:before="40" w:after="40" w:line="220" w:lineRule="exact"/>
              <w:ind w:left="0" w:right="0"/>
              <w:jc w:val="left"/>
              <w:rPr>
                <w:sz w:val="18"/>
                <w:lang w:val="en-US"/>
              </w:rPr>
            </w:pPr>
            <w:r w:rsidRPr="00222917">
              <w:rPr>
                <w:sz w:val="18"/>
                <w:lang w:val="en-US"/>
              </w:rPr>
              <w:t>No. of participation cases</w:t>
            </w:r>
          </w:p>
        </w:tc>
        <w:tc>
          <w:tcPr>
            <w:tcW w:w="794" w:type="dxa"/>
            <w:shd w:val="clear" w:color="auto" w:fill="auto"/>
            <w:tcMar>
              <w:top w:w="15" w:type="dxa"/>
              <w:left w:w="15" w:type="dxa"/>
              <w:bottom w:w="15" w:type="dxa"/>
              <w:right w:w="15" w:type="dxa"/>
            </w:tcMar>
            <w:vAlign w:val="bottom"/>
          </w:tcPr>
          <w:p w:rsidR="002D5BB0" w:rsidRPr="00222917" w:rsidRDefault="002D5BB0" w:rsidP="00411B58">
            <w:pPr>
              <w:pStyle w:val="SingleTxtG"/>
              <w:suppressAutoHyphens w:val="0"/>
              <w:spacing w:before="40" w:after="40" w:line="220" w:lineRule="exact"/>
              <w:ind w:left="0" w:right="0"/>
              <w:jc w:val="right"/>
              <w:rPr>
                <w:sz w:val="18"/>
                <w:lang w:val="en-US"/>
              </w:rPr>
            </w:pPr>
            <w:r w:rsidRPr="00222917">
              <w:rPr>
                <w:sz w:val="18"/>
                <w:lang w:val="en-US"/>
              </w:rPr>
              <w:t>303</w:t>
            </w:r>
          </w:p>
        </w:tc>
        <w:tc>
          <w:tcPr>
            <w:tcW w:w="794" w:type="dxa"/>
            <w:shd w:val="clear" w:color="auto" w:fill="auto"/>
            <w:tcMar>
              <w:top w:w="15" w:type="dxa"/>
              <w:left w:w="15" w:type="dxa"/>
              <w:bottom w:w="15" w:type="dxa"/>
              <w:right w:w="15" w:type="dxa"/>
            </w:tcMar>
            <w:vAlign w:val="bottom"/>
          </w:tcPr>
          <w:p w:rsidR="002D5BB0" w:rsidRPr="00222917" w:rsidRDefault="002D5BB0" w:rsidP="00411B58">
            <w:pPr>
              <w:pStyle w:val="SingleTxtG"/>
              <w:suppressAutoHyphens w:val="0"/>
              <w:spacing w:before="40" w:after="40" w:line="220" w:lineRule="exact"/>
              <w:ind w:left="0" w:right="0"/>
              <w:jc w:val="right"/>
              <w:rPr>
                <w:sz w:val="18"/>
                <w:lang w:val="en-US"/>
              </w:rPr>
            </w:pPr>
            <w:r w:rsidRPr="00222917">
              <w:rPr>
                <w:sz w:val="18"/>
                <w:lang w:val="en-US"/>
              </w:rPr>
              <w:t>367</w:t>
            </w:r>
          </w:p>
        </w:tc>
        <w:tc>
          <w:tcPr>
            <w:tcW w:w="794" w:type="dxa"/>
            <w:shd w:val="clear" w:color="auto" w:fill="auto"/>
            <w:tcMar>
              <w:top w:w="15" w:type="dxa"/>
              <w:left w:w="15" w:type="dxa"/>
              <w:bottom w:w="15" w:type="dxa"/>
              <w:right w:w="15" w:type="dxa"/>
            </w:tcMar>
            <w:vAlign w:val="bottom"/>
          </w:tcPr>
          <w:p w:rsidR="002D5BB0" w:rsidRPr="00222917" w:rsidRDefault="002D5BB0" w:rsidP="00411B58">
            <w:pPr>
              <w:pStyle w:val="SingleTxtG"/>
              <w:suppressAutoHyphens w:val="0"/>
              <w:spacing w:before="40" w:after="40" w:line="220" w:lineRule="exact"/>
              <w:ind w:left="0" w:right="0"/>
              <w:jc w:val="right"/>
              <w:rPr>
                <w:sz w:val="18"/>
                <w:lang w:val="en-US"/>
              </w:rPr>
            </w:pPr>
            <w:r w:rsidRPr="00222917">
              <w:rPr>
                <w:sz w:val="18"/>
                <w:lang w:val="en-US"/>
              </w:rPr>
              <w:t>541</w:t>
            </w:r>
          </w:p>
        </w:tc>
        <w:tc>
          <w:tcPr>
            <w:tcW w:w="794" w:type="dxa"/>
            <w:shd w:val="clear" w:color="auto" w:fill="auto"/>
            <w:tcMar>
              <w:top w:w="15" w:type="dxa"/>
              <w:left w:w="15" w:type="dxa"/>
              <w:bottom w:w="15" w:type="dxa"/>
              <w:right w:w="15" w:type="dxa"/>
            </w:tcMar>
            <w:vAlign w:val="bottom"/>
          </w:tcPr>
          <w:p w:rsidR="002D5BB0" w:rsidRPr="00222917" w:rsidRDefault="002D5BB0" w:rsidP="00411B58">
            <w:pPr>
              <w:pStyle w:val="SingleTxtG"/>
              <w:suppressAutoHyphens w:val="0"/>
              <w:spacing w:before="40" w:after="40" w:line="220" w:lineRule="exact"/>
              <w:ind w:left="0" w:right="0"/>
              <w:jc w:val="right"/>
              <w:rPr>
                <w:sz w:val="18"/>
                <w:lang w:val="en-US"/>
              </w:rPr>
            </w:pPr>
            <w:r w:rsidRPr="00222917">
              <w:rPr>
                <w:sz w:val="18"/>
                <w:lang w:val="en-US"/>
              </w:rPr>
              <w:t>524</w:t>
            </w:r>
          </w:p>
        </w:tc>
        <w:tc>
          <w:tcPr>
            <w:tcW w:w="794" w:type="dxa"/>
            <w:shd w:val="clear" w:color="auto" w:fill="auto"/>
            <w:tcMar>
              <w:top w:w="15" w:type="dxa"/>
              <w:left w:w="15" w:type="dxa"/>
              <w:bottom w:w="15" w:type="dxa"/>
              <w:right w:w="15" w:type="dxa"/>
            </w:tcMar>
            <w:vAlign w:val="bottom"/>
          </w:tcPr>
          <w:p w:rsidR="002D5BB0" w:rsidRPr="00222917" w:rsidRDefault="002D5BB0" w:rsidP="00411B58">
            <w:pPr>
              <w:pStyle w:val="SingleTxtG"/>
              <w:suppressAutoHyphens w:val="0"/>
              <w:spacing w:before="40" w:after="40" w:line="220" w:lineRule="exact"/>
              <w:ind w:left="0" w:right="0"/>
              <w:jc w:val="right"/>
              <w:rPr>
                <w:sz w:val="18"/>
                <w:lang w:val="en-US"/>
              </w:rPr>
            </w:pPr>
            <w:r w:rsidRPr="00222917">
              <w:rPr>
                <w:sz w:val="18"/>
                <w:lang w:val="en-US"/>
              </w:rPr>
              <w:t>962</w:t>
            </w:r>
          </w:p>
        </w:tc>
        <w:tc>
          <w:tcPr>
            <w:tcW w:w="794" w:type="dxa"/>
            <w:shd w:val="clear" w:color="auto" w:fill="auto"/>
            <w:vAlign w:val="bottom"/>
          </w:tcPr>
          <w:p w:rsidR="002D5BB0" w:rsidRPr="00222917" w:rsidRDefault="002D5BB0" w:rsidP="00411B58">
            <w:pPr>
              <w:pStyle w:val="SingleTxtG"/>
              <w:suppressAutoHyphens w:val="0"/>
              <w:spacing w:before="40" w:after="40" w:line="220" w:lineRule="exact"/>
              <w:ind w:left="0" w:right="0"/>
              <w:jc w:val="right"/>
              <w:rPr>
                <w:sz w:val="18"/>
                <w:lang w:val="en-US"/>
              </w:rPr>
            </w:pPr>
            <w:r w:rsidRPr="00222917">
              <w:rPr>
                <w:sz w:val="18"/>
                <w:lang w:val="en-US"/>
              </w:rPr>
              <w:t>1,059</w:t>
            </w:r>
          </w:p>
        </w:tc>
      </w:tr>
    </w:tbl>
    <w:p w:rsidR="002D5BB0" w:rsidRPr="00222917" w:rsidRDefault="00547908" w:rsidP="00547908">
      <w:pPr>
        <w:pStyle w:val="SingleTxtG"/>
        <w:spacing w:before="240"/>
        <w:rPr>
          <w:lang w:val="en-US"/>
        </w:rPr>
      </w:pPr>
      <w:r w:rsidRPr="00222917">
        <w:rPr>
          <w:lang w:val="en-US"/>
        </w:rPr>
        <w:t>158.</w:t>
      </w:r>
      <w:r w:rsidRPr="00222917">
        <w:rPr>
          <w:lang w:val="en-US"/>
        </w:rPr>
        <w:tab/>
      </w:r>
      <w:r w:rsidR="002D5BB0" w:rsidRPr="00222917">
        <w:rPr>
          <w:lang w:val="en-US"/>
        </w:rPr>
        <w:t xml:space="preserve">With regard to the right to counsel, the </w:t>
      </w:r>
      <w:smartTag w:uri="urn:schemas-microsoft-com:office:smarttags" w:element="Street">
        <w:smartTag w:uri="urn:schemas-microsoft-com:office:smarttags" w:element="address">
          <w:r w:rsidR="002D5BB0" w:rsidRPr="00222917">
            <w:rPr>
              <w:lang w:val="en-US"/>
            </w:rPr>
            <w:t>Constitutional Court</w:t>
          </w:r>
        </w:smartTag>
      </w:smartTag>
      <w:r w:rsidR="002D5BB0" w:rsidRPr="00222917">
        <w:rPr>
          <w:lang w:val="en-US"/>
        </w:rPr>
        <w:t>’s decision on 23</w:t>
      </w:r>
      <w:r w:rsidR="004E2434" w:rsidRPr="00222917">
        <w:rPr>
          <w:lang w:val="en-US"/>
        </w:rPr>
        <w:t> </w:t>
      </w:r>
      <w:r w:rsidR="002D5BB0" w:rsidRPr="00222917">
        <w:rPr>
          <w:lang w:val="en-US"/>
        </w:rPr>
        <w:t>September 2004 states that the right to counsel is naturally acknowledged to suspects and the accused under the Constitution regardless of their detention or non-detention. The</w:t>
      </w:r>
      <w:r w:rsidR="00EE6AA5" w:rsidRPr="00222917">
        <w:rPr>
          <w:lang w:val="en-US"/>
        </w:rPr>
        <w:t> </w:t>
      </w:r>
      <w:r w:rsidR="002D5BB0" w:rsidRPr="00222917">
        <w:rPr>
          <w:lang w:val="en-US"/>
        </w:rPr>
        <w:t xml:space="preserve">court decided that a prosecutor’s refusal of a non-detained suspect’s request for participation by counsel without clarifying the reason therefor constituted a violation of the suspect’s constitutional right to counsel (2000 </w:t>
      </w:r>
      <w:r w:rsidR="002D5BB0" w:rsidRPr="00222917">
        <w:rPr>
          <w:bCs/>
          <w:lang w:val="en-US"/>
        </w:rPr>
        <w:t>HUN</w:t>
      </w:r>
      <w:r w:rsidR="002D5BB0" w:rsidRPr="00222917">
        <w:rPr>
          <w:lang w:val="en-US"/>
        </w:rPr>
        <w:t xml:space="preserve">-MA 138). On 11 November 2003, in a re-appeal case regarding the prosecutor’s action to reject a request for counsel’s participation made by Song Doo-Yul, a Korean scholar residing in Germany, the Supreme Court ruled that counsel’s participation in interrogation is a right recognized under the Constitution even if there is no explicit provision (2003 MO 402). </w:t>
      </w:r>
    </w:p>
    <w:p w:rsidR="002D5BB0" w:rsidRPr="00222917" w:rsidRDefault="004E2434" w:rsidP="004E2434">
      <w:pPr>
        <w:pStyle w:val="H1G"/>
        <w:rPr>
          <w:lang w:val="en-US"/>
        </w:rPr>
      </w:pPr>
      <w:bookmarkStart w:id="91" w:name="_Toc307504068"/>
      <w:bookmarkStart w:id="92" w:name="_Toc336435840"/>
      <w:r w:rsidRPr="00222917">
        <w:rPr>
          <w:lang w:val="en-US"/>
        </w:rPr>
        <w:tab/>
      </w:r>
      <w:r w:rsidRPr="00222917">
        <w:rPr>
          <w:lang w:val="en-US"/>
        </w:rPr>
        <w:tab/>
      </w:r>
      <w:r w:rsidR="002D5BB0" w:rsidRPr="00222917">
        <w:rPr>
          <w:lang w:val="en-US"/>
        </w:rPr>
        <w:t>Paragraph 3</w:t>
      </w:r>
      <w:bookmarkEnd w:id="91"/>
      <w:bookmarkEnd w:id="92"/>
    </w:p>
    <w:p w:rsidR="002D5BB0" w:rsidRPr="00222917" w:rsidRDefault="004E2434" w:rsidP="004E2434">
      <w:pPr>
        <w:pStyle w:val="H23G"/>
        <w:rPr>
          <w:lang w:val="en-US"/>
        </w:rPr>
      </w:pPr>
      <w:bookmarkStart w:id="93" w:name="_Toc307504069"/>
      <w:bookmarkStart w:id="94" w:name="_Toc336435841"/>
      <w:r w:rsidRPr="00222917">
        <w:rPr>
          <w:lang w:val="en-US"/>
        </w:rPr>
        <w:tab/>
      </w:r>
      <w:r w:rsidRPr="00222917">
        <w:rPr>
          <w:lang w:val="en-US"/>
        </w:rPr>
        <w:tab/>
      </w:r>
      <w:r w:rsidR="002D5BB0" w:rsidRPr="00222917">
        <w:rPr>
          <w:lang w:val="en-US"/>
        </w:rPr>
        <w:t>Improvement of the Urgent Arrest System</w:t>
      </w:r>
      <w:bookmarkEnd w:id="93"/>
      <w:bookmarkEnd w:id="94"/>
    </w:p>
    <w:p w:rsidR="002D5BB0" w:rsidRPr="00222917" w:rsidRDefault="00547908" w:rsidP="00547908">
      <w:pPr>
        <w:pStyle w:val="SingleTxtG"/>
        <w:rPr>
          <w:lang w:val="en-US"/>
        </w:rPr>
      </w:pPr>
      <w:r w:rsidRPr="00222917">
        <w:rPr>
          <w:lang w:val="en-US"/>
        </w:rPr>
        <w:t>159.</w:t>
      </w:r>
      <w:r w:rsidRPr="00222917">
        <w:rPr>
          <w:lang w:val="en-US"/>
        </w:rPr>
        <w:tab/>
      </w:r>
      <w:r w:rsidR="002D5BB0" w:rsidRPr="00222917">
        <w:rPr>
          <w:lang w:val="en-US"/>
        </w:rPr>
        <w:t>The Committee expresses concern with regard to reports of excessive recourse to and abuse of the urgent arrest</w:t>
      </w:r>
      <w:r w:rsidR="002D5BB0" w:rsidRPr="00222917">
        <w:rPr>
          <w:bCs/>
          <w:lang w:val="en-US"/>
        </w:rPr>
        <w:t xml:space="preserve"> </w:t>
      </w:r>
      <w:r w:rsidR="002D5BB0" w:rsidRPr="00222917">
        <w:rPr>
          <w:lang w:val="en-US"/>
        </w:rPr>
        <w:t xml:space="preserve">procedure, whereby individuals can be detained without an arrest warrant for up to 48 hours. The Committee recommended that the Government take all necessary measures to restrict the </w:t>
      </w:r>
      <w:r w:rsidR="002D5BB0" w:rsidRPr="00222917">
        <w:rPr>
          <w:bCs/>
          <w:lang w:val="en-US"/>
        </w:rPr>
        <w:t>use</w:t>
      </w:r>
      <w:r w:rsidR="002D5BB0" w:rsidRPr="00222917">
        <w:rPr>
          <w:lang w:val="en-US"/>
        </w:rPr>
        <w:t xml:space="preserve"> of the urgent arrest procedure and to guarantee the rights of persons so detained, in conformity with</w:t>
      </w:r>
      <w:r w:rsidR="00C974F8" w:rsidRPr="00222917">
        <w:rPr>
          <w:lang w:val="en-US"/>
        </w:rPr>
        <w:t xml:space="preserve"> </w:t>
      </w:r>
      <w:r w:rsidR="00681EC0" w:rsidRPr="00222917">
        <w:rPr>
          <w:lang w:val="en-US"/>
        </w:rPr>
        <w:t>a</w:t>
      </w:r>
      <w:r w:rsidR="00C974F8" w:rsidRPr="00222917">
        <w:rPr>
          <w:lang w:val="en-US"/>
        </w:rPr>
        <w:t>rticle </w:t>
      </w:r>
      <w:r w:rsidR="002D5BB0" w:rsidRPr="00222917">
        <w:rPr>
          <w:lang w:val="en-US"/>
        </w:rPr>
        <w:t>9 of the Covenant.</w:t>
      </w:r>
      <w:r w:rsidR="002D5BB0" w:rsidRPr="00222917">
        <w:rPr>
          <w:bCs/>
          <w:lang w:val="en-US"/>
        </w:rPr>
        <w:t xml:space="preserve"> </w:t>
      </w:r>
      <w:r w:rsidR="002D5BB0" w:rsidRPr="00222917">
        <w:rPr>
          <w:lang w:val="en-US"/>
        </w:rPr>
        <w:t>In particular, the Committee urged the prompt adoption of the relevant amendments to the</w:t>
      </w:r>
      <w:r w:rsidR="002D5BB0" w:rsidRPr="00222917">
        <w:rPr>
          <w:i/>
          <w:lang w:val="en-US"/>
        </w:rPr>
        <w:t xml:space="preserve"> </w:t>
      </w:r>
      <w:r w:rsidR="002D5BB0" w:rsidRPr="00C70182">
        <w:rPr>
          <w:iCs/>
          <w:lang w:val="en-US"/>
        </w:rPr>
        <w:t>Criminal Procedure Act</w:t>
      </w:r>
      <w:r w:rsidR="00B65D59">
        <w:rPr>
          <w:iCs/>
          <w:lang w:val="en-US"/>
        </w:rPr>
        <w:t>,</w:t>
      </w:r>
      <w:r w:rsidR="002D5BB0" w:rsidRPr="00C70182">
        <w:rPr>
          <w:iCs/>
          <w:lang w:val="en-US"/>
        </w:rPr>
        <w:t xml:space="preserve"> </w:t>
      </w:r>
      <w:r w:rsidR="002D5BB0" w:rsidRPr="00222917">
        <w:rPr>
          <w:lang w:val="en-US"/>
        </w:rPr>
        <w:t>pending before the National Assembl</w:t>
      </w:r>
      <w:r w:rsidR="00AA17A9" w:rsidRPr="00222917">
        <w:rPr>
          <w:lang w:val="en-US"/>
        </w:rPr>
        <w:t>y (CCPR/C/KOR/CO/3, para. </w:t>
      </w:r>
      <w:r w:rsidR="002D5BB0" w:rsidRPr="00222917">
        <w:rPr>
          <w:lang w:val="en-US"/>
        </w:rPr>
        <w:t xml:space="preserve">15). </w:t>
      </w:r>
    </w:p>
    <w:p w:rsidR="002D5BB0" w:rsidRPr="00222917" w:rsidRDefault="00547908" w:rsidP="00547908">
      <w:pPr>
        <w:pStyle w:val="SingleTxtG"/>
        <w:rPr>
          <w:lang w:val="en-US"/>
        </w:rPr>
      </w:pPr>
      <w:r w:rsidRPr="00222917">
        <w:rPr>
          <w:lang w:val="en-US"/>
        </w:rPr>
        <w:t>160.</w:t>
      </w:r>
      <w:r w:rsidRPr="00222917">
        <w:rPr>
          <w:lang w:val="en-US"/>
        </w:rPr>
        <w:tab/>
      </w:r>
      <w:r w:rsidR="002D5BB0" w:rsidRPr="00222917">
        <w:rPr>
          <w:lang w:val="en-US"/>
        </w:rPr>
        <w:t xml:space="preserve">The </w:t>
      </w:r>
      <w:r w:rsidR="002D5BB0" w:rsidRPr="00C70182">
        <w:rPr>
          <w:iCs/>
          <w:lang w:val="en-US"/>
        </w:rPr>
        <w:t>Criminal Procedure Act</w:t>
      </w:r>
      <w:r w:rsidR="002D5BB0" w:rsidRPr="00222917">
        <w:rPr>
          <w:lang w:val="en-US"/>
        </w:rPr>
        <w:t xml:space="preserve"> revised on 1 June 2007 changed the provision that a prosecutor shall request a warrant of detention “within 48 hours from the time of arrest” to “without delay after urgent arrest.” Under the Act, the period of arrest shall not exceed 48 hours. The Act has a newly inserted provision that requires a prosecutor to notify the court in writing of matters pertaining to urgent arrest of a suspect within 30 days from release of the suspect. In addition, a person </w:t>
      </w:r>
      <w:r w:rsidR="002D5BB0" w:rsidRPr="00222917">
        <w:rPr>
          <w:bCs/>
          <w:lang w:val="en-US"/>
        </w:rPr>
        <w:t>who</w:t>
      </w:r>
      <w:r w:rsidR="002D5BB0" w:rsidRPr="00222917">
        <w:rPr>
          <w:lang w:val="en-US"/>
        </w:rPr>
        <w:t xml:space="preserve"> was released from urgent arrest or his counsel and legal representative, etc. may inspect or make copies of the notice and related documents, and a judicial police officer shall, when releasing a suspect subject to urgent arrest without requesting a warrant of detention, report the release to the corresponding prosecut</w:t>
      </w:r>
      <w:r w:rsidR="00C974F8" w:rsidRPr="00222917">
        <w:rPr>
          <w:lang w:val="en-US"/>
        </w:rPr>
        <w:t>or without delay (</w:t>
      </w:r>
      <w:r w:rsidR="00681EC0" w:rsidRPr="00222917">
        <w:rPr>
          <w:lang w:val="en-US"/>
        </w:rPr>
        <w:t>a</w:t>
      </w:r>
      <w:r w:rsidR="00C974F8" w:rsidRPr="00222917">
        <w:rPr>
          <w:lang w:val="en-US"/>
        </w:rPr>
        <w:t>rticle </w:t>
      </w:r>
      <w:r w:rsidR="002D5BB0" w:rsidRPr="00222917">
        <w:rPr>
          <w:lang w:val="en-US"/>
        </w:rPr>
        <w:t>200-4). Such revision speeds up prosecutors’ decision to request detention warrants after urgent arrest by the investigation authorities and establishes a posterior control system regarding decisions on release after urgent arrest.</w:t>
      </w:r>
      <w:bookmarkStart w:id="95" w:name="_Toc307504070"/>
      <w:bookmarkStart w:id="96" w:name="_Toc336435842"/>
    </w:p>
    <w:p w:rsidR="002D5BB0" w:rsidRPr="00222917" w:rsidRDefault="00AA17A9" w:rsidP="00AA17A9">
      <w:pPr>
        <w:pStyle w:val="H23G"/>
        <w:rPr>
          <w:lang w:val="en-US"/>
        </w:rPr>
      </w:pPr>
      <w:r w:rsidRPr="00222917">
        <w:rPr>
          <w:lang w:val="en-US"/>
        </w:rPr>
        <w:tab/>
      </w:r>
      <w:r w:rsidRPr="00222917">
        <w:rPr>
          <w:lang w:val="en-US"/>
        </w:rPr>
        <w:tab/>
      </w:r>
      <w:r w:rsidR="002D5BB0" w:rsidRPr="00222917">
        <w:rPr>
          <w:lang w:val="en-US"/>
        </w:rPr>
        <w:t>Expansion of Hearings for Suspect Examination before Detention</w:t>
      </w:r>
      <w:bookmarkEnd w:id="95"/>
      <w:bookmarkEnd w:id="96"/>
    </w:p>
    <w:p w:rsidR="002D5BB0" w:rsidRPr="00222917" w:rsidRDefault="00547908" w:rsidP="00547908">
      <w:pPr>
        <w:pStyle w:val="SingleTxtG"/>
        <w:rPr>
          <w:lang w:val="en-US"/>
        </w:rPr>
      </w:pPr>
      <w:r w:rsidRPr="00222917">
        <w:rPr>
          <w:lang w:val="en-US"/>
        </w:rPr>
        <w:t>161.</w:t>
      </w:r>
      <w:r w:rsidRPr="00222917">
        <w:rPr>
          <w:lang w:val="en-US"/>
        </w:rPr>
        <w:tab/>
      </w:r>
      <w:r w:rsidR="002D5BB0" w:rsidRPr="00222917">
        <w:rPr>
          <w:lang w:val="en-US"/>
        </w:rPr>
        <w:t xml:space="preserve">The revised </w:t>
      </w:r>
      <w:r w:rsidR="002D5BB0" w:rsidRPr="00222917">
        <w:rPr>
          <w:iCs/>
          <w:lang w:val="en-US"/>
        </w:rPr>
        <w:t xml:space="preserve">Criminal Procedure Act </w:t>
      </w:r>
      <w:r w:rsidR="002D5BB0" w:rsidRPr="00222917">
        <w:rPr>
          <w:lang w:val="en-US"/>
        </w:rPr>
        <w:t>introduces the system of a hearing for examina</w:t>
      </w:r>
      <w:r w:rsidR="00C974F8" w:rsidRPr="00222917">
        <w:rPr>
          <w:lang w:val="en-US"/>
        </w:rPr>
        <w:t>tion before detention (</w:t>
      </w:r>
      <w:r w:rsidR="00681EC0" w:rsidRPr="00222917">
        <w:rPr>
          <w:lang w:val="en-US"/>
        </w:rPr>
        <w:t>a</w:t>
      </w:r>
      <w:r w:rsidR="00C974F8" w:rsidRPr="00222917">
        <w:rPr>
          <w:lang w:val="en-US"/>
        </w:rPr>
        <w:t>rticles </w:t>
      </w:r>
      <w:r w:rsidR="002D5BB0" w:rsidRPr="00222917">
        <w:rPr>
          <w:lang w:val="en-US"/>
        </w:rPr>
        <w:t>201-2</w:t>
      </w:r>
      <w:r w:rsidR="00681EC0" w:rsidRPr="00222917">
        <w:rPr>
          <w:lang w:val="en-US"/>
        </w:rPr>
        <w:t xml:space="preserve"> </w:t>
      </w:r>
      <w:r w:rsidR="002D5BB0" w:rsidRPr="00222917">
        <w:rPr>
          <w:lang w:val="en-US"/>
        </w:rPr>
        <w:t>(1) and (2)) and newly provides that the corresponding prosecutor and counsel may appear before the court on the date of a hearing for examination of the susp</w:t>
      </w:r>
      <w:r w:rsidR="00C974F8" w:rsidRPr="00222917">
        <w:rPr>
          <w:lang w:val="en-US"/>
        </w:rPr>
        <w:t>ect prior to detention (</w:t>
      </w:r>
      <w:r w:rsidR="00681EC0" w:rsidRPr="00222917">
        <w:rPr>
          <w:lang w:val="en-US"/>
        </w:rPr>
        <w:t>a</w:t>
      </w:r>
      <w:r w:rsidR="00C974F8" w:rsidRPr="00222917">
        <w:rPr>
          <w:lang w:val="en-US"/>
        </w:rPr>
        <w:t>rticle </w:t>
      </w:r>
      <w:r w:rsidR="002D5BB0" w:rsidRPr="00222917">
        <w:rPr>
          <w:lang w:val="en-US"/>
        </w:rPr>
        <w:t>201-2</w:t>
      </w:r>
      <w:r w:rsidR="00681EC0" w:rsidRPr="00222917">
        <w:rPr>
          <w:lang w:val="en-US"/>
        </w:rPr>
        <w:t xml:space="preserve"> </w:t>
      </w:r>
      <w:r w:rsidR="002D5BB0" w:rsidRPr="00222917">
        <w:rPr>
          <w:lang w:val="en-US"/>
        </w:rPr>
        <w:t xml:space="preserve">(4)). Accordingly, the court which receives a request for </w:t>
      </w:r>
      <w:r w:rsidR="002D5BB0" w:rsidRPr="00222917">
        <w:rPr>
          <w:bCs/>
          <w:lang w:val="en-US"/>
        </w:rPr>
        <w:t>issuance</w:t>
      </w:r>
      <w:r w:rsidR="002D5BB0" w:rsidRPr="00222917">
        <w:rPr>
          <w:lang w:val="en-US"/>
        </w:rPr>
        <w:t xml:space="preserve"> of a detention warrant shall examine all suspects. Previously, the court would examine suspects at the request of the suspects or their counsel, etc. </w:t>
      </w:r>
    </w:p>
    <w:p w:rsidR="002D5BB0" w:rsidRPr="00222917" w:rsidRDefault="00AA17A9" w:rsidP="00AA17A9">
      <w:pPr>
        <w:pStyle w:val="H1G"/>
        <w:rPr>
          <w:lang w:val="en-US"/>
        </w:rPr>
      </w:pPr>
      <w:bookmarkStart w:id="97" w:name="_Toc307504071"/>
      <w:bookmarkStart w:id="98" w:name="_Toc336435843"/>
      <w:r w:rsidRPr="00222917">
        <w:rPr>
          <w:lang w:val="en-US"/>
        </w:rPr>
        <w:tab/>
      </w:r>
      <w:r w:rsidRPr="00222917">
        <w:rPr>
          <w:lang w:val="en-US"/>
        </w:rPr>
        <w:tab/>
      </w:r>
      <w:r w:rsidR="002D5BB0" w:rsidRPr="00222917">
        <w:rPr>
          <w:lang w:val="en-US"/>
        </w:rPr>
        <w:t>Paragraph 4</w:t>
      </w:r>
      <w:bookmarkEnd w:id="97"/>
      <w:bookmarkEnd w:id="98"/>
    </w:p>
    <w:p w:rsidR="002D5BB0" w:rsidRPr="00222917" w:rsidRDefault="00AA17A9" w:rsidP="00AA17A9">
      <w:pPr>
        <w:pStyle w:val="H23G"/>
        <w:rPr>
          <w:lang w:val="en-US"/>
        </w:rPr>
      </w:pPr>
      <w:bookmarkStart w:id="99" w:name="_Toc307504072"/>
      <w:bookmarkStart w:id="100" w:name="_Toc336435844"/>
      <w:r w:rsidRPr="00222917">
        <w:rPr>
          <w:lang w:val="en-US"/>
        </w:rPr>
        <w:tab/>
      </w:r>
      <w:r w:rsidRPr="00222917">
        <w:rPr>
          <w:lang w:val="en-US"/>
        </w:rPr>
        <w:tab/>
      </w:r>
      <w:r w:rsidR="002D5BB0" w:rsidRPr="00222917">
        <w:rPr>
          <w:lang w:val="en-US"/>
        </w:rPr>
        <w:t>Review on Lawfulness of Arrest and Detention</w:t>
      </w:r>
      <w:bookmarkEnd w:id="99"/>
      <w:bookmarkEnd w:id="100"/>
    </w:p>
    <w:p w:rsidR="002D5BB0" w:rsidRPr="00222917" w:rsidRDefault="00547908" w:rsidP="00547908">
      <w:pPr>
        <w:pStyle w:val="SingleTxtG"/>
        <w:rPr>
          <w:lang w:val="en-US"/>
        </w:rPr>
      </w:pPr>
      <w:r w:rsidRPr="00222917">
        <w:rPr>
          <w:lang w:val="en-US"/>
        </w:rPr>
        <w:t>162.</w:t>
      </w:r>
      <w:r w:rsidRPr="00222917">
        <w:rPr>
          <w:lang w:val="en-US"/>
        </w:rPr>
        <w:tab/>
      </w:r>
      <w:r w:rsidR="002D5BB0" w:rsidRPr="00222917">
        <w:rPr>
          <w:lang w:val="en-US"/>
        </w:rPr>
        <w:t xml:space="preserve">In its consideration of the third report, the Committee expressed concern that those detained for the purposes of criminal investigation or under an arrest warrant do not enjoy an automatic right to be brought promptly before a judge to have the legitimacy of their detention determined, particularly in light of the excessive length of permissible pre-trial detention. Accordingly, the </w:t>
      </w:r>
      <w:r w:rsidR="002D5BB0" w:rsidRPr="00222917">
        <w:rPr>
          <w:bCs/>
          <w:lang w:val="en-US"/>
        </w:rPr>
        <w:t>Committee</w:t>
      </w:r>
      <w:r w:rsidR="002D5BB0" w:rsidRPr="00222917">
        <w:rPr>
          <w:lang w:val="en-US"/>
        </w:rPr>
        <w:t xml:space="preserve"> urged the Government </w:t>
      </w:r>
      <w:r w:rsidR="002D5BB0" w:rsidRPr="00222917">
        <w:rPr>
          <w:bCs/>
          <w:lang w:val="en-US"/>
        </w:rPr>
        <w:t>to reform legislation to reflect the protection due to persons arrested or detained on criminal c</w:t>
      </w:r>
      <w:r w:rsidR="002440C4" w:rsidRPr="00222917">
        <w:rPr>
          <w:bCs/>
          <w:lang w:val="en-US"/>
        </w:rPr>
        <w:t xml:space="preserve">harges as stipulated in </w:t>
      </w:r>
      <w:r w:rsidR="00681EC0" w:rsidRPr="00222917">
        <w:rPr>
          <w:bCs/>
          <w:lang w:val="en-US"/>
        </w:rPr>
        <w:t>a</w:t>
      </w:r>
      <w:r w:rsidR="002440C4" w:rsidRPr="00222917">
        <w:rPr>
          <w:bCs/>
          <w:lang w:val="en-US"/>
        </w:rPr>
        <w:t>rticle </w:t>
      </w:r>
      <w:r w:rsidR="002D5BB0" w:rsidRPr="00222917">
        <w:rPr>
          <w:bCs/>
          <w:lang w:val="en-US"/>
        </w:rPr>
        <w:t>9</w:t>
      </w:r>
      <w:r w:rsidR="00B65D59">
        <w:rPr>
          <w:bCs/>
          <w:lang w:val="en-US"/>
        </w:rPr>
        <w:t xml:space="preserve">, paragraph </w:t>
      </w:r>
      <w:r w:rsidR="002D5BB0" w:rsidRPr="00222917">
        <w:rPr>
          <w:bCs/>
          <w:lang w:val="en-US"/>
        </w:rPr>
        <w:t>3</w:t>
      </w:r>
      <w:r w:rsidR="00B65D59">
        <w:rPr>
          <w:bCs/>
          <w:lang w:val="en-US"/>
        </w:rPr>
        <w:t>,</w:t>
      </w:r>
      <w:r w:rsidR="002D5BB0" w:rsidRPr="00222917">
        <w:rPr>
          <w:bCs/>
          <w:lang w:val="en-US"/>
        </w:rPr>
        <w:t xml:space="preserve"> of the Covenant. The Committee specifically recommended that the Government ensure that any detention is promptly subjected to judicial scrutiny</w:t>
      </w:r>
      <w:r w:rsidR="00AA17A9" w:rsidRPr="00222917">
        <w:rPr>
          <w:lang w:val="en-US"/>
        </w:rPr>
        <w:t xml:space="preserve"> (CCPR/C/KOR/CO/3, para. </w:t>
      </w:r>
      <w:r w:rsidR="002D5BB0" w:rsidRPr="00222917">
        <w:rPr>
          <w:lang w:val="en-US"/>
        </w:rPr>
        <w:t xml:space="preserve">16). </w:t>
      </w:r>
    </w:p>
    <w:p w:rsidR="002D5BB0" w:rsidRPr="00222917" w:rsidRDefault="00547908" w:rsidP="00547908">
      <w:pPr>
        <w:pStyle w:val="SingleTxtG"/>
        <w:rPr>
          <w:lang w:val="en-US"/>
        </w:rPr>
      </w:pPr>
      <w:r w:rsidRPr="00222917">
        <w:rPr>
          <w:lang w:val="en-US"/>
        </w:rPr>
        <w:t>163.</w:t>
      </w:r>
      <w:r w:rsidRPr="00222917">
        <w:rPr>
          <w:lang w:val="en-US"/>
        </w:rPr>
        <w:tab/>
      </w:r>
      <w:r w:rsidR="002D5BB0" w:rsidRPr="00222917">
        <w:rPr>
          <w:lang w:val="en-US"/>
        </w:rPr>
        <w:t xml:space="preserve">As stated in the second report, the Constitution provides for the right to request a review on the lawfulness of arrest </w:t>
      </w:r>
      <w:r w:rsidR="002D5BB0" w:rsidRPr="00222917">
        <w:rPr>
          <w:bCs/>
          <w:lang w:val="en-US"/>
        </w:rPr>
        <w:t>and</w:t>
      </w:r>
      <w:r w:rsidR="002D5BB0" w:rsidRPr="00222917">
        <w:rPr>
          <w:lang w:val="en-US"/>
        </w:rPr>
        <w:t xml:space="preserve"> detention in favor of an arrested or detained person. Through revision of the </w:t>
      </w:r>
      <w:r w:rsidR="002D5BB0" w:rsidRPr="00222917">
        <w:rPr>
          <w:iCs/>
          <w:lang w:val="en-US"/>
        </w:rPr>
        <w:t>Criminal Procedure Act</w:t>
      </w:r>
      <w:r w:rsidR="002D5BB0" w:rsidRPr="00222917">
        <w:rPr>
          <w:lang w:val="en-US"/>
        </w:rPr>
        <w:t>, such right is granted to not only detained persons, but also persons arrested by warrant (CCPR/C/114/Add.1, para</w:t>
      </w:r>
      <w:r w:rsidR="00B51F2A" w:rsidRPr="00222917">
        <w:rPr>
          <w:lang w:val="en-US"/>
        </w:rPr>
        <w:t>. </w:t>
      </w:r>
      <w:r w:rsidR="002D5BB0" w:rsidRPr="00222917">
        <w:rPr>
          <w:lang w:val="en-US"/>
        </w:rPr>
        <w:t xml:space="preserve">118). </w:t>
      </w:r>
    </w:p>
    <w:p w:rsidR="002D5BB0" w:rsidRPr="00222917" w:rsidRDefault="00547908" w:rsidP="00547908">
      <w:pPr>
        <w:pStyle w:val="SingleTxtG"/>
        <w:rPr>
          <w:lang w:val="en-US"/>
        </w:rPr>
      </w:pPr>
      <w:r w:rsidRPr="00222917">
        <w:rPr>
          <w:lang w:val="en-US"/>
        </w:rPr>
        <w:t>164.</w:t>
      </w:r>
      <w:r w:rsidRPr="00222917">
        <w:rPr>
          <w:lang w:val="en-US"/>
        </w:rPr>
        <w:tab/>
      </w:r>
      <w:r w:rsidR="002D5BB0" w:rsidRPr="00222917">
        <w:rPr>
          <w:lang w:val="en-US"/>
        </w:rPr>
        <w:t xml:space="preserve">With the revision of the </w:t>
      </w:r>
      <w:r w:rsidR="002D5BB0" w:rsidRPr="00222917">
        <w:rPr>
          <w:iCs/>
          <w:lang w:val="en-US"/>
        </w:rPr>
        <w:t xml:space="preserve">Criminal Procedure Act </w:t>
      </w:r>
      <w:r w:rsidR="002D5BB0" w:rsidRPr="00222917">
        <w:rPr>
          <w:lang w:val="en-US"/>
        </w:rPr>
        <w:t>on 1 June 2007, the eligibility for review on legality of arrest and detention originally limited to a suspect who is arrested or detained by a warrant of arrest or detention was extended to a suspect who is arrested or detained, which allows all suspects in custody to request a review on the legality of arrest and detention (</w:t>
      </w:r>
      <w:r w:rsidR="00681EC0" w:rsidRPr="00222917">
        <w:rPr>
          <w:lang w:val="en-US"/>
        </w:rPr>
        <w:t>a</w:t>
      </w:r>
      <w:r w:rsidR="002D5BB0" w:rsidRPr="00222917">
        <w:rPr>
          <w:lang w:val="en-US"/>
        </w:rPr>
        <w:t>rticle</w:t>
      </w:r>
      <w:r w:rsidR="00C974F8" w:rsidRPr="00222917">
        <w:rPr>
          <w:lang w:val="en-US"/>
        </w:rPr>
        <w:t> </w:t>
      </w:r>
      <w:r w:rsidR="002D5BB0" w:rsidRPr="00222917">
        <w:rPr>
          <w:lang w:val="en-US"/>
        </w:rPr>
        <w:t>214-2</w:t>
      </w:r>
      <w:r w:rsidR="00681EC0" w:rsidRPr="00222917">
        <w:rPr>
          <w:lang w:val="en-US"/>
        </w:rPr>
        <w:t xml:space="preserve"> </w:t>
      </w:r>
      <w:r w:rsidR="002D5BB0" w:rsidRPr="00222917">
        <w:rPr>
          <w:lang w:val="en-US"/>
        </w:rPr>
        <w:t>(1)). Under the revised Act, a court which receives a request for review on the legality of arrest and detention shall</w:t>
      </w:r>
      <w:r w:rsidR="00701909" w:rsidRPr="00222917">
        <w:rPr>
          <w:lang w:val="en-US"/>
        </w:rPr>
        <w:t xml:space="preserve"> conduct an examination within “</w:t>
      </w:r>
      <w:r w:rsidR="002D5BB0" w:rsidRPr="00222917">
        <w:rPr>
          <w:lang w:val="en-US"/>
        </w:rPr>
        <w:t>48</w:t>
      </w:r>
      <w:r w:rsidR="00701909" w:rsidRPr="00222917">
        <w:rPr>
          <w:lang w:val="en-US"/>
        </w:rPr>
        <w:t> </w:t>
      </w:r>
      <w:r w:rsidR="002D5BB0" w:rsidRPr="00222917">
        <w:rPr>
          <w:lang w:val="en-US"/>
        </w:rPr>
        <w:t>hours from the time at which the request is filed</w:t>
      </w:r>
      <w:r w:rsidR="00701909" w:rsidRPr="00222917">
        <w:rPr>
          <w:lang w:val="en-US"/>
        </w:rPr>
        <w:t>”, not “</w:t>
      </w:r>
      <w:r w:rsidR="002D5BB0" w:rsidRPr="00222917">
        <w:rPr>
          <w:lang w:val="en-US"/>
        </w:rPr>
        <w:t>without delay.</w:t>
      </w:r>
      <w:r w:rsidR="00701909" w:rsidRPr="00222917">
        <w:rPr>
          <w:lang w:val="en-US"/>
        </w:rPr>
        <w:t>”</w:t>
      </w:r>
      <w:r w:rsidR="002D5BB0" w:rsidRPr="00222917">
        <w:rPr>
          <w:lang w:val="en-US"/>
        </w:rPr>
        <w:t xml:space="preserve"> This further clarifies the provisions on examination of</w:t>
      </w:r>
      <w:r w:rsidR="00C974F8" w:rsidRPr="00222917">
        <w:rPr>
          <w:lang w:val="en-US"/>
        </w:rPr>
        <w:t xml:space="preserve"> lawfulness of custody (</w:t>
      </w:r>
      <w:r w:rsidR="00681EC0" w:rsidRPr="00222917">
        <w:rPr>
          <w:lang w:val="en-US"/>
        </w:rPr>
        <w:t>a</w:t>
      </w:r>
      <w:r w:rsidR="00C974F8" w:rsidRPr="00222917">
        <w:rPr>
          <w:lang w:val="en-US"/>
        </w:rPr>
        <w:t>rticle </w:t>
      </w:r>
      <w:r w:rsidR="002D5BB0" w:rsidRPr="00222917">
        <w:rPr>
          <w:lang w:val="en-US"/>
        </w:rPr>
        <w:t>214-2</w:t>
      </w:r>
      <w:r w:rsidR="00681EC0" w:rsidRPr="00222917">
        <w:rPr>
          <w:lang w:val="en-US"/>
        </w:rPr>
        <w:t xml:space="preserve"> </w:t>
      </w:r>
      <w:r w:rsidR="002D5BB0" w:rsidRPr="00222917">
        <w:rPr>
          <w:lang w:val="en-US"/>
        </w:rPr>
        <w:t>(4)).</w:t>
      </w:r>
      <w:r w:rsidR="00120D8B" w:rsidRPr="00222917">
        <w:rPr>
          <w:lang w:val="en-US"/>
        </w:rPr>
        <w:t xml:space="preserve"> </w:t>
      </w:r>
    </w:p>
    <w:p w:rsidR="002D5BB0" w:rsidRPr="00222917" w:rsidRDefault="00AA17A9" w:rsidP="00AA17A9">
      <w:pPr>
        <w:pStyle w:val="H23G"/>
        <w:rPr>
          <w:b w:val="0"/>
          <w:sz w:val="16"/>
          <w:szCs w:val="16"/>
          <w:lang w:val="en-US"/>
        </w:rPr>
      </w:pPr>
      <w:r w:rsidRPr="00222917">
        <w:rPr>
          <w:lang w:val="en-US"/>
        </w:rPr>
        <w:tab/>
      </w:r>
      <w:r w:rsidRPr="00222917">
        <w:rPr>
          <w:lang w:val="en-US"/>
        </w:rPr>
        <w:tab/>
      </w:r>
      <w:r w:rsidR="002D5BB0" w:rsidRPr="00222917">
        <w:rPr>
          <w:lang w:val="en-US"/>
        </w:rPr>
        <w:t>Reviews on Legality of Detention</w:t>
      </w:r>
      <w:r w:rsidRPr="00222917">
        <w:rPr>
          <w:lang w:val="en-US"/>
        </w:rPr>
        <w:br/>
      </w:r>
      <w:r w:rsidR="002D5BB0" w:rsidRPr="00222917">
        <w:rPr>
          <w:b w:val="0"/>
          <w:sz w:val="16"/>
          <w:szCs w:val="16"/>
          <w:lang w:val="en-US"/>
        </w:rPr>
        <w:t xml:space="preserve">(Number of persons) </w:t>
      </w:r>
    </w:p>
    <w:tbl>
      <w:tblPr>
        <w:tblW w:w="7370" w:type="dxa"/>
        <w:tblInd w:w="1134" w:type="dxa"/>
        <w:tblBorders>
          <w:top w:val="single" w:sz="4" w:space="0" w:color="auto"/>
        </w:tblBorders>
        <w:tblCellMar>
          <w:left w:w="0" w:type="dxa"/>
          <w:right w:w="0" w:type="dxa"/>
        </w:tblCellMar>
        <w:tblLook w:val="00A0"/>
      </w:tblPr>
      <w:tblGrid>
        <w:gridCol w:w="1474"/>
        <w:gridCol w:w="1474"/>
        <w:gridCol w:w="1474"/>
        <w:gridCol w:w="1474"/>
        <w:gridCol w:w="1474"/>
      </w:tblGrid>
      <w:tr w:rsidR="001D2686" w:rsidRPr="00222917" w:rsidTr="006C4F5C">
        <w:trPr>
          <w:tblHeader/>
        </w:trPr>
        <w:tc>
          <w:tcPr>
            <w:tcW w:w="1474" w:type="dxa"/>
            <w:vMerge w:val="restart"/>
            <w:tcBorders>
              <w:top w:val="single" w:sz="4" w:space="0" w:color="auto"/>
              <w:bottom w:val="single" w:sz="12" w:space="0" w:color="auto"/>
            </w:tcBorders>
            <w:shd w:val="clear" w:color="auto" w:fill="auto"/>
            <w:tcMar>
              <w:top w:w="15" w:type="dxa"/>
              <w:left w:w="15" w:type="dxa"/>
              <w:bottom w:w="15" w:type="dxa"/>
              <w:right w:w="15" w:type="dxa"/>
            </w:tcMar>
            <w:vAlign w:val="bottom"/>
          </w:tcPr>
          <w:p w:rsidR="002D5BB0" w:rsidRPr="00222917" w:rsidRDefault="002D5BB0" w:rsidP="003F0702">
            <w:pPr>
              <w:pStyle w:val="SingleTxtG"/>
              <w:suppressAutoHyphens w:val="0"/>
              <w:spacing w:before="80" w:after="80" w:line="200" w:lineRule="exact"/>
              <w:ind w:left="0" w:right="0"/>
              <w:jc w:val="left"/>
              <w:rPr>
                <w:i/>
                <w:sz w:val="16"/>
                <w:szCs w:val="16"/>
                <w:lang w:val="en-US"/>
              </w:rPr>
            </w:pPr>
            <w:bookmarkStart w:id="101" w:name="BM_6ac56ccd"/>
            <w:bookmarkEnd w:id="101"/>
            <w:r w:rsidRPr="00222917">
              <w:rPr>
                <w:i/>
                <w:sz w:val="16"/>
                <w:szCs w:val="16"/>
                <w:lang w:val="en-US"/>
              </w:rPr>
              <w:t>Year</w:t>
            </w:r>
          </w:p>
        </w:tc>
        <w:tc>
          <w:tcPr>
            <w:tcW w:w="1474" w:type="dxa"/>
            <w:vMerge w:val="restart"/>
            <w:tcBorders>
              <w:top w:val="single" w:sz="4" w:space="0" w:color="auto"/>
              <w:bottom w:val="single" w:sz="12" w:space="0" w:color="auto"/>
            </w:tcBorders>
            <w:shd w:val="clear" w:color="auto" w:fill="auto"/>
            <w:tcMar>
              <w:top w:w="15" w:type="dxa"/>
              <w:left w:w="15" w:type="dxa"/>
              <w:bottom w:w="15" w:type="dxa"/>
              <w:right w:w="15" w:type="dxa"/>
            </w:tcMar>
            <w:vAlign w:val="bottom"/>
          </w:tcPr>
          <w:p w:rsidR="002D5BB0" w:rsidRPr="00222917" w:rsidRDefault="002D5BB0" w:rsidP="003F0702">
            <w:pPr>
              <w:pStyle w:val="SingleTxtG"/>
              <w:suppressAutoHyphens w:val="0"/>
              <w:spacing w:before="80" w:after="80" w:line="200" w:lineRule="exact"/>
              <w:ind w:left="113" w:right="0"/>
              <w:jc w:val="right"/>
              <w:rPr>
                <w:i/>
                <w:sz w:val="16"/>
                <w:szCs w:val="16"/>
                <w:lang w:val="en-US"/>
              </w:rPr>
            </w:pPr>
            <w:r w:rsidRPr="00222917">
              <w:rPr>
                <w:bCs/>
                <w:i/>
                <w:sz w:val="16"/>
                <w:szCs w:val="16"/>
                <w:lang w:val="en-US"/>
              </w:rPr>
              <w:t>Requests</w:t>
            </w:r>
          </w:p>
        </w:tc>
        <w:tc>
          <w:tcPr>
            <w:tcW w:w="1474" w:type="dxa"/>
            <w:gridSpan w:val="3"/>
            <w:tcBorders>
              <w:top w:val="single" w:sz="4" w:space="0" w:color="auto"/>
              <w:bottom w:val="single" w:sz="4" w:space="0" w:color="auto"/>
            </w:tcBorders>
            <w:shd w:val="clear" w:color="auto" w:fill="auto"/>
            <w:tcMar>
              <w:top w:w="15" w:type="dxa"/>
              <w:left w:w="15" w:type="dxa"/>
              <w:bottom w:w="15" w:type="dxa"/>
              <w:right w:w="15" w:type="dxa"/>
            </w:tcMar>
            <w:vAlign w:val="bottom"/>
          </w:tcPr>
          <w:p w:rsidR="002D5BB0" w:rsidRPr="00222917" w:rsidRDefault="002D5BB0" w:rsidP="003F0702">
            <w:pPr>
              <w:pStyle w:val="SingleTxtG"/>
              <w:suppressAutoHyphens w:val="0"/>
              <w:spacing w:before="80" w:after="80" w:line="200" w:lineRule="exact"/>
              <w:ind w:left="113" w:right="0"/>
              <w:jc w:val="center"/>
              <w:rPr>
                <w:i/>
                <w:sz w:val="16"/>
                <w:szCs w:val="16"/>
                <w:lang w:val="en-US"/>
              </w:rPr>
            </w:pPr>
            <w:r w:rsidRPr="00222917">
              <w:rPr>
                <w:bCs/>
                <w:i/>
                <w:sz w:val="16"/>
                <w:szCs w:val="16"/>
                <w:lang w:val="en-US"/>
              </w:rPr>
              <w:t>Processed</w:t>
            </w:r>
          </w:p>
        </w:tc>
      </w:tr>
      <w:tr w:rsidR="001D2686" w:rsidRPr="00222917" w:rsidTr="006C4F5C">
        <w:trPr>
          <w:tblHeader/>
        </w:trPr>
        <w:tc>
          <w:tcPr>
            <w:tcW w:w="1474" w:type="dxa"/>
            <w:vMerge/>
            <w:tcBorders>
              <w:top w:val="single" w:sz="12" w:space="0" w:color="auto"/>
              <w:bottom w:val="single" w:sz="12" w:space="0" w:color="auto"/>
            </w:tcBorders>
            <w:shd w:val="clear" w:color="auto" w:fill="auto"/>
            <w:vAlign w:val="bottom"/>
          </w:tcPr>
          <w:p w:rsidR="002D5BB0" w:rsidRPr="00222917" w:rsidRDefault="002D5BB0" w:rsidP="003F0702">
            <w:pPr>
              <w:pStyle w:val="SingleTxtG"/>
              <w:suppressAutoHyphens w:val="0"/>
              <w:spacing w:before="80" w:after="80" w:line="200" w:lineRule="exact"/>
              <w:ind w:left="0" w:right="0"/>
              <w:jc w:val="left"/>
              <w:rPr>
                <w:i/>
                <w:sz w:val="16"/>
                <w:szCs w:val="16"/>
                <w:lang w:val="en-US"/>
              </w:rPr>
            </w:pPr>
          </w:p>
        </w:tc>
        <w:tc>
          <w:tcPr>
            <w:tcW w:w="1474" w:type="dxa"/>
            <w:vMerge/>
            <w:tcBorders>
              <w:top w:val="single" w:sz="12" w:space="0" w:color="auto"/>
              <w:bottom w:val="single" w:sz="12" w:space="0" w:color="auto"/>
            </w:tcBorders>
            <w:shd w:val="clear" w:color="auto" w:fill="auto"/>
            <w:vAlign w:val="bottom"/>
          </w:tcPr>
          <w:p w:rsidR="002D5BB0" w:rsidRPr="00222917" w:rsidRDefault="002D5BB0" w:rsidP="003F0702">
            <w:pPr>
              <w:pStyle w:val="SingleTxtG"/>
              <w:suppressAutoHyphens w:val="0"/>
              <w:spacing w:before="80" w:after="80" w:line="200" w:lineRule="exact"/>
              <w:ind w:left="113" w:right="0"/>
              <w:jc w:val="right"/>
              <w:rPr>
                <w:i/>
                <w:sz w:val="16"/>
                <w:szCs w:val="16"/>
                <w:lang w:val="en-US"/>
              </w:rPr>
            </w:pPr>
          </w:p>
        </w:tc>
        <w:tc>
          <w:tcPr>
            <w:tcW w:w="1474" w:type="dxa"/>
            <w:tcBorders>
              <w:top w:val="single" w:sz="4" w:space="0" w:color="auto"/>
              <w:bottom w:val="single" w:sz="12" w:space="0" w:color="auto"/>
            </w:tcBorders>
            <w:shd w:val="clear" w:color="auto" w:fill="auto"/>
            <w:tcMar>
              <w:top w:w="15" w:type="dxa"/>
              <w:left w:w="15" w:type="dxa"/>
              <w:bottom w:w="15" w:type="dxa"/>
              <w:right w:w="15" w:type="dxa"/>
            </w:tcMar>
            <w:vAlign w:val="bottom"/>
          </w:tcPr>
          <w:p w:rsidR="002D5BB0" w:rsidRPr="00222917" w:rsidRDefault="002D5BB0" w:rsidP="003F0702">
            <w:pPr>
              <w:pStyle w:val="SingleTxtG"/>
              <w:suppressAutoHyphens w:val="0"/>
              <w:spacing w:before="80" w:after="80" w:line="200" w:lineRule="exact"/>
              <w:ind w:left="113" w:right="0"/>
              <w:jc w:val="right"/>
              <w:rPr>
                <w:i/>
                <w:sz w:val="16"/>
                <w:szCs w:val="16"/>
                <w:lang w:val="en-US"/>
              </w:rPr>
            </w:pPr>
            <w:r w:rsidRPr="00222917">
              <w:rPr>
                <w:bCs/>
                <w:i/>
                <w:sz w:val="16"/>
                <w:szCs w:val="16"/>
                <w:lang w:val="en-US"/>
              </w:rPr>
              <w:t>Release</w:t>
            </w:r>
          </w:p>
        </w:tc>
        <w:tc>
          <w:tcPr>
            <w:tcW w:w="1474" w:type="dxa"/>
            <w:tcBorders>
              <w:top w:val="single" w:sz="4" w:space="0" w:color="auto"/>
              <w:bottom w:val="single" w:sz="12" w:space="0" w:color="auto"/>
            </w:tcBorders>
            <w:shd w:val="clear" w:color="auto" w:fill="auto"/>
            <w:tcMar>
              <w:top w:w="15" w:type="dxa"/>
              <w:left w:w="15" w:type="dxa"/>
              <w:bottom w:w="15" w:type="dxa"/>
              <w:right w:w="15" w:type="dxa"/>
            </w:tcMar>
            <w:vAlign w:val="bottom"/>
          </w:tcPr>
          <w:p w:rsidR="002D5BB0" w:rsidRPr="00222917" w:rsidRDefault="002D5BB0" w:rsidP="003F0702">
            <w:pPr>
              <w:pStyle w:val="SingleTxtG"/>
              <w:suppressAutoHyphens w:val="0"/>
              <w:spacing w:before="80" w:after="80" w:line="200" w:lineRule="exact"/>
              <w:ind w:left="113" w:right="0"/>
              <w:jc w:val="right"/>
              <w:rPr>
                <w:i/>
                <w:sz w:val="16"/>
                <w:szCs w:val="16"/>
                <w:lang w:val="en-US"/>
              </w:rPr>
            </w:pPr>
            <w:r w:rsidRPr="00222917">
              <w:rPr>
                <w:bCs/>
                <w:i/>
                <w:sz w:val="16"/>
                <w:szCs w:val="16"/>
                <w:lang w:val="en-US"/>
              </w:rPr>
              <w:t>Dismissal</w:t>
            </w:r>
          </w:p>
        </w:tc>
        <w:tc>
          <w:tcPr>
            <w:tcW w:w="1474" w:type="dxa"/>
            <w:tcBorders>
              <w:top w:val="single" w:sz="4" w:space="0" w:color="auto"/>
              <w:bottom w:val="single" w:sz="12" w:space="0" w:color="auto"/>
            </w:tcBorders>
            <w:shd w:val="clear" w:color="auto" w:fill="auto"/>
            <w:tcMar>
              <w:top w:w="15" w:type="dxa"/>
              <w:left w:w="15" w:type="dxa"/>
              <w:bottom w:w="15" w:type="dxa"/>
              <w:right w:w="15" w:type="dxa"/>
            </w:tcMar>
            <w:vAlign w:val="bottom"/>
          </w:tcPr>
          <w:p w:rsidR="002D5BB0" w:rsidRPr="00222917" w:rsidRDefault="002D5BB0" w:rsidP="003F0702">
            <w:pPr>
              <w:pStyle w:val="SingleTxtG"/>
              <w:suppressAutoHyphens w:val="0"/>
              <w:spacing w:before="80" w:after="80" w:line="200" w:lineRule="exact"/>
              <w:ind w:left="113" w:right="0"/>
              <w:jc w:val="right"/>
              <w:rPr>
                <w:i/>
                <w:sz w:val="16"/>
                <w:szCs w:val="16"/>
                <w:lang w:val="en-US"/>
              </w:rPr>
            </w:pPr>
            <w:r w:rsidRPr="00222917">
              <w:rPr>
                <w:bCs/>
                <w:i/>
                <w:sz w:val="16"/>
                <w:szCs w:val="16"/>
                <w:lang w:val="en-US"/>
              </w:rPr>
              <w:t>Withdrawal</w:t>
            </w:r>
          </w:p>
        </w:tc>
      </w:tr>
      <w:tr w:rsidR="001D2686" w:rsidRPr="00222917" w:rsidTr="006C4F5C">
        <w:tc>
          <w:tcPr>
            <w:tcW w:w="1474" w:type="dxa"/>
            <w:tcBorders>
              <w:top w:val="single" w:sz="12" w:space="0" w:color="auto"/>
            </w:tcBorders>
            <w:shd w:val="clear" w:color="auto" w:fill="auto"/>
            <w:tcMar>
              <w:top w:w="15" w:type="dxa"/>
              <w:left w:w="15" w:type="dxa"/>
              <w:bottom w:w="15" w:type="dxa"/>
              <w:right w:w="15" w:type="dxa"/>
            </w:tcMar>
          </w:tcPr>
          <w:p w:rsidR="002D5BB0" w:rsidRPr="00222917" w:rsidRDefault="002D5BB0" w:rsidP="001D2686">
            <w:pPr>
              <w:pStyle w:val="SingleTxtG"/>
              <w:suppressAutoHyphens w:val="0"/>
              <w:spacing w:before="40" w:after="40" w:line="220" w:lineRule="exact"/>
              <w:ind w:left="0" w:right="0"/>
              <w:jc w:val="left"/>
              <w:rPr>
                <w:sz w:val="18"/>
                <w:lang w:val="en-US"/>
              </w:rPr>
            </w:pPr>
            <w:r w:rsidRPr="00222917">
              <w:rPr>
                <w:sz w:val="18"/>
                <w:lang w:val="en-US"/>
              </w:rPr>
              <w:t>2004</w:t>
            </w:r>
          </w:p>
        </w:tc>
        <w:tc>
          <w:tcPr>
            <w:tcW w:w="1474" w:type="dxa"/>
            <w:tcBorders>
              <w:top w:val="single" w:sz="12" w:space="0" w:color="auto"/>
            </w:tcBorders>
            <w:shd w:val="clear" w:color="auto" w:fill="auto"/>
            <w:tcMar>
              <w:top w:w="15" w:type="dxa"/>
              <w:left w:w="15" w:type="dxa"/>
              <w:bottom w:w="15" w:type="dxa"/>
              <w:right w:w="15" w:type="dxa"/>
            </w:tcMar>
            <w:vAlign w:val="bottom"/>
          </w:tcPr>
          <w:p w:rsidR="002D5BB0" w:rsidRPr="00222917" w:rsidRDefault="002D5BB0" w:rsidP="001D2686">
            <w:pPr>
              <w:pStyle w:val="SingleTxtG"/>
              <w:suppressAutoHyphens w:val="0"/>
              <w:spacing w:before="40" w:after="40" w:line="220" w:lineRule="exact"/>
              <w:ind w:left="113" w:right="0"/>
              <w:jc w:val="right"/>
              <w:rPr>
                <w:sz w:val="18"/>
                <w:lang w:val="en-US"/>
              </w:rPr>
            </w:pPr>
            <w:r w:rsidRPr="00222917">
              <w:rPr>
                <w:sz w:val="18"/>
                <w:lang w:val="en-US"/>
              </w:rPr>
              <w:t>8,393</w:t>
            </w:r>
          </w:p>
        </w:tc>
        <w:tc>
          <w:tcPr>
            <w:tcW w:w="1474" w:type="dxa"/>
            <w:tcBorders>
              <w:top w:val="single" w:sz="12" w:space="0" w:color="auto"/>
            </w:tcBorders>
            <w:shd w:val="clear" w:color="auto" w:fill="auto"/>
            <w:tcMar>
              <w:top w:w="15" w:type="dxa"/>
              <w:left w:w="15" w:type="dxa"/>
              <w:bottom w:w="15" w:type="dxa"/>
              <w:right w:w="15" w:type="dxa"/>
            </w:tcMar>
            <w:vAlign w:val="bottom"/>
          </w:tcPr>
          <w:p w:rsidR="002D5BB0" w:rsidRPr="00222917" w:rsidRDefault="002D5BB0" w:rsidP="001D2686">
            <w:pPr>
              <w:pStyle w:val="SingleTxtG"/>
              <w:suppressAutoHyphens w:val="0"/>
              <w:spacing w:before="40" w:after="40" w:line="220" w:lineRule="exact"/>
              <w:ind w:left="113" w:right="0"/>
              <w:jc w:val="right"/>
              <w:rPr>
                <w:sz w:val="18"/>
                <w:lang w:val="en-US"/>
              </w:rPr>
            </w:pPr>
            <w:r w:rsidRPr="00222917">
              <w:rPr>
                <w:sz w:val="18"/>
                <w:lang w:val="en-US"/>
              </w:rPr>
              <w:t>4,125</w:t>
            </w:r>
          </w:p>
        </w:tc>
        <w:tc>
          <w:tcPr>
            <w:tcW w:w="1474" w:type="dxa"/>
            <w:tcBorders>
              <w:top w:val="single" w:sz="12" w:space="0" w:color="auto"/>
            </w:tcBorders>
            <w:shd w:val="clear" w:color="auto" w:fill="auto"/>
            <w:tcMar>
              <w:top w:w="15" w:type="dxa"/>
              <w:left w:w="15" w:type="dxa"/>
              <w:bottom w:w="15" w:type="dxa"/>
              <w:right w:w="15" w:type="dxa"/>
            </w:tcMar>
            <w:vAlign w:val="bottom"/>
          </w:tcPr>
          <w:p w:rsidR="002D5BB0" w:rsidRPr="00222917" w:rsidRDefault="002D5BB0" w:rsidP="001D2686">
            <w:pPr>
              <w:pStyle w:val="SingleTxtG"/>
              <w:suppressAutoHyphens w:val="0"/>
              <w:spacing w:before="40" w:after="40" w:line="220" w:lineRule="exact"/>
              <w:ind w:left="113" w:right="0"/>
              <w:jc w:val="right"/>
              <w:rPr>
                <w:sz w:val="18"/>
                <w:lang w:val="en-US"/>
              </w:rPr>
            </w:pPr>
            <w:r w:rsidRPr="00222917">
              <w:rPr>
                <w:sz w:val="18"/>
                <w:lang w:val="en-US"/>
              </w:rPr>
              <w:t>4,014</w:t>
            </w:r>
          </w:p>
        </w:tc>
        <w:tc>
          <w:tcPr>
            <w:tcW w:w="1474" w:type="dxa"/>
            <w:tcBorders>
              <w:top w:val="single" w:sz="12" w:space="0" w:color="auto"/>
            </w:tcBorders>
            <w:shd w:val="clear" w:color="auto" w:fill="auto"/>
            <w:tcMar>
              <w:top w:w="15" w:type="dxa"/>
              <w:left w:w="15" w:type="dxa"/>
              <w:bottom w:w="15" w:type="dxa"/>
              <w:right w:w="15" w:type="dxa"/>
            </w:tcMar>
            <w:vAlign w:val="bottom"/>
          </w:tcPr>
          <w:p w:rsidR="002D5BB0" w:rsidRPr="00222917" w:rsidRDefault="002D5BB0" w:rsidP="001D2686">
            <w:pPr>
              <w:pStyle w:val="SingleTxtG"/>
              <w:suppressAutoHyphens w:val="0"/>
              <w:spacing w:before="40" w:after="40" w:line="220" w:lineRule="exact"/>
              <w:ind w:left="113" w:right="0"/>
              <w:jc w:val="right"/>
              <w:rPr>
                <w:sz w:val="18"/>
                <w:lang w:val="en-US"/>
              </w:rPr>
            </w:pPr>
            <w:r w:rsidRPr="00222917">
              <w:rPr>
                <w:sz w:val="18"/>
                <w:lang w:val="en-US"/>
              </w:rPr>
              <w:t>254</w:t>
            </w:r>
          </w:p>
        </w:tc>
      </w:tr>
      <w:tr w:rsidR="001D2686" w:rsidRPr="00222917" w:rsidTr="006C4F5C">
        <w:tc>
          <w:tcPr>
            <w:tcW w:w="1474" w:type="dxa"/>
            <w:shd w:val="clear" w:color="auto" w:fill="auto"/>
            <w:tcMar>
              <w:top w:w="15" w:type="dxa"/>
              <w:left w:w="15" w:type="dxa"/>
              <w:bottom w:w="15" w:type="dxa"/>
              <w:right w:w="15" w:type="dxa"/>
            </w:tcMar>
          </w:tcPr>
          <w:p w:rsidR="002D5BB0" w:rsidRPr="00222917" w:rsidRDefault="002D5BB0" w:rsidP="001D2686">
            <w:pPr>
              <w:pStyle w:val="SingleTxtG"/>
              <w:suppressAutoHyphens w:val="0"/>
              <w:spacing w:before="40" w:after="40" w:line="220" w:lineRule="exact"/>
              <w:ind w:left="0" w:right="0"/>
              <w:jc w:val="left"/>
              <w:rPr>
                <w:sz w:val="18"/>
                <w:lang w:val="en-US"/>
              </w:rPr>
            </w:pPr>
            <w:r w:rsidRPr="00222917">
              <w:rPr>
                <w:sz w:val="18"/>
                <w:lang w:val="en-US"/>
              </w:rPr>
              <w:t>2005</w:t>
            </w:r>
          </w:p>
        </w:tc>
        <w:tc>
          <w:tcPr>
            <w:tcW w:w="1474" w:type="dxa"/>
            <w:shd w:val="clear" w:color="auto" w:fill="auto"/>
            <w:tcMar>
              <w:top w:w="15" w:type="dxa"/>
              <w:left w:w="15" w:type="dxa"/>
              <w:bottom w:w="15" w:type="dxa"/>
              <w:right w:w="15" w:type="dxa"/>
            </w:tcMar>
            <w:vAlign w:val="bottom"/>
          </w:tcPr>
          <w:p w:rsidR="002D5BB0" w:rsidRPr="00222917" w:rsidRDefault="002D5BB0" w:rsidP="001D2686">
            <w:pPr>
              <w:pStyle w:val="SingleTxtG"/>
              <w:suppressAutoHyphens w:val="0"/>
              <w:spacing w:before="40" w:after="40" w:line="220" w:lineRule="exact"/>
              <w:ind w:left="113" w:right="0"/>
              <w:jc w:val="right"/>
              <w:rPr>
                <w:sz w:val="18"/>
                <w:lang w:val="en-US"/>
              </w:rPr>
            </w:pPr>
            <w:r w:rsidRPr="00222917">
              <w:rPr>
                <w:sz w:val="18"/>
                <w:lang w:val="en-US"/>
              </w:rPr>
              <w:t>5,730</w:t>
            </w:r>
          </w:p>
        </w:tc>
        <w:tc>
          <w:tcPr>
            <w:tcW w:w="1474" w:type="dxa"/>
            <w:shd w:val="clear" w:color="auto" w:fill="auto"/>
            <w:tcMar>
              <w:top w:w="15" w:type="dxa"/>
              <w:left w:w="15" w:type="dxa"/>
              <w:bottom w:w="15" w:type="dxa"/>
              <w:right w:w="15" w:type="dxa"/>
            </w:tcMar>
            <w:vAlign w:val="bottom"/>
          </w:tcPr>
          <w:p w:rsidR="002D5BB0" w:rsidRPr="00222917" w:rsidRDefault="002D5BB0" w:rsidP="001D2686">
            <w:pPr>
              <w:pStyle w:val="SingleTxtG"/>
              <w:suppressAutoHyphens w:val="0"/>
              <w:spacing w:before="40" w:after="40" w:line="220" w:lineRule="exact"/>
              <w:ind w:left="113" w:right="0"/>
              <w:jc w:val="right"/>
              <w:rPr>
                <w:sz w:val="18"/>
                <w:lang w:val="en-US"/>
              </w:rPr>
            </w:pPr>
            <w:r w:rsidRPr="00222917">
              <w:rPr>
                <w:sz w:val="18"/>
                <w:lang w:val="en-US"/>
              </w:rPr>
              <w:t>2,676</w:t>
            </w:r>
          </w:p>
        </w:tc>
        <w:tc>
          <w:tcPr>
            <w:tcW w:w="1474" w:type="dxa"/>
            <w:shd w:val="clear" w:color="auto" w:fill="auto"/>
            <w:tcMar>
              <w:top w:w="15" w:type="dxa"/>
              <w:left w:w="15" w:type="dxa"/>
              <w:bottom w:w="15" w:type="dxa"/>
              <w:right w:w="15" w:type="dxa"/>
            </w:tcMar>
            <w:vAlign w:val="bottom"/>
          </w:tcPr>
          <w:p w:rsidR="002D5BB0" w:rsidRPr="00222917" w:rsidRDefault="002D5BB0" w:rsidP="001D2686">
            <w:pPr>
              <w:pStyle w:val="SingleTxtG"/>
              <w:suppressAutoHyphens w:val="0"/>
              <w:spacing w:before="40" w:after="40" w:line="220" w:lineRule="exact"/>
              <w:ind w:left="113" w:right="0"/>
              <w:jc w:val="right"/>
              <w:rPr>
                <w:sz w:val="18"/>
                <w:lang w:val="en-US"/>
              </w:rPr>
            </w:pPr>
            <w:r w:rsidRPr="00222917">
              <w:rPr>
                <w:sz w:val="18"/>
                <w:lang w:val="en-US"/>
              </w:rPr>
              <w:t>2,941</w:t>
            </w:r>
          </w:p>
        </w:tc>
        <w:tc>
          <w:tcPr>
            <w:tcW w:w="1474" w:type="dxa"/>
            <w:shd w:val="clear" w:color="auto" w:fill="auto"/>
            <w:tcMar>
              <w:top w:w="15" w:type="dxa"/>
              <w:left w:w="15" w:type="dxa"/>
              <w:bottom w:w="15" w:type="dxa"/>
              <w:right w:w="15" w:type="dxa"/>
            </w:tcMar>
            <w:vAlign w:val="bottom"/>
          </w:tcPr>
          <w:p w:rsidR="002D5BB0" w:rsidRPr="00222917" w:rsidRDefault="002D5BB0" w:rsidP="001D2686">
            <w:pPr>
              <w:pStyle w:val="SingleTxtG"/>
              <w:suppressAutoHyphens w:val="0"/>
              <w:spacing w:before="40" w:after="40" w:line="220" w:lineRule="exact"/>
              <w:ind w:left="113" w:right="0"/>
              <w:jc w:val="right"/>
              <w:rPr>
                <w:sz w:val="18"/>
                <w:lang w:val="en-US"/>
              </w:rPr>
            </w:pPr>
            <w:r w:rsidRPr="00222917">
              <w:rPr>
                <w:sz w:val="18"/>
                <w:lang w:val="en-US"/>
              </w:rPr>
              <w:t>113</w:t>
            </w:r>
          </w:p>
        </w:tc>
      </w:tr>
      <w:tr w:rsidR="001D2686" w:rsidRPr="00222917" w:rsidTr="006C4F5C">
        <w:tc>
          <w:tcPr>
            <w:tcW w:w="1474" w:type="dxa"/>
            <w:shd w:val="clear" w:color="auto" w:fill="auto"/>
            <w:tcMar>
              <w:top w:w="15" w:type="dxa"/>
              <w:left w:w="15" w:type="dxa"/>
              <w:bottom w:w="15" w:type="dxa"/>
              <w:right w:w="15" w:type="dxa"/>
            </w:tcMar>
          </w:tcPr>
          <w:p w:rsidR="002D5BB0" w:rsidRPr="00222917" w:rsidRDefault="002D5BB0" w:rsidP="001D2686">
            <w:pPr>
              <w:pStyle w:val="SingleTxtG"/>
              <w:suppressAutoHyphens w:val="0"/>
              <w:spacing w:before="40" w:after="40" w:line="220" w:lineRule="exact"/>
              <w:ind w:left="0" w:right="0"/>
              <w:jc w:val="left"/>
              <w:rPr>
                <w:sz w:val="18"/>
                <w:lang w:val="en-US"/>
              </w:rPr>
            </w:pPr>
            <w:r w:rsidRPr="00222917">
              <w:rPr>
                <w:sz w:val="18"/>
                <w:lang w:val="en-US"/>
              </w:rPr>
              <w:t>2006</w:t>
            </w:r>
          </w:p>
        </w:tc>
        <w:tc>
          <w:tcPr>
            <w:tcW w:w="1474" w:type="dxa"/>
            <w:shd w:val="clear" w:color="auto" w:fill="auto"/>
            <w:tcMar>
              <w:top w:w="15" w:type="dxa"/>
              <w:left w:w="15" w:type="dxa"/>
              <w:bottom w:w="15" w:type="dxa"/>
              <w:right w:w="15" w:type="dxa"/>
            </w:tcMar>
            <w:vAlign w:val="bottom"/>
          </w:tcPr>
          <w:p w:rsidR="002D5BB0" w:rsidRPr="00222917" w:rsidRDefault="002D5BB0" w:rsidP="001D2686">
            <w:pPr>
              <w:pStyle w:val="SingleTxtG"/>
              <w:suppressAutoHyphens w:val="0"/>
              <w:spacing w:before="40" w:after="40" w:line="220" w:lineRule="exact"/>
              <w:ind w:left="113" w:right="0"/>
              <w:jc w:val="right"/>
              <w:rPr>
                <w:sz w:val="18"/>
                <w:lang w:val="en-US"/>
              </w:rPr>
            </w:pPr>
            <w:r w:rsidRPr="00222917">
              <w:rPr>
                <w:sz w:val="18"/>
                <w:lang w:val="en-US"/>
              </w:rPr>
              <w:t>4,520</w:t>
            </w:r>
          </w:p>
        </w:tc>
        <w:tc>
          <w:tcPr>
            <w:tcW w:w="1474" w:type="dxa"/>
            <w:shd w:val="clear" w:color="auto" w:fill="auto"/>
            <w:tcMar>
              <w:top w:w="15" w:type="dxa"/>
              <w:left w:w="15" w:type="dxa"/>
              <w:bottom w:w="15" w:type="dxa"/>
              <w:right w:w="15" w:type="dxa"/>
            </w:tcMar>
            <w:vAlign w:val="bottom"/>
          </w:tcPr>
          <w:p w:rsidR="002D5BB0" w:rsidRPr="00222917" w:rsidRDefault="002D5BB0" w:rsidP="001D2686">
            <w:pPr>
              <w:pStyle w:val="SingleTxtG"/>
              <w:suppressAutoHyphens w:val="0"/>
              <w:spacing w:before="40" w:after="40" w:line="220" w:lineRule="exact"/>
              <w:ind w:left="113" w:right="0"/>
              <w:jc w:val="right"/>
              <w:rPr>
                <w:sz w:val="18"/>
                <w:lang w:val="en-US"/>
              </w:rPr>
            </w:pPr>
            <w:r w:rsidRPr="00222917">
              <w:rPr>
                <w:sz w:val="18"/>
                <w:lang w:val="en-US"/>
              </w:rPr>
              <w:t>2,015</w:t>
            </w:r>
          </w:p>
        </w:tc>
        <w:tc>
          <w:tcPr>
            <w:tcW w:w="1474" w:type="dxa"/>
            <w:shd w:val="clear" w:color="auto" w:fill="auto"/>
            <w:tcMar>
              <w:top w:w="15" w:type="dxa"/>
              <w:left w:w="15" w:type="dxa"/>
              <w:bottom w:w="15" w:type="dxa"/>
              <w:right w:w="15" w:type="dxa"/>
            </w:tcMar>
            <w:vAlign w:val="bottom"/>
          </w:tcPr>
          <w:p w:rsidR="002D5BB0" w:rsidRPr="00222917" w:rsidRDefault="002D5BB0" w:rsidP="001D2686">
            <w:pPr>
              <w:pStyle w:val="SingleTxtG"/>
              <w:suppressAutoHyphens w:val="0"/>
              <w:spacing w:before="40" w:after="40" w:line="220" w:lineRule="exact"/>
              <w:ind w:left="113" w:right="0"/>
              <w:jc w:val="right"/>
              <w:rPr>
                <w:sz w:val="18"/>
                <w:lang w:val="en-US"/>
              </w:rPr>
            </w:pPr>
            <w:r w:rsidRPr="00222917">
              <w:rPr>
                <w:sz w:val="18"/>
                <w:lang w:val="en-US"/>
              </w:rPr>
              <w:t>2,436</w:t>
            </w:r>
          </w:p>
        </w:tc>
        <w:tc>
          <w:tcPr>
            <w:tcW w:w="1474" w:type="dxa"/>
            <w:shd w:val="clear" w:color="auto" w:fill="auto"/>
            <w:tcMar>
              <w:top w:w="15" w:type="dxa"/>
              <w:left w:w="15" w:type="dxa"/>
              <w:bottom w:w="15" w:type="dxa"/>
              <w:right w:w="15" w:type="dxa"/>
            </w:tcMar>
            <w:vAlign w:val="bottom"/>
          </w:tcPr>
          <w:p w:rsidR="002D5BB0" w:rsidRPr="00222917" w:rsidRDefault="002D5BB0" w:rsidP="001D2686">
            <w:pPr>
              <w:pStyle w:val="SingleTxtG"/>
              <w:suppressAutoHyphens w:val="0"/>
              <w:spacing w:before="40" w:after="40" w:line="220" w:lineRule="exact"/>
              <w:ind w:left="113" w:right="0"/>
              <w:jc w:val="right"/>
              <w:rPr>
                <w:sz w:val="18"/>
                <w:lang w:val="en-US"/>
              </w:rPr>
            </w:pPr>
            <w:r w:rsidRPr="00222917">
              <w:rPr>
                <w:sz w:val="18"/>
                <w:lang w:val="en-US"/>
              </w:rPr>
              <w:t>69</w:t>
            </w:r>
          </w:p>
        </w:tc>
      </w:tr>
      <w:tr w:rsidR="001D2686" w:rsidRPr="00222917" w:rsidTr="006C4F5C">
        <w:tc>
          <w:tcPr>
            <w:tcW w:w="1474" w:type="dxa"/>
            <w:shd w:val="clear" w:color="auto" w:fill="auto"/>
            <w:tcMar>
              <w:top w:w="15" w:type="dxa"/>
              <w:left w:w="15" w:type="dxa"/>
              <w:bottom w:w="15" w:type="dxa"/>
              <w:right w:w="15" w:type="dxa"/>
            </w:tcMar>
          </w:tcPr>
          <w:p w:rsidR="002D5BB0" w:rsidRPr="00222917" w:rsidRDefault="002D5BB0" w:rsidP="001D2686">
            <w:pPr>
              <w:pStyle w:val="SingleTxtG"/>
              <w:suppressAutoHyphens w:val="0"/>
              <w:spacing w:before="40" w:after="40" w:line="220" w:lineRule="exact"/>
              <w:ind w:left="0" w:right="0"/>
              <w:jc w:val="left"/>
              <w:rPr>
                <w:sz w:val="18"/>
                <w:lang w:val="en-US"/>
              </w:rPr>
            </w:pPr>
            <w:r w:rsidRPr="00222917">
              <w:rPr>
                <w:sz w:val="18"/>
                <w:lang w:val="en-US"/>
              </w:rPr>
              <w:t>2007</w:t>
            </w:r>
          </w:p>
        </w:tc>
        <w:tc>
          <w:tcPr>
            <w:tcW w:w="1474" w:type="dxa"/>
            <w:shd w:val="clear" w:color="auto" w:fill="auto"/>
            <w:tcMar>
              <w:top w:w="15" w:type="dxa"/>
              <w:left w:w="15" w:type="dxa"/>
              <w:bottom w:w="15" w:type="dxa"/>
              <w:right w:w="15" w:type="dxa"/>
            </w:tcMar>
            <w:vAlign w:val="bottom"/>
          </w:tcPr>
          <w:p w:rsidR="002D5BB0" w:rsidRPr="00222917" w:rsidRDefault="002D5BB0" w:rsidP="001D2686">
            <w:pPr>
              <w:pStyle w:val="SingleTxtG"/>
              <w:suppressAutoHyphens w:val="0"/>
              <w:spacing w:before="40" w:after="40" w:line="220" w:lineRule="exact"/>
              <w:ind w:left="113" w:right="0"/>
              <w:jc w:val="right"/>
              <w:rPr>
                <w:sz w:val="18"/>
                <w:lang w:val="en-US"/>
              </w:rPr>
            </w:pPr>
            <w:r w:rsidRPr="00222917">
              <w:rPr>
                <w:sz w:val="18"/>
                <w:lang w:val="en-US"/>
              </w:rPr>
              <w:t>3,943</w:t>
            </w:r>
          </w:p>
        </w:tc>
        <w:tc>
          <w:tcPr>
            <w:tcW w:w="1474" w:type="dxa"/>
            <w:shd w:val="clear" w:color="auto" w:fill="auto"/>
            <w:tcMar>
              <w:top w:w="15" w:type="dxa"/>
              <w:left w:w="15" w:type="dxa"/>
              <w:bottom w:w="15" w:type="dxa"/>
              <w:right w:w="15" w:type="dxa"/>
            </w:tcMar>
            <w:vAlign w:val="bottom"/>
          </w:tcPr>
          <w:p w:rsidR="002D5BB0" w:rsidRPr="00222917" w:rsidRDefault="002D5BB0" w:rsidP="001D2686">
            <w:pPr>
              <w:pStyle w:val="SingleTxtG"/>
              <w:suppressAutoHyphens w:val="0"/>
              <w:spacing w:before="40" w:after="40" w:line="220" w:lineRule="exact"/>
              <w:ind w:left="113" w:right="0"/>
              <w:jc w:val="right"/>
              <w:rPr>
                <w:sz w:val="18"/>
                <w:lang w:val="en-US"/>
              </w:rPr>
            </w:pPr>
            <w:r w:rsidRPr="00222917">
              <w:rPr>
                <w:sz w:val="18"/>
                <w:lang w:val="en-US"/>
              </w:rPr>
              <w:t>1,727</w:t>
            </w:r>
          </w:p>
        </w:tc>
        <w:tc>
          <w:tcPr>
            <w:tcW w:w="1474" w:type="dxa"/>
            <w:shd w:val="clear" w:color="auto" w:fill="auto"/>
            <w:tcMar>
              <w:top w:w="15" w:type="dxa"/>
              <w:left w:w="15" w:type="dxa"/>
              <w:bottom w:w="15" w:type="dxa"/>
              <w:right w:w="15" w:type="dxa"/>
            </w:tcMar>
            <w:vAlign w:val="bottom"/>
          </w:tcPr>
          <w:p w:rsidR="002D5BB0" w:rsidRPr="00222917" w:rsidRDefault="002D5BB0" w:rsidP="001D2686">
            <w:pPr>
              <w:pStyle w:val="SingleTxtG"/>
              <w:suppressAutoHyphens w:val="0"/>
              <w:spacing w:before="40" w:after="40" w:line="220" w:lineRule="exact"/>
              <w:ind w:left="113" w:right="0"/>
              <w:jc w:val="right"/>
              <w:rPr>
                <w:sz w:val="18"/>
                <w:lang w:val="en-US"/>
              </w:rPr>
            </w:pPr>
            <w:r w:rsidRPr="00222917">
              <w:rPr>
                <w:sz w:val="18"/>
                <w:lang w:val="en-US"/>
              </w:rPr>
              <w:t>2,174</w:t>
            </w:r>
          </w:p>
        </w:tc>
        <w:tc>
          <w:tcPr>
            <w:tcW w:w="1474" w:type="dxa"/>
            <w:shd w:val="clear" w:color="auto" w:fill="auto"/>
            <w:tcMar>
              <w:top w:w="15" w:type="dxa"/>
              <w:left w:w="15" w:type="dxa"/>
              <w:bottom w:w="15" w:type="dxa"/>
              <w:right w:w="15" w:type="dxa"/>
            </w:tcMar>
            <w:vAlign w:val="bottom"/>
          </w:tcPr>
          <w:p w:rsidR="002D5BB0" w:rsidRPr="00222917" w:rsidRDefault="002D5BB0" w:rsidP="001D2686">
            <w:pPr>
              <w:pStyle w:val="SingleTxtG"/>
              <w:suppressAutoHyphens w:val="0"/>
              <w:spacing w:before="40" w:after="40" w:line="220" w:lineRule="exact"/>
              <w:ind w:left="113" w:right="0"/>
              <w:jc w:val="right"/>
              <w:rPr>
                <w:sz w:val="18"/>
                <w:lang w:val="en-US"/>
              </w:rPr>
            </w:pPr>
            <w:r w:rsidRPr="00222917">
              <w:rPr>
                <w:sz w:val="18"/>
                <w:lang w:val="en-US"/>
              </w:rPr>
              <w:t>42</w:t>
            </w:r>
          </w:p>
        </w:tc>
      </w:tr>
      <w:tr w:rsidR="001D2686" w:rsidRPr="00222917" w:rsidTr="006C4F5C">
        <w:tc>
          <w:tcPr>
            <w:tcW w:w="1474" w:type="dxa"/>
            <w:shd w:val="clear" w:color="auto" w:fill="auto"/>
            <w:tcMar>
              <w:top w:w="15" w:type="dxa"/>
              <w:left w:w="15" w:type="dxa"/>
              <w:bottom w:w="15" w:type="dxa"/>
              <w:right w:w="15" w:type="dxa"/>
            </w:tcMar>
          </w:tcPr>
          <w:p w:rsidR="002D5BB0" w:rsidRPr="00222917" w:rsidRDefault="002D5BB0" w:rsidP="001D2686">
            <w:pPr>
              <w:pStyle w:val="SingleTxtG"/>
              <w:suppressAutoHyphens w:val="0"/>
              <w:spacing w:before="40" w:after="40" w:line="220" w:lineRule="exact"/>
              <w:ind w:left="0" w:right="0"/>
              <w:jc w:val="left"/>
              <w:rPr>
                <w:sz w:val="18"/>
                <w:lang w:val="en-US"/>
              </w:rPr>
            </w:pPr>
            <w:r w:rsidRPr="00222917">
              <w:rPr>
                <w:sz w:val="18"/>
                <w:lang w:val="en-US"/>
              </w:rPr>
              <w:t>2008</w:t>
            </w:r>
          </w:p>
        </w:tc>
        <w:tc>
          <w:tcPr>
            <w:tcW w:w="1474" w:type="dxa"/>
            <w:shd w:val="clear" w:color="auto" w:fill="auto"/>
            <w:tcMar>
              <w:top w:w="15" w:type="dxa"/>
              <w:left w:w="15" w:type="dxa"/>
              <w:bottom w:w="15" w:type="dxa"/>
              <w:right w:w="15" w:type="dxa"/>
            </w:tcMar>
            <w:vAlign w:val="bottom"/>
          </w:tcPr>
          <w:p w:rsidR="002D5BB0" w:rsidRPr="00222917" w:rsidRDefault="002D5BB0" w:rsidP="001D2686">
            <w:pPr>
              <w:pStyle w:val="SingleTxtG"/>
              <w:suppressAutoHyphens w:val="0"/>
              <w:spacing w:before="40" w:after="40" w:line="220" w:lineRule="exact"/>
              <w:ind w:left="113" w:right="0"/>
              <w:jc w:val="right"/>
              <w:rPr>
                <w:sz w:val="18"/>
                <w:lang w:val="en-US"/>
              </w:rPr>
            </w:pPr>
            <w:r w:rsidRPr="00222917">
              <w:rPr>
                <w:sz w:val="18"/>
                <w:lang w:val="en-US"/>
              </w:rPr>
              <w:t>3,663</w:t>
            </w:r>
          </w:p>
        </w:tc>
        <w:tc>
          <w:tcPr>
            <w:tcW w:w="1474" w:type="dxa"/>
            <w:shd w:val="clear" w:color="auto" w:fill="auto"/>
            <w:tcMar>
              <w:top w:w="15" w:type="dxa"/>
              <w:left w:w="15" w:type="dxa"/>
              <w:bottom w:w="15" w:type="dxa"/>
              <w:right w:w="15" w:type="dxa"/>
            </w:tcMar>
            <w:vAlign w:val="bottom"/>
          </w:tcPr>
          <w:p w:rsidR="002D5BB0" w:rsidRPr="00222917" w:rsidRDefault="002D5BB0" w:rsidP="001D2686">
            <w:pPr>
              <w:pStyle w:val="SingleTxtG"/>
              <w:suppressAutoHyphens w:val="0"/>
              <w:spacing w:before="40" w:after="40" w:line="220" w:lineRule="exact"/>
              <w:ind w:left="113" w:right="0"/>
              <w:jc w:val="right"/>
              <w:rPr>
                <w:sz w:val="18"/>
                <w:lang w:val="en-US"/>
              </w:rPr>
            </w:pPr>
            <w:r w:rsidRPr="00222917">
              <w:rPr>
                <w:sz w:val="18"/>
                <w:lang w:val="en-US"/>
              </w:rPr>
              <w:t>1,417</w:t>
            </w:r>
          </w:p>
        </w:tc>
        <w:tc>
          <w:tcPr>
            <w:tcW w:w="1474" w:type="dxa"/>
            <w:shd w:val="clear" w:color="auto" w:fill="auto"/>
            <w:tcMar>
              <w:top w:w="15" w:type="dxa"/>
              <w:left w:w="15" w:type="dxa"/>
              <w:bottom w:w="15" w:type="dxa"/>
              <w:right w:w="15" w:type="dxa"/>
            </w:tcMar>
            <w:vAlign w:val="bottom"/>
          </w:tcPr>
          <w:p w:rsidR="002D5BB0" w:rsidRPr="00222917" w:rsidRDefault="002D5BB0" w:rsidP="001D2686">
            <w:pPr>
              <w:pStyle w:val="SingleTxtG"/>
              <w:suppressAutoHyphens w:val="0"/>
              <w:spacing w:before="40" w:after="40" w:line="220" w:lineRule="exact"/>
              <w:ind w:left="113" w:right="0"/>
              <w:jc w:val="right"/>
              <w:rPr>
                <w:sz w:val="18"/>
                <w:lang w:val="en-US"/>
              </w:rPr>
            </w:pPr>
            <w:r w:rsidRPr="00222917">
              <w:rPr>
                <w:sz w:val="18"/>
                <w:lang w:val="en-US"/>
              </w:rPr>
              <w:t>2,189</w:t>
            </w:r>
          </w:p>
        </w:tc>
        <w:tc>
          <w:tcPr>
            <w:tcW w:w="1474" w:type="dxa"/>
            <w:shd w:val="clear" w:color="auto" w:fill="auto"/>
            <w:tcMar>
              <w:top w:w="15" w:type="dxa"/>
              <w:left w:w="15" w:type="dxa"/>
              <w:bottom w:w="15" w:type="dxa"/>
              <w:right w:w="15" w:type="dxa"/>
            </w:tcMar>
            <w:vAlign w:val="bottom"/>
          </w:tcPr>
          <w:p w:rsidR="002D5BB0" w:rsidRPr="00222917" w:rsidRDefault="002D5BB0" w:rsidP="001D2686">
            <w:pPr>
              <w:pStyle w:val="SingleTxtG"/>
              <w:suppressAutoHyphens w:val="0"/>
              <w:spacing w:before="40" w:after="40" w:line="220" w:lineRule="exact"/>
              <w:ind w:left="113" w:right="0"/>
              <w:jc w:val="right"/>
              <w:rPr>
                <w:sz w:val="18"/>
                <w:lang w:val="en-US"/>
              </w:rPr>
            </w:pPr>
            <w:r w:rsidRPr="00222917">
              <w:rPr>
                <w:sz w:val="18"/>
                <w:lang w:val="en-US"/>
              </w:rPr>
              <w:t>57</w:t>
            </w:r>
          </w:p>
        </w:tc>
      </w:tr>
      <w:tr w:rsidR="001D2686" w:rsidRPr="00222917" w:rsidTr="006C4F5C">
        <w:tc>
          <w:tcPr>
            <w:tcW w:w="1474" w:type="dxa"/>
            <w:shd w:val="clear" w:color="auto" w:fill="auto"/>
            <w:tcMar>
              <w:top w:w="15" w:type="dxa"/>
              <w:left w:w="15" w:type="dxa"/>
              <w:bottom w:w="15" w:type="dxa"/>
              <w:right w:w="15" w:type="dxa"/>
            </w:tcMar>
          </w:tcPr>
          <w:p w:rsidR="002D5BB0" w:rsidRPr="00222917" w:rsidRDefault="002D5BB0" w:rsidP="001D2686">
            <w:pPr>
              <w:pStyle w:val="SingleTxtG"/>
              <w:suppressAutoHyphens w:val="0"/>
              <w:spacing w:before="40" w:after="40" w:line="220" w:lineRule="exact"/>
              <w:ind w:left="0" w:right="0"/>
              <w:jc w:val="left"/>
              <w:rPr>
                <w:sz w:val="18"/>
                <w:lang w:val="en-US"/>
              </w:rPr>
            </w:pPr>
            <w:r w:rsidRPr="00222917">
              <w:rPr>
                <w:sz w:val="18"/>
                <w:lang w:val="en-US"/>
              </w:rPr>
              <w:t>2009</w:t>
            </w:r>
          </w:p>
        </w:tc>
        <w:tc>
          <w:tcPr>
            <w:tcW w:w="1474" w:type="dxa"/>
            <w:shd w:val="clear" w:color="auto" w:fill="auto"/>
            <w:tcMar>
              <w:top w:w="15" w:type="dxa"/>
              <w:left w:w="15" w:type="dxa"/>
              <w:bottom w:w="15" w:type="dxa"/>
              <w:right w:w="15" w:type="dxa"/>
            </w:tcMar>
            <w:vAlign w:val="bottom"/>
          </w:tcPr>
          <w:p w:rsidR="002D5BB0" w:rsidRPr="00222917" w:rsidRDefault="002D5BB0" w:rsidP="001D2686">
            <w:pPr>
              <w:pStyle w:val="SingleTxtG"/>
              <w:suppressAutoHyphens w:val="0"/>
              <w:spacing w:before="40" w:after="40" w:line="220" w:lineRule="exact"/>
              <w:ind w:left="113" w:right="0"/>
              <w:jc w:val="right"/>
              <w:rPr>
                <w:sz w:val="18"/>
                <w:lang w:val="en-US"/>
              </w:rPr>
            </w:pPr>
            <w:r w:rsidRPr="00222917">
              <w:rPr>
                <w:sz w:val="18"/>
                <w:lang w:val="en-US"/>
              </w:rPr>
              <w:t>3,469</w:t>
            </w:r>
          </w:p>
        </w:tc>
        <w:tc>
          <w:tcPr>
            <w:tcW w:w="1474" w:type="dxa"/>
            <w:shd w:val="clear" w:color="auto" w:fill="auto"/>
            <w:tcMar>
              <w:top w:w="15" w:type="dxa"/>
              <w:left w:w="15" w:type="dxa"/>
              <w:bottom w:w="15" w:type="dxa"/>
              <w:right w:w="15" w:type="dxa"/>
            </w:tcMar>
            <w:vAlign w:val="bottom"/>
          </w:tcPr>
          <w:p w:rsidR="002D5BB0" w:rsidRPr="00222917" w:rsidRDefault="002D5BB0" w:rsidP="001D2686">
            <w:pPr>
              <w:pStyle w:val="SingleTxtG"/>
              <w:suppressAutoHyphens w:val="0"/>
              <w:spacing w:before="40" w:after="40" w:line="220" w:lineRule="exact"/>
              <w:ind w:left="113" w:right="0"/>
              <w:jc w:val="right"/>
              <w:rPr>
                <w:sz w:val="18"/>
                <w:lang w:val="en-US"/>
              </w:rPr>
            </w:pPr>
            <w:r w:rsidRPr="00222917">
              <w:rPr>
                <w:sz w:val="18"/>
                <w:lang w:val="en-US"/>
              </w:rPr>
              <w:t>1,230</w:t>
            </w:r>
          </w:p>
        </w:tc>
        <w:tc>
          <w:tcPr>
            <w:tcW w:w="1474" w:type="dxa"/>
            <w:shd w:val="clear" w:color="auto" w:fill="auto"/>
            <w:tcMar>
              <w:top w:w="15" w:type="dxa"/>
              <w:left w:w="15" w:type="dxa"/>
              <w:bottom w:w="15" w:type="dxa"/>
              <w:right w:w="15" w:type="dxa"/>
            </w:tcMar>
            <w:vAlign w:val="bottom"/>
          </w:tcPr>
          <w:p w:rsidR="002D5BB0" w:rsidRPr="00222917" w:rsidRDefault="002D5BB0" w:rsidP="001D2686">
            <w:pPr>
              <w:pStyle w:val="SingleTxtG"/>
              <w:suppressAutoHyphens w:val="0"/>
              <w:spacing w:before="40" w:after="40" w:line="220" w:lineRule="exact"/>
              <w:ind w:left="113" w:right="0"/>
              <w:jc w:val="right"/>
              <w:rPr>
                <w:sz w:val="18"/>
                <w:lang w:val="en-US"/>
              </w:rPr>
            </w:pPr>
            <w:r w:rsidRPr="00222917">
              <w:rPr>
                <w:sz w:val="18"/>
                <w:lang w:val="en-US"/>
              </w:rPr>
              <w:t>2,192</w:t>
            </w:r>
          </w:p>
        </w:tc>
        <w:tc>
          <w:tcPr>
            <w:tcW w:w="1474" w:type="dxa"/>
            <w:shd w:val="clear" w:color="auto" w:fill="auto"/>
            <w:tcMar>
              <w:top w:w="15" w:type="dxa"/>
              <w:left w:w="15" w:type="dxa"/>
              <w:bottom w:w="15" w:type="dxa"/>
              <w:right w:w="15" w:type="dxa"/>
            </w:tcMar>
            <w:vAlign w:val="bottom"/>
          </w:tcPr>
          <w:p w:rsidR="002D5BB0" w:rsidRPr="00222917" w:rsidRDefault="002D5BB0" w:rsidP="001D2686">
            <w:pPr>
              <w:pStyle w:val="SingleTxtG"/>
              <w:suppressAutoHyphens w:val="0"/>
              <w:spacing w:before="40" w:after="40" w:line="220" w:lineRule="exact"/>
              <w:ind w:left="113" w:right="0"/>
              <w:jc w:val="right"/>
              <w:rPr>
                <w:sz w:val="18"/>
                <w:lang w:val="en-US"/>
              </w:rPr>
            </w:pPr>
            <w:r w:rsidRPr="00222917">
              <w:rPr>
                <w:sz w:val="18"/>
                <w:lang w:val="en-US"/>
              </w:rPr>
              <w:t>47</w:t>
            </w:r>
          </w:p>
        </w:tc>
      </w:tr>
      <w:tr w:rsidR="001D2686" w:rsidRPr="00222917" w:rsidTr="006C4F5C">
        <w:tc>
          <w:tcPr>
            <w:tcW w:w="1474" w:type="dxa"/>
            <w:tcBorders>
              <w:bottom w:val="single" w:sz="12" w:space="0" w:color="auto"/>
            </w:tcBorders>
            <w:shd w:val="clear" w:color="auto" w:fill="auto"/>
            <w:tcMar>
              <w:top w:w="15" w:type="dxa"/>
              <w:left w:w="15" w:type="dxa"/>
              <w:bottom w:w="15" w:type="dxa"/>
              <w:right w:w="15" w:type="dxa"/>
            </w:tcMar>
          </w:tcPr>
          <w:p w:rsidR="002D5BB0" w:rsidRPr="00222917" w:rsidRDefault="002D5BB0" w:rsidP="001D2686">
            <w:pPr>
              <w:pStyle w:val="SingleTxtG"/>
              <w:suppressAutoHyphens w:val="0"/>
              <w:spacing w:before="40" w:after="40" w:line="220" w:lineRule="exact"/>
              <w:ind w:left="0" w:right="0"/>
              <w:jc w:val="left"/>
              <w:rPr>
                <w:sz w:val="18"/>
                <w:lang w:val="en-US"/>
              </w:rPr>
            </w:pPr>
            <w:r w:rsidRPr="00222917">
              <w:rPr>
                <w:sz w:val="18"/>
                <w:lang w:val="en-US"/>
              </w:rPr>
              <w:t>2010</w:t>
            </w:r>
          </w:p>
        </w:tc>
        <w:tc>
          <w:tcPr>
            <w:tcW w:w="1474" w:type="dxa"/>
            <w:tcBorders>
              <w:bottom w:val="single" w:sz="12" w:space="0" w:color="auto"/>
            </w:tcBorders>
            <w:shd w:val="clear" w:color="auto" w:fill="auto"/>
            <w:tcMar>
              <w:top w:w="15" w:type="dxa"/>
              <w:left w:w="15" w:type="dxa"/>
              <w:bottom w:w="15" w:type="dxa"/>
              <w:right w:w="15" w:type="dxa"/>
            </w:tcMar>
            <w:vAlign w:val="bottom"/>
          </w:tcPr>
          <w:p w:rsidR="002D5BB0" w:rsidRPr="00222917" w:rsidRDefault="002D5BB0" w:rsidP="001D2686">
            <w:pPr>
              <w:pStyle w:val="SingleTxtG"/>
              <w:suppressAutoHyphens w:val="0"/>
              <w:spacing w:before="40" w:after="40" w:line="220" w:lineRule="exact"/>
              <w:ind w:left="113" w:right="0"/>
              <w:jc w:val="right"/>
              <w:rPr>
                <w:sz w:val="18"/>
                <w:lang w:val="en-US"/>
              </w:rPr>
            </w:pPr>
            <w:r w:rsidRPr="00222917">
              <w:rPr>
                <w:sz w:val="18"/>
                <w:lang w:val="en-US"/>
              </w:rPr>
              <w:t>2,643</w:t>
            </w:r>
          </w:p>
        </w:tc>
        <w:tc>
          <w:tcPr>
            <w:tcW w:w="1474" w:type="dxa"/>
            <w:tcBorders>
              <w:bottom w:val="single" w:sz="12" w:space="0" w:color="auto"/>
            </w:tcBorders>
            <w:shd w:val="clear" w:color="auto" w:fill="auto"/>
            <w:tcMar>
              <w:top w:w="15" w:type="dxa"/>
              <w:left w:w="15" w:type="dxa"/>
              <w:bottom w:w="15" w:type="dxa"/>
              <w:right w:w="15" w:type="dxa"/>
            </w:tcMar>
            <w:vAlign w:val="bottom"/>
          </w:tcPr>
          <w:p w:rsidR="002D5BB0" w:rsidRPr="00222917" w:rsidRDefault="002D5BB0" w:rsidP="001D2686">
            <w:pPr>
              <w:pStyle w:val="SingleTxtG"/>
              <w:suppressAutoHyphens w:val="0"/>
              <w:spacing w:before="40" w:after="40" w:line="220" w:lineRule="exact"/>
              <w:ind w:left="113" w:right="0"/>
              <w:jc w:val="right"/>
              <w:rPr>
                <w:sz w:val="18"/>
                <w:lang w:val="en-US"/>
              </w:rPr>
            </w:pPr>
            <w:r w:rsidRPr="00222917">
              <w:rPr>
                <w:sz w:val="18"/>
                <w:lang w:val="en-US"/>
              </w:rPr>
              <w:t>831</w:t>
            </w:r>
          </w:p>
        </w:tc>
        <w:tc>
          <w:tcPr>
            <w:tcW w:w="1474" w:type="dxa"/>
            <w:tcBorders>
              <w:bottom w:val="single" w:sz="12" w:space="0" w:color="auto"/>
            </w:tcBorders>
            <w:shd w:val="clear" w:color="auto" w:fill="auto"/>
            <w:tcMar>
              <w:top w:w="15" w:type="dxa"/>
              <w:left w:w="15" w:type="dxa"/>
              <w:bottom w:w="15" w:type="dxa"/>
              <w:right w:w="15" w:type="dxa"/>
            </w:tcMar>
            <w:vAlign w:val="bottom"/>
          </w:tcPr>
          <w:p w:rsidR="002D5BB0" w:rsidRPr="00222917" w:rsidRDefault="002D5BB0" w:rsidP="001D2686">
            <w:pPr>
              <w:pStyle w:val="SingleTxtG"/>
              <w:suppressAutoHyphens w:val="0"/>
              <w:spacing w:before="40" w:after="40" w:line="220" w:lineRule="exact"/>
              <w:ind w:left="113" w:right="0"/>
              <w:jc w:val="right"/>
              <w:rPr>
                <w:sz w:val="18"/>
                <w:lang w:val="en-US"/>
              </w:rPr>
            </w:pPr>
            <w:r w:rsidRPr="00222917">
              <w:rPr>
                <w:sz w:val="18"/>
                <w:lang w:val="en-US"/>
              </w:rPr>
              <w:t>1,778</w:t>
            </w:r>
          </w:p>
        </w:tc>
        <w:tc>
          <w:tcPr>
            <w:tcW w:w="1474" w:type="dxa"/>
            <w:tcBorders>
              <w:bottom w:val="single" w:sz="12" w:space="0" w:color="auto"/>
            </w:tcBorders>
            <w:shd w:val="clear" w:color="auto" w:fill="auto"/>
            <w:tcMar>
              <w:top w:w="15" w:type="dxa"/>
              <w:left w:w="15" w:type="dxa"/>
              <w:bottom w:w="15" w:type="dxa"/>
              <w:right w:w="15" w:type="dxa"/>
            </w:tcMar>
            <w:vAlign w:val="bottom"/>
          </w:tcPr>
          <w:p w:rsidR="002D5BB0" w:rsidRPr="00222917" w:rsidRDefault="002D5BB0" w:rsidP="001D2686">
            <w:pPr>
              <w:pStyle w:val="SingleTxtG"/>
              <w:suppressAutoHyphens w:val="0"/>
              <w:spacing w:before="40" w:after="40" w:line="220" w:lineRule="exact"/>
              <w:ind w:left="113" w:right="0"/>
              <w:jc w:val="right"/>
              <w:rPr>
                <w:sz w:val="18"/>
                <w:lang w:val="en-US"/>
              </w:rPr>
            </w:pPr>
            <w:r w:rsidRPr="00222917">
              <w:rPr>
                <w:sz w:val="18"/>
                <w:lang w:val="en-US"/>
              </w:rPr>
              <w:t>34</w:t>
            </w:r>
          </w:p>
        </w:tc>
      </w:tr>
    </w:tbl>
    <w:p w:rsidR="002D5BB0" w:rsidRPr="00222917" w:rsidRDefault="00AA17A9" w:rsidP="00AA17A9">
      <w:pPr>
        <w:pStyle w:val="H23G"/>
        <w:rPr>
          <w:lang w:val="en-US"/>
        </w:rPr>
      </w:pPr>
      <w:bookmarkStart w:id="102" w:name="_Toc307504073"/>
      <w:bookmarkStart w:id="103" w:name="_Toc336435845"/>
      <w:r w:rsidRPr="00222917">
        <w:rPr>
          <w:lang w:val="en-US"/>
        </w:rPr>
        <w:tab/>
      </w:r>
      <w:r w:rsidRPr="00222917">
        <w:rPr>
          <w:lang w:val="en-US"/>
        </w:rPr>
        <w:tab/>
      </w:r>
      <w:r w:rsidR="002D5BB0" w:rsidRPr="00222917">
        <w:rPr>
          <w:lang w:val="en-US"/>
        </w:rPr>
        <w:t>Release on Bail System</w:t>
      </w:r>
      <w:bookmarkEnd w:id="102"/>
      <w:bookmarkEnd w:id="103"/>
    </w:p>
    <w:p w:rsidR="002D5BB0" w:rsidRPr="00222917" w:rsidRDefault="00547908" w:rsidP="00547908">
      <w:pPr>
        <w:pStyle w:val="SingleTxtG"/>
        <w:rPr>
          <w:lang w:val="en-US"/>
        </w:rPr>
      </w:pPr>
      <w:r w:rsidRPr="00222917">
        <w:rPr>
          <w:lang w:val="en-US"/>
        </w:rPr>
        <w:t>165.</w:t>
      </w:r>
      <w:r w:rsidRPr="00222917">
        <w:rPr>
          <w:lang w:val="en-US"/>
        </w:rPr>
        <w:tab/>
      </w:r>
      <w:r w:rsidR="002D5BB0" w:rsidRPr="00222917">
        <w:rPr>
          <w:lang w:val="en-US"/>
        </w:rPr>
        <w:t>As explained in the second report, release on bail, which had originally been acknowledged only after prosecution, was extended to stages prior to prosecution. Thus, if</w:t>
      </w:r>
      <w:r w:rsidR="003F0702" w:rsidRPr="00222917">
        <w:rPr>
          <w:lang w:val="en-US"/>
        </w:rPr>
        <w:t> </w:t>
      </w:r>
      <w:r w:rsidR="002D5BB0" w:rsidRPr="00222917">
        <w:rPr>
          <w:lang w:val="en-US"/>
        </w:rPr>
        <w:t xml:space="preserve">a detained person requests </w:t>
      </w:r>
      <w:r w:rsidR="002D5BB0" w:rsidRPr="00222917">
        <w:rPr>
          <w:bCs/>
          <w:lang w:val="en-US"/>
        </w:rPr>
        <w:t>review</w:t>
      </w:r>
      <w:r w:rsidR="002D5BB0" w:rsidRPr="00222917">
        <w:rPr>
          <w:lang w:val="en-US"/>
        </w:rPr>
        <w:t xml:space="preserve"> on the legality of detention prior to prosecution, he or she may be released on condition of or without payment of a bail (CCPR/C/114/Add.1, para.</w:t>
      </w:r>
      <w:r w:rsidR="003F0702" w:rsidRPr="00222917">
        <w:rPr>
          <w:lang w:val="en-US"/>
        </w:rPr>
        <w:t> </w:t>
      </w:r>
      <w:r w:rsidR="002D5BB0" w:rsidRPr="00222917">
        <w:rPr>
          <w:lang w:val="en-US"/>
        </w:rPr>
        <w:t xml:space="preserve">118). </w:t>
      </w:r>
    </w:p>
    <w:p w:rsidR="002D5BB0" w:rsidRPr="00222917" w:rsidRDefault="00547908" w:rsidP="00547908">
      <w:pPr>
        <w:pStyle w:val="SingleTxtG"/>
        <w:rPr>
          <w:lang w:val="en-US"/>
        </w:rPr>
      </w:pPr>
      <w:r w:rsidRPr="00222917">
        <w:rPr>
          <w:lang w:val="en-US"/>
        </w:rPr>
        <w:t>166.</w:t>
      </w:r>
      <w:r w:rsidRPr="00222917">
        <w:rPr>
          <w:lang w:val="en-US"/>
        </w:rPr>
        <w:tab/>
      </w:r>
      <w:r w:rsidR="002D5BB0" w:rsidRPr="00222917">
        <w:rPr>
          <w:lang w:val="en-US"/>
        </w:rPr>
        <w:t xml:space="preserve">In order to prevent persons in financial distress from being deprived of opportunities of release only due to their financial condition, the </w:t>
      </w:r>
      <w:r w:rsidR="002D5BB0" w:rsidRPr="00C70182">
        <w:rPr>
          <w:iCs/>
          <w:lang w:val="en-US"/>
        </w:rPr>
        <w:t>Criminal Procedure Act</w:t>
      </w:r>
      <w:r w:rsidR="002D5BB0" w:rsidRPr="00222917">
        <w:rPr>
          <w:lang w:val="en-US"/>
        </w:rPr>
        <w:t xml:space="preserve"> was rev</w:t>
      </w:r>
      <w:r w:rsidR="006C4F5C" w:rsidRPr="00222917">
        <w:rPr>
          <w:lang w:val="en-US"/>
        </w:rPr>
        <w:t>ised on 1 </w:t>
      </w:r>
      <w:r w:rsidR="002D5BB0" w:rsidRPr="00222917">
        <w:rPr>
          <w:lang w:val="en-US"/>
        </w:rPr>
        <w:t xml:space="preserve">June 2007 to grant more opportunities for release on bail. In addition to payment of bail, various other conditions for </w:t>
      </w:r>
      <w:r w:rsidR="002D5BB0" w:rsidRPr="00222917">
        <w:rPr>
          <w:bCs/>
          <w:lang w:val="en-US"/>
        </w:rPr>
        <w:t>release</w:t>
      </w:r>
      <w:r w:rsidR="002D5BB0" w:rsidRPr="00222917">
        <w:rPr>
          <w:lang w:val="en-US"/>
        </w:rPr>
        <w:t xml:space="preserve"> on bail were introduced including submission of a written pledge not to destroy evidence, etc., submission of a letter of understanding to pay a deposit, circumscription of dwelling, submission of a letter of guarantee assuring a defendant’s appearance, prohibition of departure from the country, provision of a deposit or offer of an asset as collateral for damage recovery, payment of a depos</w:t>
      </w:r>
      <w:r w:rsidR="00C974F8" w:rsidRPr="00222917">
        <w:rPr>
          <w:lang w:val="en-US"/>
        </w:rPr>
        <w:t>it and so forth (</w:t>
      </w:r>
      <w:r w:rsidR="00681EC0" w:rsidRPr="00222917">
        <w:rPr>
          <w:lang w:val="en-US"/>
        </w:rPr>
        <w:t>a</w:t>
      </w:r>
      <w:r w:rsidR="00C974F8" w:rsidRPr="00222917">
        <w:rPr>
          <w:lang w:val="en-US"/>
        </w:rPr>
        <w:t>rticle </w:t>
      </w:r>
      <w:r w:rsidR="002D5BB0" w:rsidRPr="00222917">
        <w:rPr>
          <w:lang w:val="en-US"/>
        </w:rPr>
        <w:t xml:space="preserve">98). </w:t>
      </w:r>
    </w:p>
    <w:p w:rsidR="002D5BB0" w:rsidRPr="00222917" w:rsidRDefault="003F0702" w:rsidP="003F0702">
      <w:pPr>
        <w:pStyle w:val="H23G"/>
        <w:rPr>
          <w:lang w:val="en-US"/>
        </w:rPr>
      </w:pPr>
      <w:r w:rsidRPr="00222917">
        <w:rPr>
          <w:lang w:val="en-US"/>
        </w:rPr>
        <w:tab/>
      </w:r>
      <w:r w:rsidRPr="00222917">
        <w:rPr>
          <w:lang w:val="en-US"/>
        </w:rPr>
        <w:tab/>
      </w:r>
      <w:r w:rsidR="002D5BB0" w:rsidRPr="00222917">
        <w:rPr>
          <w:lang w:val="en-US"/>
        </w:rPr>
        <w:t>Handling of Release on Bail by Year</w:t>
      </w:r>
      <w:r w:rsidRPr="00222917">
        <w:rPr>
          <w:lang w:val="en-US"/>
        </w:rPr>
        <w:br/>
      </w:r>
      <w:r w:rsidR="002D5BB0" w:rsidRPr="00222917">
        <w:rPr>
          <w:b w:val="0"/>
          <w:sz w:val="16"/>
          <w:szCs w:val="16"/>
          <w:lang w:val="en-US"/>
        </w:rPr>
        <w:t>(Number of persons)</w:t>
      </w:r>
      <w:r w:rsidR="002D5BB0" w:rsidRPr="00222917">
        <w:rPr>
          <w:lang w:val="en-US"/>
        </w:rPr>
        <w:t xml:space="preserve"> </w:t>
      </w:r>
    </w:p>
    <w:tbl>
      <w:tblPr>
        <w:tblW w:w="0" w:type="auto"/>
        <w:tblInd w:w="1134" w:type="dxa"/>
        <w:tblBorders>
          <w:top w:val="single" w:sz="4" w:space="0" w:color="auto"/>
        </w:tblBorders>
        <w:tblLayout w:type="fixed"/>
        <w:tblCellMar>
          <w:left w:w="0" w:type="dxa"/>
          <w:right w:w="0" w:type="dxa"/>
        </w:tblCellMar>
        <w:tblLook w:val="00A0"/>
      </w:tblPr>
      <w:tblGrid>
        <w:gridCol w:w="1134"/>
        <w:gridCol w:w="1247"/>
        <w:gridCol w:w="1247"/>
        <w:gridCol w:w="1247"/>
        <w:gridCol w:w="1247"/>
        <w:gridCol w:w="1247"/>
      </w:tblGrid>
      <w:tr w:rsidR="001D2686" w:rsidRPr="00222917" w:rsidTr="00E20938">
        <w:trPr>
          <w:trHeight w:val="240"/>
          <w:tblHeader/>
        </w:trPr>
        <w:tc>
          <w:tcPr>
            <w:tcW w:w="1134" w:type="dxa"/>
            <w:vMerge w:val="restart"/>
            <w:tcBorders>
              <w:top w:val="single" w:sz="4" w:space="0" w:color="auto"/>
              <w:bottom w:val="single" w:sz="12" w:space="0" w:color="auto"/>
            </w:tcBorders>
            <w:shd w:val="clear" w:color="auto" w:fill="auto"/>
            <w:tcMar>
              <w:top w:w="15" w:type="dxa"/>
              <w:left w:w="15" w:type="dxa"/>
              <w:bottom w:w="15" w:type="dxa"/>
              <w:right w:w="15" w:type="dxa"/>
            </w:tcMar>
            <w:vAlign w:val="bottom"/>
          </w:tcPr>
          <w:p w:rsidR="002D5BB0" w:rsidRPr="00222917" w:rsidRDefault="002D5BB0" w:rsidP="00E20938">
            <w:pPr>
              <w:pStyle w:val="SingleTxtG"/>
              <w:suppressAutoHyphens w:val="0"/>
              <w:spacing w:before="80" w:after="80" w:line="200" w:lineRule="exact"/>
              <w:ind w:left="0" w:right="0"/>
              <w:jc w:val="left"/>
              <w:rPr>
                <w:i/>
                <w:sz w:val="16"/>
                <w:szCs w:val="16"/>
                <w:lang w:val="en-US"/>
              </w:rPr>
            </w:pPr>
            <w:bookmarkStart w:id="104" w:name="BM_6ac56cce"/>
            <w:bookmarkEnd w:id="104"/>
            <w:r w:rsidRPr="00222917">
              <w:rPr>
                <w:bCs/>
                <w:i/>
                <w:sz w:val="16"/>
                <w:szCs w:val="16"/>
                <w:lang w:val="en-US"/>
              </w:rPr>
              <w:t>Year</w:t>
            </w:r>
          </w:p>
        </w:tc>
        <w:tc>
          <w:tcPr>
            <w:tcW w:w="1247" w:type="dxa"/>
            <w:vMerge w:val="restart"/>
            <w:tcBorders>
              <w:top w:val="single" w:sz="4" w:space="0" w:color="auto"/>
              <w:bottom w:val="single" w:sz="12" w:space="0" w:color="auto"/>
            </w:tcBorders>
            <w:shd w:val="clear" w:color="auto" w:fill="auto"/>
            <w:tcMar>
              <w:top w:w="15" w:type="dxa"/>
              <w:left w:w="15" w:type="dxa"/>
              <w:bottom w:w="15" w:type="dxa"/>
              <w:right w:w="15" w:type="dxa"/>
            </w:tcMar>
            <w:vAlign w:val="bottom"/>
          </w:tcPr>
          <w:p w:rsidR="002D5BB0" w:rsidRPr="00222917" w:rsidRDefault="002D5BB0" w:rsidP="00E20938">
            <w:pPr>
              <w:pStyle w:val="SingleTxtG"/>
              <w:suppressAutoHyphens w:val="0"/>
              <w:spacing w:before="80" w:after="80" w:line="200" w:lineRule="exact"/>
              <w:ind w:left="0" w:right="0"/>
              <w:jc w:val="right"/>
              <w:rPr>
                <w:i/>
                <w:sz w:val="16"/>
                <w:szCs w:val="16"/>
                <w:lang w:val="en-US"/>
              </w:rPr>
            </w:pPr>
            <w:r w:rsidRPr="00222917">
              <w:rPr>
                <w:bCs/>
                <w:i/>
                <w:sz w:val="16"/>
                <w:szCs w:val="16"/>
                <w:lang w:val="en-US"/>
              </w:rPr>
              <w:t>Received</w:t>
            </w:r>
          </w:p>
        </w:tc>
        <w:tc>
          <w:tcPr>
            <w:tcW w:w="1247" w:type="dxa"/>
            <w:gridSpan w:val="2"/>
            <w:tcBorders>
              <w:top w:val="single" w:sz="4" w:space="0" w:color="auto"/>
              <w:bottom w:val="single" w:sz="12" w:space="0" w:color="auto"/>
            </w:tcBorders>
            <w:shd w:val="clear" w:color="auto" w:fill="auto"/>
            <w:tcMar>
              <w:top w:w="15" w:type="dxa"/>
              <w:left w:w="15" w:type="dxa"/>
              <w:bottom w:w="15" w:type="dxa"/>
              <w:right w:w="15" w:type="dxa"/>
            </w:tcMar>
            <w:vAlign w:val="bottom"/>
          </w:tcPr>
          <w:p w:rsidR="002D5BB0" w:rsidRPr="00222917" w:rsidRDefault="002D5BB0" w:rsidP="00E20938">
            <w:pPr>
              <w:pStyle w:val="SingleTxtG"/>
              <w:suppressAutoHyphens w:val="0"/>
              <w:spacing w:before="80" w:after="80" w:line="200" w:lineRule="exact"/>
              <w:ind w:left="0" w:right="0"/>
              <w:jc w:val="center"/>
              <w:rPr>
                <w:i/>
                <w:sz w:val="16"/>
                <w:szCs w:val="16"/>
                <w:lang w:val="en-US"/>
              </w:rPr>
            </w:pPr>
            <w:r w:rsidRPr="00222917">
              <w:rPr>
                <w:bCs/>
                <w:i/>
                <w:sz w:val="16"/>
                <w:szCs w:val="16"/>
                <w:lang w:val="en-US"/>
              </w:rPr>
              <w:t>Processed</w:t>
            </w:r>
          </w:p>
        </w:tc>
        <w:tc>
          <w:tcPr>
            <w:tcW w:w="1247" w:type="dxa"/>
            <w:vMerge w:val="restart"/>
            <w:tcBorders>
              <w:top w:val="single" w:sz="4" w:space="0" w:color="auto"/>
              <w:bottom w:val="single" w:sz="12" w:space="0" w:color="auto"/>
            </w:tcBorders>
            <w:shd w:val="clear" w:color="auto" w:fill="auto"/>
            <w:tcMar>
              <w:top w:w="15" w:type="dxa"/>
              <w:left w:w="15" w:type="dxa"/>
              <w:bottom w:w="15" w:type="dxa"/>
              <w:right w:w="15" w:type="dxa"/>
            </w:tcMar>
            <w:vAlign w:val="bottom"/>
          </w:tcPr>
          <w:p w:rsidR="002D5BB0" w:rsidRPr="00222917" w:rsidRDefault="002D5BB0" w:rsidP="00E20938">
            <w:pPr>
              <w:pStyle w:val="SingleTxtG"/>
              <w:suppressAutoHyphens w:val="0"/>
              <w:spacing w:before="80" w:after="80" w:line="200" w:lineRule="exact"/>
              <w:ind w:left="0" w:right="0"/>
              <w:jc w:val="right"/>
              <w:rPr>
                <w:i/>
                <w:sz w:val="16"/>
                <w:szCs w:val="16"/>
                <w:lang w:val="en-US"/>
              </w:rPr>
            </w:pPr>
            <w:r w:rsidRPr="00222917">
              <w:rPr>
                <w:bCs/>
                <w:i/>
                <w:sz w:val="16"/>
                <w:szCs w:val="16"/>
                <w:lang w:val="en-US"/>
              </w:rPr>
              <w:t>Under examination</w:t>
            </w:r>
          </w:p>
        </w:tc>
        <w:tc>
          <w:tcPr>
            <w:tcW w:w="1247" w:type="dxa"/>
            <w:vMerge w:val="restart"/>
            <w:tcBorders>
              <w:top w:val="single" w:sz="4" w:space="0" w:color="auto"/>
              <w:bottom w:val="single" w:sz="12" w:space="0" w:color="auto"/>
            </w:tcBorders>
            <w:shd w:val="clear" w:color="auto" w:fill="auto"/>
            <w:tcMar>
              <w:top w:w="15" w:type="dxa"/>
              <w:left w:w="15" w:type="dxa"/>
              <w:bottom w:w="15" w:type="dxa"/>
              <w:right w:w="15" w:type="dxa"/>
            </w:tcMar>
            <w:vAlign w:val="bottom"/>
          </w:tcPr>
          <w:p w:rsidR="002D5BB0" w:rsidRPr="00222917" w:rsidRDefault="002D5BB0" w:rsidP="00E20938">
            <w:pPr>
              <w:pStyle w:val="SingleTxtG"/>
              <w:suppressAutoHyphens w:val="0"/>
              <w:spacing w:before="80" w:after="80" w:line="200" w:lineRule="exact"/>
              <w:ind w:left="0" w:right="0"/>
              <w:jc w:val="right"/>
              <w:rPr>
                <w:i/>
                <w:sz w:val="16"/>
                <w:szCs w:val="16"/>
                <w:lang w:val="en-US"/>
              </w:rPr>
            </w:pPr>
            <w:r w:rsidRPr="00222917">
              <w:rPr>
                <w:bCs/>
                <w:i/>
                <w:sz w:val="16"/>
                <w:szCs w:val="16"/>
                <w:lang w:val="en-US"/>
              </w:rPr>
              <w:t xml:space="preserve">Ex officio </w:t>
            </w:r>
            <w:r w:rsidR="00467899" w:rsidRPr="00222917">
              <w:rPr>
                <w:bCs/>
                <w:i/>
                <w:sz w:val="16"/>
                <w:szCs w:val="16"/>
                <w:lang w:val="en-US"/>
              </w:rPr>
              <w:br/>
            </w:r>
            <w:r w:rsidRPr="00222917">
              <w:rPr>
                <w:bCs/>
                <w:i/>
                <w:sz w:val="16"/>
                <w:szCs w:val="16"/>
                <w:lang w:val="en-US"/>
              </w:rPr>
              <w:t>release on bail</w:t>
            </w:r>
          </w:p>
        </w:tc>
      </w:tr>
      <w:tr w:rsidR="001D2686" w:rsidRPr="00222917" w:rsidTr="00E20938">
        <w:trPr>
          <w:trHeight w:val="240"/>
          <w:tblHeader/>
        </w:trPr>
        <w:tc>
          <w:tcPr>
            <w:tcW w:w="1134" w:type="dxa"/>
            <w:vMerge/>
            <w:tcBorders>
              <w:top w:val="single" w:sz="12" w:space="0" w:color="auto"/>
              <w:bottom w:val="single" w:sz="12" w:space="0" w:color="auto"/>
            </w:tcBorders>
            <w:shd w:val="clear" w:color="auto" w:fill="auto"/>
            <w:vAlign w:val="bottom"/>
          </w:tcPr>
          <w:p w:rsidR="002D5BB0" w:rsidRPr="00222917" w:rsidRDefault="002D5BB0" w:rsidP="00E20938">
            <w:pPr>
              <w:pStyle w:val="SingleTxtG"/>
              <w:suppressAutoHyphens w:val="0"/>
              <w:spacing w:before="80" w:after="80" w:line="200" w:lineRule="exact"/>
              <w:ind w:left="0" w:right="0"/>
              <w:jc w:val="left"/>
              <w:rPr>
                <w:i/>
                <w:sz w:val="16"/>
                <w:szCs w:val="16"/>
                <w:lang w:val="en-US"/>
              </w:rPr>
            </w:pPr>
          </w:p>
        </w:tc>
        <w:tc>
          <w:tcPr>
            <w:tcW w:w="1247" w:type="dxa"/>
            <w:vMerge/>
            <w:tcBorders>
              <w:top w:val="single" w:sz="12" w:space="0" w:color="auto"/>
              <w:bottom w:val="single" w:sz="12" w:space="0" w:color="auto"/>
            </w:tcBorders>
            <w:shd w:val="clear" w:color="auto" w:fill="auto"/>
            <w:vAlign w:val="bottom"/>
          </w:tcPr>
          <w:p w:rsidR="002D5BB0" w:rsidRPr="00222917" w:rsidRDefault="002D5BB0" w:rsidP="00E20938">
            <w:pPr>
              <w:pStyle w:val="SingleTxtG"/>
              <w:suppressAutoHyphens w:val="0"/>
              <w:spacing w:before="80" w:after="80" w:line="200" w:lineRule="exact"/>
              <w:ind w:left="0" w:right="0"/>
              <w:jc w:val="right"/>
              <w:rPr>
                <w:i/>
                <w:sz w:val="16"/>
                <w:szCs w:val="16"/>
                <w:lang w:val="en-US"/>
              </w:rPr>
            </w:pPr>
          </w:p>
        </w:tc>
        <w:tc>
          <w:tcPr>
            <w:tcW w:w="1247" w:type="dxa"/>
            <w:tcBorders>
              <w:top w:val="single" w:sz="12" w:space="0" w:color="auto"/>
              <w:bottom w:val="single" w:sz="12" w:space="0" w:color="auto"/>
            </w:tcBorders>
            <w:shd w:val="clear" w:color="auto" w:fill="auto"/>
            <w:tcMar>
              <w:top w:w="15" w:type="dxa"/>
              <w:left w:w="15" w:type="dxa"/>
              <w:bottom w:w="15" w:type="dxa"/>
              <w:right w:w="15" w:type="dxa"/>
            </w:tcMar>
            <w:vAlign w:val="bottom"/>
          </w:tcPr>
          <w:p w:rsidR="002D5BB0" w:rsidRPr="00222917" w:rsidRDefault="002D5BB0" w:rsidP="00E20938">
            <w:pPr>
              <w:pStyle w:val="SingleTxtG"/>
              <w:suppressAutoHyphens w:val="0"/>
              <w:spacing w:before="80" w:after="80" w:line="200" w:lineRule="exact"/>
              <w:ind w:left="0" w:right="0"/>
              <w:jc w:val="right"/>
              <w:rPr>
                <w:i/>
                <w:sz w:val="16"/>
                <w:szCs w:val="16"/>
                <w:lang w:val="en-US"/>
              </w:rPr>
            </w:pPr>
            <w:r w:rsidRPr="00222917">
              <w:rPr>
                <w:bCs/>
                <w:i/>
                <w:sz w:val="16"/>
                <w:szCs w:val="16"/>
                <w:lang w:val="en-US"/>
              </w:rPr>
              <w:t>Permitted</w:t>
            </w:r>
          </w:p>
        </w:tc>
        <w:tc>
          <w:tcPr>
            <w:tcW w:w="1247" w:type="dxa"/>
            <w:tcBorders>
              <w:top w:val="single" w:sz="12" w:space="0" w:color="auto"/>
              <w:bottom w:val="single" w:sz="12" w:space="0" w:color="auto"/>
            </w:tcBorders>
            <w:shd w:val="clear" w:color="auto" w:fill="auto"/>
            <w:tcMar>
              <w:top w:w="15" w:type="dxa"/>
              <w:left w:w="15" w:type="dxa"/>
              <w:bottom w:w="15" w:type="dxa"/>
              <w:right w:w="15" w:type="dxa"/>
            </w:tcMar>
            <w:vAlign w:val="bottom"/>
          </w:tcPr>
          <w:p w:rsidR="002D5BB0" w:rsidRPr="00222917" w:rsidRDefault="002D5BB0" w:rsidP="00E20938">
            <w:pPr>
              <w:pStyle w:val="SingleTxtG"/>
              <w:suppressAutoHyphens w:val="0"/>
              <w:spacing w:before="80" w:after="80" w:line="200" w:lineRule="exact"/>
              <w:ind w:left="0" w:right="0"/>
              <w:jc w:val="right"/>
              <w:rPr>
                <w:i/>
                <w:sz w:val="16"/>
                <w:szCs w:val="16"/>
                <w:lang w:val="en-US"/>
              </w:rPr>
            </w:pPr>
            <w:r w:rsidRPr="00222917">
              <w:rPr>
                <w:bCs/>
                <w:i/>
                <w:sz w:val="16"/>
                <w:szCs w:val="16"/>
                <w:lang w:val="en-US"/>
              </w:rPr>
              <w:t>Not permitted</w:t>
            </w:r>
          </w:p>
        </w:tc>
        <w:tc>
          <w:tcPr>
            <w:tcW w:w="1247" w:type="dxa"/>
            <w:vMerge/>
            <w:tcBorders>
              <w:top w:val="single" w:sz="12" w:space="0" w:color="auto"/>
              <w:bottom w:val="single" w:sz="12" w:space="0" w:color="auto"/>
            </w:tcBorders>
            <w:shd w:val="clear" w:color="auto" w:fill="auto"/>
            <w:vAlign w:val="bottom"/>
          </w:tcPr>
          <w:p w:rsidR="002D5BB0" w:rsidRPr="00222917" w:rsidRDefault="002D5BB0" w:rsidP="00E20938">
            <w:pPr>
              <w:pStyle w:val="SingleTxtG"/>
              <w:suppressAutoHyphens w:val="0"/>
              <w:spacing w:before="80" w:after="80" w:line="200" w:lineRule="exact"/>
              <w:ind w:left="0" w:right="0"/>
              <w:jc w:val="right"/>
              <w:rPr>
                <w:i/>
                <w:sz w:val="16"/>
                <w:szCs w:val="16"/>
                <w:lang w:val="en-US"/>
              </w:rPr>
            </w:pPr>
          </w:p>
        </w:tc>
        <w:tc>
          <w:tcPr>
            <w:tcW w:w="1247" w:type="dxa"/>
            <w:vMerge/>
            <w:tcBorders>
              <w:top w:val="single" w:sz="12" w:space="0" w:color="auto"/>
              <w:bottom w:val="single" w:sz="12" w:space="0" w:color="auto"/>
            </w:tcBorders>
            <w:shd w:val="clear" w:color="auto" w:fill="auto"/>
            <w:vAlign w:val="bottom"/>
          </w:tcPr>
          <w:p w:rsidR="002D5BB0" w:rsidRPr="00222917" w:rsidRDefault="002D5BB0" w:rsidP="00E20938">
            <w:pPr>
              <w:pStyle w:val="SingleTxtG"/>
              <w:suppressAutoHyphens w:val="0"/>
              <w:spacing w:before="80" w:after="80" w:line="200" w:lineRule="exact"/>
              <w:ind w:left="0" w:right="0"/>
              <w:jc w:val="right"/>
              <w:rPr>
                <w:i/>
                <w:sz w:val="16"/>
                <w:szCs w:val="16"/>
                <w:lang w:val="en-US"/>
              </w:rPr>
            </w:pPr>
          </w:p>
        </w:tc>
      </w:tr>
      <w:tr w:rsidR="001D2686" w:rsidRPr="00222917" w:rsidTr="00E20938">
        <w:trPr>
          <w:trHeight w:val="240"/>
        </w:trPr>
        <w:tc>
          <w:tcPr>
            <w:tcW w:w="1134" w:type="dxa"/>
            <w:tcBorders>
              <w:top w:val="single" w:sz="12" w:space="0" w:color="auto"/>
            </w:tcBorders>
            <w:shd w:val="clear" w:color="auto" w:fill="auto"/>
            <w:tcMar>
              <w:top w:w="15" w:type="dxa"/>
              <w:left w:w="15" w:type="dxa"/>
              <w:bottom w:w="15" w:type="dxa"/>
              <w:right w:w="15" w:type="dxa"/>
            </w:tcMar>
          </w:tcPr>
          <w:p w:rsidR="002D5BB0" w:rsidRPr="00222917" w:rsidRDefault="002D5BB0" w:rsidP="00E20938">
            <w:pPr>
              <w:pStyle w:val="SingleTxtG"/>
              <w:suppressAutoHyphens w:val="0"/>
              <w:spacing w:before="40" w:after="40" w:line="220" w:lineRule="exact"/>
              <w:ind w:left="0" w:right="0"/>
              <w:jc w:val="left"/>
              <w:rPr>
                <w:sz w:val="18"/>
                <w:lang w:val="en-US"/>
              </w:rPr>
            </w:pPr>
            <w:r w:rsidRPr="00222917">
              <w:rPr>
                <w:sz w:val="18"/>
                <w:lang w:val="en-US"/>
              </w:rPr>
              <w:t>2004</w:t>
            </w:r>
          </w:p>
        </w:tc>
        <w:tc>
          <w:tcPr>
            <w:tcW w:w="1247" w:type="dxa"/>
            <w:tcBorders>
              <w:top w:val="single" w:sz="12" w:space="0" w:color="auto"/>
            </w:tcBorders>
            <w:shd w:val="clear" w:color="auto" w:fill="auto"/>
            <w:tcMar>
              <w:top w:w="15" w:type="dxa"/>
              <w:left w:w="15" w:type="dxa"/>
              <w:bottom w:w="15" w:type="dxa"/>
              <w:right w:w="15" w:type="dxa"/>
            </w:tcMar>
            <w:vAlign w:val="bottom"/>
          </w:tcPr>
          <w:p w:rsidR="002D5BB0" w:rsidRPr="00222917" w:rsidRDefault="002D5BB0" w:rsidP="00E20938">
            <w:pPr>
              <w:pStyle w:val="SingleTxtG"/>
              <w:suppressAutoHyphens w:val="0"/>
              <w:spacing w:before="40" w:after="40" w:line="220" w:lineRule="exact"/>
              <w:ind w:left="0" w:right="0"/>
              <w:jc w:val="right"/>
              <w:rPr>
                <w:sz w:val="18"/>
                <w:lang w:val="en-US"/>
              </w:rPr>
            </w:pPr>
            <w:r w:rsidRPr="00222917">
              <w:rPr>
                <w:sz w:val="18"/>
                <w:lang w:val="en-US"/>
              </w:rPr>
              <w:t>22,371</w:t>
            </w:r>
          </w:p>
        </w:tc>
        <w:tc>
          <w:tcPr>
            <w:tcW w:w="1247" w:type="dxa"/>
            <w:tcBorders>
              <w:top w:val="single" w:sz="12" w:space="0" w:color="auto"/>
            </w:tcBorders>
            <w:shd w:val="clear" w:color="auto" w:fill="auto"/>
            <w:tcMar>
              <w:top w:w="15" w:type="dxa"/>
              <w:left w:w="15" w:type="dxa"/>
              <w:bottom w:w="15" w:type="dxa"/>
              <w:right w:w="15" w:type="dxa"/>
            </w:tcMar>
            <w:vAlign w:val="bottom"/>
          </w:tcPr>
          <w:p w:rsidR="002D5BB0" w:rsidRPr="00222917" w:rsidRDefault="002D5BB0" w:rsidP="00E20938">
            <w:pPr>
              <w:pStyle w:val="SingleTxtG"/>
              <w:suppressAutoHyphens w:val="0"/>
              <w:spacing w:before="40" w:after="40" w:line="220" w:lineRule="exact"/>
              <w:ind w:left="0" w:right="0"/>
              <w:jc w:val="right"/>
              <w:rPr>
                <w:sz w:val="18"/>
                <w:lang w:val="en-US"/>
              </w:rPr>
            </w:pPr>
            <w:r w:rsidRPr="00222917">
              <w:rPr>
                <w:sz w:val="18"/>
                <w:lang w:val="en-US"/>
              </w:rPr>
              <w:t>12,608</w:t>
            </w:r>
          </w:p>
        </w:tc>
        <w:tc>
          <w:tcPr>
            <w:tcW w:w="1247" w:type="dxa"/>
            <w:tcBorders>
              <w:top w:val="single" w:sz="12" w:space="0" w:color="auto"/>
            </w:tcBorders>
            <w:shd w:val="clear" w:color="auto" w:fill="auto"/>
            <w:tcMar>
              <w:top w:w="15" w:type="dxa"/>
              <w:left w:w="15" w:type="dxa"/>
              <w:bottom w:w="15" w:type="dxa"/>
              <w:right w:w="15" w:type="dxa"/>
            </w:tcMar>
            <w:vAlign w:val="bottom"/>
          </w:tcPr>
          <w:p w:rsidR="002D5BB0" w:rsidRPr="00222917" w:rsidRDefault="002D5BB0" w:rsidP="00E20938">
            <w:pPr>
              <w:pStyle w:val="SingleTxtG"/>
              <w:suppressAutoHyphens w:val="0"/>
              <w:spacing w:before="40" w:after="40" w:line="220" w:lineRule="exact"/>
              <w:ind w:left="0" w:right="0"/>
              <w:jc w:val="right"/>
              <w:rPr>
                <w:sz w:val="18"/>
                <w:lang w:val="en-US"/>
              </w:rPr>
            </w:pPr>
            <w:r w:rsidRPr="00222917">
              <w:rPr>
                <w:sz w:val="18"/>
                <w:lang w:val="en-US"/>
              </w:rPr>
              <w:t>9,763</w:t>
            </w:r>
          </w:p>
        </w:tc>
        <w:tc>
          <w:tcPr>
            <w:tcW w:w="1247" w:type="dxa"/>
            <w:tcBorders>
              <w:top w:val="single" w:sz="12" w:space="0" w:color="auto"/>
            </w:tcBorders>
            <w:shd w:val="clear" w:color="auto" w:fill="auto"/>
            <w:tcMar>
              <w:top w:w="15" w:type="dxa"/>
              <w:left w:w="15" w:type="dxa"/>
              <w:bottom w:w="15" w:type="dxa"/>
              <w:right w:w="15" w:type="dxa"/>
            </w:tcMar>
            <w:vAlign w:val="bottom"/>
          </w:tcPr>
          <w:p w:rsidR="002D5BB0" w:rsidRPr="00222917" w:rsidRDefault="002D5BB0" w:rsidP="00E20938">
            <w:pPr>
              <w:pStyle w:val="SingleTxtG"/>
              <w:suppressAutoHyphens w:val="0"/>
              <w:spacing w:before="40" w:after="40" w:line="220" w:lineRule="exact"/>
              <w:ind w:left="0" w:right="0"/>
              <w:jc w:val="right"/>
              <w:rPr>
                <w:sz w:val="18"/>
                <w:lang w:val="en-US"/>
              </w:rPr>
            </w:pPr>
          </w:p>
        </w:tc>
        <w:tc>
          <w:tcPr>
            <w:tcW w:w="1247" w:type="dxa"/>
            <w:tcBorders>
              <w:top w:val="single" w:sz="12" w:space="0" w:color="auto"/>
            </w:tcBorders>
            <w:shd w:val="clear" w:color="auto" w:fill="auto"/>
            <w:tcMar>
              <w:top w:w="15" w:type="dxa"/>
              <w:left w:w="15" w:type="dxa"/>
              <w:bottom w:w="15" w:type="dxa"/>
              <w:right w:w="15" w:type="dxa"/>
            </w:tcMar>
            <w:vAlign w:val="bottom"/>
          </w:tcPr>
          <w:p w:rsidR="002D5BB0" w:rsidRPr="00222917" w:rsidRDefault="002D5BB0" w:rsidP="00E20938">
            <w:pPr>
              <w:pStyle w:val="SingleTxtG"/>
              <w:suppressAutoHyphens w:val="0"/>
              <w:spacing w:before="40" w:after="40" w:line="220" w:lineRule="exact"/>
              <w:ind w:left="0" w:right="0"/>
              <w:jc w:val="right"/>
              <w:rPr>
                <w:sz w:val="18"/>
                <w:lang w:val="en-US"/>
              </w:rPr>
            </w:pPr>
            <w:r w:rsidRPr="00222917">
              <w:rPr>
                <w:sz w:val="18"/>
                <w:lang w:val="en-US"/>
              </w:rPr>
              <w:t>373</w:t>
            </w:r>
          </w:p>
        </w:tc>
      </w:tr>
      <w:tr w:rsidR="001D2686" w:rsidRPr="00222917" w:rsidTr="00E20938">
        <w:trPr>
          <w:trHeight w:val="240"/>
        </w:trPr>
        <w:tc>
          <w:tcPr>
            <w:tcW w:w="1134" w:type="dxa"/>
            <w:shd w:val="clear" w:color="auto" w:fill="auto"/>
            <w:tcMar>
              <w:top w:w="15" w:type="dxa"/>
              <w:left w:w="15" w:type="dxa"/>
              <w:bottom w:w="15" w:type="dxa"/>
              <w:right w:w="15" w:type="dxa"/>
            </w:tcMar>
          </w:tcPr>
          <w:p w:rsidR="002D5BB0" w:rsidRPr="00222917" w:rsidRDefault="002D5BB0" w:rsidP="00E20938">
            <w:pPr>
              <w:pStyle w:val="SingleTxtG"/>
              <w:suppressAutoHyphens w:val="0"/>
              <w:spacing w:before="40" w:after="40" w:line="220" w:lineRule="exact"/>
              <w:ind w:left="0" w:right="0"/>
              <w:jc w:val="left"/>
              <w:rPr>
                <w:sz w:val="18"/>
                <w:lang w:val="en-US"/>
              </w:rPr>
            </w:pPr>
            <w:r w:rsidRPr="00222917">
              <w:rPr>
                <w:sz w:val="18"/>
                <w:lang w:val="en-US"/>
              </w:rPr>
              <w:t>2005</w:t>
            </w:r>
          </w:p>
        </w:tc>
        <w:tc>
          <w:tcPr>
            <w:tcW w:w="1247" w:type="dxa"/>
            <w:shd w:val="clear" w:color="auto" w:fill="auto"/>
            <w:tcMar>
              <w:top w:w="15" w:type="dxa"/>
              <w:left w:w="15" w:type="dxa"/>
              <w:bottom w:w="15" w:type="dxa"/>
              <w:right w:w="15" w:type="dxa"/>
            </w:tcMar>
            <w:vAlign w:val="bottom"/>
          </w:tcPr>
          <w:p w:rsidR="002D5BB0" w:rsidRPr="00222917" w:rsidRDefault="002D5BB0" w:rsidP="00E20938">
            <w:pPr>
              <w:pStyle w:val="SingleTxtG"/>
              <w:suppressAutoHyphens w:val="0"/>
              <w:spacing w:before="40" w:after="40" w:line="220" w:lineRule="exact"/>
              <w:ind w:left="0" w:right="0"/>
              <w:jc w:val="right"/>
              <w:rPr>
                <w:sz w:val="18"/>
                <w:lang w:val="en-US"/>
              </w:rPr>
            </w:pPr>
            <w:r w:rsidRPr="00222917">
              <w:rPr>
                <w:sz w:val="18"/>
                <w:lang w:val="en-US"/>
              </w:rPr>
              <w:t>15,568</w:t>
            </w:r>
          </w:p>
        </w:tc>
        <w:tc>
          <w:tcPr>
            <w:tcW w:w="1247" w:type="dxa"/>
            <w:shd w:val="clear" w:color="auto" w:fill="auto"/>
            <w:tcMar>
              <w:top w:w="15" w:type="dxa"/>
              <w:left w:w="15" w:type="dxa"/>
              <w:bottom w:w="15" w:type="dxa"/>
              <w:right w:w="15" w:type="dxa"/>
            </w:tcMar>
            <w:vAlign w:val="bottom"/>
          </w:tcPr>
          <w:p w:rsidR="002D5BB0" w:rsidRPr="00222917" w:rsidRDefault="002D5BB0" w:rsidP="00E20938">
            <w:pPr>
              <w:pStyle w:val="SingleTxtG"/>
              <w:suppressAutoHyphens w:val="0"/>
              <w:spacing w:before="40" w:after="40" w:line="220" w:lineRule="exact"/>
              <w:ind w:left="0" w:right="0"/>
              <w:jc w:val="right"/>
              <w:rPr>
                <w:sz w:val="18"/>
                <w:lang w:val="en-US"/>
              </w:rPr>
            </w:pPr>
            <w:r w:rsidRPr="00222917">
              <w:rPr>
                <w:sz w:val="18"/>
                <w:lang w:val="en-US"/>
              </w:rPr>
              <w:t>8,655</w:t>
            </w:r>
          </w:p>
        </w:tc>
        <w:tc>
          <w:tcPr>
            <w:tcW w:w="1247" w:type="dxa"/>
            <w:shd w:val="clear" w:color="auto" w:fill="auto"/>
            <w:tcMar>
              <w:top w:w="15" w:type="dxa"/>
              <w:left w:w="15" w:type="dxa"/>
              <w:bottom w:w="15" w:type="dxa"/>
              <w:right w:w="15" w:type="dxa"/>
            </w:tcMar>
            <w:vAlign w:val="bottom"/>
          </w:tcPr>
          <w:p w:rsidR="002D5BB0" w:rsidRPr="00222917" w:rsidRDefault="002D5BB0" w:rsidP="00E20938">
            <w:pPr>
              <w:pStyle w:val="SingleTxtG"/>
              <w:suppressAutoHyphens w:val="0"/>
              <w:spacing w:before="40" w:after="40" w:line="220" w:lineRule="exact"/>
              <w:ind w:left="0" w:right="0"/>
              <w:jc w:val="right"/>
              <w:rPr>
                <w:sz w:val="18"/>
                <w:lang w:val="en-US"/>
              </w:rPr>
            </w:pPr>
            <w:r w:rsidRPr="00222917">
              <w:rPr>
                <w:sz w:val="18"/>
                <w:lang w:val="en-US"/>
              </w:rPr>
              <w:t>6,913</w:t>
            </w:r>
          </w:p>
        </w:tc>
        <w:tc>
          <w:tcPr>
            <w:tcW w:w="1247" w:type="dxa"/>
            <w:shd w:val="clear" w:color="auto" w:fill="auto"/>
            <w:tcMar>
              <w:top w:w="15" w:type="dxa"/>
              <w:left w:w="15" w:type="dxa"/>
              <w:bottom w:w="15" w:type="dxa"/>
              <w:right w:w="15" w:type="dxa"/>
            </w:tcMar>
            <w:vAlign w:val="bottom"/>
          </w:tcPr>
          <w:p w:rsidR="002D5BB0" w:rsidRPr="00222917" w:rsidRDefault="002D5BB0" w:rsidP="00E20938">
            <w:pPr>
              <w:pStyle w:val="SingleTxtG"/>
              <w:suppressAutoHyphens w:val="0"/>
              <w:spacing w:before="40" w:after="40" w:line="220" w:lineRule="exact"/>
              <w:ind w:left="0" w:right="0"/>
              <w:jc w:val="right"/>
              <w:rPr>
                <w:sz w:val="18"/>
                <w:lang w:val="en-US"/>
              </w:rPr>
            </w:pPr>
          </w:p>
        </w:tc>
        <w:tc>
          <w:tcPr>
            <w:tcW w:w="1247" w:type="dxa"/>
            <w:shd w:val="clear" w:color="auto" w:fill="auto"/>
            <w:tcMar>
              <w:top w:w="15" w:type="dxa"/>
              <w:left w:w="15" w:type="dxa"/>
              <w:bottom w:w="15" w:type="dxa"/>
              <w:right w:w="15" w:type="dxa"/>
            </w:tcMar>
            <w:vAlign w:val="bottom"/>
          </w:tcPr>
          <w:p w:rsidR="002D5BB0" w:rsidRPr="00222917" w:rsidRDefault="002D5BB0" w:rsidP="00E20938">
            <w:pPr>
              <w:pStyle w:val="SingleTxtG"/>
              <w:suppressAutoHyphens w:val="0"/>
              <w:spacing w:before="40" w:after="40" w:line="220" w:lineRule="exact"/>
              <w:ind w:left="0" w:right="0"/>
              <w:jc w:val="right"/>
              <w:rPr>
                <w:sz w:val="18"/>
                <w:lang w:val="en-US"/>
              </w:rPr>
            </w:pPr>
            <w:r w:rsidRPr="00222917">
              <w:rPr>
                <w:sz w:val="18"/>
                <w:lang w:val="en-US"/>
              </w:rPr>
              <w:t>258</w:t>
            </w:r>
          </w:p>
        </w:tc>
      </w:tr>
      <w:tr w:rsidR="001D2686" w:rsidRPr="00222917" w:rsidTr="00E20938">
        <w:trPr>
          <w:trHeight w:val="240"/>
        </w:trPr>
        <w:tc>
          <w:tcPr>
            <w:tcW w:w="1134" w:type="dxa"/>
            <w:shd w:val="clear" w:color="auto" w:fill="auto"/>
            <w:tcMar>
              <w:top w:w="15" w:type="dxa"/>
              <w:left w:w="15" w:type="dxa"/>
              <w:bottom w:w="15" w:type="dxa"/>
              <w:right w:w="15" w:type="dxa"/>
            </w:tcMar>
          </w:tcPr>
          <w:p w:rsidR="002D5BB0" w:rsidRPr="00222917" w:rsidRDefault="002D5BB0" w:rsidP="00E20938">
            <w:pPr>
              <w:pStyle w:val="SingleTxtG"/>
              <w:suppressAutoHyphens w:val="0"/>
              <w:spacing w:before="40" w:after="40" w:line="220" w:lineRule="exact"/>
              <w:ind w:left="0" w:right="0"/>
              <w:jc w:val="left"/>
              <w:rPr>
                <w:sz w:val="18"/>
                <w:lang w:val="en-US"/>
              </w:rPr>
            </w:pPr>
            <w:r w:rsidRPr="00222917">
              <w:rPr>
                <w:sz w:val="18"/>
                <w:lang w:val="en-US"/>
              </w:rPr>
              <w:t>2006</w:t>
            </w:r>
          </w:p>
        </w:tc>
        <w:tc>
          <w:tcPr>
            <w:tcW w:w="1247" w:type="dxa"/>
            <w:shd w:val="clear" w:color="auto" w:fill="auto"/>
            <w:tcMar>
              <w:top w:w="15" w:type="dxa"/>
              <w:left w:w="15" w:type="dxa"/>
              <w:bottom w:w="15" w:type="dxa"/>
              <w:right w:w="15" w:type="dxa"/>
            </w:tcMar>
            <w:vAlign w:val="bottom"/>
          </w:tcPr>
          <w:p w:rsidR="002D5BB0" w:rsidRPr="00222917" w:rsidRDefault="002D5BB0" w:rsidP="00E20938">
            <w:pPr>
              <w:pStyle w:val="SingleTxtG"/>
              <w:suppressAutoHyphens w:val="0"/>
              <w:spacing w:before="40" w:after="40" w:line="220" w:lineRule="exact"/>
              <w:ind w:left="0" w:right="0"/>
              <w:jc w:val="right"/>
              <w:rPr>
                <w:sz w:val="18"/>
                <w:lang w:val="en-US"/>
              </w:rPr>
            </w:pPr>
            <w:r w:rsidRPr="00222917">
              <w:rPr>
                <w:sz w:val="18"/>
                <w:lang w:val="en-US"/>
              </w:rPr>
              <w:t>13,377</w:t>
            </w:r>
          </w:p>
        </w:tc>
        <w:tc>
          <w:tcPr>
            <w:tcW w:w="1247" w:type="dxa"/>
            <w:shd w:val="clear" w:color="auto" w:fill="auto"/>
            <w:tcMar>
              <w:top w:w="15" w:type="dxa"/>
              <w:left w:w="15" w:type="dxa"/>
              <w:bottom w:w="15" w:type="dxa"/>
              <w:right w:w="15" w:type="dxa"/>
            </w:tcMar>
            <w:vAlign w:val="bottom"/>
          </w:tcPr>
          <w:p w:rsidR="002D5BB0" w:rsidRPr="00222917" w:rsidRDefault="002D5BB0" w:rsidP="00E20938">
            <w:pPr>
              <w:pStyle w:val="SingleTxtG"/>
              <w:suppressAutoHyphens w:val="0"/>
              <w:spacing w:before="40" w:after="40" w:line="220" w:lineRule="exact"/>
              <w:ind w:left="0" w:right="0"/>
              <w:jc w:val="right"/>
              <w:rPr>
                <w:sz w:val="18"/>
                <w:lang w:val="en-US"/>
              </w:rPr>
            </w:pPr>
            <w:r w:rsidRPr="00222917">
              <w:rPr>
                <w:sz w:val="18"/>
                <w:lang w:val="en-US"/>
              </w:rPr>
              <w:t>7,186</w:t>
            </w:r>
          </w:p>
        </w:tc>
        <w:tc>
          <w:tcPr>
            <w:tcW w:w="1247" w:type="dxa"/>
            <w:shd w:val="clear" w:color="auto" w:fill="auto"/>
            <w:tcMar>
              <w:top w:w="15" w:type="dxa"/>
              <w:left w:w="15" w:type="dxa"/>
              <w:bottom w:w="15" w:type="dxa"/>
              <w:right w:w="15" w:type="dxa"/>
            </w:tcMar>
            <w:vAlign w:val="bottom"/>
          </w:tcPr>
          <w:p w:rsidR="002D5BB0" w:rsidRPr="00222917" w:rsidRDefault="002D5BB0" w:rsidP="00E20938">
            <w:pPr>
              <w:pStyle w:val="SingleTxtG"/>
              <w:suppressAutoHyphens w:val="0"/>
              <w:spacing w:before="40" w:after="40" w:line="220" w:lineRule="exact"/>
              <w:ind w:left="0" w:right="0"/>
              <w:jc w:val="right"/>
              <w:rPr>
                <w:sz w:val="18"/>
                <w:lang w:val="en-US"/>
              </w:rPr>
            </w:pPr>
            <w:r w:rsidRPr="00222917">
              <w:rPr>
                <w:sz w:val="18"/>
                <w:lang w:val="en-US"/>
              </w:rPr>
              <w:t>6,191</w:t>
            </w:r>
          </w:p>
        </w:tc>
        <w:tc>
          <w:tcPr>
            <w:tcW w:w="1247" w:type="dxa"/>
            <w:shd w:val="clear" w:color="auto" w:fill="auto"/>
            <w:tcMar>
              <w:top w:w="15" w:type="dxa"/>
              <w:left w:w="15" w:type="dxa"/>
              <w:bottom w:w="15" w:type="dxa"/>
              <w:right w:w="15" w:type="dxa"/>
            </w:tcMar>
            <w:vAlign w:val="bottom"/>
          </w:tcPr>
          <w:p w:rsidR="002D5BB0" w:rsidRPr="00222917" w:rsidRDefault="002D5BB0" w:rsidP="00E20938">
            <w:pPr>
              <w:pStyle w:val="SingleTxtG"/>
              <w:suppressAutoHyphens w:val="0"/>
              <w:spacing w:before="40" w:after="40" w:line="220" w:lineRule="exact"/>
              <w:ind w:left="0" w:right="0"/>
              <w:jc w:val="right"/>
              <w:rPr>
                <w:sz w:val="18"/>
                <w:lang w:val="en-US"/>
              </w:rPr>
            </w:pPr>
          </w:p>
        </w:tc>
        <w:tc>
          <w:tcPr>
            <w:tcW w:w="1247" w:type="dxa"/>
            <w:shd w:val="clear" w:color="auto" w:fill="auto"/>
            <w:tcMar>
              <w:top w:w="15" w:type="dxa"/>
              <w:left w:w="15" w:type="dxa"/>
              <w:bottom w:w="15" w:type="dxa"/>
              <w:right w:w="15" w:type="dxa"/>
            </w:tcMar>
            <w:vAlign w:val="bottom"/>
          </w:tcPr>
          <w:p w:rsidR="002D5BB0" w:rsidRPr="00222917" w:rsidRDefault="002D5BB0" w:rsidP="00E20938">
            <w:pPr>
              <w:pStyle w:val="SingleTxtG"/>
              <w:suppressAutoHyphens w:val="0"/>
              <w:spacing w:before="40" w:after="40" w:line="220" w:lineRule="exact"/>
              <w:ind w:left="0" w:right="0"/>
              <w:jc w:val="right"/>
              <w:rPr>
                <w:sz w:val="18"/>
                <w:lang w:val="en-US"/>
              </w:rPr>
            </w:pPr>
            <w:r w:rsidRPr="00222917">
              <w:rPr>
                <w:sz w:val="18"/>
                <w:lang w:val="en-US"/>
              </w:rPr>
              <w:t>186</w:t>
            </w:r>
          </w:p>
        </w:tc>
      </w:tr>
      <w:tr w:rsidR="001D2686" w:rsidRPr="00222917" w:rsidTr="00E20938">
        <w:trPr>
          <w:trHeight w:val="240"/>
        </w:trPr>
        <w:tc>
          <w:tcPr>
            <w:tcW w:w="1134" w:type="dxa"/>
            <w:shd w:val="clear" w:color="auto" w:fill="auto"/>
            <w:tcMar>
              <w:top w:w="15" w:type="dxa"/>
              <w:left w:w="15" w:type="dxa"/>
              <w:bottom w:w="15" w:type="dxa"/>
              <w:right w:w="15" w:type="dxa"/>
            </w:tcMar>
          </w:tcPr>
          <w:p w:rsidR="002D5BB0" w:rsidRPr="00222917" w:rsidRDefault="002D5BB0" w:rsidP="00E20938">
            <w:pPr>
              <w:pStyle w:val="SingleTxtG"/>
              <w:suppressAutoHyphens w:val="0"/>
              <w:spacing w:before="40" w:after="40" w:line="220" w:lineRule="exact"/>
              <w:ind w:left="0" w:right="0"/>
              <w:jc w:val="left"/>
              <w:rPr>
                <w:sz w:val="18"/>
                <w:lang w:val="en-US"/>
              </w:rPr>
            </w:pPr>
            <w:r w:rsidRPr="00222917">
              <w:rPr>
                <w:sz w:val="18"/>
                <w:lang w:val="en-US"/>
              </w:rPr>
              <w:t>2007</w:t>
            </w:r>
          </w:p>
        </w:tc>
        <w:tc>
          <w:tcPr>
            <w:tcW w:w="1247" w:type="dxa"/>
            <w:shd w:val="clear" w:color="auto" w:fill="auto"/>
            <w:tcMar>
              <w:top w:w="15" w:type="dxa"/>
              <w:left w:w="15" w:type="dxa"/>
              <w:bottom w:w="15" w:type="dxa"/>
              <w:right w:w="15" w:type="dxa"/>
            </w:tcMar>
            <w:vAlign w:val="bottom"/>
          </w:tcPr>
          <w:p w:rsidR="002D5BB0" w:rsidRPr="00222917" w:rsidRDefault="002D5BB0" w:rsidP="00E20938">
            <w:pPr>
              <w:pStyle w:val="SingleTxtG"/>
              <w:suppressAutoHyphens w:val="0"/>
              <w:spacing w:before="40" w:after="40" w:line="220" w:lineRule="exact"/>
              <w:ind w:left="0" w:right="0"/>
              <w:jc w:val="right"/>
              <w:rPr>
                <w:sz w:val="18"/>
                <w:lang w:val="en-US"/>
              </w:rPr>
            </w:pPr>
            <w:r w:rsidRPr="00222917">
              <w:rPr>
                <w:sz w:val="18"/>
                <w:lang w:val="en-US"/>
              </w:rPr>
              <w:t>11,599</w:t>
            </w:r>
          </w:p>
        </w:tc>
        <w:tc>
          <w:tcPr>
            <w:tcW w:w="1247" w:type="dxa"/>
            <w:shd w:val="clear" w:color="auto" w:fill="auto"/>
            <w:tcMar>
              <w:top w:w="15" w:type="dxa"/>
              <w:left w:w="15" w:type="dxa"/>
              <w:bottom w:w="15" w:type="dxa"/>
              <w:right w:w="15" w:type="dxa"/>
            </w:tcMar>
            <w:vAlign w:val="bottom"/>
          </w:tcPr>
          <w:p w:rsidR="002D5BB0" w:rsidRPr="00222917" w:rsidRDefault="002D5BB0" w:rsidP="00E20938">
            <w:pPr>
              <w:pStyle w:val="SingleTxtG"/>
              <w:suppressAutoHyphens w:val="0"/>
              <w:spacing w:before="40" w:after="40" w:line="220" w:lineRule="exact"/>
              <w:ind w:left="0" w:right="0"/>
              <w:jc w:val="right"/>
              <w:rPr>
                <w:sz w:val="18"/>
                <w:lang w:val="en-US"/>
              </w:rPr>
            </w:pPr>
            <w:r w:rsidRPr="00222917">
              <w:rPr>
                <w:sz w:val="18"/>
                <w:lang w:val="en-US"/>
              </w:rPr>
              <w:t>5,681</w:t>
            </w:r>
          </w:p>
        </w:tc>
        <w:tc>
          <w:tcPr>
            <w:tcW w:w="1247" w:type="dxa"/>
            <w:shd w:val="clear" w:color="auto" w:fill="auto"/>
            <w:tcMar>
              <w:top w:w="15" w:type="dxa"/>
              <w:left w:w="15" w:type="dxa"/>
              <w:bottom w:w="15" w:type="dxa"/>
              <w:right w:w="15" w:type="dxa"/>
            </w:tcMar>
            <w:vAlign w:val="bottom"/>
          </w:tcPr>
          <w:p w:rsidR="002D5BB0" w:rsidRPr="00222917" w:rsidRDefault="002D5BB0" w:rsidP="00E20938">
            <w:pPr>
              <w:pStyle w:val="SingleTxtG"/>
              <w:suppressAutoHyphens w:val="0"/>
              <w:spacing w:before="40" w:after="40" w:line="220" w:lineRule="exact"/>
              <w:ind w:left="0" w:right="0"/>
              <w:jc w:val="right"/>
              <w:rPr>
                <w:sz w:val="18"/>
                <w:lang w:val="en-US"/>
              </w:rPr>
            </w:pPr>
            <w:r w:rsidRPr="00222917">
              <w:rPr>
                <w:sz w:val="18"/>
                <w:lang w:val="en-US"/>
              </w:rPr>
              <w:t>5,918</w:t>
            </w:r>
          </w:p>
        </w:tc>
        <w:tc>
          <w:tcPr>
            <w:tcW w:w="1247" w:type="dxa"/>
            <w:shd w:val="clear" w:color="auto" w:fill="auto"/>
            <w:tcMar>
              <w:top w:w="15" w:type="dxa"/>
              <w:left w:w="15" w:type="dxa"/>
              <w:bottom w:w="15" w:type="dxa"/>
              <w:right w:w="15" w:type="dxa"/>
            </w:tcMar>
            <w:vAlign w:val="bottom"/>
          </w:tcPr>
          <w:p w:rsidR="002D5BB0" w:rsidRPr="00222917" w:rsidRDefault="002D5BB0" w:rsidP="00E20938">
            <w:pPr>
              <w:pStyle w:val="SingleTxtG"/>
              <w:suppressAutoHyphens w:val="0"/>
              <w:spacing w:before="40" w:after="40" w:line="220" w:lineRule="exact"/>
              <w:ind w:left="0" w:right="0"/>
              <w:jc w:val="right"/>
              <w:rPr>
                <w:sz w:val="18"/>
                <w:lang w:val="en-US"/>
              </w:rPr>
            </w:pPr>
          </w:p>
        </w:tc>
        <w:tc>
          <w:tcPr>
            <w:tcW w:w="1247" w:type="dxa"/>
            <w:shd w:val="clear" w:color="auto" w:fill="auto"/>
            <w:tcMar>
              <w:top w:w="15" w:type="dxa"/>
              <w:left w:w="15" w:type="dxa"/>
              <w:bottom w:w="15" w:type="dxa"/>
              <w:right w:w="15" w:type="dxa"/>
            </w:tcMar>
            <w:vAlign w:val="bottom"/>
          </w:tcPr>
          <w:p w:rsidR="002D5BB0" w:rsidRPr="00222917" w:rsidRDefault="002D5BB0" w:rsidP="00E20938">
            <w:pPr>
              <w:pStyle w:val="SingleTxtG"/>
              <w:suppressAutoHyphens w:val="0"/>
              <w:spacing w:before="40" w:after="40" w:line="220" w:lineRule="exact"/>
              <w:ind w:left="0" w:right="0"/>
              <w:jc w:val="right"/>
              <w:rPr>
                <w:sz w:val="18"/>
                <w:lang w:val="en-US"/>
              </w:rPr>
            </w:pPr>
            <w:r w:rsidRPr="00222917">
              <w:rPr>
                <w:sz w:val="18"/>
                <w:lang w:val="en-US"/>
              </w:rPr>
              <w:t>198</w:t>
            </w:r>
          </w:p>
        </w:tc>
      </w:tr>
      <w:tr w:rsidR="001D2686" w:rsidRPr="00222917" w:rsidTr="00E20938">
        <w:trPr>
          <w:trHeight w:val="240"/>
        </w:trPr>
        <w:tc>
          <w:tcPr>
            <w:tcW w:w="1134" w:type="dxa"/>
            <w:shd w:val="clear" w:color="auto" w:fill="auto"/>
            <w:tcMar>
              <w:top w:w="15" w:type="dxa"/>
              <w:left w:w="15" w:type="dxa"/>
              <w:bottom w:w="15" w:type="dxa"/>
              <w:right w:w="15" w:type="dxa"/>
            </w:tcMar>
          </w:tcPr>
          <w:p w:rsidR="002D5BB0" w:rsidRPr="00222917" w:rsidRDefault="002D5BB0" w:rsidP="00E20938">
            <w:pPr>
              <w:pStyle w:val="SingleTxtG"/>
              <w:suppressAutoHyphens w:val="0"/>
              <w:spacing w:before="40" w:after="40" w:line="220" w:lineRule="exact"/>
              <w:ind w:left="0" w:right="0"/>
              <w:jc w:val="left"/>
              <w:rPr>
                <w:sz w:val="18"/>
                <w:lang w:val="en-US"/>
              </w:rPr>
            </w:pPr>
            <w:r w:rsidRPr="00222917">
              <w:rPr>
                <w:sz w:val="18"/>
                <w:lang w:val="en-US"/>
              </w:rPr>
              <w:t>2008</w:t>
            </w:r>
          </w:p>
        </w:tc>
        <w:tc>
          <w:tcPr>
            <w:tcW w:w="1247" w:type="dxa"/>
            <w:shd w:val="clear" w:color="auto" w:fill="auto"/>
            <w:tcMar>
              <w:top w:w="15" w:type="dxa"/>
              <w:left w:w="15" w:type="dxa"/>
              <w:bottom w:w="15" w:type="dxa"/>
              <w:right w:w="15" w:type="dxa"/>
            </w:tcMar>
            <w:vAlign w:val="bottom"/>
          </w:tcPr>
          <w:p w:rsidR="002D5BB0" w:rsidRPr="00222917" w:rsidRDefault="002D5BB0" w:rsidP="00E20938">
            <w:pPr>
              <w:pStyle w:val="SingleTxtG"/>
              <w:suppressAutoHyphens w:val="0"/>
              <w:spacing w:before="40" w:after="40" w:line="220" w:lineRule="exact"/>
              <w:ind w:left="0" w:right="0"/>
              <w:jc w:val="right"/>
              <w:rPr>
                <w:sz w:val="18"/>
                <w:lang w:val="en-US"/>
              </w:rPr>
            </w:pPr>
            <w:r w:rsidRPr="00222917">
              <w:rPr>
                <w:sz w:val="18"/>
                <w:lang w:val="en-US"/>
              </w:rPr>
              <w:t>10,833</w:t>
            </w:r>
          </w:p>
        </w:tc>
        <w:tc>
          <w:tcPr>
            <w:tcW w:w="1247" w:type="dxa"/>
            <w:shd w:val="clear" w:color="auto" w:fill="auto"/>
            <w:tcMar>
              <w:top w:w="15" w:type="dxa"/>
              <w:left w:w="15" w:type="dxa"/>
              <w:bottom w:w="15" w:type="dxa"/>
              <w:right w:w="15" w:type="dxa"/>
            </w:tcMar>
            <w:vAlign w:val="bottom"/>
          </w:tcPr>
          <w:p w:rsidR="002D5BB0" w:rsidRPr="00222917" w:rsidRDefault="002D5BB0" w:rsidP="00E20938">
            <w:pPr>
              <w:pStyle w:val="SingleTxtG"/>
              <w:suppressAutoHyphens w:val="0"/>
              <w:spacing w:before="40" w:after="40" w:line="220" w:lineRule="exact"/>
              <w:ind w:left="0" w:right="0"/>
              <w:jc w:val="right"/>
              <w:rPr>
                <w:sz w:val="18"/>
                <w:lang w:val="en-US"/>
              </w:rPr>
            </w:pPr>
            <w:r w:rsidRPr="00222917">
              <w:rPr>
                <w:sz w:val="18"/>
                <w:lang w:val="en-US"/>
              </w:rPr>
              <w:t>5,105</w:t>
            </w:r>
          </w:p>
        </w:tc>
        <w:tc>
          <w:tcPr>
            <w:tcW w:w="1247" w:type="dxa"/>
            <w:shd w:val="clear" w:color="auto" w:fill="auto"/>
            <w:tcMar>
              <w:top w:w="15" w:type="dxa"/>
              <w:left w:w="15" w:type="dxa"/>
              <w:bottom w:w="15" w:type="dxa"/>
              <w:right w:w="15" w:type="dxa"/>
            </w:tcMar>
            <w:vAlign w:val="bottom"/>
          </w:tcPr>
          <w:p w:rsidR="002D5BB0" w:rsidRPr="00222917" w:rsidRDefault="002D5BB0" w:rsidP="00E20938">
            <w:pPr>
              <w:pStyle w:val="SingleTxtG"/>
              <w:suppressAutoHyphens w:val="0"/>
              <w:spacing w:before="40" w:after="40" w:line="220" w:lineRule="exact"/>
              <w:ind w:left="0" w:right="0"/>
              <w:jc w:val="right"/>
              <w:rPr>
                <w:sz w:val="18"/>
                <w:lang w:val="en-US"/>
              </w:rPr>
            </w:pPr>
            <w:r w:rsidRPr="00222917">
              <w:rPr>
                <w:sz w:val="18"/>
                <w:lang w:val="en-US"/>
              </w:rPr>
              <w:t>5,427</w:t>
            </w:r>
          </w:p>
        </w:tc>
        <w:tc>
          <w:tcPr>
            <w:tcW w:w="1247" w:type="dxa"/>
            <w:shd w:val="clear" w:color="auto" w:fill="auto"/>
            <w:tcMar>
              <w:top w:w="15" w:type="dxa"/>
              <w:left w:w="15" w:type="dxa"/>
              <w:bottom w:w="15" w:type="dxa"/>
              <w:right w:w="15" w:type="dxa"/>
            </w:tcMar>
            <w:vAlign w:val="bottom"/>
          </w:tcPr>
          <w:p w:rsidR="002D5BB0" w:rsidRPr="00222917" w:rsidRDefault="002D5BB0" w:rsidP="00E20938">
            <w:pPr>
              <w:pStyle w:val="SingleTxtG"/>
              <w:suppressAutoHyphens w:val="0"/>
              <w:spacing w:before="40" w:after="40" w:line="220" w:lineRule="exact"/>
              <w:ind w:left="0" w:right="0"/>
              <w:jc w:val="right"/>
              <w:rPr>
                <w:sz w:val="18"/>
                <w:lang w:val="en-US"/>
              </w:rPr>
            </w:pPr>
            <w:r w:rsidRPr="00222917">
              <w:rPr>
                <w:sz w:val="18"/>
                <w:lang w:val="en-US"/>
              </w:rPr>
              <w:t>301</w:t>
            </w:r>
          </w:p>
        </w:tc>
        <w:tc>
          <w:tcPr>
            <w:tcW w:w="1247" w:type="dxa"/>
            <w:shd w:val="clear" w:color="auto" w:fill="auto"/>
            <w:tcMar>
              <w:top w:w="15" w:type="dxa"/>
              <w:left w:w="15" w:type="dxa"/>
              <w:bottom w:w="15" w:type="dxa"/>
              <w:right w:w="15" w:type="dxa"/>
            </w:tcMar>
            <w:vAlign w:val="bottom"/>
          </w:tcPr>
          <w:p w:rsidR="002D5BB0" w:rsidRPr="00222917" w:rsidRDefault="002D5BB0" w:rsidP="00E20938">
            <w:pPr>
              <w:pStyle w:val="SingleTxtG"/>
              <w:suppressAutoHyphens w:val="0"/>
              <w:spacing w:before="40" w:after="40" w:line="220" w:lineRule="exact"/>
              <w:ind w:left="0" w:right="0"/>
              <w:jc w:val="right"/>
              <w:rPr>
                <w:sz w:val="18"/>
                <w:lang w:val="en-US"/>
              </w:rPr>
            </w:pPr>
            <w:r w:rsidRPr="00222917">
              <w:rPr>
                <w:sz w:val="18"/>
                <w:lang w:val="en-US"/>
              </w:rPr>
              <w:t>249</w:t>
            </w:r>
          </w:p>
        </w:tc>
      </w:tr>
      <w:tr w:rsidR="001D2686" w:rsidRPr="00222917" w:rsidTr="00E20938">
        <w:trPr>
          <w:trHeight w:val="240"/>
        </w:trPr>
        <w:tc>
          <w:tcPr>
            <w:tcW w:w="1134" w:type="dxa"/>
            <w:shd w:val="clear" w:color="auto" w:fill="auto"/>
            <w:tcMar>
              <w:top w:w="15" w:type="dxa"/>
              <w:left w:w="15" w:type="dxa"/>
              <w:bottom w:w="15" w:type="dxa"/>
              <w:right w:w="15" w:type="dxa"/>
            </w:tcMar>
          </w:tcPr>
          <w:p w:rsidR="002D5BB0" w:rsidRPr="00222917" w:rsidRDefault="002D5BB0" w:rsidP="00E20938">
            <w:pPr>
              <w:pStyle w:val="SingleTxtG"/>
              <w:suppressAutoHyphens w:val="0"/>
              <w:spacing w:before="40" w:after="40" w:line="220" w:lineRule="exact"/>
              <w:ind w:left="0" w:right="0"/>
              <w:jc w:val="left"/>
              <w:rPr>
                <w:sz w:val="18"/>
                <w:lang w:val="en-US"/>
              </w:rPr>
            </w:pPr>
            <w:r w:rsidRPr="00222917">
              <w:rPr>
                <w:sz w:val="18"/>
                <w:lang w:val="en-US"/>
              </w:rPr>
              <w:t>2009</w:t>
            </w:r>
          </w:p>
        </w:tc>
        <w:tc>
          <w:tcPr>
            <w:tcW w:w="1247" w:type="dxa"/>
            <w:shd w:val="clear" w:color="auto" w:fill="auto"/>
            <w:tcMar>
              <w:top w:w="15" w:type="dxa"/>
              <w:left w:w="15" w:type="dxa"/>
              <w:bottom w:w="15" w:type="dxa"/>
              <w:right w:w="15" w:type="dxa"/>
            </w:tcMar>
            <w:vAlign w:val="bottom"/>
          </w:tcPr>
          <w:p w:rsidR="002D5BB0" w:rsidRPr="00222917" w:rsidRDefault="002D5BB0" w:rsidP="00E20938">
            <w:pPr>
              <w:pStyle w:val="SingleTxtG"/>
              <w:suppressAutoHyphens w:val="0"/>
              <w:spacing w:before="40" w:after="40" w:line="220" w:lineRule="exact"/>
              <w:ind w:left="0" w:right="0"/>
              <w:jc w:val="right"/>
              <w:rPr>
                <w:sz w:val="18"/>
                <w:lang w:val="en-US"/>
              </w:rPr>
            </w:pPr>
            <w:r w:rsidRPr="00222917">
              <w:rPr>
                <w:sz w:val="18"/>
                <w:lang w:val="en-US"/>
              </w:rPr>
              <w:t>9,947</w:t>
            </w:r>
          </w:p>
        </w:tc>
        <w:tc>
          <w:tcPr>
            <w:tcW w:w="1247" w:type="dxa"/>
            <w:shd w:val="clear" w:color="auto" w:fill="auto"/>
            <w:tcMar>
              <w:top w:w="15" w:type="dxa"/>
              <w:left w:w="15" w:type="dxa"/>
              <w:bottom w:w="15" w:type="dxa"/>
              <w:right w:w="15" w:type="dxa"/>
            </w:tcMar>
            <w:vAlign w:val="bottom"/>
          </w:tcPr>
          <w:p w:rsidR="002D5BB0" w:rsidRPr="00222917" w:rsidRDefault="002D5BB0" w:rsidP="00E20938">
            <w:pPr>
              <w:pStyle w:val="SingleTxtG"/>
              <w:suppressAutoHyphens w:val="0"/>
              <w:spacing w:before="40" w:after="40" w:line="220" w:lineRule="exact"/>
              <w:ind w:left="0" w:right="0"/>
              <w:jc w:val="right"/>
              <w:rPr>
                <w:sz w:val="18"/>
                <w:lang w:val="en-US"/>
              </w:rPr>
            </w:pPr>
            <w:r w:rsidRPr="00222917">
              <w:rPr>
                <w:sz w:val="18"/>
                <w:lang w:val="en-US"/>
              </w:rPr>
              <w:t>5,134</w:t>
            </w:r>
          </w:p>
        </w:tc>
        <w:tc>
          <w:tcPr>
            <w:tcW w:w="1247" w:type="dxa"/>
            <w:shd w:val="clear" w:color="auto" w:fill="auto"/>
            <w:tcMar>
              <w:top w:w="15" w:type="dxa"/>
              <w:left w:w="15" w:type="dxa"/>
              <w:bottom w:w="15" w:type="dxa"/>
              <w:right w:w="15" w:type="dxa"/>
            </w:tcMar>
            <w:vAlign w:val="bottom"/>
          </w:tcPr>
          <w:p w:rsidR="002D5BB0" w:rsidRPr="00222917" w:rsidRDefault="002D5BB0" w:rsidP="00E20938">
            <w:pPr>
              <w:pStyle w:val="SingleTxtG"/>
              <w:suppressAutoHyphens w:val="0"/>
              <w:spacing w:before="40" w:after="40" w:line="220" w:lineRule="exact"/>
              <w:ind w:left="0" w:right="0"/>
              <w:jc w:val="right"/>
              <w:rPr>
                <w:sz w:val="18"/>
                <w:lang w:val="en-US"/>
              </w:rPr>
            </w:pPr>
            <w:r w:rsidRPr="00222917">
              <w:rPr>
                <w:sz w:val="18"/>
                <w:lang w:val="en-US"/>
              </w:rPr>
              <w:t>4,543</w:t>
            </w:r>
          </w:p>
        </w:tc>
        <w:tc>
          <w:tcPr>
            <w:tcW w:w="1247" w:type="dxa"/>
            <w:shd w:val="clear" w:color="auto" w:fill="auto"/>
            <w:tcMar>
              <w:top w:w="15" w:type="dxa"/>
              <w:left w:w="15" w:type="dxa"/>
              <w:bottom w:w="15" w:type="dxa"/>
              <w:right w:w="15" w:type="dxa"/>
            </w:tcMar>
            <w:vAlign w:val="bottom"/>
          </w:tcPr>
          <w:p w:rsidR="002D5BB0" w:rsidRPr="00222917" w:rsidRDefault="002D5BB0" w:rsidP="00E20938">
            <w:pPr>
              <w:pStyle w:val="SingleTxtG"/>
              <w:suppressAutoHyphens w:val="0"/>
              <w:spacing w:before="40" w:after="40" w:line="220" w:lineRule="exact"/>
              <w:ind w:left="0" w:right="0"/>
              <w:jc w:val="right"/>
              <w:rPr>
                <w:sz w:val="18"/>
                <w:lang w:val="en-US"/>
              </w:rPr>
            </w:pPr>
            <w:r w:rsidRPr="00222917">
              <w:rPr>
                <w:sz w:val="18"/>
                <w:lang w:val="en-US"/>
              </w:rPr>
              <w:t>270</w:t>
            </w:r>
          </w:p>
        </w:tc>
        <w:tc>
          <w:tcPr>
            <w:tcW w:w="1247" w:type="dxa"/>
            <w:shd w:val="clear" w:color="auto" w:fill="auto"/>
            <w:tcMar>
              <w:top w:w="15" w:type="dxa"/>
              <w:left w:w="15" w:type="dxa"/>
              <w:bottom w:w="15" w:type="dxa"/>
              <w:right w:w="15" w:type="dxa"/>
            </w:tcMar>
            <w:vAlign w:val="bottom"/>
          </w:tcPr>
          <w:p w:rsidR="002D5BB0" w:rsidRPr="00222917" w:rsidRDefault="002D5BB0" w:rsidP="00E20938">
            <w:pPr>
              <w:pStyle w:val="SingleTxtG"/>
              <w:suppressAutoHyphens w:val="0"/>
              <w:spacing w:before="40" w:after="40" w:line="220" w:lineRule="exact"/>
              <w:ind w:left="0" w:right="0"/>
              <w:jc w:val="right"/>
              <w:rPr>
                <w:sz w:val="18"/>
                <w:lang w:val="en-US"/>
              </w:rPr>
            </w:pPr>
            <w:r w:rsidRPr="00222917">
              <w:rPr>
                <w:sz w:val="18"/>
                <w:lang w:val="en-US"/>
              </w:rPr>
              <w:t>289</w:t>
            </w:r>
          </w:p>
        </w:tc>
      </w:tr>
      <w:tr w:rsidR="001D2686" w:rsidRPr="00222917" w:rsidTr="00E20938">
        <w:trPr>
          <w:trHeight w:val="240"/>
        </w:trPr>
        <w:tc>
          <w:tcPr>
            <w:tcW w:w="1134" w:type="dxa"/>
            <w:tcBorders>
              <w:bottom w:val="single" w:sz="12" w:space="0" w:color="auto"/>
            </w:tcBorders>
            <w:shd w:val="clear" w:color="auto" w:fill="auto"/>
            <w:tcMar>
              <w:top w:w="15" w:type="dxa"/>
              <w:left w:w="15" w:type="dxa"/>
              <w:bottom w:w="15" w:type="dxa"/>
              <w:right w:w="15" w:type="dxa"/>
            </w:tcMar>
          </w:tcPr>
          <w:p w:rsidR="002D5BB0" w:rsidRPr="00222917" w:rsidRDefault="002D5BB0" w:rsidP="00E20938">
            <w:pPr>
              <w:pStyle w:val="SingleTxtG"/>
              <w:suppressAutoHyphens w:val="0"/>
              <w:spacing w:before="40" w:after="40" w:line="220" w:lineRule="exact"/>
              <w:ind w:left="0" w:right="0"/>
              <w:jc w:val="left"/>
              <w:rPr>
                <w:sz w:val="18"/>
                <w:lang w:val="en-US"/>
              </w:rPr>
            </w:pPr>
            <w:r w:rsidRPr="00222917">
              <w:rPr>
                <w:sz w:val="18"/>
                <w:lang w:val="en-US"/>
              </w:rPr>
              <w:t>2010</w:t>
            </w:r>
          </w:p>
        </w:tc>
        <w:tc>
          <w:tcPr>
            <w:tcW w:w="1247" w:type="dxa"/>
            <w:tcBorders>
              <w:bottom w:val="single" w:sz="12" w:space="0" w:color="auto"/>
            </w:tcBorders>
            <w:shd w:val="clear" w:color="auto" w:fill="auto"/>
            <w:tcMar>
              <w:top w:w="15" w:type="dxa"/>
              <w:left w:w="15" w:type="dxa"/>
              <w:bottom w:w="15" w:type="dxa"/>
              <w:right w:w="15" w:type="dxa"/>
            </w:tcMar>
            <w:vAlign w:val="bottom"/>
          </w:tcPr>
          <w:p w:rsidR="002D5BB0" w:rsidRPr="00222917" w:rsidRDefault="002D5BB0" w:rsidP="00E20938">
            <w:pPr>
              <w:pStyle w:val="SingleTxtG"/>
              <w:suppressAutoHyphens w:val="0"/>
              <w:spacing w:before="40" w:after="40" w:line="220" w:lineRule="exact"/>
              <w:ind w:left="0" w:right="0"/>
              <w:jc w:val="right"/>
              <w:rPr>
                <w:sz w:val="18"/>
                <w:lang w:val="en-US"/>
              </w:rPr>
            </w:pPr>
            <w:r w:rsidRPr="00222917">
              <w:rPr>
                <w:sz w:val="18"/>
                <w:lang w:val="en-US"/>
              </w:rPr>
              <w:t>8,192</w:t>
            </w:r>
          </w:p>
        </w:tc>
        <w:tc>
          <w:tcPr>
            <w:tcW w:w="1247" w:type="dxa"/>
            <w:tcBorders>
              <w:bottom w:val="single" w:sz="12" w:space="0" w:color="auto"/>
            </w:tcBorders>
            <w:shd w:val="clear" w:color="auto" w:fill="auto"/>
            <w:tcMar>
              <w:top w:w="15" w:type="dxa"/>
              <w:left w:w="15" w:type="dxa"/>
              <w:bottom w:w="15" w:type="dxa"/>
              <w:right w:w="15" w:type="dxa"/>
            </w:tcMar>
            <w:vAlign w:val="bottom"/>
          </w:tcPr>
          <w:p w:rsidR="002D5BB0" w:rsidRPr="00222917" w:rsidRDefault="002D5BB0" w:rsidP="00E20938">
            <w:pPr>
              <w:pStyle w:val="SingleTxtG"/>
              <w:suppressAutoHyphens w:val="0"/>
              <w:spacing w:before="40" w:after="40" w:line="220" w:lineRule="exact"/>
              <w:ind w:left="0" w:right="0"/>
              <w:jc w:val="right"/>
              <w:rPr>
                <w:sz w:val="18"/>
                <w:lang w:val="en-US"/>
              </w:rPr>
            </w:pPr>
            <w:r w:rsidRPr="00222917">
              <w:rPr>
                <w:sz w:val="18"/>
                <w:lang w:val="en-US"/>
              </w:rPr>
              <w:t>3,974</w:t>
            </w:r>
          </w:p>
        </w:tc>
        <w:tc>
          <w:tcPr>
            <w:tcW w:w="1247" w:type="dxa"/>
            <w:tcBorders>
              <w:bottom w:val="single" w:sz="12" w:space="0" w:color="auto"/>
            </w:tcBorders>
            <w:shd w:val="clear" w:color="auto" w:fill="auto"/>
            <w:tcMar>
              <w:top w:w="15" w:type="dxa"/>
              <w:left w:w="15" w:type="dxa"/>
              <w:bottom w:w="15" w:type="dxa"/>
              <w:right w:w="15" w:type="dxa"/>
            </w:tcMar>
            <w:vAlign w:val="bottom"/>
          </w:tcPr>
          <w:p w:rsidR="002D5BB0" w:rsidRPr="00222917" w:rsidRDefault="002D5BB0" w:rsidP="00E20938">
            <w:pPr>
              <w:pStyle w:val="SingleTxtG"/>
              <w:suppressAutoHyphens w:val="0"/>
              <w:spacing w:before="40" w:after="40" w:line="220" w:lineRule="exact"/>
              <w:ind w:left="0" w:right="0"/>
              <w:jc w:val="right"/>
              <w:rPr>
                <w:sz w:val="18"/>
                <w:lang w:val="en-US"/>
              </w:rPr>
            </w:pPr>
            <w:r w:rsidRPr="00222917">
              <w:rPr>
                <w:sz w:val="18"/>
                <w:lang w:val="en-US"/>
              </w:rPr>
              <w:t>3,877</w:t>
            </w:r>
          </w:p>
        </w:tc>
        <w:tc>
          <w:tcPr>
            <w:tcW w:w="1247" w:type="dxa"/>
            <w:tcBorders>
              <w:bottom w:val="single" w:sz="12" w:space="0" w:color="auto"/>
            </w:tcBorders>
            <w:shd w:val="clear" w:color="auto" w:fill="auto"/>
            <w:tcMar>
              <w:top w:w="15" w:type="dxa"/>
              <w:left w:w="15" w:type="dxa"/>
              <w:bottom w:w="15" w:type="dxa"/>
              <w:right w:w="15" w:type="dxa"/>
            </w:tcMar>
            <w:vAlign w:val="bottom"/>
          </w:tcPr>
          <w:p w:rsidR="002D5BB0" w:rsidRPr="00222917" w:rsidRDefault="002D5BB0" w:rsidP="00E20938">
            <w:pPr>
              <w:pStyle w:val="SingleTxtG"/>
              <w:suppressAutoHyphens w:val="0"/>
              <w:spacing w:before="40" w:after="40" w:line="220" w:lineRule="exact"/>
              <w:ind w:left="0" w:right="0"/>
              <w:jc w:val="right"/>
              <w:rPr>
                <w:sz w:val="18"/>
                <w:lang w:val="en-US"/>
              </w:rPr>
            </w:pPr>
            <w:r w:rsidRPr="00222917">
              <w:rPr>
                <w:sz w:val="18"/>
                <w:lang w:val="en-US"/>
              </w:rPr>
              <w:t>341</w:t>
            </w:r>
          </w:p>
        </w:tc>
        <w:tc>
          <w:tcPr>
            <w:tcW w:w="1247" w:type="dxa"/>
            <w:tcBorders>
              <w:bottom w:val="single" w:sz="12" w:space="0" w:color="auto"/>
            </w:tcBorders>
            <w:shd w:val="clear" w:color="auto" w:fill="auto"/>
            <w:tcMar>
              <w:top w:w="15" w:type="dxa"/>
              <w:left w:w="15" w:type="dxa"/>
              <w:bottom w:w="15" w:type="dxa"/>
              <w:right w:w="15" w:type="dxa"/>
            </w:tcMar>
            <w:vAlign w:val="bottom"/>
          </w:tcPr>
          <w:p w:rsidR="002D5BB0" w:rsidRPr="00222917" w:rsidRDefault="002D5BB0" w:rsidP="00E20938">
            <w:pPr>
              <w:pStyle w:val="SingleTxtG"/>
              <w:suppressAutoHyphens w:val="0"/>
              <w:spacing w:before="40" w:after="40" w:line="220" w:lineRule="exact"/>
              <w:ind w:left="0" w:right="0"/>
              <w:jc w:val="right"/>
              <w:rPr>
                <w:sz w:val="18"/>
                <w:lang w:val="en-US"/>
              </w:rPr>
            </w:pPr>
            <w:r w:rsidRPr="00222917">
              <w:rPr>
                <w:sz w:val="18"/>
                <w:lang w:val="en-US"/>
              </w:rPr>
              <w:t>199</w:t>
            </w:r>
          </w:p>
        </w:tc>
      </w:tr>
    </w:tbl>
    <w:p w:rsidR="002D5BB0" w:rsidRPr="00222917" w:rsidRDefault="00E20938" w:rsidP="00E20938">
      <w:pPr>
        <w:pStyle w:val="H23G"/>
        <w:rPr>
          <w:lang w:val="en-US"/>
        </w:rPr>
      </w:pPr>
      <w:bookmarkStart w:id="105" w:name="_Toc307504074"/>
      <w:bookmarkStart w:id="106" w:name="_Toc336435846"/>
      <w:r w:rsidRPr="00222917">
        <w:rPr>
          <w:lang w:val="en-US"/>
        </w:rPr>
        <w:tab/>
      </w:r>
      <w:r w:rsidRPr="00222917">
        <w:rPr>
          <w:lang w:val="en-US"/>
        </w:rPr>
        <w:tab/>
      </w:r>
      <w:r w:rsidR="002D5BB0" w:rsidRPr="00222917">
        <w:rPr>
          <w:lang w:val="en-US"/>
        </w:rPr>
        <w:t>Right to Request a Court Decision Concerning Other Custody</w:t>
      </w:r>
      <w:bookmarkEnd w:id="105"/>
      <w:bookmarkEnd w:id="106"/>
    </w:p>
    <w:p w:rsidR="002D5BB0" w:rsidRPr="00222917" w:rsidRDefault="00547908" w:rsidP="00547908">
      <w:pPr>
        <w:pStyle w:val="SingleTxtG"/>
        <w:rPr>
          <w:lang w:val="en-US"/>
        </w:rPr>
      </w:pPr>
      <w:r w:rsidRPr="00222917">
        <w:rPr>
          <w:lang w:val="en-US"/>
        </w:rPr>
        <w:t>167.</w:t>
      </w:r>
      <w:r w:rsidRPr="00222917">
        <w:rPr>
          <w:lang w:val="en-US"/>
        </w:rPr>
        <w:tab/>
      </w:r>
      <w:r w:rsidR="002D5BB0" w:rsidRPr="00222917">
        <w:rPr>
          <w:lang w:val="en-US"/>
        </w:rPr>
        <w:t xml:space="preserve">On 21 December 2007, the Government enacted the </w:t>
      </w:r>
      <w:r w:rsidR="002D5BB0" w:rsidRPr="00C70182">
        <w:rPr>
          <w:iCs/>
          <w:lang w:val="en-US"/>
        </w:rPr>
        <w:t>Habeas Corpus Act</w:t>
      </w:r>
      <w:r w:rsidR="002D5BB0" w:rsidRPr="00222917">
        <w:rPr>
          <w:lang w:val="en-US"/>
        </w:rPr>
        <w:t xml:space="preserve"> so as to provide relief to individuals </w:t>
      </w:r>
      <w:r w:rsidR="002D5BB0" w:rsidRPr="00222917">
        <w:rPr>
          <w:bCs/>
          <w:lang w:val="en-US"/>
        </w:rPr>
        <w:t>whose</w:t>
      </w:r>
      <w:r w:rsidR="002D5BB0" w:rsidRPr="00222917">
        <w:rPr>
          <w:lang w:val="en-US"/>
        </w:rPr>
        <w:t xml:space="preserve"> personal liberty was unlawfully limited as a result of an illegal administrative measure or accommodation in facilities by a private person.</w:t>
      </w:r>
      <w:r w:rsidR="00120D8B" w:rsidRPr="00222917">
        <w:rPr>
          <w:lang w:val="en-US"/>
        </w:rPr>
        <w:t xml:space="preserve"> </w:t>
      </w:r>
    </w:p>
    <w:p w:rsidR="002D5BB0" w:rsidRPr="00222917" w:rsidRDefault="00547908" w:rsidP="00547908">
      <w:pPr>
        <w:pStyle w:val="SingleTxtG"/>
        <w:rPr>
          <w:lang w:val="en-US"/>
        </w:rPr>
      </w:pPr>
      <w:r w:rsidRPr="00222917">
        <w:rPr>
          <w:lang w:val="en-US"/>
        </w:rPr>
        <w:t>168.</w:t>
      </w:r>
      <w:r w:rsidRPr="00222917">
        <w:rPr>
          <w:lang w:val="en-US"/>
        </w:rPr>
        <w:tab/>
      </w:r>
      <w:r w:rsidR="002D5BB0" w:rsidRPr="00222917">
        <w:rPr>
          <w:lang w:val="en-US"/>
        </w:rPr>
        <w:t>Under the Act, persons who, against their will, remain accommodated, protected, or confined in medical facilities, welfare facilities, confinement facilities, or protection facilities operated by the central or local government, public corporations, individuals, or private organizations, and their legal representative, guardian, spouse, lineal relative by blood, sibling, cohabitant, employer, or a worker of custodial facilities may req</w:t>
      </w:r>
      <w:r w:rsidR="00C974F8" w:rsidRPr="00222917">
        <w:rPr>
          <w:lang w:val="en-US"/>
        </w:rPr>
        <w:t>uest relief to a court (</w:t>
      </w:r>
      <w:r w:rsidR="00681EC0" w:rsidRPr="00222917">
        <w:rPr>
          <w:lang w:val="en-US"/>
        </w:rPr>
        <w:t>a</w:t>
      </w:r>
      <w:r w:rsidR="00C974F8" w:rsidRPr="00222917">
        <w:rPr>
          <w:lang w:val="en-US"/>
        </w:rPr>
        <w:t>rticle </w:t>
      </w:r>
      <w:r w:rsidR="002D5BB0" w:rsidRPr="00222917">
        <w:rPr>
          <w:lang w:val="en-US"/>
        </w:rPr>
        <w:t xml:space="preserve">3). Inmates shall be informed of their right to request relief prior to their custody. Custodians and persons eligible to request relief other than inmates shall not prevent them </w:t>
      </w:r>
      <w:r w:rsidR="00C974F8" w:rsidRPr="00222917">
        <w:rPr>
          <w:lang w:val="en-US"/>
        </w:rPr>
        <w:t>from requesting relief (</w:t>
      </w:r>
      <w:r w:rsidR="00681EC0" w:rsidRPr="00222917">
        <w:rPr>
          <w:lang w:val="en-US"/>
        </w:rPr>
        <w:t>a</w:t>
      </w:r>
      <w:r w:rsidR="00C974F8" w:rsidRPr="00222917">
        <w:rPr>
          <w:lang w:val="en-US"/>
        </w:rPr>
        <w:t>rticle </w:t>
      </w:r>
      <w:r w:rsidR="002D5BB0" w:rsidRPr="00222917">
        <w:rPr>
          <w:lang w:val="en-US"/>
        </w:rPr>
        <w:t>3-2). Except for the cases where a court dismisses a request for relief, it shall promptly commence examination on the legality of custody and the need</w:t>
      </w:r>
      <w:r w:rsidR="00C974F8" w:rsidRPr="00222917">
        <w:rPr>
          <w:lang w:val="en-US"/>
        </w:rPr>
        <w:t xml:space="preserve"> for continued custody (</w:t>
      </w:r>
      <w:r w:rsidR="00681EC0" w:rsidRPr="00222917">
        <w:rPr>
          <w:lang w:val="en-US"/>
        </w:rPr>
        <w:t>a</w:t>
      </w:r>
      <w:r w:rsidR="00C974F8" w:rsidRPr="00222917">
        <w:rPr>
          <w:lang w:val="en-US"/>
        </w:rPr>
        <w:t>rticle </w:t>
      </w:r>
      <w:r w:rsidR="002D5BB0" w:rsidRPr="00222917">
        <w:rPr>
          <w:lang w:val="en-US"/>
        </w:rPr>
        <w:t>8). When necessary, a court may refer to opinions of appropriate experts. The Act also sets forth temporary</w:t>
      </w:r>
      <w:r w:rsidR="00C974F8" w:rsidRPr="00222917">
        <w:rPr>
          <w:lang w:val="en-US"/>
        </w:rPr>
        <w:t xml:space="preserve"> suspension of custody (</w:t>
      </w:r>
      <w:r w:rsidR="00681EC0" w:rsidRPr="00222917">
        <w:rPr>
          <w:lang w:val="en-US"/>
        </w:rPr>
        <w:t>a</w:t>
      </w:r>
      <w:r w:rsidR="00C974F8" w:rsidRPr="00222917">
        <w:rPr>
          <w:lang w:val="en-US"/>
        </w:rPr>
        <w:t>rticle </w:t>
      </w:r>
      <w:r w:rsidR="002D5BB0" w:rsidRPr="00222917">
        <w:rPr>
          <w:lang w:val="en-US"/>
        </w:rPr>
        <w:t>9),</w:t>
      </w:r>
      <w:r w:rsidR="00C974F8" w:rsidRPr="00222917">
        <w:rPr>
          <w:lang w:val="en-US"/>
        </w:rPr>
        <w:t xml:space="preserve"> protection of inmates (</w:t>
      </w:r>
      <w:r w:rsidR="00681EC0" w:rsidRPr="00222917">
        <w:rPr>
          <w:lang w:val="en-US"/>
        </w:rPr>
        <w:t>a</w:t>
      </w:r>
      <w:r w:rsidR="00C974F8" w:rsidRPr="00222917">
        <w:rPr>
          <w:lang w:val="en-US"/>
        </w:rPr>
        <w:t>rticle </w:t>
      </w:r>
      <w:r w:rsidR="002D5BB0" w:rsidRPr="00222917">
        <w:rPr>
          <w:lang w:val="en-US"/>
        </w:rPr>
        <w:t>11), and prohibition of return to custody (</w:t>
      </w:r>
      <w:r w:rsidR="00681EC0" w:rsidRPr="00222917">
        <w:rPr>
          <w:lang w:val="en-US"/>
        </w:rPr>
        <w:t>a</w:t>
      </w:r>
      <w:r w:rsidR="002D5BB0" w:rsidRPr="00222917">
        <w:rPr>
          <w:lang w:val="en-US"/>
        </w:rPr>
        <w:t>rticle</w:t>
      </w:r>
      <w:r w:rsidR="00044573" w:rsidRPr="00222917">
        <w:rPr>
          <w:lang w:val="en-US"/>
        </w:rPr>
        <w:t> </w:t>
      </w:r>
      <w:r w:rsidR="002D5BB0" w:rsidRPr="00222917">
        <w:rPr>
          <w:lang w:val="en-US"/>
        </w:rPr>
        <w:t xml:space="preserve">16). </w:t>
      </w:r>
    </w:p>
    <w:p w:rsidR="002D5BB0" w:rsidRPr="00222917" w:rsidRDefault="00547908" w:rsidP="00547908">
      <w:pPr>
        <w:pStyle w:val="SingleTxtG"/>
        <w:rPr>
          <w:lang w:val="en-US"/>
        </w:rPr>
      </w:pPr>
      <w:r w:rsidRPr="00222917">
        <w:rPr>
          <w:lang w:val="en-US"/>
        </w:rPr>
        <w:t>169.</w:t>
      </w:r>
      <w:r w:rsidRPr="00222917">
        <w:rPr>
          <w:lang w:val="en-US"/>
        </w:rPr>
        <w:tab/>
      </w:r>
      <w:r w:rsidR="002D5BB0" w:rsidRPr="00222917">
        <w:rPr>
          <w:lang w:val="en-US"/>
        </w:rPr>
        <w:t xml:space="preserve">As of the end of 2010, courts had received 198 habeas corpus cases. Among them, 26 cases were accepted. </w:t>
      </w:r>
      <w:r w:rsidR="002D5BB0" w:rsidRPr="00222917">
        <w:rPr>
          <w:bCs/>
          <w:lang w:val="en-US"/>
        </w:rPr>
        <w:t>The</w:t>
      </w:r>
      <w:r w:rsidR="002D5BB0" w:rsidRPr="00222917">
        <w:rPr>
          <w:lang w:val="en-US"/>
        </w:rPr>
        <w:t xml:space="preserve"> petitioners for relief were largely inmates, mostly those confined in medical facilities. </w:t>
      </w:r>
    </w:p>
    <w:p w:rsidR="002D5BB0" w:rsidRPr="00547908" w:rsidRDefault="00044573" w:rsidP="00044573">
      <w:pPr>
        <w:pStyle w:val="H1G"/>
        <w:rPr>
          <w:lang w:val="fr-FR"/>
        </w:rPr>
      </w:pPr>
      <w:bookmarkStart w:id="107" w:name="_Toc307504075"/>
      <w:bookmarkStart w:id="108" w:name="_Toc336435847"/>
      <w:r w:rsidRPr="00222917">
        <w:rPr>
          <w:lang w:val="en-US"/>
        </w:rPr>
        <w:tab/>
      </w:r>
      <w:r w:rsidRPr="00222917">
        <w:rPr>
          <w:lang w:val="en-US"/>
        </w:rPr>
        <w:tab/>
      </w:r>
      <w:r w:rsidR="002D5BB0" w:rsidRPr="00547908">
        <w:rPr>
          <w:lang w:val="fr-FR"/>
        </w:rPr>
        <w:t xml:space="preserve">Paragraph 5 </w:t>
      </w:r>
    </w:p>
    <w:p w:rsidR="002D5BB0" w:rsidRPr="00547908" w:rsidRDefault="00044573" w:rsidP="00044573">
      <w:pPr>
        <w:pStyle w:val="H23G"/>
        <w:rPr>
          <w:lang w:val="fr-FR"/>
        </w:rPr>
      </w:pPr>
      <w:r w:rsidRPr="00547908">
        <w:rPr>
          <w:lang w:val="fr-FR"/>
        </w:rPr>
        <w:tab/>
      </w:r>
      <w:r w:rsidRPr="00547908">
        <w:rPr>
          <w:lang w:val="fr-FR"/>
        </w:rPr>
        <w:tab/>
      </w:r>
      <w:r w:rsidR="002D5BB0" w:rsidRPr="00547908">
        <w:rPr>
          <w:lang w:val="fr-FR"/>
        </w:rPr>
        <w:t>Criminal Compensation System, etc.</w:t>
      </w:r>
      <w:bookmarkEnd w:id="107"/>
      <w:bookmarkEnd w:id="108"/>
    </w:p>
    <w:p w:rsidR="002D5BB0" w:rsidRPr="00222917" w:rsidRDefault="00547908" w:rsidP="00547908">
      <w:pPr>
        <w:pStyle w:val="SingleTxtG"/>
        <w:rPr>
          <w:lang w:val="en-US"/>
        </w:rPr>
      </w:pPr>
      <w:r w:rsidRPr="00222917">
        <w:rPr>
          <w:lang w:val="en-US"/>
        </w:rPr>
        <w:t>170.</w:t>
      </w:r>
      <w:r w:rsidRPr="00222917">
        <w:rPr>
          <w:lang w:val="en-US"/>
        </w:rPr>
        <w:tab/>
      </w:r>
      <w:r w:rsidR="002D5BB0" w:rsidRPr="00222917">
        <w:rPr>
          <w:lang w:val="en-US"/>
        </w:rPr>
        <w:t xml:space="preserve">As stated in the second report, if a person confined as a criminal suspect or defendant is not prosecuted or found not guilty, he may claim legitimate compensation to the state pursuant to the Constitution and the </w:t>
      </w:r>
      <w:r w:rsidR="002D5BB0" w:rsidRPr="00222917">
        <w:rPr>
          <w:iCs/>
          <w:lang w:val="en-US"/>
        </w:rPr>
        <w:t>Criminal Compensation Act</w:t>
      </w:r>
      <w:r w:rsidR="002D5BB0" w:rsidRPr="00222917">
        <w:rPr>
          <w:lang w:val="en-US"/>
        </w:rPr>
        <w:t xml:space="preserve">. The minimum amount of criminal </w:t>
      </w:r>
      <w:r w:rsidR="002D5BB0" w:rsidRPr="00222917">
        <w:rPr>
          <w:bCs/>
          <w:lang w:val="en-US"/>
        </w:rPr>
        <w:t>compensation</w:t>
      </w:r>
      <w:r w:rsidR="002D5BB0" w:rsidRPr="00222917">
        <w:rPr>
          <w:lang w:val="en-US"/>
        </w:rPr>
        <w:t xml:space="preserve"> is KRW 5,000 and the maximum amount is five times as much as the daily minimum wage under the </w:t>
      </w:r>
      <w:r w:rsidR="002D5BB0" w:rsidRPr="00222917">
        <w:rPr>
          <w:iCs/>
          <w:lang w:val="en-US"/>
        </w:rPr>
        <w:t>Minimum Wage Act</w:t>
      </w:r>
      <w:r w:rsidR="002D5BB0" w:rsidRPr="00222917">
        <w:rPr>
          <w:lang w:val="en-US"/>
        </w:rPr>
        <w:t xml:space="preserve">, which is in effect in the year when the cause of such claim </w:t>
      </w:r>
      <w:r w:rsidR="00044573" w:rsidRPr="00222917">
        <w:rPr>
          <w:lang w:val="en-US"/>
        </w:rPr>
        <w:t>arises (CCPR/C/114/Add.1, para. </w:t>
      </w:r>
      <w:r w:rsidR="002D5BB0" w:rsidRPr="00222917">
        <w:rPr>
          <w:lang w:val="en-US"/>
        </w:rPr>
        <w:t xml:space="preserve">119). </w:t>
      </w:r>
    </w:p>
    <w:p w:rsidR="002D5BB0" w:rsidRPr="00222917" w:rsidRDefault="00547908" w:rsidP="00547908">
      <w:pPr>
        <w:pStyle w:val="SingleTxtG"/>
        <w:rPr>
          <w:lang w:val="en-US"/>
        </w:rPr>
      </w:pPr>
      <w:r w:rsidRPr="00222917">
        <w:rPr>
          <w:lang w:val="en-US"/>
        </w:rPr>
        <w:t>171.</w:t>
      </w:r>
      <w:r w:rsidRPr="00222917">
        <w:rPr>
          <w:lang w:val="en-US"/>
        </w:rPr>
        <w:tab/>
      </w:r>
      <w:r w:rsidR="002D5BB0" w:rsidRPr="00222917">
        <w:rPr>
          <w:lang w:val="en-US"/>
        </w:rPr>
        <w:t>On 28 October 2010, the Constituti</w:t>
      </w:r>
      <w:r w:rsidR="00044573" w:rsidRPr="00222917">
        <w:rPr>
          <w:lang w:val="en-US"/>
        </w:rPr>
        <w:t xml:space="preserve">onal Court decided that </w:t>
      </w:r>
      <w:r w:rsidR="00681EC0" w:rsidRPr="00222917">
        <w:rPr>
          <w:lang w:val="en-US"/>
        </w:rPr>
        <w:t>a</w:t>
      </w:r>
      <w:r w:rsidR="00044573" w:rsidRPr="00222917">
        <w:rPr>
          <w:lang w:val="en-US"/>
        </w:rPr>
        <w:t>rticle </w:t>
      </w:r>
      <w:r w:rsidR="002D5BB0" w:rsidRPr="00222917">
        <w:rPr>
          <w:lang w:val="en-US"/>
        </w:rPr>
        <w:t>19</w:t>
      </w:r>
      <w:r w:rsidR="00681EC0" w:rsidRPr="00222917">
        <w:rPr>
          <w:lang w:val="en-US"/>
        </w:rPr>
        <w:t xml:space="preserve"> </w:t>
      </w:r>
      <w:r w:rsidR="002D5BB0" w:rsidRPr="00222917">
        <w:rPr>
          <w:lang w:val="en-US"/>
        </w:rPr>
        <w:t xml:space="preserve">(1) of the </w:t>
      </w:r>
      <w:r w:rsidR="002D5BB0" w:rsidRPr="00222917">
        <w:rPr>
          <w:iCs/>
          <w:lang w:val="en-US"/>
        </w:rPr>
        <w:t>Criminal Compensation Act</w:t>
      </w:r>
      <w:r w:rsidR="002D5BB0" w:rsidRPr="00222917">
        <w:rPr>
          <w:lang w:val="en-US"/>
        </w:rPr>
        <w:t xml:space="preserve">, which provides for a single-trial decision on criminal compensation by stipulating that objection shall not be made against a decision on compensation concerning claims of criminal compensation, was in breach of individuals’ right to request criminal compensation and a trial (2008 HUN-MA 514). Thus, if any error or irrationality is detected in acknowledgement of facts, which served as the basis for determining the amount of compensation, or in determination of the amount of compensation, the claimant may request correction thereof. </w:t>
      </w:r>
    </w:p>
    <w:p w:rsidR="002D5BB0" w:rsidRPr="00693F5B" w:rsidRDefault="00044573" w:rsidP="00044573">
      <w:pPr>
        <w:pStyle w:val="HChG"/>
        <w:rPr>
          <w:sz w:val="24"/>
          <w:szCs w:val="24"/>
          <w:lang w:val="en-US"/>
        </w:rPr>
      </w:pPr>
      <w:bookmarkStart w:id="109" w:name="_Toc307504076"/>
      <w:bookmarkStart w:id="110" w:name="_Toc336435848"/>
      <w:r w:rsidRPr="00222917">
        <w:rPr>
          <w:lang w:val="en-US"/>
        </w:rPr>
        <w:tab/>
      </w:r>
      <w:r w:rsidRPr="00693F5B">
        <w:rPr>
          <w:sz w:val="24"/>
          <w:szCs w:val="24"/>
          <w:lang w:val="en-US"/>
        </w:rPr>
        <w:tab/>
      </w:r>
      <w:r w:rsidR="002D5BB0" w:rsidRPr="00693F5B">
        <w:rPr>
          <w:sz w:val="24"/>
          <w:szCs w:val="24"/>
          <w:lang w:val="en-US"/>
        </w:rPr>
        <w:t>Article 10</w:t>
      </w:r>
      <w:bookmarkEnd w:id="109"/>
      <w:bookmarkEnd w:id="110"/>
    </w:p>
    <w:p w:rsidR="002D5BB0" w:rsidRPr="00222917" w:rsidRDefault="00044573" w:rsidP="00044573">
      <w:pPr>
        <w:pStyle w:val="H1G"/>
        <w:rPr>
          <w:lang w:val="en-US"/>
        </w:rPr>
      </w:pPr>
      <w:bookmarkStart w:id="111" w:name="_Toc307504077"/>
      <w:bookmarkStart w:id="112" w:name="_Toc336435849"/>
      <w:r w:rsidRPr="00222917">
        <w:rPr>
          <w:lang w:val="en-US"/>
        </w:rPr>
        <w:tab/>
      </w:r>
      <w:r w:rsidRPr="00222917">
        <w:rPr>
          <w:lang w:val="en-US"/>
        </w:rPr>
        <w:tab/>
      </w:r>
      <w:r w:rsidR="002D5BB0" w:rsidRPr="00222917">
        <w:rPr>
          <w:lang w:val="en-US"/>
        </w:rPr>
        <w:t>Paragraph 1</w:t>
      </w:r>
      <w:bookmarkEnd w:id="111"/>
      <w:bookmarkEnd w:id="112"/>
    </w:p>
    <w:p w:rsidR="002D5BB0" w:rsidRPr="00222917" w:rsidRDefault="00044573" w:rsidP="00044573">
      <w:pPr>
        <w:pStyle w:val="H23G"/>
        <w:rPr>
          <w:lang w:val="en-US"/>
        </w:rPr>
      </w:pPr>
      <w:bookmarkStart w:id="113" w:name="_Toc307504078"/>
      <w:bookmarkStart w:id="114" w:name="_Toc336435850"/>
      <w:r w:rsidRPr="00222917">
        <w:rPr>
          <w:lang w:val="en-US"/>
        </w:rPr>
        <w:tab/>
      </w:r>
      <w:r w:rsidRPr="00222917">
        <w:rPr>
          <w:lang w:val="en-US"/>
        </w:rPr>
        <w:tab/>
      </w:r>
      <w:r w:rsidR="002D5BB0" w:rsidRPr="00222917">
        <w:rPr>
          <w:lang w:val="en-US"/>
        </w:rPr>
        <w:t>Abolition and Improvement of Substitute Cells</w:t>
      </w:r>
      <w:bookmarkEnd w:id="113"/>
      <w:bookmarkEnd w:id="114"/>
    </w:p>
    <w:p w:rsidR="002D5BB0" w:rsidRPr="00222917" w:rsidRDefault="00547908" w:rsidP="00547908">
      <w:pPr>
        <w:pStyle w:val="SingleTxtG"/>
        <w:rPr>
          <w:lang w:val="en-US"/>
        </w:rPr>
      </w:pPr>
      <w:r w:rsidRPr="00222917">
        <w:rPr>
          <w:lang w:val="en-US"/>
        </w:rPr>
        <w:t>172.</w:t>
      </w:r>
      <w:r w:rsidRPr="00222917">
        <w:rPr>
          <w:lang w:val="en-US"/>
        </w:rPr>
        <w:tab/>
      </w:r>
      <w:r w:rsidR="002D5BB0" w:rsidRPr="00222917">
        <w:rPr>
          <w:lang w:val="en-US"/>
        </w:rPr>
        <w:t xml:space="preserve">In July 2006, the Committee against Torture expressed concerns over the situation of detainees held in substitute cells, and recommended limited use of them. A substitute cell, which refers to detention </w:t>
      </w:r>
      <w:r w:rsidR="002D5BB0" w:rsidRPr="00222917">
        <w:rPr>
          <w:bCs/>
          <w:lang w:val="en-US"/>
        </w:rPr>
        <w:t>facilities</w:t>
      </w:r>
      <w:r w:rsidR="002D5BB0" w:rsidRPr="00222917">
        <w:rPr>
          <w:lang w:val="en-US"/>
        </w:rPr>
        <w:t xml:space="preserve"> of police stations located in the vicinity of the Public Prosecutor's Office or a court, is temporarily used as a prison or detention house when there are no detention facilities such as prisons or detention facilities in the jurisdiction of the Public Prosecutor’s Office.</w:t>
      </w:r>
    </w:p>
    <w:p w:rsidR="002D5BB0" w:rsidRPr="00222917" w:rsidRDefault="00547908" w:rsidP="00547908">
      <w:pPr>
        <w:pStyle w:val="SingleTxtG"/>
        <w:rPr>
          <w:lang w:val="en-US"/>
        </w:rPr>
      </w:pPr>
      <w:r w:rsidRPr="00222917">
        <w:rPr>
          <w:lang w:val="en-US"/>
        </w:rPr>
        <w:t>173.</w:t>
      </w:r>
      <w:r w:rsidRPr="00222917">
        <w:rPr>
          <w:lang w:val="en-US"/>
        </w:rPr>
        <w:tab/>
      </w:r>
      <w:r w:rsidR="002D5BB0" w:rsidRPr="00222917">
        <w:rPr>
          <w:lang w:val="en-US"/>
        </w:rPr>
        <w:t xml:space="preserve">On 23 January 2007, the substitute cell improvement council consisting of interested persons from the Ministry of Justice and the National Police Agency was formed. It held four regular meetings to discuss </w:t>
      </w:r>
      <w:r w:rsidR="002D5BB0" w:rsidRPr="00222917">
        <w:rPr>
          <w:bCs/>
          <w:lang w:val="en-US"/>
        </w:rPr>
        <w:t>and</w:t>
      </w:r>
      <w:r w:rsidR="002D5BB0" w:rsidRPr="00222917">
        <w:rPr>
          <w:lang w:val="en-US"/>
        </w:rPr>
        <w:t xml:space="preserve"> examine ways to improve the substitute cells. As part of phase-out efforts, the number of substitute cells was reduced from 11 to five as of the end of 2010.</w:t>
      </w:r>
    </w:p>
    <w:p w:rsidR="002D5BB0" w:rsidRPr="00222917" w:rsidRDefault="00547908" w:rsidP="00547908">
      <w:pPr>
        <w:pStyle w:val="SingleTxtG"/>
        <w:rPr>
          <w:lang w:val="en-US"/>
        </w:rPr>
      </w:pPr>
      <w:r w:rsidRPr="00222917">
        <w:rPr>
          <w:lang w:val="en-US"/>
        </w:rPr>
        <w:t>174.</w:t>
      </w:r>
      <w:r w:rsidRPr="00222917">
        <w:rPr>
          <w:lang w:val="en-US"/>
        </w:rPr>
        <w:tab/>
      </w:r>
      <w:r w:rsidR="002D5BB0" w:rsidRPr="00222917">
        <w:rPr>
          <w:lang w:val="en-US"/>
        </w:rPr>
        <w:t xml:space="preserve">In order for the remaining substitute cells to meet the minimum international standards, proper lighting systems have been installed and fitness centers set up in substitute cells; female inmates are now permitted to have interviews with female police officers; protective custody cells </w:t>
      </w:r>
      <w:r w:rsidR="002D5BB0" w:rsidRPr="00222917">
        <w:rPr>
          <w:bCs/>
          <w:lang w:val="en-US"/>
        </w:rPr>
        <w:t>have</w:t>
      </w:r>
      <w:r w:rsidR="002D5BB0" w:rsidRPr="00222917">
        <w:rPr>
          <w:lang w:val="en-US"/>
        </w:rPr>
        <w:t xml:space="preserve"> been installed to separately accommodate disruptive persons such as drunks to ensure other inmates’ rights to sleep; and restrooms have been given enclosing walls. Starting in 2009, the Public Prosecutor’s Office reinforced its regular inspection on detention facilities with regard to a wide range of issues such as illegal arrest and/or detention, or human rights violations. Relevant agencies including the Ministry of Justice and the National Police Agency will continue to make concerted efforts to close down or improve the substitute cells.</w:t>
      </w:r>
    </w:p>
    <w:p w:rsidR="002D5BB0" w:rsidRPr="0043215C" w:rsidRDefault="00044573" w:rsidP="00044573">
      <w:pPr>
        <w:pStyle w:val="H23G"/>
        <w:rPr>
          <w:iCs/>
          <w:lang w:val="en-US"/>
        </w:rPr>
      </w:pPr>
      <w:bookmarkStart w:id="115" w:name="_Toc307504079"/>
      <w:bookmarkStart w:id="116" w:name="_Toc336435851"/>
      <w:r w:rsidRPr="00222917">
        <w:rPr>
          <w:lang w:val="en-US"/>
        </w:rPr>
        <w:tab/>
      </w:r>
      <w:r w:rsidRPr="00222917">
        <w:rPr>
          <w:lang w:val="en-US"/>
        </w:rPr>
        <w:tab/>
      </w:r>
      <w:r w:rsidR="002D5BB0" w:rsidRPr="00222917">
        <w:rPr>
          <w:lang w:val="en-US"/>
        </w:rPr>
        <w:t xml:space="preserve">Enactment of the </w:t>
      </w:r>
      <w:r w:rsidR="002D5BB0" w:rsidRPr="0043215C">
        <w:rPr>
          <w:iCs/>
          <w:lang w:val="en-US"/>
        </w:rPr>
        <w:t>Administration and Treatment of Correctional Institution Inmates Act</w:t>
      </w:r>
      <w:bookmarkEnd w:id="115"/>
      <w:bookmarkEnd w:id="116"/>
    </w:p>
    <w:p w:rsidR="002D5BB0" w:rsidRPr="00222917" w:rsidRDefault="00547908" w:rsidP="00547908">
      <w:pPr>
        <w:pStyle w:val="SingleTxtG"/>
        <w:rPr>
          <w:lang w:val="en-US"/>
        </w:rPr>
      </w:pPr>
      <w:r w:rsidRPr="00222917">
        <w:rPr>
          <w:lang w:val="en-US"/>
        </w:rPr>
        <w:t>175.</w:t>
      </w:r>
      <w:r w:rsidRPr="00222917">
        <w:rPr>
          <w:lang w:val="en-US"/>
        </w:rPr>
        <w:tab/>
      </w:r>
      <w:r w:rsidR="002D5BB0" w:rsidRPr="00222917">
        <w:rPr>
          <w:lang w:val="en-US"/>
        </w:rPr>
        <w:t xml:space="preserve">On 21 December 2007, the </w:t>
      </w:r>
      <w:r w:rsidR="002D5BB0" w:rsidRPr="00C70182">
        <w:rPr>
          <w:iCs/>
          <w:lang w:val="en-US"/>
        </w:rPr>
        <w:t>Criminal Administration Act</w:t>
      </w:r>
      <w:r w:rsidR="002D5BB0" w:rsidRPr="00222917">
        <w:rPr>
          <w:i/>
          <w:lang w:val="en-US"/>
        </w:rPr>
        <w:t xml:space="preserve"> </w:t>
      </w:r>
      <w:r w:rsidR="002D5BB0" w:rsidRPr="00222917">
        <w:rPr>
          <w:lang w:val="en-US"/>
        </w:rPr>
        <w:t xml:space="preserve">was wholly amended and renamed the </w:t>
      </w:r>
      <w:r w:rsidR="002D5BB0" w:rsidRPr="00C70182">
        <w:rPr>
          <w:iCs/>
          <w:lang w:val="en-US"/>
        </w:rPr>
        <w:t>Administration and Treatment of Correctional Institution Inmates Act</w:t>
      </w:r>
      <w:r w:rsidR="002D5BB0" w:rsidRPr="00222917">
        <w:rPr>
          <w:lang w:val="en-US"/>
        </w:rPr>
        <w:t>. The</w:t>
      </w:r>
      <w:r w:rsidR="00044573" w:rsidRPr="00222917">
        <w:rPr>
          <w:lang w:val="en-US"/>
        </w:rPr>
        <w:t> </w:t>
      </w:r>
      <w:r w:rsidR="002D5BB0" w:rsidRPr="00222917">
        <w:rPr>
          <w:lang w:val="en-US"/>
        </w:rPr>
        <w:t>amended Act expanded the scope of discrimination to include disability, age, region of origin, physical appearance, ethnicity, medical history, marital status, political opinions, and sexual orientation</w:t>
      </w:r>
      <w:r w:rsidR="0043215C">
        <w:rPr>
          <w:lang w:val="en-US"/>
        </w:rPr>
        <w:t>, as well as</w:t>
      </w:r>
      <w:r w:rsidR="002D5BB0" w:rsidRPr="00222917">
        <w:rPr>
          <w:lang w:val="en-US"/>
        </w:rPr>
        <w:t xml:space="preserve"> t</w:t>
      </w:r>
      <w:r w:rsidR="0043215C">
        <w:rPr>
          <w:lang w:val="en-US"/>
        </w:rPr>
        <w:t>he</w:t>
      </w:r>
      <w:r w:rsidR="002D5BB0" w:rsidRPr="00222917">
        <w:rPr>
          <w:lang w:val="en-US"/>
        </w:rPr>
        <w:t xml:space="preserve"> existing </w:t>
      </w:r>
      <w:r w:rsidR="002D5BB0" w:rsidRPr="00222917">
        <w:rPr>
          <w:bCs/>
          <w:lang w:val="en-US"/>
        </w:rPr>
        <w:t>grounds</w:t>
      </w:r>
      <w:r w:rsidR="002D5BB0" w:rsidRPr="00222917">
        <w:rPr>
          <w:lang w:val="en-US"/>
        </w:rPr>
        <w:t xml:space="preserve"> such as nationality, gender, relig</w:t>
      </w:r>
      <w:r w:rsidR="00BA237E" w:rsidRPr="00222917">
        <w:rPr>
          <w:lang w:val="en-US"/>
        </w:rPr>
        <w:t>ion, and social status (</w:t>
      </w:r>
      <w:r w:rsidR="00681EC0" w:rsidRPr="00222917">
        <w:rPr>
          <w:lang w:val="en-US"/>
        </w:rPr>
        <w:t>a</w:t>
      </w:r>
      <w:r w:rsidR="00BA237E" w:rsidRPr="00222917">
        <w:rPr>
          <w:lang w:val="en-US"/>
        </w:rPr>
        <w:t>rticle </w:t>
      </w:r>
      <w:r w:rsidR="002D5BB0" w:rsidRPr="00222917">
        <w:rPr>
          <w:lang w:val="en-US"/>
        </w:rPr>
        <w:t>5). The principle of censoring inmates' correspondence, as well as the requirement to obtain prior permission to write correspondence, was abolished (</w:t>
      </w:r>
      <w:r w:rsidR="00681EC0" w:rsidRPr="00222917">
        <w:rPr>
          <w:lang w:val="en-US"/>
        </w:rPr>
        <w:t>a</w:t>
      </w:r>
      <w:r w:rsidR="002D5BB0" w:rsidRPr="00222917">
        <w:rPr>
          <w:lang w:val="en-US"/>
        </w:rPr>
        <w:t>rticles</w:t>
      </w:r>
      <w:r w:rsidR="00BA237E" w:rsidRPr="00222917">
        <w:rPr>
          <w:lang w:val="en-US"/>
        </w:rPr>
        <w:t> </w:t>
      </w:r>
      <w:r w:rsidR="002D5BB0" w:rsidRPr="00222917">
        <w:rPr>
          <w:lang w:val="en-US"/>
        </w:rPr>
        <w:t>43</w:t>
      </w:r>
      <w:r w:rsidR="00044573" w:rsidRPr="00222917">
        <w:rPr>
          <w:lang w:val="en-US"/>
        </w:rPr>
        <w:t> </w:t>
      </w:r>
      <w:r w:rsidR="002D5BB0" w:rsidRPr="00222917">
        <w:rPr>
          <w:lang w:val="en-US"/>
        </w:rPr>
        <w:t>(3) and 49 (1)). In order to protect, in particular, the socially underprivileged including women, senior citizens, or disabled persons, the Act explicitly specifies appropriate treatment and care for them in consideration of their physical and mental characteristics, age, health condition, or severity of disability, among other factors; and mandates adequate treatment for foreign inmates in consideration of their</w:t>
      </w:r>
      <w:r w:rsidR="00BA237E" w:rsidRPr="00222917">
        <w:rPr>
          <w:lang w:val="en-US"/>
        </w:rPr>
        <w:t xml:space="preserve"> language and culture (</w:t>
      </w:r>
      <w:r w:rsidR="00681EC0" w:rsidRPr="00222917">
        <w:rPr>
          <w:lang w:val="en-US"/>
        </w:rPr>
        <w:t>a</w:t>
      </w:r>
      <w:r w:rsidR="00BA237E" w:rsidRPr="00222917">
        <w:rPr>
          <w:lang w:val="en-US"/>
        </w:rPr>
        <w:t>rticles </w:t>
      </w:r>
      <w:r w:rsidR="002D5BB0" w:rsidRPr="00222917">
        <w:rPr>
          <w:lang w:val="en-US"/>
        </w:rPr>
        <w:t>50 through 54).</w:t>
      </w:r>
    </w:p>
    <w:p w:rsidR="002D5BB0" w:rsidRPr="00222917" w:rsidRDefault="00547908" w:rsidP="00547908">
      <w:pPr>
        <w:pStyle w:val="SingleTxtG"/>
        <w:rPr>
          <w:lang w:val="en-US"/>
        </w:rPr>
      </w:pPr>
      <w:r w:rsidRPr="00222917">
        <w:rPr>
          <w:lang w:val="en-US"/>
        </w:rPr>
        <w:t>176.</w:t>
      </w:r>
      <w:r w:rsidRPr="00222917">
        <w:rPr>
          <w:lang w:val="en-US"/>
        </w:rPr>
        <w:tab/>
      </w:r>
      <w:r w:rsidR="002D5BB0" w:rsidRPr="00222917">
        <w:rPr>
          <w:lang w:val="en-US"/>
        </w:rPr>
        <w:t>With a view toward improving correctional effect and social adaptability for convicted prisoners, the Act mandates the head of correctional facilities to formulate and execute treatment plans that address the specific needs of individual convicted prisoners, accommodate them in appropriate facilities based on classification reviews, and improve the treatment for them in accordance with their prison-service records (</w:t>
      </w:r>
      <w:r w:rsidR="00681EC0" w:rsidRPr="00222917">
        <w:rPr>
          <w:lang w:val="en-US"/>
        </w:rPr>
        <w:t>a</w:t>
      </w:r>
      <w:r w:rsidR="002D5BB0" w:rsidRPr="00222917">
        <w:rPr>
          <w:lang w:val="en-US"/>
        </w:rPr>
        <w:t>rticle</w:t>
      </w:r>
      <w:r w:rsidR="00BA237E" w:rsidRPr="00222917">
        <w:rPr>
          <w:lang w:val="en-US"/>
        </w:rPr>
        <w:t> </w:t>
      </w:r>
      <w:r w:rsidR="002D5BB0" w:rsidRPr="00222917">
        <w:rPr>
          <w:lang w:val="en-US"/>
        </w:rPr>
        <w:t xml:space="preserve">56). Furthermore, pursuant to the provisions in the Act, correctional facilities are graduated and classified in accordance with </w:t>
      </w:r>
      <w:r w:rsidR="002D5BB0" w:rsidRPr="00222917">
        <w:rPr>
          <w:bCs/>
          <w:lang w:val="en-US"/>
        </w:rPr>
        <w:t>the</w:t>
      </w:r>
      <w:r w:rsidR="002D5BB0" w:rsidRPr="00222917">
        <w:rPr>
          <w:lang w:val="en-US"/>
        </w:rPr>
        <w:t xml:space="preserve"> level of accommodation facilities and the degree of surveillance to prevent prison escapes, thereby allowing for a variety of treatment options depending on convicted inmates' prison-service records (</w:t>
      </w:r>
      <w:r w:rsidR="00681EC0" w:rsidRPr="00222917">
        <w:rPr>
          <w:lang w:val="en-US"/>
        </w:rPr>
        <w:t>a</w:t>
      </w:r>
      <w:r w:rsidR="002D5BB0" w:rsidRPr="00222917">
        <w:rPr>
          <w:lang w:val="en-US"/>
        </w:rPr>
        <w:t>rtic</w:t>
      </w:r>
      <w:r w:rsidR="00BA237E" w:rsidRPr="00222917">
        <w:rPr>
          <w:lang w:val="en-US"/>
        </w:rPr>
        <w:t>le </w:t>
      </w:r>
      <w:r w:rsidR="002D5BB0" w:rsidRPr="00222917">
        <w:rPr>
          <w:lang w:val="en-US"/>
        </w:rPr>
        <w:t>57).</w:t>
      </w:r>
    </w:p>
    <w:p w:rsidR="002D5BB0" w:rsidRPr="00222917" w:rsidRDefault="00044573" w:rsidP="00044573">
      <w:pPr>
        <w:pStyle w:val="H23G"/>
        <w:rPr>
          <w:lang w:val="en-US"/>
        </w:rPr>
      </w:pPr>
      <w:bookmarkStart w:id="117" w:name="_Toc307504080"/>
      <w:bookmarkStart w:id="118" w:name="_Toc336435852"/>
      <w:r w:rsidRPr="00222917">
        <w:rPr>
          <w:lang w:val="en-US"/>
        </w:rPr>
        <w:tab/>
      </w:r>
      <w:r w:rsidRPr="00222917">
        <w:rPr>
          <w:lang w:val="en-US"/>
        </w:rPr>
        <w:tab/>
      </w:r>
      <w:r w:rsidR="002D5BB0" w:rsidRPr="00222917">
        <w:rPr>
          <w:lang w:val="en-US"/>
        </w:rPr>
        <w:t>Improvement in Living Conditions of Detention Facilities</w:t>
      </w:r>
      <w:bookmarkEnd w:id="117"/>
      <w:bookmarkEnd w:id="118"/>
    </w:p>
    <w:p w:rsidR="002D5BB0" w:rsidRPr="00222917" w:rsidRDefault="00547908" w:rsidP="00547908">
      <w:pPr>
        <w:pStyle w:val="SingleTxtG"/>
        <w:rPr>
          <w:lang w:val="en-US"/>
        </w:rPr>
      </w:pPr>
      <w:r w:rsidRPr="00222917">
        <w:rPr>
          <w:lang w:val="en-US"/>
        </w:rPr>
        <w:t>177.</w:t>
      </w:r>
      <w:r w:rsidRPr="00222917">
        <w:rPr>
          <w:lang w:val="en-US"/>
        </w:rPr>
        <w:tab/>
      </w:r>
      <w:r w:rsidR="002D5BB0" w:rsidRPr="00222917">
        <w:rPr>
          <w:lang w:val="en-US"/>
        </w:rPr>
        <w:t xml:space="preserve">Treatment for inmates has been improved as explained in the third report: allowing for telephone communication; </w:t>
      </w:r>
      <w:r w:rsidR="002D5BB0" w:rsidRPr="00222917">
        <w:rPr>
          <w:bCs/>
          <w:lang w:val="en-US"/>
        </w:rPr>
        <w:t>implementation</w:t>
      </w:r>
      <w:r w:rsidR="002D5BB0" w:rsidRPr="00222917">
        <w:rPr>
          <w:lang w:val="en-US"/>
        </w:rPr>
        <w:t xml:space="preserve"> of on-screen visitation; allowing for reading newspapers or books; expansion of communication right through such means as operation of the conjugal visitation house; installation of televisions; granting of extended leaves; expansion of accommodation space; and provision of air conditioning and heating equipment, among others (CCPR/C</w:t>
      </w:r>
      <w:r w:rsidR="00044573" w:rsidRPr="00222917">
        <w:rPr>
          <w:lang w:val="en-US"/>
        </w:rPr>
        <w:t>/KOR/2005/3, paras. 133-</w:t>
      </w:r>
      <w:r w:rsidR="002D5BB0" w:rsidRPr="00222917">
        <w:rPr>
          <w:lang w:val="en-US"/>
        </w:rPr>
        <w:t xml:space="preserve">177). </w:t>
      </w:r>
    </w:p>
    <w:p w:rsidR="002D5BB0" w:rsidRPr="00222917" w:rsidRDefault="00547908" w:rsidP="00547908">
      <w:pPr>
        <w:pStyle w:val="SingleTxtG"/>
        <w:rPr>
          <w:lang w:val="en-US"/>
        </w:rPr>
      </w:pPr>
      <w:r w:rsidRPr="00222917">
        <w:rPr>
          <w:lang w:val="en-US"/>
        </w:rPr>
        <w:t>178.</w:t>
      </w:r>
      <w:r w:rsidRPr="00222917">
        <w:rPr>
          <w:lang w:val="en-US"/>
        </w:rPr>
        <w:tab/>
      </w:r>
      <w:r w:rsidR="002D5BB0" w:rsidRPr="00222917">
        <w:rPr>
          <w:lang w:val="en-US"/>
        </w:rPr>
        <w:t>The Korean Government guarantees inmates' rights to visitation and communication in various ways to strengthen their relationships with family members and relatives and help promote their mental stability. Communication via telephone as explained in the third report increased to 490,903 cases in 2010. Where an inmate needs to contact other persons in an emergency, he/she is allowed to use the telephone with approval of the warden. People are also allowed to use the telephone or fax to make reservations for visitation, thereby eliminating inconvenience of a long waiting time. The on-screen visit system also saw increased use in 2010, to 159,144 cases, as a result of on-going expansion of its facility and addition to its equipment.</w:t>
      </w:r>
    </w:p>
    <w:p w:rsidR="002D5BB0" w:rsidRPr="00222917" w:rsidRDefault="00547908" w:rsidP="00547908">
      <w:pPr>
        <w:pStyle w:val="SingleTxtG"/>
        <w:rPr>
          <w:lang w:val="en-US"/>
        </w:rPr>
      </w:pPr>
      <w:r w:rsidRPr="00222917">
        <w:rPr>
          <w:lang w:val="en-US"/>
        </w:rPr>
        <w:t>179.</w:t>
      </w:r>
      <w:r w:rsidRPr="00222917">
        <w:rPr>
          <w:lang w:val="en-US"/>
        </w:rPr>
        <w:tab/>
      </w:r>
      <w:r w:rsidR="002D5BB0" w:rsidRPr="00222917">
        <w:rPr>
          <w:lang w:val="en-US"/>
        </w:rPr>
        <w:t>To promote inmates' emotional well-being and protect their fundamental rights, correctional facilities nationwide have been modernized in many respects</w:t>
      </w:r>
      <w:r w:rsidR="004950CA">
        <w:rPr>
          <w:lang w:val="en-US"/>
        </w:rPr>
        <w:t>,</w:t>
      </w:r>
      <w:r w:rsidR="002D5BB0" w:rsidRPr="00222917">
        <w:rPr>
          <w:lang w:val="en-US"/>
        </w:rPr>
        <w:t xml:space="preserve"> including the installation of hot-water or electric heating systems and upgrading of outdated restrooms with flush toilets. Living conditions at facilities have also improved on an on-going basis by providing better clothing and </w:t>
      </w:r>
      <w:r w:rsidR="002D5BB0" w:rsidRPr="00222917">
        <w:rPr>
          <w:bCs/>
          <w:lang w:val="en-US"/>
        </w:rPr>
        <w:t>food</w:t>
      </w:r>
      <w:r w:rsidR="002D5BB0" w:rsidRPr="00222917">
        <w:rPr>
          <w:lang w:val="en-US"/>
        </w:rPr>
        <w:t xml:space="preserve"> for inmates. In order to expand correctional facilities, the </w:t>
      </w:r>
      <w:r w:rsidR="002D5BB0" w:rsidRPr="00222917">
        <w:rPr>
          <w:i/>
          <w:lang w:val="en-US"/>
        </w:rPr>
        <w:t>Hwaseong</w:t>
      </w:r>
      <w:r w:rsidR="002D5BB0" w:rsidRPr="00222917">
        <w:rPr>
          <w:lang w:val="en-US"/>
        </w:rPr>
        <w:t xml:space="preserve"> Correctional Institution for Vocational Training was opened in 2009; construction of three other correctional facilities to accommodate 500 inmates has already been completed; and three more are under construction.</w:t>
      </w:r>
    </w:p>
    <w:p w:rsidR="002D5BB0" w:rsidRPr="00222917" w:rsidRDefault="00044573" w:rsidP="00044573">
      <w:pPr>
        <w:pStyle w:val="H23G"/>
        <w:rPr>
          <w:lang w:val="en-US"/>
        </w:rPr>
      </w:pPr>
      <w:bookmarkStart w:id="119" w:name="_Toc307504081"/>
      <w:bookmarkStart w:id="120" w:name="_Toc336435853"/>
      <w:r w:rsidRPr="00222917">
        <w:rPr>
          <w:lang w:val="en-US"/>
        </w:rPr>
        <w:tab/>
      </w:r>
      <w:r w:rsidRPr="00222917">
        <w:rPr>
          <w:lang w:val="en-US"/>
        </w:rPr>
        <w:tab/>
      </w:r>
      <w:r w:rsidR="002D5BB0" w:rsidRPr="00222917">
        <w:rPr>
          <w:lang w:val="en-US"/>
        </w:rPr>
        <w:t>Improvement of Medical Treatment for Inmates</w:t>
      </w:r>
      <w:bookmarkEnd w:id="119"/>
      <w:bookmarkEnd w:id="120"/>
    </w:p>
    <w:p w:rsidR="002D5BB0" w:rsidRPr="00222917" w:rsidRDefault="00547908" w:rsidP="00547908">
      <w:pPr>
        <w:pStyle w:val="SingleTxtG"/>
        <w:rPr>
          <w:lang w:val="en-US"/>
        </w:rPr>
      </w:pPr>
      <w:r w:rsidRPr="00222917">
        <w:rPr>
          <w:lang w:val="en-US"/>
        </w:rPr>
        <w:t>180.</w:t>
      </w:r>
      <w:r w:rsidRPr="00222917">
        <w:rPr>
          <w:lang w:val="en-US"/>
        </w:rPr>
        <w:tab/>
      </w:r>
      <w:r w:rsidR="002D5BB0" w:rsidRPr="00222917">
        <w:rPr>
          <w:lang w:val="en-US"/>
        </w:rPr>
        <w:t>Since 2005, inmates of correctional facilities have been given physical examinations for 22 conditions including hepatitis in the level of physical checkups for regular employees once a year. Starting in 2009 nationwide, they have been given comprehensive physical examinations for 30 conditions by a healthcare institute designated by the National Health Insurance Corporation. The number of inmates receiving physical checkups increased from 20,643 convicted prisoners in 2005 to include all 32,612 inmates in 2010, and the annual average budget for such physical checkup stands at KRW 700 million.</w:t>
      </w:r>
    </w:p>
    <w:p w:rsidR="002D5BB0" w:rsidRPr="00222917" w:rsidRDefault="00547908" w:rsidP="00547908">
      <w:pPr>
        <w:pStyle w:val="SingleTxtG"/>
        <w:rPr>
          <w:lang w:val="en-US"/>
        </w:rPr>
      </w:pPr>
      <w:r w:rsidRPr="00222917">
        <w:rPr>
          <w:lang w:val="en-US"/>
        </w:rPr>
        <w:t>181.</w:t>
      </w:r>
      <w:r w:rsidRPr="00222917">
        <w:rPr>
          <w:lang w:val="en-US"/>
        </w:rPr>
        <w:tab/>
      </w:r>
      <w:r w:rsidR="002D5BB0" w:rsidRPr="00222917">
        <w:rPr>
          <w:lang w:val="en-US"/>
        </w:rPr>
        <w:t xml:space="preserve">Since </w:t>
      </w:r>
      <w:smartTag w:uri="urn:schemas-microsoft-com:office:smarttags" w:element="place">
        <w:smartTag w:uri="urn:schemas-microsoft-com:office:smarttags" w:element="City">
          <w:r w:rsidR="002D5BB0" w:rsidRPr="00222917">
            <w:rPr>
              <w:i/>
              <w:lang w:val="en-US"/>
            </w:rPr>
            <w:t>Anyang</w:t>
          </w:r>
        </w:smartTag>
      </w:smartTag>
      <w:r w:rsidR="002D5BB0" w:rsidRPr="00222917">
        <w:rPr>
          <w:lang w:val="en-US"/>
        </w:rPr>
        <w:t xml:space="preserve"> Penitentiary launched the remote diagnosis system linked to medical centers outside in 2005, 16 correctional institutions implemented such remote diagnosis system to render better medical </w:t>
      </w:r>
      <w:r w:rsidR="002D5BB0" w:rsidRPr="00222917">
        <w:rPr>
          <w:bCs/>
          <w:lang w:val="en-US"/>
        </w:rPr>
        <w:t>services</w:t>
      </w:r>
      <w:r w:rsidR="002D5BB0" w:rsidRPr="00222917">
        <w:rPr>
          <w:lang w:val="en-US"/>
        </w:rPr>
        <w:t xml:space="preserve"> for inmates by 2010. As 16 correctional facilities and 16 hospitals are linked to provide multilateral remote diagnosis services, a broad range of improved medical services from various healthcare centers with specialties became available for inmates. The number of remote diagnosis cases increased from 135 in 2005 to 5,853 in 2010.</w:t>
      </w:r>
    </w:p>
    <w:p w:rsidR="002D5BB0" w:rsidRPr="00222917" w:rsidRDefault="00547908" w:rsidP="00547908">
      <w:pPr>
        <w:pStyle w:val="SingleTxtG"/>
        <w:rPr>
          <w:lang w:val="en-US"/>
        </w:rPr>
      </w:pPr>
      <w:r w:rsidRPr="00222917">
        <w:rPr>
          <w:lang w:val="en-US"/>
        </w:rPr>
        <w:t>182.</w:t>
      </w:r>
      <w:r w:rsidRPr="00222917">
        <w:rPr>
          <w:lang w:val="en-US"/>
        </w:rPr>
        <w:tab/>
      </w:r>
      <w:r w:rsidR="002D5BB0" w:rsidRPr="00222917">
        <w:rPr>
          <w:lang w:val="en-US"/>
        </w:rPr>
        <w:t xml:space="preserve">The architectural design of a general hospital-level specialized medical prison is underway with the completion of construction expected for 2015. This medical prison will have 300 beds, over 10 clinical </w:t>
      </w:r>
      <w:r w:rsidR="002D5BB0" w:rsidRPr="00222917">
        <w:rPr>
          <w:bCs/>
          <w:lang w:val="en-US"/>
        </w:rPr>
        <w:t>departments</w:t>
      </w:r>
      <w:r w:rsidR="002D5BB0" w:rsidRPr="00222917">
        <w:rPr>
          <w:lang w:val="en-US"/>
        </w:rPr>
        <w:t>, 24 doctors, 120 nurses, and 5 pharmacists. Four more prisons primarily focused on medical care will be established by 2013 to further improve medical treatment for inmates.</w:t>
      </w:r>
    </w:p>
    <w:p w:rsidR="002D5BB0" w:rsidRPr="00222917" w:rsidRDefault="00044573" w:rsidP="00044573">
      <w:pPr>
        <w:pStyle w:val="H23G"/>
        <w:rPr>
          <w:lang w:val="en-US"/>
        </w:rPr>
      </w:pPr>
      <w:bookmarkStart w:id="121" w:name="_Toc307504082"/>
      <w:bookmarkStart w:id="122" w:name="_Toc336435854"/>
      <w:r w:rsidRPr="00222917">
        <w:rPr>
          <w:lang w:val="en-US"/>
        </w:rPr>
        <w:tab/>
      </w:r>
      <w:r w:rsidRPr="00222917">
        <w:rPr>
          <w:lang w:val="en-US"/>
        </w:rPr>
        <w:tab/>
      </w:r>
      <w:r w:rsidR="002D5BB0" w:rsidRPr="00222917">
        <w:rPr>
          <w:lang w:val="en-US"/>
        </w:rPr>
        <w:t>Cultural Program and Religious Activities for Prisoner</w:t>
      </w:r>
      <w:bookmarkEnd w:id="121"/>
      <w:bookmarkEnd w:id="122"/>
      <w:r w:rsidR="002D5BB0" w:rsidRPr="00222917">
        <w:rPr>
          <w:lang w:val="en-US"/>
        </w:rPr>
        <w:t>s</w:t>
      </w:r>
    </w:p>
    <w:p w:rsidR="002D5BB0" w:rsidRPr="00222917" w:rsidRDefault="00547908" w:rsidP="00547908">
      <w:pPr>
        <w:pStyle w:val="SingleTxtG"/>
        <w:rPr>
          <w:lang w:val="en-US"/>
        </w:rPr>
      </w:pPr>
      <w:r w:rsidRPr="00222917">
        <w:rPr>
          <w:lang w:val="en-US"/>
        </w:rPr>
        <w:t>183.</w:t>
      </w:r>
      <w:r w:rsidRPr="00222917">
        <w:rPr>
          <w:lang w:val="en-US"/>
        </w:rPr>
        <w:tab/>
      </w:r>
      <w:r w:rsidR="002D5BB0" w:rsidRPr="00222917">
        <w:rPr>
          <w:lang w:val="en-US"/>
        </w:rPr>
        <w:t xml:space="preserve">Music, art, and psychological therapy programs have been widely carried out to ensure the emotional stability and mental sublimation of prisoners. In concert with the Ministry of Culture, Sports and Tourism, the music, art, and psychological therapy programs from 12 </w:t>
      </w:r>
      <w:r w:rsidR="002D5BB0" w:rsidRPr="00222917">
        <w:rPr>
          <w:bCs/>
          <w:lang w:val="en-US"/>
        </w:rPr>
        <w:t>organizations</w:t>
      </w:r>
      <w:r w:rsidR="002D5BB0" w:rsidRPr="00222917">
        <w:rPr>
          <w:lang w:val="en-US"/>
        </w:rPr>
        <w:t xml:space="preserve"> have been introduced since 2005. Under the auspices of and with funding from the Korean Culture and Arts Committee, cultural and art performance programs, as well as animal assisted therapy for personality treatment programs are implemented for all institutions.</w:t>
      </w:r>
    </w:p>
    <w:p w:rsidR="002D5BB0" w:rsidRPr="00222917" w:rsidRDefault="00547908" w:rsidP="00547908">
      <w:pPr>
        <w:pStyle w:val="SingleTxtG"/>
        <w:rPr>
          <w:lang w:val="en-US"/>
        </w:rPr>
      </w:pPr>
      <w:r w:rsidRPr="00222917">
        <w:rPr>
          <w:lang w:val="en-US"/>
        </w:rPr>
        <w:t>184.</w:t>
      </w:r>
      <w:r w:rsidRPr="00222917">
        <w:rPr>
          <w:lang w:val="en-US"/>
        </w:rPr>
        <w:tab/>
      </w:r>
      <w:r w:rsidR="002D5BB0" w:rsidRPr="00222917">
        <w:rPr>
          <w:lang w:val="en-US"/>
        </w:rPr>
        <w:t xml:space="preserve">Religious activities of inmates play a pivotal role in improving their state of mind. To that end, correctional </w:t>
      </w:r>
      <w:r w:rsidR="002D5BB0" w:rsidRPr="00222917">
        <w:rPr>
          <w:bCs/>
          <w:lang w:val="en-US"/>
        </w:rPr>
        <w:t>facilities</w:t>
      </w:r>
      <w:r w:rsidR="002D5BB0" w:rsidRPr="00222917">
        <w:rPr>
          <w:lang w:val="en-US"/>
        </w:rPr>
        <w:t xml:space="preserve"> nationwide invite the members of the clergy such as pastors, monks, or priests, or respected religious leaders to encourage inmates to participate in religious activities including religious congregations, counseling, or sisterhood relationships.</w:t>
      </w:r>
    </w:p>
    <w:p w:rsidR="002D5BB0" w:rsidRPr="00222917" w:rsidRDefault="002D5BB0" w:rsidP="00044573">
      <w:pPr>
        <w:pStyle w:val="H23G"/>
        <w:ind w:firstLine="0"/>
        <w:rPr>
          <w:b w:val="0"/>
          <w:sz w:val="16"/>
          <w:szCs w:val="16"/>
          <w:lang w:val="en-US"/>
        </w:rPr>
      </w:pPr>
      <w:r w:rsidRPr="00222917">
        <w:rPr>
          <w:lang w:val="en-US"/>
        </w:rPr>
        <w:t>Inmates</w:t>
      </w:r>
      <w:r w:rsidR="00044573" w:rsidRPr="00222917">
        <w:rPr>
          <w:lang w:val="en-US"/>
        </w:rPr>
        <w:t>’</w:t>
      </w:r>
      <w:r w:rsidRPr="00222917">
        <w:rPr>
          <w:lang w:val="en-US"/>
        </w:rPr>
        <w:t xml:space="preserve"> Religious Beliefs</w:t>
      </w:r>
      <w:r w:rsidR="00044573" w:rsidRPr="00222917">
        <w:rPr>
          <w:lang w:val="en-US"/>
        </w:rPr>
        <w:br/>
      </w:r>
      <w:r w:rsidRPr="00222917">
        <w:rPr>
          <w:b w:val="0"/>
          <w:sz w:val="16"/>
          <w:szCs w:val="16"/>
          <w:lang w:val="en-US"/>
        </w:rPr>
        <w:t>(As of 2010; in persons; %)</w:t>
      </w:r>
    </w:p>
    <w:tbl>
      <w:tblPr>
        <w:tblW w:w="0" w:type="auto"/>
        <w:tblInd w:w="1134" w:type="dxa"/>
        <w:tblBorders>
          <w:top w:val="single" w:sz="4" w:space="0" w:color="auto"/>
        </w:tblBorders>
        <w:tblLayout w:type="fixed"/>
        <w:tblCellMar>
          <w:left w:w="0" w:type="dxa"/>
          <w:right w:w="0" w:type="dxa"/>
        </w:tblCellMar>
        <w:tblLook w:val="00A0"/>
      </w:tblPr>
      <w:tblGrid>
        <w:gridCol w:w="1701"/>
        <w:gridCol w:w="1134"/>
        <w:gridCol w:w="1134"/>
        <w:gridCol w:w="1134"/>
        <w:gridCol w:w="1134"/>
        <w:gridCol w:w="1134"/>
      </w:tblGrid>
      <w:tr w:rsidR="001D2686" w:rsidRPr="00222917" w:rsidTr="00DE4CC8">
        <w:trPr>
          <w:trHeight w:val="240"/>
          <w:tblHeader/>
        </w:trPr>
        <w:tc>
          <w:tcPr>
            <w:tcW w:w="1701"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D5BB0" w:rsidRPr="00222917" w:rsidRDefault="002D5BB0" w:rsidP="00044573">
            <w:pPr>
              <w:pStyle w:val="SingleTxtG"/>
              <w:suppressAutoHyphens w:val="0"/>
              <w:spacing w:before="80" w:after="80" w:line="200" w:lineRule="exact"/>
              <w:ind w:left="0" w:right="0"/>
              <w:jc w:val="left"/>
              <w:rPr>
                <w:i/>
                <w:sz w:val="16"/>
                <w:lang w:val="en-US"/>
              </w:rPr>
            </w:pPr>
            <w:r w:rsidRPr="00222917">
              <w:rPr>
                <w:bCs/>
                <w:i/>
                <w:sz w:val="16"/>
                <w:lang w:val="en-US"/>
              </w:rPr>
              <w:t>Region</w:t>
            </w:r>
          </w:p>
        </w:tc>
        <w:tc>
          <w:tcPr>
            <w:tcW w:w="1134"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D5BB0" w:rsidRPr="00222917" w:rsidRDefault="002D5BB0" w:rsidP="00044573">
            <w:pPr>
              <w:pStyle w:val="SingleTxtG"/>
              <w:suppressAutoHyphens w:val="0"/>
              <w:spacing w:before="80" w:after="80" w:line="200" w:lineRule="exact"/>
              <w:ind w:left="0" w:right="0"/>
              <w:jc w:val="center"/>
              <w:rPr>
                <w:i/>
                <w:sz w:val="16"/>
                <w:lang w:val="en-US"/>
              </w:rPr>
            </w:pPr>
            <w:r w:rsidRPr="00222917">
              <w:rPr>
                <w:bCs/>
                <w:i/>
                <w:sz w:val="16"/>
                <w:lang w:val="en-US"/>
              </w:rPr>
              <w:t>Protestant</w:t>
            </w:r>
          </w:p>
        </w:tc>
        <w:tc>
          <w:tcPr>
            <w:tcW w:w="1134"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D5BB0" w:rsidRPr="00222917" w:rsidRDefault="002D5BB0" w:rsidP="00044573">
            <w:pPr>
              <w:pStyle w:val="SingleTxtG"/>
              <w:suppressAutoHyphens w:val="0"/>
              <w:spacing w:before="80" w:after="80" w:line="200" w:lineRule="exact"/>
              <w:ind w:left="0" w:right="0"/>
              <w:jc w:val="center"/>
              <w:rPr>
                <w:i/>
                <w:sz w:val="16"/>
                <w:lang w:val="en-US"/>
              </w:rPr>
            </w:pPr>
            <w:r w:rsidRPr="00222917">
              <w:rPr>
                <w:bCs/>
                <w:i/>
                <w:sz w:val="16"/>
                <w:lang w:val="en-US"/>
              </w:rPr>
              <w:t>Buddhism</w:t>
            </w:r>
          </w:p>
        </w:tc>
        <w:tc>
          <w:tcPr>
            <w:tcW w:w="1134"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D5BB0" w:rsidRPr="00222917" w:rsidRDefault="002D5BB0" w:rsidP="00044573">
            <w:pPr>
              <w:pStyle w:val="SingleTxtG"/>
              <w:suppressAutoHyphens w:val="0"/>
              <w:spacing w:before="80" w:after="80" w:line="200" w:lineRule="exact"/>
              <w:ind w:left="0" w:right="0"/>
              <w:jc w:val="center"/>
              <w:rPr>
                <w:i/>
                <w:sz w:val="16"/>
                <w:lang w:val="en-US"/>
              </w:rPr>
            </w:pPr>
            <w:r w:rsidRPr="00222917">
              <w:rPr>
                <w:bCs/>
                <w:i/>
                <w:sz w:val="16"/>
                <w:lang w:val="en-US"/>
              </w:rPr>
              <w:t>Catholicism</w:t>
            </w:r>
          </w:p>
        </w:tc>
        <w:tc>
          <w:tcPr>
            <w:tcW w:w="1134"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D5BB0" w:rsidRPr="00222917" w:rsidRDefault="002D5BB0" w:rsidP="00044573">
            <w:pPr>
              <w:pStyle w:val="SingleTxtG"/>
              <w:suppressAutoHyphens w:val="0"/>
              <w:spacing w:before="80" w:after="80" w:line="200" w:lineRule="exact"/>
              <w:ind w:left="0" w:right="0"/>
              <w:jc w:val="center"/>
              <w:rPr>
                <w:i/>
                <w:sz w:val="16"/>
                <w:lang w:val="en-US"/>
              </w:rPr>
            </w:pPr>
            <w:r w:rsidRPr="00222917">
              <w:rPr>
                <w:bCs/>
                <w:i/>
                <w:sz w:val="16"/>
                <w:lang w:val="en-US"/>
              </w:rPr>
              <w:t>Other religion</w:t>
            </w:r>
          </w:p>
        </w:tc>
        <w:tc>
          <w:tcPr>
            <w:tcW w:w="1134"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D5BB0" w:rsidRPr="00222917" w:rsidRDefault="002D5BB0" w:rsidP="00044573">
            <w:pPr>
              <w:pStyle w:val="SingleTxtG"/>
              <w:suppressAutoHyphens w:val="0"/>
              <w:spacing w:before="80" w:after="80" w:line="200" w:lineRule="exact"/>
              <w:ind w:left="0" w:right="0"/>
              <w:jc w:val="center"/>
              <w:rPr>
                <w:i/>
                <w:sz w:val="16"/>
                <w:lang w:val="en-US"/>
              </w:rPr>
            </w:pPr>
            <w:r w:rsidRPr="00222917">
              <w:rPr>
                <w:bCs/>
                <w:i/>
                <w:sz w:val="16"/>
                <w:lang w:val="en-US"/>
              </w:rPr>
              <w:t>No religion</w:t>
            </w:r>
          </w:p>
        </w:tc>
      </w:tr>
      <w:tr w:rsidR="001D2686" w:rsidRPr="00222917" w:rsidTr="00DE4CC8">
        <w:tc>
          <w:tcPr>
            <w:tcW w:w="1701" w:type="dxa"/>
            <w:tcBorders>
              <w:top w:val="single" w:sz="12" w:space="0" w:color="auto"/>
            </w:tcBorders>
            <w:shd w:val="clear" w:color="auto" w:fill="auto"/>
            <w:tcMar>
              <w:top w:w="0" w:type="dxa"/>
              <w:left w:w="0" w:type="dxa"/>
              <w:bottom w:w="0" w:type="dxa"/>
              <w:right w:w="0" w:type="dxa"/>
            </w:tcMar>
          </w:tcPr>
          <w:p w:rsidR="002D5BB0" w:rsidRPr="00222917" w:rsidRDefault="002D5BB0" w:rsidP="00044573">
            <w:pPr>
              <w:pStyle w:val="SingleTxtG"/>
              <w:suppressAutoHyphens w:val="0"/>
              <w:spacing w:before="40" w:after="40" w:line="220" w:lineRule="exact"/>
              <w:ind w:left="0" w:right="0"/>
              <w:jc w:val="left"/>
              <w:rPr>
                <w:sz w:val="18"/>
                <w:lang w:val="en-US"/>
              </w:rPr>
            </w:pPr>
            <w:r w:rsidRPr="00222917">
              <w:rPr>
                <w:sz w:val="18"/>
                <w:lang w:val="en-US"/>
              </w:rPr>
              <w:t>Persons</w:t>
            </w:r>
          </w:p>
        </w:tc>
        <w:tc>
          <w:tcPr>
            <w:tcW w:w="1134" w:type="dxa"/>
            <w:tcBorders>
              <w:top w:val="single" w:sz="12" w:space="0" w:color="auto"/>
            </w:tcBorders>
            <w:shd w:val="clear" w:color="auto" w:fill="auto"/>
            <w:tcMar>
              <w:top w:w="0" w:type="dxa"/>
              <w:left w:w="0" w:type="dxa"/>
              <w:bottom w:w="0" w:type="dxa"/>
              <w:right w:w="0" w:type="dxa"/>
            </w:tcMar>
            <w:vAlign w:val="bottom"/>
          </w:tcPr>
          <w:p w:rsidR="002D5BB0" w:rsidRPr="00222917" w:rsidRDefault="002D5BB0" w:rsidP="00044573">
            <w:pPr>
              <w:pStyle w:val="SingleTxtG"/>
              <w:suppressAutoHyphens w:val="0"/>
              <w:spacing w:before="40" w:after="40" w:line="220" w:lineRule="exact"/>
              <w:ind w:left="0" w:right="0"/>
              <w:jc w:val="right"/>
              <w:rPr>
                <w:sz w:val="18"/>
                <w:lang w:val="en-US"/>
              </w:rPr>
            </w:pPr>
            <w:r w:rsidRPr="00222917">
              <w:rPr>
                <w:sz w:val="18"/>
                <w:lang w:val="en-US"/>
              </w:rPr>
              <w:t>12,898</w:t>
            </w:r>
          </w:p>
        </w:tc>
        <w:tc>
          <w:tcPr>
            <w:tcW w:w="1134" w:type="dxa"/>
            <w:tcBorders>
              <w:top w:val="single" w:sz="12" w:space="0" w:color="auto"/>
            </w:tcBorders>
            <w:shd w:val="clear" w:color="auto" w:fill="auto"/>
            <w:tcMar>
              <w:top w:w="0" w:type="dxa"/>
              <w:left w:w="0" w:type="dxa"/>
              <w:bottom w:w="0" w:type="dxa"/>
              <w:right w:w="0" w:type="dxa"/>
            </w:tcMar>
            <w:vAlign w:val="bottom"/>
          </w:tcPr>
          <w:p w:rsidR="002D5BB0" w:rsidRPr="00222917" w:rsidRDefault="002D5BB0" w:rsidP="00044573">
            <w:pPr>
              <w:pStyle w:val="SingleTxtG"/>
              <w:suppressAutoHyphens w:val="0"/>
              <w:spacing w:before="40" w:after="40" w:line="220" w:lineRule="exact"/>
              <w:ind w:left="0" w:right="0"/>
              <w:jc w:val="right"/>
              <w:rPr>
                <w:sz w:val="18"/>
                <w:lang w:val="en-US"/>
              </w:rPr>
            </w:pPr>
            <w:r w:rsidRPr="00222917">
              <w:rPr>
                <w:sz w:val="18"/>
                <w:lang w:val="en-US"/>
              </w:rPr>
              <w:t>8,073</w:t>
            </w:r>
          </w:p>
        </w:tc>
        <w:tc>
          <w:tcPr>
            <w:tcW w:w="1134" w:type="dxa"/>
            <w:tcBorders>
              <w:top w:val="single" w:sz="12" w:space="0" w:color="auto"/>
            </w:tcBorders>
            <w:shd w:val="clear" w:color="auto" w:fill="auto"/>
            <w:tcMar>
              <w:top w:w="0" w:type="dxa"/>
              <w:left w:w="0" w:type="dxa"/>
              <w:bottom w:w="0" w:type="dxa"/>
              <w:right w:w="0" w:type="dxa"/>
            </w:tcMar>
            <w:vAlign w:val="bottom"/>
          </w:tcPr>
          <w:p w:rsidR="002D5BB0" w:rsidRPr="00222917" w:rsidRDefault="002D5BB0" w:rsidP="00044573">
            <w:pPr>
              <w:pStyle w:val="SingleTxtG"/>
              <w:suppressAutoHyphens w:val="0"/>
              <w:spacing w:before="40" w:after="40" w:line="220" w:lineRule="exact"/>
              <w:ind w:left="0" w:right="0"/>
              <w:jc w:val="right"/>
              <w:rPr>
                <w:sz w:val="18"/>
                <w:lang w:val="en-US"/>
              </w:rPr>
            </w:pPr>
            <w:r w:rsidRPr="00222917">
              <w:rPr>
                <w:sz w:val="18"/>
                <w:lang w:val="en-US"/>
              </w:rPr>
              <w:t>4,363</w:t>
            </w:r>
          </w:p>
        </w:tc>
        <w:tc>
          <w:tcPr>
            <w:tcW w:w="1134" w:type="dxa"/>
            <w:tcBorders>
              <w:top w:val="single" w:sz="12" w:space="0" w:color="auto"/>
            </w:tcBorders>
            <w:shd w:val="clear" w:color="auto" w:fill="auto"/>
            <w:tcMar>
              <w:top w:w="0" w:type="dxa"/>
              <w:left w:w="0" w:type="dxa"/>
              <w:bottom w:w="0" w:type="dxa"/>
              <w:right w:w="0" w:type="dxa"/>
            </w:tcMar>
            <w:vAlign w:val="bottom"/>
          </w:tcPr>
          <w:p w:rsidR="002D5BB0" w:rsidRPr="00222917" w:rsidRDefault="002D5BB0" w:rsidP="00044573">
            <w:pPr>
              <w:pStyle w:val="SingleTxtG"/>
              <w:suppressAutoHyphens w:val="0"/>
              <w:spacing w:before="40" w:after="40" w:line="220" w:lineRule="exact"/>
              <w:ind w:left="0" w:right="0"/>
              <w:jc w:val="right"/>
              <w:rPr>
                <w:sz w:val="18"/>
                <w:lang w:val="en-US"/>
              </w:rPr>
            </w:pPr>
            <w:r w:rsidRPr="00222917">
              <w:rPr>
                <w:sz w:val="18"/>
                <w:lang w:val="en-US"/>
              </w:rPr>
              <w:t>1,785</w:t>
            </w:r>
          </w:p>
        </w:tc>
        <w:tc>
          <w:tcPr>
            <w:tcW w:w="1134" w:type="dxa"/>
            <w:tcBorders>
              <w:top w:val="single" w:sz="12" w:space="0" w:color="auto"/>
            </w:tcBorders>
            <w:shd w:val="clear" w:color="auto" w:fill="auto"/>
            <w:tcMar>
              <w:top w:w="0" w:type="dxa"/>
              <w:left w:w="0" w:type="dxa"/>
              <w:bottom w:w="0" w:type="dxa"/>
              <w:right w:w="0" w:type="dxa"/>
            </w:tcMar>
            <w:vAlign w:val="bottom"/>
          </w:tcPr>
          <w:p w:rsidR="002D5BB0" w:rsidRPr="00222917" w:rsidRDefault="002D5BB0" w:rsidP="00044573">
            <w:pPr>
              <w:pStyle w:val="SingleTxtG"/>
              <w:suppressAutoHyphens w:val="0"/>
              <w:spacing w:before="40" w:after="40" w:line="220" w:lineRule="exact"/>
              <w:ind w:left="0" w:right="0"/>
              <w:jc w:val="right"/>
              <w:rPr>
                <w:sz w:val="18"/>
                <w:lang w:val="en-US"/>
              </w:rPr>
            </w:pPr>
            <w:r w:rsidRPr="00222917">
              <w:rPr>
                <w:sz w:val="18"/>
                <w:lang w:val="en-US"/>
              </w:rPr>
              <w:t>7,299</w:t>
            </w:r>
          </w:p>
        </w:tc>
      </w:tr>
      <w:tr w:rsidR="001D2686" w:rsidRPr="00222917" w:rsidTr="00DE4CC8">
        <w:tc>
          <w:tcPr>
            <w:tcW w:w="1701" w:type="dxa"/>
            <w:tcBorders>
              <w:bottom w:val="single" w:sz="12" w:space="0" w:color="auto"/>
            </w:tcBorders>
            <w:shd w:val="clear" w:color="auto" w:fill="auto"/>
            <w:tcMar>
              <w:top w:w="0" w:type="dxa"/>
              <w:left w:w="0" w:type="dxa"/>
              <w:bottom w:w="0" w:type="dxa"/>
              <w:right w:w="0" w:type="dxa"/>
            </w:tcMar>
          </w:tcPr>
          <w:p w:rsidR="002D5BB0" w:rsidRPr="00222917" w:rsidRDefault="002D5BB0" w:rsidP="00044573">
            <w:pPr>
              <w:pStyle w:val="SingleTxtG"/>
              <w:suppressAutoHyphens w:val="0"/>
              <w:spacing w:before="40" w:after="40" w:line="220" w:lineRule="exact"/>
              <w:ind w:left="0" w:right="0"/>
              <w:jc w:val="left"/>
              <w:rPr>
                <w:sz w:val="18"/>
                <w:lang w:val="en-US"/>
              </w:rPr>
            </w:pPr>
            <w:r w:rsidRPr="00222917">
              <w:rPr>
                <w:sz w:val="18"/>
                <w:lang w:val="en-US"/>
              </w:rPr>
              <w:t>Percentage (%)</w:t>
            </w:r>
          </w:p>
        </w:tc>
        <w:tc>
          <w:tcPr>
            <w:tcW w:w="1134" w:type="dxa"/>
            <w:tcBorders>
              <w:bottom w:val="single" w:sz="12" w:space="0" w:color="auto"/>
            </w:tcBorders>
            <w:shd w:val="clear" w:color="auto" w:fill="auto"/>
            <w:tcMar>
              <w:top w:w="0" w:type="dxa"/>
              <w:left w:w="0" w:type="dxa"/>
              <w:bottom w:w="0" w:type="dxa"/>
              <w:right w:w="0" w:type="dxa"/>
            </w:tcMar>
            <w:vAlign w:val="bottom"/>
          </w:tcPr>
          <w:p w:rsidR="002D5BB0" w:rsidRPr="00222917" w:rsidRDefault="002D5BB0" w:rsidP="00044573">
            <w:pPr>
              <w:pStyle w:val="SingleTxtG"/>
              <w:suppressAutoHyphens w:val="0"/>
              <w:spacing w:before="40" w:after="40" w:line="220" w:lineRule="exact"/>
              <w:ind w:left="0" w:right="0"/>
              <w:jc w:val="right"/>
              <w:rPr>
                <w:sz w:val="18"/>
                <w:lang w:val="en-US"/>
              </w:rPr>
            </w:pPr>
            <w:r w:rsidRPr="00222917">
              <w:rPr>
                <w:sz w:val="18"/>
                <w:lang w:val="en-US"/>
              </w:rPr>
              <w:t>37.5</w:t>
            </w:r>
          </w:p>
        </w:tc>
        <w:tc>
          <w:tcPr>
            <w:tcW w:w="1134" w:type="dxa"/>
            <w:tcBorders>
              <w:bottom w:val="single" w:sz="12" w:space="0" w:color="auto"/>
            </w:tcBorders>
            <w:shd w:val="clear" w:color="auto" w:fill="auto"/>
            <w:tcMar>
              <w:top w:w="0" w:type="dxa"/>
              <w:left w:w="0" w:type="dxa"/>
              <w:bottom w:w="0" w:type="dxa"/>
              <w:right w:w="0" w:type="dxa"/>
            </w:tcMar>
            <w:vAlign w:val="bottom"/>
          </w:tcPr>
          <w:p w:rsidR="002D5BB0" w:rsidRPr="00222917" w:rsidRDefault="002D5BB0" w:rsidP="00044573">
            <w:pPr>
              <w:pStyle w:val="SingleTxtG"/>
              <w:suppressAutoHyphens w:val="0"/>
              <w:spacing w:before="40" w:after="40" w:line="220" w:lineRule="exact"/>
              <w:ind w:left="0" w:right="0"/>
              <w:jc w:val="right"/>
              <w:rPr>
                <w:sz w:val="18"/>
                <w:lang w:val="en-US"/>
              </w:rPr>
            </w:pPr>
            <w:r w:rsidRPr="00222917">
              <w:rPr>
                <w:sz w:val="18"/>
                <w:lang w:val="en-US"/>
              </w:rPr>
              <w:t>23.5</w:t>
            </w:r>
          </w:p>
        </w:tc>
        <w:tc>
          <w:tcPr>
            <w:tcW w:w="1134" w:type="dxa"/>
            <w:tcBorders>
              <w:bottom w:val="single" w:sz="12" w:space="0" w:color="auto"/>
            </w:tcBorders>
            <w:shd w:val="clear" w:color="auto" w:fill="auto"/>
            <w:tcMar>
              <w:top w:w="0" w:type="dxa"/>
              <w:left w:w="0" w:type="dxa"/>
              <w:bottom w:w="0" w:type="dxa"/>
              <w:right w:w="0" w:type="dxa"/>
            </w:tcMar>
            <w:vAlign w:val="bottom"/>
          </w:tcPr>
          <w:p w:rsidR="002D5BB0" w:rsidRPr="00222917" w:rsidRDefault="002D5BB0" w:rsidP="00044573">
            <w:pPr>
              <w:pStyle w:val="SingleTxtG"/>
              <w:suppressAutoHyphens w:val="0"/>
              <w:spacing w:before="40" w:after="40" w:line="220" w:lineRule="exact"/>
              <w:ind w:left="0" w:right="0"/>
              <w:jc w:val="right"/>
              <w:rPr>
                <w:sz w:val="18"/>
                <w:lang w:val="en-US"/>
              </w:rPr>
            </w:pPr>
            <w:r w:rsidRPr="00222917">
              <w:rPr>
                <w:sz w:val="18"/>
                <w:lang w:val="en-US"/>
              </w:rPr>
              <w:t>12.7</w:t>
            </w:r>
          </w:p>
        </w:tc>
        <w:tc>
          <w:tcPr>
            <w:tcW w:w="1134" w:type="dxa"/>
            <w:tcBorders>
              <w:bottom w:val="single" w:sz="12" w:space="0" w:color="auto"/>
            </w:tcBorders>
            <w:shd w:val="clear" w:color="auto" w:fill="auto"/>
            <w:tcMar>
              <w:top w:w="0" w:type="dxa"/>
              <w:left w:w="0" w:type="dxa"/>
              <w:bottom w:w="0" w:type="dxa"/>
              <w:right w:w="0" w:type="dxa"/>
            </w:tcMar>
            <w:vAlign w:val="bottom"/>
          </w:tcPr>
          <w:p w:rsidR="002D5BB0" w:rsidRPr="00222917" w:rsidRDefault="002D5BB0" w:rsidP="00044573">
            <w:pPr>
              <w:pStyle w:val="SingleTxtG"/>
              <w:suppressAutoHyphens w:val="0"/>
              <w:spacing w:before="40" w:after="40" w:line="220" w:lineRule="exact"/>
              <w:ind w:left="0" w:right="0"/>
              <w:jc w:val="right"/>
              <w:rPr>
                <w:sz w:val="18"/>
                <w:lang w:val="en-US"/>
              </w:rPr>
            </w:pPr>
            <w:r w:rsidRPr="00222917">
              <w:rPr>
                <w:sz w:val="18"/>
                <w:lang w:val="en-US"/>
              </w:rPr>
              <w:t>5.2</w:t>
            </w:r>
          </w:p>
        </w:tc>
        <w:tc>
          <w:tcPr>
            <w:tcW w:w="1134" w:type="dxa"/>
            <w:tcBorders>
              <w:bottom w:val="single" w:sz="12" w:space="0" w:color="auto"/>
            </w:tcBorders>
            <w:shd w:val="clear" w:color="auto" w:fill="auto"/>
            <w:tcMar>
              <w:top w:w="0" w:type="dxa"/>
              <w:left w:w="0" w:type="dxa"/>
              <w:bottom w:w="0" w:type="dxa"/>
              <w:right w:w="0" w:type="dxa"/>
            </w:tcMar>
            <w:vAlign w:val="bottom"/>
          </w:tcPr>
          <w:p w:rsidR="002D5BB0" w:rsidRPr="00222917" w:rsidRDefault="002D5BB0" w:rsidP="00044573">
            <w:pPr>
              <w:pStyle w:val="SingleTxtG"/>
              <w:suppressAutoHyphens w:val="0"/>
              <w:spacing w:before="40" w:after="40" w:line="220" w:lineRule="exact"/>
              <w:ind w:left="0" w:right="0"/>
              <w:jc w:val="right"/>
              <w:rPr>
                <w:sz w:val="18"/>
                <w:lang w:val="en-US"/>
              </w:rPr>
            </w:pPr>
            <w:r w:rsidRPr="00222917">
              <w:rPr>
                <w:sz w:val="18"/>
                <w:lang w:val="en-US"/>
              </w:rPr>
              <w:t>21.2</w:t>
            </w:r>
          </w:p>
        </w:tc>
      </w:tr>
    </w:tbl>
    <w:p w:rsidR="002D5BB0" w:rsidRPr="00222917" w:rsidRDefault="00044573" w:rsidP="00044573">
      <w:pPr>
        <w:pStyle w:val="H23G"/>
        <w:rPr>
          <w:lang w:val="en-US"/>
        </w:rPr>
      </w:pPr>
      <w:bookmarkStart w:id="123" w:name="_Toc307504083"/>
      <w:bookmarkStart w:id="124" w:name="_Toc336435855"/>
      <w:r w:rsidRPr="00222917">
        <w:rPr>
          <w:lang w:val="en-US"/>
        </w:rPr>
        <w:tab/>
      </w:r>
      <w:r w:rsidRPr="00222917">
        <w:rPr>
          <w:lang w:val="en-US"/>
        </w:rPr>
        <w:tab/>
      </w:r>
      <w:r w:rsidR="002D5BB0" w:rsidRPr="00222917">
        <w:rPr>
          <w:lang w:val="en-US"/>
        </w:rPr>
        <w:t>Human Rights Protection in Medical Treatment and Custody Facilities</w:t>
      </w:r>
      <w:bookmarkEnd w:id="123"/>
      <w:bookmarkEnd w:id="124"/>
    </w:p>
    <w:p w:rsidR="002D5BB0" w:rsidRPr="00222917" w:rsidRDefault="00547908" w:rsidP="00547908">
      <w:pPr>
        <w:pStyle w:val="SingleTxtG"/>
        <w:rPr>
          <w:lang w:val="en-US"/>
        </w:rPr>
      </w:pPr>
      <w:r w:rsidRPr="00222917">
        <w:rPr>
          <w:lang w:val="en-US"/>
        </w:rPr>
        <w:t>185.</w:t>
      </w:r>
      <w:r w:rsidRPr="00222917">
        <w:rPr>
          <w:lang w:val="en-US"/>
        </w:rPr>
        <w:tab/>
      </w:r>
      <w:r w:rsidR="002D5BB0" w:rsidRPr="00222917">
        <w:rPr>
          <w:lang w:val="en-US"/>
        </w:rPr>
        <w:t xml:space="preserve">The Korean Government enacted the </w:t>
      </w:r>
      <w:r w:rsidR="002D5BB0" w:rsidRPr="004950CA">
        <w:rPr>
          <w:iCs/>
          <w:lang w:val="en-US"/>
        </w:rPr>
        <w:t>Medical Treatment and Custody Act</w:t>
      </w:r>
      <w:r w:rsidR="002D5BB0" w:rsidRPr="00222917">
        <w:rPr>
          <w:lang w:val="en-US"/>
        </w:rPr>
        <w:t xml:space="preserve"> on August 4, 2005 to provide </w:t>
      </w:r>
      <w:r w:rsidR="002D5BB0" w:rsidRPr="00222917">
        <w:rPr>
          <w:bCs/>
          <w:lang w:val="en-US"/>
        </w:rPr>
        <w:t>appropriate</w:t>
      </w:r>
      <w:r w:rsidR="002D5BB0" w:rsidRPr="00222917">
        <w:rPr>
          <w:lang w:val="en-US"/>
        </w:rPr>
        <w:t xml:space="preserve"> protection and medical treatment for persons who committed criminal acts in a state of mental disorder or under the influence of narcotics, alcohol, or other drugs; who are likely to commit such crimes again; and who are deemed to be in need of special education, rehabilitation, and medical treatment, thereby preventing their recidivism and helping rehabilitation. The Act is composed of the proceedings of medical care and custody cases (Chapter 2), execution of medical care and custody order (Chapter</w:t>
      </w:r>
      <w:r w:rsidR="008F6588" w:rsidRPr="00222917">
        <w:rPr>
          <w:lang w:val="en-US"/>
        </w:rPr>
        <w:t> </w:t>
      </w:r>
      <w:r w:rsidR="002D5BB0" w:rsidRPr="00222917">
        <w:rPr>
          <w:lang w:val="en-US"/>
        </w:rPr>
        <w:t>3), treatment and rights of Persons subject to medical care and custody (Chapter</w:t>
      </w:r>
      <w:r w:rsidR="008F6588" w:rsidRPr="00222917">
        <w:rPr>
          <w:lang w:val="en-US"/>
        </w:rPr>
        <w:t> </w:t>
      </w:r>
      <w:r w:rsidR="002D5BB0" w:rsidRPr="00222917">
        <w:rPr>
          <w:lang w:val="en-US"/>
        </w:rPr>
        <w:t>3), and protective supervision (Chapter 4), etc.</w:t>
      </w:r>
    </w:p>
    <w:p w:rsidR="002D5BB0" w:rsidRPr="00222917" w:rsidRDefault="00547908" w:rsidP="00547908">
      <w:pPr>
        <w:pStyle w:val="SingleTxtG"/>
        <w:rPr>
          <w:lang w:val="en-US"/>
        </w:rPr>
      </w:pPr>
      <w:r w:rsidRPr="00222917">
        <w:rPr>
          <w:lang w:val="en-US"/>
        </w:rPr>
        <w:t>186.</w:t>
      </w:r>
      <w:r w:rsidRPr="00222917">
        <w:rPr>
          <w:lang w:val="en-US"/>
        </w:rPr>
        <w:tab/>
      </w:r>
      <w:r w:rsidR="002D5BB0" w:rsidRPr="00222917">
        <w:rPr>
          <w:lang w:val="en-US"/>
        </w:rPr>
        <w:t>In order to improve protection of human rights by guaranteeing due process for all persons subject to medical treatment and custody order, the Act stipulates that the compulsory defense and</w:t>
      </w:r>
      <w:r w:rsidR="002D5BB0" w:rsidRPr="00222917">
        <w:rPr>
          <w:bCs/>
          <w:lang w:val="en-US"/>
        </w:rPr>
        <w:t xml:space="preserve"> court-appointed defense counseling</w:t>
      </w:r>
      <w:r w:rsidR="002D5BB0" w:rsidRPr="00222917">
        <w:rPr>
          <w:lang w:val="en-US"/>
        </w:rPr>
        <w:t xml:space="preserve"> services, which were previously granted only to mentally disabled persons, should also be granted to drug and/or alcohol addicts and persons with </w:t>
      </w:r>
      <w:r w:rsidR="00BA237E" w:rsidRPr="00222917">
        <w:rPr>
          <w:lang w:val="en-US"/>
        </w:rPr>
        <w:t>psychosexual disorders (</w:t>
      </w:r>
      <w:r w:rsidR="00681EC0" w:rsidRPr="00222917">
        <w:rPr>
          <w:lang w:val="en-US"/>
        </w:rPr>
        <w:t>a</w:t>
      </w:r>
      <w:r w:rsidR="00BA237E" w:rsidRPr="00222917">
        <w:rPr>
          <w:lang w:val="en-US"/>
        </w:rPr>
        <w:t>rticle </w:t>
      </w:r>
      <w:r w:rsidR="002D5BB0" w:rsidRPr="00222917">
        <w:rPr>
          <w:lang w:val="en-US"/>
        </w:rPr>
        <w:t xml:space="preserve">15). Where any person subject to medical treatment and custody who is a minor, 70 years old or older, a deaf-mute, or suspected of having mental disability, indicted for a crime punishable by capital punishment, life imprisonment, or </w:t>
      </w:r>
      <w:r w:rsidR="002D5BB0" w:rsidRPr="00222917">
        <w:rPr>
          <w:bCs/>
          <w:lang w:val="en-US"/>
        </w:rPr>
        <w:t>imprisonment</w:t>
      </w:r>
      <w:r w:rsidR="002D5BB0" w:rsidRPr="00222917">
        <w:rPr>
          <w:lang w:val="en-US"/>
        </w:rPr>
        <w:t xml:space="preserve"> with or without labor for three or more years, or unable to retain a defense lawyer for any reason, or upon the request of the defendant, the Court should appoint a defense counsel and cannot hold a trial without a defense counsel. </w:t>
      </w:r>
    </w:p>
    <w:p w:rsidR="002D5BB0" w:rsidRPr="00222917" w:rsidRDefault="00044573" w:rsidP="00044573">
      <w:pPr>
        <w:pStyle w:val="H23G"/>
        <w:rPr>
          <w:lang w:val="en-US"/>
        </w:rPr>
      </w:pPr>
      <w:bookmarkStart w:id="125" w:name="_Toc307504084"/>
      <w:bookmarkStart w:id="126" w:name="_Toc336435856"/>
      <w:r w:rsidRPr="00222917">
        <w:rPr>
          <w:lang w:val="en-US"/>
        </w:rPr>
        <w:tab/>
      </w:r>
      <w:r w:rsidRPr="00222917">
        <w:rPr>
          <w:lang w:val="en-US"/>
        </w:rPr>
        <w:tab/>
      </w:r>
      <w:r w:rsidR="002D5BB0" w:rsidRPr="00222917">
        <w:rPr>
          <w:lang w:val="en-US"/>
        </w:rPr>
        <w:t>Protection of Foreigners at Immigration Detection Facilities</w:t>
      </w:r>
      <w:bookmarkEnd w:id="125"/>
      <w:bookmarkEnd w:id="126"/>
    </w:p>
    <w:p w:rsidR="002D5BB0" w:rsidRPr="00222917" w:rsidRDefault="00547908" w:rsidP="00547908">
      <w:pPr>
        <w:pStyle w:val="SingleTxtG"/>
        <w:rPr>
          <w:lang w:val="en-US"/>
        </w:rPr>
      </w:pPr>
      <w:r w:rsidRPr="00222917">
        <w:rPr>
          <w:lang w:val="en-US"/>
        </w:rPr>
        <w:t>187.</w:t>
      </w:r>
      <w:r w:rsidRPr="00222917">
        <w:rPr>
          <w:lang w:val="en-US"/>
        </w:rPr>
        <w:tab/>
      </w:r>
      <w:r w:rsidR="002D5BB0" w:rsidRPr="00222917">
        <w:rPr>
          <w:lang w:val="en-US"/>
        </w:rPr>
        <w:t xml:space="preserve">The </w:t>
      </w:r>
      <w:r w:rsidR="002D5BB0" w:rsidRPr="00222917">
        <w:rPr>
          <w:iCs/>
          <w:lang w:val="en-US"/>
        </w:rPr>
        <w:t xml:space="preserve">Immigration Control Act </w:t>
      </w:r>
      <w:r w:rsidR="002D5BB0" w:rsidRPr="00222917">
        <w:rPr>
          <w:lang w:val="en-US"/>
        </w:rPr>
        <w:t xml:space="preserve">was amended on 21 April 2010 to prescribe that the guideline on remedies against infringement of rights such as objection, visitation, or petition procedures in regards to detention should be printed in foreign languages and posted in any protective facility so that protected foreigners are aware of such measures, which was previously set forth in the foreigner protection rules. This amendment allows most detained foreigners who have little knowledge of Korean law or systems due to their lack of Korean language skills which limits access to the information on remedies and improvement of human rights protection. Contact addresses and numbers of foreign embassies in </w:t>
      </w:r>
      <w:smartTag w:uri="urn:schemas-microsoft-com:office:smarttags" w:element="place">
        <w:smartTag w:uri="urn:schemas-microsoft-com:office:smarttags" w:element="country-region">
          <w:r w:rsidR="002D5BB0" w:rsidRPr="00222917">
            <w:rPr>
              <w:lang w:val="en-US"/>
            </w:rPr>
            <w:t>Korea</w:t>
          </w:r>
        </w:smartTag>
      </w:smartTag>
      <w:r w:rsidR="002D5BB0" w:rsidRPr="00222917">
        <w:rPr>
          <w:lang w:val="en-US"/>
        </w:rPr>
        <w:t xml:space="preserve"> are put up in seven languages within detention facilities. Pay phones are installed at each detention room for foreigners to freely communicate with people outside the facility. At present, there are two detention centers used exclusively as foreigner detention facilities, and 16 immigration offices and seven branch offices have foreigner detention rooms established.</w:t>
      </w:r>
      <w:r w:rsidR="00120D8B" w:rsidRPr="00222917">
        <w:rPr>
          <w:lang w:val="en-US"/>
        </w:rPr>
        <w:t xml:space="preserve"> </w:t>
      </w:r>
    </w:p>
    <w:p w:rsidR="002D5BB0" w:rsidRPr="00222917" w:rsidRDefault="00547908" w:rsidP="00547908">
      <w:pPr>
        <w:pStyle w:val="SingleTxtG"/>
        <w:rPr>
          <w:lang w:val="en-US"/>
        </w:rPr>
      </w:pPr>
      <w:r w:rsidRPr="00222917">
        <w:rPr>
          <w:lang w:val="en-US"/>
        </w:rPr>
        <w:t>188.</w:t>
      </w:r>
      <w:r w:rsidRPr="00222917">
        <w:rPr>
          <w:lang w:val="en-US"/>
        </w:rPr>
        <w:tab/>
      </w:r>
      <w:r w:rsidR="002D5BB0" w:rsidRPr="00222917">
        <w:rPr>
          <w:lang w:val="en-US"/>
        </w:rPr>
        <w:t xml:space="preserve">The appropriate capacity for immigration detention facilities is 1,621 persons with a floor space of 9,986.1m² and 219 protection rooms. The daily average number of detained foreigners due to violation of the </w:t>
      </w:r>
      <w:r w:rsidR="002D5BB0" w:rsidRPr="00222917">
        <w:rPr>
          <w:iCs/>
          <w:lang w:val="en-US"/>
        </w:rPr>
        <w:t>Immigration Control Act</w:t>
      </w:r>
      <w:r w:rsidR="002D5BB0" w:rsidRPr="00222917">
        <w:rPr>
          <w:lang w:val="en-US"/>
        </w:rPr>
        <w:t xml:space="preserve"> in 2009 was 868 persons, half of the appropriate capacity. To prepare for fires at detention facilities, sprinklers are installed and interior materials of detention rooms have been replaced with fire-proof materials. Exercise facilities have been expanded with the establishment of outdoor playgrounds and indoor sports facilities. To </w:t>
      </w:r>
      <w:r w:rsidR="002D5BB0" w:rsidRPr="00222917">
        <w:rPr>
          <w:bCs/>
          <w:lang w:val="en-US"/>
        </w:rPr>
        <w:t>ensure</w:t>
      </w:r>
      <w:r w:rsidR="002D5BB0" w:rsidRPr="00222917">
        <w:rPr>
          <w:lang w:val="en-US"/>
        </w:rPr>
        <w:t xml:space="preserve"> the health, sanitation, and safety of detained foreigners, the “Regulations for Meal Service Management” were legislated in January 2009. Since then, meal services in immigration centers where group meal services are provided have been systematically managed. </w:t>
      </w:r>
    </w:p>
    <w:p w:rsidR="002D5BB0" w:rsidRPr="00222917" w:rsidRDefault="00547908" w:rsidP="00547908">
      <w:pPr>
        <w:pStyle w:val="SingleTxtG"/>
        <w:rPr>
          <w:lang w:val="en-US"/>
        </w:rPr>
      </w:pPr>
      <w:r w:rsidRPr="00222917">
        <w:rPr>
          <w:lang w:val="en-US"/>
        </w:rPr>
        <w:t>189.</w:t>
      </w:r>
      <w:r w:rsidRPr="00222917">
        <w:rPr>
          <w:lang w:val="en-US"/>
        </w:rPr>
        <w:tab/>
      </w:r>
      <w:r w:rsidR="002D5BB0" w:rsidRPr="00222917">
        <w:rPr>
          <w:lang w:val="en-US"/>
        </w:rPr>
        <w:t xml:space="preserve">For the medical treatment of detained foreigners, professional medical staffs reside in the facilities to provide medical check-ups. In order to offer medical support for detained foreigners, each immigration office concluded an agreement with local healthcare institutions to provide medical </w:t>
      </w:r>
      <w:r w:rsidR="002D5BB0" w:rsidRPr="00222917">
        <w:rPr>
          <w:bCs/>
          <w:lang w:val="en-US"/>
        </w:rPr>
        <w:t>check</w:t>
      </w:r>
      <w:r w:rsidR="002D5BB0" w:rsidRPr="00222917">
        <w:rPr>
          <w:lang w:val="en-US"/>
        </w:rPr>
        <w:t xml:space="preserve">-ups free of charge. Detained foreigners were given medical relief in 4,847 cases in 2009 alone. With a view toward supporting the religious activities of detained foreigners, clergy from Protestant, Catholic, Buddhist, and Islamic organizations visit them to provide worship services. </w:t>
      </w:r>
    </w:p>
    <w:p w:rsidR="002D5BB0" w:rsidRPr="00222917" w:rsidRDefault="00547908" w:rsidP="00547908">
      <w:pPr>
        <w:pStyle w:val="SingleTxtG"/>
        <w:rPr>
          <w:lang w:val="en-US"/>
        </w:rPr>
      </w:pPr>
      <w:r w:rsidRPr="00222917">
        <w:rPr>
          <w:lang w:val="en-US"/>
        </w:rPr>
        <w:t>190.</w:t>
      </w:r>
      <w:r w:rsidRPr="00222917">
        <w:rPr>
          <w:lang w:val="en-US"/>
        </w:rPr>
        <w:tab/>
      </w:r>
      <w:r w:rsidR="002D5BB0" w:rsidRPr="00222917">
        <w:rPr>
          <w:lang w:val="en-US"/>
        </w:rPr>
        <w:t>A television and public phone are installed in foreigner detention rooms to ensure free communication with people outside. They can receive, if they want to, assimilation programs including Korean traditional culture experience, Korean language (</w:t>
      </w:r>
      <w:r w:rsidR="002D5BB0" w:rsidRPr="00222917">
        <w:rPr>
          <w:i/>
          <w:lang w:val="en-US"/>
        </w:rPr>
        <w:t>Hangeul</w:t>
      </w:r>
      <w:r w:rsidR="002D5BB0" w:rsidRPr="00222917">
        <w:rPr>
          <w:lang w:val="en-US"/>
        </w:rPr>
        <w:t xml:space="preserve">) lessons, and psychological </w:t>
      </w:r>
      <w:r w:rsidR="002D5BB0" w:rsidRPr="00222917">
        <w:rPr>
          <w:bCs/>
          <w:lang w:val="en-US"/>
        </w:rPr>
        <w:t>counseling</w:t>
      </w:r>
      <w:r w:rsidR="002D5BB0" w:rsidRPr="00222917">
        <w:rPr>
          <w:lang w:val="en-US"/>
        </w:rPr>
        <w:t>. Each immigration detention center and immigration office protection room possesses 14,004 books in 13 languages including 2,014 Korean books, 2,265 Chinese books, and 2,065 Vietnamese books. In the first half of 2009, inmates rented 4,138 books.</w:t>
      </w:r>
    </w:p>
    <w:p w:rsidR="002D5BB0" w:rsidRPr="00222917" w:rsidRDefault="00044573" w:rsidP="00044573">
      <w:pPr>
        <w:pStyle w:val="H23G"/>
        <w:rPr>
          <w:lang w:val="en-US"/>
        </w:rPr>
      </w:pPr>
      <w:bookmarkStart w:id="127" w:name="_Toc307504085"/>
      <w:bookmarkStart w:id="128" w:name="_Toc336435857"/>
      <w:r w:rsidRPr="00222917">
        <w:rPr>
          <w:lang w:val="en-US"/>
        </w:rPr>
        <w:tab/>
      </w:r>
      <w:r w:rsidRPr="00222917">
        <w:rPr>
          <w:lang w:val="en-US"/>
        </w:rPr>
        <w:tab/>
      </w:r>
      <w:r w:rsidR="002D5BB0" w:rsidRPr="00222917">
        <w:rPr>
          <w:lang w:val="en-US"/>
        </w:rPr>
        <w:t>Protection of Patients at Mental Health Facilities</w:t>
      </w:r>
      <w:bookmarkEnd w:id="127"/>
      <w:bookmarkEnd w:id="128"/>
    </w:p>
    <w:p w:rsidR="002D5BB0" w:rsidRPr="00222917" w:rsidRDefault="00547908" w:rsidP="00547908">
      <w:pPr>
        <w:pStyle w:val="SingleTxtG"/>
        <w:rPr>
          <w:lang w:val="en-US"/>
        </w:rPr>
      </w:pPr>
      <w:r w:rsidRPr="00222917">
        <w:rPr>
          <w:lang w:val="en-US"/>
        </w:rPr>
        <w:t>191.</w:t>
      </w:r>
      <w:r w:rsidRPr="00222917">
        <w:rPr>
          <w:lang w:val="en-US"/>
        </w:rPr>
        <w:tab/>
      </w:r>
      <w:r w:rsidR="002D5BB0" w:rsidRPr="00222917">
        <w:rPr>
          <w:lang w:val="en-US"/>
        </w:rPr>
        <w:t xml:space="preserve">The </w:t>
      </w:r>
      <w:r w:rsidR="002D5BB0" w:rsidRPr="004950CA">
        <w:rPr>
          <w:iCs/>
          <w:lang w:val="en-US"/>
        </w:rPr>
        <w:t>Mental Health Act</w:t>
      </w:r>
      <w:r w:rsidR="002D5BB0" w:rsidRPr="00222917">
        <w:rPr>
          <w:lang w:val="en-US"/>
        </w:rPr>
        <w:t xml:space="preserve"> amended in 2008 expressly provided for obligations and punitive provisions to prohibit mentally ill persons from being accommodated at any other place than a mental health </w:t>
      </w:r>
      <w:r w:rsidR="002D5BB0" w:rsidRPr="00222917">
        <w:rPr>
          <w:bCs/>
          <w:lang w:val="en-US"/>
        </w:rPr>
        <w:t>facility</w:t>
      </w:r>
      <w:r w:rsidR="002D5BB0" w:rsidRPr="00222917">
        <w:rPr>
          <w:lang w:val="en-US"/>
        </w:rPr>
        <w:t xml:space="preserve"> where medical care is available, and from receiving any violen</w:t>
      </w:r>
      <w:r w:rsidR="00BA237E" w:rsidRPr="00222917">
        <w:rPr>
          <w:lang w:val="en-US"/>
        </w:rPr>
        <w:t>ce or cruel treatment (</w:t>
      </w:r>
      <w:r w:rsidR="00681EC0" w:rsidRPr="00222917">
        <w:rPr>
          <w:lang w:val="en-US"/>
        </w:rPr>
        <w:t>a</w:t>
      </w:r>
      <w:r w:rsidR="00BA237E" w:rsidRPr="00222917">
        <w:rPr>
          <w:lang w:val="en-US"/>
        </w:rPr>
        <w:t>rticles </w:t>
      </w:r>
      <w:r w:rsidR="002D5BB0" w:rsidRPr="00222917">
        <w:rPr>
          <w:lang w:val="en-US"/>
        </w:rPr>
        <w:t>43 and 55). Furthermore, it is prohibited to force mentally i</w:t>
      </w:r>
      <w:r w:rsidR="00BA237E" w:rsidRPr="00222917">
        <w:rPr>
          <w:lang w:val="en-US"/>
        </w:rPr>
        <w:t>ll persons into labor (</w:t>
      </w:r>
      <w:r w:rsidR="00681EC0" w:rsidRPr="00222917">
        <w:rPr>
          <w:lang w:val="en-US"/>
        </w:rPr>
        <w:t>a</w:t>
      </w:r>
      <w:r w:rsidR="00BA237E" w:rsidRPr="00222917">
        <w:rPr>
          <w:lang w:val="en-US"/>
        </w:rPr>
        <w:t>rticles </w:t>
      </w:r>
      <w:r w:rsidR="002D5BB0" w:rsidRPr="00222917">
        <w:rPr>
          <w:lang w:val="en-US"/>
        </w:rPr>
        <w:t>41 and 56). Where work therapy designed for medical care and rehabilitation is implemented at a mental medical institution, etc., obligations of recording are imposed. In addition, provisions concerning work hours, work place, earnings and payment method, and punitive provisions in case of violation ha</w:t>
      </w:r>
      <w:r w:rsidR="00BA237E" w:rsidRPr="00222917">
        <w:rPr>
          <w:lang w:val="en-US"/>
        </w:rPr>
        <w:t>ve been newly inserted (</w:t>
      </w:r>
      <w:r w:rsidR="00681EC0" w:rsidRPr="00222917">
        <w:rPr>
          <w:lang w:val="en-US"/>
        </w:rPr>
        <w:t>a</w:t>
      </w:r>
      <w:r w:rsidR="00BA237E" w:rsidRPr="00222917">
        <w:rPr>
          <w:lang w:val="en-US"/>
        </w:rPr>
        <w:t>rticle </w:t>
      </w:r>
      <w:r w:rsidR="002D5BB0" w:rsidRPr="00222917">
        <w:rPr>
          <w:lang w:val="en-US"/>
        </w:rPr>
        <w:t xml:space="preserve">46-2). </w:t>
      </w:r>
    </w:p>
    <w:p w:rsidR="002D5BB0" w:rsidRPr="00222917" w:rsidRDefault="00547908" w:rsidP="00547908">
      <w:pPr>
        <w:pStyle w:val="SingleTxtG"/>
        <w:rPr>
          <w:lang w:val="en-US"/>
        </w:rPr>
      </w:pPr>
      <w:r w:rsidRPr="00222917">
        <w:rPr>
          <w:lang w:val="en-US"/>
        </w:rPr>
        <w:t>192.</w:t>
      </w:r>
      <w:r w:rsidRPr="00222917">
        <w:rPr>
          <w:lang w:val="en-US"/>
        </w:rPr>
        <w:tab/>
      </w:r>
      <w:r w:rsidR="002D5BB0" w:rsidRPr="00222917">
        <w:rPr>
          <w:lang w:val="en-US"/>
        </w:rPr>
        <w:t xml:space="preserve">In 2009, human rights education for the staff of mental health facilities was first offered to 389 establishers and operators and 12,373 workers of mental medical institutions with one or more beds (517 institutions; 13,171 persons). On 21 March 2008, the </w:t>
      </w:r>
      <w:r w:rsidR="002D5BB0" w:rsidRPr="00222917">
        <w:rPr>
          <w:iCs/>
          <w:lang w:val="en-US"/>
        </w:rPr>
        <w:t xml:space="preserve">Mental Health Act </w:t>
      </w:r>
      <w:r w:rsidR="002D5BB0" w:rsidRPr="00222917">
        <w:rPr>
          <w:lang w:val="en-US"/>
        </w:rPr>
        <w:t xml:space="preserve">was amended to oblige </w:t>
      </w:r>
      <w:r w:rsidR="002D5BB0" w:rsidRPr="00222917">
        <w:rPr>
          <w:bCs/>
          <w:lang w:val="en-US"/>
        </w:rPr>
        <w:t>establishers</w:t>
      </w:r>
      <w:r w:rsidR="002D5BB0" w:rsidRPr="00222917">
        <w:rPr>
          <w:lang w:val="en-US"/>
        </w:rPr>
        <w:t>, operators, and workers of mental health facilities to receive four or more hours of human right</w:t>
      </w:r>
      <w:r w:rsidR="00BA237E" w:rsidRPr="00222917">
        <w:rPr>
          <w:lang w:val="en-US"/>
        </w:rPr>
        <w:t>s education every year (</w:t>
      </w:r>
      <w:r w:rsidR="00681EC0" w:rsidRPr="00222917">
        <w:rPr>
          <w:lang w:val="en-US"/>
        </w:rPr>
        <w:t>a</w:t>
      </w:r>
      <w:r w:rsidR="00BA237E" w:rsidRPr="00222917">
        <w:rPr>
          <w:lang w:val="en-US"/>
        </w:rPr>
        <w:t>rticle </w:t>
      </w:r>
      <w:r w:rsidR="002D5BB0" w:rsidRPr="00222917">
        <w:rPr>
          <w:lang w:val="en-US"/>
        </w:rPr>
        <w:t xml:space="preserve">6-2). </w:t>
      </w:r>
    </w:p>
    <w:p w:rsidR="002D5BB0" w:rsidRPr="00222917" w:rsidRDefault="00044573" w:rsidP="00044573">
      <w:pPr>
        <w:pStyle w:val="H1G"/>
        <w:rPr>
          <w:lang w:val="en-US"/>
        </w:rPr>
      </w:pPr>
      <w:bookmarkStart w:id="129" w:name="_Toc307504086"/>
      <w:bookmarkStart w:id="130" w:name="_Toc336435858"/>
      <w:r w:rsidRPr="00222917">
        <w:rPr>
          <w:lang w:val="en-US"/>
        </w:rPr>
        <w:tab/>
      </w:r>
      <w:r w:rsidRPr="00222917">
        <w:rPr>
          <w:lang w:val="en-US"/>
        </w:rPr>
        <w:tab/>
      </w:r>
      <w:r w:rsidR="002D5BB0" w:rsidRPr="00222917">
        <w:rPr>
          <w:lang w:val="en-US"/>
        </w:rPr>
        <w:t>Paragraph 2</w:t>
      </w:r>
      <w:bookmarkEnd w:id="129"/>
      <w:bookmarkEnd w:id="130"/>
      <w:r w:rsidR="002D5BB0" w:rsidRPr="00222917">
        <w:rPr>
          <w:lang w:val="en-US"/>
        </w:rPr>
        <w:t xml:space="preserve"> </w:t>
      </w:r>
    </w:p>
    <w:p w:rsidR="002D5BB0" w:rsidRPr="00222917" w:rsidRDefault="00547908" w:rsidP="00547908">
      <w:pPr>
        <w:pStyle w:val="SingleTxtG"/>
        <w:rPr>
          <w:lang w:val="en-US"/>
        </w:rPr>
      </w:pPr>
      <w:r w:rsidRPr="00222917">
        <w:rPr>
          <w:lang w:val="en-US"/>
        </w:rPr>
        <w:t>193.</w:t>
      </w:r>
      <w:r w:rsidRPr="00222917">
        <w:rPr>
          <w:lang w:val="en-US"/>
        </w:rPr>
        <w:tab/>
      </w:r>
      <w:r w:rsidR="002D5BB0" w:rsidRPr="00222917">
        <w:rPr>
          <w:lang w:val="en-US"/>
        </w:rPr>
        <w:t xml:space="preserve">The Government efforts to improve the status of non-convicted prisoners by guaranteeing their right to counsel, </w:t>
      </w:r>
      <w:r w:rsidR="002D5BB0" w:rsidRPr="00222917">
        <w:rPr>
          <w:bCs/>
          <w:lang w:val="en-US"/>
        </w:rPr>
        <w:t>prohibiting</w:t>
      </w:r>
      <w:r w:rsidR="002D5BB0" w:rsidRPr="00222917">
        <w:rPr>
          <w:lang w:val="en-US"/>
        </w:rPr>
        <w:t xml:space="preserve"> restrictions on the correspondence with counsel, and allowing them to wear their own clothes, etc.; treatment of juvenile delinquents; and their separate accommodation are as stated in the third rep</w:t>
      </w:r>
      <w:r w:rsidR="00044573" w:rsidRPr="00222917">
        <w:rPr>
          <w:lang w:val="en-US"/>
        </w:rPr>
        <w:t>ort. (CCPR/C/KOR/2005/3, paras. 150-152, 166-</w:t>
      </w:r>
      <w:r w:rsidR="002D5BB0" w:rsidRPr="00222917">
        <w:rPr>
          <w:lang w:val="en-US"/>
        </w:rPr>
        <w:t xml:space="preserve">161). </w:t>
      </w:r>
    </w:p>
    <w:p w:rsidR="002D5BB0" w:rsidRPr="00222917" w:rsidRDefault="00044573" w:rsidP="00044573">
      <w:pPr>
        <w:pStyle w:val="H23G"/>
        <w:rPr>
          <w:lang w:val="en-US"/>
        </w:rPr>
      </w:pPr>
      <w:bookmarkStart w:id="131" w:name="_Toc307504087"/>
      <w:bookmarkStart w:id="132" w:name="_Toc336435859"/>
      <w:r w:rsidRPr="00222917">
        <w:rPr>
          <w:lang w:val="en-US"/>
        </w:rPr>
        <w:tab/>
      </w:r>
      <w:r w:rsidRPr="00222917">
        <w:rPr>
          <w:lang w:val="en-US"/>
        </w:rPr>
        <w:tab/>
      </w:r>
      <w:r w:rsidR="002D5BB0" w:rsidRPr="00222917">
        <w:rPr>
          <w:lang w:val="en-US"/>
        </w:rPr>
        <w:t>Improvement of Treatment of Detainees at Police Detention Facilities</w:t>
      </w:r>
      <w:bookmarkEnd w:id="131"/>
      <w:bookmarkEnd w:id="132"/>
    </w:p>
    <w:p w:rsidR="002D5BB0" w:rsidRPr="00222917" w:rsidRDefault="00547908" w:rsidP="00547908">
      <w:pPr>
        <w:pStyle w:val="SingleTxtG"/>
        <w:rPr>
          <w:lang w:val="en-US"/>
        </w:rPr>
      </w:pPr>
      <w:r w:rsidRPr="00222917">
        <w:rPr>
          <w:lang w:val="en-US"/>
        </w:rPr>
        <w:t>194.</w:t>
      </w:r>
      <w:r w:rsidRPr="00222917">
        <w:rPr>
          <w:lang w:val="en-US"/>
        </w:rPr>
        <w:tab/>
      </w:r>
      <w:r w:rsidR="002D5BB0" w:rsidRPr="00222917">
        <w:rPr>
          <w:lang w:val="en-US"/>
        </w:rPr>
        <w:t>The improvement of detention facilities of police stations, budget allocation for medical treatment of detainees, placement of more female officers, and on-screen visit system, etc. are as stated in the third re</w:t>
      </w:r>
      <w:r w:rsidR="001442ED" w:rsidRPr="00222917">
        <w:rPr>
          <w:lang w:val="en-US"/>
        </w:rPr>
        <w:t>port (CCPR/C/KOR/2005/3, paras. 153 and</w:t>
      </w:r>
      <w:r w:rsidR="005F5775" w:rsidRPr="00222917">
        <w:rPr>
          <w:lang w:val="en-US"/>
        </w:rPr>
        <w:t xml:space="preserve"> </w:t>
      </w:r>
      <w:r w:rsidR="002D5BB0" w:rsidRPr="00222917">
        <w:rPr>
          <w:lang w:val="en-US"/>
        </w:rPr>
        <w:t>154).</w:t>
      </w:r>
    </w:p>
    <w:p w:rsidR="002D5BB0" w:rsidRPr="00222917" w:rsidRDefault="00547908" w:rsidP="00547908">
      <w:pPr>
        <w:pStyle w:val="SingleTxtG"/>
        <w:rPr>
          <w:lang w:val="en-US"/>
        </w:rPr>
      </w:pPr>
      <w:r w:rsidRPr="00222917">
        <w:rPr>
          <w:lang w:val="en-US"/>
        </w:rPr>
        <w:t>195.</w:t>
      </w:r>
      <w:r w:rsidRPr="00222917">
        <w:rPr>
          <w:lang w:val="en-US"/>
        </w:rPr>
        <w:tab/>
      </w:r>
      <w:r w:rsidR="002D5BB0" w:rsidRPr="00222917">
        <w:rPr>
          <w:lang w:val="en-US"/>
        </w:rPr>
        <w:t xml:space="preserve">To create human-rights-friendly detention facilities at police stations, the Design Standards and Guidelines for Detention Facilities were revised in whole to ensure convenience of use and safety of detainees. In addition, the metropolitan detention facility that sequentially integrates </w:t>
      </w:r>
      <w:r w:rsidR="002D5BB0" w:rsidRPr="00222917">
        <w:rPr>
          <w:bCs/>
          <w:lang w:val="en-US"/>
        </w:rPr>
        <w:t>several</w:t>
      </w:r>
      <w:r w:rsidR="002D5BB0" w:rsidRPr="00222917">
        <w:rPr>
          <w:lang w:val="en-US"/>
        </w:rPr>
        <w:t xml:space="preserve"> detention facilities of police stations is in operation so that a large number of police are deployed to effectively improve conditions of facilities. There were a total of 138 detention facilities in operation as of April 2010: 72 metropolitan detention facilities and 66 normal detention facilities. </w:t>
      </w:r>
    </w:p>
    <w:p w:rsidR="002D5BB0" w:rsidRPr="00222917" w:rsidRDefault="00547908" w:rsidP="00547908">
      <w:pPr>
        <w:pStyle w:val="SingleTxtG"/>
        <w:rPr>
          <w:lang w:val="en-US"/>
        </w:rPr>
      </w:pPr>
      <w:r w:rsidRPr="00222917">
        <w:rPr>
          <w:lang w:val="en-US"/>
        </w:rPr>
        <w:t>196.</w:t>
      </w:r>
      <w:r w:rsidRPr="00222917">
        <w:rPr>
          <w:lang w:val="en-US"/>
        </w:rPr>
        <w:tab/>
      </w:r>
      <w:r w:rsidR="002D5BB0" w:rsidRPr="00222917">
        <w:rPr>
          <w:lang w:val="en-US"/>
        </w:rPr>
        <w:t xml:space="preserve">Women and foreigners are kept at separate detention facilities. The number of female officers deployed in detention facilities is steadily increasing. To minimize human-rights violations, physical </w:t>
      </w:r>
      <w:r w:rsidR="002D5BB0" w:rsidRPr="00222917">
        <w:rPr>
          <w:bCs/>
          <w:lang w:val="en-US"/>
        </w:rPr>
        <w:t>examination</w:t>
      </w:r>
      <w:r w:rsidR="002D5BB0" w:rsidRPr="00222917">
        <w:rPr>
          <w:lang w:val="en-US"/>
        </w:rPr>
        <w:t xml:space="preserve"> processes are subdivided so as to reduce the sense of shame in case of body exposure. Moreover, the average accommodation period has been shortened through prompt transfers on the basis of presumption of innocence for non-convicted detainees. As a result, the average accommodation period per detainee was reduced from 109 hours in 2004 to 69 hours in 2007. </w:t>
      </w:r>
    </w:p>
    <w:p w:rsidR="002D5BB0" w:rsidRPr="00222917" w:rsidRDefault="001442ED" w:rsidP="001442ED">
      <w:pPr>
        <w:pStyle w:val="H23G"/>
        <w:rPr>
          <w:lang w:val="en-US"/>
        </w:rPr>
      </w:pPr>
      <w:bookmarkStart w:id="133" w:name="_Toc307504088"/>
      <w:bookmarkStart w:id="134" w:name="_Toc336435860"/>
      <w:r w:rsidRPr="00222917">
        <w:rPr>
          <w:lang w:val="en-US"/>
        </w:rPr>
        <w:tab/>
      </w:r>
      <w:r w:rsidRPr="00222917">
        <w:rPr>
          <w:lang w:val="en-US"/>
        </w:rPr>
        <w:tab/>
      </w:r>
      <w:r w:rsidR="002D5BB0" w:rsidRPr="00222917">
        <w:rPr>
          <w:lang w:val="en-US"/>
        </w:rPr>
        <w:t>Improvement of Treatment of Juvenile Defendants and Protected Juveniles</w:t>
      </w:r>
      <w:bookmarkEnd w:id="133"/>
      <w:bookmarkEnd w:id="134"/>
      <w:r w:rsidR="002D5BB0" w:rsidRPr="00222917">
        <w:rPr>
          <w:lang w:val="en-US"/>
        </w:rPr>
        <w:t xml:space="preserve"> </w:t>
      </w:r>
    </w:p>
    <w:p w:rsidR="002D5BB0" w:rsidRPr="00222917" w:rsidRDefault="001442ED" w:rsidP="001442ED">
      <w:pPr>
        <w:pStyle w:val="H4G"/>
        <w:rPr>
          <w:lang w:val="en-US"/>
        </w:rPr>
      </w:pPr>
      <w:bookmarkStart w:id="135" w:name="_Toc307504089"/>
      <w:bookmarkStart w:id="136" w:name="_Toc336435861"/>
      <w:r w:rsidRPr="00222917">
        <w:rPr>
          <w:lang w:val="en-US"/>
        </w:rPr>
        <w:tab/>
      </w:r>
      <w:r w:rsidRPr="00222917">
        <w:rPr>
          <w:lang w:val="en-US"/>
        </w:rPr>
        <w:tab/>
      </w:r>
      <w:r w:rsidR="002D5BB0" w:rsidRPr="00222917">
        <w:rPr>
          <w:lang w:val="en-US"/>
        </w:rPr>
        <w:t>Amendment of the Juvenile Act</w:t>
      </w:r>
      <w:bookmarkEnd w:id="135"/>
      <w:bookmarkEnd w:id="136"/>
      <w:r w:rsidR="002D5BB0" w:rsidRPr="00222917">
        <w:rPr>
          <w:lang w:val="en-US"/>
        </w:rPr>
        <w:t xml:space="preserve"> </w:t>
      </w:r>
    </w:p>
    <w:p w:rsidR="002D5BB0" w:rsidRPr="00222917" w:rsidRDefault="00547908" w:rsidP="00547908">
      <w:pPr>
        <w:pStyle w:val="SingleTxtG"/>
        <w:rPr>
          <w:lang w:val="en-US"/>
        </w:rPr>
      </w:pPr>
      <w:r w:rsidRPr="00222917">
        <w:rPr>
          <w:lang w:val="en-US"/>
        </w:rPr>
        <w:t>197.</w:t>
      </w:r>
      <w:r w:rsidRPr="00222917">
        <w:rPr>
          <w:lang w:val="en-US"/>
        </w:rPr>
        <w:tab/>
      </w:r>
      <w:r w:rsidR="002D5BB0" w:rsidRPr="00222917">
        <w:rPr>
          <w:lang w:val="en-US"/>
        </w:rPr>
        <w:t>The</w:t>
      </w:r>
      <w:r w:rsidR="002D5BB0" w:rsidRPr="00222917">
        <w:rPr>
          <w:i/>
          <w:lang w:val="en-US"/>
        </w:rPr>
        <w:t xml:space="preserve"> </w:t>
      </w:r>
      <w:r w:rsidR="002D5BB0" w:rsidRPr="004950CA">
        <w:rPr>
          <w:iCs/>
          <w:lang w:val="en-US"/>
        </w:rPr>
        <w:t>Juvenile Act</w:t>
      </w:r>
      <w:r w:rsidR="002D5BB0" w:rsidRPr="00222917">
        <w:rPr>
          <w:lang w:val="en-US"/>
        </w:rPr>
        <w:t xml:space="preserve"> was amended on 21 December 2007 to adjust the upper limit of the age subject to the </w:t>
      </w:r>
      <w:r w:rsidR="002D5BB0" w:rsidRPr="004950CA">
        <w:rPr>
          <w:iCs/>
          <w:lang w:val="en-US"/>
        </w:rPr>
        <w:t xml:space="preserve">Juvenile Act </w:t>
      </w:r>
      <w:r w:rsidR="002D5BB0" w:rsidRPr="00222917">
        <w:rPr>
          <w:lang w:val="en-US"/>
        </w:rPr>
        <w:t xml:space="preserve">from age 20 to age 19, and the lower limit from age 12 to age 10 in consideration of the maturity of juveniles, other laws, and the general decline in the age </w:t>
      </w:r>
      <w:r w:rsidR="00BA237E" w:rsidRPr="00222917">
        <w:rPr>
          <w:lang w:val="en-US"/>
        </w:rPr>
        <w:t>of juvenile offenders (</w:t>
      </w:r>
      <w:r w:rsidR="00681EC0" w:rsidRPr="00222917">
        <w:rPr>
          <w:lang w:val="en-US"/>
        </w:rPr>
        <w:t>a</w:t>
      </w:r>
      <w:r w:rsidR="00BA237E" w:rsidRPr="00222917">
        <w:rPr>
          <w:lang w:val="en-US"/>
        </w:rPr>
        <w:t>rticles </w:t>
      </w:r>
      <w:r w:rsidR="002D5BB0" w:rsidRPr="00222917">
        <w:rPr>
          <w:lang w:val="en-US"/>
        </w:rPr>
        <w:t xml:space="preserve">2 and 4). In addition, the court-appointed assistant system was introduced for juvenile protection cases so that juveniles in custody can be assigned a court-appointed assistant if he or she does </w:t>
      </w:r>
      <w:r w:rsidR="00BA237E" w:rsidRPr="00222917">
        <w:rPr>
          <w:lang w:val="en-US"/>
        </w:rPr>
        <w:t>not have any assistant (</w:t>
      </w:r>
      <w:r w:rsidR="00681EC0" w:rsidRPr="00222917">
        <w:rPr>
          <w:lang w:val="en-US"/>
        </w:rPr>
        <w:t>a</w:t>
      </w:r>
      <w:r w:rsidR="00BA237E" w:rsidRPr="00222917">
        <w:rPr>
          <w:lang w:val="en-US"/>
        </w:rPr>
        <w:t>rticle </w:t>
      </w:r>
      <w:r w:rsidR="002D5BB0" w:rsidRPr="00222917">
        <w:rPr>
          <w:lang w:val="en-US"/>
        </w:rPr>
        <w:t>17-2). Such amendment of the Act allowed for d</w:t>
      </w:r>
      <w:r w:rsidR="00681EC0" w:rsidRPr="00222917">
        <w:rPr>
          <w:lang w:val="en-US"/>
        </w:rPr>
        <w:t>i</w:t>
      </w:r>
      <w:r w:rsidR="002D5BB0" w:rsidRPr="00222917">
        <w:rPr>
          <w:lang w:val="en-US"/>
        </w:rPr>
        <w:t xml:space="preserve">versification and refinement of protective dispositions. As a </w:t>
      </w:r>
      <w:r w:rsidR="002D5BB0" w:rsidRPr="00222917">
        <w:rPr>
          <w:bCs/>
          <w:lang w:val="en-US"/>
        </w:rPr>
        <w:t>result</w:t>
      </w:r>
      <w:r w:rsidR="002D5BB0" w:rsidRPr="00222917">
        <w:rPr>
          <w:lang w:val="en-US"/>
        </w:rPr>
        <w:t>, the community service order and the order to attend lectures, which were previously implemented along with probation dispositions, are used as independent protective dispositions. In addition, provisions concerning custody of a juvenile to the juvenile reformatory less than one month, alternative education programs offered by the juvenile reformatory, counseling or education programs provided by youth organizations, education programs for guardians, and curfews, etc.</w:t>
      </w:r>
      <w:r w:rsidR="00BA237E" w:rsidRPr="00222917">
        <w:rPr>
          <w:lang w:val="en-US"/>
        </w:rPr>
        <w:t xml:space="preserve"> have been introduced (</w:t>
      </w:r>
      <w:r w:rsidR="00681EC0" w:rsidRPr="00222917">
        <w:rPr>
          <w:lang w:val="en-US"/>
        </w:rPr>
        <w:t>a</w:t>
      </w:r>
      <w:r w:rsidR="00BA237E" w:rsidRPr="00222917">
        <w:rPr>
          <w:lang w:val="en-US"/>
        </w:rPr>
        <w:t>rticles </w:t>
      </w:r>
      <w:r w:rsidR="002D5BB0" w:rsidRPr="00222917">
        <w:rPr>
          <w:lang w:val="en-US"/>
        </w:rPr>
        <w:t xml:space="preserve">32 and 32-2). </w:t>
      </w:r>
    </w:p>
    <w:p w:rsidR="002D5BB0" w:rsidRPr="00222917" w:rsidRDefault="00547908" w:rsidP="00547908">
      <w:pPr>
        <w:pStyle w:val="SingleTxtG"/>
        <w:rPr>
          <w:lang w:val="en-US"/>
        </w:rPr>
      </w:pPr>
      <w:r w:rsidRPr="00222917">
        <w:rPr>
          <w:lang w:val="en-US"/>
        </w:rPr>
        <w:t>198.</w:t>
      </w:r>
      <w:r w:rsidRPr="00222917">
        <w:rPr>
          <w:lang w:val="en-US"/>
        </w:rPr>
        <w:tab/>
      </w:r>
      <w:r w:rsidR="002D5BB0" w:rsidRPr="00222917">
        <w:rPr>
          <w:lang w:val="en-US"/>
        </w:rPr>
        <w:t xml:space="preserve">The Act was amended on 21 December 2007 to provide non-detained juvenile offenders with opportunities to identify the cause of their misconduct and educational and behavioral guidelines, </w:t>
      </w:r>
      <w:r w:rsidR="002D5BB0" w:rsidRPr="00222917">
        <w:rPr>
          <w:bCs/>
          <w:lang w:val="en-US"/>
        </w:rPr>
        <w:t>which</w:t>
      </w:r>
      <w:r w:rsidR="002D5BB0" w:rsidRPr="00222917">
        <w:rPr>
          <w:lang w:val="en-US"/>
        </w:rPr>
        <w:t xml:space="preserve"> were offered mostly to juveniles subject to transfer to detention. Provisions on the investigation prior to the prosecutor’s decision have been introduced and stipulated in the Act to require the prosecutor to deal with juvenile cases based on the data provided by the classification reviewer or probation officer who analyzed the personality and living conditions of juvenile offenders so that the prosecutor can issue the most appropriate disposition in light of guidance and prote</w:t>
      </w:r>
      <w:r w:rsidR="00BA237E" w:rsidRPr="00222917">
        <w:rPr>
          <w:lang w:val="en-US"/>
        </w:rPr>
        <w:t>ction of juveniles (</w:t>
      </w:r>
      <w:r w:rsidR="00681EC0" w:rsidRPr="00222917">
        <w:rPr>
          <w:lang w:val="en-US"/>
        </w:rPr>
        <w:t>a</w:t>
      </w:r>
      <w:r w:rsidR="00BA237E" w:rsidRPr="00222917">
        <w:rPr>
          <w:lang w:val="en-US"/>
        </w:rPr>
        <w:t>rticle </w:t>
      </w:r>
      <w:r w:rsidR="002D5BB0" w:rsidRPr="00222917">
        <w:rPr>
          <w:lang w:val="en-US"/>
        </w:rPr>
        <w:t>49</w:t>
      </w:r>
      <w:r w:rsidR="00BA237E" w:rsidRPr="00222917">
        <w:rPr>
          <w:lang w:val="en-US"/>
        </w:rPr>
        <w:noBreakHyphen/>
      </w:r>
      <w:r w:rsidR="002D5BB0" w:rsidRPr="00222917">
        <w:rPr>
          <w:lang w:val="en-US"/>
        </w:rPr>
        <w:t>2). Furthermore, the conditional suspension of prosecution, which is a prosecutor’s diversion program, has been legislated. In order to strengthen guidance and protection of juvenile offenders, the Act requires measures against any misconduct to be taken at its initial stage. The Act also sets forth provisions concerning the suspension of prosecution under the condition that juveniles receive guidance from crime prevention committee members, and counseling and education from y</w:t>
      </w:r>
      <w:r w:rsidR="00BA237E" w:rsidRPr="00222917">
        <w:rPr>
          <w:lang w:val="en-US"/>
        </w:rPr>
        <w:t>outh organizations (</w:t>
      </w:r>
      <w:r w:rsidR="00681EC0" w:rsidRPr="00222917">
        <w:rPr>
          <w:lang w:val="en-US"/>
        </w:rPr>
        <w:t>a</w:t>
      </w:r>
      <w:r w:rsidR="00BA237E" w:rsidRPr="00222917">
        <w:rPr>
          <w:lang w:val="en-US"/>
        </w:rPr>
        <w:t>rticle </w:t>
      </w:r>
      <w:r w:rsidR="002D5BB0" w:rsidRPr="00222917">
        <w:rPr>
          <w:lang w:val="en-US"/>
        </w:rPr>
        <w:t>49</w:t>
      </w:r>
      <w:r w:rsidR="006F5767" w:rsidRPr="00222917">
        <w:rPr>
          <w:lang w:val="en-US"/>
        </w:rPr>
        <w:noBreakHyphen/>
      </w:r>
      <w:r w:rsidR="002D5BB0" w:rsidRPr="00222917">
        <w:rPr>
          <w:lang w:val="en-US"/>
        </w:rPr>
        <w:t>3). The Act newly inserted provisions concerning misconduct prevention policies such as performance of research and study on prevention of juvenile delinquency, formulation of relevant policies, and establishment of a collaborative system among ap</w:t>
      </w:r>
      <w:r w:rsidR="00A94611" w:rsidRPr="00222917">
        <w:rPr>
          <w:lang w:val="en-US"/>
        </w:rPr>
        <w:t>propriate institutions (</w:t>
      </w:r>
      <w:r w:rsidR="00681EC0" w:rsidRPr="00222917">
        <w:rPr>
          <w:lang w:val="en-US"/>
        </w:rPr>
        <w:t>a</w:t>
      </w:r>
      <w:r w:rsidR="00A94611" w:rsidRPr="00222917">
        <w:rPr>
          <w:lang w:val="en-US"/>
        </w:rPr>
        <w:t>rticle </w:t>
      </w:r>
      <w:r w:rsidR="002D5BB0" w:rsidRPr="00222917">
        <w:rPr>
          <w:lang w:val="en-US"/>
        </w:rPr>
        <w:t>67-2).</w:t>
      </w:r>
    </w:p>
    <w:p w:rsidR="002D5BB0" w:rsidRPr="00222917" w:rsidRDefault="00483046" w:rsidP="00483046">
      <w:pPr>
        <w:pStyle w:val="H4G"/>
        <w:rPr>
          <w:lang w:val="en-US"/>
        </w:rPr>
      </w:pPr>
      <w:bookmarkStart w:id="137" w:name="_Toc307504090"/>
      <w:bookmarkStart w:id="138" w:name="_Toc336435862"/>
      <w:r w:rsidRPr="00222917">
        <w:rPr>
          <w:lang w:val="en-US"/>
        </w:rPr>
        <w:tab/>
      </w:r>
      <w:r w:rsidRPr="00222917">
        <w:rPr>
          <w:lang w:val="en-US"/>
        </w:rPr>
        <w:tab/>
      </w:r>
      <w:r w:rsidR="002D5BB0" w:rsidRPr="00222917">
        <w:rPr>
          <w:lang w:val="en-US"/>
        </w:rPr>
        <w:t>Amendment of the Act on the Treatment of Protected Juveniles, etc.</w:t>
      </w:r>
      <w:bookmarkEnd w:id="137"/>
      <w:bookmarkEnd w:id="138"/>
    </w:p>
    <w:p w:rsidR="002D5BB0" w:rsidRPr="00222917" w:rsidRDefault="00547908" w:rsidP="00547908">
      <w:pPr>
        <w:pStyle w:val="SingleTxtG"/>
        <w:rPr>
          <w:lang w:val="en-US"/>
        </w:rPr>
      </w:pPr>
      <w:r w:rsidRPr="00222917">
        <w:rPr>
          <w:lang w:val="en-US"/>
        </w:rPr>
        <w:t>199.</w:t>
      </w:r>
      <w:r w:rsidRPr="00222917">
        <w:rPr>
          <w:lang w:val="en-US"/>
        </w:rPr>
        <w:tab/>
      </w:r>
      <w:r w:rsidR="002D5BB0" w:rsidRPr="00222917">
        <w:rPr>
          <w:lang w:val="en-US"/>
        </w:rPr>
        <w:t xml:space="preserve">The </w:t>
      </w:r>
      <w:r w:rsidR="002D5BB0" w:rsidRPr="004950CA">
        <w:rPr>
          <w:iCs/>
          <w:lang w:val="en-US"/>
        </w:rPr>
        <w:t xml:space="preserve">Juvenile Reformatory Act </w:t>
      </w:r>
      <w:r w:rsidR="002D5BB0" w:rsidRPr="00222917">
        <w:rPr>
          <w:lang w:val="en-US"/>
        </w:rPr>
        <w:t xml:space="preserve">was renamed the </w:t>
      </w:r>
      <w:r w:rsidR="002D5BB0" w:rsidRPr="004950CA">
        <w:rPr>
          <w:iCs/>
          <w:lang w:val="en-US"/>
        </w:rPr>
        <w:t>Act on the Treatment of Protected Juveniles, etc</w:t>
      </w:r>
      <w:r w:rsidR="002D5BB0" w:rsidRPr="00222917">
        <w:rPr>
          <w:i/>
          <w:lang w:val="en-US"/>
        </w:rPr>
        <w:t>.</w:t>
      </w:r>
      <w:r w:rsidR="002D5BB0" w:rsidRPr="00222917">
        <w:rPr>
          <w:lang w:val="en-US"/>
        </w:rPr>
        <w:t xml:space="preserve"> on 21 December 2007 in order to comprehensively provide for matters pertaining to the </w:t>
      </w:r>
      <w:r w:rsidR="002D5BB0" w:rsidRPr="00222917">
        <w:rPr>
          <w:bCs/>
          <w:lang w:val="en-US"/>
        </w:rPr>
        <w:t>treatment</w:t>
      </w:r>
      <w:r w:rsidR="002D5BB0" w:rsidRPr="00222917">
        <w:rPr>
          <w:lang w:val="en-US"/>
        </w:rPr>
        <w:t xml:space="preserve"> and correctional education of protected juveniles as well as the establishment and operation of juvenile reformatories and the Juvenile Classification Review Board.</w:t>
      </w:r>
    </w:p>
    <w:p w:rsidR="002D5BB0" w:rsidRPr="00222917" w:rsidRDefault="00547908" w:rsidP="00547908">
      <w:pPr>
        <w:pStyle w:val="SingleTxtG"/>
        <w:rPr>
          <w:lang w:val="en-US"/>
        </w:rPr>
      </w:pPr>
      <w:r w:rsidRPr="00222917">
        <w:rPr>
          <w:lang w:val="en-US"/>
        </w:rPr>
        <w:t>200.</w:t>
      </w:r>
      <w:r w:rsidRPr="00222917">
        <w:rPr>
          <w:lang w:val="en-US"/>
        </w:rPr>
        <w:tab/>
      </w:r>
      <w:r w:rsidR="002D5BB0" w:rsidRPr="00222917">
        <w:rPr>
          <w:lang w:val="en-US"/>
        </w:rPr>
        <w:t xml:space="preserve">According to the system that requires investigation prior to the prosecutor’s decision, which was introduced in the amended </w:t>
      </w:r>
      <w:r w:rsidR="002D5BB0" w:rsidRPr="004950CA">
        <w:rPr>
          <w:iCs/>
          <w:lang w:val="en-US"/>
        </w:rPr>
        <w:t>Juvenile Act</w:t>
      </w:r>
      <w:r w:rsidR="002D5BB0" w:rsidRPr="00222917">
        <w:rPr>
          <w:lang w:val="en-US"/>
        </w:rPr>
        <w:t>, the Juvenile Classification Review Board is required to perform an oblig</w:t>
      </w:r>
      <w:r w:rsidR="00A94611" w:rsidRPr="00222917">
        <w:rPr>
          <w:lang w:val="en-US"/>
        </w:rPr>
        <w:t>ation of investigation (</w:t>
      </w:r>
      <w:r w:rsidR="00681EC0" w:rsidRPr="00222917">
        <w:rPr>
          <w:lang w:val="en-US"/>
        </w:rPr>
        <w:t>a</w:t>
      </w:r>
      <w:r w:rsidR="00A94611" w:rsidRPr="00222917">
        <w:rPr>
          <w:lang w:val="en-US"/>
        </w:rPr>
        <w:t>rticle </w:t>
      </w:r>
      <w:r w:rsidR="002D5BB0" w:rsidRPr="00222917">
        <w:rPr>
          <w:lang w:val="en-US"/>
        </w:rPr>
        <w:t>2 (2) 3). The</w:t>
      </w:r>
      <w:r w:rsidR="006F5767" w:rsidRPr="00222917">
        <w:rPr>
          <w:lang w:val="en-US"/>
        </w:rPr>
        <w:t> </w:t>
      </w:r>
      <w:r w:rsidR="002D5BB0" w:rsidRPr="00222917">
        <w:rPr>
          <w:iCs/>
          <w:lang w:val="en-US"/>
        </w:rPr>
        <w:t>Act on the Treatment of Protected Juveniles, etc.</w:t>
      </w:r>
      <w:r w:rsidR="002D5BB0" w:rsidRPr="00222917">
        <w:rPr>
          <w:lang w:val="en-US"/>
        </w:rPr>
        <w:t xml:space="preserve"> newly inserted provisions to protect human rights of protected </w:t>
      </w:r>
      <w:r w:rsidR="002D5BB0" w:rsidRPr="00222917">
        <w:rPr>
          <w:bCs/>
          <w:lang w:val="en-US"/>
        </w:rPr>
        <w:t>juveniles</w:t>
      </w:r>
      <w:r w:rsidR="00A94611" w:rsidRPr="00222917">
        <w:rPr>
          <w:lang w:val="en-US"/>
        </w:rPr>
        <w:t>, etc. (</w:t>
      </w:r>
      <w:r w:rsidR="00681EC0" w:rsidRPr="00222917">
        <w:rPr>
          <w:lang w:val="en-US"/>
        </w:rPr>
        <w:t>a</w:t>
      </w:r>
      <w:r w:rsidR="00A94611" w:rsidRPr="00222917">
        <w:rPr>
          <w:lang w:val="en-US"/>
        </w:rPr>
        <w:t>rticle 5 </w:t>
      </w:r>
      <w:r w:rsidR="002D5BB0" w:rsidRPr="00222917">
        <w:rPr>
          <w:lang w:val="en-US"/>
        </w:rPr>
        <w:t>(1)), and provided for the legal basis for use, types, scope of use, and restrictions</w:t>
      </w:r>
      <w:r w:rsidR="00A94611" w:rsidRPr="00222917">
        <w:rPr>
          <w:lang w:val="en-US"/>
        </w:rPr>
        <w:t xml:space="preserve"> of security equipment (</w:t>
      </w:r>
      <w:r w:rsidR="00681EC0" w:rsidRPr="00222917">
        <w:rPr>
          <w:lang w:val="en-US"/>
        </w:rPr>
        <w:t>a</w:t>
      </w:r>
      <w:r w:rsidR="00A94611" w:rsidRPr="00222917">
        <w:rPr>
          <w:lang w:val="en-US"/>
        </w:rPr>
        <w:t>rticle </w:t>
      </w:r>
      <w:r w:rsidR="002D5BB0" w:rsidRPr="00222917">
        <w:rPr>
          <w:lang w:val="en-US"/>
        </w:rPr>
        <w:t>14-2). The number of disciplinary actions has been reduced, and the probation disposition is imposed against those aged 14 years or older instea</w:t>
      </w:r>
      <w:r w:rsidR="00A94611" w:rsidRPr="00222917">
        <w:rPr>
          <w:lang w:val="en-US"/>
        </w:rPr>
        <w:t>d of 16 years or older (</w:t>
      </w:r>
      <w:r w:rsidR="00681EC0" w:rsidRPr="00222917">
        <w:rPr>
          <w:lang w:val="en-US"/>
        </w:rPr>
        <w:t>a</w:t>
      </w:r>
      <w:r w:rsidR="00A94611" w:rsidRPr="00222917">
        <w:rPr>
          <w:lang w:val="en-US"/>
        </w:rPr>
        <w:t>rticle </w:t>
      </w:r>
      <w:r w:rsidR="002D5BB0" w:rsidRPr="00222917">
        <w:rPr>
          <w:lang w:val="en-US"/>
        </w:rPr>
        <w:t>15). The provisions on visitation, which were set forth in the enforcement decree, are legislated in the Act (</w:t>
      </w:r>
      <w:r w:rsidR="00681EC0" w:rsidRPr="00222917">
        <w:rPr>
          <w:lang w:val="en-US"/>
        </w:rPr>
        <w:t>a</w:t>
      </w:r>
      <w:r w:rsidR="002D5BB0" w:rsidRPr="00222917">
        <w:rPr>
          <w:lang w:val="en-US"/>
        </w:rPr>
        <w:t>rticle</w:t>
      </w:r>
      <w:r w:rsidR="00483046" w:rsidRPr="00222917">
        <w:rPr>
          <w:lang w:val="en-US"/>
        </w:rPr>
        <w:t> </w:t>
      </w:r>
      <w:r w:rsidR="009D6255" w:rsidRPr="00222917">
        <w:rPr>
          <w:lang w:val="en-US"/>
        </w:rPr>
        <w:t>18, paras. </w:t>
      </w:r>
      <w:r w:rsidR="002D5BB0" w:rsidRPr="00222917">
        <w:rPr>
          <w:lang w:val="en-US"/>
        </w:rPr>
        <w:t>2, 3, and 5). The system to order guardians to take educational courses has been newly inserted so that the education program is offered to not only the guardians of protected or fostered juveniles but also the guardians who are ordered to receive education by the Juvenile De</w:t>
      </w:r>
      <w:r w:rsidR="00A94611" w:rsidRPr="00222917">
        <w:rPr>
          <w:lang w:val="en-US"/>
        </w:rPr>
        <w:t>partment of the Court (</w:t>
      </w:r>
      <w:r w:rsidR="00681EC0" w:rsidRPr="00222917">
        <w:rPr>
          <w:lang w:val="en-US"/>
        </w:rPr>
        <w:t>a</w:t>
      </w:r>
      <w:r w:rsidR="00A94611" w:rsidRPr="00222917">
        <w:rPr>
          <w:lang w:val="en-US"/>
        </w:rPr>
        <w:t>rticles </w:t>
      </w:r>
      <w:r w:rsidR="002D5BB0" w:rsidRPr="00222917">
        <w:rPr>
          <w:lang w:val="en-US"/>
        </w:rPr>
        <w:t>42-2 and 42-3). The Act introduced a new provision that protected juveniles who have been transferred to a juvenile reformatory should be immediately released as soon as they reach the maximum period of admittance (</w:t>
      </w:r>
      <w:r w:rsidR="00681EC0" w:rsidRPr="00222917">
        <w:rPr>
          <w:lang w:val="en-US"/>
        </w:rPr>
        <w:t>a</w:t>
      </w:r>
      <w:r w:rsidR="002D5BB0" w:rsidRPr="00222917">
        <w:rPr>
          <w:lang w:val="en-US"/>
        </w:rPr>
        <w:t>rticle</w:t>
      </w:r>
      <w:r w:rsidR="00A94611" w:rsidRPr="00222917">
        <w:rPr>
          <w:lang w:val="en-US"/>
        </w:rPr>
        <w:t> </w:t>
      </w:r>
      <w:r w:rsidR="002D5BB0" w:rsidRPr="00222917">
        <w:rPr>
          <w:lang w:val="en-US"/>
        </w:rPr>
        <w:t>43</w:t>
      </w:r>
      <w:r w:rsidR="00681EC0" w:rsidRPr="00222917">
        <w:rPr>
          <w:lang w:val="en-US"/>
        </w:rPr>
        <w:t xml:space="preserve"> </w:t>
      </w:r>
      <w:r w:rsidR="002D5BB0" w:rsidRPr="00222917">
        <w:rPr>
          <w:lang w:val="en-US"/>
        </w:rPr>
        <w:t>(2)), while stipulating the maximum period of admittance for juveniles whose temporary rele</w:t>
      </w:r>
      <w:r w:rsidR="00A94611" w:rsidRPr="00222917">
        <w:rPr>
          <w:lang w:val="en-US"/>
        </w:rPr>
        <w:t>ase has been cancelled (</w:t>
      </w:r>
      <w:r w:rsidR="00681EC0" w:rsidRPr="00222917">
        <w:rPr>
          <w:lang w:val="en-US"/>
        </w:rPr>
        <w:t>a</w:t>
      </w:r>
      <w:r w:rsidR="00A94611" w:rsidRPr="00222917">
        <w:rPr>
          <w:lang w:val="en-US"/>
        </w:rPr>
        <w:t>rticle </w:t>
      </w:r>
      <w:r w:rsidR="002D5BB0" w:rsidRPr="00222917">
        <w:rPr>
          <w:lang w:val="en-US"/>
        </w:rPr>
        <w:t>48</w:t>
      </w:r>
      <w:r w:rsidR="00681EC0" w:rsidRPr="00222917">
        <w:rPr>
          <w:lang w:val="en-US"/>
        </w:rPr>
        <w:t xml:space="preserve"> </w:t>
      </w:r>
      <w:r w:rsidR="002D5BB0" w:rsidRPr="00222917">
        <w:rPr>
          <w:lang w:val="en-US"/>
        </w:rPr>
        <w:t xml:space="preserve">(2)). </w:t>
      </w:r>
    </w:p>
    <w:p w:rsidR="002D5BB0" w:rsidRPr="00222917" w:rsidRDefault="00547908" w:rsidP="00547908">
      <w:pPr>
        <w:pStyle w:val="SingleTxtG"/>
        <w:rPr>
          <w:lang w:val="en-US"/>
        </w:rPr>
      </w:pPr>
      <w:r w:rsidRPr="00222917">
        <w:rPr>
          <w:lang w:val="en-US"/>
        </w:rPr>
        <w:t>201.</w:t>
      </w:r>
      <w:r w:rsidRPr="00222917">
        <w:rPr>
          <w:lang w:val="en-US"/>
        </w:rPr>
        <w:tab/>
      </w:r>
      <w:r w:rsidR="002D5BB0" w:rsidRPr="00222917">
        <w:rPr>
          <w:lang w:val="en-US"/>
        </w:rPr>
        <w:t xml:space="preserve">The network to prevent second offence of a juvenile delinquent has been established in alignment with 330 external organizations including youth support groups from a </w:t>
      </w:r>
      <w:r w:rsidR="002D5BB0" w:rsidRPr="00222917">
        <w:rPr>
          <w:i/>
          <w:lang w:val="en-US"/>
        </w:rPr>
        <w:t>Si/Gun/Gu</w:t>
      </w:r>
      <w:r w:rsidR="002D5BB0" w:rsidRPr="00222917">
        <w:rPr>
          <w:lang w:val="en-US"/>
        </w:rPr>
        <w:t xml:space="preserve">. In order to provide misconduct prevention education for the juveniles at the initial stage of misconduct, six accommodation facilities have been changed to function primarily as a treatment facility and operate as a juvenile misconduct prevention center. </w:t>
      </w:r>
    </w:p>
    <w:p w:rsidR="002D5BB0" w:rsidRPr="00222917" w:rsidRDefault="00547908" w:rsidP="00547908">
      <w:pPr>
        <w:pStyle w:val="SingleTxtG"/>
        <w:rPr>
          <w:lang w:val="en-US"/>
        </w:rPr>
      </w:pPr>
      <w:r w:rsidRPr="00222917">
        <w:rPr>
          <w:lang w:val="en-US"/>
        </w:rPr>
        <w:t>202.</w:t>
      </w:r>
      <w:r w:rsidRPr="00222917">
        <w:rPr>
          <w:lang w:val="en-US"/>
        </w:rPr>
        <w:tab/>
      </w:r>
      <w:r w:rsidR="002D5BB0" w:rsidRPr="00222917">
        <w:rPr>
          <w:lang w:val="en-US"/>
        </w:rPr>
        <w:t xml:space="preserve">In December 2005, all curricula of the juvenile reformatory were reformed in a way to provide specialized and tailored character education for juveniles. A total of 71 types of character education programs are offered: nine treatment programs for each type of misconduct, ten </w:t>
      </w:r>
      <w:r w:rsidR="002D5BB0" w:rsidRPr="00222917">
        <w:rPr>
          <w:bCs/>
          <w:lang w:val="en-US"/>
        </w:rPr>
        <w:t>psychotherapy</w:t>
      </w:r>
      <w:r w:rsidR="002D5BB0" w:rsidRPr="00222917">
        <w:rPr>
          <w:lang w:val="en-US"/>
        </w:rPr>
        <w:t xml:space="preserve"> programs, and 24 on-line programs. The number of vocational training institutions increased from four to six and the number of vocational capability development training facilities was also increased. Classes for new promising occupations such as bakers, hair designers, photographers, and surveyors, etc. have been set up. The </w:t>
      </w:r>
      <w:r w:rsidR="002D5BB0" w:rsidRPr="00222917">
        <w:rPr>
          <w:i/>
          <w:lang w:val="en-US"/>
        </w:rPr>
        <w:t>Purumi</w:t>
      </w:r>
      <w:r w:rsidR="002D5BB0" w:rsidRPr="00222917">
        <w:rPr>
          <w:lang w:val="en-US"/>
        </w:rPr>
        <w:t xml:space="preserve"> Internet Radio Station was founded in March 2009 to schedule and broadcast programs that help refine the state of juveniles’ emotions and promote education programs and policies. Moreover, open treatment is widely implemented for well-behaved juveniles through weekend home study, commuting to school, and commuting to work, etc. </w:t>
      </w:r>
    </w:p>
    <w:p w:rsidR="002D5BB0" w:rsidRPr="00222917" w:rsidRDefault="00483046" w:rsidP="00F9392C">
      <w:pPr>
        <w:pStyle w:val="H23G"/>
        <w:rPr>
          <w:b w:val="0"/>
          <w:sz w:val="16"/>
          <w:szCs w:val="16"/>
          <w:lang w:val="en-US"/>
        </w:rPr>
      </w:pPr>
      <w:r w:rsidRPr="00222917">
        <w:rPr>
          <w:lang w:val="en-US"/>
        </w:rPr>
        <w:tab/>
      </w:r>
      <w:r w:rsidRPr="00222917">
        <w:rPr>
          <w:lang w:val="en-US"/>
        </w:rPr>
        <w:tab/>
      </w:r>
      <w:r w:rsidR="002D5BB0" w:rsidRPr="00222917">
        <w:rPr>
          <w:lang w:val="en-US"/>
        </w:rPr>
        <w:t>Details of Open Treatment</w:t>
      </w:r>
      <w:r w:rsidRPr="00222917">
        <w:rPr>
          <w:lang w:val="en-US"/>
        </w:rPr>
        <w:br/>
      </w:r>
      <w:r w:rsidR="002D5BB0" w:rsidRPr="00222917">
        <w:rPr>
          <w:b w:val="0"/>
          <w:sz w:val="16"/>
          <w:szCs w:val="16"/>
          <w:lang w:val="en-US"/>
        </w:rPr>
        <w:t>(Number of times; persons)</w:t>
      </w:r>
    </w:p>
    <w:tbl>
      <w:tblPr>
        <w:tblW w:w="0" w:type="auto"/>
        <w:tblInd w:w="1134" w:type="dxa"/>
        <w:tblBorders>
          <w:top w:val="single" w:sz="4" w:space="0" w:color="auto"/>
        </w:tblBorders>
        <w:tblLayout w:type="fixed"/>
        <w:tblCellMar>
          <w:left w:w="0" w:type="dxa"/>
          <w:right w:w="0" w:type="dxa"/>
        </w:tblCellMar>
        <w:tblLook w:val="00A0"/>
      </w:tblPr>
      <w:tblGrid>
        <w:gridCol w:w="567"/>
        <w:gridCol w:w="567"/>
        <w:gridCol w:w="567"/>
        <w:gridCol w:w="567"/>
        <w:gridCol w:w="567"/>
        <w:gridCol w:w="567"/>
        <w:gridCol w:w="567"/>
        <w:gridCol w:w="567"/>
        <w:gridCol w:w="567"/>
        <w:gridCol w:w="567"/>
        <w:gridCol w:w="567"/>
        <w:gridCol w:w="567"/>
        <w:gridCol w:w="567"/>
      </w:tblGrid>
      <w:tr w:rsidR="001D2686" w:rsidRPr="00222917" w:rsidTr="006F5767">
        <w:trPr>
          <w:trHeight w:val="240"/>
          <w:tblHeader/>
        </w:trPr>
        <w:tc>
          <w:tcPr>
            <w:tcW w:w="567" w:type="dxa"/>
            <w:tcBorders>
              <w:top w:val="single" w:sz="4" w:space="0" w:color="auto"/>
              <w:bottom w:val="single" w:sz="12" w:space="0" w:color="auto"/>
            </w:tcBorders>
            <w:shd w:val="clear" w:color="auto" w:fill="auto"/>
            <w:vAlign w:val="bottom"/>
          </w:tcPr>
          <w:p w:rsidR="001D2686" w:rsidRPr="00222917" w:rsidRDefault="001D2686" w:rsidP="00F9392C">
            <w:pPr>
              <w:keepNext/>
              <w:keepLines/>
              <w:suppressAutoHyphens w:val="0"/>
              <w:snapToGrid w:val="0"/>
              <w:spacing w:before="80" w:after="80" w:line="180" w:lineRule="exact"/>
              <w:rPr>
                <w:i/>
                <w:sz w:val="16"/>
                <w:lang w:val="en-US"/>
              </w:rPr>
            </w:pPr>
            <w:bookmarkStart w:id="139" w:name="_Toc307504091"/>
            <w:bookmarkStart w:id="140" w:name="_Toc336435863"/>
            <w:r w:rsidRPr="00222917">
              <w:rPr>
                <w:bCs/>
                <w:i/>
                <w:sz w:val="16"/>
                <w:lang w:val="en-US"/>
              </w:rPr>
              <w:t>Year</w:t>
            </w:r>
          </w:p>
        </w:tc>
        <w:tc>
          <w:tcPr>
            <w:tcW w:w="567" w:type="dxa"/>
            <w:gridSpan w:val="2"/>
            <w:tcBorders>
              <w:top w:val="single" w:sz="4" w:space="0" w:color="auto"/>
              <w:bottom w:val="single" w:sz="12" w:space="0" w:color="auto"/>
            </w:tcBorders>
            <w:shd w:val="clear" w:color="auto" w:fill="auto"/>
            <w:vAlign w:val="bottom"/>
          </w:tcPr>
          <w:p w:rsidR="001D2686" w:rsidRPr="00222917" w:rsidRDefault="001D2686" w:rsidP="00F9392C">
            <w:pPr>
              <w:keepNext/>
              <w:keepLines/>
              <w:suppressAutoHyphens w:val="0"/>
              <w:snapToGrid w:val="0"/>
              <w:spacing w:before="80" w:after="80" w:line="180" w:lineRule="exact"/>
              <w:jc w:val="center"/>
              <w:rPr>
                <w:b/>
                <w:i/>
                <w:sz w:val="16"/>
                <w:lang w:val="en-US"/>
              </w:rPr>
            </w:pPr>
            <w:r w:rsidRPr="00222917">
              <w:rPr>
                <w:b/>
                <w:bCs/>
                <w:i/>
                <w:sz w:val="16"/>
                <w:lang w:val="en-US"/>
              </w:rPr>
              <w:t>Total</w:t>
            </w:r>
          </w:p>
        </w:tc>
        <w:tc>
          <w:tcPr>
            <w:tcW w:w="567" w:type="dxa"/>
            <w:gridSpan w:val="2"/>
            <w:tcBorders>
              <w:top w:val="single" w:sz="4" w:space="0" w:color="auto"/>
              <w:bottom w:val="single" w:sz="12" w:space="0" w:color="auto"/>
            </w:tcBorders>
            <w:shd w:val="clear" w:color="auto" w:fill="auto"/>
            <w:vAlign w:val="bottom"/>
          </w:tcPr>
          <w:p w:rsidR="001D2686" w:rsidRPr="00222917" w:rsidRDefault="001D2686" w:rsidP="00F9392C">
            <w:pPr>
              <w:keepNext/>
              <w:keepLines/>
              <w:suppressAutoHyphens w:val="0"/>
              <w:snapToGrid w:val="0"/>
              <w:spacing w:before="80" w:after="80" w:line="180" w:lineRule="exact"/>
              <w:jc w:val="center"/>
              <w:rPr>
                <w:i/>
                <w:sz w:val="16"/>
                <w:lang w:val="en-US"/>
              </w:rPr>
            </w:pPr>
            <w:r w:rsidRPr="00222917">
              <w:rPr>
                <w:bCs/>
                <w:i/>
                <w:sz w:val="16"/>
                <w:lang w:val="en-US"/>
              </w:rPr>
              <w:t>Going out</w:t>
            </w:r>
          </w:p>
        </w:tc>
        <w:tc>
          <w:tcPr>
            <w:tcW w:w="567" w:type="dxa"/>
            <w:gridSpan w:val="2"/>
            <w:tcBorders>
              <w:top w:val="single" w:sz="4" w:space="0" w:color="auto"/>
              <w:bottom w:val="single" w:sz="12" w:space="0" w:color="auto"/>
            </w:tcBorders>
            <w:shd w:val="clear" w:color="auto" w:fill="auto"/>
            <w:vAlign w:val="bottom"/>
          </w:tcPr>
          <w:p w:rsidR="001D2686" w:rsidRPr="00222917" w:rsidRDefault="00913905" w:rsidP="00F9392C">
            <w:pPr>
              <w:keepNext/>
              <w:keepLines/>
              <w:suppressAutoHyphens w:val="0"/>
              <w:snapToGrid w:val="0"/>
              <w:spacing w:before="80" w:after="80" w:line="180" w:lineRule="exact"/>
              <w:jc w:val="center"/>
              <w:rPr>
                <w:i/>
                <w:sz w:val="16"/>
                <w:lang w:val="en-US"/>
              </w:rPr>
            </w:pPr>
            <w:r w:rsidRPr="00222917">
              <w:rPr>
                <w:bCs/>
                <w:i/>
                <w:sz w:val="16"/>
                <w:lang w:val="en-US"/>
              </w:rPr>
              <w:t>Commuting</w:t>
            </w:r>
            <w:r w:rsidRPr="00222917">
              <w:rPr>
                <w:bCs/>
                <w:i/>
                <w:sz w:val="16"/>
                <w:lang w:val="en-US"/>
              </w:rPr>
              <w:br/>
            </w:r>
            <w:r w:rsidR="001D2686" w:rsidRPr="00222917">
              <w:rPr>
                <w:bCs/>
                <w:i/>
                <w:sz w:val="16"/>
                <w:lang w:val="en-US"/>
              </w:rPr>
              <w:t>to school</w:t>
            </w:r>
          </w:p>
        </w:tc>
        <w:tc>
          <w:tcPr>
            <w:tcW w:w="567" w:type="dxa"/>
            <w:gridSpan w:val="2"/>
            <w:tcBorders>
              <w:top w:val="single" w:sz="4" w:space="0" w:color="auto"/>
              <w:bottom w:val="single" w:sz="12" w:space="0" w:color="auto"/>
            </w:tcBorders>
            <w:shd w:val="clear" w:color="auto" w:fill="auto"/>
            <w:vAlign w:val="bottom"/>
          </w:tcPr>
          <w:p w:rsidR="001D2686" w:rsidRPr="00222917" w:rsidRDefault="001D2686" w:rsidP="00F9392C">
            <w:pPr>
              <w:keepNext/>
              <w:keepLines/>
              <w:suppressAutoHyphens w:val="0"/>
              <w:snapToGrid w:val="0"/>
              <w:spacing w:before="80" w:after="80" w:line="180" w:lineRule="exact"/>
              <w:jc w:val="center"/>
              <w:rPr>
                <w:i/>
                <w:sz w:val="16"/>
                <w:lang w:val="en-US"/>
              </w:rPr>
            </w:pPr>
            <w:r w:rsidRPr="00222917">
              <w:rPr>
                <w:bCs/>
                <w:i/>
                <w:sz w:val="16"/>
                <w:lang w:val="en-US"/>
              </w:rPr>
              <w:t>Commuting</w:t>
            </w:r>
            <w:r w:rsidR="00913905" w:rsidRPr="00222917">
              <w:rPr>
                <w:bCs/>
                <w:i/>
                <w:sz w:val="16"/>
                <w:lang w:val="en-US"/>
              </w:rPr>
              <w:br/>
            </w:r>
            <w:r w:rsidRPr="00222917">
              <w:rPr>
                <w:bCs/>
                <w:i/>
                <w:sz w:val="16"/>
                <w:lang w:val="en-US"/>
              </w:rPr>
              <w:t>to work</w:t>
            </w:r>
          </w:p>
        </w:tc>
        <w:tc>
          <w:tcPr>
            <w:tcW w:w="567" w:type="dxa"/>
            <w:gridSpan w:val="2"/>
            <w:tcBorders>
              <w:top w:val="single" w:sz="4" w:space="0" w:color="auto"/>
              <w:bottom w:val="single" w:sz="12" w:space="0" w:color="auto"/>
            </w:tcBorders>
            <w:shd w:val="clear" w:color="auto" w:fill="auto"/>
            <w:vAlign w:val="bottom"/>
          </w:tcPr>
          <w:p w:rsidR="001D2686" w:rsidRPr="00222917" w:rsidRDefault="00913905" w:rsidP="00F9392C">
            <w:pPr>
              <w:keepNext/>
              <w:keepLines/>
              <w:suppressAutoHyphens w:val="0"/>
              <w:snapToGrid w:val="0"/>
              <w:spacing w:before="80" w:after="80" w:line="180" w:lineRule="exact"/>
              <w:jc w:val="center"/>
              <w:rPr>
                <w:i/>
                <w:sz w:val="16"/>
                <w:lang w:val="en-US"/>
              </w:rPr>
            </w:pPr>
            <w:r w:rsidRPr="00222917">
              <w:rPr>
                <w:bCs/>
                <w:i/>
                <w:sz w:val="16"/>
                <w:lang w:val="en-US"/>
              </w:rPr>
              <w:t>Taking classes</w:t>
            </w:r>
            <w:r w:rsidRPr="00222917">
              <w:rPr>
                <w:bCs/>
                <w:i/>
                <w:sz w:val="16"/>
                <w:lang w:val="en-US"/>
              </w:rPr>
              <w:br/>
            </w:r>
            <w:r w:rsidR="001D2686" w:rsidRPr="00222917">
              <w:rPr>
                <w:bCs/>
                <w:i/>
                <w:sz w:val="16"/>
                <w:lang w:val="en-US"/>
              </w:rPr>
              <w:t>at a private institution</w:t>
            </w:r>
          </w:p>
        </w:tc>
        <w:tc>
          <w:tcPr>
            <w:tcW w:w="567" w:type="dxa"/>
            <w:gridSpan w:val="2"/>
            <w:tcBorders>
              <w:top w:val="single" w:sz="4" w:space="0" w:color="auto"/>
              <w:bottom w:val="single" w:sz="12" w:space="0" w:color="auto"/>
            </w:tcBorders>
            <w:shd w:val="clear" w:color="auto" w:fill="auto"/>
            <w:vAlign w:val="bottom"/>
          </w:tcPr>
          <w:p w:rsidR="001D2686" w:rsidRPr="00222917" w:rsidRDefault="001D2686" w:rsidP="00F9392C">
            <w:pPr>
              <w:keepNext/>
              <w:keepLines/>
              <w:suppressAutoHyphens w:val="0"/>
              <w:snapToGrid w:val="0"/>
              <w:spacing w:before="80" w:after="80" w:line="180" w:lineRule="exact"/>
              <w:jc w:val="center"/>
              <w:rPr>
                <w:i/>
                <w:sz w:val="16"/>
                <w:lang w:val="en-US"/>
              </w:rPr>
            </w:pPr>
            <w:r w:rsidRPr="00222917">
              <w:rPr>
                <w:bCs/>
                <w:i/>
                <w:sz w:val="16"/>
                <w:lang w:val="en-US"/>
              </w:rPr>
              <w:t>Home study</w:t>
            </w:r>
          </w:p>
        </w:tc>
      </w:tr>
      <w:tr w:rsidR="001D2686" w:rsidRPr="00222917" w:rsidTr="006F5767">
        <w:trPr>
          <w:trHeight w:val="240"/>
        </w:trPr>
        <w:tc>
          <w:tcPr>
            <w:tcW w:w="567" w:type="dxa"/>
            <w:tcBorders>
              <w:top w:val="single" w:sz="12" w:space="0" w:color="auto"/>
            </w:tcBorders>
            <w:shd w:val="clear" w:color="auto" w:fill="auto"/>
          </w:tcPr>
          <w:p w:rsidR="001D2686" w:rsidRPr="00222917" w:rsidRDefault="001D2686" w:rsidP="00F9392C">
            <w:pPr>
              <w:keepNext/>
              <w:keepLines/>
              <w:suppressAutoHyphens w:val="0"/>
              <w:snapToGrid w:val="0"/>
              <w:spacing w:before="40" w:after="40" w:line="200" w:lineRule="exact"/>
              <w:rPr>
                <w:sz w:val="18"/>
                <w:szCs w:val="22"/>
                <w:lang w:val="en-US"/>
              </w:rPr>
            </w:pPr>
            <w:r w:rsidRPr="00222917">
              <w:rPr>
                <w:sz w:val="18"/>
                <w:szCs w:val="22"/>
                <w:lang w:val="en-US"/>
              </w:rPr>
              <w:t>2006</w:t>
            </w:r>
          </w:p>
        </w:tc>
        <w:tc>
          <w:tcPr>
            <w:tcW w:w="567" w:type="dxa"/>
            <w:tcBorders>
              <w:top w:val="single" w:sz="12" w:space="0" w:color="auto"/>
            </w:tcBorders>
            <w:shd w:val="clear" w:color="auto" w:fill="auto"/>
            <w:vAlign w:val="bottom"/>
          </w:tcPr>
          <w:p w:rsidR="001D2686" w:rsidRPr="00222917" w:rsidRDefault="001D2686" w:rsidP="00F9392C">
            <w:pPr>
              <w:keepNext/>
              <w:keepLines/>
              <w:suppressAutoHyphens w:val="0"/>
              <w:snapToGrid w:val="0"/>
              <w:spacing w:before="40" w:after="40" w:line="200" w:lineRule="exact"/>
              <w:jc w:val="right"/>
              <w:rPr>
                <w:b/>
                <w:sz w:val="18"/>
                <w:szCs w:val="22"/>
                <w:lang w:val="en-US"/>
              </w:rPr>
            </w:pPr>
            <w:r w:rsidRPr="00222917">
              <w:rPr>
                <w:b/>
                <w:sz w:val="18"/>
                <w:szCs w:val="22"/>
                <w:lang w:val="en-US"/>
              </w:rPr>
              <w:t>247</w:t>
            </w:r>
          </w:p>
        </w:tc>
        <w:tc>
          <w:tcPr>
            <w:tcW w:w="567" w:type="dxa"/>
            <w:tcBorders>
              <w:top w:val="single" w:sz="12" w:space="0" w:color="auto"/>
            </w:tcBorders>
            <w:shd w:val="clear" w:color="auto" w:fill="auto"/>
            <w:vAlign w:val="bottom"/>
          </w:tcPr>
          <w:p w:rsidR="001D2686" w:rsidRPr="00222917" w:rsidRDefault="001D2686" w:rsidP="00F9392C">
            <w:pPr>
              <w:keepNext/>
              <w:keepLines/>
              <w:suppressAutoHyphens w:val="0"/>
              <w:snapToGrid w:val="0"/>
              <w:spacing w:before="40" w:after="40" w:line="200" w:lineRule="exact"/>
              <w:jc w:val="right"/>
              <w:rPr>
                <w:b/>
                <w:sz w:val="18"/>
                <w:szCs w:val="22"/>
                <w:lang w:val="en-US"/>
              </w:rPr>
            </w:pPr>
            <w:r w:rsidRPr="00222917">
              <w:rPr>
                <w:b/>
                <w:sz w:val="18"/>
                <w:szCs w:val="22"/>
                <w:lang w:val="en-US"/>
              </w:rPr>
              <w:t>382</w:t>
            </w:r>
          </w:p>
        </w:tc>
        <w:tc>
          <w:tcPr>
            <w:tcW w:w="567" w:type="dxa"/>
            <w:tcBorders>
              <w:top w:val="single" w:sz="12" w:space="0" w:color="auto"/>
            </w:tcBorders>
            <w:shd w:val="clear" w:color="auto" w:fill="auto"/>
            <w:vAlign w:val="bottom"/>
          </w:tcPr>
          <w:p w:rsidR="001D2686" w:rsidRPr="00222917" w:rsidRDefault="001D2686" w:rsidP="00F9392C">
            <w:pPr>
              <w:keepNext/>
              <w:keepLines/>
              <w:suppressAutoHyphens w:val="0"/>
              <w:snapToGrid w:val="0"/>
              <w:spacing w:before="40" w:after="40" w:line="200" w:lineRule="exact"/>
              <w:jc w:val="right"/>
              <w:rPr>
                <w:sz w:val="18"/>
                <w:szCs w:val="22"/>
                <w:lang w:val="en-US"/>
              </w:rPr>
            </w:pPr>
            <w:r w:rsidRPr="00222917">
              <w:rPr>
                <w:sz w:val="18"/>
                <w:szCs w:val="22"/>
                <w:lang w:val="en-US"/>
              </w:rPr>
              <w:t>122</w:t>
            </w:r>
          </w:p>
        </w:tc>
        <w:tc>
          <w:tcPr>
            <w:tcW w:w="567" w:type="dxa"/>
            <w:tcBorders>
              <w:top w:val="single" w:sz="12" w:space="0" w:color="auto"/>
            </w:tcBorders>
            <w:shd w:val="clear" w:color="auto" w:fill="auto"/>
            <w:vAlign w:val="bottom"/>
          </w:tcPr>
          <w:p w:rsidR="001D2686" w:rsidRPr="00222917" w:rsidRDefault="001D2686" w:rsidP="00F9392C">
            <w:pPr>
              <w:keepNext/>
              <w:keepLines/>
              <w:suppressAutoHyphens w:val="0"/>
              <w:snapToGrid w:val="0"/>
              <w:spacing w:before="40" w:after="40" w:line="200" w:lineRule="exact"/>
              <w:jc w:val="right"/>
              <w:rPr>
                <w:sz w:val="18"/>
                <w:szCs w:val="22"/>
                <w:lang w:val="en-US"/>
              </w:rPr>
            </w:pPr>
            <w:r w:rsidRPr="00222917">
              <w:rPr>
                <w:sz w:val="18"/>
                <w:szCs w:val="22"/>
                <w:lang w:val="en-US"/>
              </w:rPr>
              <w:t>166</w:t>
            </w:r>
          </w:p>
        </w:tc>
        <w:tc>
          <w:tcPr>
            <w:tcW w:w="567" w:type="dxa"/>
            <w:tcBorders>
              <w:top w:val="single" w:sz="12" w:space="0" w:color="auto"/>
            </w:tcBorders>
            <w:shd w:val="clear" w:color="auto" w:fill="auto"/>
            <w:vAlign w:val="bottom"/>
          </w:tcPr>
          <w:p w:rsidR="001D2686" w:rsidRPr="00222917" w:rsidRDefault="001D2686" w:rsidP="00F9392C">
            <w:pPr>
              <w:keepNext/>
              <w:keepLines/>
              <w:suppressAutoHyphens w:val="0"/>
              <w:snapToGrid w:val="0"/>
              <w:spacing w:before="40" w:after="40" w:line="200" w:lineRule="exact"/>
              <w:jc w:val="right"/>
              <w:rPr>
                <w:sz w:val="18"/>
                <w:szCs w:val="22"/>
                <w:lang w:val="en-US"/>
              </w:rPr>
            </w:pPr>
            <w:r w:rsidRPr="00222917">
              <w:rPr>
                <w:sz w:val="18"/>
                <w:szCs w:val="22"/>
                <w:lang w:val="en-US"/>
              </w:rPr>
              <w:t>21</w:t>
            </w:r>
          </w:p>
        </w:tc>
        <w:tc>
          <w:tcPr>
            <w:tcW w:w="567" w:type="dxa"/>
            <w:tcBorders>
              <w:top w:val="single" w:sz="12" w:space="0" w:color="auto"/>
            </w:tcBorders>
            <w:shd w:val="clear" w:color="auto" w:fill="auto"/>
            <w:vAlign w:val="bottom"/>
          </w:tcPr>
          <w:p w:rsidR="001D2686" w:rsidRPr="00222917" w:rsidRDefault="001D2686" w:rsidP="00F9392C">
            <w:pPr>
              <w:keepNext/>
              <w:keepLines/>
              <w:suppressAutoHyphens w:val="0"/>
              <w:snapToGrid w:val="0"/>
              <w:spacing w:before="40" w:after="40" w:line="200" w:lineRule="exact"/>
              <w:jc w:val="right"/>
              <w:rPr>
                <w:sz w:val="18"/>
                <w:szCs w:val="22"/>
                <w:lang w:val="en-US"/>
              </w:rPr>
            </w:pPr>
            <w:r w:rsidRPr="00222917">
              <w:rPr>
                <w:sz w:val="18"/>
                <w:szCs w:val="22"/>
                <w:lang w:val="en-US"/>
              </w:rPr>
              <w:t>28</w:t>
            </w:r>
          </w:p>
        </w:tc>
        <w:tc>
          <w:tcPr>
            <w:tcW w:w="567" w:type="dxa"/>
            <w:tcBorders>
              <w:top w:val="single" w:sz="12" w:space="0" w:color="auto"/>
            </w:tcBorders>
            <w:shd w:val="clear" w:color="auto" w:fill="auto"/>
            <w:vAlign w:val="bottom"/>
          </w:tcPr>
          <w:p w:rsidR="001D2686" w:rsidRPr="00222917" w:rsidRDefault="001D2686" w:rsidP="00F9392C">
            <w:pPr>
              <w:keepNext/>
              <w:keepLines/>
              <w:suppressAutoHyphens w:val="0"/>
              <w:snapToGrid w:val="0"/>
              <w:spacing w:before="40" w:after="40" w:line="200" w:lineRule="exact"/>
              <w:jc w:val="right"/>
              <w:rPr>
                <w:sz w:val="18"/>
                <w:szCs w:val="22"/>
                <w:lang w:val="en-US"/>
              </w:rPr>
            </w:pPr>
            <w:r w:rsidRPr="00222917">
              <w:rPr>
                <w:sz w:val="18"/>
                <w:szCs w:val="22"/>
                <w:lang w:val="en-US"/>
              </w:rPr>
              <w:t>34</w:t>
            </w:r>
          </w:p>
        </w:tc>
        <w:tc>
          <w:tcPr>
            <w:tcW w:w="567" w:type="dxa"/>
            <w:tcBorders>
              <w:top w:val="single" w:sz="12" w:space="0" w:color="auto"/>
            </w:tcBorders>
            <w:shd w:val="clear" w:color="auto" w:fill="auto"/>
            <w:vAlign w:val="bottom"/>
          </w:tcPr>
          <w:p w:rsidR="001D2686" w:rsidRPr="00222917" w:rsidRDefault="001D2686" w:rsidP="00F9392C">
            <w:pPr>
              <w:keepNext/>
              <w:keepLines/>
              <w:suppressAutoHyphens w:val="0"/>
              <w:snapToGrid w:val="0"/>
              <w:spacing w:before="40" w:after="40" w:line="200" w:lineRule="exact"/>
              <w:jc w:val="right"/>
              <w:rPr>
                <w:sz w:val="18"/>
                <w:szCs w:val="22"/>
                <w:lang w:val="en-US"/>
              </w:rPr>
            </w:pPr>
            <w:r w:rsidRPr="00222917">
              <w:rPr>
                <w:sz w:val="18"/>
                <w:szCs w:val="22"/>
                <w:lang w:val="en-US"/>
              </w:rPr>
              <w:t>46</w:t>
            </w:r>
          </w:p>
        </w:tc>
        <w:tc>
          <w:tcPr>
            <w:tcW w:w="567" w:type="dxa"/>
            <w:tcBorders>
              <w:top w:val="single" w:sz="12" w:space="0" w:color="auto"/>
            </w:tcBorders>
            <w:shd w:val="clear" w:color="auto" w:fill="auto"/>
            <w:vAlign w:val="bottom"/>
          </w:tcPr>
          <w:p w:rsidR="001D2686" w:rsidRPr="00222917" w:rsidRDefault="001D2686" w:rsidP="00F9392C">
            <w:pPr>
              <w:keepNext/>
              <w:keepLines/>
              <w:suppressAutoHyphens w:val="0"/>
              <w:snapToGrid w:val="0"/>
              <w:spacing w:before="40" w:after="40" w:line="200" w:lineRule="exact"/>
              <w:jc w:val="right"/>
              <w:rPr>
                <w:sz w:val="18"/>
                <w:szCs w:val="22"/>
                <w:lang w:val="en-US"/>
              </w:rPr>
            </w:pPr>
            <w:r w:rsidRPr="00222917">
              <w:rPr>
                <w:sz w:val="18"/>
                <w:szCs w:val="22"/>
                <w:lang w:val="en-US"/>
              </w:rPr>
              <w:t>4</w:t>
            </w:r>
          </w:p>
        </w:tc>
        <w:tc>
          <w:tcPr>
            <w:tcW w:w="567" w:type="dxa"/>
            <w:tcBorders>
              <w:top w:val="single" w:sz="12" w:space="0" w:color="auto"/>
            </w:tcBorders>
            <w:shd w:val="clear" w:color="auto" w:fill="auto"/>
            <w:vAlign w:val="bottom"/>
          </w:tcPr>
          <w:p w:rsidR="001D2686" w:rsidRPr="00222917" w:rsidRDefault="001D2686" w:rsidP="00F9392C">
            <w:pPr>
              <w:keepNext/>
              <w:keepLines/>
              <w:suppressAutoHyphens w:val="0"/>
              <w:snapToGrid w:val="0"/>
              <w:spacing w:before="40" w:after="40" w:line="200" w:lineRule="exact"/>
              <w:jc w:val="right"/>
              <w:rPr>
                <w:sz w:val="18"/>
                <w:szCs w:val="22"/>
                <w:lang w:val="en-US"/>
              </w:rPr>
            </w:pPr>
            <w:r w:rsidRPr="00222917">
              <w:rPr>
                <w:sz w:val="18"/>
                <w:szCs w:val="22"/>
                <w:lang w:val="en-US"/>
              </w:rPr>
              <w:t>7</w:t>
            </w:r>
          </w:p>
        </w:tc>
        <w:tc>
          <w:tcPr>
            <w:tcW w:w="567" w:type="dxa"/>
            <w:tcBorders>
              <w:top w:val="single" w:sz="12" w:space="0" w:color="auto"/>
            </w:tcBorders>
            <w:shd w:val="clear" w:color="auto" w:fill="auto"/>
            <w:vAlign w:val="bottom"/>
          </w:tcPr>
          <w:p w:rsidR="001D2686" w:rsidRPr="00222917" w:rsidRDefault="001D2686" w:rsidP="00F9392C">
            <w:pPr>
              <w:keepNext/>
              <w:keepLines/>
              <w:suppressAutoHyphens w:val="0"/>
              <w:snapToGrid w:val="0"/>
              <w:spacing w:before="40" w:after="40" w:line="200" w:lineRule="exact"/>
              <w:jc w:val="right"/>
              <w:rPr>
                <w:sz w:val="18"/>
                <w:szCs w:val="22"/>
                <w:lang w:val="en-US"/>
              </w:rPr>
            </w:pPr>
            <w:r w:rsidRPr="00222917">
              <w:rPr>
                <w:sz w:val="18"/>
                <w:szCs w:val="22"/>
                <w:lang w:val="en-US"/>
              </w:rPr>
              <w:t>66</w:t>
            </w:r>
          </w:p>
        </w:tc>
        <w:tc>
          <w:tcPr>
            <w:tcW w:w="567" w:type="dxa"/>
            <w:tcBorders>
              <w:top w:val="single" w:sz="12" w:space="0" w:color="auto"/>
            </w:tcBorders>
            <w:shd w:val="clear" w:color="auto" w:fill="auto"/>
            <w:vAlign w:val="bottom"/>
          </w:tcPr>
          <w:p w:rsidR="001D2686" w:rsidRPr="00222917" w:rsidRDefault="001D2686" w:rsidP="00F9392C">
            <w:pPr>
              <w:keepNext/>
              <w:keepLines/>
              <w:suppressAutoHyphens w:val="0"/>
              <w:snapToGrid w:val="0"/>
              <w:spacing w:before="40" w:after="40" w:line="200" w:lineRule="exact"/>
              <w:jc w:val="right"/>
              <w:rPr>
                <w:sz w:val="18"/>
                <w:szCs w:val="22"/>
                <w:lang w:val="en-US"/>
              </w:rPr>
            </w:pPr>
            <w:r w:rsidRPr="00222917">
              <w:rPr>
                <w:sz w:val="18"/>
                <w:szCs w:val="22"/>
                <w:lang w:val="en-US"/>
              </w:rPr>
              <w:t>135</w:t>
            </w:r>
          </w:p>
        </w:tc>
      </w:tr>
      <w:tr w:rsidR="001D2686" w:rsidRPr="00222917" w:rsidTr="006F5767">
        <w:trPr>
          <w:trHeight w:val="240"/>
        </w:trPr>
        <w:tc>
          <w:tcPr>
            <w:tcW w:w="567" w:type="dxa"/>
            <w:shd w:val="clear" w:color="auto" w:fill="auto"/>
          </w:tcPr>
          <w:p w:rsidR="001D2686" w:rsidRPr="00222917" w:rsidRDefault="001D2686" w:rsidP="00F9392C">
            <w:pPr>
              <w:keepNext/>
              <w:keepLines/>
              <w:suppressAutoHyphens w:val="0"/>
              <w:snapToGrid w:val="0"/>
              <w:spacing w:before="40" w:after="40" w:line="200" w:lineRule="exact"/>
              <w:rPr>
                <w:sz w:val="18"/>
                <w:szCs w:val="22"/>
                <w:lang w:val="en-US"/>
              </w:rPr>
            </w:pPr>
            <w:r w:rsidRPr="00222917">
              <w:rPr>
                <w:sz w:val="18"/>
                <w:szCs w:val="22"/>
                <w:lang w:val="en-US"/>
              </w:rPr>
              <w:t>2007</w:t>
            </w:r>
          </w:p>
        </w:tc>
        <w:tc>
          <w:tcPr>
            <w:tcW w:w="567" w:type="dxa"/>
            <w:shd w:val="clear" w:color="auto" w:fill="auto"/>
            <w:vAlign w:val="bottom"/>
          </w:tcPr>
          <w:p w:rsidR="001D2686" w:rsidRPr="00222917" w:rsidRDefault="001D2686" w:rsidP="00F9392C">
            <w:pPr>
              <w:keepNext/>
              <w:keepLines/>
              <w:suppressAutoHyphens w:val="0"/>
              <w:snapToGrid w:val="0"/>
              <w:spacing w:before="40" w:after="40" w:line="200" w:lineRule="exact"/>
              <w:jc w:val="right"/>
              <w:rPr>
                <w:b/>
                <w:sz w:val="18"/>
                <w:szCs w:val="22"/>
                <w:lang w:val="en-US"/>
              </w:rPr>
            </w:pPr>
            <w:r w:rsidRPr="00222917">
              <w:rPr>
                <w:b/>
                <w:sz w:val="18"/>
                <w:szCs w:val="22"/>
                <w:lang w:val="en-US"/>
              </w:rPr>
              <w:t>190</w:t>
            </w:r>
          </w:p>
        </w:tc>
        <w:tc>
          <w:tcPr>
            <w:tcW w:w="567" w:type="dxa"/>
            <w:shd w:val="clear" w:color="auto" w:fill="auto"/>
            <w:vAlign w:val="bottom"/>
          </w:tcPr>
          <w:p w:rsidR="001D2686" w:rsidRPr="00222917" w:rsidRDefault="001D2686" w:rsidP="00F9392C">
            <w:pPr>
              <w:keepNext/>
              <w:keepLines/>
              <w:suppressAutoHyphens w:val="0"/>
              <w:snapToGrid w:val="0"/>
              <w:spacing w:before="40" w:after="40" w:line="200" w:lineRule="exact"/>
              <w:jc w:val="right"/>
              <w:rPr>
                <w:b/>
                <w:sz w:val="18"/>
                <w:szCs w:val="22"/>
                <w:lang w:val="en-US"/>
              </w:rPr>
            </w:pPr>
            <w:r w:rsidRPr="00222917">
              <w:rPr>
                <w:b/>
                <w:sz w:val="18"/>
                <w:szCs w:val="22"/>
                <w:lang w:val="en-US"/>
              </w:rPr>
              <w:t>343</w:t>
            </w:r>
          </w:p>
        </w:tc>
        <w:tc>
          <w:tcPr>
            <w:tcW w:w="567" w:type="dxa"/>
            <w:shd w:val="clear" w:color="auto" w:fill="auto"/>
            <w:vAlign w:val="bottom"/>
          </w:tcPr>
          <w:p w:rsidR="001D2686" w:rsidRPr="00222917" w:rsidRDefault="001D2686" w:rsidP="00F9392C">
            <w:pPr>
              <w:keepNext/>
              <w:keepLines/>
              <w:suppressAutoHyphens w:val="0"/>
              <w:snapToGrid w:val="0"/>
              <w:spacing w:before="40" w:after="40" w:line="200" w:lineRule="exact"/>
              <w:jc w:val="right"/>
              <w:rPr>
                <w:sz w:val="18"/>
                <w:szCs w:val="22"/>
                <w:lang w:val="en-US"/>
              </w:rPr>
            </w:pPr>
            <w:r w:rsidRPr="00222917">
              <w:rPr>
                <w:sz w:val="18"/>
                <w:szCs w:val="22"/>
                <w:lang w:val="en-US"/>
              </w:rPr>
              <w:t>83</w:t>
            </w:r>
          </w:p>
        </w:tc>
        <w:tc>
          <w:tcPr>
            <w:tcW w:w="567" w:type="dxa"/>
            <w:shd w:val="clear" w:color="auto" w:fill="auto"/>
            <w:vAlign w:val="bottom"/>
          </w:tcPr>
          <w:p w:rsidR="001D2686" w:rsidRPr="00222917" w:rsidRDefault="001D2686" w:rsidP="00F9392C">
            <w:pPr>
              <w:keepNext/>
              <w:keepLines/>
              <w:suppressAutoHyphens w:val="0"/>
              <w:snapToGrid w:val="0"/>
              <w:spacing w:before="40" w:after="40" w:line="200" w:lineRule="exact"/>
              <w:jc w:val="right"/>
              <w:rPr>
                <w:sz w:val="18"/>
                <w:szCs w:val="22"/>
                <w:lang w:val="en-US"/>
              </w:rPr>
            </w:pPr>
            <w:r w:rsidRPr="00222917">
              <w:rPr>
                <w:sz w:val="18"/>
                <w:szCs w:val="22"/>
                <w:lang w:val="en-US"/>
              </w:rPr>
              <w:t>133</w:t>
            </w:r>
          </w:p>
        </w:tc>
        <w:tc>
          <w:tcPr>
            <w:tcW w:w="567" w:type="dxa"/>
            <w:shd w:val="clear" w:color="auto" w:fill="auto"/>
            <w:vAlign w:val="bottom"/>
          </w:tcPr>
          <w:p w:rsidR="001D2686" w:rsidRPr="00222917" w:rsidRDefault="001D2686" w:rsidP="00F9392C">
            <w:pPr>
              <w:keepNext/>
              <w:keepLines/>
              <w:suppressAutoHyphens w:val="0"/>
              <w:snapToGrid w:val="0"/>
              <w:spacing w:before="40" w:after="40" w:line="200" w:lineRule="exact"/>
              <w:jc w:val="right"/>
              <w:rPr>
                <w:sz w:val="18"/>
                <w:szCs w:val="22"/>
                <w:lang w:val="en-US"/>
              </w:rPr>
            </w:pPr>
            <w:r w:rsidRPr="00222917">
              <w:rPr>
                <w:sz w:val="18"/>
                <w:szCs w:val="22"/>
                <w:lang w:val="en-US"/>
              </w:rPr>
              <w:t>13</w:t>
            </w:r>
          </w:p>
        </w:tc>
        <w:tc>
          <w:tcPr>
            <w:tcW w:w="567" w:type="dxa"/>
            <w:shd w:val="clear" w:color="auto" w:fill="auto"/>
            <w:vAlign w:val="bottom"/>
          </w:tcPr>
          <w:p w:rsidR="001D2686" w:rsidRPr="00222917" w:rsidRDefault="001D2686" w:rsidP="00F9392C">
            <w:pPr>
              <w:keepNext/>
              <w:keepLines/>
              <w:suppressAutoHyphens w:val="0"/>
              <w:snapToGrid w:val="0"/>
              <w:spacing w:before="40" w:after="40" w:line="200" w:lineRule="exact"/>
              <w:jc w:val="right"/>
              <w:rPr>
                <w:sz w:val="18"/>
                <w:szCs w:val="22"/>
                <w:lang w:val="en-US"/>
              </w:rPr>
            </w:pPr>
            <w:r w:rsidRPr="00222917">
              <w:rPr>
                <w:sz w:val="18"/>
                <w:szCs w:val="22"/>
                <w:lang w:val="en-US"/>
              </w:rPr>
              <w:t>13</w:t>
            </w:r>
          </w:p>
        </w:tc>
        <w:tc>
          <w:tcPr>
            <w:tcW w:w="567" w:type="dxa"/>
            <w:shd w:val="clear" w:color="auto" w:fill="auto"/>
            <w:vAlign w:val="bottom"/>
          </w:tcPr>
          <w:p w:rsidR="001D2686" w:rsidRPr="00222917" w:rsidRDefault="001D2686" w:rsidP="00F9392C">
            <w:pPr>
              <w:keepNext/>
              <w:keepLines/>
              <w:suppressAutoHyphens w:val="0"/>
              <w:snapToGrid w:val="0"/>
              <w:spacing w:before="40" w:after="40" w:line="200" w:lineRule="exact"/>
              <w:jc w:val="right"/>
              <w:rPr>
                <w:sz w:val="18"/>
                <w:szCs w:val="22"/>
                <w:lang w:val="en-US"/>
              </w:rPr>
            </w:pPr>
            <w:r w:rsidRPr="00222917">
              <w:rPr>
                <w:sz w:val="18"/>
                <w:szCs w:val="22"/>
                <w:lang w:val="en-US"/>
              </w:rPr>
              <w:t>18</w:t>
            </w:r>
          </w:p>
        </w:tc>
        <w:tc>
          <w:tcPr>
            <w:tcW w:w="567" w:type="dxa"/>
            <w:shd w:val="clear" w:color="auto" w:fill="auto"/>
            <w:vAlign w:val="bottom"/>
          </w:tcPr>
          <w:p w:rsidR="001D2686" w:rsidRPr="00222917" w:rsidRDefault="001D2686" w:rsidP="00F9392C">
            <w:pPr>
              <w:keepNext/>
              <w:keepLines/>
              <w:suppressAutoHyphens w:val="0"/>
              <w:snapToGrid w:val="0"/>
              <w:spacing w:before="40" w:after="40" w:line="200" w:lineRule="exact"/>
              <w:jc w:val="right"/>
              <w:rPr>
                <w:sz w:val="18"/>
                <w:szCs w:val="22"/>
                <w:lang w:val="en-US"/>
              </w:rPr>
            </w:pPr>
            <w:r w:rsidRPr="00222917">
              <w:rPr>
                <w:sz w:val="18"/>
                <w:szCs w:val="22"/>
                <w:lang w:val="en-US"/>
              </w:rPr>
              <w:t>17</w:t>
            </w:r>
          </w:p>
        </w:tc>
        <w:tc>
          <w:tcPr>
            <w:tcW w:w="567" w:type="dxa"/>
            <w:shd w:val="clear" w:color="auto" w:fill="auto"/>
            <w:vAlign w:val="bottom"/>
          </w:tcPr>
          <w:p w:rsidR="001D2686" w:rsidRPr="00222917" w:rsidRDefault="001D2686" w:rsidP="00F9392C">
            <w:pPr>
              <w:keepNext/>
              <w:keepLines/>
              <w:suppressAutoHyphens w:val="0"/>
              <w:snapToGrid w:val="0"/>
              <w:spacing w:before="40" w:after="40" w:line="200" w:lineRule="exact"/>
              <w:jc w:val="right"/>
              <w:rPr>
                <w:sz w:val="18"/>
                <w:szCs w:val="22"/>
                <w:lang w:val="en-US"/>
              </w:rPr>
            </w:pPr>
            <w:r w:rsidRPr="00222917">
              <w:rPr>
                <w:sz w:val="18"/>
                <w:szCs w:val="22"/>
                <w:lang w:val="en-US"/>
              </w:rPr>
              <w:t>5</w:t>
            </w:r>
          </w:p>
        </w:tc>
        <w:tc>
          <w:tcPr>
            <w:tcW w:w="567" w:type="dxa"/>
            <w:shd w:val="clear" w:color="auto" w:fill="auto"/>
            <w:vAlign w:val="bottom"/>
          </w:tcPr>
          <w:p w:rsidR="001D2686" w:rsidRPr="00222917" w:rsidRDefault="001D2686" w:rsidP="00F9392C">
            <w:pPr>
              <w:keepNext/>
              <w:keepLines/>
              <w:suppressAutoHyphens w:val="0"/>
              <w:snapToGrid w:val="0"/>
              <w:spacing w:before="40" w:after="40" w:line="200" w:lineRule="exact"/>
              <w:jc w:val="right"/>
              <w:rPr>
                <w:sz w:val="18"/>
                <w:szCs w:val="22"/>
                <w:lang w:val="en-US"/>
              </w:rPr>
            </w:pPr>
            <w:r w:rsidRPr="00222917">
              <w:rPr>
                <w:sz w:val="18"/>
                <w:szCs w:val="22"/>
                <w:lang w:val="en-US"/>
              </w:rPr>
              <w:t>10</w:t>
            </w:r>
          </w:p>
        </w:tc>
        <w:tc>
          <w:tcPr>
            <w:tcW w:w="567" w:type="dxa"/>
            <w:shd w:val="clear" w:color="auto" w:fill="auto"/>
            <w:vAlign w:val="bottom"/>
          </w:tcPr>
          <w:p w:rsidR="001D2686" w:rsidRPr="00222917" w:rsidRDefault="001D2686" w:rsidP="00F9392C">
            <w:pPr>
              <w:keepNext/>
              <w:keepLines/>
              <w:suppressAutoHyphens w:val="0"/>
              <w:snapToGrid w:val="0"/>
              <w:spacing w:before="40" w:after="40" w:line="200" w:lineRule="exact"/>
              <w:jc w:val="right"/>
              <w:rPr>
                <w:sz w:val="18"/>
                <w:szCs w:val="22"/>
                <w:lang w:val="en-US"/>
              </w:rPr>
            </w:pPr>
            <w:r w:rsidRPr="00222917">
              <w:rPr>
                <w:sz w:val="18"/>
                <w:szCs w:val="22"/>
                <w:lang w:val="en-US"/>
              </w:rPr>
              <w:t>71</w:t>
            </w:r>
          </w:p>
        </w:tc>
        <w:tc>
          <w:tcPr>
            <w:tcW w:w="567" w:type="dxa"/>
            <w:shd w:val="clear" w:color="auto" w:fill="auto"/>
            <w:vAlign w:val="bottom"/>
          </w:tcPr>
          <w:p w:rsidR="001D2686" w:rsidRPr="00222917" w:rsidRDefault="001D2686" w:rsidP="00F9392C">
            <w:pPr>
              <w:keepNext/>
              <w:keepLines/>
              <w:suppressAutoHyphens w:val="0"/>
              <w:snapToGrid w:val="0"/>
              <w:spacing w:before="40" w:after="40" w:line="200" w:lineRule="exact"/>
              <w:jc w:val="right"/>
              <w:rPr>
                <w:sz w:val="18"/>
                <w:szCs w:val="22"/>
                <w:lang w:val="en-US"/>
              </w:rPr>
            </w:pPr>
            <w:r w:rsidRPr="00222917">
              <w:rPr>
                <w:sz w:val="18"/>
                <w:szCs w:val="22"/>
                <w:lang w:val="en-US"/>
              </w:rPr>
              <w:t>170</w:t>
            </w:r>
          </w:p>
        </w:tc>
      </w:tr>
      <w:tr w:rsidR="001D2686" w:rsidRPr="00222917" w:rsidTr="006F5767">
        <w:trPr>
          <w:trHeight w:val="240"/>
        </w:trPr>
        <w:tc>
          <w:tcPr>
            <w:tcW w:w="567" w:type="dxa"/>
            <w:shd w:val="clear" w:color="auto" w:fill="auto"/>
          </w:tcPr>
          <w:p w:rsidR="001D2686" w:rsidRPr="00222917" w:rsidRDefault="001D2686" w:rsidP="001B1829">
            <w:pPr>
              <w:suppressAutoHyphens w:val="0"/>
              <w:snapToGrid w:val="0"/>
              <w:spacing w:before="40" w:after="40" w:line="200" w:lineRule="exact"/>
              <w:rPr>
                <w:sz w:val="18"/>
                <w:szCs w:val="22"/>
                <w:lang w:val="en-US"/>
              </w:rPr>
            </w:pPr>
            <w:r w:rsidRPr="00222917">
              <w:rPr>
                <w:sz w:val="18"/>
                <w:szCs w:val="22"/>
                <w:lang w:val="en-US"/>
              </w:rPr>
              <w:t>2008</w:t>
            </w:r>
          </w:p>
        </w:tc>
        <w:tc>
          <w:tcPr>
            <w:tcW w:w="567" w:type="dxa"/>
            <w:shd w:val="clear" w:color="auto" w:fill="auto"/>
            <w:vAlign w:val="bottom"/>
          </w:tcPr>
          <w:p w:rsidR="001D2686" w:rsidRPr="00222917" w:rsidRDefault="001D2686" w:rsidP="001B1829">
            <w:pPr>
              <w:suppressAutoHyphens w:val="0"/>
              <w:snapToGrid w:val="0"/>
              <w:spacing w:before="40" w:after="40" w:line="200" w:lineRule="exact"/>
              <w:jc w:val="right"/>
              <w:rPr>
                <w:b/>
                <w:sz w:val="18"/>
                <w:szCs w:val="22"/>
                <w:lang w:val="en-US"/>
              </w:rPr>
            </w:pPr>
            <w:r w:rsidRPr="00222917">
              <w:rPr>
                <w:b/>
                <w:sz w:val="18"/>
                <w:szCs w:val="22"/>
                <w:lang w:val="en-US"/>
              </w:rPr>
              <w:t>188</w:t>
            </w:r>
          </w:p>
        </w:tc>
        <w:tc>
          <w:tcPr>
            <w:tcW w:w="567" w:type="dxa"/>
            <w:shd w:val="clear" w:color="auto" w:fill="auto"/>
            <w:vAlign w:val="bottom"/>
          </w:tcPr>
          <w:p w:rsidR="001D2686" w:rsidRPr="00222917" w:rsidRDefault="001D2686" w:rsidP="001B1829">
            <w:pPr>
              <w:suppressAutoHyphens w:val="0"/>
              <w:snapToGrid w:val="0"/>
              <w:spacing w:before="40" w:after="40" w:line="200" w:lineRule="exact"/>
              <w:jc w:val="right"/>
              <w:rPr>
                <w:b/>
                <w:sz w:val="18"/>
                <w:szCs w:val="22"/>
                <w:lang w:val="en-US"/>
              </w:rPr>
            </w:pPr>
            <w:r w:rsidRPr="00222917">
              <w:rPr>
                <w:b/>
                <w:sz w:val="18"/>
                <w:szCs w:val="22"/>
                <w:lang w:val="en-US"/>
              </w:rPr>
              <w:t>391</w:t>
            </w:r>
          </w:p>
        </w:tc>
        <w:tc>
          <w:tcPr>
            <w:tcW w:w="567" w:type="dxa"/>
            <w:shd w:val="clear" w:color="auto" w:fill="auto"/>
            <w:vAlign w:val="bottom"/>
          </w:tcPr>
          <w:p w:rsidR="001D2686" w:rsidRPr="00222917" w:rsidRDefault="001D2686" w:rsidP="001B1829">
            <w:pPr>
              <w:suppressAutoHyphens w:val="0"/>
              <w:snapToGrid w:val="0"/>
              <w:spacing w:before="40" w:after="40" w:line="200" w:lineRule="exact"/>
              <w:jc w:val="right"/>
              <w:rPr>
                <w:sz w:val="18"/>
                <w:szCs w:val="22"/>
                <w:lang w:val="en-US"/>
              </w:rPr>
            </w:pPr>
            <w:r w:rsidRPr="00222917">
              <w:rPr>
                <w:sz w:val="18"/>
                <w:szCs w:val="22"/>
                <w:lang w:val="en-US"/>
              </w:rPr>
              <w:t>67</w:t>
            </w:r>
          </w:p>
        </w:tc>
        <w:tc>
          <w:tcPr>
            <w:tcW w:w="567" w:type="dxa"/>
            <w:shd w:val="clear" w:color="auto" w:fill="auto"/>
            <w:vAlign w:val="bottom"/>
          </w:tcPr>
          <w:p w:rsidR="001D2686" w:rsidRPr="00222917" w:rsidRDefault="001D2686" w:rsidP="001B1829">
            <w:pPr>
              <w:suppressAutoHyphens w:val="0"/>
              <w:snapToGrid w:val="0"/>
              <w:spacing w:before="40" w:after="40" w:line="200" w:lineRule="exact"/>
              <w:jc w:val="right"/>
              <w:rPr>
                <w:sz w:val="18"/>
                <w:szCs w:val="22"/>
                <w:lang w:val="en-US"/>
              </w:rPr>
            </w:pPr>
            <w:r w:rsidRPr="00222917">
              <w:rPr>
                <w:sz w:val="18"/>
                <w:szCs w:val="22"/>
                <w:lang w:val="en-US"/>
              </w:rPr>
              <w:t>128</w:t>
            </w:r>
          </w:p>
        </w:tc>
        <w:tc>
          <w:tcPr>
            <w:tcW w:w="567" w:type="dxa"/>
            <w:shd w:val="clear" w:color="auto" w:fill="auto"/>
            <w:vAlign w:val="bottom"/>
          </w:tcPr>
          <w:p w:rsidR="001D2686" w:rsidRPr="00222917" w:rsidRDefault="001D2686" w:rsidP="001B1829">
            <w:pPr>
              <w:suppressAutoHyphens w:val="0"/>
              <w:snapToGrid w:val="0"/>
              <w:spacing w:before="40" w:after="40" w:line="200" w:lineRule="exact"/>
              <w:jc w:val="right"/>
              <w:rPr>
                <w:sz w:val="18"/>
                <w:szCs w:val="22"/>
                <w:lang w:val="en-US"/>
              </w:rPr>
            </w:pPr>
            <w:r w:rsidRPr="00222917">
              <w:rPr>
                <w:sz w:val="18"/>
                <w:szCs w:val="22"/>
                <w:lang w:val="en-US"/>
              </w:rPr>
              <w:t>13</w:t>
            </w:r>
          </w:p>
        </w:tc>
        <w:tc>
          <w:tcPr>
            <w:tcW w:w="567" w:type="dxa"/>
            <w:shd w:val="clear" w:color="auto" w:fill="auto"/>
            <w:vAlign w:val="bottom"/>
          </w:tcPr>
          <w:p w:rsidR="001D2686" w:rsidRPr="00222917" w:rsidRDefault="001D2686" w:rsidP="001B1829">
            <w:pPr>
              <w:suppressAutoHyphens w:val="0"/>
              <w:snapToGrid w:val="0"/>
              <w:spacing w:before="40" w:after="40" w:line="200" w:lineRule="exact"/>
              <w:jc w:val="right"/>
              <w:rPr>
                <w:sz w:val="18"/>
                <w:szCs w:val="22"/>
                <w:lang w:val="en-US"/>
              </w:rPr>
            </w:pPr>
            <w:r w:rsidRPr="00222917">
              <w:rPr>
                <w:sz w:val="18"/>
                <w:szCs w:val="22"/>
                <w:lang w:val="en-US"/>
              </w:rPr>
              <w:t>9</w:t>
            </w:r>
          </w:p>
        </w:tc>
        <w:tc>
          <w:tcPr>
            <w:tcW w:w="567" w:type="dxa"/>
            <w:shd w:val="clear" w:color="auto" w:fill="auto"/>
            <w:vAlign w:val="bottom"/>
          </w:tcPr>
          <w:p w:rsidR="001D2686" w:rsidRPr="00222917" w:rsidRDefault="001D2686" w:rsidP="001B1829">
            <w:pPr>
              <w:suppressAutoHyphens w:val="0"/>
              <w:snapToGrid w:val="0"/>
              <w:spacing w:before="40" w:after="40" w:line="200" w:lineRule="exact"/>
              <w:jc w:val="right"/>
              <w:rPr>
                <w:sz w:val="18"/>
                <w:szCs w:val="22"/>
                <w:lang w:val="en-US"/>
              </w:rPr>
            </w:pPr>
            <w:r w:rsidRPr="00222917">
              <w:rPr>
                <w:sz w:val="18"/>
                <w:szCs w:val="22"/>
                <w:lang w:val="en-US"/>
              </w:rPr>
              <w:t>29</w:t>
            </w:r>
          </w:p>
        </w:tc>
        <w:tc>
          <w:tcPr>
            <w:tcW w:w="567" w:type="dxa"/>
            <w:shd w:val="clear" w:color="auto" w:fill="auto"/>
            <w:vAlign w:val="bottom"/>
          </w:tcPr>
          <w:p w:rsidR="001D2686" w:rsidRPr="00222917" w:rsidRDefault="001D2686" w:rsidP="001B1829">
            <w:pPr>
              <w:suppressAutoHyphens w:val="0"/>
              <w:snapToGrid w:val="0"/>
              <w:spacing w:before="40" w:after="40" w:line="200" w:lineRule="exact"/>
              <w:jc w:val="right"/>
              <w:rPr>
                <w:sz w:val="18"/>
                <w:szCs w:val="22"/>
                <w:lang w:val="en-US"/>
              </w:rPr>
            </w:pPr>
            <w:r w:rsidRPr="00222917">
              <w:rPr>
                <w:sz w:val="18"/>
                <w:szCs w:val="22"/>
                <w:lang w:val="en-US"/>
              </w:rPr>
              <w:t>43</w:t>
            </w:r>
          </w:p>
        </w:tc>
        <w:tc>
          <w:tcPr>
            <w:tcW w:w="567" w:type="dxa"/>
            <w:shd w:val="clear" w:color="auto" w:fill="auto"/>
            <w:vAlign w:val="bottom"/>
          </w:tcPr>
          <w:p w:rsidR="001D2686" w:rsidRPr="00222917" w:rsidRDefault="001D2686" w:rsidP="001B1829">
            <w:pPr>
              <w:suppressAutoHyphens w:val="0"/>
              <w:snapToGrid w:val="0"/>
              <w:spacing w:before="40" w:after="40" w:line="200" w:lineRule="exact"/>
              <w:jc w:val="right"/>
              <w:rPr>
                <w:sz w:val="18"/>
                <w:szCs w:val="22"/>
                <w:lang w:val="en-US"/>
              </w:rPr>
            </w:pPr>
            <w:r w:rsidRPr="00222917">
              <w:rPr>
                <w:sz w:val="18"/>
                <w:szCs w:val="22"/>
                <w:lang w:val="en-US"/>
              </w:rPr>
              <w:t>2</w:t>
            </w:r>
          </w:p>
        </w:tc>
        <w:tc>
          <w:tcPr>
            <w:tcW w:w="567" w:type="dxa"/>
            <w:shd w:val="clear" w:color="auto" w:fill="auto"/>
            <w:vAlign w:val="bottom"/>
          </w:tcPr>
          <w:p w:rsidR="001D2686" w:rsidRPr="00222917" w:rsidRDefault="001D2686" w:rsidP="001B1829">
            <w:pPr>
              <w:suppressAutoHyphens w:val="0"/>
              <w:snapToGrid w:val="0"/>
              <w:spacing w:before="40" w:after="40" w:line="200" w:lineRule="exact"/>
              <w:jc w:val="right"/>
              <w:rPr>
                <w:sz w:val="18"/>
                <w:szCs w:val="22"/>
                <w:lang w:val="en-US"/>
              </w:rPr>
            </w:pPr>
            <w:r w:rsidRPr="00222917">
              <w:rPr>
                <w:sz w:val="18"/>
                <w:szCs w:val="22"/>
                <w:lang w:val="en-US"/>
              </w:rPr>
              <w:t>20</w:t>
            </w:r>
          </w:p>
        </w:tc>
        <w:tc>
          <w:tcPr>
            <w:tcW w:w="567" w:type="dxa"/>
            <w:shd w:val="clear" w:color="auto" w:fill="auto"/>
            <w:vAlign w:val="bottom"/>
          </w:tcPr>
          <w:p w:rsidR="001D2686" w:rsidRPr="00222917" w:rsidRDefault="001D2686" w:rsidP="001B1829">
            <w:pPr>
              <w:suppressAutoHyphens w:val="0"/>
              <w:snapToGrid w:val="0"/>
              <w:spacing w:before="40" w:after="40" w:line="200" w:lineRule="exact"/>
              <w:jc w:val="right"/>
              <w:rPr>
                <w:sz w:val="18"/>
                <w:szCs w:val="22"/>
                <w:lang w:val="en-US"/>
              </w:rPr>
            </w:pPr>
            <w:r w:rsidRPr="00222917">
              <w:rPr>
                <w:sz w:val="18"/>
                <w:szCs w:val="22"/>
                <w:lang w:val="en-US"/>
              </w:rPr>
              <w:t>77</w:t>
            </w:r>
          </w:p>
        </w:tc>
        <w:tc>
          <w:tcPr>
            <w:tcW w:w="567" w:type="dxa"/>
            <w:shd w:val="clear" w:color="auto" w:fill="auto"/>
            <w:vAlign w:val="bottom"/>
          </w:tcPr>
          <w:p w:rsidR="001D2686" w:rsidRPr="00222917" w:rsidRDefault="001D2686" w:rsidP="001B1829">
            <w:pPr>
              <w:suppressAutoHyphens w:val="0"/>
              <w:snapToGrid w:val="0"/>
              <w:spacing w:before="40" w:after="40" w:line="200" w:lineRule="exact"/>
              <w:jc w:val="right"/>
              <w:rPr>
                <w:sz w:val="18"/>
                <w:szCs w:val="22"/>
                <w:lang w:val="en-US"/>
              </w:rPr>
            </w:pPr>
            <w:r w:rsidRPr="00222917">
              <w:rPr>
                <w:sz w:val="18"/>
                <w:szCs w:val="22"/>
                <w:lang w:val="en-US"/>
              </w:rPr>
              <w:t>191</w:t>
            </w:r>
          </w:p>
        </w:tc>
      </w:tr>
      <w:tr w:rsidR="001D2686" w:rsidRPr="00222917" w:rsidTr="006F5767">
        <w:trPr>
          <w:trHeight w:val="240"/>
        </w:trPr>
        <w:tc>
          <w:tcPr>
            <w:tcW w:w="567" w:type="dxa"/>
            <w:shd w:val="clear" w:color="auto" w:fill="auto"/>
          </w:tcPr>
          <w:p w:rsidR="001D2686" w:rsidRPr="00222917" w:rsidRDefault="001D2686" w:rsidP="001B1829">
            <w:pPr>
              <w:suppressAutoHyphens w:val="0"/>
              <w:snapToGrid w:val="0"/>
              <w:spacing w:before="40" w:after="40" w:line="200" w:lineRule="exact"/>
              <w:rPr>
                <w:sz w:val="18"/>
                <w:szCs w:val="22"/>
                <w:lang w:val="en-US"/>
              </w:rPr>
            </w:pPr>
            <w:r w:rsidRPr="00222917">
              <w:rPr>
                <w:sz w:val="18"/>
                <w:szCs w:val="22"/>
                <w:lang w:val="en-US"/>
              </w:rPr>
              <w:t>2009</w:t>
            </w:r>
          </w:p>
        </w:tc>
        <w:tc>
          <w:tcPr>
            <w:tcW w:w="567" w:type="dxa"/>
            <w:shd w:val="clear" w:color="auto" w:fill="auto"/>
            <w:vAlign w:val="bottom"/>
          </w:tcPr>
          <w:p w:rsidR="001D2686" w:rsidRPr="00222917" w:rsidRDefault="001D2686" w:rsidP="001B1829">
            <w:pPr>
              <w:suppressAutoHyphens w:val="0"/>
              <w:snapToGrid w:val="0"/>
              <w:spacing w:before="40" w:after="40" w:line="200" w:lineRule="exact"/>
              <w:jc w:val="right"/>
              <w:rPr>
                <w:b/>
                <w:sz w:val="18"/>
                <w:szCs w:val="22"/>
                <w:lang w:val="en-US"/>
              </w:rPr>
            </w:pPr>
            <w:r w:rsidRPr="00222917">
              <w:rPr>
                <w:b/>
                <w:sz w:val="18"/>
                <w:szCs w:val="22"/>
                <w:lang w:val="en-US"/>
              </w:rPr>
              <w:t>404</w:t>
            </w:r>
          </w:p>
        </w:tc>
        <w:tc>
          <w:tcPr>
            <w:tcW w:w="567" w:type="dxa"/>
            <w:shd w:val="clear" w:color="auto" w:fill="auto"/>
            <w:vAlign w:val="bottom"/>
          </w:tcPr>
          <w:p w:rsidR="001D2686" w:rsidRPr="00222917" w:rsidRDefault="001D2686" w:rsidP="001B1829">
            <w:pPr>
              <w:suppressAutoHyphens w:val="0"/>
              <w:snapToGrid w:val="0"/>
              <w:spacing w:before="40" w:after="40" w:line="200" w:lineRule="exact"/>
              <w:jc w:val="right"/>
              <w:rPr>
                <w:b/>
                <w:sz w:val="18"/>
                <w:szCs w:val="22"/>
                <w:lang w:val="en-US"/>
              </w:rPr>
            </w:pPr>
            <w:r w:rsidRPr="00222917">
              <w:rPr>
                <w:b/>
                <w:sz w:val="18"/>
                <w:szCs w:val="22"/>
                <w:lang w:val="en-US"/>
              </w:rPr>
              <w:t>404</w:t>
            </w:r>
          </w:p>
        </w:tc>
        <w:tc>
          <w:tcPr>
            <w:tcW w:w="567" w:type="dxa"/>
            <w:shd w:val="clear" w:color="auto" w:fill="auto"/>
            <w:vAlign w:val="bottom"/>
          </w:tcPr>
          <w:p w:rsidR="001D2686" w:rsidRPr="00222917" w:rsidRDefault="001D2686" w:rsidP="001B1829">
            <w:pPr>
              <w:suppressAutoHyphens w:val="0"/>
              <w:snapToGrid w:val="0"/>
              <w:spacing w:before="40" w:after="40" w:line="200" w:lineRule="exact"/>
              <w:jc w:val="right"/>
              <w:rPr>
                <w:sz w:val="18"/>
                <w:szCs w:val="22"/>
                <w:lang w:val="en-US"/>
              </w:rPr>
            </w:pPr>
            <w:r w:rsidRPr="00222917">
              <w:rPr>
                <w:sz w:val="18"/>
                <w:szCs w:val="22"/>
                <w:lang w:val="en-US"/>
              </w:rPr>
              <w:t>147</w:t>
            </w:r>
          </w:p>
        </w:tc>
        <w:tc>
          <w:tcPr>
            <w:tcW w:w="567" w:type="dxa"/>
            <w:shd w:val="clear" w:color="auto" w:fill="auto"/>
            <w:vAlign w:val="bottom"/>
          </w:tcPr>
          <w:p w:rsidR="001D2686" w:rsidRPr="00222917" w:rsidRDefault="001D2686" w:rsidP="001B1829">
            <w:pPr>
              <w:suppressAutoHyphens w:val="0"/>
              <w:snapToGrid w:val="0"/>
              <w:spacing w:before="40" w:after="40" w:line="200" w:lineRule="exact"/>
              <w:jc w:val="right"/>
              <w:rPr>
                <w:sz w:val="18"/>
                <w:szCs w:val="22"/>
                <w:lang w:val="en-US"/>
              </w:rPr>
            </w:pPr>
            <w:r w:rsidRPr="00222917">
              <w:rPr>
                <w:sz w:val="18"/>
                <w:szCs w:val="22"/>
                <w:lang w:val="en-US"/>
              </w:rPr>
              <w:t>147</w:t>
            </w:r>
          </w:p>
        </w:tc>
        <w:tc>
          <w:tcPr>
            <w:tcW w:w="567" w:type="dxa"/>
            <w:shd w:val="clear" w:color="auto" w:fill="auto"/>
            <w:vAlign w:val="bottom"/>
          </w:tcPr>
          <w:p w:rsidR="001D2686" w:rsidRPr="00222917" w:rsidRDefault="001D2686" w:rsidP="001B1829">
            <w:pPr>
              <w:suppressAutoHyphens w:val="0"/>
              <w:snapToGrid w:val="0"/>
              <w:spacing w:before="40" w:after="40" w:line="200" w:lineRule="exact"/>
              <w:jc w:val="right"/>
              <w:rPr>
                <w:sz w:val="18"/>
                <w:szCs w:val="22"/>
                <w:lang w:val="en-US"/>
              </w:rPr>
            </w:pPr>
            <w:r w:rsidRPr="00222917">
              <w:rPr>
                <w:sz w:val="18"/>
                <w:szCs w:val="22"/>
                <w:lang w:val="en-US"/>
              </w:rPr>
              <w:t>9</w:t>
            </w:r>
          </w:p>
        </w:tc>
        <w:tc>
          <w:tcPr>
            <w:tcW w:w="567" w:type="dxa"/>
            <w:shd w:val="clear" w:color="auto" w:fill="auto"/>
            <w:vAlign w:val="bottom"/>
          </w:tcPr>
          <w:p w:rsidR="001D2686" w:rsidRPr="00222917" w:rsidRDefault="001D2686" w:rsidP="001B1829">
            <w:pPr>
              <w:suppressAutoHyphens w:val="0"/>
              <w:snapToGrid w:val="0"/>
              <w:spacing w:before="40" w:after="40" w:line="200" w:lineRule="exact"/>
              <w:jc w:val="right"/>
              <w:rPr>
                <w:sz w:val="18"/>
                <w:szCs w:val="22"/>
                <w:lang w:val="en-US"/>
              </w:rPr>
            </w:pPr>
            <w:r w:rsidRPr="00222917">
              <w:rPr>
                <w:sz w:val="18"/>
                <w:szCs w:val="22"/>
                <w:lang w:val="en-US"/>
              </w:rPr>
              <w:t>9</w:t>
            </w:r>
          </w:p>
        </w:tc>
        <w:tc>
          <w:tcPr>
            <w:tcW w:w="567" w:type="dxa"/>
            <w:shd w:val="clear" w:color="auto" w:fill="auto"/>
            <w:vAlign w:val="bottom"/>
          </w:tcPr>
          <w:p w:rsidR="001D2686" w:rsidRPr="00222917" w:rsidRDefault="001D2686" w:rsidP="001B1829">
            <w:pPr>
              <w:suppressAutoHyphens w:val="0"/>
              <w:snapToGrid w:val="0"/>
              <w:spacing w:before="40" w:after="40" w:line="200" w:lineRule="exact"/>
              <w:jc w:val="right"/>
              <w:rPr>
                <w:sz w:val="18"/>
                <w:szCs w:val="22"/>
                <w:lang w:val="en-US"/>
              </w:rPr>
            </w:pPr>
            <w:r w:rsidRPr="00222917">
              <w:rPr>
                <w:sz w:val="18"/>
                <w:szCs w:val="22"/>
                <w:lang w:val="en-US"/>
              </w:rPr>
              <w:t>30</w:t>
            </w:r>
          </w:p>
        </w:tc>
        <w:tc>
          <w:tcPr>
            <w:tcW w:w="567" w:type="dxa"/>
            <w:shd w:val="clear" w:color="auto" w:fill="auto"/>
            <w:vAlign w:val="bottom"/>
          </w:tcPr>
          <w:p w:rsidR="001D2686" w:rsidRPr="00222917" w:rsidRDefault="001D2686" w:rsidP="001B1829">
            <w:pPr>
              <w:suppressAutoHyphens w:val="0"/>
              <w:snapToGrid w:val="0"/>
              <w:spacing w:before="40" w:after="40" w:line="200" w:lineRule="exact"/>
              <w:jc w:val="right"/>
              <w:rPr>
                <w:sz w:val="18"/>
                <w:szCs w:val="22"/>
                <w:lang w:val="en-US"/>
              </w:rPr>
            </w:pPr>
            <w:r w:rsidRPr="00222917">
              <w:rPr>
                <w:sz w:val="18"/>
                <w:szCs w:val="22"/>
                <w:lang w:val="en-US"/>
              </w:rPr>
              <w:t>30</w:t>
            </w:r>
          </w:p>
        </w:tc>
        <w:tc>
          <w:tcPr>
            <w:tcW w:w="567" w:type="dxa"/>
            <w:shd w:val="clear" w:color="auto" w:fill="auto"/>
            <w:vAlign w:val="bottom"/>
          </w:tcPr>
          <w:p w:rsidR="001D2686" w:rsidRPr="00222917" w:rsidRDefault="001D2686" w:rsidP="001B1829">
            <w:pPr>
              <w:suppressAutoHyphens w:val="0"/>
              <w:snapToGrid w:val="0"/>
              <w:spacing w:before="40" w:after="40" w:line="200" w:lineRule="exact"/>
              <w:jc w:val="right"/>
              <w:rPr>
                <w:sz w:val="18"/>
                <w:szCs w:val="22"/>
                <w:lang w:val="en-US"/>
              </w:rPr>
            </w:pPr>
            <w:r w:rsidRPr="00222917">
              <w:rPr>
                <w:sz w:val="18"/>
                <w:szCs w:val="22"/>
                <w:lang w:val="en-US"/>
              </w:rPr>
              <w:t>22</w:t>
            </w:r>
          </w:p>
        </w:tc>
        <w:tc>
          <w:tcPr>
            <w:tcW w:w="567" w:type="dxa"/>
            <w:shd w:val="clear" w:color="auto" w:fill="auto"/>
            <w:vAlign w:val="bottom"/>
          </w:tcPr>
          <w:p w:rsidR="001D2686" w:rsidRPr="00222917" w:rsidRDefault="001D2686" w:rsidP="001B1829">
            <w:pPr>
              <w:suppressAutoHyphens w:val="0"/>
              <w:snapToGrid w:val="0"/>
              <w:spacing w:before="40" w:after="40" w:line="200" w:lineRule="exact"/>
              <w:jc w:val="right"/>
              <w:rPr>
                <w:sz w:val="18"/>
                <w:szCs w:val="22"/>
                <w:lang w:val="en-US"/>
              </w:rPr>
            </w:pPr>
            <w:r w:rsidRPr="00222917">
              <w:rPr>
                <w:sz w:val="18"/>
                <w:szCs w:val="22"/>
                <w:lang w:val="en-US"/>
              </w:rPr>
              <w:t>22</w:t>
            </w:r>
          </w:p>
        </w:tc>
        <w:tc>
          <w:tcPr>
            <w:tcW w:w="567" w:type="dxa"/>
            <w:shd w:val="clear" w:color="auto" w:fill="auto"/>
            <w:vAlign w:val="bottom"/>
          </w:tcPr>
          <w:p w:rsidR="001D2686" w:rsidRPr="00222917" w:rsidRDefault="001D2686" w:rsidP="001B1829">
            <w:pPr>
              <w:suppressAutoHyphens w:val="0"/>
              <w:snapToGrid w:val="0"/>
              <w:spacing w:before="40" w:after="40" w:line="200" w:lineRule="exact"/>
              <w:jc w:val="right"/>
              <w:rPr>
                <w:sz w:val="18"/>
                <w:szCs w:val="22"/>
                <w:lang w:val="en-US"/>
              </w:rPr>
            </w:pPr>
            <w:r w:rsidRPr="00222917">
              <w:rPr>
                <w:sz w:val="18"/>
                <w:szCs w:val="22"/>
                <w:lang w:val="en-US"/>
              </w:rPr>
              <w:t>196</w:t>
            </w:r>
          </w:p>
        </w:tc>
        <w:tc>
          <w:tcPr>
            <w:tcW w:w="567" w:type="dxa"/>
            <w:shd w:val="clear" w:color="auto" w:fill="auto"/>
            <w:vAlign w:val="bottom"/>
          </w:tcPr>
          <w:p w:rsidR="001D2686" w:rsidRPr="00222917" w:rsidRDefault="001D2686" w:rsidP="001B1829">
            <w:pPr>
              <w:suppressAutoHyphens w:val="0"/>
              <w:snapToGrid w:val="0"/>
              <w:spacing w:before="40" w:after="40" w:line="200" w:lineRule="exact"/>
              <w:jc w:val="right"/>
              <w:rPr>
                <w:sz w:val="18"/>
                <w:szCs w:val="22"/>
                <w:lang w:val="en-US"/>
              </w:rPr>
            </w:pPr>
            <w:r w:rsidRPr="00222917">
              <w:rPr>
                <w:sz w:val="18"/>
                <w:szCs w:val="22"/>
                <w:lang w:val="en-US"/>
              </w:rPr>
              <w:t>196</w:t>
            </w:r>
          </w:p>
        </w:tc>
      </w:tr>
      <w:tr w:rsidR="001D2686" w:rsidRPr="00222917" w:rsidTr="006F5767">
        <w:trPr>
          <w:trHeight w:val="240"/>
        </w:trPr>
        <w:tc>
          <w:tcPr>
            <w:tcW w:w="567" w:type="dxa"/>
            <w:tcBorders>
              <w:bottom w:val="single" w:sz="12" w:space="0" w:color="auto"/>
            </w:tcBorders>
            <w:shd w:val="clear" w:color="auto" w:fill="auto"/>
          </w:tcPr>
          <w:p w:rsidR="001D2686" w:rsidRPr="00222917" w:rsidRDefault="001D2686" w:rsidP="001B1829">
            <w:pPr>
              <w:suppressAutoHyphens w:val="0"/>
              <w:snapToGrid w:val="0"/>
              <w:spacing w:before="40" w:after="40" w:line="200" w:lineRule="exact"/>
              <w:rPr>
                <w:sz w:val="18"/>
                <w:szCs w:val="22"/>
                <w:lang w:val="en-US"/>
              </w:rPr>
            </w:pPr>
            <w:r w:rsidRPr="00222917">
              <w:rPr>
                <w:sz w:val="18"/>
                <w:szCs w:val="22"/>
                <w:lang w:val="en-US"/>
              </w:rPr>
              <w:t>2010</w:t>
            </w:r>
          </w:p>
        </w:tc>
        <w:tc>
          <w:tcPr>
            <w:tcW w:w="567" w:type="dxa"/>
            <w:tcBorders>
              <w:bottom w:val="single" w:sz="12" w:space="0" w:color="auto"/>
            </w:tcBorders>
            <w:shd w:val="clear" w:color="auto" w:fill="auto"/>
            <w:vAlign w:val="bottom"/>
          </w:tcPr>
          <w:p w:rsidR="001D2686" w:rsidRPr="00222917" w:rsidRDefault="001D2686" w:rsidP="001B1829">
            <w:pPr>
              <w:suppressAutoHyphens w:val="0"/>
              <w:snapToGrid w:val="0"/>
              <w:spacing w:before="40" w:after="40" w:line="200" w:lineRule="exact"/>
              <w:jc w:val="right"/>
              <w:rPr>
                <w:b/>
                <w:sz w:val="18"/>
                <w:szCs w:val="22"/>
                <w:lang w:val="en-US"/>
              </w:rPr>
            </w:pPr>
            <w:r w:rsidRPr="00222917">
              <w:rPr>
                <w:b/>
                <w:sz w:val="18"/>
                <w:szCs w:val="22"/>
                <w:lang w:val="en-US"/>
              </w:rPr>
              <w:t>380</w:t>
            </w:r>
          </w:p>
        </w:tc>
        <w:tc>
          <w:tcPr>
            <w:tcW w:w="567" w:type="dxa"/>
            <w:tcBorders>
              <w:bottom w:val="single" w:sz="12" w:space="0" w:color="auto"/>
            </w:tcBorders>
            <w:shd w:val="clear" w:color="auto" w:fill="auto"/>
            <w:vAlign w:val="bottom"/>
          </w:tcPr>
          <w:p w:rsidR="001D2686" w:rsidRPr="00222917" w:rsidRDefault="001D2686" w:rsidP="001B1829">
            <w:pPr>
              <w:suppressAutoHyphens w:val="0"/>
              <w:snapToGrid w:val="0"/>
              <w:spacing w:before="40" w:after="40" w:line="200" w:lineRule="exact"/>
              <w:jc w:val="right"/>
              <w:rPr>
                <w:b/>
                <w:sz w:val="18"/>
                <w:szCs w:val="22"/>
                <w:lang w:val="en-US"/>
              </w:rPr>
            </w:pPr>
            <w:r w:rsidRPr="00222917">
              <w:rPr>
                <w:b/>
                <w:sz w:val="18"/>
                <w:szCs w:val="22"/>
                <w:lang w:val="en-US"/>
              </w:rPr>
              <w:t>380</w:t>
            </w:r>
          </w:p>
        </w:tc>
        <w:tc>
          <w:tcPr>
            <w:tcW w:w="567" w:type="dxa"/>
            <w:tcBorders>
              <w:bottom w:val="single" w:sz="12" w:space="0" w:color="auto"/>
            </w:tcBorders>
            <w:shd w:val="clear" w:color="auto" w:fill="auto"/>
            <w:vAlign w:val="bottom"/>
          </w:tcPr>
          <w:p w:rsidR="001D2686" w:rsidRPr="00222917" w:rsidRDefault="001D2686" w:rsidP="001B1829">
            <w:pPr>
              <w:suppressAutoHyphens w:val="0"/>
              <w:snapToGrid w:val="0"/>
              <w:spacing w:before="40" w:after="40" w:line="200" w:lineRule="exact"/>
              <w:jc w:val="right"/>
              <w:rPr>
                <w:sz w:val="18"/>
                <w:szCs w:val="22"/>
                <w:lang w:val="en-US"/>
              </w:rPr>
            </w:pPr>
            <w:r w:rsidRPr="00222917">
              <w:rPr>
                <w:sz w:val="18"/>
                <w:szCs w:val="22"/>
                <w:lang w:val="en-US"/>
              </w:rPr>
              <w:t>164</w:t>
            </w:r>
          </w:p>
        </w:tc>
        <w:tc>
          <w:tcPr>
            <w:tcW w:w="567" w:type="dxa"/>
            <w:tcBorders>
              <w:bottom w:val="single" w:sz="12" w:space="0" w:color="auto"/>
            </w:tcBorders>
            <w:shd w:val="clear" w:color="auto" w:fill="auto"/>
            <w:vAlign w:val="bottom"/>
          </w:tcPr>
          <w:p w:rsidR="001D2686" w:rsidRPr="00222917" w:rsidRDefault="001D2686" w:rsidP="001B1829">
            <w:pPr>
              <w:suppressAutoHyphens w:val="0"/>
              <w:snapToGrid w:val="0"/>
              <w:spacing w:before="40" w:after="40" w:line="200" w:lineRule="exact"/>
              <w:jc w:val="right"/>
              <w:rPr>
                <w:sz w:val="18"/>
                <w:szCs w:val="22"/>
                <w:lang w:val="en-US"/>
              </w:rPr>
            </w:pPr>
            <w:r w:rsidRPr="00222917">
              <w:rPr>
                <w:sz w:val="18"/>
                <w:szCs w:val="22"/>
                <w:lang w:val="en-US"/>
              </w:rPr>
              <w:t>164</w:t>
            </w:r>
          </w:p>
        </w:tc>
        <w:tc>
          <w:tcPr>
            <w:tcW w:w="567" w:type="dxa"/>
            <w:tcBorders>
              <w:bottom w:val="single" w:sz="12" w:space="0" w:color="auto"/>
            </w:tcBorders>
            <w:shd w:val="clear" w:color="auto" w:fill="auto"/>
            <w:vAlign w:val="bottom"/>
          </w:tcPr>
          <w:p w:rsidR="001D2686" w:rsidRPr="00222917" w:rsidRDefault="001D2686" w:rsidP="001B1829">
            <w:pPr>
              <w:suppressAutoHyphens w:val="0"/>
              <w:snapToGrid w:val="0"/>
              <w:spacing w:before="40" w:after="40" w:line="200" w:lineRule="exact"/>
              <w:jc w:val="right"/>
              <w:rPr>
                <w:sz w:val="18"/>
                <w:szCs w:val="22"/>
                <w:lang w:val="en-US"/>
              </w:rPr>
            </w:pPr>
            <w:r w:rsidRPr="00222917">
              <w:rPr>
                <w:sz w:val="18"/>
                <w:szCs w:val="22"/>
                <w:lang w:val="en-US"/>
              </w:rPr>
              <w:t>6</w:t>
            </w:r>
          </w:p>
        </w:tc>
        <w:tc>
          <w:tcPr>
            <w:tcW w:w="567" w:type="dxa"/>
            <w:tcBorders>
              <w:bottom w:val="single" w:sz="12" w:space="0" w:color="auto"/>
            </w:tcBorders>
            <w:shd w:val="clear" w:color="auto" w:fill="auto"/>
            <w:vAlign w:val="bottom"/>
          </w:tcPr>
          <w:p w:rsidR="001D2686" w:rsidRPr="00222917" w:rsidRDefault="001D2686" w:rsidP="001B1829">
            <w:pPr>
              <w:suppressAutoHyphens w:val="0"/>
              <w:snapToGrid w:val="0"/>
              <w:spacing w:before="40" w:after="40" w:line="200" w:lineRule="exact"/>
              <w:jc w:val="right"/>
              <w:rPr>
                <w:sz w:val="18"/>
                <w:szCs w:val="22"/>
                <w:lang w:val="en-US"/>
              </w:rPr>
            </w:pPr>
            <w:r w:rsidRPr="00222917">
              <w:rPr>
                <w:sz w:val="18"/>
                <w:szCs w:val="22"/>
                <w:lang w:val="en-US"/>
              </w:rPr>
              <w:t>6</w:t>
            </w:r>
          </w:p>
        </w:tc>
        <w:tc>
          <w:tcPr>
            <w:tcW w:w="567" w:type="dxa"/>
            <w:tcBorders>
              <w:bottom w:val="single" w:sz="12" w:space="0" w:color="auto"/>
            </w:tcBorders>
            <w:shd w:val="clear" w:color="auto" w:fill="auto"/>
            <w:vAlign w:val="bottom"/>
          </w:tcPr>
          <w:p w:rsidR="001D2686" w:rsidRPr="00222917" w:rsidRDefault="001D2686" w:rsidP="001B1829">
            <w:pPr>
              <w:suppressAutoHyphens w:val="0"/>
              <w:snapToGrid w:val="0"/>
              <w:spacing w:before="40" w:after="40" w:line="200" w:lineRule="exact"/>
              <w:jc w:val="right"/>
              <w:rPr>
                <w:sz w:val="18"/>
                <w:szCs w:val="22"/>
                <w:lang w:val="en-US"/>
              </w:rPr>
            </w:pPr>
            <w:r w:rsidRPr="00222917">
              <w:rPr>
                <w:sz w:val="18"/>
                <w:szCs w:val="22"/>
                <w:lang w:val="en-US"/>
              </w:rPr>
              <w:t>31</w:t>
            </w:r>
          </w:p>
        </w:tc>
        <w:tc>
          <w:tcPr>
            <w:tcW w:w="567" w:type="dxa"/>
            <w:tcBorders>
              <w:bottom w:val="single" w:sz="12" w:space="0" w:color="auto"/>
            </w:tcBorders>
            <w:shd w:val="clear" w:color="auto" w:fill="auto"/>
            <w:vAlign w:val="bottom"/>
          </w:tcPr>
          <w:p w:rsidR="001D2686" w:rsidRPr="00222917" w:rsidRDefault="001D2686" w:rsidP="001B1829">
            <w:pPr>
              <w:suppressAutoHyphens w:val="0"/>
              <w:snapToGrid w:val="0"/>
              <w:spacing w:before="40" w:after="40" w:line="200" w:lineRule="exact"/>
              <w:jc w:val="right"/>
              <w:rPr>
                <w:sz w:val="18"/>
                <w:szCs w:val="22"/>
                <w:lang w:val="en-US"/>
              </w:rPr>
            </w:pPr>
            <w:r w:rsidRPr="00222917">
              <w:rPr>
                <w:sz w:val="18"/>
                <w:szCs w:val="22"/>
                <w:lang w:val="en-US"/>
              </w:rPr>
              <w:t>31</w:t>
            </w:r>
          </w:p>
        </w:tc>
        <w:tc>
          <w:tcPr>
            <w:tcW w:w="567" w:type="dxa"/>
            <w:tcBorders>
              <w:bottom w:val="single" w:sz="12" w:space="0" w:color="auto"/>
            </w:tcBorders>
            <w:shd w:val="clear" w:color="auto" w:fill="auto"/>
            <w:vAlign w:val="bottom"/>
          </w:tcPr>
          <w:p w:rsidR="001D2686" w:rsidRPr="00222917" w:rsidRDefault="001D2686" w:rsidP="001B1829">
            <w:pPr>
              <w:suppressAutoHyphens w:val="0"/>
              <w:snapToGrid w:val="0"/>
              <w:spacing w:before="40" w:after="40" w:line="200" w:lineRule="exact"/>
              <w:jc w:val="right"/>
              <w:rPr>
                <w:sz w:val="18"/>
                <w:szCs w:val="22"/>
                <w:lang w:val="en-US"/>
              </w:rPr>
            </w:pPr>
            <w:r w:rsidRPr="00222917">
              <w:rPr>
                <w:sz w:val="18"/>
                <w:szCs w:val="22"/>
                <w:lang w:val="en-US"/>
              </w:rPr>
              <w:t>19</w:t>
            </w:r>
          </w:p>
        </w:tc>
        <w:tc>
          <w:tcPr>
            <w:tcW w:w="567" w:type="dxa"/>
            <w:tcBorders>
              <w:bottom w:val="single" w:sz="12" w:space="0" w:color="auto"/>
            </w:tcBorders>
            <w:shd w:val="clear" w:color="auto" w:fill="auto"/>
            <w:vAlign w:val="bottom"/>
          </w:tcPr>
          <w:p w:rsidR="001D2686" w:rsidRPr="00222917" w:rsidRDefault="001D2686" w:rsidP="001B1829">
            <w:pPr>
              <w:suppressAutoHyphens w:val="0"/>
              <w:snapToGrid w:val="0"/>
              <w:spacing w:before="40" w:after="40" w:line="200" w:lineRule="exact"/>
              <w:jc w:val="right"/>
              <w:rPr>
                <w:sz w:val="18"/>
                <w:szCs w:val="22"/>
                <w:lang w:val="en-US"/>
              </w:rPr>
            </w:pPr>
            <w:r w:rsidRPr="00222917">
              <w:rPr>
                <w:sz w:val="18"/>
                <w:szCs w:val="22"/>
                <w:lang w:val="en-US"/>
              </w:rPr>
              <w:t>19</w:t>
            </w:r>
          </w:p>
        </w:tc>
        <w:tc>
          <w:tcPr>
            <w:tcW w:w="567" w:type="dxa"/>
            <w:tcBorders>
              <w:bottom w:val="single" w:sz="12" w:space="0" w:color="auto"/>
            </w:tcBorders>
            <w:shd w:val="clear" w:color="auto" w:fill="auto"/>
            <w:vAlign w:val="bottom"/>
          </w:tcPr>
          <w:p w:rsidR="001D2686" w:rsidRPr="00222917" w:rsidRDefault="001D2686" w:rsidP="001B1829">
            <w:pPr>
              <w:suppressAutoHyphens w:val="0"/>
              <w:snapToGrid w:val="0"/>
              <w:spacing w:before="40" w:after="40" w:line="200" w:lineRule="exact"/>
              <w:jc w:val="right"/>
              <w:rPr>
                <w:sz w:val="18"/>
                <w:szCs w:val="22"/>
                <w:lang w:val="en-US"/>
              </w:rPr>
            </w:pPr>
            <w:r w:rsidRPr="00222917">
              <w:rPr>
                <w:sz w:val="18"/>
                <w:szCs w:val="22"/>
                <w:lang w:val="en-US"/>
              </w:rPr>
              <w:t>160</w:t>
            </w:r>
          </w:p>
        </w:tc>
        <w:tc>
          <w:tcPr>
            <w:tcW w:w="567" w:type="dxa"/>
            <w:tcBorders>
              <w:bottom w:val="single" w:sz="12" w:space="0" w:color="auto"/>
            </w:tcBorders>
            <w:shd w:val="clear" w:color="auto" w:fill="auto"/>
            <w:vAlign w:val="bottom"/>
          </w:tcPr>
          <w:p w:rsidR="001D2686" w:rsidRPr="00222917" w:rsidRDefault="001D2686" w:rsidP="001B1829">
            <w:pPr>
              <w:suppressAutoHyphens w:val="0"/>
              <w:snapToGrid w:val="0"/>
              <w:spacing w:before="40" w:after="40" w:line="200" w:lineRule="exact"/>
              <w:jc w:val="right"/>
              <w:rPr>
                <w:sz w:val="18"/>
                <w:szCs w:val="22"/>
                <w:lang w:val="en-US"/>
              </w:rPr>
            </w:pPr>
            <w:r w:rsidRPr="00222917">
              <w:rPr>
                <w:sz w:val="18"/>
                <w:szCs w:val="22"/>
                <w:lang w:val="en-US"/>
              </w:rPr>
              <w:t>160</w:t>
            </w:r>
          </w:p>
        </w:tc>
      </w:tr>
    </w:tbl>
    <w:p w:rsidR="002D5BB0" w:rsidRPr="00222917" w:rsidRDefault="001B1829" w:rsidP="001B1829">
      <w:pPr>
        <w:pStyle w:val="H1G"/>
        <w:rPr>
          <w:lang w:val="en-US"/>
        </w:rPr>
      </w:pPr>
      <w:r w:rsidRPr="00222917">
        <w:rPr>
          <w:lang w:val="en-US"/>
        </w:rPr>
        <w:tab/>
      </w:r>
      <w:r w:rsidRPr="00222917">
        <w:rPr>
          <w:lang w:val="en-US"/>
        </w:rPr>
        <w:tab/>
      </w:r>
      <w:r w:rsidR="002D5BB0" w:rsidRPr="00222917">
        <w:rPr>
          <w:lang w:val="en-US"/>
        </w:rPr>
        <w:t>Paragraph 3</w:t>
      </w:r>
      <w:bookmarkEnd w:id="139"/>
      <w:bookmarkEnd w:id="140"/>
      <w:r w:rsidR="002D5BB0" w:rsidRPr="00222917">
        <w:rPr>
          <w:lang w:val="en-US"/>
        </w:rPr>
        <w:t xml:space="preserve"> </w:t>
      </w:r>
    </w:p>
    <w:p w:rsidR="002D5BB0" w:rsidRPr="00222917" w:rsidRDefault="001B1829" w:rsidP="001B1829">
      <w:pPr>
        <w:pStyle w:val="H23G"/>
        <w:rPr>
          <w:lang w:val="en-US"/>
        </w:rPr>
      </w:pPr>
      <w:bookmarkStart w:id="141" w:name="_Toc307504092"/>
      <w:bookmarkStart w:id="142" w:name="_Toc336435864"/>
      <w:r w:rsidRPr="00222917">
        <w:rPr>
          <w:lang w:val="en-US"/>
        </w:rPr>
        <w:tab/>
      </w:r>
      <w:r w:rsidRPr="00222917">
        <w:rPr>
          <w:lang w:val="en-US"/>
        </w:rPr>
        <w:tab/>
      </w:r>
      <w:r w:rsidR="002D5BB0" w:rsidRPr="00222917">
        <w:rPr>
          <w:lang w:val="en-US"/>
        </w:rPr>
        <w:t>Treatment for Prisoners’ Social Reintegration</w:t>
      </w:r>
      <w:bookmarkEnd w:id="141"/>
      <w:bookmarkEnd w:id="142"/>
    </w:p>
    <w:p w:rsidR="002D5BB0" w:rsidRPr="00222917" w:rsidRDefault="00547908" w:rsidP="00547908">
      <w:pPr>
        <w:pStyle w:val="SingleTxtG"/>
        <w:rPr>
          <w:lang w:val="en-US"/>
        </w:rPr>
      </w:pPr>
      <w:r w:rsidRPr="00222917">
        <w:rPr>
          <w:lang w:val="en-US"/>
        </w:rPr>
        <w:t>203.</w:t>
      </w:r>
      <w:r w:rsidRPr="00222917">
        <w:rPr>
          <w:lang w:val="en-US"/>
        </w:rPr>
        <w:tab/>
      </w:r>
      <w:r w:rsidR="002D5BB0" w:rsidRPr="00222917">
        <w:rPr>
          <w:lang w:val="en-US"/>
        </w:rPr>
        <w:t xml:space="preserve">In order to support minor inmates with their social reintegration, scholarship projects for inmates who apply for admission to college, as well as business incubators such as </w:t>
      </w:r>
      <w:r w:rsidR="002D5BB0" w:rsidRPr="00222917">
        <w:rPr>
          <w:i/>
          <w:lang w:val="en-US"/>
        </w:rPr>
        <w:t>Ocean Bakery</w:t>
      </w:r>
      <w:r w:rsidR="002D5BB0" w:rsidRPr="00222917">
        <w:rPr>
          <w:lang w:val="en-US"/>
        </w:rPr>
        <w:t xml:space="preserve"> to help released juveniles find jobs and start businesses are in operation. Livelihood stabilization fund is provided in alignment with the education policy advisory body and the children foundation under the </w:t>
      </w:r>
      <w:r w:rsidR="002D5BB0" w:rsidRPr="004950CA">
        <w:rPr>
          <w:iCs/>
          <w:lang w:val="en-US"/>
        </w:rPr>
        <w:t>National Basic Living Security Act</w:t>
      </w:r>
      <w:r w:rsidR="002D5BB0" w:rsidRPr="00222917">
        <w:rPr>
          <w:lang w:val="en-US"/>
        </w:rPr>
        <w:t xml:space="preserve">. The system to add points based on educational performance and the checklist system for reward and punishment based on </w:t>
      </w:r>
      <w:r w:rsidR="002D5BB0" w:rsidRPr="00222917">
        <w:rPr>
          <w:bCs/>
          <w:lang w:val="en-US"/>
        </w:rPr>
        <w:t>behavior</w:t>
      </w:r>
      <w:r w:rsidR="002D5BB0" w:rsidRPr="00222917">
        <w:rPr>
          <w:lang w:val="en-US"/>
        </w:rPr>
        <w:t xml:space="preserve"> have been introduced to allow inmates to be released earlier if they behave and educationally perform well. </w:t>
      </w:r>
    </w:p>
    <w:p w:rsidR="002D5BB0" w:rsidRPr="00222917" w:rsidRDefault="00F9392C" w:rsidP="00F9392C">
      <w:pPr>
        <w:pStyle w:val="H23G"/>
        <w:rPr>
          <w:b w:val="0"/>
          <w:sz w:val="16"/>
          <w:szCs w:val="16"/>
          <w:lang w:val="en-US"/>
        </w:rPr>
      </w:pPr>
      <w:r w:rsidRPr="00222917">
        <w:rPr>
          <w:lang w:val="en-US"/>
        </w:rPr>
        <w:tab/>
      </w:r>
      <w:r w:rsidRPr="00222917">
        <w:rPr>
          <w:lang w:val="en-US"/>
        </w:rPr>
        <w:tab/>
      </w:r>
      <w:r w:rsidR="002D5BB0" w:rsidRPr="00222917">
        <w:rPr>
          <w:lang w:val="en-US"/>
        </w:rPr>
        <w:t>Payment of Livelihood Stabilization Fund</w:t>
      </w:r>
      <w:r w:rsidRPr="00222917">
        <w:rPr>
          <w:lang w:val="en-US"/>
        </w:rPr>
        <w:br/>
      </w:r>
      <w:r w:rsidR="002D5BB0" w:rsidRPr="00222917">
        <w:rPr>
          <w:b w:val="0"/>
          <w:sz w:val="16"/>
          <w:szCs w:val="16"/>
          <w:lang w:val="en-US"/>
        </w:rPr>
        <w:t>(In persons; KRW 1,000)</w:t>
      </w:r>
    </w:p>
    <w:tbl>
      <w:tblPr>
        <w:tblW w:w="0" w:type="auto"/>
        <w:tblInd w:w="1134" w:type="dxa"/>
        <w:tblBorders>
          <w:top w:val="single" w:sz="4" w:space="0" w:color="auto"/>
        </w:tblBorders>
        <w:tblLayout w:type="fixed"/>
        <w:tblCellMar>
          <w:left w:w="0" w:type="dxa"/>
          <w:right w:w="0" w:type="dxa"/>
        </w:tblCellMar>
        <w:tblLook w:val="00A0"/>
      </w:tblPr>
      <w:tblGrid>
        <w:gridCol w:w="851"/>
        <w:gridCol w:w="1985"/>
        <w:gridCol w:w="1134"/>
        <w:gridCol w:w="1134"/>
        <w:gridCol w:w="1134"/>
        <w:gridCol w:w="1134"/>
      </w:tblGrid>
      <w:tr w:rsidR="001D2686" w:rsidRPr="00222917" w:rsidTr="006F5767">
        <w:trPr>
          <w:tblHeader/>
        </w:trPr>
        <w:tc>
          <w:tcPr>
            <w:tcW w:w="851" w:type="dxa"/>
            <w:vMerge w:val="restart"/>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F9392C">
            <w:pPr>
              <w:pStyle w:val="SingleTxtG"/>
              <w:suppressAutoHyphens w:val="0"/>
              <w:spacing w:before="80" w:after="80" w:line="200" w:lineRule="exact"/>
              <w:ind w:left="0" w:right="0"/>
              <w:jc w:val="left"/>
              <w:rPr>
                <w:i/>
                <w:sz w:val="16"/>
                <w:szCs w:val="16"/>
                <w:lang w:val="en-US"/>
              </w:rPr>
            </w:pPr>
            <w:r w:rsidRPr="00222917">
              <w:rPr>
                <w:bCs/>
                <w:i/>
                <w:sz w:val="16"/>
                <w:szCs w:val="16"/>
                <w:lang w:val="en-US"/>
              </w:rPr>
              <w:t>Year</w:t>
            </w:r>
          </w:p>
        </w:tc>
        <w:tc>
          <w:tcPr>
            <w:tcW w:w="1985" w:type="dxa"/>
            <w:vMerge w:val="restart"/>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F9392C">
            <w:pPr>
              <w:pStyle w:val="SingleTxtG"/>
              <w:suppressAutoHyphens w:val="0"/>
              <w:spacing w:before="80" w:after="80" w:line="200" w:lineRule="exact"/>
              <w:ind w:left="0" w:right="0"/>
              <w:jc w:val="right"/>
              <w:rPr>
                <w:i/>
                <w:sz w:val="16"/>
                <w:szCs w:val="16"/>
                <w:lang w:val="en-US"/>
              </w:rPr>
            </w:pPr>
            <w:r w:rsidRPr="00222917">
              <w:rPr>
                <w:bCs/>
                <w:i/>
                <w:sz w:val="16"/>
                <w:szCs w:val="16"/>
                <w:lang w:val="en-US"/>
              </w:rPr>
              <w:t xml:space="preserve">Assistance under the </w:t>
            </w:r>
            <w:r w:rsidRPr="00222917">
              <w:rPr>
                <w:i/>
                <w:sz w:val="16"/>
                <w:szCs w:val="16"/>
                <w:lang w:val="en-US"/>
              </w:rPr>
              <w:t>National Basic Living Security Act</w:t>
            </w:r>
          </w:p>
        </w:tc>
        <w:tc>
          <w:tcPr>
            <w:tcW w:w="1134" w:type="dxa"/>
            <w:gridSpan w:val="2"/>
            <w:tcBorders>
              <w:top w:val="single" w:sz="4" w:space="0" w:color="auto"/>
              <w:bottom w:val="single" w:sz="4" w:space="0" w:color="auto"/>
            </w:tcBorders>
            <w:shd w:val="clear" w:color="auto" w:fill="auto"/>
            <w:tcMar>
              <w:top w:w="28" w:type="dxa"/>
              <w:left w:w="28" w:type="dxa"/>
              <w:bottom w:w="28" w:type="dxa"/>
              <w:right w:w="28" w:type="dxa"/>
            </w:tcMar>
            <w:vAlign w:val="bottom"/>
          </w:tcPr>
          <w:p w:rsidR="002D5BB0" w:rsidRPr="00222917" w:rsidRDefault="002D5BB0" w:rsidP="00F9392C">
            <w:pPr>
              <w:pStyle w:val="SingleTxtG"/>
              <w:suppressAutoHyphens w:val="0"/>
              <w:spacing w:before="80" w:after="80" w:line="200" w:lineRule="exact"/>
              <w:ind w:left="0" w:right="0"/>
              <w:jc w:val="center"/>
              <w:rPr>
                <w:i/>
                <w:sz w:val="16"/>
                <w:szCs w:val="16"/>
                <w:lang w:val="en-US"/>
              </w:rPr>
            </w:pPr>
            <w:r w:rsidRPr="00222917">
              <w:rPr>
                <w:bCs/>
                <w:i/>
                <w:sz w:val="16"/>
                <w:szCs w:val="16"/>
                <w:lang w:val="en-US"/>
              </w:rPr>
              <w:t>Sponsored by children’s foundations</w:t>
            </w:r>
          </w:p>
        </w:tc>
        <w:tc>
          <w:tcPr>
            <w:tcW w:w="1134" w:type="dxa"/>
            <w:gridSpan w:val="2"/>
            <w:tcBorders>
              <w:top w:val="single" w:sz="4" w:space="0" w:color="auto"/>
              <w:bottom w:val="single" w:sz="4" w:space="0" w:color="auto"/>
            </w:tcBorders>
            <w:shd w:val="clear" w:color="auto" w:fill="auto"/>
            <w:tcMar>
              <w:top w:w="28" w:type="dxa"/>
              <w:left w:w="28" w:type="dxa"/>
              <w:bottom w:w="28" w:type="dxa"/>
              <w:right w:w="28" w:type="dxa"/>
            </w:tcMar>
            <w:vAlign w:val="bottom"/>
          </w:tcPr>
          <w:p w:rsidR="002D5BB0" w:rsidRPr="00222917" w:rsidRDefault="002D5BB0" w:rsidP="00F9392C">
            <w:pPr>
              <w:pStyle w:val="SingleTxtG"/>
              <w:suppressAutoHyphens w:val="0"/>
              <w:spacing w:before="80" w:after="80" w:line="200" w:lineRule="exact"/>
              <w:ind w:left="0" w:right="0"/>
              <w:jc w:val="center"/>
              <w:rPr>
                <w:i/>
                <w:sz w:val="16"/>
                <w:szCs w:val="16"/>
                <w:lang w:val="en-US"/>
              </w:rPr>
            </w:pPr>
            <w:r w:rsidRPr="00222917">
              <w:rPr>
                <w:bCs/>
                <w:i/>
                <w:sz w:val="16"/>
                <w:szCs w:val="16"/>
                <w:lang w:val="en-US"/>
              </w:rPr>
              <w:t>Scholarships</w:t>
            </w:r>
          </w:p>
        </w:tc>
      </w:tr>
      <w:tr w:rsidR="001D2686" w:rsidRPr="00222917" w:rsidTr="006F5767">
        <w:trPr>
          <w:tblHeader/>
        </w:trPr>
        <w:tc>
          <w:tcPr>
            <w:tcW w:w="851" w:type="dxa"/>
            <w:vMerge/>
            <w:tcBorders>
              <w:top w:val="single" w:sz="12" w:space="0" w:color="auto"/>
              <w:bottom w:val="single" w:sz="12" w:space="0" w:color="auto"/>
            </w:tcBorders>
            <w:shd w:val="clear" w:color="auto" w:fill="auto"/>
            <w:vAlign w:val="bottom"/>
          </w:tcPr>
          <w:p w:rsidR="002D5BB0" w:rsidRPr="00222917" w:rsidRDefault="002D5BB0" w:rsidP="00F9392C">
            <w:pPr>
              <w:pStyle w:val="SingleTxtG"/>
              <w:suppressAutoHyphens w:val="0"/>
              <w:spacing w:before="80" w:after="80" w:line="200" w:lineRule="exact"/>
              <w:ind w:left="0" w:right="0"/>
              <w:jc w:val="left"/>
              <w:rPr>
                <w:i/>
                <w:sz w:val="16"/>
                <w:szCs w:val="16"/>
                <w:lang w:val="en-US"/>
              </w:rPr>
            </w:pPr>
          </w:p>
        </w:tc>
        <w:tc>
          <w:tcPr>
            <w:tcW w:w="1985" w:type="dxa"/>
            <w:vMerge/>
            <w:tcBorders>
              <w:top w:val="single" w:sz="12" w:space="0" w:color="auto"/>
              <w:bottom w:val="single" w:sz="12" w:space="0" w:color="auto"/>
            </w:tcBorders>
            <w:shd w:val="clear" w:color="auto" w:fill="auto"/>
            <w:vAlign w:val="bottom"/>
          </w:tcPr>
          <w:p w:rsidR="002D5BB0" w:rsidRPr="00222917" w:rsidRDefault="002D5BB0" w:rsidP="00F9392C">
            <w:pPr>
              <w:pStyle w:val="SingleTxtG"/>
              <w:suppressAutoHyphens w:val="0"/>
              <w:spacing w:before="80" w:after="80" w:line="200" w:lineRule="exact"/>
              <w:ind w:left="0" w:right="0"/>
              <w:jc w:val="right"/>
              <w:rPr>
                <w:i/>
                <w:sz w:val="16"/>
                <w:szCs w:val="16"/>
                <w:lang w:val="en-US"/>
              </w:rPr>
            </w:pPr>
          </w:p>
        </w:tc>
        <w:tc>
          <w:tcPr>
            <w:tcW w:w="1134"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F9392C">
            <w:pPr>
              <w:pStyle w:val="SingleTxtG"/>
              <w:suppressAutoHyphens w:val="0"/>
              <w:spacing w:before="80" w:after="80" w:line="200" w:lineRule="exact"/>
              <w:ind w:left="0" w:right="0"/>
              <w:jc w:val="right"/>
              <w:rPr>
                <w:i/>
                <w:sz w:val="16"/>
                <w:szCs w:val="16"/>
                <w:lang w:val="en-US"/>
              </w:rPr>
            </w:pPr>
            <w:r w:rsidRPr="00222917">
              <w:rPr>
                <w:bCs/>
                <w:i/>
                <w:sz w:val="16"/>
                <w:szCs w:val="16"/>
                <w:lang w:val="en-US"/>
              </w:rPr>
              <w:t>Persons</w:t>
            </w:r>
          </w:p>
        </w:tc>
        <w:tc>
          <w:tcPr>
            <w:tcW w:w="1134"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F9392C">
            <w:pPr>
              <w:pStyle w:val="SingleTxtG"/>
              <w:suppressAutoHyphens w:val="0"/>
              <w:spacing w:before="80" w:after="80" w:line="200" w:lineRule="exact"/>
              <w:ind w:left="0" w:right="0"/>
              <w:jc w:val="right"/>
              <w:rPr>
                <w:i/>
                <w:sz w:val="16"/>
                <w:szCs w:val="16"/>
                <w:lang w:val="en-US"/>
              </w:rPr>
            </w:pPr>
            <w:r w:rsidRPr="00222917">
              <w:rPr>
                <w:bCs/>
                <w:i/>
                <w:sz w:val="16"/>
                <w:szCs w:val="16"/>
                <w:lang w:val="en-US"/>
              </w:rPr>
              <w:t>Amount</w:t>
            </w:r>
          </w:p>
        </w:tc>
        <w:tc>
          <w:tcPr>
            <w:tcW w:w="1134"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F9392C">
            <w:pPr>
              <w:pStyle w:val="SingleTxtG"/>
              <w:suppressAutoHyphens w:val="0"/>
              <w:spacing w:before="80" w:after="80" w:line="200" w:lineRule="exact"/>
              <w:ind w:left="0" w:right="0"/>
              <w:jc w:val="right"/>
              <w:rPr>
                <w:i/>
                <w:sz w:val="16"/>
                <w:szCs w:val="16"/>
                <w:lang w:val="en-US"/>
              </w:rPr>
            </w:pPr>
            <w:r w:rsidRPr="00222917">
              <w:rPr>
                <w:bCs/>
                <w:i/>
                <w:sz w:val="16"/>
                <w:szCs w:val="16"/>
                <w:lang w:val="en-US"/>
              </w:rPr>
              <w:t>Persons</w:t>
            </w:r>
          </w:p>
        </w:tc>
        <w:tc>
          <w:tcPr>
            <w:tcW w:w="1134"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F9392C">
            <w:pPr>
              <w:pStyle w:val="SingleTxtG"/>
              <w:suppressAutoHyphens w:val="0"/>
              <w:spacing w:before="80" w:after="80" w:line="200" w:lineRule="exact"/>
              <w:ind w:left="0" w:right="0"/>
              <w:jc w:val="right"/>
              <w:rPr>
                <w:i/>
                <w:sz w:val="16"/>
                <w:szCs w:val="16"/>
                <w:lang w:val="en-US"/>
              </w:rPr>
            </w:pPr>
            <w:r w:rsidRPr="00222917">
              <w:rPr>
                <w:bCs/>
                <w:i/>
                <w:sz w:val="16"/>
                <w:szCs w:val="16"/>
                <w:lang w:val="en-US"/>
              </w:rPr>
              <w:t>Amount</w:t>
            </w:r>
          </w:p>
        </w:tc>
      </w:tr>
      <w:tr w:rsidR="001D2686" w:rsidRPr="00222917" w:rsidTr="006F5767">
        <w:tc>
          <w:tcPr>
            <w:tcW w:w="851" w:type="dxa"/>
            <w:tcBorders>
              <w:top w:val="single" w:sz="12" w:space="0" w:color="auto"/>
              <w:bottom w:val="single" w:sz="4" w:space="0" w:color="auto"/>
            </w:tcBorders>
            <w:shd w:val="clear" w:color="auto" w:fill="auto"/>
            <w:tcMar>
              <w:top w:w="28" w:type="dxa"/>
              <w:left w:w="28" w:type="dxa"/>
              <w:bottom w:w="28" w:type="dxa"/>
              <w:right w:w="28" w:type="dxa"/>
            </w:tcMar>
          </w:tcPr>
          <w:p w:rsidR="002D5BB0" w:rsidRPr="00222917" w:rsidRDefault="002D5BB0" w:rsidP="00F9392C">
            <w:pPr>
              <w:pStyle w:val="SingleTxtG"/>
              <w:suppressAutoHyphens w:val="0"/>
              <w:spacing w:before="80" w:after="80" w:line="220" w:lineRule="exact"/>
              <w:ind w:left="284" w:right="0"/>
              <w:jc w:val="left"/>
              <w:rPr>
                <w:b/>
                <w:sz w:val="18"/>
                <w:lang w:val="en-US"/>
              </w:rPr>
            </w:pPr>
            <w:r w:rsidRPr="00222917">
              <w:rPr>
                <w:b/>
                <w:sz w:val="18"/>
                <w:lang w:val="en-US"/>
              </w:rPr>
              <w:t>Total</w:t>
            </w:r>
          </w:p>
        </w:tc>
        <w:tc>
          <w:tcPr>
            <w:tcW w:w="1985" w:type="dxa"/>
            <w:tcBorders>
              <w:top w:val="single" w:sz="12" w:space="0" w:color="auto"/>
              <w:bottom w:val="single" w:sz="4" w:space="0" w:color="auto"/>
            </w:tcBorders>
            <w:shd w:val="clear" w:color="auto" w:fill="auto"/>
            <w:tcMar>
              <w:top w:w="28" w:type="dxa"/>
              <w:left w:w="28" w:type="dxa"/>
              <w:bottom w:w="28" w:type="dxa"/>
              <w:right w:w="28" w:type="dxa"/>
            </w:tcMar>
            <w:vAlign w:val="bottom"/>
          </w:tcPr>
          <w:p w:rsidR="002D5BB0" w:rsidRPr="00222917" w:rsidRDefault="002D5BB0" w:rsidP="00F9392C">
            <w:pPr>
              <w:pStyle w:val="SingleTxtG"/>
              <w:suppressAutoHyphens w:val="0"/>
              <w:spacing w:before="80" w:after="80" w:line="220" w:lineRule="exact"/>
              <w:ind w:left="0" w:right="0"/>
              <w:jc w:val="right"/>
              <w:rPr>
                <w:b/>
                <w:sz w:val="18"/>
                <w:lang w:val="en-US"/>
              </w:rPr>
            </w:pPr>
            <w:r w:rsidRPr="00222917">
              <w:rPr>
                <w:b/>
                <w:sz w:val="18"/>
                <w:lang w:val="en-US"/>
              </w:rPr>
              <w:t>392</w:t>
            </w:r>
          </w:p>
        </w:tc>
        <w:tc>
          <w:tcPr>
            <w:tcW w:w="1134" w:type="dxa"/>
            <w:tcBorders>
              <w:top w:val="single" w:sz="12" w:space="0" w:color="auto"/>
              <w:bottom w:val="single" w:sz="4" w:space="0" w:color="auto"/>
            </w:tcBorders>
            <w:shd w:val="clear" w:color="auto" w:fill="auto"/>
            <w:tcMar>
              <w:top w:w="28" w:type="dxa"/>
              <w:left w:w="28" w:type="dxa"/>
              <w:bottom w:w="28" w:type="dxa"/>
              <w:right w:w="28" w:type="dxa"/>
            </w:tcMar>
            <w:vAlign w:val="bottom"/>
          </w:tcPr>
          <w:p w:rsidR="002D5BB0" w:rsidRPr="00222917" w:rsidRDefault="002D5BB0" w:rsidP="00F9392C">
            <w:pPr>
              <w:pStyle w:val="SingleTxtG"/>
              <w:suppressAutoHyphens w:val="0"/>
              <w:spacing w:before="80" w:after="80" w:line="220" w:lineRule="exact"/>
              <w:ind w:left="0" w:right="0"/>
              <w:jc w:val="right"/>
              <w:rPr>
                <w:b/>
                <w:sz w:val="18"/>
                <w:lang w:val="en-US"/>
              </w:rPr>
            </w:pPr>
            <w:r w:rsidRPr="00222917">
              <w:rPr>
                <w:b/>
                <w:sz w:val="18"/>
                <w:lang w:val="en-US"/>
              </w:rPr>
              <w:t>98</w:t>
            </w:r>
          </w:p>
        </w:tc>
        <w:tc>
          <w:tcPr>
            <w:tcW w:w="1134" w:type="dxa"/>
            <w:tcBorders>
              <w:top w:val="single" w:sz="12" w:space="0" w:color="auto"/>
              <w:bottom w:val="single" w:sz="4" w:space="0" w:color="auto"/>
            </w:tcBorders>
            <w:shd w:val="clear" w:color="auto" w:fill="auto"/>
            <w:tcMar>
              <w:top w:w="28" w:type="dxa"/>
              <w:left w:w="28" w:type="dxa"/>
              <w:bottom w:w="28" w:type="dxa"/>
              <w:right w:w="28" w:type="dxa"/>
            </w:tcMar>
            <w:vAlign w:val="bottom"/>
          </w:tcPr>
          <w:p w:rsidR="002D5BB0" w:rsidRPr="00222917" w:rsidRDefault="002D5BB0" w:rsidP="00F9392C">
            <w:pPr>
              <w:pStyle w:val="SingleTxtG"/>
              <w:suppressAutoHyphens w:val="0"/>
              <w:spacing w:before="80" w:after="80" w:line="220" w:lineRule="exact"/>
              <w:ind w:left="0" w:right="0"/>
              <w:jc w:val="right"/>
              <w:rPr>
                <w:b/>
                <w:sz w:val="18"/>
                <w:lang w:val="en-US"/>
              </w:rPr>
            </w:pPr>
            <w:r w:rsidRPr="00222917">
              <w:rPr>
                <w:b/>
                <w:sz w:val="18"/>
                <w:lang w:val="en-US"/>
              </w:rPr>
              <w:t>403,400</w:t>
            </w:r>
          </w:p>
        </w:tc>
        <w:tc>
          <w:tcPr>
            <w:tcW w:w="1134" w:type="dxa"/>
            <w:tcBorders>
              <w:top w:val="single" w:sz="12" w:space="0" w:color="auto"/>
              <w:bottom w:val="single" w:sz="4" w:space="0" w:color="auto"/>
            </w:tcBorders>
            <w:shd w:val="clear" w:color="auto" w:fill="auto"/>
            <w:tcMar>
              <w:top w:w="28" w:type="dxa"/>
              <w:left w:w="28" w:type="dxa"/>
              <w:bottom w:w="28" w:type="dxa"/>
              <w:right w:w="28" w:type="dxa"/>
            </w:tcMar>
            <w:vAlign w:val="bottom"/>
          </w:tcPr>
          <w:p w:rsidR="002D5BB0" w:rsidRPr="00222917" w:rsidRDefault="002D5BB0" w:rsidP="00F9392C">
            <w:pPr>
              <w:pStyle w:val="SingleTxtG"/>
              <w:suppressAutoHyphens w:val="0"/>
              <w:spacing w:before="80" w:after="80" w:line="220" w:lineRule="exact"/>
              <w:ind w:left="0" w:right="0"/>
              <w:jc w:val="right"/>
              <w:rPr>
                <w:b/>
                <w:sz w:val="18"/>
                <w:lang w:val="en-US"/>
              </w:rPr>
            </w:pPr>
            <w:r w:rsidRPr="00222917">
              <w:rPr>
                <w:b/>
                <w:sz w:val="18"/>
                <w:lang w:val="en-US"/>
              </w:rPr>
              <w:t>558</w:t>
            </w:r>
          </w:p>
        </w:tc>
        <w:tc>
          <w:tcPr>
            <w:tcW w:w="1134" w:type="dxa"/>
            <w:tcBorders>
              <w:top w:val="single" w:sz="12" w:space="0" w:color="auto"/>
              <w:bottom w:val="single" w:sz="4" w:space="0" w:color="auto"/>
            </w:tcBorders>
            <w:shd w:val="clear" w:color="auto" w:fill="auto"/>
            <w:tcMar>
              <w:top w:w="28" w:type="dxa"/>
              <w:left w:w="28" w:type="dxa"/>
              <w:bottom w:w="28" w:type="dxa"/>
              <w:right w:w="28" w:type="dxa"/>
            </w:tcMar>
            <w:vAlign w:val="bottom"/>
          </w:tcPr>
          <w:p w:rsidR="002D5BB0" w:rsidRPr="00222917" w:rsidRDefault="002D5BB0" w:rsidP="00F9392C">
            <w:pPr>
              <w:pStyle w:val="SingleTxtG"/>
              <w:suppressAutoHyphens w:val="0"/>
              <w:spacing w:before="80" w:after="80" w:line="220" w:lineRule="exact"/>
              <w:ind w:left="0" w:right="0"/>
              <w:jc w:val="right"/>
              <w:rPr>
                <w:b/>
                <w:sz w:val="18"/>
                <w:lang w:val="en-US"/>
              </w:rPr>
            </w:pPr>
            <w:r w:rsidRPr="00222917">
              <w:rPr>
                <w:b/>
                <w:sz w:val="18"/>
                <w:lang w:val="en-US"/>
              </w:rPr>
              <w:t>392,660</w:t>
            </w:r>
          </w:p>
        </w:tc>
      </w:tr>
      <w:tr w:rsidR="001D2686" w:rsidRPr="00222917" w:rsidTr="006F5767">
        <w:tc>
          <w:tcPr>
            <w:tcW w:w="851" w:type="dxa"/>
            <w:tcBorders>
              <w:top w:val="single" w:sz="4" w:space="0" w:color="auto"/>
            </w:tcBorders>
            <w:shd w:val="clear" w:color="auto" w:fill="auto"/>
            <w:tcMar>
              <w:top w:w="28" w:type="dxa"/>
              <w:left w:w="28" w:type="dxa"/>
              <w:bottom w:w="28" w:type="dxa"/>
              <w:right w:w="28" w:type="dxa"/>
            </w:tcMar>
          </w:tcPr>
          <w:p w:rsidR="002D5BB0" w:rsidRPr="00222917" w:rsidRDefault="002D5BB0" w:rsidP="00F9392C">
            <w:pPr>
              <w:pStyle w:val="SingleTxtG"/>
              <w:suppressAutoHyphens w:val="0"/>
              <w:spacing w:before="40" w:after="40" w:line="220" w:lineRule="exact"/>
              <w:ind w:left="0" w:right="0"/>
              <w:jc w:val="left"/>
              <w:rPr>
                <w:sz w:val="18"/>
                <w:lang w:val="en-US"/>
              </w:rPr>
            </w:pPr>
            <w:r w:rsidRPr="00222917">
              <w:rPr>
                <w:sz w:val="18"/>
                <w:lang w:val="en-US"/>
              </w:rPr>
              <w:t>2004</w:t>
            </w:r>
          </w:p>
        </w:tc>
        <w:tc>
          <w:tcPr>
            <w:tcW w:w="1985" w:type="dxa"/>
            <w:tcBorders>
              <w:top w:val="single" w:sz="4" w:space="0" w:color="auto"/>
            </w:tcBorders>
            <w:shd w:val="clear" w:color="auto" w:fill="auto"/>
            <w:tcMar>
              <w:top w:w="28" w:type="dxa"/>
              <w:left w:w="28" w:type="dxa"/>
              <w:bottom w:w="28" w:type="dxa"/>
              <w:right w:w="28" w:type="dxa"/>
            </w:tcMar>
            <w:vAlign w:val="bottom"/>
          </w:tcPr>
          <w:p w:rsidR="002D5BB0" w:rsidRPr="00222917" w:rsidRDefault="002D5BB0" w:rsidP="00F9392C">
            <w:pPr>
              <w:pStyle w:val="SingleTxtG"/>
              <w:suppressAutoHyphens w:val="0"/>
              <w:spacing w:before="40" w:after="40" w:line="220" w:lineRule="exact"/>
              <w:ind w:left="0" w:right="0"/>
              <w:jc w:val="right"/>
              <w:rPr>
                <w:sz w:val="18"/>
                <w:lang w:val="en-US"/>
              </w:rPr>
            </w:pPr>
            <w:r w:rsidRPr="00222917">
              <w:rPr>
                <w:sz w:val="18"/>
                <w:lang w:val="en-US"/>
              </w:rPr>
              <w:t>70</w:t>
            </w:r>
          </w:p>
        </w:tc>
        <w:tc>
          <w:tcPr>
            <w:tcW w:w="1134" w:type="dxa"/>
            <w:tcBorders>
              <w:top w:val="single" w:sz="4" w:space="0" w:color="auto"/>
            </w:tcBorders>
            <w:shd w:val="clear" w:color="auto" w:fill="auto"/>
            <w:tcMar>
              <w:top w:w="28" w:type="dxa"/>
              <w:left w:w="28" w:type="dxa"/>
              <w:bottom w:w="28" w:type="dxa"/>
              <w:right w:w="28" w:type="dxa"/>
            </w:tcMar>
            <w:vAlign w:val="bottom"/>
          </w:tcPr>
          <w:p w:rsidR="002D5BB0" w:rsidRPr="00222917" w:rsidRDefault="002D5BB0" w:rsidP="00F9392C">
            <w:pPr>
              <w:pStyle w:val="SingleTxtG"/>
              <w:suppressAutoHyphens w:val="0"/>
              <w:spacing w:before="40" w:after="40" w:line="220" w:lineRule="exact"/>
              <w:ind w:left="0" w:right="0"/>
              <w:jc w:val="right"/>
              <w:rPr>
                <w:sz w:val="18"/>
                <w:lang w:val="en-US"/>
              </w:rPr>
            </w:pPr>
            <w:r w:rsidRPr="00222917">
              <w:rPr>
                <w:sz w:val="18"/>
                <w:lang w:val="en-US"/>
              </w:rPr>
              <w:t>18</w:t>
            </w:r>
          </w:p>
        </w:tc>
        <w:tc>
          <w:tcPr>
            <w:tcW w:w="1134" w:type="dxa"/>
            <w:tcBorders>
              <w:top w:val="single" w:sz="4" w:space="0" w:color="auto"/>
            </w:tcBorders>
            <w:shd w:val="clear" w:color="auto" w:fill="auto"/>
            <w:tcMar>
              <w:top w:w="28" w:type="dxa"/>
              <w:left w:w="28" w:type="dxa"/>
              <w:bottom w:w="28" w:type="dxa"/>
              <w:right w:w="28" w:type="dxa"/>
            </w:tcMar>
            <w:vAlign w:val="bottom"/>
          </w:tcPr>
          <w:p w:rsidR="002D5BB0" w:rsidRPr="00222917" w:rsidRDefault="002D5BB0" w:rsidP="00F9392C">
            <w:pPr>
              <w:pStyle w:val="SingleTxtG"/>
              <w:suppressAutoHyphens w:val="0"/>
              <w:spacing w:before="40" w:after="40" w:line="220" w:lineRule="exact"/>
              <w:ind w:left="0" w:right="0"/>
              <w:jc w:val="right"/>
              <w:rPr>
                <w:sz w:val="18"/>
                <w:lang w:val="en-US"/>
              </w:rPr>
            </w:pPr>
            <w:r w:rsidRPr="00222917">
              <w:rPr>
                <w:sz w:val="18"/>
                <w:lang w:val="en-US"/>
              </w:rPr>
              <w:t>77,480</w:t>
            </w:r>
          </w:p>
        </w:tc>
        <w:tc>
          <w:tcPr>
            <w:tcW w:w="1134" w:type="dxa"/>
            <w:tcBorders>
              <w:top w:val="single" w:sz="4" w:space="0" w:color="auto"/>
            </w:tcBorders>
            <w:shd w:val="clear" w:color="auto" w:fill="auto"/>
            <w:tcMar>
              <w:top w:w="28" w:type="dxa"/>
              <w:left w:w="28" w:type="dxa"/>
              <w:bottom w:w="28" w:type="dxa"/>
              <w:right w:w="28" w:type="dxa"/>
            </w:tcMar>
            <w:vAlign w:val="bottom"/>
          </w:tcPr>
          <w:p w:rsidR="002D5BB0" w:rsidRPr="00222917" w:rsidRDefault="002D5BB0" w:rsidP="00F9392C">
            <w:pPr>
              <w:pStyle w:val="SingleTxtG"/>
              <w:suppressAutoHyphens w:val="0"/>
              <w:spacing w:before="40" w:after="40" w:line="220" w:lineRule="exact"/>
              <w:ind w:left="0" w:right="0"/>
              <w:jc w:val="right"/>
              <w:rPr>
                <w:sz w:val="18"/>
                <w:lang w:val="en-US"/>
              </w:rPr>
            </w:pPr>
            <w:r w:rsidRPr="00222917">
              <w:rPr>
                <w:sz w:val="18"/>
                <w:lang w:val="en-US"/>
              </w:rPr>
              <w:t>71</w:t>
            </w:r>
          </w:p>
        </w:tc>
        <w:tc>
          <w:tcPr>
            <w:tcW w:w="1134" w:type="dxa"/>
            <w:tcBorders>
              <w:top w:val="single" w:sz="4" w:space="0" w:color="auto"/>
            </w:tcBorders>
            <w:shd w:val="clear" w:color="auto" w:fill="auto"/>
            <w:tcMar>
              <w:top w:w="28" w:type="dxa"/>
              <w:left w:w="28" w:type="dxa"/>
              <w:bottom w:w="28" w:type="dxa"/>
              <w:right w:w="28" w:type="dxa"/>
            </w:tcMar>
            <w:vAlign w:val="bottom"/>
          </w:tcPr>
          <w:p w:rsidR="002D5BB0" w:rsidRPr="00222917" w:rsidRDefault="002D5BB0" w:rsidP="00F9392C">
            <w:pPr>
              <w:pStyle w:val="SingleTxtG"/>
              <w:suppressAutoHyphens w:val="0"/>
              <w:spacing w:before="40" w:after="40" w:line="220" w:lineRule="exact"/>
              <w:ind w:left="0" w:right="0"/>
              <w:jc w:val="right"/>
              <w:rPr>
                <w:sz w:val="18"/>
                <w:lang w:val="en-US"/>
              </w:rPr>
            </w:pPr>
            <w:r w:rsidRPr="00222917">
              <w:rPr>
                <w:sz w:val="18"/>
                <w:lang w:val="en-US"/>
              </w:rPr>
              <w:t>66,370</w:t>
            </w:r>
          </w:p>
        </w:tc>
      </w:tr>
      <w:tr w:rsidR="001D2686" w:rsidRPr="00222917" w:rsidTr="006F5767">
        <w:tc>
          <w:tcPr>
            <w:tcW w:w="851" w:type="dxa"/>
            <w:shd w:val="clear" w:color="auto" w:fill="auto"/>
            <w:tcMar>
              <w:top w:w="28" w:type="dxa"/>
              <w:left w:w="28" w:type="dxa"/>
              <w:bottom w:w="28" w:type="dxa"/>
              <w:right w:w="28" w:type="dxa"/>
            </w:tcMar>
          </w:tcPr>
          <w:p w:rsidR="002D5BB0" w:rsidRPr="00222917" w:rsidRDefault="002D5BB0" w:rsidP="00F9392C">
            <w:pPr>
              <w:pStyle w:val="SingleTxtG"/>
              <w:suppressAutoHyphens w:val="0"/>
              <w:spacing w:before="40" w:after="40" w:line="220" w:lineRule="exact"/>
              <w:ind w:left="0" w:right="0"/>
              <w:jc w:val="left"/>
              <w:rPr>
                <w:sz w:val="18"/>
                <w:lang w:val="en-US"/>
              </w:rPr>
            </w:pPr>
            <w:r w:rsidRPr="00222917">
              <w:rPr>
                <w:sz w:val="18"/>
                <w:lang w:val="en-US"/>
              </w:rPr>
              <w:t>2005</w:t>
            </w:r>
          </w:p>
        </w:tc>
        <w:tc>
          <w:tcPr>
            <w:tcW w:w="1985" w:type="dxa"/>
            <w:shd w:val="clear" w:color="auto" w:fill="auto"/>
            <w:tcMar>
              <w:top w:w="28" w:type="dxa"/>
              <w:left w:w="28" w:type="dxa"/>
              <w:bottom w:w="28" w:type="dxa"/>
              <w:right w:w="28" w:type="dxa"/>
            </w:tcMar>
            <w:vAlign w:val="bottom"/>
          </w:tcPr>
          <w:p w:rsidR="002D5BB0" w:rsidRPr="00222917" w:rsidRDefault="002D5BB0" w:rsidP="00F9392C">
            <w:pPr>
              <w:pStyle w:val="SingleTxtG"/>
              <w:suppressAutoHyphens w:val="0"/>
              <w:spacing w:before="40" w:after="40" w:line="220" w:lineRule="exact"/>
              <w:ind w:left="0" w:right="0"/>
              <w:jc w:val="right"/>
              <w:rPr>
                <w:sz w:val="18"/>
                <w:lang w:val="en-US"/>
              </w:rPr>
            </w:pPr>
            <w:r w:rsidRPr="00222917">
              <w:rPr>
                <w:sz w:val="18"/>
                <w:lang w:val="en-US"/>
              </w:rPr>
              <w:t>41</w:t>
            </w:r>
          </w:p>
        </w:tc>
        <w:tc>
          <w:tcPr>
            <w:tcW w:w="1134" w:type="dxa"/>
            <w:shd w:val="clear" w:color="auto" w:fill="auto"/>
            <w:tcMar>
              <w:top w:w="28" w:type="dxa"/>
              <w:left w:w="28" w:type="dxa"/>
              <w:bottom w:w="28" w:type="dxa"/>
              <w:right w:w="28" w:type="dxa"/>
            </w:tcMar>
            <w:vAlign w:val="bottom"/>
          </w:tcPr>
          <w:p w:rsidR="002D5BB0" w:rsidRPr="00222917" w:rsidRDefault="002D5BB0" w:rsidP="00F9392C">
            <w:pPr>
              <w:pStyle w:val="SingleTxtG"/>
              <w:suppressAutoHyphens w:val="0"/>
              <w:spacing w:before="40" w:after="40" w:line="220" w:lineRule="exact"/>
              <w:ind w:left="0" w:right="0"/>
              <w:jc w:val="right"/>
              <w:rPr>
                <w:sz w:val="18"/>
                <w:lang w:val="en-US"/>
              </w:rPr>
            </w:pPr>
            <w:r w:rsidRPr="00222917">
              <w:rPr>
                <w:sz w:val="18"/>
                <w:lang w:val="en-US"/>
              </w:rPr>
              <w:t>13</w:t>
            </w:r>
          </w:p>
        </w:tc>
        <w:tc>
          <w:tcPr>
            <w:tcW w:w="1134" w:type="dxa"/>
            <w:shd w:val="clear" w:color="auto" w:fill="auto"/>
            <w:tcMar>
              <w:top w:w="28" w:type="dxa"/>
              <w:left w:w="28" w:type="dxa"/>
              <w:bottom w:w="28" w:type="dxa"/>
              <w:right w:w="28" w:type="dxa"/>
            </w:tcMar>
            <w:vAlign w:val="bottom"/>
          </w:tcPr>
          <w:p w:rsidR="002D5BB0" w:rsidRPr="00222917" w:rsidRDefault="002D5BB0" w:rsidP="00F9392C">
            <w:pPr>
              <w:pStyle w:val="SingleTxtG"/>
              <w:suppressAutoHyphens w:val="0"/>
              <w:spacing w:before="40" w:after="40" w:line="220" w:lineRule="exact"/>
              <w:ind w:left="0" w:right="0"/>
              <w:jc w:val="right"/>
              <w:rPr>
                <w:sz w:val="18"/>
                <w:lang w:val="en-US"/>
              </w:rPr>
            </w:pPr>
            <w:r w:rsidRPr="00222917">
              <w:rPr>
                <w:sz w:val="18"/>
                <w:lang w:val="en-US"/>
              </w:rPr>
              <w:t>63,690</w:t>
            </w:r>
          </w:p>
        </w:tc>
        <w:tc>
          <w:tcPr>
            <w:tcW w:w="1134" w:type="dxa"/>
            <w:shd w:val="clear" w:color="auto" w:fill="auto"/>
            <w:tcMar>
              <w:top w:w="28" w:type="dxa"/>
              <w:left w:w="28" w:type="dxa"/>
              <w:bottom w:w="28" w:type="dxa"/>
              <w:right w:w="28" w:type="dxa"/>
            </w:tcMar>
            <w:vAlign w:val="bottom"/>
          </w:tcPr>
          <w:p w:rsidR="002D5BB0" w:rsidRPr="00222917" w:rsidRDefault="002D5BB0" w:rsidP="00F9392C">
            <w:pPr>
              <w:pStyle w:val="SingleTxtG"/>
              <w:suppressAutoHyphens w:val="0"/>
              <w:spacing w:before="40" w:after="40" w:line="220" w:lineRule="exact"/>
              <w:ind w:left="0" w:right="0"/>
              <w:jc w:val="right"/>
              <w:rPr>
                <w:sz w:val="18"/>
                <w:lang w:val="en-US"/>
              </w:rPr>
            </w:pPr>
            <w:r w:rsidRPr="00222917">
              <w:rPr>
                <w:sz w:val="18"/>
                <w:lang w:val="en-US"/>
              </w:rPr>
              <w:t>72</w:t>
            </w:r>
          </w:p>
        </w:tc>
        <w:tc>
          <w:tcPr>
            <w:tcW w:w="1134" w:type="dxa"/>
            <w:shd w:val="clear" w:color="auto" w:fill="auto"/>
            <w:tcMar>
              <w:top w:w="28" w:type="dxa"/>
              <w:left w:w="28" w:type="dxa"/>
              <w:bottom w:w="28" w:type="dxa"/>
              <w:right w:w="28" w:type="dxa"/>
            </w:tcMar>
            <w:vAlign w:val="bottom"/>
          </w:tcPr>
          <w:p w:rsidR="002D5BB0" w:rsidRPr="00222917" w:rsidRDefault="002D5BB0" w:rsidP="00F9392C">
            <w:pPr>
              <w:pStyle w:val="SingleTxtG"/>
              <w:suppressAutoHyphens w:val="0"/>
              <w:spacing w:before="40" w:after="40" w:line="220" w:lineRule="exact"/>
              <w:ind w:left="0" w:right="0"/>
              <w:jc w:val="right"/>
              <w:rPr>
                <w:sz w:val="18"/>
                <w:lang w:val="en-US"/>
              </w:rPr>
            </w:pPr>
            <w:r w:rsidRPr="00222917">
              <w:rPr>
                <w:sz w:val="18"/>
                <w:lang w:val="en-US"/>
              </w:rPr>
              <w:t>39,150</w:t>
            </w:r>
          </w:p>
        </w:tc>
      </w:tr>
      <w:tr w:rsidR="001D2686" w:rsidRPr="00222917" w:rsidTr="006F5767">
        <w:tc>
          <w:tcPr>
            <w:tcW w:w="851" w:type="dxa"/>
            <w:shd w:val="clear" w:color="auto" w:fill="auto"/>
            <w:tcMar>
              <w:top w:w="28" w:type="dxa"/>
              <w:left w:w="28" w:type="dxa"/>
              <w:bottom w:w="28" w:type="dxa"/>
              <w:right w:w="28" w:type="dxa"/>
            </w:tcMar>
          </w:tcPr>
          <w:p w:rsidR="002D5BB0" w:rsidRPr="00222917" w:rsidRDefault="002D5BB0" w:rsidP="00F9392C">
            <w:pPr>
              <w:pStyle w:val="SingleTxtG"/>
              <w:suppressAutoHyphens w:val="0"/>
              <w:spacing w:before="40" w:after="40" w:line="220" w:lineRule="exact"/>
              <w:ind w:left="0" w:right="0"/>
              <w:jc w:val="left"/>
              <w:rPr>
                <w:sz w:val="18"/>
                <w:lang w:val="en-US"/>
              </w:rPr>
            </w:pPr>
            <w:r w:rsidRPr="00222917">
              <w:rPr>
                <w:sz w:val="18"/>
                <w:lang w:val="en-US"/>
              </w:rPr>
              <w:t>2006</w:t>
            </w:r>
          </w:p>
        </w:tc>
        <w:tc>
          <w:tcPr>
            <w:tcW w:w="1985" w:type="dxa"/>
            <w:shd w:val="clear" w:color="auto" w:fill="auto"/>
            <w:tcMar>
              <w:top w:w="28" w:type="dxa"/>
              <w:left w:w="28" w:type="dxa"/>
              <w:bottom w:w="28" w:type="dxa"/>
              <w:right w:w="28" w:type="dxa"/>
            </w:tcMar>
            <w:vAlign w:val="bottom"/>
          </w:tcPr>
          <w:p w:rsidR="002D5BB0" w:rsidRPr="00222917" w:rsidRDefault="002D5BB0" w:rsidP="00F9392C">
            <w:pPr>
              <w:pStyle w:val="SingleTxtG"/>
              <w:suppressAutoHyphens w:val="0"/>
              <w:spacing w:before="40" w:after="40" w:line="220" w:lineRule="exact"/>
              <w:ind w:left="0" w:right="0"/>
              <w:jc w:val="right"/>
              <w:rPr>
                <w:sz w:val="18"/>
                <w:lang w:val="en-US"/>
              </w:rPr>
            </w:pPr>
            <w:r w:rsidRPr="00222917">
              <w:rPr>
                <w:sz w:val="18"/>
                <w:lang w:val="en-US"/>
              </w:rPr>
              <w:t>56</w:t>
            </w:r>
          </w:p>
        </w:tc>
        <w:tc>
          <w:tcPr>
            <w:tcW w:w="1134" w:type="dxa"/>
            <w:shd w:val="clear" w:color="auto" w:fill="auto"/>
            <w:tcMar>
              <w:top w:w="28" w:type="dxa"/>
              <w:left w:w="28" w:type="dxa"/>
              <w:bottom w:w="28" w:type="dxa"/>
              <w:right w:w="28" w:type="dxa"/>
            </w:tcMar>
            <w:vAlign w:val="bottom"/>
          </w:tcPr>
          <w:p w:rsidR="002D5BB0" w:rsidRPr="00222917" w:rsidRDefault="002D5BB0" w:rsidP="00F9392C">
            <w:pPr>
              <w:pStyle w:val="SingleTxtG"/>
              <w:suppressAutoHyphens w:val="0"/>
              <w:spacing w:before="40" w:after="40" w:line="220" w:lineRule="exact"/>
              <w:ind w:left="0" w:right="0"/>
              <w:jc w:val="right"/>
              <w:rPr>
                <w:sz w:val="18"/>
                <w:lang w:val="en-US"/>
              </w:rPr>
            </w:pPr>
            <w:r w:rsidRPr="00222917">
              <w:rPr>
                <w:sz w:val="18"/>
                <w:lang w:val="en-US"/>
              </w:rPr>
              <w:t>17</w:t>
            </w:r>
          </w:p>
        </w:tc>
        <w:tc>
          <w:tcPr>
            <w:tcW w:w="1134" w:type="dxa"/>
            <w:shd w:val="clear" w:color="auto" w:fill="auto"/>
            <w:tcMar>
              <w:top w:w="28" w:type="dxa"/>
              <w:left w:w="28" w:type="dxa"/>
              <w:bottom w:w="28" w:type="dxa"/>
              <w:right w:w="28" w:type="dxa"/>
            </w:tcMar>
            <w:vAlign w:val="bottom"/>
          </w:tcPr>
          <w:p w:rsidR="002D5BB0" w:rsidRPr="00222917" w:rsidRDefault="002D5BB0" w:rsidP="00F9392C">
            <w:pPr>
              <w:pStyle w:val="SingleTxtG"/>
              <w:suppressAutoHyphens w:val="0"/>
              <w:spacing w:before="40" w:after="40" w:line="220" w:lineRule="exact"/>
              <w:ind w:left="0" w:right="0"/>
              <w:jc w:val="right"/>
              <w:rPr>
                <w:sz w:val="18"/>
                <w:lang w:val="en-US"/>
              </w:rPr>
            </w:pPr>
            <w:r w:rsidRPr="00222917">
              <w:rPr>
                <w:sz w:val="18"/>
                <w:lang w:val="en-US"/>
              </w:rPr>
              <w:t>85,350</w:t>
            </w:r>
          </w:p>
        </w:tc>
        <w:tc>
          <w:tcPr>
            <w:tcW w:w="1134" w:type="dxa"/>
            <w:shd w:val="clear" w:color="auto" w:fill="auto"/>
            <w:tcMar>
              <w:top w:w="28" w:type="dxa"/>
              <w:left w:w="28" w:type="dxa"/>
              <w:bottom w:w="28" w:type="dxa"/>
              <w:right w:w="28" w:type="dxa"/>
            </w:tcMar>
            <w:vAlign w:val="bottom"/>
          </w:tcPr>
          <w:p w:rsidR="002D5BB0" w:rsidRPr="00222917" w:rsidRDefault="002D5BB0" w:rsidP="00F9392C">
            <w:pPr>
              <w:pStyle w:val="SingleTxtG"/>
              <w:suppressAutoHyphens w:val="0"/>
              <w:spacing w:before="40" w:after="40" w:line="220" w:lineRule="exact"/>
              <w:ind w:left="0" w:right="0"/>
              <w:jc w:val="right"/>
              <w:rPr>
                <w:sz w:val="18"/>
                <w:lang w:val="en-US"/>
              </w:rPr>
            </w:pPr>
            <w:r w:rsidRPr="00222917">
              <w:rPr>
                <w:sz w:val="18"/>
                <w:lang w:val="en-US"/>
              </w:rPr>
              <w:t>72</w:t>
            </w:r>
          </w:p>
        </w:tc>
        <w:tc>
          <w:tcPr>
            <w:tcW w:w="1134" w:type="dxa"/>
            <w:shd w:val="clear" w:color="auto" w:fill="auto"/>
            <w:tcMar>
              <w:top w:w="28" w:type="dxa"/>
              <w:left w:w="28" w:type="dxa"/>
              <w:bottom w:w="28" w:type="dxa"/>
              <w:right w:w="28" w:type="dxa"/>
            </w:tcMar>
            <w:vAlign w:val="bottom"/>
          </w:tcPr>
          <w:p w:rsidR="002D5BB0" w:rsidRPr="00222917" w:rsidRDefault="002D5BB0" w:rsidP="00F9392C">
            <w:pPr>
              <w:pStyle w:val="SingleTxtG"/>
              <w:suppressAutoHyphens w:val="0"/>
              <w:spacing w:before="40" w:after="40" w:line="220" w:lineRule="exact"/>
              <w:ind w:left="0" w:right="0"/>
              <w:jc w:val="right"/>
              <w:rPr>
                <w:sz w:val="18"/>
                <w:lang w:val="en-US"/>
              </w:rPr>
            </w:pPr>
            <w:r w:rsidRPr="00222917">
              <w:rPr>
                <w:sz w:val="18"/>
                <w:lang w:val="en-US"/>
              </w:rPr>
              <w:t>49,600</w:t>
            </w:r>
          </w:p>
        </w:tc>
      </w:tr>
      <w:tr w:rsidR="001D2686" w:rsidRPr="00222917" w:rsidTr="006F5767">
        <w:tc>
          <w:tcPr>
            <w:tcW w:w="851" w:type="dxa"/>
            <w:shd w:val="clear" w:color="auto" w:fill="auto"/>
            <w:tcMar>
              <w:top w:w="28" w:type="dxa"/>
              <w:left w:w="28" w:type="dxa"/>
              <w:bottom w:w="28" w:type="dxa"/>
              <w:right w:w="28" w:type="dxa"/>
            </w:tcMar>
          </w:tcPr>
          <w:p w:rsidR="002D5BB0" w:rsidRPr="00222917" w:rsidRDefault="002D5BB0" w:rsidP="00F9392C">
            <w:pPr>
              <w:pStyle w:val="SingleTxtG"/>
              <w:suppressAutoHyphens w:val="0"/>
              <w:spacing w:before="40" w:after="40" w:line="220" w:lineRule="exact"/>
              <w:ind w:left="0" w:right="0"/>
              <w:jc w:val="left"/>
              <w:rPr>
                <w:sz w:val="18"/>
                <w:lang w:val="en-US"/>
              </w:rPr>
            </w:pPr>
            <w:r w:rsidRPr="00222917">
              <w:rPr>
                <w:sz w:val="18"/>
                <w:lang w:val="en-US"/>
              </w:rPr>
              <w:t>2007</w:t>
            </w:r>
          </w:p>
        </w:tc>
        <w:tc>
          <w:tcPr>
            <w:tcW w:w="1985" w:type="dxa"/>
            <w:shd w:val="clear" w:color="auto" w:fill="auto"/>
            <w:tcMar>
              <w:top w:w="28" w:type="dxa"/>
              <w:left w:w="28" w:type="dxa"/>
              <w:bottom w:w="28" w:type="dxa"/>
              <w:right w:w="28" w:type="dxa"/>
            </w:tcMar>
            <w:vAlign w:val="bottom"/>
          </w:tcPr>
          <w:p w:rsidR="002D5BB0" w:rsidRPr="00222917" w:rsidRDefault="002D5BB0" w:rsidP="00F9392C">
            <w:pPr>
              <w:pStyle w:val="SingleTxtG"/>
              <w:suppressAutoHyphens w:val="0"/>
              <w:spacing w:before="40" w:after="40" w:line="220" w:lineRule="exact"/>
              <w:ind w:left="0" w:right="0"/>
              <w:jc w:val="right"/>
              <w:rPr>
                <w:sz w:val="18"/>
                <w:lang w:val="en-US"/>
              </w:rPr>
            </w:pPr>
            <w:r w:rsidRPr="00222917">
              <w:rPr>
                <w:sz w:val="18"/>
                <w:lang w:val="en-US"/>
              </w:rPr>
              <w:t>67</w:t>
            </w:r>
          </w:p>
        </w:tc>
        <w:tc>
          <w:tcPr>
            <w:tcW w:w="1134" w:type="dxa"/>
            <w:shd w:val="clear" w:color="auto" w:fill="auto"/>
            <w:tcMar>
              <w:top w:w="28" w:type="dxa"/>
              <w:left w:w="28" w:type="dxa"/>
              <w:bottom w:w="28" w:type="dxa"/>
              <w:right w:w="28" w:type="dxa"/>
            </w:tcMar>
            <w:vAlign w:val="bottom"/>
          </w:tcPr>
          <w:p w:rsidR="002D5BB0" w:rsidRPr="00222917" w:rsidRDefault="002D5BB0" w:rsidP="00F9392C">
            <w:pPr>
              <w:pStyle w:val="SingleTxtG"/>
              <w:suppressAutoHyphens w:val="0"/>
              <w:spacing w:before="40" w:after="40" w:line="220" w:lineRule="exact"/>
              <w:ind w:left="0" w:right="0"/>
              <w:jc w:val="right"/>
              <w:rPr>
                <w:sz w:val="18"/>
                <w:lang w:val="en-US"/>
              </w:rPr>
            </w:pPr>
            <w:r w:rsidRPr="00222917">
              <w:rPr>
                <w:sz w:val="18"/>
                <w:lang w:val="en-US"/>
              </w:rPr>
              <w:t>9</w:t>
            </w:r>
          </w:p>
        </w:tc>
        <w:tc>
          <w:tcPr>
            <w:tcW w:w="1134" w:type="dxa"/>
            <w:shd w:val="clear" w:color="auto" w:fill="auto"/>
            <w:tcMar>
              <w:top w:w="28" w:type="dxa"/>
              <w:left w:w="28" w:type="dxa"/>
              <w:bottom w:w="28" w:type="dxa"/>
              <w:right w:w="28" w:type="dxa"/>
            </w:tcMar>
            <w:vAlign w:val="bottom"/>
          </w:tcPr>
          <w:p w:rsidR="002D5BB0" w:rsidRPr="00222917" w:rsidRDefault="002D5BB0" w:rsidP="00F9392C">
            <w:pPr>
              <w:pStyle w:val="SingleTxtG"/>
              <w:suppressAutoHyphens w:val="0"/>
              <w:spacing w:before="40" w:after="40" w:line="220" w:lineRule="exact"/>
              <w:ind w:left="0" w:right="0"/>
              <w:jc w:val="right"/>
              <w:rPr>
                <w:sz w:val="18"/>
                <w:lang w:val="en-US"/>
              </w:rPr>
            </w:pPr>
            <w:r w:rsidRPr="00222917">
              <w:rPr>
                <w:sz w:val="18"/>
                <w:lang w:val="en-US"/>
              </w:rPr>
              <w:t>34,220</w:t>
            </w:r>
          </w:p>
        </w:tc>
        <w:tc>
          <w:tcPr>
            <w:tcW w:w="1134" w:type="dxa"/>
            <w:shd w:val="clear" w:color="auto" w:fill="auto"/>
            <w:tcMar>
              <w:top w:w="28" w:type="dxa"/>
              <w:left w:w="28" w:type="dxa"/>
              <w:bottom w:w="28" w:type="dxa"/>
              <w:right w:w="28" w:type="dxa"/>
            </w:tcMar>
            <w:vAlign w:val="bottom"/>
          </w:tcPr>
          <w:p w:rsidR="002D5BB0" w:rsidRPr="00222917" w:rsidRDefault="002D5BB0" w:rsidP="00F9392C">
            <w:pPr>
              <w:pStyle w:val="SingleTxtG"/>
              <w:suppressAutoHyphens w:val="0"/>
              <w:spacing w:before="40" w:after="40" w:line="220" w:lineRule="exact"/>
              <w:ind w:left="0" w:right="0"/>
              <w:jc w:val="right"/>
              <w:rPr>
                <w:sz w:val="18"/>
                <w:lang w:val="en-US"/>
              </w:rPr>
            </w:pPr>
            <w:r w:rsidRPr="00222917">
              <w:rPr>
                <w:sz w:val="18"/>
                <w:lang w:val="en-US"/>
              </w:rPr>
              <w:t>74</w:t>
            </w:r>
          </w:p>
        </w:tc>
        <w:tc>
          <w:tcPr>
            <w:tcW w:w="1134" w:type="dxa"/>
            <w:shd w:val="clear" w:color="auto" w:fill="auto"/>
            <w:tcMar>
              <w:top w:w="28" w:type="dxa"/>
              <w:left w:w="28" w:type="dxa"/>
              <w:bottom w:w="28" w:type="dxa"/>
              <w:right w:w="28" w:type="dxa"/>
            </w:tcMar>
            <w:vAlign w:val="bottom"/>
          </w:tcPr>
          <w:p w:rsidR="002D5BB0" w:rsidRPr="00222917" w:rsidRDefault="002D5BB0" w:rsidP="00F9392C">
            <w:pPr>
              <w:pStyle w:val="SingleTxtG"/>
              <w:suppressAutoHyphens w:val="0"/>
              <w:spacing w:before="40" w:after="40" w:line="220" w:lineRule="exact"/>
              <w:ind w:left="0" w:right="0"/>
              <w:jc w:val="right"/>
              <w:rPr>
                <w:sz w:val="18"/>
                <w:lang w:val="en-US"/>
              </w:rPr>
            </w:pPr>
            <w:r w:rsidRPr="00222917">
              <w:rPr>
                <w:sz w:val="18"/>
                <w:lang w:val="en-US"/>
              </w:rPr>
              <w:t>44,680</w:t>
            </w:r>
          </w:p>
        </w:tc>
      </w:tr>
      <w:tr w:rsidR="001D2686" w:rsidRPr="00222917" w:rsidTr="006F5767">
        <w:tc>
          <w:tcPr>
            <w:tcW w:w="851" w:type="dxa"/>
            <w:shd w:val="clear" w:color="auto" w:fill="auto"/>
            <w:tcMar>
              <w:top w:w="28" w:type="dxa"/>
              <w:left w:w="28" w:type="dxa"/>
              <w:bottom w:w="28" w:type="dxa"/>
              <w:right w:w="28" w:type="dxa"/>
            </w:tcMar>
          </w:tcPr>
          <w:p w:rsidR="002D5BB0" w:rsidRPr="00222917" w:rsidRDefault="002D5BB0" w:rsidP="00F9392C">
            <w:pPr>
              <w:pStyle w:val="SingleTxtG"/>
              <w:suppressAutoHyphens w:val="0"/>
              <w:spacing w:before="40" w:after="40" w:line="220" w:lineRule="exact"/>
              <w:ind w:left="0" w:right="0"/>
              <w:jc w:val="left"/>
              <w:rPr>
                <w:sz w:val="18"/>
                <w:lang w:val="en-US"/>
              </w:rPr>
            </w:pPr>
            <w:r w:rsidRPr="00222917">
              <w:rPr>
                <w:sz w:val="18"/>
                <w:lang w:val="en-US"/>
              </w:rPr>
              <w:t>2008</w:t>
            </w:r>
          </w:p>
        </w:tc>
        <w:tc>
          <w:tcPr>
            <w:tcW w:w="1985" w:type="dxa"/>
            <w:shd w:val="clear" w:color="auto" w:fill="auto"/>
            <w:tcMar>
              <w:top w:w="28" w:type="dxa"/>
              <w:left w:w="28" w:type="dxa"/>
              <w:bottom w:w="28" w:type="dxa"/>
              <w:right w:w="28" w:type="dxa"/>
            </w:tcMar>
            <w:vAlign w:val="bottom"/>
          </w:tcPr>
          <w:p w:rsidR="002D5BB0" w:rsidRPr="00222917" w:rsidRDefault="002D5BB0" w:rsidP="00F9392C">
            <w:pPr>
              <w:pStyle w:val="SingleTxtG"/>
              <w:suppressAutoHyphens w:val="0"/>
              <w:spacing w:before="40" w:after="40" w:line="220" w:lineRule="exact"/>
              <w:ind w:left="0" w:right="0"/>
              <w:jc w:val="right"/>
              <w:rPr>
                <w:sz w:val="18"/>
                <w:lang w:val="en-US"/>
              </w:rPr>
            </w:pPr>
            <w:r w:rsidRPr="00222917">
              <w:rPr>
                <w:sz w:val="18"/>
                <w:lang w:val="en-US"/>
              </w:rPr>
              <w:t>52</w:t>
            </w:r>
          </w:p>
        </w:tc>
        <w:tc>
          <w:tcPr>
            <w:tcW w:w="1134" w:type="dxa"/>
            <w:shd w:val="clear" w:color="auto" w:fill="auto"/>
            <w:tcMar>
              <w:top w:w="28" w:type="dxa"/>
              <w:left w:w="28" w:type="dxa"/>
              <w:bottom w:w="28" w:type="dxa"/>
              <w:right w:w="28" w:type="dxa"/>
            </w:tcMar>
            <w:vAlign w:val="bottom"/>
          </w:tcPr>
          <w:p w:rsidR="002D5BB0" w:rsidRPr="00222917" w:rsidRDefault="002D5BB0" w:rsidP="00F9392C">
            <w:pPr>
              <w:pStyle w:val="SingleTxtG"/>
              <w:suppressAutoHyphens w:val="0"/>
              <w:spacing w:before="40" w:after="40" w:line="220" w:lineRule="exact"/>
              <w:ind w:left="0" w:right="0"/>
              <w:jc w:val="right"/>
              <w:rPr>
                <w:sz w:val="18"/>
                <w:lang w:val="en-US"/>
              </w:rPr>
            </w:pPr>
            <w:r w:rsidRPr="00222917">
              <w:rPr>
                <w:sz w:val="18"/>
                <w:lang w:val="en-US"/>
              </w:rPr>
              <w:t>16</w:t>
            </w:r>
          </w:p>
        </w:tc>
        <w:tc>
          <w:tcPr>
            <w:tcW w:w="1134" w:type="dxa"/>
            <w:shd w:val="clear" w:color="auto" w:fill="auto"/>
            <w:tcMar>
              <w:top w:w="28" w:type="dxa"/>
              <w:left w:w="28" w:type="dxa"/>
              <w:bottom w:w="28" w:type="dxa"/>
              <w:right w:w="28" w:type="dxa"/>
            </w:tcMar>
            <w:vAlign w:val="bottom"/>
          </w:tcPr>
          <w:p w:rsidR="002D5BB0" w:rsidRPr="00222917" w:rsidRDefault="002D5BB0" w:rsidP="00F9392C">
            <w:pPr>
              <w:pStyle w:val="SingleTxtG"/>
              <w:suppressAutoHyphens w:val="0"/>
              <w:spacing w:before="40" w:after="40" w:line="220" w:lineRule="exact"/>
              <w:ind w:left="0" w:right="0"/>
              <w:jc w:val="right"/>
              <w:rPr>
                <w:sz w:val="18"/>
                <w:lang w:val="en-US"/>
              </w:rPr>
            </w:pPr>
            <w:r w:rsidRPr="00222917">
              <w:rPr>
                <w:sz w:val="18"/>
                <w:lang w:val="en-US"/>
              </w:rPr>
              <w:t>58,340</w:t>
            </w:r>
          </w:p>
        </w:tc>
        <w:tc>
          <w:tcPr>
            <w:tcW w:w="1134" w:type="dxa"/>
            <w:shd w:val="clear" w:color="auto" w:fill="auto"/>
            <w:tcMar>
              <w:top w:w="28" w:type="dxa"/>
              <w:left w:w="28" w:type="dxa"/>
              <w:bottom w:w="28" w:type="dxa"/>
              <w:right w:w="28" w:type="dxa"/>
            </w:tcMar>
            <w:vAlign w:val="bottom"/>
          </w:tcPr>
          <w:p w:rsidR="002D5BB0" w:rsidRPr="00222917" w:rsidRDefault="002D5BB0" w:rsidP="00F9392C">
            <w:pPr>
              <w:pStyle w:val="SingleTxtG"/>
              <w:suppressAutoHyphens w:val="0"/>
              <w:spacing w:before="40" w:after="40" w:line="220" w:lineRule="exact"/>
              <w:ind w:left="0" w:right="0"/>
              <w:jc w:val="right"/>
              <w:rPr>
                <w:sz w:val="18"/>
                <w:lang w:val="en-US"/>
              </w:rPr>
            </w:pPr>
            <w:r w:rsidRPr="00222917">
              <w:rPr>
                <w:sz w:val="18"/>
                <w:lang w:val="en-US"/>
              </w:rPr>
              <w:t>48</w:t>
            </w:r>
          </w:p>
        </w:tc>
        <w:tc>
          <w:tcPr>
            <w:tcW w:w="1134" w:type="dxa"/>
            <w:shd w:val="clear" w:color="auto" w:fill="auto"/>
            <w:tcMar>
              <w:top w:w="28" w:type="dxa"/>
              <w:left w:w="28" w:type="dxa"/>
              <w:bottom w:w="28" w:type="dxa"/>
              <w:right w:w="28" w:type="dxa"/>
            </w:tcMar>
            <w:vAlign w:val="bottom"/>
          </w:tcPr>
          <w:p w:rsidR="002D5BB0" w:rsidRPr="00222917" w:rsidRDefault="002D5BB0" w:rsidP="00F9392C">
            <w:pPr>
              <w:pStyle w:val="SingleTxtG"/>
              <w:suppressAutoHyphens w:val="0"/>
              <w:spacing w:before="40" w:after="40" w:line="220" w:lineRule="exact"/>
              <w:ind w:left="0" w:right="0"/>
              <w:jc w:val="right"/>
              <w:rPr>
                <w:sz w:val="18"/>
                <w:lang w:val="en-US"/>
              </w:rPr>
            </w:pPr>
            <w:r w:rsidRPr="00222917">
              <w:rPr>
                <w:sz w:val="18"/>
                <w:lang w:val="en-US"/>
              </w:rPr>
              <w:t>33,300</w:t>
            </w:r>
          </w:p>
        </w:tc>
      </w:tr>
      <w:tr w:rsidR="001D2686" w:rsidRPr="00222917" w:rsidTr="006F5767">
        <w:tc>
          <w:tcPr>
            <w:tcW w:w="851" w:type="dxa"/>
            <w:shd w:val="clear" w:color="auto" w:fill="auto"/>
            <w:tcMar>
              <w:top w:w="28" w:type="dxa"/>
              <w:left w:w="28" w:type="dxa"/>
              <w:bottom w:w="28" w:type="dxa"/>
              <w:right w:w="28" w:type="dxa"/>
            </w:tcMar>
          </w:tcPr>
          <w:p w:rsidR="002D5BB0" w:rsidRPr="00222917" w:rsidRDefault="002D5BB0" w:rsidP="00F9392C">
            <w:pPr>
              <w:pStyle w:val="SingleTxtG"/>
              <w:suppressAutoHyphens w:val="0"/>
              <w:spacing w:before="40" w:after="40" w:line="220" w:lineRule="exact"/>
              <w:ind w:left="0" w:right="0"/>
              <w:jc w:val="left"/>
              <w:rPr>
                <w:sz w:val="18"/>
                <w:lang w:val="en-US"/>
              </w:rPr>
            </w:pPr>
            <w:r w:rsidRPr="00222917">
              <w:rPr>
                <w:sz w:val="18"/>
                <w:lang w:val="en-US"/>
              </w:rPr>
              <w:t>2009</w:t>
            </w:r>
          </w:p>
        </w:tc>
        <w:tc>
          <w:tcPr>
            <w:tcW w:w="1985" w:type="dxa"/>
            <w:shd w:val="clear" w:color="auto" w:fill="auto"/>
            <w:tcMar>
              <w:top w:w="28" w:type="dxa"/>
              <w:left w:w="28" w:type="dxa"/>
              <w:bottom w:w="28" w:type="dxa"/>
              <w:right w:w="28" w:type="dxa"/>
            </w:tcMar>
            <w:vAlign w:val="bottom"/>
          </w:tcPr>
          <w:p w:rsidR="002D5BB0" w:rsidRPr="00222917" w:rsidRDefault="002D5BB0" w:rsidP="00F9392C">
            <w:pPr>
              <w:pStyle w:val="SingleTxtG"/>
              <w:suppressAutoHyphens w:val="0"/>
              <w:spacing w:before="40" w:after="40" w:line="220" w:lineRule="exact"/>
              <w:ind w:left="0" w:right="0"/>
              <w:jc w:val="right"/>
              <w:rPr>
                <w:sz w:val="18"/>
                <w:lang w:val="en-US"/>
              </w:rPr>
            </w:pPr>
            <w:r w:rsidRPr="00222917">
              <w:rPr>
                <w:sz w:val="18"/>
                <w:lang w:val="en-US"/>
              </w:rPr>
              <w:t>53</w:t>
            </w:r>
          </w:p>
        </w:tc>
        <w:tc>
          <w:tcPr>
            <w:tcW w:w="1134" w:type="dxa"/>
            <w:shd w:val="clear" w:color="auto" w:fill="auto"/>
            <w:tcMar>
              <w:top w:w="28" w:type="dxa"/>
              <w:left w:w="28" w:type="dxa"/>
              <w:bottom w:w="28" w:type="dxa"/>
              <w:right w:w="28" w:type="dxa"/>
            </w:tcMar>
            <w:vAlign w:val="bottom"/>
          </w:tcPr>
          <w:p w:rsidR="002D5BB0" w:rsidRPr="00222917" w:rsidRDefault="002D5BB0" w:rsidP="00F9392C">
            <w:pPr>
              <w:pStyle w:val="SingleTxtG"/>
              <w:suppressAutoHyphens w:val="0"/>
              <w:spacing w:before="40" w:after="40" w:line="220" w:lineRule="exact"/>
              <w:ind w:left="0" w:right="0"/>
              <w:jc w:val="right"/>
              <w:rPr>
                <w:sz w:val="18"/>
                <w:lang w:val="en-US"/>
              </w:rPr>
            </w:pPr>
            <w:r w:rsidRPr="00222917">
              <w:rPr>
                <w:sz w:val="18"/>
                <w:lang w:val="en-US"/>
              </w:rPr>
              <w:t>14</w:t>
            </w:r>
          </w:p>
        </w:tc>
        <w:tc>
          <w:tcPr>
            <w:tcW w:w="1134" w:type="dxa"/>
            <w:shd w:val="clear" w:color="auto" w:fill="auto"/>
            <w:tcMar>
              <w:top w:w="28" w:type="dxa"/>
              <w:left w:w="28" w:type="dxa"/>
              <w:bottom w:w="28" w:type="dxa"/>
              <w:right w:w="28" w:type="dxa"/>
            </w:tcMar>
            <w:vAlign w:val="bottom"/>
          </w:tcPr>
          <w:p w:rsidR="002D5BB0" w:rsidRPr="00222917" w:rsidRDefault="002D5BB0" w:rsidP="00F9392C">
            <w:pPr>
              <w:pStyle w:val="SingleTxtG"/>
              <w:suppressAutoHyphens w:val="0"/>
              <w:spacing w:before="40" w:after="40" w:line="220" w:lineRule="exact"/>
              <w:ind w:left="0" w:right="0"/>
              <w:jc w:val="right"/>
              <w:rPr>
                <w:sz w:val="18"/>
                <w:lang w:val="en-US"/>
              </w:rPr>
            </w:pPr>
            <w:r w:rsidRPr="00222917">
              <w:rPr>
                <w:sz w:val="18"/>
                <w:lang w:val="en-US"/>
              </w:rPr>
              <w:t>43,740</w:t>
            </w:r>
          </w:p>
        </w:tc>
        <w:tc>
          <w:tcPr>
            <w:tcW w:w="1134" w:type="dxa"/>
            <w:shd w:val="clear" w:color="auto" w:fill="auto"/>
            <w:tcMar>
              <w:top w:w="28" w:type="dxa"/>
              <w:left w:w="28" w:type="dxa"/>
              <w:bottom w:w="28" w:type="dxa"/>
              <w:right w:w="28" w:type="dxa"/>
            </w:tcMar>
            <w:vAlign w:val="bottom"/>
          </w:tcPr>
          <w:p w:rsidR="002D5BB0" w:rsidRPr="00222917" w:rsidRDefault="002D5BB0" w:rsidP="00F9392C">
            <w:pPr>
              <w:pStyle w:val="SingleTxtG"/>
              <w:suppressAutoHyphens w:val="0"/>
              <w:spacing w:before="40" w:after="40" w:line="220" w:lineRule="exact"/>
              <w:ind w:left="0" w:right="0"/>
              <w:jc w:val="right"/>
              <w:rPr>
                <w:sz w:val="18"/>
                <w:lang w:val="en-US"/>
              </w:rPr>
            </w:pPr>
            <w:r w:rsidRPr="00222917">
              <w:rPr>
                <w:sz w:val="18"/>
                <w:lang w:val="en-US"/>
              </w:rPr>
              <w:t>79</w:t>
            </w:r>
          </w:p>
        </w:tc>
        <w:tc>
          <w:tcPr>
            <w:tcW w:w="1134" w:type="dxa"/>
            <w:shd w:val="clear" w:color="auto" w:fill="auto"/>
            <w:tcMar>
              <w:top w:w="28" w:type="dxa"/>
              <w:left w:w="28" w:type="dxa"/>
              <w:bottom w:w="28" w:type="dxa"/>
              <w:right w:w="28" w:type="dxa"/>
            </w:tcMar>
            <w:vAlign w:val="bottom"/>
          </w:tcPr>
          <w:p w:rsidR="002D5BB0" w:rsidRPr="00222917" w:rsidRDefault="002D5BB0" w:rsidP="00F9392C">
            <w:pPr>
              <w:pStyle w:val="SingleTxtG"/>
              <w:suppressAutoHyphens w:val="0"/>
              <w:spacing w:before="40" w:after="40" w:line="220" w:lineRule="exact"/>
              <w:ind w:left="0" w:right="0"/>
              <w:jc w:val="right"/>
              <w:rPr>
                <w:sz w:val="18"/>
                <w:lang w:val="en-US"/>
              </w:rPr>
            </w:pPr>
            <w:r w:rsidRPr="00222917">
              <w:rPr>
                <w:sz w:val="18"/>
                <w:lang w:val="en-US"/>
              </w:rPr>
              <w:t>52,500</w:t>
            </w:r>
          </w:p>
        </w:tc>
      </w:tr>
      <w:tr w:rsidR="001D2686" w:rsidRPr="00222917" w:rsidTr="006F5767">
        <w:tc>
          <w:tcPr>
            <w:tcW w:w="851" w:type="dxa"/>
            <w:tcBorders>
              <w:bottom w:val="single" w:sz="12" w:space="0" w:color="auto"/>
            </w:tcBorders>
            <w:shd w:val="clear" w:color="auto" w:fill="auto"/>
            <w:tcMar>
              <w:top w:w="28" w:type="dxa"/>
              <w:left w:w="28" w:type="dxa"/>
              <w:bottom w:w="28" w:type="dxa"/>
              <w:right w:w="28" w:type="dxa"/>
            </w:tcMar>
          </w:tcPr>
          <w:p w:rsidR="002D5BB0" w:rsidRPr="00222917" w:rsidRDefault="002D5BB0" w:rsidP="00F9392C">
            <w:pPr>
              <w:pStyle w:val="SingleTxtG"/>
              <w:suppressAutoHyphens w:val="0"/>
              <w:spacing w:before="40" w:after="40" w:line="220" w:lineRule="exact"/>
              <w:ind w:left="0" w:right="0"/>
              <w:jc w:val="left"/>
              <w:rPr>
                <w:sz w:val="18"/>
                <w:lang w:val="en-US"/>
              </w:rPr>
            </w:pPr>
            <w:r w:rsidRPr="00222917">
              <w:rPr>
                <w:sz w:val="18"/>
                <w:lang w:val="en-US"/>
              </w:rPr>
              <w:t>2010</w:t>
            </w:r>
          </w:p>
        </w:tc>
        <w:tc>
          <w:tcPr>
            <w:tcW w:w="1985" w:type="dxa"/>
            <w:tcBorders>
              <w:bottom w:val="single" w:sz="12" w:space="0" w:color="auto"/>
            </w:tcBorders>
            <w:shd w:val="clear" w:color="auto" w:fill="auto"/>
            <w:tcMar>
              <w:top w:w="28" w:type="dxa"/>
              <w:left w:w="28" w:type="dxa"/>
              <w:bottom w:w="28" w:type="dxa"/>
              <w:right w:w="28" w:type="dxa"/>
            </w:tcMar>
            <w:vAlign w:val="bottom"/>
          </w:tcPr>
          <w:p w:rsidR="002D5BB0" w:rsidRPr="00222917" w:rsidRDefault="002D5BB0" w:rsidP="00F9392C">
            <w:pPr>
              <w:pStyle w:val="SingleTxtG"/>
              <w:suppressAutoHyphens w:val="0"/>
              <w:spacing w:before="40" w:after="40" w:line="220" w:lineRule="exact"/>
              <w:ind w:left="0" w:right="0"/>
              <w:jc w:val="right"/>
              <w:rPr>
                <w:sz w:val="18"/>
                <w:lang w:val="en-US"/>
              </w:rPr>
            </w:pPr>
            <w:r w:rsidRPr="00222917">
              <w:rPr>
                <w:sz w:val="18"/>
                <w:lang w:val="en-US"/>
              </w:rPr>
              <w:t>53</w:t>
            </w:r>
          </w:p>
        </w:tc>
        <w:tc>
          <w:tcPr>
            <w:tcW w:w="1134" w:type="dxa"/>
            <w:tcBorders>
              <w:bottom w:val="single" w:sz="12" w:space="0" w:color="auto"/>
            </w:tcBorders>
            <w:shd w:val="clear" w:color="auto" w:fill="auto"/>
            <w:tcMar>
              <w:top w:w="28" w:type="dxa"/>
              <w:left w:w="28" w:type="dxa"/>
              <w:bottom w:w="28" w:type="dxa"/>
              <w:right w:w="28" w:type="dxa"/>
            </w:tcMar>
            <w:vAlign w:val="bottom"/>
          </w:tcPr>
          <w:p w:rsidR="002D5BB0" w:rsidRPr="00222917" w:rsidRDefault="002D5BB0" w:rsidP="00F9392C">
            <w:pPr>
              <w:pStyle w:val="SingleTxtG"/>
              <w:suppressAutoHyphens w:val="0"/>
              <w:spacing w:before="40" w:after="40" w:line="220" w:lineRule="exact"/>
              <w:ind w:left="0" w:right="0"/>
              <w:jc w:val="right"/>
              <w:rPr>
                <w:sz w:val="18"/>
                <w:lang w:val="en-US"/>
              </w:rPr>
            </w:pPr>
            <w:r w:rsidRPr="00222917">
              <w:rPr>
                <w:sz w:val="18"/>
                <w:lang w:val="en-US"/>
              </w:rPr>
              <w:t>11</w:t>
            </w:r>
          </w:p>
        </w:tc>
        <w:tc>
          <w:tcPr>
            <w:tcW w:w="1134" w:type="dxa"/>
            <w:tcBorders>
              <w:bottom w:val="single" w:sz="12" w:space="0" w:color="auto"/>
            </w:tcBorders>
            <w:shd w:val="clear" w:color="auto" w:fill="auto"/>
            <w:tcMar>
              <w:top w:w="28" w:type="dxa"/>
              <w:left w:w="28" w:type="dxa"/>
              <w:bottom w:w="28" w:type="dxa"/>
              <w:right w:w="28" w:type="dxa"/>
            </w:tcMar>
            <w:vAlign w:val="bottom"/>
          </w:tcPr>
          <w:p w:rsidR="002D5BB0" w:rsidRPr="00222917" w:rsidRDefault="002D5BB0" w:rsidP="00F9392C">
            <w:pPr>
              <w:pStyle w:val="SingleTxtG"/>
              <w:suppressAutoHyphens w:val="0"/>
              <w:spacing w:before="40" w:after="40" w:line="220" w:lineRule="exact"/>
              <w:ind w:left="0" w:right="0"/>
              <w:jc w:val="right"/>
              <w:rPr>
                <w:sz w:val="18"/>
                <w:lang w:val="en-US"/>
              </w:rPr>
            </w:pPr>
            <w:r w:rsidRPr="00222917">
              <w:rPr>
                <w:sz w:val="18"/>
                <w:lang w:val="en-US"/>
              </w:rPr>
              <w:t>40,580</w:t>
            </w:r>
          </w:p>
        </w:tc>
        <w:tc>
          <w:tcPr>
            <w:tcW w:w="1134" w:type="dxa"/>
            <w:tcBorders>
              <w:bottom w:val="single" w:sz="12" w:space="0" w:color="auto"/>
            </w:tcBorders>
            <w:shd w:val="clear" w:color="auto" w:fill="auto"/>
            <w:tcMar>
              <w:top w:w="28" w:type="dxa"/>
              <w:left w:w="28" w:type="dxa"/>
              <w:bottom w:w="28" w:type="dxa"/>
              <w:right w:w="28" w:type="dxa"/>
            </w:tcMar>
            <w:vAlign w:val="bottom"/>
          </w:tcPr>
          <w:p w:rsidR="002D5BB0" w:rsidRPr="00222917" w:rsidRDefault="002D5BB0" w:rsidP="00F9392C">
            <w:pPr>
              <w:pStyle w:val="SingleTxtG"/>
              <w:suppressAutoHyphens w:val="0"/>
              <w:spacing w:before="40" w:after="40" w:line="220" w:lineRule="exact"/>
              <w:ind w:left="0" w:right="0"/>
              <w:jc w:val="right"/>
              <w:rPr>
                <w:sz w:val="18"/>
                <w:lang w:val="en-US"/>
              </w:rPr>
            </w:pPr>
            <w:r w:rsidRPr="00222917">
              <w:rPr>
                <w:sz w:val="18"/>
                <w:lang w:val="en-US"/>
              </w:rPr>
              <w:t>142</w:t>
            </w:r>
          </w:p>
        </w:tc>
        <w:tc>
          <w:tcPr>
            <w:tcW w:w="1134" w:type="dxa"/>
            <w:tcBorders>
              <w:bottom w:val="single" w:sz="12" w:space="0" w:color="auto"/>
            </w:tcBorders>
            <w:shd w:val="clear" w:color="auto" w:fill="auto"/>
            <w:tcMar>
              <w:top w:w="28" w:type="dxa"/>
              <w:left w:w="28" w:type="dxa"/>
              <w:bottom w:w="28" w:type="dxa"/>
              <w:right w:w="28" w:type="dxa"/>
            </w:tcMar>
            <w:vAlign w:val="bottom"/>
          </w:tcPr>
          <w:p w:rsidR="002D5BB0" w:rsidRPr="00222917" w:rsidRDefault="002D5BB0" w:rsidP="00F9392C">
            <w:pPr>
              <w:pStyle w:val="SingleTxtG"/>
              <w:suppressAutoHyphens w:val="0"/>
              <w:spacing w:before="40" w:after="40" w:line="220" w:lineRule="exact"/>
              <w:ind w:left="0" w:right="0"/>
              <w:jc w:val="right"/>
              <w:rPr>
                <w:sz w:val="18"/>
                <w:lang w:val="en-US"/>
              </w:rPr>
            </w:pPr>
            <w:r w:rsidRPr="00222917">
              <w:rPr>
                <w:sz w:val="18"/>
                <w:lang w:val="en-US"/>
              </w:rPr>
              <w:t>47,060</w:t>
            </w:r>
          </w:p>
        </w:tc>
      </w:tr>
    </w:tbl>
    <w:p w:rsidR="002D5BB0" w:rsidRPr="00222917" w:rsidRDefault="00F9392C" w:rsidP="00F9392C">
      <w:pPr>
        <w:pStyle w:val="H23G"/>
        <w:rPr>
          <w:lang w:val="en-US"/>
        </w:rPr>
      </w:pPr>
      <w:bookmarkStart w:id="143" w:name="_Toc307504093"/>
      <w:bookmarkStart w:id="144" w:name="_Toc336435865"/>
      <w:r w:rsidRPr="00222917">
        <w:rPr>
          <w:lang w:val="en-US"/>
        </w:rPr>
        <w:tab/>
      </w:r>
      <w:r w:rsidRPr="00222917">
        <w:rPr>
          <w:lang w:val="en-US"/>
        </w:rPr>
        <w:tab/>
      </w:r>
      <w:r w:rsidR="002D5BB0" w:rsidRPr="00222917">
        <w:rPr>
          <w:lang w:val="en-US"/>
        </w:rPr>
        <w:t>Implementation of Various Correctional Programs</w:t>
      </w:r>
      <w:bookmarkEnd w:id="143"/>
      <w:bookmarkEnd w:id="144"/>
    </w:p>
    <w:p w:rsidR="002D5BB0" w:rsidRPr="00222917" w:rsidRDefault="00F9392C" w:rsidP="00F9392C">
      <w:pPr>
        <w:pStyle w:val="H4G"/>
        <w:rPr>
          <w:lang w:val="en-US"/>
        </w:rPr>
      </w:pPr>
      <w:bookmarkStart w:id="145" w:name="_Toc307504094"/>
      <w:bookmarkStart w:id="146" w:name="_Toc336435866"/>
      <w:r w:rsidRPr="00222917">
        <w:rPr>
          <w:lang w:val="en-US"/>
        </w:rPr>
        <w:tab/>
      </w:r>
      <w:r w:rsidRPr="00222917">
        <w:rPr>
          <w:lang w:val="en-US"/>
        </w:rPr>
        <w:tab/>
      </w:r>
      <w:r w:rsidR="002D5BB0" w:rsidRPr="00222917">
        <w:rPr>
          <w:lang w:val="en-US"/>
        </w:rPr>
        <w:t>Implementation of Educational Programs</w:t>
      </w:r>
      <w:bookmarkEnd w:id="145"/>
      <w:bookmarkEnd w:id="146"/>
    </w:p>
    <w:p w:rsidR="002D5BB0" w:rsidRPr="00222917" w:rsidRDefault="00547908" w:rsidP="00547908">
      <w:pPr>
        <w:pStyle w:val="SingleTxtG"/>
        <w:rPr>
          <w:lang w:val="en-US"/>
        </w:rPr>
      </w:pPr>
      <w:r w:rsidRPr="00222917">
        <w:rPr>
          <w:lang w:val="en-US"/>
        </w:rPr>
        <w:t>204.</w:t>
      </w:r>
      <w:r w:rsidRPr="00222917">
        <w:rPr>
          <w:lang w:val="en-US"/>
        </w:rPr>
        <w:tab/>
      </w:r>
      <w:r w:rsidR="002D5BB0" w:rsidRPr="00222917">
        <w:rPr>
          <w:lang w:val="en-US"/>
        </w:rPr>
        <w:t>The school course programs, education and training programs that allow inmates to commute to outside agencies, education programs commissioned to a college, foreign language education, and information technology (IT) education for inmates are as stated in the third re</w:t>
      </w:r>
      <w:r w:rsidR="009D6255" w:rsidRPr="00222917">
        <w:rPr>
          <w:lang w:val="en-US"/>
        </w:rPr>
        <w:t xml:space="preserve">port (CCPR/C/KOR/2005/3, paras. 201 and </w:t>
      </w:r>
      <w:r w:rsidR="002D5BB0" w:rsidRPr="00222917">
        <w:rPr>
          <w:lang w:val="en-US"/>
        </w:rPr>
        <w:t>202). As a result of such programs, in 2010, 711 inmates applied for school qualification examinations and 481 of them passed the examination (ratio of successful applicants was 67.7%). Regarding the IT education, 75</w:t>
      </w:r>
      <w:r w:rsidR="00DB2C13" w:rsidRPr="00222917">
        <w:rPr>
          <w:lang w:val="en-US"/>
        </w:rPr>
        <w:t> </w:t>
      </w:r>
      <w:r w:rsidR="002D5BB0" w:rsidRPr="00222917">
        <w:rPr>
          <w:lang w:val="en-US"/>
        </w:rPr>
        <w:t>IT education centers and 2,</w:t>
      </w:r>
      <w:r w:rsidR="002D5BB0" w:rsidRPr="00222917">
        <w:rPr>
          <w:bCs/>
          <w:lang w:val="en-US"/>
        </w:rPr>
        <w:t>707</w:t>
      </w:r>
      <w:r w:rsidR="002D5BB0" w:rsidRPr="00222917">
        <w:rPr>
          <w:lang w:val="en-US"/>
        </w:rPr>
        <w:t xml:space="preserve"> personal computers were set up in correctional facilities nationwide in September 2009. About 300 instructors including professors from 54</w:t>
      </w:r>
      <w:r w:rsidR="00DB2C13" w:rsidRPr="00222917">
        <w:rPr>
          <w:lang w:val="en-US"/>
        </w:rPr>
        <w:t> </w:t>
      </w:r>
      <w:r w:rsidR="002D5BB0" w:rsidRPr="00222917">
        <w:rPr>
          <w:lang w:val="en-US"/>
        </w:rPr>
        <w:t xml:space="preserve">universities nationwide provide computer education for 25,000 inmates every year, helping 1,383 inmates in 2008, 1,227 inmates in 2009, and 843 inmates in 2010 acquire relevant certificates. </w:t>
      </w:r>
    </w:p>
    <w:p w:rsidR="002D5BB0" w:rsidRPr="00222917" w:rsidRDefault="00DB2C13" w:rsidP="00DB2C13">
      <w:pPr>
        <w:pStyle w:val="H4G"/>
        <w:rPr>
          <w:lang w:val="en-US"/>
        </w:rPr>
      </w:pPr>
      <w:bookmarkStart w:id="147" w:name="_Toc307504095"/>
      <w:bookmarkStart w:id="148" w:name="_Toc336435867"/>
      <w:r w:rsidRPr="00222917">
        <w:rPr>
          <w:lang w:val="en-US"/>
        </w:rPr>
        <w:tab/>
      </w:r>
      <w:r w:rsidRPr="00222917">
        <w:rPr>
          <w:lang w:val="en-US"/>
        </w:rPr>
        <w:tab/>
      </w:r>
      <w:r w:rsidR="002D5BB0" w:rsidRPr="00222917">
        <w:rPr>
          <w:lang w:val="en-US"/>
        </w:rPr>
        <w:t>Vocational Training and Employment Support for Prisoners</w:t>
      </w:r>
      <w:bookmarkEnd w:id="147"/>
      <w:bookmarkEnd w:id="148"/>
    </w:p>
    <w:p w:rsidR="002D5BB0" w:rsidRPr="00222917" w:rsidRDefault="00547908" w:rsidP="00547908">
      <w:pPr>
        <w:pStyle w:val="SingleTxtG"/>
        <w:rPr>
          <w:lang w:val="en-US"/>
        </w:rPr>
      </w:pPr>
      <w:r w:rsidRPr="00222917">
        <w:rPr>
          <w:lang w:val="en-US"/>
        </w:rPr>
        <w:t>205.</w:t>
      </w:r>
      <w:r w:rsidRPr="00222917">
        <w:rPr>
          <w:lang w:val="en-US"/>
        </w:rPr>
        <w:tab/>
      </w:r>
      <w:r w:rsidR="002D5BB0" w:rsidRPr="00222917">
        <w:rPr>
          <w:lang w:val="en-US"/>
        </w:rPr>
        <w:t xml:space="preserve">To help prisoners effectively readapt to society and prevent them from repeating offences after being released by enhancing their self-reliance, advanced technology and skill training is provided </w:t>
      </w:r>
      <w:r w:rsidR="002D5BB0" w:rsidRPr="00222917">
        <w:rPr>
          <w:bCs/>
          <w:lang w:val="en-US"/>
        </w:rPr>
        <w:t>for</w:t>
      </w:r>
      <w:r w:rsidR="002D5BB0" w:rsidRPr="00222917">
        <w:rPr>
          <w:lang w:val="en-US"/>
        </w:rPr>
        <w:t xml:space="preserve"> skilled inmates. </w:t>
      </w:r>
      <w:r w:rsidR="002D5BB0" w:rsidRPr="00222917">
        <w:rPr>
          <w:i/>
          <w:lang w:val="en-US"/>
        </w:rPr>
        <w:t>Cheongsong</w:t>
      </w:r>
      <w:r w:rsidR="002D5BB0" w:rsidRPr="00222917">
        <w:rPr>
          <w:lang w:val="en-US"/>
        </w:rPr>
        <w:t xml:space="preserve"> Correctional Institution for Vocational Training has introduced the advanced skill training courses for specialization in the area. Considering that the socially underprivileged such as women and the disabled have difficulties finding jobs, vocational training programs focusing on starting small businesses have been developed, and support for such programs has increased. An</w:t>
      </w:r>
      <w:r w:rsidR="006F5767" w:rsidRPr="00222917">
        <w:rPr>
          <w:lang w:val="en-US"/>
        </w:rPr>
        <w:t> </w:t>
      </w:r>
      <w:r w:rsidR="002D5BB0" w:rsidRPr="00222917">
        <w:rPr>
          <w:lang w:val="en-US"/>
        </w:rPr>
        <w:t xml:space="preserve">institution specialized in vocational training for female prisoners has been operated more effectively, facilitating the offering of a variety of classes: Korean food cooking class, nail art class, and skin care class, etc. In August 2009, </w:t>
      </w:r>
      <w:smartTag w:uri="urn:schemas-microsoft-com:office:smarttags" w:element="place">
        <w:smartTag w:uri="urn:schemas-microsoft-com:office:smarttags" w:element="PlaceName">
          <w:r w:rsidR="002D5BB0" w:rsidRPr="00222917">
            <w:rPr>
              <w:i/>
              <w:lang w:val="en-US"/>
            </w:rPr>
            <w:t>Hwaseong</w:t>
          </w:r>
        </w:smartTag>
        <w:r w:rsidR="002D5BB0" w:rsidRPr="00222917">
          <w:rPr>
            <w:lang w:val="en-US"/>
          </w:rPr>
          <w:t xml:space="preserve"> </w:t>
        </w:r>
        <w:smartTag w:uri="urn:schemas-microsoft-com:office:smarttags" w:element="PlaceName">
          <w:r w:rsidR="002D5BB0" w:rsidRPr="00222917">
            <w:rPr>
              <w:lang w:val="en-US"/>
            </w:rPr>
            <w:t>Vocational</w:t>
          </w:r>
        </w:smartTag>
        <w:r w:rsidR="002D5BB0" w:rsidRPr="00222917">
          <w:rPr>
            <w:lang w:val="en-US"/>
          </w:rPr>
          <w:t xml:space="preserve"> </w:t>
        </w:r>
        <w:smartTag w:uri="urn:schemas-microsoft-com:office:smarttags" w:element="PlaceName">
          <w:r w:rsidR="002D5BB0" w:rsidRPr="00222917">
            <w:rPr>
              <w:lang w:val="en-US"/>
            </w:rPr>
            <w:t>Training</w:t>
          </w:r>
        </w:smartTag>
        <w:r w:rsidR="002D5BB0" w:rsidRPr="00222917">
          <w:rPr>
            <w:lang w:val="en-US"/>
          </w:rPr>
          <w:t xml:space="preserve"> </w:t>
        </w:r>
        <w:smartTag w:uri="urn:schemas-microsoft-com:office:smarttags" w:element="PlaceType">
          <w:r w:rsidR="002D5BB0" w:rsidRPr="00222917">
            <w:rPr>
              <w:lang w:val="en-US"/>
            </w:rPr>
            <w:t>Center</w:t>
          </w:r>
        </w:smartTag>
      </w:smartTag>
      <w:r w:rsidR="002D5BB0" w:rsidRPr="00222917">
        <w:rPr>
          <w:lang w:val="en-US"/>
        </w:rPr>
        <w:t xml:space="preserve"> was open as a public vocational training center. In the first half of 2009 before the center was open, 120 inmates were trained in auto repair, etc., and in the second half of 2009, 120 inmates were trained in baking and other vocations. </w:t>
      </w:r>
    </w:p>
    <w:p w:rsidR="002D5BB0" w:rsidRPr="00222917" w:rsidRDefault="00DB2C13" w:rsidP="00DB2C13">
      <w:pPr>
        <w:pStyle w:val="H4G"/>
        <w:rPr>
          <w:lang w:val="en-US"/>
        </w:rPr>
      </w:pPr>
      <w:bookmarkStart w:id="149" w:name="_Toc307504096"/>
      <w:bookmarkStart w:id="150" w:name="_Toc336435868"/>
      <w:r w:rsidRPr="00222917">
        <w:rPr>
          <w:lang w:val="en-US"/>
        </w:rPr>
        <w:tab/>
      </w:r>
      <w:r w:rsidRPr="00222917">
        <w:rPr>
          <w:lang w:val="en-US"/>
        </w:rPr>
        <w:tab/>
      </w:r>
      <w:r w:rsidR="002D5BB0" w:rsidRPr="00222917">
        <w:rPr>
          <w:lang w:val="en-US"/>
        </w:rPr>
        <w:t>Support for Social Reintegration</w:t>
      </w:r>
      <w:bookmarkEnd w:id="149"/>
      <w:bookmarkEnd w:id="150"/>
      <w:r w:rsidR="002D5BB0" w:rsidRPr="00222917">
        <w:rPr>
          <w:lang w:val="en-US"/>
        </w:rPr>
        <w:t xml:space="preserve"> </w:t>
      </w:r>
    </w:p>
    <w:p w:rsidR="002D5BB0" w:rsidRPr="00222917" w:rsidRDefault="00547908" w:rsidP="00547908">
      <w:pPr>
        <w:pStyle w:val="SingleTxtG"/>
        <w:rPr>
          <w:lang w:val="en-US"/>
        </w:rPr>
      </w:pPr>
      <w:r w:rsidRPr="00222917">
        <w:rPr>
          <w:lang w:val="en-US"/>
        </w:rPr>
        <w:t>206.</w:t>
      </w:r>
      <w:r w:rsidRPr="00222917">
        <w:rPr>
          <w:lang w:val="en-US"/>
        </w:rPr>
        <w:tab/>
      </w:r>
      <w:r w:rsidR="002D5BB0" w:rsidRPr="00222917">
        <w:rPr>
          <w:lang w:val="en-US"/>
        </w:rPr>
        <w:t xml:space="preserve">A variety of correctional programs are developed and implemented to help inmates stay mentally stable and strengthen </w:t>
      </w:r>
      <w:r w:rsidR="002D5BB0" w:rsidRPr="00222917">
        <w:rPr>
          <w:bCs/>
          <w:lang w:val="en-US"/>
        </w:rPr>
        <w:t>family</w:t>
      </w:r>
      <w:r w:rsidR="002D5BB0" w:rsidRPr="00222917">
        <w:rPr>
          <w:lang w:val="en-US"/>
        </w:rPr>
        <w:t xml:space="preserve"> bonds while they serve time in jail. The long leave system and expansion of its eligibility are as described in the third r</w:t>
      </w:r>
      <w:r w:rsidR="00DB2C13" w:rsidRPr="00222917">
        <w:rPr>
          <w:lang w:val="en-US"/>
        </w:rPr>
        <w:t>eport (CCPR/C/KOR/2005/3, para. </w:t>
      </w:r>
      <w:r w:rsidR="002D5BB0" w:rsidRPr="00222917">
        <w:rPr>
          <w:lang w:val="en-US"/>
        </w:rPr>
        <w:t xml:space="preserve">186). </w:t>
      </w:r>
    </w:p>
    <w:p w:rsidR="002D5BB0" w:rsidRPr="00222917" w:rsidRDefault="00547908" w:rsidP="00547908">
      <w:pPr>
        <w:pStyle w:val="SingleTxtG"/>
        <w:rPr>
          <w:lang w:val="en-US"/>
        </w:rPr>
      </w:pPr>
      <w:r w:rsidRPr="00222917">
        <w:rPr>
          <w:lang w:val="en-US"/>
        </w:rPr>
        <w:t>207.</w:t>
      </w:r>
      <w:r w:rsidRPr="00222917">
        <w:rPr>
          <w:lang w:val="en-US"/>
        </w:rPr>
        <w:tab/>
      </w:r>
      <w:r w:rsidR="002D5BB0" w:rsidRPr="00222917">
        <w:rPr>
          <w:lang w:val="en-US"/>
        </w:rPr>
        <w:t>Halfway houses, where prisoners expecting to be released soon are given social reintegration training, more contact with family and job finding, have been operating in</w:t>
      </w:r>
      <w:r w:rsidR="00120D8B" w:rsidRPr="00222917">
        <w:rPr>
          <w:lang w:val="en-US"/>
        </w:rPr>
        <w:t xml:space="preserve"> </w:t>
      </w:r>
      <w:r w:rsidR="002D5BB0" w:rsidRPr="00222917">
        <w:rPr>
          <w:i/>
          <w:lang w:val="en-US"/>
        </w:rPr>
        <w:t>Chuncheon, Changwon, Suncheon</w:t>
      </w:r>
      <w:r w:rsidR="002D5BB0" w:rsidRPr="00222917">
        <w:rPr>
          <w:lang w:val="en-US"/>
        </w:rPr>
        <w:t xml:space="preserve"> and </w:t>
      </w:r>
      <w:r w:rsidR="002D5BB0" w:rsidRPr="00222917">
        <w:rPr>
          <w:i/>
          <w:lang w:val="en-US"/>
        </w:rPr>
        <w:t>Cheongju</w:t>
      </w:r>
      <w:r w:rsidR="002D5BB0" w:rsidRPr="00222917">
        <w:rPr>
          <w:lang w:val="en-US"/>
        </w:rPr>
        <w:t xml:space="preserve"> Women’s Correctional Facilities since 2010. In 2010, 95 person released on parole went to the halfway houses. Among them, 26</w:t>
      </w:r>
      <w:r w:rsidR="006F5767" w:rsidRPr="00222917">
        <w:rPr>
          <w:lang w:val="en-US"/>
        </w:rPr>
        <w:t> </w:t>
      </w:r>
      <w:r w:rsidR="002D5BB0" w:rsidRPr="00222917">
        <w:rPr>
          <w:lang w:val="en-US"/>
        </w:rPr>
        <w:t xml:space="preserve">persons succeeded in finding jobs and 5 persons started their own business. </w:t>
      </w:r>
      <w:r w:rsidR="002D5BB0" w:rsidRPr="00222917">
        <w:rPr>
          <w:i/>
          <w:lang w:val="en-US"/>
        </w:rPr>
        <w:t>Cheonahn</w:t>
      </w:r>
      <w:r w:rsidR="002D5BB0" w:rsidRPr="00222917">
        <w:rPr>
          <w:lang w:val="en-US"/>
        </w:rPr>
        <w:t xml:space="preserve"> Open Correctional Facility opened to provide rehabilitation treatment programs based on hands-on daily experiences such as how to use public transportation, banking institutions, or emails, etc. Among the prisoners who were given training in </w:t>
      </w:r>
      <w:r w:rsidR="002D5BB0" w:rsidRPr="00222917">
        <w:rPr>
          <w:i/>
          <w:lang w:val="en-US"/>
        </w:rPr>
        <w:t>Cheonahn</w:t>
      </w:r>
      <w:r w:rsidR="002D5BB0" w:rsidRPr="00222917">
        <w:rPr>
          <w:lang w:val="en-US"/>
        </w:rPr>
        <w:t xml:space="preserve"> Open Correctional Facility, 314 persons were released on parole, 136 persons found jobs, and 25</w:t>
      </w:r>
      <w:r w:rsidR="006F5767" w:rsidRPr="00222917">
        <w:rPr>
          <w:lang w:val="en-US"/>
        </w:rPr>
        <w:t> </w:t>
      </w:r>
      <w:r w:rsidR="002D5BB0" w:rsidRPr="00222917">
        <w:rPr>
          <w:lang w:val="en-US"/>
        </w:rPr>
        <w:t xml:space="preserve">persons began their own business. </w:t>
      </w:r>
    </w:p>
    <w:p w:rsidR="002D5BB0" w:rsidRPr="00977FC8" w:rsidRDefault="002D5BB0" w:rsidP="00DB2C13">
      <w:pPr>
        <w:pStyle w:val="HChG"/>
        <w:ind w:firstLine="0"/>
        <w:rPr>
          <w:sz w:val="24"/>
          <w:szCs w:val="24"/>
          <w:lang w:val="en-US"/>
        </w:rPr>
      </w:pPr>
      <w:bookmarkStart w:id="151" w:name="_Toc307504097"/>
      <w:bookmarkStart w:id="152" w:name="_Toc336435869"/>
      <w:r w:rsidRPr="00977FC8">
        <w:rPr>
          <w:sz w:val="24"/>
          <w:szCs w:val="24"/>
          <w:lang w:val="en-US"/>
        </w:rPr>
        <w:t>Article</w:t>
      </w:r>
      <w:r w:rsidR="00DB2C13" w:rsidRPr="00977FC8">
        <w:rPr>
          <w:sz w:val="24"/>
          <w:szCs w:val="24"/>
          <w:lang w:val="en-US"/>
        </w:rPr>
        <w:t xml:space="preserve"> </w:t>
      </w:r>
      <w:r w:rsidRPr="00977FC8">
        <w:rPr>
          <w:sz w:val="24"/>
          <w:szCs w:val="24"/>
          <w:lang w:val="en-US"/>
        </w:rPr>
        <w:t>11</w:t>
      </w:r>
      <w:bookmarkEnd w:id="151"/>
      <w:bookmarkEnd w:id="152"/>
    </w:p>
    <w:p w:rsidR="002D5BB0" w:rsidRPr="00222917" w:rsidRDefault="00547908" w:rsidP="00547908">
      <w:pPr>
        <w:pStyle w:val="SingleTxtG"/>
        <w:rPr>
          <w:lang w:val="en-US"/>
        </w:rPr>
      </w:pPr>
      <w:r w:rsidRPr="00222917">
        <w:rPr>
          <w:lang w:val="en-US"/>
        </w:rPr>
        <w:t>208.</w:t>
      </w:r>
      <w:r w:rsidRPr="00222917">
        <w:rPr>
          <w:lang w:val="en-US"/>
        </w:rPr>
        <w:tab/>
      </w:r>
      <w:r w:rsidR="002D5BB0" w:rsidRPr="00222917">
        <w:rPr>
          <w:lang w:val="en-US"/>
        </w:rPr>
        <w:t xml:space="preserve">As stated in the second </w:t>
      </w:r>
      <w:r w:rsidR="002D5BB0" w:rsidRPr="00222917">
        <w:rPr>
          <w:bCs/>
          <w:lang w:val="en-US"/>
        </w:rPr>
        <w:t>report</w:t>
      </w:r>
      <w:r w:rsidR="002D5BB0" w:rsidRPr="00222917">
        <w:rPr>
          <w:lang w:val="en-US"/>
        </w:rPr>
        <w:t xml:space="preserve">, under the laws of the </w:t>
      </w:r>
      <w:smartTag w:uri="urn:schemas-microsoft-com:office:smarttags" w:element="place">
        <w:smartTag w:uri="urn:schemas-microsoft-com:office:smarttags" w:element="PlaceType">
          <w:r w:rsidR="002D5BB0" w:rsidRPr="00222917">
            <w:rPr>
              <w:lang w:val="en-US"/>
            </w:rPr>
            <w:t>Republic</w:t>
          </w:r>
        </w:smartTag>
        <w:r w:rsidR="002D5BB0" w:rsidRPr="00222917">
          <w:rPr>
            <w:lang w:val="en-US"/>
          </w:rPr>
          <w:t xml:space="preserve"> of </w:t>
        </w:r>
        <w:smartTag w:uri="urn:schemas-microsoft-com:office:smarttags" w:element="PlaceName">
          <w:r w:rsidR="002D5BB0" w:rsidRPr="00222917">
            <w:rPr>
              <w:lang w:val="en-US"/>
            </w:rPr>
            <w:t>Korea</w:t>
          </w:r>
        </w:smartTag>
      </w:smartTag>
      <w:r w:rsidR="002D5BB0" w:rsidRPr="00222917">
        <w:rPr>
          <w:lang w:val="en-US"/>
        </w:rPr>
        <w:t>, no one is detained on grounds of non-performance of contractual obliga</w:t>
      </w:r>
      <w:r w:rsidR="00846C8D" w:rsidRPr="00222917">
        <w:rPr>
          <w:lang w:val="en-US"/>
        </w:rPr>
        <w:t>tions. (CCPR/C/114/Add.1, para. </w:t>
      </w:r>
      <w:r w:rsidR="002D5BB0" w:rsidRPr="00222917">
        <w:rPr>
          <w:lang w:val="en-US"/>
        </w:rPr>
        <w:t>145).</w:t>
      </w:r>
    </w:p>
    <w:p w:rsidR="002D5BB0" w:rsidRPr="00977FC8" w:rsidRDefault="00DB2C13" w:rsidP="00DB2C13">
      <w:pPr>
        <w:pStyle w:val="HChG"/>
        <w:rPr>
          <w:sz w:val="24"/>
          <w:szCs w:val="24"/>
          <w:lang w:val="en-US"/>
        </w:rPr>
      </w:pPr>
      <w:bookmarkStart w:id="153" w:name="_Toc307504098"/>
      <w:bookmarkStart w:id="154" w:name="_Toc336435870"/>
      <w:r w:rsidRPr="00222917">
        <w:rPr>
          <w:lang w:val="en-US"/>
        </w:rPr>
        <w:tab/>
      </w:r>
      <w:r w:rsidRPr="00222917">
        <w:rPr>
          <w:lang w:val="en-US"/>
        </w:rPr>
        <w:tab/>
      </w:r>
      <w:r w:rsidR="002D5BB0" w:rsidRPr="00977FC8">
        <w:rPr>
          <w:sz w:val="24"/>
          <w:szCs w:val="24"/>
          <w:lang w:val="en-US"/>
        </w:rPr>
        <w:t>Article 12</w:t>
      </w:r>
      <w:bookmarkEnd w:id="153"/>
      <w:bookmarkEnd w:id="154"/>
    </w:p>
    <w:p w:rsidR="002D5BB0" w:rsidRPr="00222917" w:rsidRDefault="00547908" w:rsidP="00547908">
      <w:pPr>
        <w:pStyle w:val="SingleTxtG"/>
        <w:rPr>
          <w:lang w:val="en-US"/>
        </w:rPr>
      </w:pPr>
      <w:r w:rsidRPr="00222917">
        <w:rPr>
          <w:lang w:val="en-US"/>
        </w:rPr>
        <w:t>209.</w:t>
      </w:r>
      <w:r w:rsidRPr="00222917">
        <w:rPr>
          <w:lang w:val="en-US"/>
        </w:rPr>
        <w:tab/>
      </w:r>
      <w:r w:rsidR="002D5BB0" w:rsidRPr="00222917">
        <w:rPr>
          <w:lang w:val="en-US"/>
        </w:rPr>
        <w:t xml:space="preserve">As stated in the first and second </w:t>
      </w:r>
      <w:r w:rsidR="00A94611" w:rsidRPr="00222917">
        <w:rPr>
          <w:lang w:val="en-US"/>
        </w:rPr>
        <w:t xml:space="preserve">reports, pursuant to </w:t>
      </w:r>
      <w:r w:rsidR="00681EC0" w:rsidRPr="00222917">
        <w:rPr>
          <w:lang w:val="en-US"/>
        </w:rPr>
        <w:t>a</w:t>
      </w:r>
      <w:r w:rsidR="00A94611" w:rsidRPr="00222917">
        <w:rPr>
          <w:lang w:val="en-US"/>
        </w:rPr>
        <w:t>rticle </w:t>
      </w:r>
      <w:r w:rsidR="002D5BB0" w:rsidRPr="00222917">
        <w:rPr>
          <w:lang w:val="en-US"/>
        </w:rPr>
        <w:t xml:space="preserve">14 of the Constitution, every person has freedom of </w:t>
      </w:r>
      <w:r w:rsidR="002D5BB0" w:rsidRPr="00222917">
        <w:rPr>
          <w:bCs/>
          <w:lang w:val="en-US"/>
        </w:rPr>
        <w:t>residence</w:t>
      </w:r>
      <w:r w:rsidR="002D5BB0" w:rsidRPr="00222917">
        <w:rPr>
          <w:lang w:val="en-US"/>
        </w:rPr>
        <w:t xml:space="preserve"> and the right to change his or her residence, and this right may only be restricted for the sake of national security, maintenance of social order, and public we</w:t>
      </w:r>
      <w:r w:rsidR="00846C8D" w:rsidRPr="00222917">
        <w:rPr>
          <w:lang w:val="en-US"/>
        </w:rPr>
        <w:t>lfare. (CCPR/C/68/Add.1, paras. </w:t>
      </w:r>
      <w:r w:rsidR="009D6255" w:rsidRPr="00222917">
        <w:rPr>
          <w:lang w:val="en-US"/>
        </w:rPr>
        <w:t xml:space="preserve">192 and </w:t>
      </w:r>
      <w:r w:rsidR="002D5BB0" w:rsidRPr="00222917">
        <w:rPr>
          <w:lang w:val="en-US"/>
        </w:rPr>
        <w:t>193; CCPR/C</w:t>
      </w:r>
      <w:r w:rsidR="009D6255" w:rsidRPr="00222917">
        <w:rPr>
          <w:lang w:val="en-US"/>
        </w:rPr>
        <w:t>/</w:t>
      </w:r>
      <w:r w:rsidR="00846C8D" w:rsidRPr="00222917">
        <w:rPr>
          <w:lang w:val="en-US"/>
        </w:rPr>
        <w:t>114/Add.1, para. </w:t>
      </w:r>
      <w:r w:rsidR="002D5BB0" w:rsidRPr="00222917">
        <w:rPr>
          <w:lang w:val="en-US"/>
        </w:rPr>
        <w:t xml:space="preserve">146). </w:t>
      </w:r>
    </w:p>
    <w:p w:rsidR="002D5BB0" w:rsidRPr="00222917" w:rsidRDefault="00846C8D" w:rsidP="00846C8D">
      <w:pPr>
        <w:pStyle w:val="H23G"/>
        <w:rPr>
          <w:lang w:val="en-US"/>
        </w:rPr>
      </w:pPr>
      <w:bookmarkStart w:id="155" w:name="_Toc307504099"/>
      <w:bookmarkStart w:id="156" w:name="_Toc336435871"/>
      <w:r w:rsidRPr="00222917">
        <w:rPr>
          <w:lang w:val="en-US"/>
        </w:rPr>
        <w:tab/>
      </w:r>
      <w:r w:rsidRPr="00222917">
        <w:rPr>
          <w:lang w:val="en-US"/>
        </w:rPr>
        <w:tab/>
      </w:r>
      <w:r w:rsidR="002D5BB0" w:rsidRPr="00222917">
        <w:rPr>
          <w:lang w:val="en-US"/>
        </w:rPr>
        <w:t>Immigration of Foreigners and Permanent Residency</w:t>
      </w:r>
      <w:bookmarkEnd w:id="155"/>
      <w:bookmarkEnd w:id="156"/>
    </w:p>
    <w:p w:rsidR="002D5BB0" w:rsidRPr="00222917" w:rsidRDefault="00547908" w:rsidP="00547908">
      <w:pPr>
        <w:pStyle w:val="SingleTxtG"/>
        <w:rPr>
          <w:lang w:val="en-US"/>
        </w:rPr>
      </w:pPr>
      <w:r w:rsidRPr="00222917">
        <w:rPr>
          <w:lang w:val="en-US"/>
        </w:rPr>
        <w:t>210.</w:t>
      </w:r>
      <w:r w:rsidRPr="00222917">
        <w:rPr>
          <w:lang w:val="en-US"/>
        </w:rPr>
        <w:tab/>
      </w:r>
      <w:r w:rsidR="002D5BB0" w:rsidRPr="00222917">
        <w:rPr>
          <w:lang w:val="en-US"/>
        </w:rPr>
        <w:t xml:space="preserve">Regarding immigration of foreigners, the number of countries that have visa abolition agreements with Korea has increased from 61 as stated in the third report to 90. The number of countries that are </w:t>
      </w:r>
      <w:r w:rsidR="002D5BB0" w:rsidRPr="00222917">
        <w:rPr>
          <w:bCs/>
          <w:lang w:val="en-US"/>
        </w:rPr>
        <w:t>designated by the Minister of Justice</w:t>
      </w:r>
      <w:r w:rsidR="002D5BB0" w:rsidRPr="00222917">
        <w:rPr>
          <w:lang w:val="en-US"/>
        </w:rPr>
        <w:t xml:space="preserve"> for entry of foreigners into </w:t>
      </w:r>
      <w:smartTag w:uri="urn:schemas-microsoft-com:office:smarttags" w:element="place">
        <w:smartTag w:uri="urn:schemas-microsoft-com:office:smarttags" w:element="country-region">
          <w:r w:rsidR="002D5BB0" w:rsidRPr="00222917">
            <w:rPr>
              <w:lang w:val="en-US"/>
            </w:rPr>
            <w:t>Korea</w:t>
          </w:r>
        </w:smartTag>
      </w:smartTag>
      <w:r w:rsidR="002D5BB0" w:rsidRPr="00222917">
        <w:rPr>
          <w:lang w:val="en-US"/>
        </w:rPr>
        <w:t xml:space="preserve"> without visas has also increased, from 41 to 51. As stated in the third re</w:t>
      </w:r>
      <w:r w:rsidR="00846C8D" w:rsidRPr="00222917">
        <w:rPr>
          <w:lang w:val="en-US"/>
        </w:rPr>
        <w:t>port (CCPR/C/KOR/2005/3, paras. 211-</w:t>
      </w:r>
      <w:r w:rsidR="002D5BB0" w:rsidRPr="00222917">
        <w:rPr>
          <w:lang w:val="en-US"/>
        </w:rPr>
        <w:t xml:space="preserve">215), any foreigner who enters Korea is required to undergo an appropriate procedure under the </w:t>
      </w:r>
      <w:r w:rsidR="002D5BB0" w:rsidRPr="00222917">
        <w:rPr>
          <w:iCs/>
          <w:lang w:val="en-US"/>
        </w:rPr>
        <w:t>Immigration Control Act</w:t>
      </w:r>
      <w:r w:rsidR="002D5BB0" w:rsidRPr="00222917">
        <w:rPr>
          <w:lang w:val="en-US"/>
        </w:rPr>
        <w:t xml:space="preserve">, has freedom of departure, and may be subject to prohibition of departure only when deemed necessary for the sake of national security and social order. And the foreigner in question may file an objection against such decision. </w:t>
      </w:r>
    </w:p>
    <w:p w:rsidR="002D5BB0" w:rsidRPr="00222917" w:rsidRDefault="00547908" w:rsidP="00547908">
      <w:pPr>
        <w:pStyle w:val="SingleTxtG"/>
        <w:rPr>
          <w:lang w:val="en-US"/>
        </w:rPr>
      </w:pPr>
      <w:r w:rsidRPr="00222917">
        <w:rPr>
          <w:lang w:val="en-US"/>
        </w:rPr>
        <w:t>211.</w:t>
      </w:r>
      <w:r w:rsidRPr="00222917">
        <w:rPr>
          <w:lang w:val="en-US"/>
        </w:rPr>
        <w:tab/>
      </w:r>
      <w:r w:rsidR="002D5BB0" w:rsidRPr="00222917">
        <w:rPr>
          <w:lang w:val="en-US"/>
        </w:rPr>
        <w:t>As stated in the third r</w:t>
      </w:r>
      <w:r w:rsidR="00846C8D" w:rsidRPr="00222917">
        <w:rPr>
          <w:lang w:val="en-US"/>
        </w:rPr>
        <w:t>eport (CCPR/C/KOR/2005/3, para. </w:t>
      </w:r>
      <w:r w:rsidR="002D5BB0" w:rsidRPr="00222917">
        <w:rPr>
          <w:lang w:val="en-US"/>
        </w:rPr>
        <w:t xml:space="preserve">216), aliens who have stayed for five or more years at </w:t>
      </w:r>
      <w:r w:rsidR="002D5BB0" w:rsidRPr="00222917">
        <w:rPr>
          <w:bCs/>
          <w:lang w:val="en-US"/>
        </w:rPr>
        <w:t>the</w:t>
      </w:r>
      <w:r w:rsidR="002D5BB0" w:rsidRPr="00222917">
        <w:rPr>
          <w:lang w:val="en-US"/>
        </w:rPr>
        <w:t xml:space="preserve"> status of resident and their children are granted the status of permanent residency (F-5). In addition, the </w:t>
      </w:r>
      <w:r w:rsidR="002D5BB0" w:rsidRPr="00222917">
        <w:rPr>
          <w:bCs/>
          <w:iCs/>
          <w:lang w:val="en-US"/>
        </w:rPr>
        <w:t xml:space="preserve">Enforcement Decree of the Immigration Control Act </w:t>
      </w:r>
      <w:r w:rsidR="002D5BB0" w:rsidRPr="00222917">
        <w:rPr>
          <w:bCs/>
          <w:lang w:val="en-US"/>
        </w:rPr>
        <w:t>was amended</w:t>
      </w:r>
      <w:r w:rsidR="002D5BB0" w:rsidRPr="00222917">
        <w:rPr>
          <w:lang w:val="en-US"/>
        </w:rPr>
        <w:t xml:space="preserve"> on 28 February 2007, to eliminate any restriction on employment activities of foreigners who have the status of permanent residency (</w:t>
      </w:r>
      <w:r w:rsidR="00681EC0" w:rsidRPr="00222917">
        <w:rPr>
          <w:lang w:val="en-US"/>
        </w:rPr>
        <w:t>a</w:t>
      </w:r>
      <w:r w:rsidR="002D5BB0" w:rsidRPr="00222917">
        <w:rPr>
          <w:lang w:val="en-US"/>
        </w:rPr>
        <w:t>rticle</w:t>
      </w:r>
      <w:r w:rsidR="00A94611" w:rsidRPr="00222917">
        <w:rPr>
          <w:lang w:val="en-US"/>
        </w:rPr>
        <w:t> </w:t>
      </w:r>
      <w:r w:rsidR="002D5BB0" w:rsidRPr="00222917">
        <w:rPr>
          <w:lang w:val="en-US"/>
        </w:rPr>
        <w:t>23</w:t>
      </w:r>
      <w:r w:rsidR="00846C8D" w:rsidRPr="00222917">
        <w:rPr>
          <w:lang w:val="en-US"/>
        </w:rPr>
        <w:t> </w:t>
      </w:r>
      <w:r w:rsidR="002D5BB0" w:rsidRPr="00222917">
        <w:rPr>
          <w:lang w:val="en-US"/>
        </w:rPr>
        <w:t xml:space="preserve">(4)). </w:t>
      </w:r>
    </w:p>
    <w:p w:rsidR="002D5BB0" w:rsidRPr="00222917" w:rsidRDefault="00846C8D" w:rsidP="00846C8D">
      <w:pPr>
        <w:pStyle w:val="H23G"/>
        <w:rPr>
          <w:b w:val="0"/>
          <w:sz w:val="16"/>
          <w:szCs w:val="16"/>
          <w:lang w:val="en-US"/>
        </w:rPr>
      </w:pPr>
      <w:r w:rsidRPr="00222917">
        <w:rPr>
          <w:lang w:val="en-US"/>
        </w:rPr>
        <w:tab/>
      </w:r>
      <w:r w:rsidRPr="00222917">
        <w:rPr>
          <w:lang w:val="en-US"/>
        </w:rPr>
        <w:tab/>
      </w:r>
      <w:r w:rsidR="002D5BB0" w:rsidRPr="00222917">
        <w:rPr>
          <w:lang w:val="en-US"/>
        </w:rPr>
        <w:t>Persons with Status of Permanent Residency (F-5)</w:t>
      </w:r>
      <w:r w:rsidRPr="00222917">
        <w:rPr>
          <w:lang w:val="en-US"/>
        </w:rPr>
        <w:br/>
      </w:r>
      <w:r w:rsidR="002D5BB0" w:rsidRPr="00222917">
        <w:rPr>
          <w:b w:val="0"/>
          <w:sz w:val="16"/>
          <w:szCs w:val="16"/>
          <w:lang w:val="en-US"/>
        </w:rPr>
        <w:t xml:space="preserve">(As of December 2010; in persons) </w:t>
      </w:r>
    </w:p>
    <w:tbl>
      <w:tblPr>
        <w:tblW w:w="0" w:type="auto"/>
        <w:tblInd w:w="1134" w:type="dxa"/>
        <w:tblBorders>
          <w:top w:val="single" w:sz="4" w:space="0" w:color="auto"/>
          <w:bottom w:val="single" w:sz="12" w:space="0" w:color="auto"/>
          <w:insideH w:val="single" w:sz="12" w:space="0" w:color="auto"/>
        </w:tblBorders>
        <w:tblLayout w:type="fixed"/>
        <w:tblCellMar>
          <w:left w:w="0" w:type="dxa"/>
          <w:right w:w="0" w:type="dxa"/>
        </w:tblCellMar>
        <w:tblLook w:val="00A0"/>
      </w:tblPr>
      <w:tblGrid>
        <w:gridCol w:w="737"/>
        <w:gridCol w:w="737"/>
        <w:gridCol w:w="737"/>
        <w:gridCol w:w="737"/>
        <w:gridCol w:w="737"/>
        <w:gridCol w:w="737"/>
        <w:gridCol w:w="737"/>
        <w:gridCol w:w="737"/>
        <w:gridCol w:w="794"/>
        <w:gridCol w:w="680"/>
      </w:tblGrid>
      <w:tr w:rsidR="001D2686" w:rsidRPr="00222917" w:rsidTr="00C41D6F">
        <w:trPr>
          <w:trHeight w:val="240"/>
          <w:tblHeader/>
        </w:trPr>
        <w:tc>
          <w:tcPr>
            <w:tcW w:w="737" w:type="dxa"/>
            <w:shd w:val="clear" w:color="auto" w:fill="auto"/>
            <w:tcMar>
              <w:top w:w="0" w:type="dxa"/>
              <w:left w:w="0" w:type="dxa"/>
              <w:bottom w:w="0" w:type="dxa"/>
              <w:right w:w="0" w:type="dxa"/>
            </w:tcMar>
            <w:vAlign w:val="bottom"/>
          </w:tcPr>
          <w:p w:rsidR="002D5BB0" w:rsidRPr="00222917" w:rsidRDefault="002D5BB0" w:rsidP="00846C8D">
            <w:pPr>
              <w:pStyle w:val="SingleTxtG"/>
              <w:suppressAutoHyphens w:val="0"/>
              <w:spacing w:before="80" w:after="80" w:line="200" w:lineRule="exact"/>
              <w:ind w:left="0" w:right="0"/>
              <w:jc w:val="left"/>
              <w:rPr>
                <w:i/>
                <w:sz w:val="16"/>
                <w:lang w:val="en-US"/>
              </w:rPr>
            </w:pPr>
            <w:r w:rsidRPr="00222917">
              <w:rPr>
                <w:bCs/>
                <w:i/>
                <w:sz w:val="16"/>
                <w:lang w:val="en-US"/>
              </w:rPr>
              <w:t>Country</w:t>
            </w:r>
            <w:r w:rsidR="00846C8D" w:rsidRPr="00222917">
              <w:rPr>
                <w:bCs/>
                <w:i/>
                <w:sz w:val="16"/>
                <w:lang w:val="en-US"/>
              </w:rPr>
              <w:br/>
            </w:r>
            <w:r w:rsidRPr="00222917">
              <w:rPr>
                <w:i/>
                <w:sz w:val="16"/>
                <w:lang w:val="en-US"/>
              </w:rPr>
              <w:t>Total</w:t>
            </w:r>
          </w:p>
        </w:tc>
        <w:tc>
          <w:tcPr>
            <w:tcW w:w="737" w:type="dxa"/>
            <w:shd w:val="clear" w:color="auto" w:fill="auto"/>
            <w:tcMar>
              <w:top w:w="0" w:type="dxa"/>
              <w:left w:w="0" w:type="dxa"/>
              <w:bottom w:w="0" w:type="dxa"/>
              <w:right w:w="0" w:type="dxa"/>
            </w:tcMar>
            <w:vAlign w:val="bottom"/>
          </w:tcPr>
          <w:p w:rsidR="002D5BB0" w:rsidRPr="00222917" w:rsidRDefault="002D5BB0" w:rsidP="00846C8D">
            <w:pPr>
              <w:pStyle w:val="SingleTxtG"/>
              <w:suppressAutoHyphens w:val="0"/>
              <w:spacing w:before="80" w:after="80" w:line="200" w:lineRule="exact"/>
              <w:ind w:left="0" w:right="0"/>
              <w:jc w:val="right"/>
              <w:rPr>
                <w:i/>
                <w:sz w:val="16"/>
                <w:lang w:val="en-US"/>
              </w:rPr>
            </w:pPr>
            <w:smartTag w:uri="urn:schemas-microsoft-com:office:smarttags" w:element="place">
              <w:smartTag w:uri="urn:schemas-microsoft-com:office:smarttags" w:element="country-region">
                <w:r w:rsidRPr="00222917">
                  <w:rPr>
                    <w:bCs/>
                    <w:i/>
                    <w:sz w:val="16"/>
                    <w:lang w:val="en-US"/>
                  </w:rPr>
                  <w:t>Taiwan</w:t>
                </w:r>
              </w:smartTag>
            </w:smartTag>
          </w:p>
        </w:tc>
        <w:tc>
          <w:tcPr>
            <w:tcW w:w="737" w:type="dxa"/>
            <w:shd w:val="clear" w:color="auto" w:fill="auto"/>
            <w:tcMar>
              <w:top w:w="0" w:type="dxa"/>
              <w:left w:w="0" w:type="dxa"/>
              <w:bottom w:w="0" w:type="dxa"/>
              <w:right w:w="0" w:type="dxa"/>
            </w:tcMar>
            <w:vAlign w:val="bottom"/>
          </w:tcPr>
          <w:p w:rsidR="002D5BB0" w:rsidRPr="00222917" w:rsidRDefault="002D5BB0" w:rsidP="00846C8D">
            <w:pPr>
              <w:pStyle w:val="SingleTxtG"/>
              <w:suppressAutoHyphens w:val="0"/>
              <w:spacing w:before="80" w:after="80" w:line="200" w:lineRule="exact"/>
              <w:ind w:left="0" w:right="0"/>
              <w:jc w:val="right"/>
              <w:rPr>
                <w:i/>
                <w:sz w:val="16"/>
                <w:lang w:val="en-US"/>
              </w:rPr>
            </w:pPr>
            <w:smartTag w:uri="urn:schemas-microsoft-com:office:smarttags" w:element="place">
              <w:smartTag w:uri="urn:schemas-microsoft-com:office:smarttags" w:element="country-region">
                <w:r w:rsidRPr="00222917">
                  <w:rPr>
                    <w:bCs/>
                    <w:i/>
                    <w:sz w:val="16"/>
                    <w:lang w:val="en-US"/>
                  </w:rPr>
                  <w:t>Japan</w:t>
                </w:r>
              </w:smartTag>
            </w:smartTag>
          </w:p>
        </w:tc>
        <w:tc>
          <w:tcPr>
            <w:tcW w:w="737" w:type="dxa"/>
            <w:shd w:val="clear" w:color="auto" w:fill="auto"/>
            <w:tcMar>
              <w:top w:w="0" w:type="dxa"/>
              <w:left w:w="0" w:type="dxa"/>
              <w:bottom w:w="0" w:type="dxa"/>
              <w:right w:w="0" w:type="dxa"/>
            </w:tcMar>
            <w:vAlign w:val="bottom"/>
          </w:tcPr>
          <w:p w:rsidR="002D5BB0" w:rsidRPr="00222917" w:rsidRDefault="002D5BB0" w:rsidP="00846C8D">
            <w:pPr>
              <w:pStyle w:val="SingleTxtG"/>
              <w:suppressAutoHyphens w:val="0"/>
              <w:spacing w:before="80" w:after="80" w:line="200" w:lineRule="exact"/>
              <w:ind w:left="0" w:right="0"/>
              <w:jc w:val="right"/>
              <w:rPr>
                <w:i/>
                <w:sz w:val="16"/>
                <w:lang w:val="en-US"/>
              </w:rPr>
            </w:pPr>
            <w:smartTag w:uri="urn:schemas-microsoft-com:office:smarttags" w:element="place">
              <w:smartTag w:uri="urn:schemas-microsoft-com:office:smarttags" w:element="country-region">
                <w:r w:rsidRPr="00222917">
                  <w:rPr>
                    <w:bCs/>
                    <w:i/>
                    <w:sz w:val="16"/>
                    <w:lang w:val="en-US"/>
                  </w:rPr>
                  <w:t>China</w:t>
                </w:r>
              </w:smartTag>
            </w:smartTag>
            <w:r w:rsidRPr="00222917">
              <w:rPr>
                <w:bCs/>
                <w:i/>
                <w:sz w:val="16"/>
                <w:lang w:val="en-US"/>
              </w:rPr>
              <w:t xml:space="preserve"> (including Korean Chinese)</w:t>
            </w:r>
          </w:p>
        </w:tc>
        <w:tc>
          <w:tcPr>
            <w:tcW w:w="737" w:type="dxa"/>
            <w:shd w:val="clear" w:color="auto" w:fill="auto"/>
            <w:tcMar>
              <w:top w:w="0" w:type="dxa"/>
              <w:left w:w="0" w:type="dxa"/>
              <w:bottom w:w="0" w:type="dxa"/>
              <w:right w:w="0" w:type="dxa"/>
            </w:tcMar>
            <w:vAlign w:val="bottom"/>
          </w:tcPr>
          <w:p w:rsidR="002D5BB0" w:rsidRPr="00222917" w:rsidRDefault="002D5BB0" w:rsidP="00846C8D">
            <w:pPr>
              <w:pStyle w:val="SingleTxtG"/>
              <w:suppressAutoHyphens w:val="0"/>
              <w:spacing w:before="80" w:after="80" w:line="200" w:lineRule="exact"/>
              <w:ind w:left="0" w:right="0"/>
              <w:jc w:val="right"/>
              <w:rPr>
                <w:i/>
                <w:sz w:val="16"/>
                <w:lang w:val="en-US"/>
              </w:rPr>
            </w:pPr>
            <w:smartTag w:uri="urn:schemas-microsoft-com:office:smarttags" w:element="place">
              <w:smartTag w:uri="urn:schemas-microsoft-com:office:smarttags" w:element="country-region">
                <w:r w:rsidRPr="00222917">
                  <w:rPr>
                    <w:bCs/>
                    <w:i/>
                    <w:sz w:val="16"/>
                    <w:lang w:val="en-US"/>
                  </w:rPr>
                  <w:t>Thailand</w:t>
                </w:r>
              </w:smartTag>
            </w:smartTag>
          </w:p>
        </w:tc>
        <w:tc>
          <w:tcPr>
            <w:tcW w:w="737" w:type="dxa"/>
            <w:shd w:val="clear" w:color="auto" w:fill="auto"/>
            <w:tcMar>
              <w:top w:w="0" w:type="dxa"/>
              <w:left w:w="0" w:type="dxa"/>
              <w:bottom w:w="0" w:type="dxa"/>
              <w:right w:w="0" w:type="dxa"/>
            </w:tcMar>
            <w:vAlign w:val="bottom"/>
          </w:tcPr>
          <w:p w:rsidR="002D5BB0" w:rsidRPr="00222917" w:rsidRDefault="002D5BB0" w:rsidP="00846C8D">
            <w:pPr>
              <w:pStyle w:val="SingleTxtG"/>
              <w:suppressAutoHyphens w:val="0"/>
              <w:spacing w:before="80" w:after="80" w:line="200" w:lineRule="exact"/>
              <w:ind w:left="0" w:right="0"/>
              <w:jc w:val="right"/>
              <w:rPr>
                <w:i/>
                <w:sz w:val="16"/>
                <w:lang w:val="en-US"/>
              </w:rPr>
            </w:pPr>
            <w:smartTag w:uri="urn:schemas-microsoft-com:office:smarttags" w:element="place">
              <w:smartTag w:uri="urn:schemas-microsoft-com:office:smarttags" w:element="country-region">
                <w:r w:rsidRPr="00222917">
                  <w:rPr>
                    <w:bCs/>
                    <w:i/>
                    <w:sz w:val="16"/>
                    <w:lang w:val="en-US"/>
                  </w:rPr>
                  <w:t>USA</w:t>
                </w:r>
              </w:smartTag>
            </w:smartTag>
          </w:p>
        </w:tc>
        <w:tc>
          <w:tcPr>
            <w:tcW w:w="737" w:type="dxa"/>
            <w:shd w:val="clear" w:color="auto" w:fill="auto"/>
            <w:tcMar>
              <w:top w:w="0" w:type="dxa"/>
              <w:left w:w="0" w:type="dxa"/>
              <w:bottom w:w="0" w:type="dxa"/>
              <w:right w:w="0" w:type="dxa"/>
            </w:tcMar>
            <w:vAlign w:val="bottom"/>
          </w:tcPr>
          <w:p w:rsidR="002D5BB0" w:rsidRPr="00222917" w:rsidRDefault="002D5BB0" w:rsidP="00846C8D">
            <w:pPr>
              <w:pStyle w:val="SingleTxtG"/>
              <w:suppressAutoHyphens w:val="0"/>
              <w:spacing w:before="80" w:after="80" w:line="200" w:lineRule="exact"/>
              <w:ind w:left="0" w:right="0"/>
              <w:jc w:val="right"/>
              <w:rPr>
                <w:i/>
                <w:sz w:val="16"/>
                <w:lang w:val="en-US"/>
              </w:rPr>
            </w:pPr>
            <w:smartTag w:uri="urn:schemas-microsoft-com:office:smarttags" w:element="place">
              <w:smartTag w:uri="urn:schemas-microsoft-com:office:smarttags" w:element="country-region">
                <w:r w:rsidRPr="00222917">
                  <w:rPr>
                    <w:bCs/>
                    <w:i/>
                    <w:sz w:val="16"/>
                    <w:lang w:val="en-US"/>
                  </w:rPr>
                  <w:t>Russia</w:t>
                </w:r>
              </w:smartTag>
            </w:smartTag>
          </w:p>
        </w:tc>
        <w:tc>
          <w:tcPr>
            <w:tcW w:w="737" w:type="dxa"/>
            <w:shd w:val="clear" w:color="auto" w:fill="auto"/>
            <w:tcMar>
              <w:top w:w="0" w:type="dxa"/>
              <w:left w:w="0" w:type="dxa"/>
              <w:bottom w:w="0" w:type="dxa"/>
              <w:right w:w="0" w:type="dxa"/>
            </w:tcMar>
            <w:vAlign w:val="bottom"/>
          </w:tcPr>
          <w:p w:rsidR="002D5BB0" w:rsidRPr="00222917" w:rsidRDefault="002D5BB0" w:rsidP="00846C8D">
            <w:pPr>
              <w:pStyle w:val="SingleTxtG"/>
              <w:suppressAutoHyphens w:val="0"/>
              <w:spacing w:before="80" w:after="80" w:line="200" w:lineRule="exact"/>
              <w:ind w:left="0" w:right="0"/>
              <w:jc w:val="right"/>
              <w:rPr>
                <w:i/>
                <w:sz w:val="16"/>
                <w:lang w:val="en-US"/>
              </w:rPr>
            </w:pPr>
            <w:smartTag w:uri="urn:schemas-microsoft-com:office:smarttags" w:element="place">
              <w:smartTag w:uri="urn:schemas-microsoft-com:office:smarttags" w:element="country-region">
                <w:r w:rsidRPr="00222917">
                  <w:rPr>
                    <w:bCs/>
                    <w:i/>
                    <w:sz w:val="16"/>
                    <w:lang w:val="en-US"/>
                  </w:rPr>
                  <w:t>Vietnam</w:t>
                </w:r>
              </w:smartTag>
            </w:smartTag>
          </w:p>
        </w:tc>
        <w:tc>
          <w:tcPr>
            <w:tcW w:w="794" w:type="dxa"/>
            <w:shd w:val="clear" w:color="auto" w:fill="auto"/>
            <w:tcMar>
              <w:top w:w="0" w:type="dxa"/>
              <w:left w:w="0" w:type="dxa"/>
              <w:bottom w:w="0" w:type="dxa"/>
              <w:right w:w="0" w:type="dxa"/>
            </w:tcMar>
            <w:vAlign w:val="bottom"/>
          </w:tcPr>
          <w:p w:rsidR="002D5BB0" w:rsidRPr="00222917" w:rsidRDefault="002D5BB0" w:rsidP="00846C8D">
            <w:pPr>
              <w:pStyle w:val="SingleTxtG"/>
              <w:suppressAutoHyphens w:val="0"/>
              <w:spacing w:before="80" w:after="80" w:line="200" w:lineRule="exact"/>
              <w:ind w:left="0" w:right="0"/>
              <w:jc w:val="right"/>
              <w:rPr>
                <w:i/>
                <w:sz w:val="16"/>
                <w:lang w:val="en-US"/>
              </w:rPr>
            </w:pPr>
            <w:smartTag w:uri="urn:schemas-microsoft-com:office:smarttags" w:element="place">
              <w:smartTag w:uri="urn:schemas-microsoft-com:office:smarttags" w:element="country-region">
                <w:r w:rsidRPr="00222917">
                  <w:rPr>
                    <w:bCs/>
                    <w:i/>
                    <w:sz w:val="16"/>
                    <w:lang w:val="en-US"/>
                  </w:rPr>
                  <w:t>Uzbekistan</w:t>
                </w:r>
              </w:smartTag>
            </w:smartTag>
          </w:p>
        </w:tc>
        <w:tc>
          <w:tcPr>
            <w:tcW w:w="680" w:type="dxa"/>
            <w:shd w:val="clear" w:color="auto" w:fill="auto"/>
            <w:tcMar>
              <w:top w:w="0" w:type="dxa"/>
              <w:left w:w="0" w:type="dxa"/>
              <w:bottom w:w="0" w:type="dxa"/>
              <w:right w:w="0" w:type="dxa"/>
            </w:tcMar>
            <w:vAlign w:val="bottom"/>
          </w:tcPr>
          <w:p w:rsidR="002D5BB0" w:rsidRPr="00222917" w:rsidRDefault="002D5BB0" w:rsidP="00846C8D">
            <w:pPr>
              <w:pStyle w:val="SingleTxtG"/>
              <w:suppressAutoHyphens w:val="0"/>
              <w:spacing w:before="80" w:after="80" w:line="200" w:lineRule="exact"/>
              <w:ind w:left="0" w:right="0"/>
              <w:jc w:val="right"/>
              <w:rPr>
                <w:i/>
                <w:sz w:val="16"/>
                <w:lang w:val="en-US"/>
              </w:rPr>
            </w:pPr>
            <w:r w:rsidRPr="00222917">
              <w:rPr>
                <w:bCs/>
                <w:i/>
                <w:sz w:val="16"/>
                <w:lang w:val="en-US"/>
              </w:rPr>
              <w:t>Other</w:t>
            </w:r>
          </w:p>
        </w:tc>
      </w:tr>
      <w:tr w:rsidR="001D2686" w:rsidRPr="00222917" w:rsidTr="00C41D6F">
        <w:tc>
          <w:tcPr>
            <w:tcW w:w="737" w:type="dxa"/>
            <w:shd w:val="clear" w:color="auto" w:fill="auto"/>
            <w:tcMar>
              <w:top w:w="0" w:type="dxa"/>
              <w:left w:w="0" w:type="dxa"/>
              <w:bottom w:w="0" w:type="dxa"/>
              <w:right w:w="0" w:type="dxa"/>
            </w:tcMar>
          </w:tcPr>
          <w:p w:rsidR="002D5BB0" w:rsidRPr="00222917" w:rsidRDefault="002D5BB0" w:rsidP="00846C8D">
            <w:pPr>
              <w:pStyle w:val="SingleTxtG"/>
              <w:suppressAutoHyphens w:val="0"/>
              <w:spacing w:before="40" w:after="40" w:line="220" w:lineRule="exact"/>
              <w:ind w:left="0" w:right="0"/>
              <w:jc w:val="left"/>
              <w:rPr>
                <w:sz w:val="18"/>
                <w:lang w:val="en-US"/>
              </w:rPr>
            </w:pPr>
            <w:r w:rsidRPr="00222917">
              <w:rPr>
                <w:sz w:val="18"/>
                <w:lang w:val="en-US"/>
              </w:rPr>
              <w:t>45,475</w:t>
            </w:r>
          </w:p>
        </w:tc>
        <w:tc>
          <w:tcPr>
            <w:tcW w:w="737" w:type="dxa"/>
            <w:shd w:val="clear" w:color="auto" w:fill="auto"/>
            <w:tcMar>
              <w:top w:w="0" w:type="dxa"/>
              <w:left w:w="0" w:type="dxa"/>
              <w:bottom w:w="0" w:type="dxa"/>
              <w:right w:w="0" w:type="dxa"/>
            </w:tcMar>
            <w:vAlign w:val="bottom"/>
          </w:tcPr>
          <w:p w:rsidR="002D5BB0" w:rsidRPr="00222917" w:rsidRDefault="002D5BB0" w:rsidP="00846C8D">
            <w:pPr>
              <w:pStyle w:val="SingleTxtG"/>
              <w:suppressAutoHyphens w:val="0"/>
              <w:spacing w:before="40" w:after="40" w:line="220" w:lineRule="exact"/>
              <w:ind w:left="0" w:right="0"/>
              <w:jc w:val="right"/>
              <w:rPr>
                <w:sz w:val="18"/>
                <w:lang w:val="en-US"/>
              </w:rPr>
            </w:pPr>
            <w:r w:rsidRPr="00222917">
              <w:rPr>
                <w:sz w:val="18"/>
                <w:lang w:val="en-US"/>
              </w:rPr>
              <w:t>13,316</w:t>
            </w:r>
          </w:p>
        </w:tc>
        <w:tc>
          <w:tcPr>
            <w:tcW w:w="737" w:type="dxa"/>
            <w:shd w:val="clear" w:color="auto" w:fill="auto"/>
            <w:tcMar>
              <w:top w:w="0" w:type="dxa"/>
              <w:left w:w="0" w:type="dxa"/>
              <w:bottom w:w="0" w:type="dxa"/>
              <w:right w:w="0" w:type="dxa"/>
            </w:tcMar>
            <w:vAlign w:val="bottom"/>
          </w:tcPr>
          <w:p w:rsidR="002D5BB0" w:rsidRPr="00222917" w:rsidRDefault="002D5BB0" w:rsidP="00846C8D">
            <w:pPr>
              <w:pStyle w:val="SingleTxtG"/>
              <w:suppressAutoHyphens w:val="0"/>
              <w:spacing w:before="40" w:after="40" w:line="220" w:lineRule="exact"/>
              <w:ind w:left="0" w:right="0"/>
              <w:jc w:val="right"/>
              <w:rPr>
                <w:sz w:val="18"/>
                <w:lang w:val="en-US"/>
              </w:rPr>
            </w:pPr>
            <w:r w:rsidRPr="00222917">
              <w:rPr>
                <w:sz w:val="18"/>
                <w:lang w:val="en-US"/>
              </w:rPr>
              <w:t>5,648</w:t>
            </w:r>
          </w:p>
        </w:tc>
        <w:tc>
          <w:tcPr>
            <w:tcW w:w="737" w:type="dxa"/>
            <w:shd w:val="clear" w:color="auto" w:fill="auto"/>
            <w:tcMar>
              <w:top w:w="0" w:type="dxa"/>
              <w:left w:w="0" w:type="dxa"/>
              <w:bottom w:w="0" w:type="dxa"/>
              <w:right w:w="0" w:type="dxa"/>
            </w:tcMar>
            <w:vAlign w:val="bottom"/>
          </w:tcPr>
          <w:p w:rsidR="002D5BB0" w:rsidRPr="00222917" w:rsidRDefault="002D5BB0" w:rsidP="00846C8D">
            <w:pPr>
              <w:pStyle w:val="SingleTxtG"/>
              <w:suppressAutoHyphens w:val="0"/>
              <w:spacing w:before="40" w:after="40" w:line="220" w:lineRule="exact"/>
              <w:ind w:left="0" w:right="0"/>
              <w:jc w:val="right"/>
              <w:rPr>
                <w:sz w:val="18"/>
                <w:lang w:val="en-US"/>
              </w:rPr>
            </w:pPr>
            <w:r w:rsidRPr="00222917">
              <w:rPr>
                <w:sz w:val="18"/>
                <w:lang w:val="en-US"/>
              </w:rPr>
              <w:t>22,437</w:t>
            </w:r>
          </w:p>
        </w:tc>
        <w:tc>
          <w:tcPr>
            <w:tcW w:w="737" w:type="dxa"/>
            <w:shd w:val="clear" w:color="auto" w:fill="auto"/>
            <w:tcMar>
              <w:top w:w="0" w:type="dxa"/>
              <w:left w:w="0" w:type="dxa"/>
              <w:bottom w:w="0" w:type="dxa"/>
              <w:right w:w="0" w:type="dxa"/>
            </w:tcMar>
            <w:vAlign w:val="bottom"/>
          </w:tcPr>
          <w:p w:rsidR="002D5BB0" w:rsidRPr="00222917" w:rsidRDefault="002D5BB0" w:rsidP="00846C8D">
            <w:pPr>
              <w:pStyle w:val="SingleTxtG"/>
              <w:suppressAutoHyphens w:val="0"/>
              <w:spacing w:before="40" w:after="40" w:line="220" w:lineRule="exact"/>
              <w:ind w:left="0" w:right="0"/>
              <w:jc w:val="right"/>
              <w:rPr>
                <w:sz w:val="18"/>
                <w:lang w:val="en-US"/>
              </w:rPr>
            </w:pPr>
            <w:r w:rsidRPr="00222917">
              <w:rPr>
                <w:sz w:val="18"/>
                <w:lang w:val="en-US"/>
              </w:rPr>
              <w:t>509</w:t>
            </w:r>
          </w:p>
        </w:tc>
        <w:tc>
          <w:tcPr>
            <w:tcW w:w="737" w:type="dxa"/>
            <w:shd w:val="clear" w:color="auto" w:fill="auto"/>
            <w:tcMar>
              <w:top w:w="0" w:type="dxa"/>
              <w:left w:w="0" w:type="dxa"/>
              <w:bottom w:w="0" w:type="dxa"/>
              <w:right w:w="0" w:type="dxa"/>
            </w:tcMar>
            <w:vAlign w:val="bottom"/>
          </w:tcPr>
          <w:p w:rsidR="002D5BB0" w:rsidRPr="00222917" w:rsidRDefault="002D5BB0" w:rsidP="00846C8D">
            <w:pPr>
              <w:pStyle w:val="SingleTxtG"/>
              <w:suppressAutoHyphens w:val="0"/>
              <w:spacing w:before="40" w:after="40" w:line="220" w:lineRule="exact"/>
              <w:ind w:left="0" w:right="0"/>
              <w:jc w:val="right"/>
              <w:rPr>
                <w:sz w:val="18"/>
                <w:lang w:val="en-US"/>
              </w:rPr>
            </w:pPr>
            <w:r w:rsidRPr="00222917">
              <w:rPr>
                <w:sz w:val="18"/>
                <w:lang w:val="en-US"/>
              </w:rPr>
              <w:t>582</w:t>
            </w:r>
          </w:p>
        </w:tc>
        <w:tc>
          <w:tcPr>
            <w:tcW w:w="737" w:type="dxa"/>
            <w:shd w:val="clear" w:color="auto" w:fill="auto"/>
            <w:tcMar>
              <w:top w:w="0" w:type="dxa"/>
              <w:left w:w="0" w:type="dxa"/>
              <w:bottom w:w="0" w:type="dxa"/>
              <w:right w:w="0" w:type="dxa"/>
            </w:tcMar>
            <w:vAlign w:val="bottom"/>
          </w:tcPr>
          <w:p w:rsidR="002D5BB0" w:rsidRPr="00222917" w:rsidRDefault="002D5BB0" w:rsidP="00846C8D">
            <w:pPr>
              <w:pStyle w:val="SingleTxtG"/>
              <w:suppressAutoHyphens w:val="0"/>
              <w:spacing w:before="40" w:after="40" w:line="220" w:lineRule="exact"/>
              <w:ind w:left="0" w:right="0"/>
              <w:jc w:val="right"/>
              <w:rPr>
                <w:sz w:val="18"/>
                <w:lang w:val="en-US"/>
              </w:rPr>
            </w:pPr>
            <w:r w:rsidRPr="00222917">
              <w:rPr>
                <w:sz w:val="18"/>
                <w:lang w:val="en-US"/>
              </w:rPr>
              <w:t>506</w:t>
            </w:r>
          </w:p>
        </w:tc>
        <w:tc>
          <w:tcPr>
            <w:tcW w:w="737" w:type="dxa"/>
            <w:shd w:val="clear" w:color="auto" w:fill="auto"/>
            <w:tcMar>
              <w:top w:w="0" w:type="dxa"/>
              <w:left w:w="0" w:type="dxa"/>
              <w:bottom w:w="0" w:type="dxa"/>
              <w:right w:w="0" w:type="dxa"/>
            </w:tcMar>
            <w:vAlign w:val="bottom"/>
          </w:tcPr>
          <w:p w:rsidR="002D5BB0" w:rsidRPr="00222917" w:rsidRDefault="002D5BB0" w:rsidP="00846C8D">
            <w:pPr>
              <w:pStyle w:val="SingleTxtG"/>
              <w:suppressAutoHyphens w:val="0"/>
              <w:spacing w:before="40" w:after="40" w:line="220" w:lineRule="exact"/>
              <w:ind w:left="0" w:right="0"/>
              <w:jc w:val="right"/>
              <w:rPr>
                <w:sz w:val="18"/>
                <w:lang w:val="en-US"/>
              </w:rPr>
            </w:pPr>
            <w:r w:rsidRPr="00222917">
              <w:rPr>
                <w:sz w:val="18"/>
                <w:lang w:val="en-US"/>
              </w:rPr>
              <w:t>596</w:t>
            </w:r>
          </w:p>
        </w:tc>
        <w:tc>
          <w:tcPr>
            <w:tcW w:w="794" w:type="dxa"/>
            <w:shd w:val="clear" w:color="auto" w:fill="auto"/>
            <w:tcMar>
              <w:top w:w="0" w:type="dxa"/>
              <w:left w:w="0" w:type="dxa"/>
              <w:bottom w:w="0" w:type="dxa"/>
              <w:right w:w="0" w:type="dxa"/>
            </w:tcMar>
            <w:vAlign w:val="bottom"/>
          </w:tcPr>
          <w:p w:rsidR="002D5BB0" w:rsidRPr="00222917" w:rsidRDefault="002D5BB0" w:rsidP="00846C8D">
            <w:pPr>
              <w:pStyle w:val="SingleTxtG"/>
              <w:suppressAutoHyphens w:val="0"/>
              <w:spacing w:before="40" w:after="40" w:line="220" w:lineRule="exact"/>
              <w:ind w:left="0" w:right="0"/>
              <w:jc w:val="right"/>
              <w:rPr>
                <w:sz w:val="18"/>
                <w:lang w:val="en-US"/>
              </w:rPr>
            </w:pPr>
            <w:r w:rsidRPr="00222917">
              <w:rPr>
                <w:sz w:val="18"/>
                <w:lang w:val="en-US"/>
              </w:rPr>
              <w:t>290</w:t>
            </w:r>
          </w:p>
        </w:tc>
        <w:tc>
          <w:tcPr>
            <w:tcW w:w="680" w:type="dxa"/>
            <w:shd w:val="clear" w:color="auto" w:fill="auto"/>
            <w:tcMar>
              <w:top w:w="0" w:type="dxa"/>
              <w:left w:w="0" w:type="dxa"/>
              <w:bottom w:w="0" w:type="dxa"/>
              <w:right w:w="0" w:type="dxa"/>
            </w:tcMar>
            <w:vAlign w:val="bottom"/>
          </w:tcPr>
          <w:p w:rsidR="002D5BB0" w:rsidRPr="00222917" w:rsidRDefault="002D5BB0" w:rsidP="00846C8D">
            <w:pPr>
              <w:pStyle w:val="SingleTxtG"/>
              <w:suppressAutoHyphens w:val="0"/>
              <w:spacing w:before="40" w:after="40" w:line="220" w:lineRule="exact"/>
              <w:ind w:left="0" w:right="0"/>
              <w:jc w:val="right"/>
              <w:rPr>
                <w:sz w:val="18"/>
                <w:lang w:val="en-US"/>
              </w:rPr>
            </w:pPr>
            <w:r w:rsidRPr="00222917">
              <w:rPr>
                <w:sz w:val="18"/>
                <w:lang w:val="en-US"/>
              </w:rPr>
              <w:t>1,591</w:t>
            </w:r>
          </w:p>
        </w:tc>
      </w:tr>
    </w:tbl>
    <w:p w:rsidR="002D5BB0" w:rsidRPr="00222917" w:rsidRDefault="00846C8D" w:rsidP="00846C8D">
      <w:pPr>
        <w:pStyle w:val="H23G"/>
        <w:rPr>
          <w:lang w:val="en-US"/>
        </w:rPr>
      </w:pPr>
      <w:bookmarkStart w:id="157" w:name="_Toc307504100"/>
      <w:bookmarkStart w:id="158" w:name="_Toc336435872"/>
      <w:r w:rsidRPr="00222917">
        <w:rPr>
          <w:lang w:val="en-US"/>
        </w:rPr>
        <w:tab/>
      </w:r>
      <w:r w:rsidRPr="00222917">
        <w:rPr>
          <w:lang w:val="en-US"/>
        </w:rPr>
        <w:tab/>
      </w:r>
      <w:r w:rsidR="002D5BB0" w:rsidRPr="00222917">
        <w:rPr>
          <w:lang w:val="en-US"/>
        </w:rPr>
        <w:t xml:space="preserve">Establishment and Enforcement of Policies to Promote Rights of Mobility </w:t>
      </w:r>
      <w:r w:rsidRPr="00222917">
        <w:rPr>
          <w:lang w:val="en-US"/>
        </w:rPr>
        <w:br/>
      </w:r>
      <w:r w:rsidR="002D5BB0" w:rsidRPr="00222917">
        <w:rPr>
          <w:lang w:val="en-US"/>
        </w:rPr>
        <w:t>of Transportation-Disadvantaged Persons</w:t>
      </w:r>
      <w:bookmarkEnd w:id="157"/>
      <w:bookmarkEnd w:id="158"/>
    </w:p>
    <w:p w:rsidR="002D5BB0" w:rsidRPr="00222917" w:rsidRDefault="00547908" w:rsidP="00547908">
      <w:pPr>
        <w:pStyle w:val="SingleTxtG"/>
        <w:rPr>
          <w:lang w:val="en-US"/>
        </w:rPr>
      </w:pPr>
      <w:r w:rsidRPr="00222917">
        <w:rPr>
          <w:lang w:val="en-US"/>
        </w:rPr>
        <w:t>212.</w:t>
      </w:r>
      <w:r w:rsidRPr="00222917">
        <w:rPr>
          <w:lang w:val="en-US"/>
        </w:rPr>
        <w:tab/>
      </w:r>
      <w:r w:rsidR="002D5BB0" w:rsidRPr="00222917">
        <w:rPr>
          <w:lang w:val="en-US"/>
        </w:rPr>
        <w:t>As stated in the third re</w:t>
      </w:r>
      <w:r w:rsidR="00C40F20" w:rsidRPr="00222917">
        <w:rPr>
          <w:lang w:val="en-US"/>
        </w:rPr>
        <w:t xml:space="preserve">port (CCPR/C/KOR/2005/3, paras. 217 and </w:t>
      </w:r>
      <w:r w:rsidR="002D5BB0" w:rsidRPr="00222917">
        <w:rPr>
          <w:lang w:val="en-US"/>
        </w:rPr>
        <w:t xml:space="preserve">218), </w:t>
      </w:r>
      <w:r w:rsidR="002D5BB0" w:rsidRPr="00222917">
        <w:rPr>
          <w:bCs/>
          <w:lang w:val="en-US"/>
        </w:rPr>
        <w:t xml:space="preserve">to enhance the mobility of </w:t>
      </w:r>
      <w:r w:rsidR="002D5BB0" w:rsidRPr="00222917">
        <w:rPr>
          <w:lang w:val="en-US"/>
        </w:rPr>
        <w:t xml:space="preserve">the </w:t>
      </w:r>
      <w:r w:rsidR="002D5BB0" w:rsidRPr="00222917">
        <w:rPr>
          <w:bCs/>
          <w:lang w:val="en-US"/>
        </w:rPr>
        <w:t>transportation</w:t>
      </w:r>
      <w:r w:rsidR="002D5BB0" w:rsidRPr="00222917">
        <w:rPr>
          <w:lang w:val="en-US"/>
        </w:rPr>
        <w:t xml:space="preserve">-disadvantaged, </w:t>
      </w:r>
      <w:r w:rsidR="002D5BB0" w:rsidRPr="00222917">
        <w:rPr>
          <w:iCs/>
          <w:lang w:val="en-US"/>
        </w:rPr>
        <w:t>t</w:t>
      </w:r>
      <w:r w:rsidR="002D5BB0" w:rsidRPr="00222917">
        <w:rPr>
          <w:bCs/>
          <w:iCs/>
          <w:lang w:val="en-US"/>
        </w:rPr>
        <w:t>he Act on Promotion and Provision of Convenience of the Disabled, the Aged, the Pregnant, etc</w:t>
      </w:r>
      <w:r w:rsidR="002D5BB0" w:rsidRPr="00222917">
        <w:rPr>
          <w:bCs/>
          <w:i/>
          <w:lang w:val="en-US"/>
        </w:rPr>
        <w:t>.</w:t>
      </w:r>
      <w:r w:rsidR="002D5BB0" w:rsidRPr="00222917">
        <w:rPr>
          <w:bCs/>
          <w:lang w:val="en-US"/>
        </w:rPr>
        <w:t xml:space="preserve"> was enacted</w:t>
      </w:r>
      <w:r w:rsidR="002D5BB0" w:rsidRPr="00222917">
        <w:rPr>
          <w:lang w:val="en-US"/>
        </w:rPr>
        <w:t xml:space="preserve">; convenience facilities are set up in public buildings; electronic signage is installed at bus stops; and kneeling buses are introduced. </w:t>
      </w:r>
    </w:p>
    <w:p w:rsidR="002D5BB0" w:rsidRPr="00222917" w:rsidRDefault="00547908" w:rsidP="00547908">
      <w:pPr>
        <w:pStyle w:val="SingleTxtG"/>
        <w:rPr>
          <w:lang w:val="en-US"/>
        </w:rPr>
      </w:pPr>
      <w:r w:rsidRPr="00222917">
        <w:rPr>
          <w:lang w:val="en-US"/>
        </w:rPr>
        <w:t>213.</w:t>
      </w:r>
      <w:r w:rsidRPr="00222917">
        <w:rPr>
          <w:lang w:val="en-US"/>
        </w:rPr>
        <w:tab/>
      </w:r>
      <w:r w:rsidR="002D5BB0" w:rsidRPr="00222917">
        <w:rPr>
          <w:lang w:val="en-US"/>
        </w:rPr>
        <w:t xml:space="preserve">On 27 January 2005, the </w:t>
      </w:r>
      <w:r w:rsidR="002D5BB0" w:rsidRPr="00222917">
        <w:rPr>
          <w:iCs/>
          <w:lang w:val="en-US"/>
        </w:rPr>
        <w:t xml:space="preserve">Act on Promotion of the Transportation Convenience of Mobility Disadvantaged Persons </w:t>
      </w:r>
      <w:r w:rsidR="002D5BB0" w:rsidRPr="00222917">
        <w:rPr>
          <w:lang w:val="en-US"/>
        </w:rPr>
        <w:t xml:space="preserve">was enacted to improve transportation modes, passenger traffic facilities, and the pedestrian environment, etc. to ensure safe and convenient transportation mobility for the disabled, the elderly and pregnant women. This Act prescribes obligations of the central </w:t>
      </w:r>
      <w:r w:rsidR="0005151A">
        <w:rPr>
          <w:lang w:val="en-US"/>
        </w:rPr>
        <w:t>G</w:t>
      </w:r>
      <w:r w:rsidR="002D5BB0" w:rsidRPr="00222917">
        <w:rPr>
          <w:lang w:val="en-US"/>
        </w:rPr>
        <w:t xml:space="preserve">overnment, local governments, and transportation service providers regarding such persons, and stipulates the plans to improve their mobility, the standards for establishing facilities to promote their mobility, and the pedestrian priority zone. </w:t>
      </w:r>
    </w:p>
    <w:p w:rsidR="002D5BB0" w:rsidRPr="00222917" w:rsidRDefault="00547908" w:rsidP="00547908">
      <w:pPr>
        <w:pStyle w:val="SingleTxtG"/>
        <w:rPr>
          <w:lang w:val="en-US"/>
        </w:rPr>
      </w:pPr>
      <w:r w:rsidRPr="00222917">
        <w:rPr>
          <w:lang w:val="en-US"/>
        </w:rPr>
        <w:t>214.</w:t>
      </w:r>
      <w:r w:rsidRPr="00222917">
        <w:rPr>
          <w:lang w:val="en-US"/>
        </w:rPr>
        <w:tab/>
      </w:r>
      <w:r w:rsidR="002D5BB0" w:rsidRPr="00222917">
        <w:rPr>
          <w:lang w:val="en-US"/>
        </w:rPr>
        <w:t xml:space="preserve">In June 2010, the </w:t>
      </w:r>
      <w:r w:rsidR="002D5BB0" w:rsidRPr="00222917">
        <w:rPr>
          <w:iCs/>
          <w:lang w:val="en-US"/>
        </w:rPr>
        <w:t>Act on Promotion of the Transportation Convenience of Mobility Disadvantaged Persons</w:t>
      </w:r>
      <w:r w:rsidR="002D5BB0" w:rsidRPr="00222917">
        <w:rPr>
          <w:i/>
          <w:lang w:val="en-US"/>
        </w:rPr>
        <w:t xml:space="preserve"> </w:t>
      </w:r>
      <w:r w:rsidR="002D5BB0" w:rsidRPr="00222917">
        <w:rPr>
          <w:lang w:val="en-US"/>
        </w:rPr>
        <w:t xml:space="preserve">was amended to require passenger transportation facilities such as subway stations to be furnished with breast-feeding rest rooms for nursing mothers. As part of the first plans to promote the mobility of the transportation-disadvantaged, an increasing number of mobility </w:t>
      </w:r>
      <w:r w:rsidR="002D5BB0" w:rsidRPr="00222917">
        <w:rPr>
          <w:bCs/>
          <w:lang w:val="en-US"/>
        </w:rPr>
        <w:t>promotion</w:t>
      </w:r>
      <w:r w:rsidR="002D5BB0" w:rsidRPr="00222917">
        <w:rPr>
          <w:lang w:val="en-US"/>
        </w:rPr>
        <w:t xml:space="preserve"> facilities, kneeling buses, and special transportation modes have been introduced. Plans to improve pedestrian environment have been carried out to ensure improvement of safety and convenience of pedestrians, and as the barrier free living environment certificate system was legislated in June 2010, the number of public institutions and transportation facilities that obtains the certificate is planned to increase from 20 to 50 by December 2010. </w:t>
      </w:r>
    </w:p>
    <w:p w:rsidR="002D5BB0" w:rsidRPr="00222917" w:rsidRDefault="00C40F20" w:rsidP="00C40F20">
      <w:pPr>
        <w:pStyle w:val="H23G"/>
        <w:rPr>
          <w:lang w:val="en-US"/>
        </w:rPr>
      </w:pPr>
      <w:bookmarkStart w:id="159" w:name="_Toc307504101"/>
      <w:bookmarkStart w:id="160" w:name="_Toc336435873"/>
      <w:r w:rsidRPr="00222917">
        <w:rPr>
          <w:lang w:val="en-US"/>
        </w:rPr>
        <w:tab/>
      </w:r>
      <w:r w:rsidRPr="00222917">
        <w:rPr>
          <w:lang w:val="en-US"/>
        </w:rPr>
        <w:tab/>
      </w:r>
      <w:r w:rsidR="002D5BB0" w:rsidRPr="00222917">
        <w:rPr>
          <w:lang w:val="en-US"/>
        </w:rPr>
        <w:t xml:space="preserve">Assistance for Passenger Ship Fares for Residents of </w:t>
      </w:r>
      <w:smartTag w:uri="urn:schemas-microsoft-com:office:smarttags" w:element="place">
        <w:r w:rsidR="002D5BB0" w:rsidRPr="00222917">
          <w:rPr>
            <w:lang w:val="en-US"/>
          </w:rPr>
          <w:t>Island</w:t>
        </w:r>
      </w:smartTag>
      <w:r w:rsidR="002D5BB0" w:rsidRPr="00222917">
        <w:rPr>
          <w:lang w:val="en-US"/>
        </w:rPr>
        <w:t xml:space="preserve"> Areas</w:t>
      </w:r>
      <w:bookmarkEnd w:id="159"/>
      <w:bookmarkEnd w:id="160"/>
    </w:p>
    <w:p w:rsidR="002D5BB0" w:rsidRPr="00222917" w:rsidRDefault="00547908" w:rsidP="00547908">
      <w:pPr>
        <w:pStyle w:val="SingleTxtG"/>
        <w:rPr>
          <w:lang w:val="en-US"/>
        </w:rPr>
      </w:pPr>
      <w:r w:rsidRPr="00222917">
        <w:rPr>
          <w:lang w:val="en-US"/>
        </w:rPr>
        <w:t>215.</w:t>
      </w:r>
      <w:r w:rsidRPr="00222917">
        <w:rPr>
          <w:lang w:val="en-US"/>
        </w:rPr>
        <w:tab/>
      </w:r>
      <w:r w:rsidR="002D5BB0" w:rsidRPr="00222917">
        <w:rPr>
          <w:lang w:val="en-US"/>
        </w:rPr>
        <w:t xml:space="preserve">Residents of islands are generally in poorer surroundings than mainland residents. Their passenger fares are </w:t>
      </w:r>
      <w:r w:rsidR="002D5BB0" w:rsidRPr="00222917">
        <w:rPr>
          <w:bCs/>
          <w:lang w:val="en-US"/>
        </w:rPr>
        <w:t>subsidized</w:t>
      </w:r>
      <w:r w:rsidR="002D5BB0" w:rsidRPr="00222917">
        <w:rPr>
          <w:lang w:val="en-US"/>
        </w:rPr>
        <w:t xml:space="preserve"> to provide them relief from high transportation costs, increase their interactions with the mainland, and improve their living conditions. The legal basis for such assistan</w:t>
      </w:r>
      <w:r w:rsidR="00A94611" w:rsidRPr="00222917">
        <w:rPr>
          <w:lang w:val="en-US"/>
        </w:rPr>
        <w:t xml:space="preserve">ce is provided by </w:t>
      </w:r>
      <w:r w:rsidR="00681EC0" w:rsidRPr="00222917">
        <w:rPr>
          <w:lang w:val="en-US"/>
        </w:rPr>
        <w:t>a</w:t>
      </w:r>
      <w:r w:rsidR="00A94611" w:rsidRPr="00222917">
        <w:rPr>
          <w:lang w:val="en-US"/>
        </w:rPr>
        <w:t>rticle </w:t>
      </w:r>
      <w:r w:rsidR="002D5BB0" w:rsidRPr="00222917">
        <w:rPr>
          <w:lang w:val="en-US"/>
        </w:rPr>
        <w:t xml:space="preserve">35-2 (Fares of Passenger Transportation Services and Fare Subsidy) of the </w:t>
      </w:r>
      <w:r w:rsidR="002D5BB0" w:rsidRPr="00222917">
        <w:rPr>
          <w:iCs/>
          <w:lang w:val="en-US"/>
        </w:rPr>
        <w:t>Special Act on the Improvement of the Quality of Life of Farmers, Foresters and Fishermen and the Promotion of Development of Agricultural, Mountain and Fishery Areas</w:t>
      </w:r>
      <w:r w:rsidR="002D5BB0" w:rsidRPr="00222917">
        <w:rPr>
          <w:lang w:val="en-US"/>
        </w:rPr>
        <w:t>, which was newly inser</w:t>
      </w:r>
      <w:r w:rsidR="00A94611" w:rsidRPr="00222917">
        <w:rPr>
          <w:lang w:val="en-US"/>
        </w:rPr>
        <w:t xml:space="preserve">ted in August 2005, and </w:t>
      </w:r>
      <w:r w:rsidR="00AE0F13" w:rsidRPr="00222917">
        <w:rPr>
          <w:lang w:val="en-US"/>
        </w:rPr>
        <w:t>a</w:t>
      </w:r>
      <w:r w:rsidR="00A94611" w:rsidRPr="00222917">
        <w:rPr>
          <w:lang w:val="en-US"/>
        </w:rPr>
        <w:t>rticle </w:t>
      </w:r>
      <w:r w:rsidR="002D5BB0" w:rsidRPr="00222917">
        <w:rPr>
          <w:lang w:val="en-US"/>
        </w:rPr>
        <w:t xml:space="preserve">44 (Fares of Passenger Ship Users and Fare Subsidy) of </w:t>
      </w:r>
      <w:r w:rsidR="002D5BB0" w:rsidRPr="00222917">
        <w:rPr>
          <w:iCs/>
          <w:lang w:val="en-US"/>
        </w:rPr>
        <w:t>the Marine Transportation Act</w:t>
      </w:r>
      <w:r w:rsidR="002D5BB0" w:rsidRPr="00222917">
        <w:rPr>
          <w:lang w:val="en-US"/>
        </w:rPr>
        <w:t xml:space="preserve">, which was newly inserted in October 2006. </w:t>
      </w:r>
    </w:p>
    <w:p w:rsidR="002D5BB0" w:rsidRPr="00222917" w:rsidRDefault="00547908" w:rsidP="00547908">
      <w:pPr>
        <w:pStyle w:val="SingleTxtG"/>
        <w:rPr>
          <w:lang w:val="en-US"/>
        </w:rPr>
      </w:pPr>
      <w:r w:rsidRPr="00222917">
        <w:rPr>
          <w:lang w:val="en-US"/>
        </w:rPr>
        <w:t>216.</w:t>
      </w:r>
      <w:r w:rsidRPr="00222917">
        <w:rPr>
          <w:lang w:val="en-US"/>
        </w:rPr>
        <w:tab/>
      </w:r>
      <w:r w:rsidR="002D5BB0" w:rsidRPr="00222917">
        <w:rPr>
          <w:lang w:val="en-US"/>
        </w:rPr>
        <w:t>In November 2005, the former Ministry of Maritime Affairs and Fisheries, local governments, and passenger ship owners signed an agreement on passenger fare assistance for residents of islands to provide passenger fare assistance starting in March 2006, through which 20</w:t>
      </w:r>
      <w:r w:rsidR="00E92293" w:rsidRPr="00222917">
        <w:rPr>
          <w:lang w:val="en-US"/>
        </w:rPr>
        <w:t>%</w:t>
      </w:r>
      <w:r w:rsidR="002D5BB0" w:rsidRPr="00222917">
        <w:rPr>
          <w:lang w:val="en-US"/>
        </w:rPr>
        <w:t xml:space="preserve"> of fares of up to KRW 5,000 is covered, and if the fare exceeds KRW 5,000, the resident bears up to KRW 5,000 and the Government bears the remainder. The</w:t>
      </w:r>
      <w:r w:rsidR="00E92293" w:rsidRPr="00222917">
        <w:rPr>
          <w:lang w:val="en-US"/>
        </w:rPr>
        <w:t> </w:t>
      </w:r>
      <w:r w:rsidR="002D5BB0" w:rsidRPr="00222917">
        <w:rPr>
          <w:lang w:val="en-US"/>
        </w:rPr>
        <w:t>ass</w:t>
      </w:r>
      <w:r w:rsidR="00E92293" w:rsidRPr="00222917">
        <w:rPr>
          <w:lang w:val="en-US"/>
        </w:rPr>
        <w:t xml:space="preserve">istance ratio increased from 20% </w:t>
      </w:r>
      <w:r w:rsidR="002D5BB0" w:rsidRPr="00222917">
        <w:rPr>
          <w:lang w:val="en-US"/>
        </w:rPr>
        <w:t>to 30</w:t>
      </w:r>
      <w:r w:rsidR="00E92293" w:rsidRPr="00222917">
        <w:rPr>
          <w:lang w:val="en-US"/>
        </w:rPr>
        <w:t>%</w:t>
      </w:r>
      <w:r w:rsidR="002D5BB0" w:rsidRPr="00222917">
        <w:rPr>
          <w:lang w:val="en-US"/>
        </w:rPr>
        <w:t xml:space="preserve"> only for the second half of 2009. </w:t>
      </w:r>
    </w:p>
    <w:p w:rsidR="002D5BB0" w:rsidRPr="00222917" w:rsidRDefault="00C40F20" w:rsidP="00C40F20">
      <w:pPr>
        <w:pStyle w:val="H23G"/>
        <w:rPr>
          <w:lang w:val="en-US"/>
        </w:rPr>
      </w:pPr>
      <w:r w:rsidRPr="00222917">
        <w:rPr>
          <w:lang w:val="en-US"/>
        </w:rPr>
        <w:tab/>
      </w:r>
      <w:r w:rsidRPr="00222917">
        <w:rPr>
          <w:lang w:val="en-US"/>
        </w:rPr>
        <w:tab/>
      </w:r>
      <w:r w:rsidR="002D5BB0" w:rsidRPr="00222917">
        <w:rPr>
          <w:lang w:val="en-US"/>
        </w:rPr>
        <w:t>Coastal Passenger Ship Transport Capacity</w:t>
      </w:r>
    </w:p>
    <w:tbl>
      <w:tblPr>
        <w:tblW w:w="7370" w:type="dxa"/>
        <w:tblInd w:w="1134" w:type="dxa"/>
        <w:tblBorders>
          <w:top w:val="single" w:sz="4" w:space="0" w:color="auto"/>
        </w:tblBorders>
        <w:tblCellMar>
          <w:left w:w="0" w:type="dxa"/>
          <w:right w:w="0" w:type="dxa"/>
        </w:tblCellMar>
        <w:tblLook w:val="00A0"/>
      </w:tblPr>
      <w:tblGrid>
        <w:gridCol w:w="908"/>
        <w:gridCol w:w="1077"/>
        <w:gridCol w:w="1077"/>
        <w:gridCol w:w="1077"/>
        <w:gridCol w:w="1077"/>
        <w:gridCol w:w="1077"/>
        <w:gridCol w:w="1077"/>
      </w:tblGrid>
      <w:tr w:rsidR="001D2686" w:rsidRPr="00222917" w:rsidTr="003D28C1">
        <w:trPr>
          <w:trHeight w:val="240"/>
          <w:tblHeader/>
        </w:trPr>
        <w:tc>
          <w:tcPr>
            <w:tcW w:w="907" w:type="dxa"/>
            <w:vMerge w:val="restart"/>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C40F20">
            <w:pPr>
              <w:pStyle w:val="SingleTxtG"/>
              <w:suppressAutoHyphens w:val="0"/>
              <w:spacing w:before="80" w:after="80" w:line="200" w:lineRule="exact"/>
              <w:ind w:left="0" w:right="0"/>
              <w:jc w:val="left"/>
              <w:rPr>
                <w:i/>
                <w:sz w:val="16"/>
                <w:szCs w:val="16"/>
                <w:lang w:val="en-US"/>
              </w:rPr>
            </w:pPr>
            <w:r w:rsidRPr="00222917">
              <w:rPr>
                <w:bCs/>
                <w:i/>
                <w:sz w:val="16"/>
                <w:szCs w:val="16"/>
                <w:lang w:val="en-US"/>
              </w:rPr>
              <w:t>Year</w:t>
            </w:r>
          </w:p>
        </w:tc>
        <w:tc>
          <w:tcPr>
            <w:tcW w:w="1077" w:type="dxa"/>
            <w:gridSpan w:val="2"/>
            <w:tcBorders>
              <w:top w:val="single" w:sz="4" w:space="0" w:color="auto"/>
              <w:bottom w:val="single" w:sz="4" w:space="0" w:color="auto"/>
            </w:tcBorders>
            <w:shd w:val="clear" w:color="auto" w:fill="auto"/>
            <w:tcMar>
              <w:top w:w="28" w:type="dxa"/>
              <w:left w:w="28" w:type="dxa"/>
              <w:bottom w:w="28" w:type="dxa"/>
              <w:right w:w="28" w:type="dxa"/>
            </w:tcMar>
            <w:vAlign w:val="bottom"/>
          </w:tcPr>
          <w:p w:rsidR="002D5BB0" w:rsidRPr="00222917" w:rsidRDefault="002D5BB0" w:rsidP="00E36B9B">
            <w:pPr>
              <w:pStyle w:val="SingleTxtG"/>
              <w:suppressAutoHyphens w:val="0"/>
              <w:spacing w:before="80" w:after="80" w:line="200" w:lineRule="exact"/>
              <w:ind w:left="0" w:right="0"/>
              <w:jc w:val="center"/>
              <w:rPr>
                <w:i/>
                <w:sz w:val="16"/>
                <w:szCs w:val="16"/>
                <w:lang w:val="en-US"/>
              </w:rPr>
            </w:pPr>
            <w:r w:rsidRPr="00222917">
              <w:rPr>
                <w:bCs/>
                <w:i/>
                <w:sz w:val="16"/>
                <w:szCs w:val="16"/>
                <w:lang w:val="en-US"/>
              </w:rPr>
              <w:t>Total</w:t>
            </w:r>
          </w:p>
        </w:tc>
        <w:tc>
          <w:tcPr>
            <w:tcW w:w="1077" w:type="dxa"/>
            <w:gridSpan w:val="2"/>
            <w:tcBorders>
              <w:top w:val="single" w:sz="4" w:space="0" w:color="auto"/>
              <w:bottom w:val="single" w:sz="4" w:space="0" w:color="auto"/>
            </w:tcBorders>
            <w:shd w:val="clear" w:color="auto" w:fill="auto"/>
            <w:tcMar>
              <w:top w:w="28" w:type="dxa"/>
              <w:left w:w="28" w:type="dxa"/>
              <w:bottom w:w="28" w:type="dxa"/>
              <w:right w:w="28" w:type="dxa"/>
            </w:tcMar>
            <w:vAlign w:val="bottom"/>
          </w:tcPr>
          <w:p w:rsidR="002D5BB0" w:rsidRPr="00222917" w:rsidRDefault="002D5BB0" w:rsidP="00E36B9B">
            <w:pPr>
              <w:pStyle w:val="SingleTxtG"/>
              <w:suppressAutoHyphens w:val="0"/>
              <w:spacing w:before="80" w:after="80" w:line="200" w:lineRule="exact"/>
              <w:ind w:left="0" w:right="0"/>
              <w:jc w:val="center"/>
              <w:rPr>
                <w:i/>
                <w:sz w:val="16"/>
                <w:szCs w:val="16"/>
                <w:lang w:val="en-US"/>
              </w:rPr>
            </w:pPr>
            <w:r w:rsidRPr="00222917">
              <w:rPr>
                <w:bCs/>
                <w:i/>
                <w:sz w:val="16"/>
                <w:szCs w:val="16"/>
                <w:lang w:val="en-US"/>
              </w:rPr>
              <w:t>Inland residents</w:t>
            </w:r>
          </w:p>
        </w:tc>
        <w:tc>
          <w:tcPr>
            <w:tcW w:w="1077" w:type="dxa"/>
            <w:gridSpan w:val="2"/>
            <w:tcBorders>
              <w:top w:val="single" w:sz="4" w:space="0" w:color="auto"/>
              <w:bottom w:val="single" w:sz="4" w:space="0" w:color="auto"/>
            </w:tcBorders>
            <w:shd w:val="clear" w:color="auto" w:fill="auto"/>
            <w:tcMar>
              <w:top w:w="28" w:type="dxa"/>
              <w:left w:w="28" w:type="dxa"/>
              <w:bottom w:w="28" w:type="dxa"/>
              <w:right w:w="28" w:type="dxa"/>
            </w:tcMar>
            <w:vAlign w:val="bottom"/>
          </w:tcPr>
          <w:p w:rsidR="002D5BB0" w:rsidRPr="00222917" w:rsidRDefault="002D5BB0" w:rsidP="00E36B9B">
            <w:pPr>
              <w:pStyle w:val="SingleTxtG"/>
              <w:suppressAutoHyphens w:val="0"/>
              <w:spacing w:before="80" w:after="80" w:line="200" w:lineRule="exact"/>
              <w:ind w:left="0" w:right="0"/>
              <w:jc w:val="center"/>
              <w:rPr>
                <w:i/>
                <w:sz w:val="16"/>
                <w:szCs w:val="16"/>
                <w:lang w:val="en-US"/>
              </w:rPr>
            </w:pPr>
            <w:r w:rsidRPr="00222917">
              <w:rPr>
                <w:bCs/>
                <w:i/>
                <w:sz w:val="16"/>
                <w:szCs w:val="16"/>
                <w:lang w:val="en-US"/>
              </w:rPr>
              <w:t>Residents of islands</w:t>
            </w:r>
          </w:p>
        </w:tc>
      </w:tr>
      <w:tr w:rsidR="001D2686" w:rsidRPr="00222917" w:rsidTr="003D28C1">
        <w:trPr>
          <w:trHeight w:val="240"/>
          <w:tblHeader/>
        </w:trPr>
        <w:tc>
          <w:tcPr>
            <w:tcW w:w="907" w:type="dxa"/>
            <w:vMerge/>
            <w:tcBorders>
              <w:top w:val="single" w:sz="12" w:space="0" w:color="auto"/>
              <w:bottom w:val="single" w:sz="12" w:space="0" w:color="auto"/>
            </w:tcBorders>
            <w:shd w:val="clear" w:color="auto" w:fill="auto"/>
            <w:vAlign w:val="bottom"/>
          </w:tcPr>
          <w:p w:rsidR="002D5BB0" w:rsidRPr="00222917" w:rsidRDefault="002D5BB0" w:rsidP="00C40F20">
            <w:pPr>
              <w:pStyle w:val="SingleTxtG"/>
              <w:suppressAutoHyphens w:val="0"/>
              <w:spacing w:before="80" w:after="80" w:line="200" w:lineRule="exact"/>
              <w:ind w:left="0" w:right="0"/>
              <w:jc w:val="left"/>
              <w:rPr>
                <w:i/>
                <w:sz w:val="16"/>
                <w:szCs w:val="16"/>
                <w:lang w:val="en-US"/>
              </w:rPr>
            </w:pPr>
          </w:p>
        </w:tc>
        <w:tc>
          <w:tcPr>
            <w:tcW w:w="1077"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C40F20">
            <w:pPr>
              <w:pStyle w:val="SingleTxtG"/>
              <w:suppressAutoHyphens w:val="0"/>
              <w:spacing w:before="80" w:after="80" w:line="200" w:lineRule="exact"/>
              <w:ind w:left="0" w:right="0"/>
              <w:jc w:val="right"/>
              <w:rPr>
                <w:i/>
                <w:sz w:val="16"/>
                <w:szCs w:val="16"/>
                <w:lang w:val="en-US"/>
              </w:rPr>
            </w:pPr>
            <w:r w:rsidRPr="00222917">
              <w:rPr>
                <w:bCs/>
                <w:i/>
                <w:sz w:val="16"/>
                <w:szCs w:val="16"/>
                <w:lang w:val="en-US"/>
              </w:rPr>
              <w:t>Persons (1,000)</w:t>
            </w:r>
          </w:p>
        </w:tc>
        <w:tc>
          <w:tcPr>
            <w:tcW w:w="1077"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AC6F48" w:rsidP="00C40F20">
            <w:pPr>
              <w:pStyle w:val="SingleTxtG"/>
              <w:suppressAutoHyphens w:val="0"/>
              <w:spacing w:before="80" w:after="80" w:line="200" w:lineRule="exact"/>
              <w:ind w:left="0" w:right="0"/>
              <w:jc w:val="right"/>
              <w:rPr>
                <w:i/>
                <w:sz w:val="16"/>
                <w:szCs w:val="16"/>
                <w:lang w:val="en-US"/>
              </w:rPr>
            </w:pPr>
            <w:r w:rsidRPr="00222917">
              <w:rPr>
                <w:bCs/>
                <w:i/>
                <w:sz w:val="16"/>
                <w:szCs w:val="16"/>
                <w:lang w:val="en-US"/>
              </w:rPr>
              <w:t>Ratio</w:t>
            </w:r>
            <w:r w:rsidRPr="00222917">
              <w:rPr>
                <w:bCs/>
                <w:i/>
                <w:sz w:val="16"/>
                <w:szCs w:val="16"/>
                <w:lang w:val="en-US"/>
              </w:rPr>
              <w:br/>
            </w:r>
            <w:r w:rsidR="002D5BB0" w:rsidRPr="00222917">
              <w:rPr>
                <w:bCs/>
                <w:i/>
                <w:sz w:val="16"/>
                <w:szCs w:val="16"/>
                <w:lang w:val="en-US"/>
              </w:rPr>
              <w:t>(%)</w:t>
            </w:r>
          </w:p>
        </w:tc>
        <w:tc>
          <w:tcPr>
            <w:tcW w:w="1077"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C40F20">
            <w:pPr>
              <w:pStyle w:val="SingleTxtG"/>
              <w:suppressAutoHyphens w:val="0"/>
              <w:spacing w:before="80" w:after="80" w:line="200" w:lineRule="exact"/>
              <w:ind w:left="0" w:right="0"/>
              <w:jc w:val="right"/>
              <w:rPr>
                <w:i/>
                <w:sz w:val="16"/>
                <w:szCs w:val="16"/>
                <w:lang w:val="en-US"/>
              </w:rPr>
            </w:pPr>
            <w:r w:rsidRPr="00222917">
              <w:rPr>
                <w:bCs/>
                <w:i/>
                <w:sz w:val="16"/>
                <w:szCs w:val="16"/>
                <w:lang w:val="en-US"/>
              </w:rPr>
              <w:t>Persons (1,000)</w:t>
            </w:r>
          </w:p>
        </w:tc>
        <w:tc>
          <w:tcPr>
            <w:tcW w:w="1077"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AC6F48" w:rsidP="00C40F20">
            <w:pPr>
              <w:pStyle w:val="SingleTxtG"/>
              <w:suppressAutoHyphens w:val="0"/>
              <w:spacing w:before="80" w:after="80" w:line="200" w:lineRule="exact"/>
              <w:ind w:left="0" w:right="0"/>
              <w:jc w:val="right"/>
              <w:rPr>
                <w:i/>
                <w:sz w:val="16"/>
                <w:szCs w:val="16"/>
                <w:lang w:val="en-US"/>
              </w:rPr>
            </w:pPr>
            <w:r w:rsidRPr="00222917">
              <w:rPr>
                <w:bCs/>
                <w:i/>
                <w:sz w:val="16"/>
                <w:szCs w:val="16"/>
                <w:lang w:val="en-US"/>
              </w:rPr>
              <w:t>Ratio</w:t>
            </w:r>
            <w:r w:rsidRPr="00222917">
              <w:rPr>
                <w:bCs/>
                <w:i/>
                <w:sz w:val="16"/>
                <w:szCs w:val="16"/>
                <w:lang w:val="en-US"/>
              </w:rPr>
              <w:br/>
            </w:r>
            <w:r w:rsidR="002D5BB0" w:rsidRPr="00222917">
              <w:rPr>
                <w:bCs/>
                <w:i/>
                <w:sz w:val="16"/>
                <w:szCs w:val="16"/>
                <w:lang w:val="en-US"/>
              </w:rPr>
              <w:t>(%)</w:t>
            </w:r>
          </w:p>
        </w:tc>
        <w:tc>
          <w:tcPr>
            <w:tcW w:w="1077"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C40F20">
            <w:pPr>
              <w:pStyle w:val="SingleTxtG"/>
              <w:suppressAutoHyphens w:val="0"/>
              <w:spacing w:before="80" w:after="80" w:line="200" w:lineRule="exact"/>
              <w:ind w:left="0" w:right="0"/>
              <w:jc w:val="right"/>
              <w:rPr>
                <w:i/>
                <w:sz w:val="16"/>
                <w:szCs w:val="16"/>
                <w:lang w:val="en-US"/>
              </w:rPr>
            </w:pPr>
            <w:r w:rsidRPr="00222917">
              <w:rPr>
                <w:bCs/>
                <w:i/>
                <w:sz w:val="16"/>
                <w:szCs w:val="16"/>
                <w:lang w:val="en-US"/>
              </w:rPr>
              <w:t>Persons (1,000)</w:t>
            </w:r>
          </w:p>
        </w:tc>
        <w:tc>
          <w:tcPr>
            <w:tcW w:w="1077"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AC6F48" w:rsidP="00C40F20">
            <w:pPr>
              <w:pStyle w:val="SingleTxtG"/>
              <w:suppressAutoHyphens w:val="0"/>
              <w:spacing w:before="80" w:after="80" w:line="200" w:lineRule="exact"/>
              <w:ind w:left="0" w:right="0"/>
              <w:jc w:val="right"/>
              <w:rPr>
                <w:i/>
                <w:sz w:val="16"/>
                <w:szCs w:val="16"/>
                <w:lang w:val="en-US"/>
              </w:rPr>
            </w:pPr>
            <w:r w:rsidRPr="00222917">
              <w:rPr>
                <w:bCs/>
                <w:i/>
                <w:sz w:val="16"/>
                <w:szCs w:val="16"/>
                <w:lang w:val="en-US"/>
              </w:rPr>
              <w:t>Ratio</w:t>
            </w:r>
            <w:r w:rsidRPr="00222917">
              <w:rPr>
                <w:bCs/>
                <w:i/>
                <w:sz w:val="16"/>
                <w:szCs w:val="16"/>
                <w:lang w:val="en-US"/>
              </w:rPr>
              <w:br/>
            </w:r>
            <w:r w:rsidR="002D5BB0" w:rsidRPr="00222917">
              <w:rPr>
                <w:bCs/>
                <w:i/>
                <w:sz w:val="16"/>
                <w:szCs w:val="16"/>
                <w:lang w:val="en-US"/>
              </w:rPr>
              <w:t>(%)</w:t>
            </w:r>
          </w:p>
        </w:tc>
      </w:tr>
      <w:tr w:rsidR="001D2686" w:rsidRPr="00222917" w:rsidTr="00F71A43">
        <w:tc>
          <w:tcPr>
            <w:tcW w:w="907" w:type="dxa"/>
            <w:tcBorders>
              <w:top w:val="single" w:sz="12" w:space="0" w:color="auto"/>
            </w:tcBorders>
            <w:shd w:val="clear" w:color="auto" w:fill="auto"/>
            <w:tcMar>
              <w:top w:w="28" w:type="dxa"/>
              <w:left w:w="28" w:type="dxa"/>
              <w:bottom w:w="28" w:type="dxa"/>
              <w:right w:w="28" w:type="dxa"/>
            </w:tcMar>
          </w:tcPr>
          <w:p w:rsidR="002D5BB0" w:rsidRPr="00222917" w:rsidRDefault="002D5BB0" w:rsidP="00C40F20">
            <w:pPr>
              <w:pStyle w:val="SingleTxtG"/>
              <w:suppressAutoHyphens w:val="0"/>
              <w:spacing w:before="40" w:after="40" w:line="220" w:lineRule="exact"/>
              <w:ind w:left="0" w:right="0"/>
              <w:jc w:val="left"/>
              <w:rPr>
                <w:sz w:val="18"/>
                <w:lang w:val="en-US"/>
              </w:rPr>
            </w:pPr>
            <w:r w:rsidRPr="00222917">
              <w:rPr>
                <w:sz w:val="18"/>
                <w:lang w:val="en-US"/>
              </w:rPr>
              <w:t>2006</w:t>
            </w:r>
          </w:p>
        </w:tc>
        <w:tc>
          <w:tcPr>
            <w:tcW w:w="1077" w:type="dxa"/>
            <w:tcBorders>
              <w:top w:val="single" w:sz="12" w:space="0" w:color="auto"/>
            </w:tcBorders>
            <w:shd w:val="clear" w:color="auto" w:fill="auto"/>
            <w:tcMar>
              <w:top w:w="28" w:type="dxa"/>
              <w:left w:w="28" w:type="dxa"/>
              <w:bottom w:w="28" w:type="dxa"/>
              <w:right w:w="28" w:type="dxa"/>
            </w:tcMar>
            <w:vAlign w:val="bottom"/>
          </w:tcPr>
          <w:p w:rsidR="002D5BB0" w:rsidRPr="00222917" w:rsidRDefault="002D5BB0" w:rsidP="00C40F20">
            <w:pPr>
              <w:pStyle w:val="SingleTxtG"/>
              <w:suppressAutoHyphens w:val="0"/>
              <w:spacing w:before="40" w:after="40" w:line="220" w:lineRule="exact"/>
              <w:ind w:left="0" w:right="0"/>
              <w:jc w:val="right"/>
              <w:rPr>
                <w:sz w:val="18"/>
                <w:lang w:val="en-US"/>
              </w:rPr>
            </w:pPr>
            <w:r w:rsidRPr="00222917">
              <w:rPr>
                <w:sz w:val="18"/>
                <w:lang w:val="en-US"/>
              </w:rPr>
              <w:t>11,574</w:t>
            </w:r>
          </w:p>
        </w:tc>
        <w:tc>
          <w:tcPr>
            <w:tcW w:w="1077" w:type="dxa"/>
            <w:tcBorders>
              <w:top w:val="single" w:sz="12" w:space="0" w:color="auto"/>
            </w:tcBorders>
            <w:shd w:val="clear" w:color="auto" w:fill="auto"/>
            <w:tcMar>
              <w:top w:w="28" w:type="dxa"/>
              <w:left w:w="28" w:type="dxa"/>
              <w:bottom w:w="28" w:type="dxa"/>
              <w:right w:w="28" w:type="dxa"/>
            </w:tcMar>
            <w:vAlign w:val="bottom"/>
          </w:tcPr>
          <w:p w:rsidR="002D5BB0" w:rsidRPr="00222917" w:rsidRDefault="002D5BB0" w:rsidP="00C40F20">
            <w:pPr>
              <w:pStyle w:val="SingleTxtG"/>
              <w:suppressAutoHyphens w:val="0"/>
              <w:spacing w:before="40" w:after="40" w:line="220" w:lineRule="exact"/>
              <w:ind w:left="0" w:right="0"/>
              <w:jc w:val="right"/>
              <w:rPr>
                <w:sz w:val="18"/>
                <w:lang w:val="en-US"/>
              </w:rPr>
            </w:pPr>
            <w:r w:rsidRPr="00222917">
              <w:rPr>
                <w:sz w:val="18"/>
                <w:lang w:val="en-US"/>
              </w:rPr>
              <w:t>100</w:t>
            </w:r>
          </w:p>
        </w:tc>
        <w:tc>
          <w:tcPr>
            <w:tcW w:w="1077" w:type="dxa"/>
            <w:tcBorders>
              <w:top w:val="single" w:sz="12" w:space="0" w:color="auto"/>
            </w:tcBorders>
            <w:shd w:val="clear" w:color="auto" w:fill="auto"/>
            <w:tcMar>
              <w:top w:w="28" w:type="dxa"/>
              <w:left w:w="28" w:type="dxa"/>
              <w:bottom w:w="28" w:type="dxa"/>
              <w:right w:w="28" w:type="dxa"/>
            </w:tcMar>
            <w:vAlign w:val="bottom"/>
          </w:tcPr>
          <w:p w:rsidR="002D5BB0" w:rsidRPr="00222917" w:rsidRDefault="002D5BB0" w:rsidP="00C40F20">
            <w:pPr>
              <w:pStyle w:val="SingleTxtG"/>
              <w:suppressAutoHyphens w:val="0"/>
              <w:spacing w:before="40" w:after="40" w:line="220" w:lineRule="exact"/>
              <w:ind w:left="0" w:right="0"/>
              <w:jc w:val="right"/>
              <w:rPr>
                <w:sz w:val="18"/>
                <w:lang w:val="en-US"/>
              </w:rPr>
            </w:pPr>
            <w:r w:rsidRPr="00222917">
              <w:rPr>
                <w:sz w:val="18"/>
                <w:lang w:val="en-US"/>
              </w:rPr>
              <w:t>8,172</w:t>
            </w:r>
          </w:p>
        </w:tc>
        <w:tc>
          <w:tcPr>
            <w:tcW w:w="1077" w:type="dxa"/>
            <w:tcBorders>
              <w:top w:val="single" w:sz="12" w:space="0" w:color="auto"/>
            </w:tcBorders>
            <w:shd w:val="clear" w:color="auto" w:fill="auto"/>
            <w:tcMar>
              <w:top w:w="28" w:type="dxa"/>
              <w:left w:w="28" w:type="dxa"/>
              <w:bottom w:w="28" w:type="dxa"/>
              <w:right w:w="28" w:type="dxa"/>
            </w:tcMar>
            <w:vAlign w:val="bottom"/>
          </w:tcPr>
          <w:p w:rsidR="002D5BB0" w:rsidRPr="00222917" w:rsidRDefault="002D5BB0" w:rsidP="00C40F20">
            <w:pPr>
              <w:pStyle w:val="SingleTxtG"/>
              <w:suppressAutoHyphens w:val="0"/>
              <w:spacing w:before="40" w:after="40" w:line="220" w:lineRule="exact"/>
              <w:ind w:left="0" w:right="0"/>
              <w:jc w:val="right"/>
              <w:rPr>
                <w:sz w:val="18"/>
                <w:lang w:val="en-US"/>
              </w:rPr>
            </w:pPr>
            <w:r w:rsidRPr="00222917">
              <w:rPr>
                <w:sz w:val="18"/>
                <w:lang w:val="en-US"/>
              </w:rPr>
              <w:t>71</w:t>
            </w:r>
          </w:p>
        </w:tc>
        <w:tc>
          <w:tcPr>
            <w:tcW w:w="1077" w:type="dxa"/>
            <w:tcBorders>
              <w:top w:val="single" w:sz="12" w:space="0" w:color="auto"/>
            </w:tcBorders>
            <w:shd w:val="clear" w:color="auto" w:fill="auto"/>
            <w:tcMar>
              <w:top w:w="28" w:type="dxa"/>
              <w:left w:w="28" w:type="dxa"/>
              <w:bottom w:w="28" w:type="dxa"/>
              <w:right w:w="28" w:type="dxa"/>
            </w:tcMar>
            <w:vAlign w:val="bottom"/>
          </w:tcPr>
          <w:p w:rsidR="002D5BB0" w:rsidRPr="00222917" w:rsidRDefault="002D5BB0" w:rsidP="00C40F20">
            <w:pPr>
              <w:pStyle w:val="SingleTxtG"/>
              <w:suppressAutoHyphens w:val="0"/>
              <w:spacing w:before="40" w:after="40" w:line="220" w:lineRule="exact"/>
              <w:ind w:left="0" w:right="0"/>
              <w:jc w:val="right"/>
              <w:rPr>
                <w:sz w:val="18"/>
                <w:lang w:val="en-US"/>
              </w:rPr>
            </w:pPr>
            <w:r w:rsidRPr="00222917">
              <w:rPr>
                <w:sz w:val="18"/>
                <w:lang w:val="en-US"/>
              </w:rPr>
              <w:t>3,402</w:t>
            </w:r>
          </w:p>
        </w:tc>
        <w:tc>
          <w:tcPr>
            <w:tcW w:w="1077" w:type="dxa"/>
            <w:tcBorders>
              <w:top w:val="single" w:sz="12" w:space="0" w:color="auto"/>
            </w:tcBorders>
            <w:shd w:val="clear" w:color="auto" w:fill="auto"/>
            <w:tcMar>
              <w:top w:w="28" w:type="dxa"/>
              <w:left w:w="28" w:type="dxa"/>
              <w:bottom w:w="28" w:type="dxa"/>
              <w:right w:w="28" w:type="dxa"/>
            </w:tcMar>
            <w:vAlign w:val="bottom"/>
          </w:tcPr>
          <w:p w:rsidR="002D5BB0" w:rsidRPr="00222917" w:rsidRDefault="002D5BB0" w:rsidP="00C40F20">
            <w:pPr>
              <w:pStyle w:val="SingleTxtG"/>
              <w:suppressAutoHyphens w:val="0"/>
              <w:spacing w:before="40" w:after="40" w:line="220" w:lineRule="exact"/>
              <w:ind w:left="0" w:right="0"/>
              <w:jc w:val="right"/>
              <w:rPr>
                <w:sz w:val="18"/>
                <w:lang w:val="en-US"/>
              </w:rPr>
            </w:pPr>
            <w:r w:rsidRPr="00222917">
              <w:rPr>
                <w:sz w:val="18"/>
                <w:lang w:val="en-US"/>
              </w:rPr>
              <w:t>29</w:t>
            </w:r>
          </w:p>
        </w:tc>
      </w:tr>
      <w:tr w:rsidR="001D2686" w:rsidRPr="00222917" w:rsidTr="00F71A43">
        <w:tc>
          <w:tcPr>
            <w:tcW w:w="907" w:type="dxa"/>
            <w:shd w:val="clear" w:color="auto" w:fill="auto"/>
            <w:tcMar>
              <w:top w:w="28" w:type="dxa"/>
              <w:left w:w="28" w:type="dxa"/>
              <w:bottom w:w="28" w:type="dxa"/>
              <w:right w:w="28" w:type="dxa"/>
            </w:tcMar>
          </w:tcPr>
          <w:p w:rsidR="002D5BB0" w:rsidRPr="00222917" w:rsidRDefault="002D5BB0" w:rsidP="00C40F20">
            <w:pPr>
              <w:pStyle w:val="SingleTxtG"/>
              <w:suppressAutoHyphens w:val="0"/>
              <w:spacing w:before="40" w:after="40" w:line="220" w:lineRule="exact"/>
              <w:ind w:left="0" w:right="0"/>
              <w:jc w:val="left"/>
              <w:rPr>
                <w:sz w:val="18"/>
                <w:lang w:val="en-US"/>
              </w:rPr>
            </w:pPr>
            <w:r w:rsidRPr="00222917">
              <w:rPr>
                <w:sz w:val="18"/>
                <w:lang w:val="en-US"/>
              </w:rPr>
              <w:t>2007</w:t>
            </w:r>
          </w:p>
        </w:tc>
        <w:tc>
          <w:tcPr>
            <w:tcW w:w="1077" w:type="dxa"/>
            <w:shd w:val="clear" w:color="auto" w:fill="auto"/>
            <w:tcMar>
              <w:top w:w="28" w:type="dxa"/>
              <w:left w:w="28" w:type="dxa"/>
              <w:bottom w:w="28" w:type="dxa"/>
              <w:right w:w="28" w:type="dxa"/>
            </w:tcMar>
            <w:vAlign w:val="bottom"/>
          </w:tcPr>
          <w:p w:rsidR="002D5BB0" w:rsidRPr="00222917" w:rsidRDefault="002D5BB0" w:rsidP="00C40F20">
            <w:pPr>
              <w:pStyle w:val="SingleTxtG"/>
              <w:suppressAutoHyphens w:val="0"/>
              <w:spacing w:before="40" w:after="40" w:line="220" w:lineRule="exact"/>
              <w:ind w:left="0" w:right="0"/>
              <w:jc w:val="right"/>
              <w:rPr>
                <w:sz w:val="18"/>
                <w:lang w:val="en-US"/>
              </w:rPr>
            </w:pPr>
            <w:r w:rsidRPr="00222917">
              <w:rPr>
                <w:sz w:val="18"/>
                <w:lang w:val="en-US"/>
              </w:rPr>
              <w:t>12,634</w:t>
            </w:r>
          </w:p>
        </w:tc>
        <w:tc>
          <w:tcPr>
            <w:tcW w:w="1077" w:type="dxa"/>
            <w:shd w:val="clear" w:color="auto" w:fill="auto"/>
            <w:tcMar>
              <w:top w:w="28" w:type="dxa"/>
              <w:left w:w="28" w:type="dxa"/>
              <w:bottom w:w="28" w:type="dxa"/>
              <w:right w:w="28" w:type="dxa"/>
            </w:tcMar>
            <w:vAlign w:val="bottom"/>
          </w:tcPr>
          <w:p w:rsidR="002D5BB0" w:rsidRPr="00222917" w:rsidRDefault="002D5BB0" w:rsidP="00C40F20">
            <w:pPr>
              <w:pStyle w:val="SingleTxtG"/>
              <w:suppressAutoHyphens w:val="0"/>
              <w:spacing w:before="40" w:after="40" w:line="220" w:lineRule="exact"/>
              <w:ind w:left="0" w:right="0"/>
              <w:jc w:val="right"/>
              <w:rPr>
                <w:sz w:val="18"/>
                <w:lang w:val="en-US"/>
              </w:rPr>
            </w:pPr>
            <w:r w:rsidRPr="00222917">
              <w:rPr>
                <w:sz w:val="18"/>
                <w:lang w:val="en-US"/>
              </w:rPr>
              <w:t>100</w:t>
            </w:r>
          </w:p>
        </w:tc>
        <w:tc>
          <w:tcPr>
            <w:tcW w:w="1077" w:type="dxa"/>
            <w:shd w:val="clear" w:color="auto" w:fill="auto"/>
            <w:tcMar>
              <w:top w:w="28" w:type="dxa"/>
              <w:left w:w="28" w:type="dxa"/>
              <w:bottom w:w="28" w:type="dxa"/>
              <w:right w:w="28" w:type="dxa"/>
            </w:tcMar>
            <w:vAlign w:val="bottom"/>
          </w:tcPr>
          <w:p w:rsidR="002D5BB0" w:rsidRPr="00222917" w:rsidRDefault="002D5BB0" w:rsidP="00C40F20">
            <w:pPr>
              <w:pStyle w:val="SingleTxtG"/>
              <w:suppressAutoHyphens w:val="0"/>
              <w:spacing w:before="40" w:after="40" w:line="220" w:lineRule="exact"/>
              <w:ind w:left="0" w:right="0"/>
              <w:jc w:val="right"/>
              <w:rPr>
                <w:sz w:val="18"/>
                <w:lang w:val="en-US"/>
              </w:rPr>
            </w:pPr>
            <w:r w:rsidRPr="00222917">
              <w:rPr>
                <w:sz w:val="18"/>
                <w:lang w:val="en-US"/>
              </w:rPr>
              <w:t>8,974</w:t>
            </w:r>
          </w:p>
        </w:tc>
        <w:tc>
          <w:tcPr>
            <w:tcW w:w="1077" w:type="dxa"/>
            <w:shd w:val="clear" w:color="auto" w:fill="auto"/>
            <w:tcMar>
              <w:top w:w="28" w:type="dxa"/>
              <w:left w:w="28" w:type="dxa"/>
              <w:bottom w:w="28" w:type="dxa"/>
              <w:right w:w="28" w:type="dxa"/>
            </w:tcMar>
            <w:vAlign w:val="bottom"/>
          </w:tcPr>
          <w:p w:rsidR="002D5BB0" w:rsidRPr="00222917" w:rsidRDefault="002D5BB0" w:rsidP="00C40F20">
            <w:pPr>
              <w:pStyle w:val="SingleTxtG"/>
              <w:suppressAutoHyphens w:val="0"/>
              <w:spacing w:before="40" w:after="40" w:line="220" w:lineRule="exact"/>
              <w:ind w:left="0" w:right="0"/>
              <w:jc w:val="right"/>
              <w:rPr>
                <w:sz w:val="18"/>
                <w:lang w:val="en-US"/>
              </w:rPr>
            </w:pPr>
            <w:r w:rsidRPr="00222917">
              <w:rPr>
                <w:sz w:val="18"/>
                <w:lang w:val="en-US"/>
              </w:rPr>
              <w:t>71</w:t>
            </w:r>
          </w:p>
        </w:tc>
        <w:tc>
          <w:tcPr>
            <w:tcW w:w="1077" w:type="dxa"/>
            <w:shd w:val="clear" w:color="auto" w:fill="auto"/>
            <w:tcMar>
              <w:top w:w="28" w:type="dxa"/>
              <w:left w:w="28" w:type="dxa"/>
              <w:bottom w:w="28" w:type="dxa"/>
              <w:right w:w="28" w:type="dxa"/>
            </w:tcMar>
            <w:vAlign w:val="bottom"/>
          </w:tcPr>
          <w:p w:rsidR="002D5BB0" w:rsidRPr="00222917" w:rsidRDefault="002D5BB0" w:rsidP="00C40F20">
            <w:pPr>
              <w:pStyle w:val="SingleTxtG"/>
              <w:suppressAutoHyphens w:val="0"/>
              <w:spacing w:before="40" w:after="40" w:line="220" w:lineRule="exact"/>
              <w:ind w:left="0" w:right="0"/>
              <w:jc w:val="right"/>
              <w:rPr>
                <w:sz w:val="18"/>
                <w:lang w:val="en-US"/>
              </w:rPr>
            </w:pPr>
            <w:r w:rsidRPr="00222917">
              <w:rPr>
                <w:sz w:val="18"/>
                <w:lang w:val="en-US"/>
              </w:rPr>
              <w:t>3,660</w:t>
            </w:r>
          </w:p>
        </w:tc>
        <w:tc>
          <w:tcPr>
            <w:tcW w:w="1077" w:type="dxa"/>
            <w:shd w:val="clear" w:color="auto" w:fill="auto"/>
            <w:tcMar>
              <w:top w:w="28" w:type="dxa"/>
              <w:left w:w="28" w:type="dxa"/>
              <w:bottom w:w="28" w:type="dxa"/>
              <w:right w:w="28" w:type="dxa"/>
            </w:tcMar>
            <w:vAlign w:val="bottom"/>
          </w:tcPr>
          <w:p w:rsidR="002D5BB0" w:rsidRPr="00222917" w:rsidRDefault="002D5BB0" w:rsidP="00C40F20">
            <w:pPr>
              <w:pStyle w:val="SingleTxtG"/>
              <w:suppressAutoHyphens w:val="0"/>
              <w:spacing w:before="40" w:after="40" w:line="220" w:lineRule="exact"/>
              <w:ind w:left="0" w:right="0"/>
              <w:jc w:val="right"/>
              <w:rPr>
                <w:sz w:val="18"/>
                <w:lang w:val="en-US"/>
              </w:rPr>
            </w:pPr>
            <w:r w:rsidRPr="00222917">
              <w:rPr>
                <w:sz w:val="18"/>
                <w:lang w:val="en-US"/>
              </w:rPr>
              <w:t>29</w:t>
            </w:r>
          </w:p>
        </w:tc>
      </w:tr>
      <w:tr w:rsidR="001D2686" w:rsidRPr="00222917" w:rsidTr="00F71A43">
        <w:tc>
          <w:tcPr>
            <w:tcW w:w="907" w:type="dxa"/>
            <w:shd w:val="clear" w:color="auto" w:fill="auto"/>
            <w:tcMar>
              <w:top w:w="28" w:type="dxa"/>
              <w:left w:w="28" w:type="dxa"/>
              <w:bottom w:w="28" w:type="dxa"/>
              <w:right w:w="28" w:type="dxa"/>
            </w:tcMar>
          </w:tcPr>
          <w:p w:rsidR="002D5BB0" w:rsidRPr="00222917" w:rsidRDefault="002D5BB0" w:rsidP="00C40F20">
            <w:pPr>
              <w:pStyle w:val="SingleTxtG"/>
              <w:suppressAutoHyphens w:val="0"/>
              <w:spacing w:before="40" w:after="40" w:line="220" w:lineRule="exact"/>
              <w:ind w:left="0" w:right="0"/>
              <w:jc w:val="left"/>
              <w:rPr>
                <w:sz w:val="18"/>
                <w:lang w:val="en-US"/>
              </w:rPr>
            </w:pPr>
            <w:r w:rsidRPr="00222917">
              <w:rPr>
                <w:sz w:val="18"/>
                <w:lang w:val="en-US"/>
              </w:rPr>
              <w:t>2008</w:t>
            </w:r>
          </w:p>
        </w:tc>
        <w:tc>
          <w:tcPr>
            <w:tcW w:w="1077" w:type="dxa"/>
            <w:shd w:val="clear" w:color="auto" w:fill="auto"/>
            <w:tcMar>
              <w:top w:w="28" w:type="dxa"/>
              <w:left w:w="28" w:type="dxa"/>
              <w:bottom w:w="28" w:type="dxa"/>
              <w:right w:w="28" w:type="dxa"/>
            </w:tcMar>
            <w:vAlign w:val="bottom"/>
          </w:tcPr>
          <w:p w:rsidR="002D5BB0" w:rsidRPr="00222917" w:rsidRDefault="002D5BB0" w:rsidP="00C40F20">
            <w:pPr>
              <w:pStyle w:val="SingleTxtG"/>
              <w:suppressAutoHyphens w:val="0"/>
              <w:spacing w:before="40" w:after="40" w:line="220" w:lineRule="exact"/>
              <w:ind w:left="0" w:right="0"/>
              <w:jc w:val="right"/>
              <w:rPr>
                <w:sz w:val="18"/>
                <w:lang w:val="en-US"/>
              </w:rPr>
            </w:pPr>
            <w:r w:rsidRPr="00222917">
              <w:rPr>
                <w:sz w:val="18"/>
                <w:lang w:val="en-US"/>
              </w:rPr>
              <w:t>14,162</w:t>
            </w:r>
          </w:p>
        </w:tc>
        <w:tc>
          <w:tcPr>
            <w:tcW w:w="1077" w:type="dxa"/>
            <w:shd w:val="clear" w:color="auto" w:fill="auto"/>
            <w:tcMar>
              <w:top w:w="28" w:type="dxa"/>
              <w:left w:w="28" w:type="dxa"/>
              <w:bottom w:w="28" w:type="dxa"/>
              <w:right w:w="28" w:type="dxa"/>
            </w:tcMar>
            <w:vAlign w:val="bottom"/>
          </w:tcPr>
          <w:p w:rsidR="002D5BB0" w:rsidRPr="00222917" w:rsidRDefault="002D5BB0" w:rsidP="00C40F20">
            <w:pPr>
              <w:pStyle w:val="SingleTxtG"/>
              <w:suppressAutoHyphens w:val="0"/>
              <w:spacing w:before="40" w:after="40" w:line="220" w:lineRule="exact"/>
              <w:ind w:left="0" w:right="0"/>
              <w:jc w:val="right"/>
              <w:rPr>
                <w:sz w:val="18"/>
                <w:lang w:val="en-US"/>
              </w:rPr>
            </w:pPr>
            <w:r w:rsidRPr="00222917">
              <w:rPr>
                <w:sz w:val="18"/>
                <w:lang w:val="en-US"/>
              </w:rPr>
              <w:t>100</w:t>
            </w:r>
          </w:p>
        </w:tc>
        <w:tc>
          <w:tcPr>
            <w:tcW w:w="1077" w:type="dxa"/>
            <w:shd w:val="clear" w:color="auto" w:fill="auto"/>
            <w:tcMar>
              <w:top w:w="28" w:type="dxa"/>
              <w:left w:w="28" w:type="dxa"/>
              <w:bottom w:w="28" w:type="dxa"/>
              <w:right w:w="28" w:type="dxa"/>
            </w:tcMar>
            <w:vAlign w:val="bottom"/>
          </w:tcPr>
          <w:p w:rsidR="002D5BB0" w:rsidRPr="00222917" w:rsidRDefault="002D5BB0" w:rsidP="00C40F20">
            <w:pPr>
              <w:pStyle w:val="SingleTxtG"/>
              <w:suppressAutoHyphens w:val="0"/>
              <w:spacing w:before="40" w:after="40" w:line="220" w:lineRule="exact"/>
              <w:ind w:left="0" w:right="0"/>
              <w:jc w:val="right"/>
              <w:rPr>
                <w:sz w:val="18"/>
                <w:lang w:val="en-US"/>
              </w:rPr>
            </w:pPr>
            <w:r w:rsidRPr="00222917">
              <w:rPr>
                <w:sz w:val="18"/>
                <w:lang w:val="en-US"/>
              </w:rPr>
              <w:t>10,414</w:t>
            </w:r>
          </w:p>
        </w:tc>
        <w:tc>
          <w:tcPr>
            <w:tcW w:w="1077" w:type="dxa"/>
            <w:shd w:val="clear" w:color="auto" w:fill="auto"/>
            <w:tcMar>
              <w:top w:w="28" w:type="dxa"/>
              <w:left w:w="28" w:type="dxa"/>
              <w:bottom w:w="28" w:type="dxa"/>
              <w:right w:w="28" w:type="dxa"/>
            </w:tcMar>
            <w:vAlign w:val="bottom"/>
          </w:tcPr>
          <w:p w:rsidR="002D5BB0" w:rsidRPr="00222917" w:rsidRDefault="002D5BB0" w:rsidP="00C40F20">
            <w:pPr>
              <w:pStyle w:val="SingleTxtG"/>
              <w:suppressAutoHyphens w:val="0"/>
              <w:spacing w:before="40" w:after="40" w:line="220" w:lineRule="exact"/>
              <w:ind w:left="0" w:right="0"/>
              <w:jc w:val="right"/>
              <w:rPr>
                <w:sz w:val="18"/>
                <w:lang w:val="en-US"/>
              </w:rPr>
            </w:pPr>
            <w:r w:rsidRPr="00222917">
              <w:rPr>
                <w:sz w:val="18"/>
                <w:lang w:val="en-US"/>
              </w:rPr>
              <w:t>74</w:t>
            </w:r>
          </w:p>
        </w:tc>
        <w:tc>
          <w:tcPr>
            <w:tcW w:w="1077" w:type="dxa"/>
            <w:shd w:val="clear" w:color="auto" w:fill="auto"/>
            <w:tcMar>
              <w:top w:w="28" w:type="dxa"/>
              <w:left w:w="28" w:type="dxa"/>
              <w:bottom w:w="28" w:type="dxa"/>
              <w:right w:w="28" w:type="dxa"/>
            </w:tcMar>
            <w:vAlign w:val="bottom"/>
          </w:tcPr>
          <w:p w:rsidR="002D5BB0" w:rsidRPr="00222917" w:rsidRDefault="002D5BB0" w:rsidP="00C40F20">
            <w:pPr>
              <w:pStyle w:val="SingleTxtG"/>
              <w:suppressAutoHyphens w:val="0"/>
              <w:spacing w:before="40" w:after="40" w:line="220" w:lineRule="exact"/>
              <w:ind w:left="0" w:right="0"/>
              <w:jc w:val="right"/>
              <w:rPr>
                <w:sz w:val="18"/>
                <w:lang w:val="en-US"/>
              </w:rPr>
            </w:pPr>
            <w:r w:rsidRPr="00222917">
              <w:rPr>
                <w:sz w:val="18"/>
                <w:lang w:val="en-US"/>
              </w:rPr>
              <w:t>3,748</w:t>
            </w:r>
          </w:p>
        </w:tc>
        <w:tc>
          <w:tcPr>
            <w:tcW w:w="1077" w:type="dxa"/>
            <w:shd w:val="clear" w:color="auto" w:fill="auto"/>
            <w:tcMar>
              <w:top w:w="28" w:type="dxa"/>
              <w:left w:w="28" w:type="dxa"/>
              <w:bottom w:w="28" w:type="dxa"/>
              <w:right w:w="28" w:type="dxa"/>
            </w:tcMar>
            <w:vAlign w:val="bottom"/>
          </w:tcPr>
          <w:p w:rsidR="002D5BB0" w:rsidRPr="00222917" w:rsidRDefault="002D5BB0" w:rsidP="00C40F20">
            <w:pPr>
              <w:pStyle w:val="SingleTxtG"/>
              <w:suppressAutoHyphens w:val="0"/>
              <w:spacing w:before="40" w:after="40" w:line="220" w:lineRule="exact"/>
              <w:ind w:left="0" w:right="0"/>
              <w:jc w:val="right"/>
              <w:rPr>
                <w:sz w:val="18"/>
                <w:lang w:val="en-US"/>
              </w:rPr>
            </w:pPr>
            <w:r w:rsidRPr="00222917">
              <w:rPr>
                <w:sz w:val="18"/>
                <w:lang w:val="en-US"/>
              </w:rPr>
              <w:t>26</w:t>
            </w:r>
          </w:p>
        </w:tc>
      </w:tr>
      <w:tr w:rsidR="001D2686" w:rsidRPr="00222917" w:rsidTr="00F71A43">
        <w:tc>
          <w:tcPr>
            <w:tcW w:w="907" w:type="dxa"/>
            <w:shd w:val="clear" w:color="auto" w:fill="auto"/>
            <w:tcMar>
              <w:top w:w="28" w:type="dxa"/>
              <w:left w:w="28" w:type="dxa"/>
              <w:bottom w:w="28" w:type="dxa"/>
              <w:right w:w="28" w:type="dxa"/>
            </w:tcMar>
          </w:tcPr>
          <w:p w:rsidR="002D5BB0" w:rsidRPr="00222917" w:rsidRDefault="002D5BB0" w:rsidP="00C40F20">
            <w:pPr>
              <w:pStyle w:val="SingleTxtG"/>
              <w:suppressAutoHyphens w:val="0"/>
              <w:spacing w:before="40" w:after="40" w:line="220" w:lineRule="exact"/>
              <w:ind w:left="0" w:right="0"/>
              <w:jc w:val="left"/>
              <w:rPr>
                <w:sz w:val="18"/>
                <w:lang w:val="en-US"/>
              </w:rPr>
            </w:pPr>
            <w:r w:rsidRPr="00222917">
              <w:rPr>
                <w:sz w:val="18"/>
                <w:lang w:val="en-US"/>
              </w:rPr>
              <w:t>2009</w:t>
            </w:r>
          </w:p>
        </w:tc>
        <w:tc>
          <w:tcPr>
            <w:tcW w:w="1077" w:type="dxa"/>
            <w:shd w:val="clear" w:color="auto" w:fill="auto"/>
            <w:tcMar>
              <w:top w:w="28" w:type="dxa"/>
              <w:left w:w="28" w:type="dxa"/>
              <w:bottom w:w="28" w:type="dxa"/>
              <w:right w:w="28" w:type="dxa"/>
            </w:tcMar>
            <w:vAlign w:val="bottom"/>
          </w:tcPr>
          <w:p w:rsidR="002D5BB0" w:rsidRPr="00222917" w:rsidRDefault="002D5BB0" w:rsidP="00C40F20">
            <w:pPr>
              <w:pStyle w:val="SingleTxtG"/>
              <w:suppressAutoHyphens w:val="0"/>
              <w:spacing w:before="40" w:after="40" w:line="220" w:lineRule="exact"/>
              <w:ind w:left="0" w:right="0"/>
              <w:jc w:val="right"/>
              <w:rPr>
                <w:sz w:val="18"/>
                <w:lang w:val="en-US"/>
              </w:rPr>
            </w:pPr>
            <w:r w:rsidRPr="00222917">
              <w:rPr>
                <w:sz w:val="18"/>
                <w:lang w:val="en-US"/>
              </w:rPr>
              <w:t>14,868</w:t>
            </w:r>
          </w:p>
        </w:tc>
        <w:tc>
          <w:tcPr>
            <w:tcW w:w="1077" w:type="dxa"/>
            <w:shd w:val="clear" w:color="auto" w:fill="auto"/>
            <w:tcMar>
              <w:top w:w="28" w:type="dxa"/>
              <w:left w:w="28" w:type="dxa"/>
              <w:bottom w:w="28" w:type="dxa"/>
              <w:right w:w="28" w:type="dxa"/>
            </w:tcMar>
            <w:vAlign w:val="bottom"/>
          </w:tcPr>
          <w:p w:rsidR="002D5BB0" w:rsidRPr="00222917" w:rsidRDefault="002D5BB0" w:rsidP="00C40F20">
            <w:pPr>
              <w:pStyle w:val="SingleTxtG"/>
              <w:suppressAutoHyphens w:val="0"/>
              <w:spacing w:before="40" w:after="40" w:line="220" w:lineRule="exact"/>
              <w:ind w:left="0" w:right="0"/>
              <w:jc w:val="right"/>
              <w:rPr>
                <w:sz w:val="18"/>
                <w:lang w:val="en-US"/>
              </w:rPr>
            </w:pPr>
            <w:r w:rsidRPr="00222917">
              <w:rPr>
                <w:sz w:val="18"/>
                <w:lang w:val="en-US"/>
              </w:rPr>
              <w:t>100</w:t>
            </w:r>
          </w:p>
        </w:tc>
        <w:tc>
          <w:tcPr>
            <w:tcW w:w="1077" w:type="dxa"/>
            <w:shd w:val="clear" w:color="auto" w:fill="auto"/>
            <w:tcMar>
              <w:top w:w="28" w:type="dxa"/>
              <w:left w:w="28" w:type="dxa"/>
              <w:bottom w:w="28" w:type="dxa"/>
              <w:right w:w="28" w:type="dxa"/>
            </w:tcMar>
            <w:vAlign w:val="bottom"/>
          </w:tcPr>
          <w:p w:rsidR="002D5BB0" w:rsidRPr="00222917" w:rsidRDefault="002D5BB0" w:rsidP="00C40F20">
            <w:pPr>
              <w:pStyle w:val="SingleTxtG"/>
              <w:suppressAutoHyphens w:val="0"/>
              <w:spacing w:before="40" w:after="40" w:line="220" w:lineRule="exact"/>
              <w:ind w:left="0" w:right="0"/>
              <w:jc w:val="right"/>
              <w:rPr>
                <w:sz w:val="18"/>
                <w:lang w:val="en-US"/>
              </w:rPr>
            </w:pPr>
            <w:r w:rsidRPr="00222917">
              <w:rPr>
                <w:sz w:val="18"/>
                <w:lang w:val="en-US"/>
              </w:rPr>
              <w:t>11,166</w:t>
            </w:r>
          </w:p>
        </w:tc>
        <w:tc>
          <w:tcPr>
            <w:tcW w:w="1077" w:type="dxa"/>
            <w:shd w:val="clear" w:color="auto" w:fill="auto"/>
            <w:tcMar>
              <w:top w:w="28" w:type="dxa"/>
              <w:left w:w="28" w:type="dxa"/>
              <w:bottom w:w="28" w:type="dxa"/>
              <w:right w:w="28" w:type="dxa"/>
            </w:tcMar>
            <w:vAlign w:val="bottom"/>
          </w:tcPr>
          <w:p w:rsidR="002D5BB0" w:rsidRPr="00222917" w:rsidRDefault="002D5BB0" w:rsidP="00C40F20">
            <w:pPr>
              <w:pStyle w:val="SingleTxtG"/>
              <w:suppressAutoHyphens w:val="0"/>
              <w:spacing w:before="40" w:after="40" w:line="220" w:lineRule="exact"/>
              <w:ind w:left="0" w:right="0"/>
              <w:jc w:val="right"/>
              <w:rPr>
                <w:sz w:val="18"/>
                <w:lang w:val="en-US"/>
              </w:rPr>
            </w:pPr>
            <w:r w:rsidRPr="00222917">
              <w:rPr>
                <w:sz w:val="18"/>
                <w:lang w:val="en-US"/>
              </w:rPr>
              <w:t>74</w:t>
            </w:r>
          </w:p>
        </w:tc>
        <w:tc>
          <w:tcPr>
            <w:tcW w:w="1077" w:type="dxa"/>
            <w:shd w:val="clear" w:color="auto" w:fill="auto"/>
            <w:tcMar>
              <w:top w:w="28" w:type="dxa"/>
              <w:left w:w="28" w:type="dxa"/>
              <w:bottom w:w="28" w:type="dxa"/>
              <w:right w:w="28" w:type="dxa"/>
            </w:tcMar>
            <w:vAlign w:val="bottom"/>
          </w:tcPr>
          <w:p w:rsidR="002D5BB0" w:rsidRPr="00222917" w:rsidRDefault="002D5BB0" w:rsidP="00C40F20">
            <w:pPr>
              <w:pStyle w:val="SingleTxtG"/>
              <w:suppressAutoHyphens w:val="0"/>
              <w:spacing w:before="40" w:after="40" w:line="220" w:lineRule="exact"/>
              <w:ind w:left="0" w:right="0"/>
              <w:jc w:val="right"/>
              <w:rPr>
                <w:sz w:val="18"/>
                <w:lang w:val="en-US"/>
              </w:rPr>
            </w:pPr>
            <w:r w:rsidRPr="00222917">
              <w:rPr>
                <w:sz w:val="18"/>
                <w:lang w:val="en-US"/>
              </w:rPr>
              <w:t>3,702</w:t>
            </w:r>
          </w:p>
        </w:tc>
        <w:tc>
          <w:tcPr>
            <w:tcW w:w="1077" w:type="dxa"/>
            <w:shd w:val="clear" w:color="auto" w:fill="auto"/>
            <w:tcMar>
              <w:top w:w="28" w:type="dxa"/>
              <w:left w:w="28" w:type="dxa"/>
              <w:bottom w:w="28" w:type="dxa"/>
              <w:right w:w="28" w:type="dxa"/>
            </w:tcMar>
            <w:vAlign w:val="bottom"/>
          </w:tcPr>
          <w:p w:rsidR="002D5BB0" w:rsidRPr="00222917" w:rsidRDefault="002D5BB0" w:rsidP="00C40F20">
            <w:pPr>
              <w:pStyle w:val="SingleTxtG"/>
              <w:suppressAutoHyphens w:val="0"/>
              <w:spacing w:before="40" w:after="40" w:line="220" w:lineRule="exact"/>
              <w:ind w:left="0" w:right="0"/>
              <w:jc w:val="right"/>
              <w:rPr>
                <w:sz w:val="18"/>
                <w:lang w:val="en-US"/>
              </w:rPr>
            </w:pPr>
            <w:r w:rsidRPr="00222917">
              <w:rPr>
                <w:sz w:val="18"/>
                <w:lang w:val="en-US"/>
              </w:rPr>
              <w:t>26</w:t>
            </w:r>
          </w:p>
        </w:tc>
      </w:tr>
      <w:tr w:rsidR="001D2686" w:rsidRPr="00222917" w:rsidTr="00F71A43">
        <w:tc>
          <w:tcPr>
            <w:tcW w:w="907" w:type="dxa"/>
            <w:tcBorders>
              <w:bottom w:val="single" w:sz="12" w:space="0" w:color="auto"/>
            </w:tcBorders>
            <w:shd w:val="clear" w:color="auto" w:fill="auto"/>
            <w:tcMar>
              <w:top w:w="28" w:type="dxa"/>
              <w:left w:w="28" w:type="dxa"/>
              <w:bottom w:w="28" w:type="dxa"/>
              <w:right w:w="28" w:type="dxa"/>
            </w:tcMar>
          </w:tcPr>
          <w:p w:rsidR="002D5BB0" w:rsidRPr="00222917" w:rsidRDefault="002D5BB0" w:rsidP="00C40F20">
            <w:pPr>
              <w:pStyle w:val="SingleTxtG"/>
              <w:suppressAutoHyphens w:val="0"/>
              <w:spacing w:before="40" w:after="40" w:line="220" w:lineRule="exact"/>
              <w:ind w:left="0" w:right="0"/>
              <w:jc w:val="left"/>
              <w:rPr>
                <w:sz w:val="18"/>
                <w:lang w:val="en-US"/>
              </w:rPr>
            </w:pPr>
            <w:r w:rsidRPr="00222917">
              <w:rPr>
                <w:sz w:val="18"/>
                <w:lang w:val="en-US"/>
              </w:rPr>
              <w:t>2010</w:t>
            </w:r>
          </w:p>
        </w:tc>
        <w:tc>
          <w:tcPr>
            <w:tcW w:w="1077" w:type="dxa"/>
            <w:tcBorders>
              <w:bottom w:val="single" w:sz="12" w:space="0" w:color="auto"/>
            </w:tcBorders>
            <w:shd w:val="clear" w:color="auto" w:fill="auto"/>
            <w:tcMar>
              <w:top w:w="28" w:type="dxa"/>
              <w:left w:w="28" w:type="dxa"/>
              <w:bottom w:w="28" w:type="dxa"/>
              <w:right w:w="28" w:type="dxa"/>
            </w:tcMar>
            <w:vAlign w:val="bottom"/>
          </w:tcPr>
          <w:p w:rsidR="002D5BB0" w:rsidRPr="00222917" w:rsidRDefault="002D5BB0" w:rsidP="00C40F20">
            <w:pPr>
              <w:pStyle w:val="SingleTxtG"/>
              <w:suppressAutoHyphens w:val="0"/>
              <w:spacing w:before="40" w:after="40" w:line="220" w:lineRule="exact"/>
              <w:ind w:left="0" w:right="0"/>
              <w:jc w:val="right"/>
              <w:rPr>
                <w:sz w:val="18"/>
                <w:lang w:val="en-US"/>
              </w:rPr>
            </w:pPr>
            <w:r w:rsidRPr="00222917">
              <w:rPr>
                <w:sz w:val="18"/>
                <w:lang w:val="en-US"/>
              </w:rPr>
              <w:t>14,308</w:t>
            </w:r>
          </w:p>
        </w:tc>
        <w:tc>
          <w:tcPr>
            <w:tcW w:w="1077" w:type="dxa"/>
            <w:tcBorders>
              <w:bottom w:val="single" w:sz="12" w:space="0" w:color="auto"/>
            </w:tcBorders>
            <w:shd w:val="clear" w:color="auto" w:fill="auto"/>
            <w:tcMar>
              <w:top w:w="28" w:type="dxa"/>
              <w:left w:w="28" w:type="dxa"/>
              <w:bottom w:w="28" w:type="dxa"/>
              <w:right w:w="28" w:type="dxa"/>
            </w:tcMar>
            <w:vAlign w:val="bottom"/>
          </w:tcPr>
          <w:p w:rsidR="002D5BB0" w:rsidRPr="00222917" w:rsidRDefault="002D5BB0" w:rsidP="00C40F20">
            <w:pPr>
              <w:pStyle w:val="SingleTxtG"/>
              <w:suppressAutoHyphens w:val="0"/>
              <w:spacing w:before="40" w:after="40" w:line="220" w:lineRule="exact"/>
              <w:ind w:left="0" w:right="0"/>
              <w:jc w:val="right"/>
              <w:rPr>
                <w:sz w:val="18"/>
                <w:lang w:val="en-US"/>
              </w:rPr>
            </w:pPr>
            <w:r w:rsidRPr="00222917">
              <w:rPr>
                <w:sz w:val="18"/>
                <w:lang w:val="en-US"/>
              </w:rPr>
              <w:t>100</w:t>
            </w:r>
          </w:p>
        </w:tc>
        <w:tc>
          <w:tcPr>
            <w:tcW w:w="1077" w:type="dxa"/>
            <w:tcBorders>
              <w:bottom w:val="single" w:sz="12" w:space="0" w:color="auto"/>
            </w:tcBorders>
            <w:shd w:val="clear" w:color="auto" w:fill="auto"/>
            <w:tcMar>
              <w:top w:w="28" w:type="dxa"/>
              <w:left w:w="28" w:type="dxa"/>
              <w:bottom w:w="28" w:type="dxa"/>
              <w:right w:w="28" w:type="dxa"/>
            </w:tcMar>
            <w:vAlign w:val="bottom"/>
          </w:tcPr>
          <w:p w:rsidR="002D5BB0" w:rsidRPr="00222917" w:rsidRDefault="002D5BB0" w:rsidP="00C40F20">
            <w:pPr>
              <w:pStyle w:val="SingleTxtG"/>
              <w:suppressAutoHyphens w:val="0"/>
              <w:spacing w:before="40" w:after="40" w:line="220" w:lineRule="exact"/>
              <w:ind w:left="0" w:right="0"/>
              <w:jc w:val="right"/>
              <w:rPr>
                <w:sz w:val="18"/>
                <w:lang w:val="en-US"/>
              </w:rPr>
            </w:pPr>
            <w:r w:rsidRPr="00222917">
              <w:rPr>
                <w:sz w:val="18"/>
                <w:lang w:val="en-US"/>
              </w:rPr>
              <w:t>10,813</w:t>
            </w:r>
          </w:p>
        </w:tc>
        <w:tc>
          <w:tcPr>
            <w:tcW w:w="1077" w:type="dxa"/>
            <w:tcBorders>
              <w:bottom w:val="single" w:sz="12" w:space="0" w:color="auto"/>
            </w:tcBorders>
            <w:shd w:val="clear" w:color="auto" w:fill="auto"/>
            <w:tcMar>
              <w:top w:w="28" w:type="dxa"/>
              <w:left w:w="28" w:type="dxa"/>
              <w:bottom w:w="28" w:type="dxa"/>
              <w:right w:w="28" w:type="dxa"/>
            </w:tcMar>
            <w:vAlign w:val="bottom"/>
          </w:tcPr>
          <w:p w:rsidR="002D5BB0" w:rsidRPr="00222917" w:rsidRDefault="002D5BB0" w:rsidP="00C40F20">
            <w:pPr>
              <w:pStyle w:val="SingleTxtG"/>
              <w:suppressAutoHyphens w:val="0"/>
              <w:spacing w:before="40" w:after="40" w:line="220" w:lineRule="exact"/>
              <w:ind w:left="0" w:right="0"/>
              <w:jc w:val="right"/>
              <w:rPr>
                <w:sz w:val="18"/>
                <w:lang w:val="en-US"/>
              </w:rPr>
            </w:pPr>
            <w:r w:rsidRPr="00222917">
              <w:rPr>
                <w:sz w:val="18"/>
                <w:lang w:val="en-US"/>
              </w:rPr>
              <w:t>76</w:t>
            </w:r>
          </w:p>
        </w:tc>
        <w:tc>
          <w:tcPr>
            <w:tcW w:w="1077" w:type="dxa"/>
            <w:tcBorders>
              <w:bottom w:val="single" w:sz="12" w:space="0" w:color="auto"/>
            </w:tcBorders>
            <w:shd w:val="clear" w:color="auto" w:fill="auto"/>
            <w:tcMar>
              <w:top w:w="28" w:type="dxa"/>
              <w:left w:w="28" w:type="dxa"/>
              <w:bottom w:w="28" w:type="dxa"/>
              <w:right w:w="28" w:type="dxa"/>
            </w:tcMar>
            <w:vAlign w:val="bottom"/>
          </w:tcPr>
          <w:p w:rsidR="002D5BB0" w:rsidRPr="00222917" w:rsidRDefault="002D5BB0" w:rsidP="00C40F20">
            <w:pPr>
              <w:pStyle w:val="SingleTxtG"/>
              <w:suppressAutoHyphens w:val="0"/>
              <w:spacing w:before="40" w:after="40" w:line="220" w:lineRule="exact"/>
              <w:ind w:left="0" w:right="0"/>
              <w:jc w:val="right"/>
              <w:rPr>
                <w:sz w:val="18"/>
                <w:lang w:val="en-US"/>
              </w:rPr>
            </w:pPr>
            <w:r w:rsidRPr="00222917">
              <w:rPr>
                <w:sz w:val="18"/>
                <w:lang w:val="en-US"/>
              </w:rPr>
              <w:t>3,495</w:t>
            </w:r>
          </w:p>
        </w:tc>
        <w:tc>
          <w:tcPr>
            <w:tcW w:w="1077" w:type="dxa"/>
            <w:tcBorders>
              <w:bottom w:val="single" w:sz="12" w:space="0" w:color="auto"/>
            </w:tcBorders>
            <w:shd w:val="clear" w:color="auto" w:fill="auto"/>
            <w:tcMar>
              <w:top w:w="28" w:type="dxa"/>
              <w:left w:w="28" w:type="dxa"/>
              <w:bottom w:w="28" w:type="dxa"/>
              <w:right w:w="28" w:type="dxa"/>
            </w:tcMar>
            <w:vAlign w:val="bottom"/>
          </w:tcPr>
          <w:p w:rsidR="002D5BB0" w:rsidRPr="00222917" w:rsidRDefault="002D5BB0" w:rsidP="00C40F20">
            <w:pPr>
              <w:pStyle w:val="SingleTxtG"/>
              <w:suppressAutoHyphens w:val="0"/>
              <w:spacing w:before="40" w:after="40" w:line="220" w:lineRule="exact"/>
              <w:ind w:left="0" w:right="0"/>
              <w:jc w:val="right"/>
              <w:rPr>
                <w:sz w:val="18"/>
                <w:lang w:val="en-US"/>
              </w:rPr>
            </w:pPr>
            <w:r w:rsidRPr="00222917">
              <w:rPr>
                <w:sz w:val="18"/>
                <w:lang w:val="en-US"/>
              </w:rPr>
              <w:t>24</w:t>
            </w:r>
          </w:p>
        </w:tc>
      </w:tr>
    </w:tbl>
    <w:p w:rsidR="002D5BB0" w:rsidRPr="00787A6D" w:rsidRDefault="00875411" w:rsidP="00875411">
      <w:pPr>
        <w:pStyle w:val="HChG"/>
        <w:rPr>
          <w:sz w:val="24"/>
          <w:szCs w:val="24"/>
          <w:lang w:val="en-US"/>
        </w:rPr>
      </w:pPr>
      <w:bookmarkStart w:id="161" w:name="_Toc307504102"/>
      <w:bookmarkStart w:id="162" w:name="_Toc336435874"/>
      <w:r w:rsidRPr="00222917">
        <w:rPr>
          <w:lang w:val="en-US"/>
        </w:rPr>
        <w:tab/>
      </w:r>
      <w:r w:rsidRPr="00222917">
        <w:rPr>
          <w:lang w:val="en-US"/>
        </w:rPr>
        <w:tab/>
      </w:r>
      <w:r w:rsidR="002D5BB0" w:rsidRPr="00787A6D">
        <w:rPr>
          <w:sz w:val="24"/>
          <w:szCs w:val="24"/>
          <w:lang w:val="en-US"/>
        </w:rPr>
        <w:t>Article</w:t>
      </w:r>
      <w:r w:rsidR="00787A6D" w:rsidRPr="00787A6D">
        <w:rPr>
          <w:sz w:val="24"/>
          <w:szCs w:val="24"/>
          <w:lang w:val="en-US"/>
        </w:rPr>
        <w:t xml:space="preserve"> </w:t>
      </w:r>
      <w:r w:rsidR="002D5BB0" w:rsidRPr="00787A6D">
        <w:rPr>
          <w:sz w:val="24"/>
          <w:szCs w:val="24"/>
          <w:lang w:val="en-US"/>
        </w:rPr>
        <w:t>13</w:t>
      </w:r>
      <w:bookmarkEnd w:id="161"/>
      <w:bookmarkEnd w:id="162"/>
    </w:p>
    <w:p w:rsidR="002D5BB0" w:rsidRPr="00222917" w:rsidRDefault="00875411" w:rsidP="00875411">
      <w:pPr>
        <w:pStyle w:val="H23G"/>
        <w:rPr>
          <w:lang w:val="en-US"/>
        </w:rPr>
      </w:pPr>
      <w:bookmarkStart w:id="163" w:name="_Toc307504103"/>
      <w:bookmarkStart w:id="164" w:name="_Toc336435875"/>
      <w:r w:rsidRPr="00222917">
        <w:rPr>
          <w:lang w:val="en-US"/>
        </w:rPr>
        <w:tab/>
      </w:r>
      <w:r w:rsidRPr="00222917">
        <w:rPr>
          <w:lang w:val="en-US"/>
        </w:rPr>
        <w:tab/>
      </w:r>
      <w:r w:rsidR="002D5BB0" w:rsidRPr="00222917">
        <w:rPr>
          <w:lang w:val="en-US"/>
        </w:rPr>
        <w:t>Deportation System under the Immigration Control Act</w:t>
      </w:r>
      <w:bookmarkEnd w:id="163"/>
      <w:bookmarkEnd w:id="164"/>
      <w:r w:rsidR="002D5BB0" w:rsidRPr="00222917">
        <w:rPr>
          <w:lang w:val="en-US"/>
        </w:rPr>
        <w:t xml:space="preserve"> </w:t>
      </w:r>
    </w:p>
    <w:p w:rsidR="002D5BB0" w:rsidRPr="00222917" w:rsidRDefault="00547908" w:rsidP="00547908">
      <w:pPr>
        <w:pStyle w:val="SingleTxtG"/>
        <w:rPr>
          <w:lang w:val="en-US"/>
        </w:rPr>
      </w:pPr>
      <w:r w:rsidRPr="00222917">
        <w:rPr>
          <w:lang w:val="en-US"/>
        </w:rPr>
        <w:t>217.</w:t>
      </w:r>
      <w:r w:rsidRPr="00222917">
        <w:rPr>
          <w:lang w:val="en-US"/>
        </w:rPr>
        <w:tab/>
      </w:r>
      <w:r w:rsidR="002D5BB0" w:rsidRPr="00222917">
        <w:rPr>
          <w:lang w:val="en-US"/>
        </w:rPr>
        <w:t>As stated in the third re</w:t>
      </w:r>
      <w:r w:rsidR="002B3B67" w:rsidRPr="00222917">
        <w:rPr>
          <w:lang w:val="en-US"/>
        </w:rPr>
        <w:t>port (CCPR/C/KOR/2005/3, paras. </w:t>
      </w:r>
      <w:r w:rsidR="002D5BB0" w:rsidRPr="00222917">
        <w:rPr>
          <w:lang w:val="en-US"/>
        </w:rPr>
        <w:t xml:space="preserve">220 and 225), the limited reasons for deportation of foreigners are set forth in the </w:t>
      </w:r>
      <w:r w:rsidR="002D5BB0" w:rsidRPr="004950CA">
        <w:rPr>
          <w:iCs/>
          <w:lang w:val="en-US"/>
        </w:rPr>
        <w:t>Immigration Control Act</w:t>
      </w:r>
      <w:r w:rsidR="002D5BB0" w:rsidRPr="00222917">
        <w:rPr>
          <w:lang w:val="en-US"/>
        </w:rPr>
        <w:t xml:space="preserve">, and the requirements for deportation of foreigners with the status of permanent residency became more stringent. As of </w:t>
      </w:r>
      <w:r w:rsidR="002D5BB0" w:rsidRPr="00222917">
        <w:rPr>
          <w:bCs/>
          <w:lang w:val="en-US"/>
        </w:rPr>
        <w:t>December</w:t>
      </w:r>
      <w:r w:rsidR="002D5BB0" w:rsidRPr="00222917">
        <w:rPr>
          <w:lang w:val="en-US"/>
        </w:rPr>
        <w:t xml:space="preserve"> 2010, there were 1,261,415 foreigners staying in </w:t>
      </w:r>
      <w:smartTag w:uri="urn:schemas-microsoft-com:office:smarttags" w:element="place">
        <w:smartTag w:uri="urn:schemas-microsoft-com:office:smarttags" w:element="country-region">
          <w:r w:rsidR="002D5BB0" w:rsidRPr="00222917">
            <w:rPr>
              <w:lang w:val="en-US"/>
            </w:rPr>
            <w:t>Korea</w:t>
          </w:r>
        </w:smartTag>
      </w:smartTag>
      <w:r w:rsidR="002D5BB0" w:rsidRPr="00222917">
        <w:rPr>
          <w:lang w:val="en-US"/>
        </w:rPr>
        <w:t>, of whom 168,515 were illegal residents. Deportation orders were imposed on 21,339foreigners in 2010.</w:t>
      </w:r>
    </w:p>
    <w:p w:rsidR="002D5BB0" w:rsidRPr="00222917" w:rsidRDefault="002D5BB0" w:rsidP="00875411">
      <w:pPr>
        <w:pStyle w:val="H23G"/>
        <w:ind w:firstLine="0"/>
        <w:rPr>
          <w:b w:val="0"/>
          <w:sz w:val="16"/>
          <w:szCs w:val="16"/>
          <w:lang w:val="en-US"/>
        </w:rPr>
      </w:pPr>
      <w:r w:rsidRPr="00222917">
        <w:rPr>
          <w:lang w:val="en-US"/>
        </w:rPr>
        <w:t>Deportation</w:t>
      </w:r>
      <w:r w:rsidR="00875411" w:rsidRPr="00222917">
        <w:rPr>
          <w:lang w:val="en-US"/>
        </w:rPr>
        <w:br/>
      </w:r>
      <w:r w:rsidRPr="00222917">
        <w:rPr>
          <w:b w:val="0"/>
          <w:sz w:val="16"/>
          <w:szCs w:val="16"/>
          <w:lang w:val="en-US"/>
        </w:rPr>
        <w:t>(In persons)</w:t>
      </w:r>
    </w:p>
    <w:tbl>
      <w:tblPr>
        <w:tblW w:w="0" w:type="auto"/>
        <w:tblInd w:w="1134" w:type="dxa"/>
        <w:tblBorders>
          <w:top w:val="single" w:sz="4" w:space="0" w:color="auto"/>
          <w:bottom w:val="single" w:sz="12" w:space="0" w:color="auto"/>
          <w:insideH w:val="single" w:sz="12" w:space="0" w:color="auto"/>
        </w:tblBorders>
        <w:tblLayout w:type="fixed"/>
        <w:tblCellMar>
          <w:left w:w="0" w:type="dxa"/>
          <w:right w:w="0" w:type="dxa"/>
        </w:tblCellMar>
        <w:tblLook w:val="00A0"/>
      </w:tblPr>
      <w:tblGrid>
        <w:gridCol w:w="624"/>
        <w:gridCol w:w="964"/>
        <w:gridCol w:w="964"/>
        <w:gridCol w:w="964"/>
        <w:gridCol w:w="964"/>
        <w:gridCol w:w="964"/>
        <w:gridCol w:w="964"/>
        <w:gridCol w:w="964"/>
      </w:tblGrid>
      <w:tr w:rsidR="001D2686" w:rsidRPr="00222917" w:rsidTr="00665BA9">
        <w:trPr>
          <w:tblHeader/>
        </w:trPr>
        <w:tc>
          <w:tcPr>
            <w:tcW w:w="624" w:type="dxa"/>
            <w:shd w:val="clear" w:color="auto" w:fill="auto"/>
            <w:tcMar>
              <w:top w:w="0" w:type="dxa"/>
              <w:left w:w="0" w:type="dxa"/>
              <w:bottom w:w="0" w:type="dxa"/>
              <w:right w:w="0" w:type="dxa"/>
            </w:tcMar>
            <w:vAlign w:val="bottom"/>
          </w:tcPr>
          <w:p w:rsidR="002D5BB0" w:rsidRPr="00222917" w:rsidRDefault="002D5BB0" w:rsidP="00875411">
            <w:pPr>
              <w:pStyle w:val="SingleTxtG"/>
              <w:suppressAutoHyphens w:val="0"/>
              <w:spacing w:before="80" w:after="80" w:line="200" w:lineRule="exact"/>
              <w:ind w:left="0" w:right="0"/>
              <w:jc w:val="left"/>
              <w:rPr>
                <w:i/>
                <w:sz w:val="16"/>
                <w:lang w:val="en-US"/>
              </w:rPr>
            </w:pPr>
            <w:r w:rsidRPr="00222917">
              <w:rPr>
                <w:bCs/>
                <w:i/>
                <w:sz w:val="16"/>
                <w:lang w:val="en-US"/>
              </w:rPr>
              <w:t>Year</w:t>
            </w:r>
          </w:p>
        </w:tc>
        <w:tc>
          <w:tcPr>
            <w:tcW w:w="964" w:type="dxa"/>
            <w:shd w:val="clear" w:color="auto" w:fill="auto"/>
            <w:tcMar>
              <w:top w:w="0" w:type="dxa"/>
              <w:left w:w="0" w:type="dxa"/>
              <w:bottom w:w="0" w:type="dxa"/>
              <w:right w:w="0" w:type="dxa"/>
            </w:tcMar>
            <w:vAlign w:val="bottom"/>
          </w:tcPr>
          <w:p w:rsidR="002D5BB0" w:rsidRPr="00222917" w:rsidRDefault="002D5BB0" w:rsidP="00875411">
            <w:pPr>
              <w:pStyle w:val="SingleTxtG"/>
              <w:suppressAutoHyphens w:val="0"/>
              <w:spacing w:before="80" w:after="80" w:line="200" w:lineRule="exact"/>
              <w:ind w:left="0" w:right="0"/>
              <w:jc w:val="right"/>
              <w:rPr>
                <w:i/>
                <w:sz w:val="16"/>
                <w:lang w:val="en-US"/>
              </w:rPr>
            </w:pPr>
            <w:r w:rsidRPr="00222917">
              <w:rPr>
                <w:bCs/>
                <w:i/>
                <w:sz w:val="16"/>
                <w:lang w:val="en-US"/>
              </w:rPr>
              <w:t>2004</w:t>
            </w:r>
          </w:p>
        </w:tc>
        <w:tc>
          <w:tcPr>
            <w:tcW w:w="964" w:type="dxa"/>
            <w:shd w:val="clear" w:color="auto" w:fill="auto"/>
            <w:tcMar>
              <w:top w:w="0" w:type="dxa"/>
              <w:left w:w="0" w:type="dxa"/>
              <w:bottom w:w="0" w:type="dxa"/>
              <w:right w:w="0" w:type="dxa"/>
            </w:tcMar>
            <w:vAlign w:val="bottom"/>
          </w:tcPr>
          <w:p w:rsidR="002D5BB0" w:rsidRPr="00222917" w:rsidRDefault="002D5BB0" w:rsidP="00875411">
            <w:pPr>
              <w:pStyle w:val="SingleTxtG"/>
              <w:suppressAutoHyphens w:val="0"/>
              <w:spacing w:before="80" w:after="80" w:line="200" w:lineRule="exact"/>
              <w:ind w:left="0" w:right="0"/>
              <w:jc w:val="right"/>
              <w:rPr>
                <w:i/>
                <w:sz w:val="16"/>
                <w:lang w:val="en-US"/>
              </w:rPr>
            </w:pPr>
            <w:r w:rsidRPr="00222917">
              <w:rPr>
                <w:bCs/>
                <w:i/>
                <w:sz w:val="16"/>
                <w:lang w:val="en-US"/>
              </w:rPr>
              <w:t>2005</w:t>
            </w:r>
          </w:p>
        </w:tc>
        <w:tc>
          <w:tcPr>
            <w:tcW w:w="964" w:type="dxa"/>
            <w:shd w:val="clear" w:color="auto" w:fill="auto"/>
            <w:tcMar>
              <w:top w:w="0" w:type="dxa"/>
              <w:left w:w="0" w:type="dxa"/>
              <w:bottom w:w="0" w:type="dxa"/>
              <w:right w:w="0" w:type="dxa"/>
            </w:tcMar>
            <w:vAlign w:val="bottom"/>
          </w:tcPr>
          <w:p w:rsidR="002D5BB0" w:rsidRPr="00222917" w:rsidRDefault="002D5BB0" w:rsidP="00875411">
            <w:pPr>
              <w:pStyle w:val="SingleTxtG"/>
              <w:suppressAutoHyphens w:val="0"/>
              <w:spacing w:before="80" w:after="80" w:line="200" w:lineRule="exact"/>
              <w:ind w:left="0" w:right="0"/>
              <w:jc w:val="right"/>
              <w:rPr>
                <w:i/>
                <w:sz w:val="16"/>
                <w:lang w:val="en-US"/>
              </w:rPr>
            </w:pPr>
            <w:r w:rsidRPr="00222917">
              <w:rPr>
                <w:bCs/>
                <w:i/>
                <w:sz w:val="16"/>
                <w:lang w:val="en-US"/>
              </w:rPr>
              <w:t>2006</w:t>
            </w:r>
          </w:p>
        </w:tc>
        <w:tc>
          <w:tcPr>
            <w:tcW w:w="964" w:type="dxa"/>
            <w:shd w:val="clear" w:color="auto" w:fill="auto"/>
            <w:tcMar>
              <w:top w:w="0" w:type="dxa"/>
              <w:left w:w="0" w:type="dxa"/>
              <w:bottom w:w="0" w:type="dxa"/>
              <w:right w:w="0" w:type="dxa"/>
            </w:tcMar>
            <w:vAlign w:val="bottom"/>
          </w:tcPr>
          <w:p w:rsidR="002D5BB0" w:rsidRPr="00222917" w:rsidRDefault="002D5BB0" w:rsidP="00875411">
            <w:pPr>
              <w:pStyle w:val="SingleTxtG"/>
              <w:suppressAutoHyphens w:val="0"/>
              <w:spacing w:before="80" w:after="80" w:line="200" w:lineRule="exact"/>
              <w:ind w:left="0" w:right="0"/>
              <w:jc w:val="right"/>
              <w:rPr>
                <w:i/>
                <w:sz w:val="16"/>
                <w:lang w:val="en-US"/>
              </w:rPr>
            </w:pPr>
            <w:r w:rsidRPr="00222917">
              <w:rPr>
                <w:bCs/>
                <w:i/>
                <w:sz w:val="16"/>
                <w:lang w:val="en-US"/>
              </w:rPr>
              <w:t>2007</w:t>
            </w:r>
          </w:p>
        </w:tc>
        <w:tc>
          <w:tcPr>
            <w:tcW w:w="964" w:type="dxa"/>
            <w:shd w:val="clear" w:color="auto" w:fill="auto"/>
            <w:tcMar>
              <w:top w:w="0" w:type="dxa"/>
              <w:left w:w="0" w:type="dxa"/>
              <w:bottom w:w="0" w:type="dxa"/>
              <w:right w:w="0" w:type="dxa"/>
            </w:tcMar>
            <w:vAlign w:val="bottom"/>
          </w:tcPr>
          <w:p w:rsidR="002D5BB0" w:rsidRPr="00222917" w:rsidRDefault="002D5BB0" w:rsidP="00875411">
            <w:pPr>
              <w:pStyle w:val="SingleTxtG"/>
              <w:suppressAutoHyphens w:val="0"/>
              <w:spacing w:before="80" w:after="80" w:line="200" w:lineRule="exact"/>
              <w:ind w:left="0" w:right="0"/>
              <w:jc w:val="right"/>
              <w:rPr>
                <w:i/>
                <w:sz w:val="16"/>
                <w:lang w:val="en-US"/>
              </w:rPr>
            </w:pPr>
            <w:r w:rsidRPr="00222917">
              <w:rPr>
                <w:bCs/>
                <w:i/>
                <w:sz w:val="16"/>
                <w:lang w:val="en-US"/>
              </w:rPr>
              <w:t>2008</w:t>
            </w:r>
          </w:p>
        </w:tc>
        <w:tc>
          <w:tcPr>
            <w:tcW w:w="964" w:type="dxa"/>
            <w:shd w:val="clear" w:color="auto" w:fill="auto"/>
            <w:tcMar>
              <w:top w:w="0" w:type="dxa"/>
              <w:left w:w="0" w:type="dxa"/>
              <w:bottom w:w="0" w:type="dxa"/>
              <w:right w:w="0" w:type="dxa"/>
            </w:tcMar>
            <w:vAlign w:val="bottom"/>
          </w:tcPr>
          <w:p w:rsidR="002D5BB0" w:rsidRPr="00222917" w:rsidRDefault="002D5BB0" w:rsidP="00875411">
            <w:pPr>
              <w:pStyle w:val="SingleTxtG"/>
              <w:suppressAutoHyphens w:val="0"/>
              <w:spacing w:before="80" w:after="80" w:line="200" w:lineRule="exact"/>
              <w:ind w:left="0" w:right="0"/>
              <w:jc w:val="right"/>
              <w:rPr>
                <w:i/>
                <w:sz w:val="16"/>
                <w:lang w:val="en-US"/>
              </w:rPr>
            </w:pPr>
            <w:r w:rsidRPr="00222917">
              <w:rPr>
                <w:bCs/>
                <w:i/>
                <w:sz w:val="16"/>
                <w:lang w:val="en-US"/>
              </w:rPr>
              <w:t>2009</w:t>
            </w:r>
          </w:p>
        </w:tc>
        <w:tc>
          <w:tcPr>
            <w:tcW w:w="964" w:type="dxa"/>
            <w:shd w:val="clear" w:color="auto" w:fill="auto"/>
            <w:tcMar>
              <w:top w:w="0" w:type="dxa"/>
              <w:left w:w="0" w:type="dxa"/>
              <w:bottom w:w="0" w:type="dxa"/>
              <w:right w:w="0" w:type="dxa"/>
            </w:tcMar>
            <w:vAlign w:val="bottom"/>
          </w:tcPr>
          <w:p w:rsidR="002D5BB0" w:rsidRPr="00222917" w:rsidRDefault="002D5BB0" w:rsidP="00875411">
            <w:pPr>
              <w:pStyle w:val="SingleTxtG"/>
              <w:suppressAutoHyphens w:val="0"/>
              <w:spacing w:before="80" w:after="80" w:line="200" w:lineRule="exact"/>
              <w:ind w:left="0" w:right="0"/>
              <w:jc w:val="right"/>
              <w:rPr>
                <w:i/>
                <w:sz w:val="16"/>
                <w:lang w:val="en-US"/>
              </w:rPr>
            </w:pPr>
            <w:r w:rsidRPr="00222917">
              <w:rPr>
                <w:bCs/>
                <w:i/>
                <w:sz w:val="16"/>
                <w:lang w:val="en-US"/>
              </w:rPr>
              <w:t>2010</w:t>
            </w:r>
          </w:p>
        </w:tc>
      </w:tr>
      <w:tr w:rsidR="001D2686" w:rsidRPr="00222917" w:rsidTr="00366420">
        <w:tc>
          <w:tcPr>
            <w:tcW w:w="624" w:type="dxa"/>
            <w:shd w:val="clear" w:color="auto" w:fill="auto"/>
            <w:tcMar>
              <w:top w:w="0" w:type="dxa"/>
              <w:left w:w="0" w:type="dxa"/>
              <w:bottom w:w="0" w:type="dxa"/>
              <w:right w:w="0" w:type="dxa"/>
            </w:tcMar>
            <w:vAlign w:val="bottom"/>
          </w:tcPr>
          <w:p w:rsidR="002D5BB0" w:rsidRPr="00222917" w:rsidRDefault="002D5BB0" w:rsidP="008B2DCF">
            <w:pPr>
              <w:pStyle w:val="SingleTxtG"/>
              <w:suppressAutoHyphens w:val="0"/>
              <w:spacing w:before="40" w:after="40" w:line="220" w:lineRule="exact"/>
              <w:ind w:left="0" w:right="0"/>
              <w:jc w:val="left"/>
              <w:rPr>
                <w:sz w:val="18"/>
                <w:lang w:val="en-US"/>
              </w:rPr>
            </w:pPr>
            <w:r w:rsidRPr="00222917">
              <w:rPr>
                <w:sz w:val="18"/>
                <w:lang w:val="en-US"/>
              </w:rPr>
              <w:t>Persons</w:t>
            </w:r>
          </w:p>
        </w:tc>
        <w:tc>
          <w:tcPr>
            <w:tcW w:w="964" w:type="dxa"/>
            <w:shd w:val="clear" w:color="auto" w:fill="auto"/>
            <w:tcMar>
              <w:top w:w="0" w:type="dxa"/>
              <w:left w:w="0" w:type="dxa"/>
              <w:bottom w:w="0" w:type="dxa"/>
              <w:right w:w="0" w:type="dxa"/>
            </w:tcMar>
            <w:vAlign w:val="bottom"/>
          </w:tcPr>
          <w:p w:rsidR="002D5BB0" w:rsidRPr="00222917" w:rsidRDefault="002D5BB0" w:rsidP="00875411">
            <w:pPr>
              <w:pStyle w:val="SingleTxtG"/>
              <w:suppressAutoHyphens w:val="0"/>
              <w:spacing w:before="40" w:after="40" w:line="220" w:lineRule="exact"/>
              <w:ind w:left="0" w:right="0"/>
              <w:jc w:val="right"/>
              <w:rPr>
                <w:sz w:val="18"/>
                <w:lang w:val="en-US"/>
              </w:rPr>
            </w:pPr>
            <w:r w:rsidRPr="00222917">
              <w:rPr>
                <w:sz w:val="18"/>
                <w:lang w:val="en-US"/>
              </w:rPr>
              <w:t>19,307</w:t>
            </w:r>
          </w:p>
        </w:tc>
        <w:tc>
          <w:tcPr>
            <w:tcW w:w="964" w:type="dxa"/>
            <w:shd w:val="clear" w:color="auto" w:fill="auto"/>
            <w:tcMar>
              <w:top w:w="0" w:type="dxa"/>
              <w:left w:w="0" w:type="dxa"/>
              <w:bottom w:w="0" w:type="dxa"/>
              <w:right w:w="0" w:type="dxa"/>
            </w:tcMar>
            <w:vAlign w:val="bottom"/>
          </w:tcPr>
          <w:p w:rsidR="002D5BB0" w:rsidRPr="00222917" w:rsidRDefault="002D5BB0" w:rsidP="00875411">
            <w:pPr>
              <w:pStyle w:val="SingleTxtG"/>
              <w:suppressAutoHyphens w:val="0"/>
              <w:spacing w:before="40" w:after="40" w:line="220" w:lineRule="exact"/>
              <w:ind w:left="0" w:right="0"/>
              <w:jc w:val="right"/>
              <w:rPr>
                <w:sz w:val="18"/>
                <w:lang w:val="en-US"/>
              </w:rPr>
            </w:pPr>
            <w:r w:rsidRPr="00222917">
              <w:rPr>
                <w:sz w:val="18"/>
                <w:lang w:val="en-US"/>
              </w:rPr>
              <w:t>38,019</w:t>
            </w:r>
          </w:p>
        </w:tc>
        <w:tc>
          <w:tcPr>
            <w:tcW w:w="964" w:type="dxa"/>
            <w:shd w:val="clear" w:color="auto" w:fill="auto"/>
            <w:tcMar>
              <w:top w:w="0" w:type="dxa"/>
              <w:left w:w="0" w:type="dxa"/>
              <w:bottom w:w="0" w:type="dxa"/>
              <w:right w:w="0" w:type="dxa"/>
            </w:tcMar>
            <w:vAlign w:val="bottom"/>
          </w:tcPr>
          <w:p w:rsidR="002D5BB0" w:rsidRPr="00222917" w:rsidRDefault="002D5BB0" w:rsidP="00875411">
            <w:pPr>
              <w:pStyle w:val="SingleTxtG"/>
              <w:suppressAutoHyphens w:val="0"/>
              <w:spacing w:before="40" w:after="40" w:line="220" w:lineRule="exact"/>
              <w:ind w:left="0" w:right="0"/>
              <w:jc w:val="right"/>
              <w:rPr>
                <w:sz w:val="18"/>
                <w:lang w:val="en-US"/>
              </w:rPr>
            </w:pPr>
            <w:r w:rsidRPr="00222917">
              <w:rPr>
                <w:sz w:val="18"/>
                <w:lang w:val="en-US"/>
              </w:rPr>
              <w:t>18,574</w:t>
            </w:r>
          </w:p>
        </w:tc>
        <w:tc>
          <w:tcPr>
            <w:tcW w:w="964" w:type="dxa"/>
            <w:shd w:val="clear" w:color="auto" w:fill="auto"/>
            <w:tcMar>
              <w:top w:w="0" w:type="dxa"/>
              <w:left w:w="0" w:type="dxa"/>
              <w:bottom w:w="0" w:type="dxa"/>
              <w:right w:w="0" w:type="dxa"/>
            </w:tcMar>
            <w:vAlign w:val="bottom"/>
          </w:tcPr>
          <w:p w:rsidR="002D5BB0" w:rsidRPr="00222917" w:rsidRDefault="002D5BB0" w:rsidP="00875411">
            <w:pPr>
              <w:pStyle w:val="SingleTxtG"/>
              <w:suppressAutoHyphens w:val="0"/>
              <w:spacing w:before="40" w:after="40" w:line="220" w:lineRule="exact"/>
              <w:ind w:left="0" w:right="0"/>
              <w:jc w:val="right"/>
              <w:rPr>
                <w:sz w:val="18"/>
                <w:lang w:val="en-US"/>
              </w:rPr>
            </w:pPr>
            <w:r w:rsidRPr="00222917">
              <w:rPr>
                <w:sz w:val="18"/>
                <w:lang w:val="en-US"/>
              </w:rPr>
              <w:t>18,462</w:t>
            </w:r>
          </w:p>
        </w:tc>
        <w:tc>
          <w:tcPr>
            <w:tcW w:w="964" w:type="dxa"/>
            <w:shd w:val="clear" w:color="auto" w:fill="auto"/>
            <w:tcMar>
              <w:top w:w="0" w:type="dxa"/>
              <w:left w:w="0" w:type="dxa"/>
              <w:bottom w:w="0" w:type="dxa"/>
              <w:right w:w="0" w:type="dxa"/>
            </w:tcMar>
            <w:vAlign w:val="bottom"/>
          </w:tcPr>
          <w:p w:rsidR="002D5BB0" w:rsidRPr="00222917" w:rsidRDefault="002D5BB0" w:rsidP="00875411">
            <w:pPr>
              <w:pStyle w:val="SingleTxtG"/>
              <w:suppressAutoHyphens w:val="0"/>
              <w:spacing w:before="40" w:after="40" w:line="220" w:lineRule="exact"/>
              <w:ind w:left="0" w:right="0"/>
              <w:jc w:val="right"/>
              <w:rPr>
                <w:sz w:val="18"/>
                <w:lang w:val="en-US"/>
              </w:rPr>
            </w:pPr>
            <w:r w:rsidRPr="00222917">
              <w:rPr>
                <w:sz w:val="18"/>
                <w:lang w:val="en-US"/>
              </w:rPr>
              <w:t>30,576</w:t>
            </w:r>
          </w:p>
        </w:tc>
        <w:tc>
          <w:tcPr>
            <w:tcW w:w="964" w:type="dxa"/>
            <w:shd w:val="clear" w:color="auto" w:fill="auto"/>
            <w:tcMar>
              <w:top w:w="0" w:type="dxa"/>
              <w:left w:w="0" w:type="dxa"/>
              <w:bottom w:w="0" w:type="dxa"/>
              <w:right w:w="0" w:type="dxa"/>
            </w:tcMar>
            <w:vAlign w:val="bottom"/>
          </w:tcPr>
          <w:p w:rsidR="002D5BB0" w:rsidRPr="00222917" w:rsidRDefault="002D5BB0" w:rsidP="00875411">
            <w:pPr>
              <w:pStyle w:val="SingleTxtG"/>
              <w:suppressAutoHyphens w:val="0"/>
              <w:spacing w:before="40" w:after="40" w:line="220" w:lineRule="exact"/>
              <w:ind w:left="0" w:right="0"/>
              <w:jc w:val="right"/>
              <w:rPr>
                <w:sz w:val="18"/>
                <w:lang w:val="en-US"/>
              </w:rPr>
            </w:pPr>
            <w:r w:rsidRPr="00222917">
              <w:rPr>
                <w:sz w:val="18"/>
                <w:lang w:val="en-US"/>
              </w:rPr>
              <w:t>29,043</w:t>
            </w:r>
          </w:p>
        </w:tc>
        <w:tc>
          <w:tcPr>
            <w:tcW w:w="964" w:type="dxa"/>
            <w:shd w:val="clear" w:color="auto" w:fill="auto"/>
            <w:tcMar>
              <w:top w:w="0" w:type="dxa"/>
              <w:left w:w="0" w:type="dxa"/>
              <w:bottom w:w="0" w:type="dxa"/>
              <w:right w:w="0" w:type="dxa"/>
            </w:tcMar>
            <w:vAlign w:val="bottom"/>
          </w:tcPr>
          <w:p w:rsidR="002D5BB0" w:rsidRPr="00222917" w:rsidRDefault="002D5BB0" w:rsidP="00875411">
            <w:pPr>
              <w:pStyle w:val="SingleTxtG"/>
              <w:suppressAutoHyphens w:val="0"/>
              <w:spacing w:before="40" w:after="40" w:line="220" w:lineRule="exact"/>
              <w:ind w:left="0" w:right="0"/>
              <w:jc w:val="right"/>
              <w:rPr>
                <w:sz w:val="18"/>
                <w:lang w:val="en-US"/>
              </w:rPr>
            </w:pPr>
            <w:r w:rsidRPr="00222917">
              <w:rPr>
                <w:sz w:val="18"/>
                <w:lang w:val="en-US"/>
              </w:rPr>
              <w:t>21,339</w:t>
            </w:r>
          </w:p>
        </w:tc>
      </w:tr>
    </w:tbl>
    <w:p w:rsidR="002D5BB0" w:rsidRPr="00222917" w:rsidRDefault="00547908" w:rsidP="00547908">
      <w:pPr>
        <w:pStyle w:val="SingleTxtG"/>
        <w:spacing w:before="240"/>
        <w:rPr>
          <w:lang w:val="en-US"/>
        </w:rPr>
      </w:pPr>
      <w:r w:rsidRPr="00222917">
        <w:rPr>
          <w:lang w:val="en-US"/>
        </w:rPr>
        <w:t>218.</w:t>
      </w:r>
      <w:r w:rsidRPr="00222917">
        <w:rPr>
          <w:lang w:val="en-US"/>
        </w:rPr>
        <w:tab/>
      </w:r>
      <w:r w:rsidR="002D5BB0" w:rsidRPr="00222917">
        <w:rPr>
          <w:lang w:val="en-US"/>
        </w:rPr>
        <w:t xml:space="preserve">Where a deportation order is determined under the </w:t>
      </w:r>
      <w:r w:rsidR="002D5BB0" w:rsidRPr="004950CA">
        <w:rPr>
          <w:iCs/>
          <w:lang w:val="en-US"/>
        </w:rPr>
        <w:t>Immigration Control Act</w:t>
      </w:r>
      <w:r w:rsidR="002D5BB0" w:rsidRPr="00222917">
        <w:rPr>
          <w:lang w:val="en-US"/>
        </w:rPr>
        <w:t>, the foreigner in question should be issued a copy of deportation order stating the objective and reason of the order and the possibility of filing an objection against such order (</w:t>
      </w:r>
      <w:r w:rsidR="00681EC0" w:rsidRPr="00222917">
        <w:rPr>
          <w:lang w:val="en-US"/>
        </w:rPr>
        <w:t>a</w:t>
      </w:r>
      <w:r w:rsidR="002D5BB0" w:rsidRPr="00222917">
        <w:rPr>
          <w:lang w:val="en-US"/>
        </w:rPr>
        <w:t>rticle</w:t>
      </w:r>
      <w:r w:rsidR="00875411" w:rsidRPr="00222917">
        <w:rPr>
          <w:lang w:val="en-US"/>
        </w:rPr>
        <w:t> </w:t>
      </w:r>
      <w:r w:rsidR="002D5BB0" w:rsidRPr="00222917">
        <w:rPr>
          <w:lang w:val="en-US"/>
        </w:rPr>
        <w:t>59</w:t>
      </w:r>
      <w:r w:rsidR="00875411" w:rsidRPr="00222917">
        <w:rPr>
          <w:lang w:val="en-US"/>
        </w:rPr>
        <w:t> </w:t>
      </w:r>
      <w:r w:rsidR="002D5BB0" w:rsidRPr="00222917">
        <w:rPr>
          <w:lang w:val="en-US"/>
        </w:rPr>
        <w:t xml:space="preserve">(2)). The matters </w:t>
      </w:r>
      <w:r w:rsidR="002D5BB0" w:rsidRPr="00222917">
        <w:rPr>
          <w:bCs/>
          <w:lang w:val="en-US"/>
        </w:rPr>
        <w:t>concerning</w:t>
      </w:r>
      <w:r w:rsidR="002D5BB0" w:rsidRPr="00222917">
        <w:rPr>
          <w:lang w:val="en-US"/>
        </w:rPr>
        <w:t xml:space="preserve"> the objection procedure for the foreigner who received the depo</w:t>
      </w:r>
      <w:r w:rsidR="005F5775" w:rsidRPr="00222917">
        <w:rPr>
          <w:lang w:val="en-US"/>
        </w:rPr>
        <w:t>rtation order are set forth in paragraph </w:t>
      </w:r>
      <w:r w:rsidR="002D5BB0" w:rsidRPr="00222917">
        <w:rPr>
          <w:lang w:val="en-US"/>
        </w:rPr>
        <w:t xml:space="preserve">153 above. </w:t>
      </w:r>
    </w:p>
    <w:p w:rsidR="002D5BB0" w:rsidRPr="00222917" w:rsidRDefault="00875411" w:rsidP="00F71A43">
      <w:pPr>
        <w:pStyle w:val="H23G"/>
        <w:rPr>
          <w:b w:val="0"/>
          <w:sz w:val="16"/>
          <w:szCs w:val="16"/>
          <w:lang w:val="en-US"/>
        </w:rPr>
      </w:pPr>
      <w:r w:rsidRPr="00222917">
        <w:rPr>
          <w:lang w:val="en-US"/>
        </w:rPr>
        <w:tab/>
      </w:r>
      <w:r w:rsidRPr="00222917">
        <w:rPr>
          <w:lang w:val="en-US"/>
        </w:rPr>
        <w:tab/>
      </w:r>
      <w:r w:rsidR="002D5BB0" w:rsidRPr="00222917">
        <w:rPr>
          <w:lang w:val="en-US"/>
        </w:rPr>
        <w:t>Objections against Deportation Orders</w:t>
      </w:r>
      <w:r w:rsidRPr="00222917">
        <w:rPr>
          <w:lang w:val="en-US"/>
        </w:rPr>
        <w:br/>
      </w:r>
      <w:r w:rsidR="002D5BB0" w:rsidRPr="00222917">
        <w:rPr>
          <w:b w:val="0"/>
          <w:sz w:val="16"/>
          <w:szCs w:val="16"/>
          <w:lang w:val="en-US"/>
        </w:rPr>
        <w:t>(Number of cases)</w:t>
      </w:r>
    </w:p>
    <w:tbl>
      <w:tblPr>
        <w:tblW w:w="0" w:type="auto"/>
        <w:tblInd w:w="1134" w:type="dxa"/>
        <w:tblBorders>
          <w:top w:val="single" w:sz="4" w:space="0" w:color="auto"/>
        </w:tblBorders>
        <w:tblLayout w:type="fixed"/>
        <w:tblCellMar>
          <w:left w:w="0" w:type="dxa"/>
          <w:right w:w="0" w:type="dxa"/>
        </w:tblCellMar>
        <w:tblLook w:val="00A0"/>
      </w:tblPr>
      <w:tblGrid>
        <w:gridCol w:w="1418"/>
        <w:gridCol w:w="851"/>
        <w:gridCol w:w="851"/>
        <w:gridCol w:w="851"/>
        <w:gridCol w:w="851"/>
        <w:gridCol w:w="851"/>
        <w:gridCol w:w="851"/>
        <w:gridCol w:w="851"/>
      </w:tblGrid>
      <w:tr w:rsidR="001D2686" w:rsidRPr="00222917" w:rsidTr="0091755F">
        <w:trPr>
          <w:tblHeader/>
        </w:trPr>
        <w:tc>
          <w:tcPr>
            <w:tcW w:w="1418"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F71A43">
            <w:pPr>
              <w:pStyle w:val="SingleTxtG"/>
              <w:keepNext/>
              <w:keepLines/>
              <w:suppressAutoHyphens w:val="0"/>
              <w:spacing w:before="80" w:after="80" w:line="200" w:lineRule="exact"/>
              <w:ind w:left="0" w:right="0"/>
              <w:jc w:val="left"/>
              <w:rPr>
                <w:i/>
                <w:sz w:val="16"/>
                <w:lang w:val="en-US"/>
              </w:rPr>
            </w:pPr>
            <w:r w:rsidRPr="00222917">
              <w:rPr>
                <w:bCs/>
                <w:i/>
                <w:sz w:val="16"/>
                <w:lang w:val="en-US"/>
              </w:rPr>
              <w:t>Year</w:t>
            </w:r>
          </w:p>
        </w:tc>
        <w:tc>
          <w:tcPr>
            <w:tcW w:w="851"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F71A43">
            <w:pPr>
              <w:pStyle w:val="SingleTxtG"/>
              <w:keepNext/>
              <w:keepLines/>
              <w:suppressAutoHyphens w:val="0"/>
              <w:spacing w:before="80" w:after="80" w:line="200" w:lineRule="exact"/>
              <w:ind w:left="0" w:right="0"/>
              <w:jc w:val="right"/>
              <w:rPr>
                <w:i/>
                <w:sz w:val="16"/>
                <w:lang w:val="en-US"/>
              </w:rPr>
            </w:pPr>
            <w:r w:rsidRPr="00222917">
              <w:rPr>
                <w:bCs/>
                <w:i/>
                <w:sz w:val="16"/>
                <w:lang w:val="en-US"/>
              </w:rPr>
              <w:t>2004</w:t>
            </w:r>
          </w:p>
        </w:tc>
        <w:tc>
          <w:tcPr>
            <w:tcW w:w="851"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F71A43">
            <w:pPr>
              <w:pStyle w:val="SingleTxtG"/>
              <w:keepNext/>
              <w:keepLines/>
              <w:suppressAutoHyphens w:val="0"/>
              <w:spacing w:before="80" w:after="80" w:line="200" w:lineRule="exact"/>
              <w:ind w:left="0" w:right="0"/>
              <w:jc w:val="right"/>
              <w:rPr>
                <w:i/>
                <w:sz w:val="16"/>
                <w:lang w:val="en-US"/>
              </w:rPr>
            </w:pPr>
            <w:r w:rsidRPr="00222917">
              <w:rPr>
                <w:bCs/>
                <w:i/>
                <w:sz w:val="16"/>
                <w:lang w:val="en-US"/>
              </w:rPr>
              <w:t>2005</w:t>
            </w:r>
          </w:p>
        </w:tc>
        <w:tc>
          <w:tcPr>
            <w:tcW w:w="851"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F71A43">
            <w:pPr>
              <w:pStyle w:val="SingleTxtG"/>
              <w:keepNext/>
              <w:keepLines/>
              <w:suppressAutoHyphens w:val="0"/>
              <w:spacing w:before="80" w:after="80" w:line="200" w:lineRule="exact"/>
              <w:ind w:left="0" w:right="0"/>
              <w:jc w:val="right"/>
              <w:rPr>
                <w:i/>
                <w:sz w:val="16"/>
                <w:lang w:val="en-US"/>
              </w:rPr>
            </w:pPr>
            <w:r w:rsidRPr="00222917">
              <w:rPr>
                <w:bCs/>
                <w:i/>
                <w:sz w:val="16"/>
                <w:lang w:val="en-US"/>
              </w:rPr>
              <w:t>2006</w:t>
            </w:r>
          </w:p>
        </w:tc>
        <w:tc>
          <w:tcPr>
            <w:tcW w:w="851"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F71A43">
            <w:pPr>
              <w:pStyle w:val="SingleTxtG"/>
              <w:keepNext/>
              <w:keepLines/>
              <w:suppressAutoHyphens w:val="0"/>
              <w:spacing w:before="80" w:after="80" w:line="200" w:lineRule="exact"/>
              <w:ind w:left="0" w:right="0"/>
              <w:jc w:val="right"/>
              <w:rPr>
                <w:i/>
                <w:sz w:val="16"/>
                <w:lang w:val="en-US"/>
              </w:rPr>
            </w:pPr>
            <w:r w:rsidRPr="00222917">
              <w:rPr>
                <w:bCs/>
                <w:i/>
                <w:sz w:val="16"/>
                <w:lang w:val="en-US"/>
              </w:rPr>
              <w:t>2007</w:t>
            </w:r>
          </w:p>
        </w:tc>
        <w:tc>
          <w:tcPr>
            <w:tcW w:w="851"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F71A43">
            <w:pPr>
              <w:pStyle w:val="SingleTxtG"/>
              <w:keepNext/>
              <w:keepLines/>
              <w:suppressAutoHyphens w:val="0"/>
              <w:spacing w:before="80" w:after="80" w:line="200" w:lineRule="exact"/>
              <w:ind w:left="0" w:right="0"/>
              <w:jc w:val="right"/>
              <w:rPr>
                <w:i/>
                <w:sz w:val="16"/>
                <w:lang w:val="en-US"/>
              </w:rPr>
            </w:pPr>
            <w:r w:rsidRPr="00222917">
              <w:rPr>
                <w:bCs/>
                <w:i/>
                <w:sz w:val="16"/>
                <w:lang w:val="en-US"/>
              </w:rPr>
              <w:t>2008</w:t>
            </w:r>
          </w:p>
        </w:tc>
        <w:tc>
          <w:tcPr>
            <w:tcW w:w="851"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F71A43">
            <w:pPr>
              <w:pStyle w:val="SingleTxtG"/>
              <w:keepNext/>
              <w:keepLines/>
              <w:suppressAutoHyphens w:val="0"/>
              <w:spacing w:before="80" w:after="80" w:line="200" w:lineRule="exact"/>
              <w:ind w:left="0" w:right="0"/>
              <w:jc w:val="right"/>
              <w:rPr>
                <w:i/>
                <w:sz w:val="16"/>
                <w:lang w:val="en-US"/>
              </w:rPr>
            </w:pPr>
            <w:r w:rsidRPr="00222917">
              <w:rPr>
                <w:bCs/>
                <w:i/>
                <w:sz w:val="16"/>
                <w:lang w:val="en-US"/>
              </w:rPr>
              <w:t>2009</w:t>
            </w:r>
          </w:p>
        </w:tc>
        <w:tc>
          <w:tcPr>
            <w:tcW w:w="851" w:type="dxa"/>
            <w:tcBorders>
              <w:top w:val="single" w:sz="4" w:space="0" w:color="auto"/>
              <w:bottom w:val="single" w:sz="12" w:space="0" w:color="auto"/>
            </w:tcBorders>
            <w:shd w:val="clear" w:color="auto" w:fill="auto"/>
            <w:vAlign w:val="bottom"/>
          </w:tcPr>
          <w:p w:rsidR="002D5BB0" w:rsidRPr="00222917" w:rsidRDefault="002D5BB0" w:rsidP="00F71A43">
            <w:pPr>
              <w:pStyle w:val="SingleTxtG"/>
              <w:keepNext/>
              <w:keepLines/>
              <w:suppressAutoHyphens w:val="0"/>
              <w:spacing w:before="80" w:after="80" w:line="200" w:lineRule="exact"/>
              <w:ind w:left="0" w:right="0"/>
              <w:jc w:val="right"/>
              <w:rPr>
                <w:bCs/>
                <w:i/>
                <w:sz w:val="16"/>
                <w:lang w:val="en-US"/>
              </w:rPr>
            </w:pPr>
            <w:r w:rsidRPr="00222917">
              <w:rPr>
                <w:bCs/>
                <w:i/>
                <w:sz w:val="16"/>
                <w:lang w:val="en-US"/>
              </w:rPr>
              <w:t>2010</w:t>
            </w:r>
          </w:p>
        </w:tc>
      </w:tr>
      <w:tr w:rsidR="001D2686" w:rsidRPr="00222917" w:rsidTr="0091755F">
        <w:tc>
          <w:tcPr>
            <w:tcW w:w="1418" w:type="dxa"/>
            <w:tcBorders>
              <w:top w:val="single" w:sz="12" w:space="0" w:color="auto"/>
              <w:bottom w:val="single" w:sz="4" w:space="0" w:color="auto"/>
            </w:tcBorders>
            <w:shd w:val="clear" w:color="auto" w:fill="auto"/>
            <w:tcMar>
              <w:top w:w="28" w:type="dxa"/>
              <w:left w:w="28" w:type="dxa"/>
              <w:bottom w:w="28" w:type="dxa"/>
              <w:right w:w="28" w:type="dxa"/>
            </w:tcMar>
          </w:tcPr>
          <w:p w:rsidR="002D5BB0" w:rsidRPr="00222917" w:rsidRDefault="002D5BB0" w:rsidP="00F71A43">
            <w:pPr>
              <w:pStyle w:val="SingleTxtG"/>
              <w:keepNext/>
              <w:keepLines/>
              <w:suppressAutoHyphens w:val="0"/>
              <w:spacing w:before="80" w:after="80" w:line="220" w:lineRule="exact"/>
              <w:ind w:left="284" w:right="0"/>
              <w:jc w:val="left"/>
              <w:rPr>
                <w:b/>
                <w:sz w:val="18"/>
                <w:lang w:val="en-US"/>
              </w:rPr>
            </w:pPr>
            <w:r w:rsidRPr="00222917">
              <w:rPr>
                <w:b/>
                <w:sz w:val="18"/>
                <w:lang w:val="en-US"/>
              </w:rPr>
              <w:t>Total</w:t>
            </w:r>
          </w:p>
        </w:tc>
        <w:tc>
          <w:tcPr>
            <w:tcW w:w="851" w:type="dxa"/>
            <w:tcBorders>
              <w:top w:val="single" w:sz="12" w:space="0" w:color="auto"/>
              <w:bottom w:val="single" w:sz="4" w:space="0" w:color="auto"/>
            </w:tcBorders>
            <w:shd w:val="clear" w:color="auto" w:fill="auto"/>
            <w:tcMar>
              <w:top w:w="28" w:type="dxa"/>
              <w:left w:w="28" w:type="dxa"/>
              <w:bottom w:w="28" w:type="dxa"/>
              <w:right w:w="28" w:type="dxa"/>
            </w:tcMar>
            <w:vAlign w:val="bottom"/>
          </w:tcPr>
          <w:p w:rsidR="002D5BB0" w:rsidRPr="00222917" w:rsidRDefault="002D5BB0" w:rsidP="00F71A43">
            <w:pPr>
              <w:pStyle w:val="SingleTxtG"/>
              <w:keepNext/>
              <w:keepLines/>
              <w:suppressAutoHyphens w:val="0"/>
              <w:spacing w:before="80" w:after="80" w:line="220" w:lineRule="exact"/>
              <w:ind w:left="0" w:right="0"/>
              <w:jc w:val="right"/>
              <w:rPr>
                <w:b/>
                <w:sz w:val="18"/>
                <w:lang w:val="en-US"/>
              </w:rPr>
            </w:pPr>
            <w:r w:rsidRPr="00222917">
              <w:rPr>
                <w:b/>
                <w:sz w:val="18"/>
                <w:lang w:val="en-US"/>
              </w:rPr>
              <w:t>8</w:t>
            </w:r>
          </w:p>
        </w:tc>
        <w:tc>
          <w:tcPr>
            <w:tcW w:w="851" w:type="dxa"/>
            <w:tcBorders>
              <w:top w:val="single" w:sz="12" w:space="0" w:color="auto"/>
              <w:bottom w:val="single" w:sz="4" w:space="0" w:color="auto"/>
            </w:tcBorders>
            <w:shd w:val="clear" w:color="auto" w:fill="auto"/>
            <w:tcMar>
              <w:top w:w="28" w:type="dxa"/>
              <w:left w:w="28" w:type="dxa"/>
              <w:bottom w:w="28" w:type="dxa"/>
              <w:right w:w="28" w:type="dxa"/>
            </w:tcMar>
            <w:vAlign w:val="bottom"/>
          </w:tcPr>
          <w:p w:rsidR="002D5BB0" w:rsidRPr="00222917" w:rsidRDefault="002D5BB0" w:rsidP="00F71A43">
            <w:pPr>
              <w:pStyle w:val="SingleTxtG"/>
              <w:keepNext/>
              <w:keepLines/>
              <w:suppressAutoHyphens w:val="0"/>
              <w:spacing w:before="80" w:after="80" w:line="220" w:lineRule="exact"/>
              <w:ind w:left="0" w:right="0"/>
              <w:jc w:val="right"/>
              <w:rPr>
                <w:b/>
                <w:sz w:val="18"/>
                <w:lang w:val="en-US"/>
              </w:rPr>
            </w:pPr>
            <w:r w:rsidRPr="00222917">
              <w:rPr>
                <w:b/>
                <w:sz w:val="18"/>
                <w:lang w:val="en-US"/>
              </w:rPr>
              <w:t>21</w:t>
            </w:r>
          </w:p>
        </w:tc>
        <w:tc>
          <w:tcPr>
            <w:tcW w:w="851" w:type="dxa"/>
            <w:tcBorders>
              <w:top w:val="single" w:sz="12" w:space="0" w:color="auto"/>
              <w:bottom w:val="single" w:sz="4" w:space="0" w:color="auto"/>
            </w:tcBorders>
            <w:shd w:val="clear" w:color="auto" w:fill="auto"/>
            <w:tcMar>
              <w:top w:w="28" w:type="dxa"/>
              <w:left w:w="28" w:type="dxa"/>
              <w:bottom w:w="28" w:type="dxa"/>
              <w:right w:w="28" w:type="dxa"/>
            </w:tcMar>
            <w:vAlign w:val="bottom"/>
          </w:tcPr>
          <w:p w:rsidR="002D5BB0" w:rsidRPr="00222917" w:rsidRDefault="002D5BB0" w:rsidP="00F71A43">
            <w:pPr>
              <w:pStyle w:val="SingleTxtG"/>
              <w:keepNext/>
              <w:keepLines/>
              <w:suppressAutoHyphens w:val="0"/>
              <w:spacing w:before="80" w:after="80" w:line="220" w:lineRule="exact"/>
              <w:ind w:left="0" w:right="0"/>
              <w:jc w:val="right"/>
              <w:rPr>
                <w:b/>
                <w:sz w:val="18"/>
                <w:lang w:val="en-US"/>
              </w:rPr>
            </w:pPr>
            <w:r w:rsidRPr="00222917">
              <w:rPr>
                <w:b/>
                <w:sz w:val="18"/>
                <w:lang w:val="en-US"/>
              </w:rPr>
              <w:t>19</w:t>
            </w:r>
          </w:p>
        </w:tc>
        <w:tc>
          <w:tcPr>
            <w:tcW w:w="851" w:type="dxa"/>
            <w:tcBorders>
              <w:top w:val="single" w:sz="12" w:space="0" w:color="auto"/>
              <w:bottom w:val="single" w:sz="4" w:space="0" w:color="auto"/>
            </w:tcBorders>
            <w:shd w:val="clear" w:color="auto" w:fill="auto"/>
            <w:tcMar>
              <w:top w:w="28" w:type="dxa"/>
              <w:left w:w="28" w:type="dxa"/>
              <w:bottom w:w="28" w:type="dxa"/>
              <w:right w:w="28" w:type="dxa"/>
            </w:tcMar>
            <w:vAlign w:val="bottom"/>
          </w:tcPr>
          <w:p w:rsidR="002D5BB0" w:rsidRPr="00222917" w:rsidRDefault="002D5BB0" w:rsidP="00F71A43">
            <w:pPr>
              <w:pStyle w:val="SingleTxtG"/>
              <w:keepNext/>
              <w:keepLines/>
              <w:suppressAutoHyphens w:val="0"/>
              <w:spacing w:before="80" w:after="80" w:line="220" w:lineRule="exact"/>
              <w:ind w:left="0" w:right="0"/>
              <w:jc w:val="right"/>
              <w:rPr>
                <w:b/>
                <w:sz w:val="18"/>
                <w:lang w:val="en-US"/>
              </w:rPr>
            </w:pPr>
            <w:r w:rsidRPr="00222917">
              <w:rPr>
                <w:b/>
                <w:sz w:val="18"/>
                <w:lang w:val="en-US"/>
              </w:rPr>
              <w:t>44</w:t>
            </w:r>
          </w:p>
        </w:tc>
        <w:tc>
          <w:tcPr>
            <w:tcW w:w="851" w:type="dxa"/>
            <w:tcBorders>
              <w:top w:val="single" w:sz="12" w:space="0" w:color="auto"/>
              <w:bottom w:val="single" w:sz="4" w:space="0" w:color="auto"/>
            </w:tcBorders>
            <w:shd w:val="clear" w:color="auto" w:fill="auto"/>
            <w:tcMar>
              <w:top w:w="28" w:type="dxa"/>
              <w:left w:w="28" w:type="dxa"/>
              <w:bottom w:w="28" w:type="dxa"/>
              <w:right w:w="28" w:type="dxa"/>
            </w:tcMar>
            <w:vAlign w:val="bottom"/>
          </w:tcPr>
          <w:p w:rsidR="002D5BB0" w:rsidRPr="00222917" w:rsidRDefault="002D5BB0" w:rsidP="00F71A43">
            <w:pPr>
              <w:pStyle w:val="SingleTxtG"/>
              <w:keepNext/>
              <w:keepLines/>
              <w:suppressAutoHyphens w:val="0"/>
              <w:spacing w:before="80" w:after="80" w:line="220" w:lineRule="exact"/>
              <w:ind w:left="0" w:right="0"/>
              <w:jc w:val="right"/>
              <w:rPr>
                <w:b/>
                <w:sz w:val="18"/>
                <w:lang w:val="en-US"/>
              </w:rPr>
            </w:pPr>
            <w:r w:rsidRPr="00222917">
              <w:rPr>
                <w:b/>
                <w:sz w:val="18"/>
                <w:lang w:val="en-US"/>
              </w:rPr>
              <w:t>70</w:t>
            </w:r>
          </w:p>
        </w:tc>
        <w:tc>
          <w:tcPr>
            <w:tcW w:w="851" w:type="dxa"/>
            <w:tcBorders>
              <w:top w:val="single" w:sz="12" w:space="0" w:color="auto"/>
              <w:bottom w:val="single" w:sz="4" w:space="0" w:color="auto"/>
            </w:tcBorders>
            <w:shd w:val="clear" w:color="auto" w:fill="auto"/>
            <w:tcMar>
              <w:top w:w="28" w:type="dxa"/>
              <w:left w:w="28" w:type="dxa"/>
              <w:bottom w:w="28" w:type="dxa"/>
              <w:right w:w="28" w:type="dxa"/>
            </w:tcMar>
            <w:vAlign w:val="bottom"/>
          </w:tcPr>
          <w:p w:rsidR="002D5BB0" w:rsidRPr="00222917" w:rsidRDefault="002D5BB0" w:rsidP="00F71A43">
            <w:pPr>
              <w:pStyle w:val="SingleTxtG"/>
              <w:keepNext/>
              <w:keepLines/>
              <w:suppressAutoHyphens w:val="0"/>
              <w:spacing w:before="80" w:after="80" w:line="220" w:lineRule="exact"/>
              <w:ind w:left="0" w:right="0"/>
              <w:jc w:val="right"/>
              <w:rPr>
                <w:b/>
                <w:sz w:val="18"/>
                <w:lang w:val="en-US"/>
              </w:rPr>
            </w:pPr>
            <w:r w:rsidRPr="00222917">
              <w:rPr>
                <w:b/>
                <w:sz w:val="18"/>
                <w:lang w:val="en-US"/>
              </w:rPr>
              <w:t>83</w:t>
            </w:r>
          </w:p>
        </w:tc>
        <w:tc>
          <w:tcPr>
            <w:tcW w:w="851" w:type="dxa"/>
            <w:tcBorders>
              <w:top w:val="single" w:sz="12" w:space="0" w:color="auto"/>
              <w:bottom w:val="single" w:sz="4" w:space="0" w:color="auto"/>
            </w:tcBorders>
            <w:shd w:val="clear" w:color="auto" w:fill="auto"/>
            <w:vAlign w:val="bottom"/>
          </w:tcPr>
          <w:p w:rsidR="002D5BB0" w:rsidRPr="00222917" w:rsidRDefault="002D5BB0" w:rsidP="00F71A43">
            <w:pPr>
              <w:pStyle w:val="SingleTxtG"/>
              <w:keepNext/>
              <w:keepLines/>
              <w:suppressAutoHyphens w:val="0"/>
              <w:spacing w:before="80" w:after="80" w:line="220" w:lineRule="exact"/>
              <w:ind w:left="0" w:right="0"/>
              <w:jc w:val="right"/>
              <w:rPr>
                <w:b/>
                <w:sz w:val="18"/>
                <w:lang w:val="en-US"/>
              </w:rPr>
            </w:pPr>
            <w:r w:rsidRPr="00222917">
              <w:rPr>
                <w:b/>
                <w:sz w:val="18"/>
                <w:lang w:val="en-US"/>
              </w:rPr>
              <w:t>117</w:t>
            </w:r>
          </w:p>
        </w:tc>
      </w:tr>
      <w:tr w:rsidR="001D2686" w:rsidRPr="00222917" w:rsidTr="0091755F">
        <w:tc>
          <w:tcPr>
            <w:tcW w:w="1418" w:type="dxa"/>
            <w:tcBorders>
              <w:top w:val="single" w:sz="4" w:space="0" w:color="auto"/>
            </w:tcBorders>
            <w:shd w:val="clear" w:color="auto" w:fill="auto"/>
            <w:tcMar>
              <w:top w:w="28" w:type="dxa"/>
              <w:left w:w="28" w:type="dxa"/>
              <w:bottom w:w="28" w:type="dxa"/>
              <w:right w:w="28" w:type="dxa"/>
            </w:tcMar>
          </w:tcPr>
          <w:p w:rsidR="002D5BB0" w:rsidRPr="00222917" w:rsidRDefault="002D5BB0" w:rsidP="00F71A43">
            <w:pPr>
              <w:pStyle w:val="SingleTxtG"/>
              <w:suppressAutoHyphens w:val="0"/>
              <w:spacing w:before="40" w:after="40" w:line="220" w:lineRule="exact"/>
              <w:ind w:left="0" w:right="0"/>
              <w:jc w:val="left"/>
              <w:rPr>
                <w:sz w:val="18"/>
                <w:lang w:val="en-US"/>
              </w:rPr>
            </w:pPr>
            <w:r w:rsidRPr="00222917">
              <w:rPr>
                <w:sz w:val="18"/>
                <w:lang w:val="en-US"/>
              </w:rPr>
              <w:t>Sustained</w:t>
            </w:r>
          </w:p>
        </w:tc>
        <w:tc>
          <w:tcPr>
            <w:tcW w:w="851" w:type="dxa"/>
            <w:tcBorders>
              <w:top w:val="single" w:sz="4" w:space="0" w:color="auto"/>
            </w:tcBorders>
            <w:shd w:val="clear" w:color="auto" w:fill="auto"/>
            <w:tcMar>
              <w:top w:w="28" w:type="dxa"/>
              <w:left w:w="28" w:type="dxa"/>
              <w:bottom w:w="28" w:type="dxa"/>
              <w:right w:w="28" w:type="dxa"/>
            </w:tcMar>
            <w:vAlign w:val="bottom"/>
          </w:tcPr>
          <w:p w:rsidR="002D5BB0" w:rsidRPr="00222917" w:rsidRDefault="002D5BB0" w:rsidP="00F71A43">
            <w:pPr>
              <w:pStyle w:val="SingleTxtG"/>
              <w:suppressAutoHyphens w:val="0"/>
              <w:spacing w:before="40" w:after="40" w:line="220" w:lineRule="exact"/>
              <w:ind w:left="0" w:right="0"/>
              <w:jc w:val="right"/>
              <w:rPr>
                <w:sz w:val="18"/>
                <w:lang w:val="en-US"/>
              </w:rPr>
            </w:pPr>
            <w:r w:rsidRPr="00222917">
              <w:rPr>
                <w:sz w:val="18"/>
                <w:lang w:val="en-US"/>
              </w:rPr>
              <w:t>2</w:t>
            </w:r>
          </w:p>
        </w:tc>
        <w:tc>
          <w:tcPr>
            <w:tcW w:w="851" w:type="dxa"/>
            <w:tcBorders>
              <w:top w:val="single" w:sz="4" w:space="0" w:color="auto"/>
            </w:tcBorders>
            <w:shd w:val="clear" w:color="auto" w:fill="auto"/>
            <w:tcMar>
              <w:top w:w="28" w:type="dxa"/>
              <w:left w:w="28" w:type="dxa"/>
              <w:bottom w:w="28" w:type="dxa"/>
              <w:right w:w="28" w:type="dxa"/>
            </w:tcMar>
            <w:vAlign w:val="bottom"/>
          </w:tcPr>
          <w:p w:rsidR="002D5BB0" w:rsidRPr="00222917" w:rsidRDefault="002D5BB0" w:rsidP="00F71A43">
            <w:pPr>
              <w:pStyle w:val="SingleTxtG"/>
              <w:suppressAutoHyphens w:val="0"/>
              <w:spacing w:before="40" w:after="40" w:line="220" w:lineRule="exact"/>
              <w:ind w:left="0" w:right="0"/>
              <w:jc w:val="right"/>
              <w:rPr>
                <w:sz w:val="18"/>
                <w:lang w:val="en-US"/>
              </w:rPr>
            </w:pPr>
            <w:r w:rsidRPr="00222917">
              <w:rPr>
                <w:sz w:val="18"/>
                <w:lang w:val="en-US"/>
              </w:rPr>
              <w:t>5</w:t>
            </w:r>
          </w:p>
        </w:tc>
        <w:tc>
          <w:tcPr>
            <w:tcW w:w="851" w:type="dxa"/>
            <w:tcBorders>
              <w:top w:val="single" w:sz="4" w:space="0" w:color="auto"/>
            </w:tcBorders>
            <w:shd w:val="clear" w:color="auto" w:fill="auto"/>
            <w:tcMar>
              <w:top w:w="28" w:type="dxa"/>
              <w:left w:w="28" w:type="dxa"/>
              <w:bottom w:w="28" w:type="dxa"/>
              <w:right w:w="28" w:type="dxa"/>
            </w:tcMar>
            <w:vAlign w:val="bottom"/>
          </w:tcPr>
          <w:p w:rsidR="002D5BB0" w:rsidRPr="00222917" w:rsidRDefault="002D5BB0" w:rsidP="00F71A43">
            <w:pPr>
              <w:pStyle w:val="SingleTxtG"/>
              <w:suppressAutoHyphens w:val="0"/>
              <w:spacing w:before="40" w:after="40" w:line="220" w:lineRule="exact"/>
              <w:ind w:left="0" w:right="0"/>
              <w:jc w:val="right"/>
              <w:rPr>
                <w:sz w:val="18"/>
                <w:lang w:val="en-US"/>
              </w:rPr>
            </w:pPr>
            <w:r w:rsidRPr="00222917">
              <w:rPr>
                <w:sz w:val="18"/>
                <w:lang w:val="en-US"/>
              </w:rPr>
              <w:t>11</w:t>
            </w:r>
          </w:p>
        </w:tc>
        <w:tc>
          <w:tcPr>
            <w:tcW w:w="851" w:type="dxa"/>
            <w:tcBorders>
              <w:top w:val="single" w:sz="4" w:space="0" w:color="auto"/>
            </w:tcBorders>
            <w:shd w:val="clear" w:color="auto" w:fill="auto"/>
            <w:tcMar>
              <w:top w:w="28" w:type="dxa"/>
              <w:left w:w="28" w:type="dxa"/>
              <w:bottom w:w="28" w:type="dxa"/>
              <w:right w:w="28" w:type="dxa"/>
            </w:tcMar>
            <w:vAlign w:val="bottom"/>
          </w:tcPr>
          <w:p w:rsidR="002D5BB0" w:rsidRPr="00222917" w:rsidRDefault="002D5BB0" w:rsidP="00F71A43">
            <w:pPr>
              <w:pStyle w:val="SingleTxtG"/>
              <w:suppressAutoHyphens w:val="0"/>
              <w:spacing w:before="40" w:after="40" w:line="220" w:lineRule="exact"/>
              <w:ind w:left="0" w:right="0"/>
              <w:jc w:val="right"/>
              <w:rPr>
                <w:sz w:val="18"/>
                <w:lang w:val="en-US"/>
              </w:rPr>
            </w:pPr>
            <w:r w:rsidRPr="00222917">
              <w:rPr>
                <w:sz w:val="18"/>
                <w:lang w:val="en-US"/>
              </w:rPr>
              <w:t>28</w:t>
            </w:r>
          </w:p>
        </w:tc>
        <w:tc>
          <w:tcPr>
            <w:tcW w:w="851" w:type="dxa"/>
            <w:tcBorders>
              <w:top w:val="single" w:sz="4" w:space="0" w:color="auto"/>
            </w:tcBorders>
            <w:shd w:val="clear" w:color="auto" w:fill="auto"/>
            <w:tcMar>
              <w:top w:w="28" w:type="dxa"/>
              <w:left w:w="28" w:type="dxa"/>
              <w:bottom w:w="28" w:type="dxa"/>
              <w:right w:w="28" w:type="dxa"/>
            </w:tcMar>
            <w:vAlign w:val="bottom"/>
          </w:tcPr>
          <w:p w:rsidR="002D5BB0" w:rsidRPr="00222917" w:rsidRDefault="002D5BB0" w:rsidP="00F71A43">
            <w:pPr>
              <w:pStyle w:val="SingleTxtG"/>
              <w:suppressAutoHyphens w:val="0"/>
              <w:spacing w:before="40" w:after="40" w:line="220" w:lineRule="exact"/>
              <w:ind w:left="0" w:right="0"/>
              <w:jc w:val="right"/>
              <w:rPr>
                <w:sz w:val="18"/>
                <w:lang w:val="en-US"/>
              </w:rPr>
            </w:pPr>
            <w:r w:rsidRPr="00222917">
              <w:rPr>
                <w:sz w:val="18"/>
                <w:lang w:val="en-US"/>
              </w:rPr>
              <w:t>54</w:t>
            </w:r>
          </w:p>
        </w:tc>
        <w:tc>
          <w:tcPr>
            <w:tcW w:w="851" w:type="dxa"/>
            <w:tcBorders>
              <w:top w:val="single" w:sz="4" w:space="0" w:color="auto"/>
            </w:tcBorders>
            <w:shd w:val="clear" w:color="auto" w:fill="auto"/>
            <w:tcMar>
              <w:top w:w="28" w:type="dxa"/>
              <w:left w:w="28" w:type="dxa"/>
              <w:bottom w:w="28" w:type="dxa"/>
              <w:right w:w="28" w:type="dxa"/>
            </w:tcMar>
            <w:vAlign w:val="bottom"/>
          </w:tcPr>
          <w:p w:rsidR="002D5BB0" w:rsidRPr="00222917" w:rsidRDefault="002D5BB0" w:rsidP="00F71A43">
            <w:pPr>
              <w:pStyle w:val="SingleTxtG"/>
              <w:suppressAutoHyphens w:val="0"/>
              <w:spacing w:before="40" w:after="40" w:line="220" w:lineRule="exact"/>
              <w:ind w:left="0" w:right="0"/>
              <w:jc w:val="right"/>
              <w:rPr>
                <w:sz w:val="18"/>
                <w:lang w:val="en-US"/>
              </w:rPr>
            </w:pPr>
            <w:r w:rsidRPr="00222917">
              <w:rPr>
                <w:sz w:val="18"/>
                <w:lang w:val="en-US"/>
              </w:rPr>
              <w:t>53</w:t>
            </w:r>
          </w:p>
        </w:tc>
        <w:tc>
          <w:tcPr>
            <w:tcW w:w="851" w:type="dxa"/>
            <w:tcBorders>
              <w:top w:val="single" w:sz="4" w:space="0" w:color="auto"/>
            </w:tcBorders>
            <w:shd w:val="clear" w:color="auto" w:fill="auto"/>
            <w:vAlign w:val="bottom"/>
          </w:tcPr>
          <w:p w:rsidR="002D5BB0" w:rsidRPr="00222917" w:rsidRDefault="002D5BB0" w:rsidP="00F71A43">
            <w:pPr>
              <w:pStyle w:val="SingleTxtG"/>
              <w:suppressAutoHyphens w:val="0"/>
              <w:spacing w:before="40" w:after="40" w:line="220" w:lineRule="exact"/>
              <w:ind w:left="0" w:right="0"/>
              <w:jc w:val="right"/>
              <w:rPr>
                <w:sz w:val="18"/>
                <w:lang w:val="en-US"/>
              </w:rPr>
            </w:pPr>
            <w:r w:rsidRPr="00222917">
              <w:rPr>
                <w:sz w:val="18"/>
                <w:lang w:val="en-US"/>
              </w:rPr>
              <w:t>65</w:t>
            </w:r>
          </w:p>
        </w:tc>
      </w:tr>
      <w:tr w:rsidR="001D2686" w:rsidRPr="00222917" w:rsidTr="0091755F">
        <w:tc>
          <w:tcPr>
            <w:tcW w:w="1418" w:type="dxa"/>
            <w:shd w:val="clear" w:color="auto" w:fill="auto"/>
            <w:tcMar>
              <w:top w:w="28" w:type="dxa"/>
              <w:left w:w="28" w:type="dxa"/>
              <w:bottom w:w="28" w:type="dxa"/>
              <w:right w:w="28" w:type="dxa"/>
            </w:tcMar>
          </w:tcPr>
          <w:p w:rsidR="002D5BB0" w:rsidRPr="00222917" w:rsidRDefault="002D5BB0" w:rsidP="00F71A43">
            <w:pPr>
              <w:pStyle w:val="SingleTxtG"/>
              <w:suppressAutoHyphens w:val="0"/>
              <w:spacing w:before="40" w:after="40" w:line="220" w:lineRule="exact"/>
              <w:ind w:left="0" w:right="0"/>
              <w:jc w:val="left"/>
              <w:rPr>
                <w:sz w:val="18"/>
                <w:lang w:val="en-US"/>
              </w:rPr>
            </w:pPr>
            <w:r w:rsidRPr="00222917">
              <w:rPr>
                <w:sz w:val="18"/>
                <w:lang w:val="en-US"/>
              </w:rPr>
              <w:t>Overruled</w:t>
            </w:r>
          </w:p>
        </w:tc>
        <w:tc>
          <w:tcPr>
            <w:tcW w:w="851" w:type="dxa"/>
            <w:shd w:val="clear" w:color="auto" w:fill="auto"/>
            <w:tcMar>
              <w:top w:w="28" w:type="dxa"/>
              <w:left w:w="28" w:type="dxa"/>
              <w:bottom w:w="28" w:type="dxa"/>
              <w:right w:w="28" w:type="dxa"/>
            </w:tcMar>
            <w:vAlign w:val="bottom"/>
          </w:tcPr>
          <w:p w:rsidR="002D5BB0" w:rsidRPr="00222917" w:rsidRDefault="002D5BB0" w:rsidP="00F71A43">
            <w:pPr>
              <w:pStyle w:val="SingleTxtG"/>
              <w:suppressAutoHyphens w:val="0"/>
              <w:spacing w:before="40" w:after="40" w:line="220" w:lineRule="exact"/>
              <w:ind w:left="0" w:right="0"/>
              <w:jc w:val="right"/>
              <w:rPr>
                <w:sz w:val="18"/>
                <w:lang w:val="en-US"/>
              </w:rPr>
            </w:pPr>
            <w:r w:rsidRPr="00222917">
              <w:rPr>
                <w:sz w:val="18"/>
                <w:lang w:val="en-US"/>
              </w:rPr>
              <w:t>6</w:t>
            </w:r>
          </w:p>
        </w:tc>
        <w:tc>
          <w:tcPr>
            <w:tcW w:w="851" w:type="dxa"/>
            <w:shd w:val="clear" w:color="auto" w:fill="auto"/>
            <w:tcMar>
              <w:top w:w="28" w:type="dxa"/>
              <w:left w:w="28" w:type="dxa"/>
              <w:bottom w:w="28" w:type="dxa"/>
              <w:right w:w="28" w:type="dxa"/>
            </w:tcMar>
            <w:vAlign w:val="bottom"/>
          </w:tcPr>
          <w:p w:rsidR="002D5BB0" w:rsidRPr="00222917" w:rsidRDefault="002D5BB0" w:rsidP="00F71A43">
            <w:pPr>
              <w:pStyle w:val="SingleTxtG"/>
              <w:suppressAutoHyphens w:val="0"/>
              <w:spacing w:before="40" w:after="40" w:line="220" w:lineRule="exact"/>
              <w:ind w:left="0" w:right="0"/>
              <w:jc w:val="right"/>
              <w:rPr>
                <w:sz w:val="18"/>
                <w:lang w:val="en-US"/>
              </w:rPr>
            </w:pPr>
            <w:r w:rsidRPr="00222917">
              <w:rPr>
                <w:sz w:val="18"/>
                <w:lang w:val="en-US"/>
              </w:rPr>
              <w:t>16</w:t>
            </w:r>
          </w:p>
        </w:tc>
        <w:tc>
          <w:tcPr>
            <w:tcW w:w="851" w:type="dxa"/>
            <w:shd w:val="clear" w:color="auto" w:fill="auto"/>
            <w:tcMar>
              <w:top w:w="28" w:type="dxa"/>
              <w:left w:w="28" w:type="dxa"/>
              <w:bottom w:w="28" w:type="dxa"/>
              <w:right w:w="28" w:type="dxa"/>
            </w:tcMar>
            <w:vAlign w:val="bottom"/>
          </w:tcPr>
          <w:p w:rsidR="002D5BB0" w:rsidRPr="00222917" w:rsidRDefault="002D5BB0" w:rsidP="00F71A43">
            <w:pPr>
              <w:pStyle w:val="SingleTxtG"/>
              <w:suppressAutoHyphens w:val="0"/>
              <w:spacing w:before="40" w:after="40" w:line="220" w:lineRule="exact"/>
              <w:ind w:left="0" w:right="0"/>
              <w:jc w:val="right"/>
              <w:rPr>
                <w:sz w:val="18"/>
                <w:lang w:val="en-US"/>
              </w:rPr>
            </w:pPr>
            <w:r w:rsidRPr="00222917">
              <w:rPr>
                <w:sz w:val="18"/>
                <w:lang w:val="en-US"/>
              </w:rPr>
              <w:t>8</w:t>
            </w:r>
          </w:p>
        </w:tc>
        <w:tc>
          <w:tcPr>
            <w:tcW w:w="851" w:type="dxa"/>
            <w:shd w:val="clear" w:color="auto" w:fill="auto"/>
            <w:tcMar>
              <w:top w:w="28" w:type="dxa"/>
              <w:left w:w="28" w:type="dxa"/>
              <w:bottom w:w="28" w:type="dxa"/>
              <w:right w:w="28" w:type="dxa"/>
            </w:tcMar>
            <w:vAlign w:val="bottom"/>
          </w:tcPr>
          <w:p w:rsidR="002D5BB0" w:rsidRPr="00222917" w:rsidRDefault="002D5BB0" w:rsidP="00F71A43">
            <w:pPr>
              <w:pStyle w:val="SingleTxtG"/>
              <w:suppressAutoHyphens w:val="0"/>
              <w:spacing w:before="40" w:after="40" w:line="220" w:lineRule="exact"/>
              <w:ind w:left="0" w:right="0"/>
              <w:jc w:val="right"/>
              <w:rPr>
                <w:sz w:val="18"/>
                <w:lang w:val="en-US"/>
              </w:rPr>
            </w:pPr>
            <w:r w:rsidRPr="00222917">
              <w:rPr>
                <w:sz w:val="18"/>
                <w:lang w:val="en-US"/>
              </w:rPr>
              <w:t>14</w:t>
            </w:r>
          </w:p>
        </w:tc>
        <w:tc>
          <w:tcPr>
            <w:tcW w:w="851" w:type="dxa"/>
            <w:shd w:val="clear" w:color="auto" w:fill="auto"/>
            <w:tcMar>
              <w:top w:w="28" w:type="dxa"/>
              <w:left w:w="28" w:type="dxa"/>
              <w:bottom w:w="28" w:type="dxa"/>
              <w:right w:w="28" w:type="dxa"/>
            </w:tcMar>
            <w:vAlign w:val="bottom"/>
          </w:tcPr>
          <w:p w:rsidR="002D5BB0" w:rsidRPr="00222917" w:rsidRDefault="002D5BB0" w:rsidP="00F71A43">
            <w:pPr>
              <w:pStyle w:val="SingleTxtG"/>
              <w:suppressAutoHyphens w:val="0"/>
              <w:spacing w:before="40" w:after="40" w:line="220" w:lineRule="exact"/>
              <w:ind w:left="0" w:right="0"/>
              <w:jc w:val="right"/>
              <w:rPr>
                <w:sz w:val="18"/>
                <w:lang w:val="en-US"/>
              </w:rPr>
            </w:pPr>
            <w:r w:rsidRPr="00222917">
              <w:rPr>
                <w:sz w:val="18"/>
                <w:lang w:val="en-US"/>
              </w:rPr>
              <w:t>15</w:t>
            </w:r>
          </w:p>
        </w:tc>
        <w:tc>
          <w:tcPr>
            <w:tcW w:w="851" w:type="dxa"/>
            <w:shd w:val="clear" w:color="auto" w:fill="auto"/>
            <w:tcMar>
              <w:top w:w="28" w:type="dxa"/>
              <w:left w:w="28" w:type="dxa"/>
              <w:bottom w:w="28" w:type="dxa"/>
              <w:right w:w="28" w:type="dxa"/>
            </w:tcMar>
            <w:vAlign w:val="bottom"/>
          </w:tcPr>
          <w:p w:rsidR="002D5BB0" w:rsidRPr="00222917" w:rsidRDefault="002D5BB0" w:rsidP="00F71A43">
            <w:pPr>
              <w:pStyle w:val="SingleTxtG"/>
              <w:suppressAutoHyphens w:val="0"/>
              <w:spacing w:before="40" w:after="40" w:line="220" w:lineRule="exact"/>
              <w:ind w:left="0" w:right="0"/>
              <w:jc w:val="right"/>
              <w:rPr>
                <w:sz w:val="18"/>
                <w:lang w:val="en-US"/>
              </w:rPr>
            </w:pPr>
            <w:r w:rsidRPr="00222917">
              <w:rPr>
                <w:sz w:val="18"/>
                <w:lang w:val="en-US"/>
              </w:rPr>
              <w:t>30</w:t>
            </w:r>
          </w:p>
        </w:tc>
        <w:tc>
          <w:tcPr>
            <w:tcW w:w="851" w:type="dxa"/>
            <w:shd w:val="clear" w:color="auto" w:fill="auto"/>
            <w:vAlign w:val="bottom"/>
          </w:tcPr>
          <w:p w:rsidR="002D5BB0" w:rsidRPr="00222917" w:rsidRDefault="002D5BB0" w:rsidP="00F71A43">
            <w:pPr>
              <w:pStyle w:val="SingleTxtG"/>
              <w:suppressAutoHyphens w:val="0"/>
              <w:spacing w:before="40" w:after="40" w:line="220" w:lineRule="exact"/>
              <w:ind w:left="0" w:right="0"/>
              <w:jc w:val="right"/>
              <w:rPr>
                <w:sz w:val="18"/>
                <w:lang w:val="en-US"/>
              </w:rPr>
            </w:pPr>
            <w:r w:rsidRPr="00222917">
              <w:rPr>
                <w:sz w:val="18"/>
                <w:lang w:val="en-US"/>
              </w:rPr>
              <w:t>51</w:t>
            </w:r>
          </w:p>
        </w:tc>
      </w:tr>
      <w:tr w:rsidR="001D2686" w:rsidRPr="00222917" w:rsidTr="0091755F">
        <w:tc>
          <w:tcPr>
            <w:tcW w:w="1418" w:type="dxa"/>
            <w:tcBorders>
              <w:bottom w:val="single" w:sz="12" w:space="0" w:color="auto"/>
            </w:tcBorders>
            <w:shd w:val="clear" w:color="auto" w:fill="auto"/>
            <w:tcMar>
              <w:top w:w="28" w:type="dxa"/>
              <w:left w:w="28" w:type="dxa"/>
              <w:bottom w:w="28" w:type="dxa"/>
              <w:right w:w="28" w:type="dxa"/>
            </w:tcMar>
          </w:tcPr>
          <w:p w:rsidR="002D5BB0" w:rsidRPr="00222917" w:rsidRDefault="002D5BB0" w:rsidP="00F71A43">
            <w:pPr>
              <w:pStyle w:val="SingleTxtG"/>
              <w:suppressAutoHyphens w:val="0"/>
              <w:spacing w:before="40" w:after="40" w:line="220" w:lineRule="exact"/>
              <w:ind w:left="0" w:right="0"/>
              <w:jc w:val="left"/>
              <w:rPr>
                <w:sz w:val="18"/>
                <w:lang w:val="en-US"/>
              </w:rPr>
            </w:pPr>
            <w:r w:rsidRPr="00222917">
              <w:rPr>
                <w:sz w:val="18"/>
                <w:lang w:val="en-US"/>
              </w:rPr>
              <w:t>Cancelled</w:t>
            </w:r>
          </w:p>
        </w:tc>
        <w:tc>
          <w:tcPr>
            <w:tcW w:w="851" w:type="dxa"/>
            <w:tcBorders>
              <w:bottom w:val="single" w:sz="12" w:space="0" w:color="auto"/>
            </w:tcBorders>
            <w:shd w:val="clear" w:color="auto" w:fill="auto"/>
            <w:tcMar>
              <w:top w:w="28" w:type="dxa"/>
              <w:left w:w="28" w:type="dxa"/>
              <w:bottom w:w="28" w:type="dxa"/>
              <w:right w:w="28" w:type="dxa"/>
            </w:tcMar>
            <w:vAlign w:val="bottom"/>
          </w:tcPr>
          <w:p w:rsidR="002D5BB0" w:rsidRPr="00222917" w:rsidRDefault="002D5BB0" w:rsidP="00F71A43">
            <w:pPr>
              <w:pStyle w:val="SingleTxtG"/>
              <w:suppressAutoHyphens w:val="0"/>
              <w:spacing w:before="40" w:after="40" w:line="220" w:lineRule="exact"/>
              <w:ind w:left="0" w:right="0"/>
              <w:jc w:val="right"/>
              <w:rPr>
                <w:sz w:val="18"/>
                <w:lang w:val="en-US"/>
              </w:rPr>
            </w:pPr>
          </w:p>
        </w:tc>
        <w:tc>
          <w:tcPr>
            <w:tcW w:w="851" w:type="dxa"/>
            <w:tcBorders>
              <w:bottom w:val="single" w:sz="12" w:space="0" w:color="auto"/>
            </w:tcBorders>
            <w:shd w:val="clear" w:color="auto" w:fill="auto"/>
            <w:tcMar>
              <w:top w:w="28" w:type="dxa"/>
              <w:left w:w="28" w:type="dxa"/>
              <w:bottom w:w="28" w:type="dxa"/>
              <w:right w:w="28" w:type="dxa"/>
            </w:tcMar>
            <w:vAlign w:val="bottom"/>
          </w:tcPr>
          <w:p w:rsidR="002D5BB0" w:rsidRPr="00222917" w:rsidRDefault="002D5BB0" w:rsidP="00F71A43">
            <w:pPr>
              <w:pStyle w:val="SingleTxtG"/>
              <w:suppressAutoHyphens w:val="0"/>
              <w:spacing w:before="40" w:after="40" w:line="220" w:lineRule="exact"/>
              <w:ind w:left="0" w:right="0"/>
              <w:jc w:val="right"/>
              <w:rPr>
                <w:sz w:val="18"/>
                <w:lang w:val="en-US"/>
              </w:rPr>
            </w:pPr>
          </w:p>
        </w:tc>
        <w:tc>
          <w:tcPr>
            <w:tcW w:w="851" w:type="dxa"/>
            <w:tcBorders>
              <w:bottom w:val="single" w:sz="12" w:space="0" w:color="auto"/>
            </w:tcBorders>
            <w:shd w:val="clear" w:color="auto" w:fill="auto"/>
            <w:tcMar>
              <w:top w:w="28" w:type="dxa"/>
              <w:left w:w="28" w:type="dxa"/>
              <w:bottom w:w="28" w:type="dxa"/>
              <w:right w:w="28" w:type="dxa"/>
            </w:tcMar>
            <w:vAlign w:val="bottom"/>
          </w:tcPr>
          <w:p w:rsidR="002D5BB0" w:rsidRPr="00222917" w:rsidRDefault="002D5BB0" w:rsidP="00F71A43">
            <w:pPr>
              <w:pStyle w:val="SingleTxtG"/>
              <w:suppressAutoHyphens w:val="0"/>
              <w:spacing w:before="40" w:after="40" w:line="220" w:lineRule="exact"/>
              <w:ind w:left="0" w:right="0"/>
              <w:jc w:val="right"/>
              <w:rPr>
                <w:sz w:val="18"/>
                <w:lang w:val="en-US"/>
              </w:rPr>
            </w:pPr>
          </w:p>
        </w:tc>
        <w:tc>
          <w:tcPr>
            <w:tcW w:w="851" w:type="dxa"/>
            <w:tcBorders>
              <w:bottom w:val="single" w:sz="12" w:space="0" w:color="auto"/>
            </w:tcBorders>
            <w:shd w:val="clear" w:color="auto" w:fill="auto"/>
            <w:tcMar>
              <w:top w:w="28" w:type="dxa"/>
              <w:left w:w="28" w:type="dxa"/>
              <w:bottom w:w="28" w:type="dxa"/>
              <w:right w:w="28" w:type="dxa"/>
            </w:tcMar>
            <w:vAlign w:val="bottom"/>
          </w:tcPr>
          <w:p w:rsidR="002D5BB0" w:rsidRPr="00222917" w:rsidRDefault="002D5BB0" w:rsidP="00F71A43">
            <w:pPr>
              <w:pStyle w:val="SingleTxtG"/>
              <w:suppressAutoHyphens w:val="0"/>
              <w:spacing w:before="40" w:after="40" w:line="220" w:lineRule="exact"/>
              <w:ind w:left="0" w:right="0"/>
              <w:jc w:val="right"/>
              <w:rPr>
                <w:sz w:val="18"/>
                <w:lang w:val="en-US"/>
              </w:rPr>
            </w:pPr>
            <w:r w:rsidRPr="00222917">
              <w:rPr>
                <w:sz w:val="18"/>
                <w:lang w:val="en-US"/>
              </w:rPr>
              <w:t>2</w:t>
            </w:r>
          </w:p>
        </w:tc>
        <w:tc>
          <w:tcPr>
            <w:tcW w:w="851" w:type="dxa"/>
            <w:tcBorders>
              <w:bottom w:val="single" w:sz="12" w:space="0" w:color="auto"/>
            </w:tcBorders>
            <w:shd w:val="clear" w:color="auto" w:fill="auto"/>
            <w:tcMar>
              <w:top w:w="28" w:type="dxa"/>
              <w:left w:w="28" w:type="dxa"/>
              <w:bottom w:w="28" w:type="dxa"/>
              <w:right w:w="28" w:type="dxa"/>
            </w:tcMar>
            <w:vAlign w:val="bottom"/>
          </w:tcPr>
          <w:p w:rsidR="002D5BB0" w:rsidRPr="00222917" w:rsidRDefault="002D5BB0" w:rsidP="00F71A43">
            <w:pPr>
              <w:pStyle w:val="SingleTxtG"/>
              <w:suppressAutoHyphens w:val="0"/>
              <w:spacing w:before="40" w:after="40" w:line="220" w:lineRule="exact"/>
              <w:ind w:left="0" w:right="0"/>
              <w:jc w:val="right"/>
              <w:rPr>
                <w:sz w:val="18"/>
                <w:lang w:val="en-US"/>
              </w:rPr>
            </w:pPr>
            <w:r w:rsidRPr="00222917">
              <w:rPr>
                <w:sz w:val="18"/>
                <w:lang w:val="en-US"/>
              </w:rPr>
              <w:t>1</w:t>
            </w:r>
          </w:p>
        </w:tc>
        <w:tc>
          <w:tcPr>
            <w:tcW w:w="851" w:type="dxa"/>
            <w:tcBorders>
              <w:bottom w:val="single" w:sz="12" w:space="0" w:color="auto"/>
            </w:tcBorders>
            <w:shd w:val="clear" w:color="auto" w:fill="auto"/>
            <w:tcMar>
              <w:top w:w="28" w:type="dxa"/>
              <w:left w:w="28" w:type="dxa"/>
              <w:bottom w:w="28" w:type="dxa"/>
              <w:right w:w="28" w:type="dxa"/>
            </w:tcMar>
            <w:vAlign w:val="bottom"/>
          </w:tcPr>
          <w:p w:rsidR="002D5BB0" w:rsidRPr="00222917" w:rsidRDefault="002D5BB0" w:rsidP="00F71A43">
            <w:pPr>
              <w:pStyle w:val="SingleTxtG"/>
              <w:suppressAutoHyphens w:val="0"/>
              <w:spacing w:before="40" w:after="40" w:line="220" w:lineRule="exact"/>
              <w:ind w:left="0" w:right="0"/>
              <w:jc w:val="right"/>
              <w:rPr>
                <w:sz w:val="18"/>
                <w:lang w:val="en-US"/>
              </w:rPr>
            </w:pPr>
          </w:p>
        </w:tc>
        <w:tc>
          <w:tcPr>
            <w:tcW w:w="851" w:type="dxa"/>
            <w:tcBorders>
              <w:bottom w:val="single" w:sz="12" w:space="0" w:color="auto"/>
            </w:tcBorders>
            <w:shd w:val="clear" w:color="auto" w:fill="auto"/>
            <w:vAlign w:val="bottom"/>
          </w:tcPr>
          <w:p w:rsidR="002D5BB0" w:rsidRPr="00222917" w:rsidRDefault="002D5BB0" w:rsidP="00F71A43">
            <w:pPr>
              <w:pStyle w:val="SingleTxtG"/>
              <w:suppressAutoHyphens w:val="0"/>
              <w:spacing w:before="40" w:after="40" w:line="220" w:lineRule="exact"/>
              <w:ind w:left="0" w:right="0"/>
              <w:jc w:val="right"/>
              <w:rPr>
                <w:sz w:val="18"/>
                <w:lang w:val="en-US"/>
              </w:rPr>
            </w:pPr>
            <w:r w:rsidRPr="00222917">
              <w:rPr>
                <w:sz w:val="18"/>
                <w:lang w:val="en-US"/>
              </w:rPr>
              <w:t>1</w:t>
            </w:r>
          </w:p>
        </w:tc>
      </w:tr>
    </w:tbl>
    <w:p w:rsidR="002D5BB0" w:rsidRPr="00222917" w:rsidRDefault="00547908" w:rsidP="00547908">
      <w:pPr>
        <w:pStyle w:val="SingleTxtG"/>
        <w:spacing w:before="240"/>
        <w:rPr>
          <w:lang w:val="en-US"/>
        </w:rPr>
      </w:pPr>
      <w:r w:rsidRPr="00222917">
        <w:rPr>
          <w:lang w:val="en-US"/>
        </w:rPr>
        <w:t>219.</w:t>
      </w:r>
      <w:r w:rsidRPr="00222917">
        <w:rPr>
          <w:lang w:val="en-US"/>
        </w:rPr>
        <w:tab/>
      </w:r>
      <w:r w:rsidR="002D5BB0" w:rsidRPr="00222917">
        <w:rPr>
          <w:lang w:val="en-US"/>
        </w:rPr>
        <w:t xml:space="preserve">Even when the objection of the foreigner who received the deportation order is deemed groundless, if there exist extenuating circumstances deemed to require the foreigner in question to sojourn in the Republic of Korea, the Minister of Justice can permit his/her sojourn based on </w:t>
      </w:r>
      <w:r w:rsidR="002D5BB0" w:rsidRPr="00222917">
        <w:rPr>
          <w:bCs/>
          <w:lang w:val="en-US"/>
        </w:rPr>
        <w:t>humanitarian</w:t>
      </w:r>
      <w:r w:rsidR="002D5BB0" w:rsidRPr="00222917">
        <w:rPr>
          <w:lang w:val="en-US"/>
        </w:rPr>
        <w:t xml:space="preserve"> considerations under the </w:t>
      </w:r>
      <w:r w:rsidR="002D5BB0" w:rsidRPr="004950CA">
        <w:rPr>
          <w:iCs/>
          <w:lang w:val="en-US"/>
        </w:rPr>
        <w:t>Immigration Control Act</w:t>
      </w:r>
      <w:r w:rsidR="00A94611" w:rsidRPr="004950CA">
        <w:rPr>
          <w:iCs/>
          <w:lang w:val="en-US"/>
        </w:rPr>
        <w:t xml:space="preserve"> </w:t>
      </w:r>
      <w:r w:rsidR="00A94611" w:rsidRPr="00222917">
        <w:rPr>
          <w:lang w:val="en-US"/>
        </w:rPr>
        <w:t>(</w:t>
      </w:r>
      <w:r w:rsidR="00681EC0" w:rsidRPr="00222917">
        <w:rPr>
          <w:lang w:val="en-US"/>
        </w:rPr>
        <w:t>a</w:t>
      </w:r>
      <w:r w:rsidR="00A94611" w:rsidRPr="00222917">
        <w:rPr>
          <w:lang w:val="en-US"/>
        </w:rPr>
        <w:t>rticle 61 </w:t>
      </w:r>
      <w:r w:rsidR="002D5BB0" w:rsidRPr="00222917">
        <w:rPr>
          <w:lang w:val="en-US"/>
        </w:rPr>
        <w:t>(1)). When the foreigner who received the deportation order cannot be repatriated for reasons such as rejection of his/her entry by another country, he/she is to be released from custody unde</w:t>
      </w:r>
      <w:r w:rsidR="00A94611" w:rsidRPr="00222917">
        <w:rPr>
          <w:lang w:val="en-US"/>
        </w:rPr>
        <w:t>r necessary conditions (</w:t>
      </w:r>
      <w:r w:rsidR="00681EC0" w:rsidRPr="00222917">
        <w:rPr>
          <w:lang w:val="en-US"/>
        </w:rPr>
        <w:t>a</w:t>
      </w:r>
      <w:r w:rsidR="00A94611" w:rsidRPr="00222917">
        <w:rPr>
          <w:lang w:val="en-US"/>
        </w:rPr>
        <w:t>rticle </w:t>
      </w:r>
      <w:r w:rsidR="002D5BB0" w:rsidRPr="00222917">
        <w:rPr>
          <w:lang w:val="en-US"/>
        </w:rPr>
        <w:t>63</w:t>
      </w:r>
      <w:r w:rsidR="00A94611" w:rsidRPr="00222917">
        <w:rPr>
          <w:lang w:val="en-US"/>
        </w:rPr>
        <w:t> </w:t>
      </w:r>
      <w:r w:rsidR="002D5BB0" w:rsidRPr="00222917">
        <w:rPr>
          <w:lang w:val="en-US"/>
        </w:rPr>
        <w:t xml:space="preserve">(2)). </w:t>
      </w:r>
    </w:p>
    <w:p w:rsidR="002D5BB0" w:rsidRPr="00222917" w:rsidRDefault="002C70E9" w:rsidP="002C70E9">
      <w:pPr>
        <w:pStyle w:val="H23G"/>
        <w:rPr>
          <w:lang w:val="en-US"/>
        </w:rPr>
      </w:pPr>
      <w:bookmarkStart w:id="165" w:name="_Toc307504104"/>
      <w:bookmarkStart w:id="166" w:name="_Toc336435876"/>
      <w:r w:rsidRPr="00222917">
        <w:rPr>
          <w:lang w:val="en-US"/>
        </w:rPr>
        <w:tab/>
      </w:r>
      <w:r w:rsidRPr="00222917">
        <w:rPr>
          <w:lang w:val="en-US"/>
        </w:rPr>
        <w:tab/>
      </w:r>
      <w:r w:rsidR="002D5BB0" w:rsidRPr="00222917">
        <w:rPr>
          <w:lang w:val="en-US"/>
        </w:rPr>
        <w:t>Improvement of Refugees Status Determination System and Their Treatment</w:t>
      </w:r>
      <w:bookmarkEnd w:id="165"/>
      <w:bookmarkEnd w:id="166"/>
    </w:p>
    <w:p w:rsidR="002D5BB0" w:rsidRPr="00222917" w:rsidRDefault="00547908" w:rsidP="00547908">
      <w:pPr>
        <w:pStyle w:val="SingleTxtG"/>
        <w:rPr>
          <w:lang w:val="en-US"/>
        </w:rPr>
      </w:pPr>
      <w:r w:rsidRPr="00222917">
        <w:rPr>
          <w:lang w:val="en-US"/>
        </w:rPr>
        <w:t>220.</w:t>
      </w:r>
      <w:r w:rsidRPr="00222917">
        <w:rPr>
          <w:lang w:val="en-US"/>
        </w:rPr>
        <w:tab/>
      </w:r>
      <w:r w:rsidR="002D5BB0" w:rsidRPr="00222917">
        <w:rPr>
          <w:lang w:val="en-US"/>
        </w:rPr>
        <w:t xml:space="preserve">The </w:t>
      </w:r>
      <w:r w:rsidR="002D5BB0" w:rsidRPr="00222917">
        <w:rPr>
          <w:iCs/>
          <w:lang w:val="en-US"/>
        </w:rPr>
        <w:t xml:space="preserve">Immigration Control Act </w:t>
      </w:r>
      <w:r w:rsidR="002D5BB0" w:rsidRPr="00222917">
        <w:rPr>
          <w:lang w:val="en-US"/>
        </w:rPr>
        <w:t>was amended on 19 December 2008 to respond to the recommendations made by the National Human Rights Commission of Korea to improve policies on refugees’ human rights in June 2006, and the requests made by refugee support organizations to improve the refuge</w:t>
      </w:r>
      <w:r w:rsidR="00EC46D5" w:rsidRPr="00222917">
        <w:rPr>
          <w:lang w:val="en-US"/>
        </w:rPr>
        <w:t>e</w:t>
      </w:r>
      <w:r w:rsidR="002D5BB0" w:rsidRPr="00222917">
        <w:rPr>
          <w:lang w:val="en-US"/>
        </w:rPr>
        <w:t xml:space="preserve"> recognition system and the treatment of refugees. In</w:t>
      </w:r>
      <w:r w:rsidR="002C70E9" w:rsidRPr="00222917">
        <w:rPr>
          <w:lang w:val="en-US"/>
        </w:rPr>
        <w:t> </w:t>
      </w:r>
      <w:r w:rsidR="002D5BB0" w:rsidRPr="00222917">
        <w:rPr>
          <w:lang w:val="en-US"/>
        </w:rPr>
        <w:t xml:space="preserve">accordance with the Act, foreigners recognized as refugees by </w:t>
      </w:r>
      <w:smartTag w:uri="urn:schemas-microsoft-com:office:smarttags" w:element="place">
        <w:smartTag w:uri="urn:schemas-microsoft-com:office:smarttags" w:element="country-region">
          <w:r w:rsidR="002D5BB0" w:rsidRPr="00222917">
            <w:rPr>
              <w:lang w:val="en-US"/>
            </w:rPr>
            <w:t>Korea</w:t>
          </w:r>
        </w:smartTag>
      </w:smartTag>
      <w:r w:rsidR="002D5BB0" w:rsidRPr="00222917">
        <w:rPr>
          <w:lang w:val="en-US"/>
        </w:rPr>
        <w:t xml:space="preserve"> receive the status and treatment as stipulated by the Refugee Convention. And foreigners who have not been recognized as refugees but are deemed to require humanitarian consideration are permitted to sojourn in </w:t>
      </w:r>
      <w:smartTag w:uri="urn:schemas-microsoft-com:office:smarttags" w:element="place">
        <w:smartTag w:uri="urn:schemas-microsoft-com:office:smarttags" w:element="country-region">
          <w:r w:rsidR="002D5BB0" w:rsidRPr="00222917">
            <w:rPr>
              <w:lang w:val="en-US"/>
            </w:rPr>
            <w:t>Korea</w:t>
          </w:r>
        </w:smartTag>
      </w:smartTag>
      <w:r w:rsidR="002D5BB0" w:rsidRPr="00222917">
        <w:rPr>
          <w:lang w:val="en-US"/>
        </w:rPr>
        <w:t>. Foreigners who have applied for refugee status and waited for the decision thereon for a given period ar</w:t>
      </w:r>
      <w:r w:rsidR="00A94611" w:rsidRPr="00222917">
        <w:rPr>
          <w:lang w:val="en-US"/>
        </w:rPr>
        <w:t>e allowed to take jobs (</w:t>
      </w:r>
      <w:r w:rsidR="00681EC0" w:rsidRPr="00222917">
        <w:rPr>
          <w:lang w:val="en-US"/>
        </w:rPr>
        <w:t>a</w:t>
      </w:r>
      <w:r w:rsidR="00A94611" w:rsidRPr="00222917">
        <w:rPr>
          <w:lang w:val="en-US"/>
        </w:rPr>
        <w:t>rticle </w:t>
      </w:r>
      <w:r w:rsidR="002D5BB0" w:rsidRPr="00222917">
        <w:rPr>
          <w:lang w:val="en-US"/>
        </w:rPr>
        <w:t>76-8). The legal basis for establishing refugee support facilities to efficiently support foreigners who have applied for refugee status, or have been recognized a</w:t>
      </w:r>
      <w:r w:rsidR="00A94611" w:rsidRPr="00222917">
        <w:rPr>
          <w:lang w:val="en-US"/>
        </w:rPr>
        <w:t>s refugees is provided (</w:t>
      </w:r>
      <w:r w:rsidR="00681EC0" w:rsidRPr="00222917">
        <w:rPr>
          <w:lang w:val="en-US"/>
        </w:rPr>
        <w:t>a</w:t>
      </w:r>
      <w:r w:rsidR="00A94611" w:rsidRPr="00222917">
        <w:rPr>
          <w:lang w:val="en-US"/>
        </w:rPr>
        <w:t>rticle </w:t>
      </w:r>
      <w:r w:rsidR="002D5BB0" w:rsidRPr="00222917">
        <w:rPr>
          <w:lang w:val="en-US"/>
        </w:rPr>
        <w:t xml:space="preserve">76-9). As of 2010, the Ministry of Justice is pursuing establishment of the refugee support center for those who apply for refugee status based on such legal basis. </w:t>
      </w:r>
    </w:p>
    <w:p w:rsidR="002D5BB0" w:rsidRPr="00222917" w:rsidRDefault="00547908" w:rsidP="00547908">
      <w:pPr>
        <w:pStyle w:val="SingleTxtG"/>
        <w:rPr>
          <w:lang w:val="en-US"/>
        </w:rPr>
      </w:pPr>
      <w:r w:rsidRPr="00222917">
        <w:rPr>
          <w:lang w:val="en-US"/>
        </w:rPr>
        <w:t>221.</w:t>
      </w:r>
      <w:r w:rsidRPr="00222917">
        <w:rPr>
          <w:lang w:val="en-US"/>
        </w:rPr>
        <w:tab/>
      </w:r>
      <w:r w:rsidR="002D5BB0" w:rsidRPr="00222917">
        <w:rPr>
          <w:lang w:val="en-US"/>
        </w:rPr>
        <w:t>The Ministry of Justice established the Nationality and Refuge Division on 3</w:t>
      </w:r>
      <w:r w:rsidR="002C70E9" w:rsidRPr="00222917">
        <w:rPr>
          <w:lang w:val="en-US"/>
        </w:rPr>
        <w:t> </w:t>
      </w:r>
      <w:r w:rsidR="002D5BB0" w:rsidRPr="00222917">
        <w:rPr>
          <w:lang w:val="en-US"/>
        </w:rPr>
        <w:t xml:space="preserve">February 2006 to deal with refugee affairs, and appointed a specialist having legal expertise from outside as the head of the division, enhancing the Ministry’s competency in refugee affairs. On 25 May 2009, the Ministry increased the number of personnel working on refugee affairs in the division from two to four, and established the Nationality and Refugee Division in the Seoul Immigration Office, where the number of the staff members for refugees increased from four to seven. With the introduction of the on-line refugee review system coupled with such an increase in manpower, the refugee review period was considerably shortened from 42 months at the end of 2008 to 12 months at the end of 2009, improving promptness and efficiency of the refugee status determination process. </w:t>
      </w:r>
    </w:p>
    <w:p w:rsidR="002D5BB0" w:rsidRPr="00222917" w:rsidRDefault="002C70E9" w:rsidP="002C70E9">
      <w:pPr>
        <w:pStyle w:val="H23G"/>
        <w:rPr>
          <w:b w:val="0"/>
          <w:sz w:val="16"/>
          <w:szCs w:val="16"/>
          <w:lang w:val="en-US"/>
        </w:rPr>
      </w:pPr>
      <w:r w:rsidRPr="00222917">
        <w:rPr>
          <w:lang w:val="en-US"/>
        </w:rPr>
        <w:tab/>
      </w:r>
      <w:r w:rsidRPr="00222917">
        <w:rPr>
          <w:lang w:val="en-US"/>
        </w:rPr>
        <w:tab/>
      </w:r>
      <w:r w:rsidR="002D5BB0" w:rsidRPr="00222917">
        <w:rPr>
          <w:lang w:val="en-US"/>
        </w:rPr>
        <w:t>Application for Refugee Status</w:t>
      </w:r>
      <w:r w:rsidRPr="00222917">
        <w:rPr>
          <w:lang w:val="en-US"/>
        </w:rPr>
        <w:br/>
      </w:r>
      <w:r w:rsidR="002D5BB0" w:rsidRPr="00222917">
        <w:rPr>
          <w:b w:val="0"/>
          <w:sz w:val="16"/>
          <w:szCs w:val="16"/>
          <w:lang w:val="en-US"/>
        </w:rPr>
        <w:t>(Period: 2004-2010; in persons)</w:t>
      </w:r>
    </w:p>
    <w:tbl>
      <w:tblPr>
        <w:tblW w:w="0" w:type="auto"/>
        <w:tblInd w:w="1134" w:type="dxa"/>
        <w:tblBorders>
          <w:top w:val="single" w:sz="4" w:space="0" w:color="auto"/>
          <w:bottom w:val="single" w:sz="12" w:space="0" w:color="auto"/>
          <w:insideH w:val="single" w:sz="12" w:space="0" w:color="auto"/>
        </w:tblBorders>
        <w:tblLayout w:type="fixed"/>
        <w:tblCellMar>
          <w:left w:w="0" w:type="dxa"/>
          <w:right w:w="0" w:type="dxa"/>
        </w:tblCellMar>
        <w:tblLook w:val="00A0"/>
      </w:tblPr>
      <w:tblGrid>
        <w:gridCol w:w="1701"/>
        <w:gridCol w:w="1134"/>
        <w:gridCol w:w="1134"/>
        <w:gridCol w:w="1134"/>
        <w:gridCol w:w="1134"/>
        <w:gridCol w:w="1134"/>
      </w:tblGrid>
      <w:tr w:rsidR="004D566A" w:rsidRPr="00222917" w:rsidTr="001811E8">
        <w:trPr>
          <w:trHeight w:val="467"/>
          <w:tblHeader/>
        </w:trPr>
        <w:tc>
          <w:tcPr>
            <w:tcW w:w="1701" w:type="dxa"/>
            <w:shd w:val="clear" w:color="auto" w:fill="auto"/>
            <w:tcMar>
              <w:top w:w="0" w:type="dxa"/>
              <w:left w:w="0" w:type="dxa"/>
              <w:bottom w:w="0" w:type="dxa"/>
              <w:right w:w="0" w:type="dxa"/>
            </w:tcMar>
            <w:vAlign w:val="bottom"/>
          </w:tcPr>
          <w:p w:rsidR="002D5BB0" w:rsidRPr="00222917" w:rsidRDefault="002C70E9" w:rsidP="002C70E9">
            <w:pPr>
              <w:pStyle w:val="SingleTxtG"/>
              <w:suppressAutoHyphens w:val="0"/>
              <w:spacing w:before="80" w:after="80" w:line="200" w:lineRule="exact"/>
              <w:ind w:left="0" w:right="0"/>
              <w:jc w:val="left"/>
              <w:rPr>
                <w:i/>
                <w:sz w:val="16"/>
                <w:lang w:val="en-US"/>
              </w:rPr>
            </w:pPr>
            <w:r w:rsidRPr="00222917">
              <w:rPr>
                <w:bCs/>
                <w:i/>
                <w:sz w:val="16"/>
                <w:lang w:val="en-US"/>
              </w:rPr>
              <w:t>Total number</w:t>
            </w:r>
            <w:r w:rsidRPr="00222917">
              <w:rPr>
                <w:bCs/>
                <w:i/>
                <w:sz w:val="16"/>
                <w:lang w:val="en-US"/>
              </w:rPr>
              <w:br/>
            </w:r>
            <w:r w:rsidR="002D5BB0" w:rsidRPr="00222917">
              <w:rPr>
                <w:bCs/>
                <w:i/>
                <w:sz w:val="16"/>
                <w:lang w:val="en-US"/>
              </w:rPr>
              <w:t>of applicants</w:t>
            </w:r>
          </w:p>
        </w:tc>
        <w:tc>
          <w:tcPr>
            <w:tcW w:w="1134" w:type="dxa"/>
            <w:shd w:val="clear" w:color="auto" w:fill="auto"/>
            <w:tcMar>
              <w:top w:w="0" w:type="dxa"/>
              <w:left w:w="0" w:type="dxa"/>
              <w:bottom w:w="0" w:type="dxa"/>
              <w:right w:w="0" w:type="dxa"/>
            </w:tcMar>
            <w:vAlign w:val="bottom"/>
          </w:tcPr>
          <w:p w:rsidR="002D5BB0" w:rsidRPr="00222917" w:rsidRDefault="002D5BB0" w:rsidP="002C70E9">
            <w:pPr>
              <w:pStyle w:val="SingleTxtG"/>
              <w:suppressAutoHyphens w:val="0"/>
              <w:spacing w:before="80" w:after="80" w:line="200" w:lineRule="exact"/>
              <w:ind w:left="0" w:right="0"/>
              <w:jc w:val="right"/>
              <w:rPr>
                <w:i/>
                <w:sz w:val="16"/>
                <w:lang w:val="en-US"/>
              </w:rPr>
            </w:pPr>
            <w:r w:rsidRPr="00222917">
              <w:rPr>
                <w:bCs/>
                <w:i/>
                <w:sz w:val="16"/>
                <w:lang w:val="en-US"/>
              </w:rPr>
              <w:t>Recognized</w:t>
            </w:r>
          </w:p>
        </w:tc>
        <w:tc>
          <w:tcPr>
            <w:tcW w:w="1134" w:type="dxa"/>
            <w:shd w:val="clear" w:color="auto" w:fill="auto"/>
            <w:tcMar>
              <w:top w:w="0" w:type="dxa"/>
              <w:left w:w="0" w:type="dxa"/>
              <w:bottom w:w="0" w:type="dxa"/>
              <w:right w:w="0" w:type="dxa"/>
            </w:tcMar>
            <w:vAlign w:val="bottom"/>
          </w:tcPr>
          <w:p w:rsidR="002D5BB0" w:rsidRPr="00222917" w:rsidRDefault="002D5BB0" w:rsidP="002C70E9">
            <w:pPr>
              <w:pStyle w:val="SingleTxtG"/>
              <w:suppressAutoHyphens w:val="0"/>
              <w:spacing w:before="80" w:after="80" w:line="200" w:lineRule="exact"/>
              <w:ind w:left="0" w:right="0"/>
              <w:jc w:val="right"/>
              <w:rPr>
                <w:i/>
                <w:sz w:val="16"/>
                <w:lang w:val="en-US"/>
              </w:rPr>
            </w:pPr>
            <w:r w:rsidRPr="00222917">
              <w:rPr>
                <w:bCs/>
                <w:i/>
                <w:sz w:val="16"/>
                <w:lang w:val="en-US"/>
              </w:rPr>
              <w:t>Humanitarian sojourn</w:t>
            </w:r>
          </w:p>
        </w:tc>
        <w:tc>
          <w:tcPr>
            <w:tcW w:w="1134" w:type="dxa"/>
            <w:shd w:val="clear" w:color="auto" w:fill="auto"/>
            <w:tcMar>
              <w:top w:w="0" w:type="dxa"/>
              <w:left w:w="0" w:type="dxa"/>
              <w:bottom w:w="0" w:type="dxa"/>
              <w:right w:w="0" w:type="dxa"/>
            </w:tcMar>
            <w:vAlign w:val="bottom"/>
          </w:tcPr>
          <w:p w:rsidR="002D5BB0" w:rsidRPr="00222917" w:rsidRDefault="002D5BB0" w:rsidP="002C70E9">
            <w:pPr>
              <w:pStyle w:val="SingleTxtG"/>
              <w:suppressAutoHyphens w:val="0"/>
              <w:spacing w:before="80" w:after="80" w:line="200" w:lineRule="exact"/>
              <w:ind w:left="0" w:right="0"/>
              <w:jc w:val="right"/>
              <w:rPr>
                <w:i/>
                <w:sz w:val="16"/>
                <w:lang w:val="en-US"/>
              </w:rPr>
            </w:pPr>
            <w:r w:rsidRPr="00222917">
              <w:rPr>
                <w:bCs/>
                <w:i/>
                <w:sz w:val="16"/>
                <w:lang w:val="en-US"/>
              </w:rPr>
              <w:t xml:space="preserve">Not </w:t>
            </w:r>
            <w:r w:rsidR="002C70E9" w:rsidRPr="00222917">
              <w:rPr>
                <w:bCs/>
                <w:i/>
                <w:sz w:val="16"/>
                <w:lang w:val="en-US"/>
              </w:rPr>
              <w:br/>
            </w:r>
            <w:r w:rsidRPr="00222917">
              <w:rPr>
                <w:bCs/>
                <w:i/>
                <w:sz w:val="16"/>
                <w:lang w:val="en-US"/>
              </w:rPr>
              <w:t>recognized</w:t>
            </w:r>
          </w:p>
        </w:tc>
        <w:tc>
          <w:tcPr>
            <w:tcW w:w="1134" w:type="dxa"/>
            <w:shd w:val="clear" w:color="auto" w:fill="auto"/>
            <w:tcMar>
              <w:top w:w="0" w:type="dxa"/>
              <w:left w:w="0" w:type="dxa"/>
              <w:bottom w:w="0" w:type="dxa"/>
              <w:right w:w="0" w:type="dxa"/>
            </w:tcMar>
            <w:vAlign w:val="bottom"/>
          </w:tcPr>
          <w:p w:rsidR="002D5BB0" w:rsidRPr="00222917" w:rsidRDefault="002D5BB0" w:rsidP="002C70E9">
            <w:pPr>
              <w:pStyle w:val="SingleTxtG"/>
              <w:suppressAutoHyphens w:val="0"/>
              <w:spacing w:before="80" w:after="80" w:line="200" w:lineRule="exact"/>
              <w:ind w:left="0" w:right="0"/>
              <w:jc w:val="right"/>
              <w:rPr>
                <w:i/>
                <w:sz w:val="16"/>
                <w:lang w:val="en-US"/>
              </w:rPr>
            </w:pPr>
            <w:r w:rsidRPr="00222917">
              <w:rPr>
                <w:bCs/>
                <w:i/>
                <w:sz w:val="16"/>
                <w:lang w:val="en-US"/>
              </w:rPr>
              <w:t xml:space="preserve">Withdrawn </w:t>
            </w:r>
            <w:r w:rsidR="002C70E9" w:rsidRPr="00222917">
              <w:rPr>
                <w:bCs/>
                <w:i/>
                <w:sz w:val="16"/>
                <w:lang w:val="en-US"/>
              </w:rPr>
              <w:br/>
            </w:r>
            <w:r w:rsidRPr="00222917">
              <w:rPr>
                <w:bCs/>
                <w:i/>
                <w:sz w:val="16"/>
                <w:lang w:val="en-US"/>
              </w:rPr>
              <w:t>by applicant</w:t>
            </w:r>
          </w:p>
        </w:tc>
        <w:tc>
          <w:tcPr>
            <w:tcW w:w="1134" w:type="dxa"/>
            <w:shd w:val="clear" w:color="auto" w:fill="auto"/>
            <w:tcMar>
              <w:top w:w="0" w:type="dxa"/>
              <w:left w:w="0" w:type="dxa"/>
              <w:bottom w:w="0" w:type="dxa"/>
              <w:right w:w="0" w:type="dxa"/>
            </w:tcMar>
            <w:vAlign w:val="bottom"/>
          </w:tcPr>
          <w:p w:rsidR="002D5BB0" w:rsidRPr="00222917" w:rsidRDefault="002C70E9" w:rsidP="002C70E9">
            <w:pPr>
              <w:pStyle w:val="SingleTxtG"/>
              <w:suppressAutoHyphens w:val="0"/>
              <w:spacing w:before="80" w:after="80" w:line="200" w:lineRule="exact"/>
              <w:ind w:left="0" w:right="0"/>
              <w:jc w:val="right"/>
              <w:rPr>
                <w:i/>
                <w:sz w:val="16"/>
                <w:lang w:val="en-US"/>
              </w:rPr>
            </w:pPr>
            <w:r w:rsidRPr="00222917">
              <w:rPr>
                <w:bCs/>
                <w:i/>
                <w:sz w:val="16"/>
                <w:lang w:val="en-US"/>
              </w:rPr>
              <w:t>Under</w:t>
            </w:r>
            <w:r w:rsidRPr="00222917">
              <w:rPr>
                <w:bCs/>
                <w:i/>
                <w:sz w:val="16"/>
                <w:lang w:val="en-US"/>
              </w:rPr>
              <w:br/>
            </w:r>
            <w:r w:rsidR="002D5BB0" w:rsidRPr="00222917">
              <w:rPr>
                <w:bCs/>
                <w:i/>
                <w:sz w:val="16"/>
                <w:lang w:val="en-US"/>
              </w:rPr>
              <w:t>review</w:t>
            </w:r>
          </w:p>
        </w:tc>
      </w:tr>
      <w:tr w:rsidR="004D566A" w:rsidRPr="00222917" w:rsidTr="001811E8">
        <w:tc>
          <w:tcPr>
            <w:tcW w:w="1701" w:type="dxa"/>
            <w:shd w:val="clear" w:color="auto" w:fill="auto"/>
            <w:tcMar>
              <w:top w:w="0" w:type="dxa"/>
              <w:left w:w="0" w:type="dxa"/>
              <w:bottom w:w="0" w:type="dxa"/>
              <w:right w:w="0" w:type="dxa"/>
            </w:tcMar>
          </w:tcPr>
          <w:p w:rsidR="002D5BB0" w:rsidRPr="00222917" w:rsidRDefault="002D5BB0" w:rsidP="002C70E9">
            <w:pPr>
              <w:pStyle w:val="SingleTxtG"/>
              <w:suppressAutoHyphens w:val="0"/>
              <w:spacing w:before="40" w:after="40" w:line="220" w:lineRule="exact"/>
              <w:ind w:left="0" w:right="0"/>
              <w:jc w:val="left"/>
              <w:rPr>
                <w:sz w:val="18"/>
                <w:lang w:val="en-US"/>
              </w:rPr>
            </w:pPr>
            <w:r w:rsidRPr="00222917">
              <w:rPr>
                <w:sz w:val="18"/>
                <w:lang w:val="en-US"/>
              </w:rPr>
              <w:t>2,915</w:t>
            </w:r>
          </w:p>
        </w:tc>
        <w:tc>
          <w:tcPr>
            <w:tcW w:w="1134" w:type="dxa"/>
            <w:shd w:val="clear" w:color="auto" w:fill="auto"/>
            <w:tcMar>
              <w:top w:w="0" w:type="dxa"/>
              <w:left w:w="0" w:type="dxa"/>
              <w:bottom w:w="0" w:type="dxa"/>
              <w:right w:w="0" w:type="dxa"/>
            </w:tcMar>
            <w:vAlign w:val="bottom"/>
          </w:tcPr>
          <w:p w:rsidR="002D5BB0" w:rsidRPr="00222917" w:rsidRDefault="002D5BB0" w:rsidP="002C70E9">
            <w:pPr>
              <w:pStyle w:val="SingleTxtG"/>
              <w:suppressAutoHyphens w:val="0"/>
              <w:spacing w:before="40" w:after="40" w:line="220" w:lineRule="exact"/>
              <w:ind w:left="0" w:right="0"/>
              <w:jc w:val="right"/>
              <w:rPr>
                <w:sz w:val="18"/>
                <w:lang w:val="en-US"/>
              </w:rPr>
            </w:pPr>
            <w:r w:rsidRPr="00222917">
              <w:rPr>
                <w:sz w:val="18"/>
                <w:lang w:val="en-US"/>
              </w:rPr>
              <w:t>222</w:t>
            </w:r>
          </w:p>
        </w:tc>
        <w:tc>
          <w:tcPr>
            <w:tcW w:w="1134" w:type="dxa"/>
            <w:shd w:val="clear" w:color="auto" w:fill="auto"/>
            <w:tcMar>
              <w:top w:w="0" w:type="dxa"/>
              <w:left w:w="0" w:type="dxa"/>
              <w:bottom w:w="0" w:type="dxa"/>
              <w:right w:w="0" w:type="dxa"/>
            </w:tcMar>
            <w:vAlign w:val="bottom"/>
          </w:tcPr>
          <w:p w:rsidR="002D5BB0" w:rsidRPr="00222917" w:rsidRDefault="002D5BB0" w:rsidP="002C70E9">
            <w:pPr>
              <w:pStyle w:val="SingleTxtG"/>
              <w:suppressAutoHyphens w:val="0"/>
              <w:spacing w:before="40" w:after="40" w:line="220" w:lineRule="exact"/>
              <w:ind w:left="0" w:right="0"/>
              <w:jc w:val="right"/>
              <w:rPr>
                <w:sz w:val="18"/>
                <w:lang w:val="en-US"/>
              </w:rPr>
            </w:pPr>
            <w:r w:rsidRPr="00222917">
              <w:rPr>
                <w:sz w:val="18"/>
                <w:lang w:val="en-US"/>
              </w:rPr>
              <w:t>136</w:t>
            </w:r>
          </w:p>
        </w:tc>
        <w:tc>
          <w:tcPr>
            <w:tcW w:w="1134" w:type="dxa"/>
            <w:shd w:val="clear" w:color="auto" w:fill="auto"/>
            <w:tcMar>
              <w:top w:w="0" w:type="dxa"/>
              <w:left w:w="0" w:type="dxa"/>
              <w:bottom w:w="0" w:type="dxa"/>
              <w:right w:w="0" w:type="dxa"/>
            </w:tcMar>
            <w:vAlign w:val="bottom"/>
          </w:tcPr>
          <w:p w:rsidR="002D5BB0" w:rsidRPr="00222917" w:rsidRDefault="002D5BB0" w:rsidP="002C70E9">
            <w:pPr>
              <w:pStyle w:val="SingleTxtG"/>
              <w:suppressAutoHyphens w:val="0"/>
              <w:spacing w:before="40" w:after="40" w:line="220" w:lineRule="exact"/>
              <w:ind w:left="0" w:right="0"/>
              <w:jc w:val="right"/>
              <w:rPr>
                <w:sz w:val="18"/>
                <w:lang w:val="en-US"/>
              </w:rPr>
            </w:pPr>
            <w:r w:rsidRPr="00222917">
              <w:rPr>
                <w:sz w:val="18"/>
                <w:lang w:val="en-US"/>
              </w:rPr>
              <w:t>1,577</w:t>
            </w:r>
          </w:p>
        </w:tc>
        <w:tc>
          <w:tcPr>
            <w:tcW w:w="1134" w:type="dxa"/>
            <w:shd w:val="clear" w:color="auto" w:fill="auto"/>
            <w:tcMar>
              <w:top w:w="0" w:type="dxa"/>
              <w:left w:w="0" w:type="dxa"/>
              <w:bottom w:w="0" w:type="dxa"/>
              <w:right w:w="0" w:type="dxa"/>
            </w:tcMar>
            <w:vAlign w:val="bottom"/>
          </w:tcPr>
          <w:p w:rsidR="002D5BB0" w:rsidRPr="00222917" w:rsidRDefault="002D5BB0" w:rsidP="002C70E9">
            <w:pPr>
              <w:pStyle w:val="SingleTxtG"/>
              <w:suppressAutoHyphens w:val="0"/>
              <w:spacing w:before="40" w:after="40" w:line="220" w:lineRule="exact"/>
              <w:ind w:left="0" w:right="0"/>
              <w:jc w:val="right"/>
              <w:rPr>
                <w:sz w:val="18"/>
                <w:lang w:val="en-US"/>
              </w:rPr>
            </w:pPr>
            <w:r w:rsidRPr="00222917">
              <w:rPr>
                <w:sz w:val="18"/>
                <w:lang w:val="en-US"/>
              </w:rPr>
              <w:t>556</w:t>
            </w:r>
          </w:p>
        </w:tc>
        <w:tc>
          <w:tcPr>
            <w:tcW w:w="1134" w:type="dxa"/>
            <w:shd w:val="clear" w:color="auto" w:fill="auto"/>
            <w:tcMar>
              <w:top w:w="0" w:type="dxa"/>
              <w:left w:w="0" w:type="dxa"/>
              <w:bottom w:w="0" w:type="dxa"/>
              <w:right w:w="0" w:type="dxa"/>
            </w:tcMar>
            <w:vAlign w:val="bottom"/>
          </w:tcPr>
          <w:p w:rsidR="002D5BB0" w:rsidRPr="00222917" w:rsidRDefault="002D5BB0" w:rsidP="002C70E9">
            <w:pPr>
              <w:pStyle w:val="SingleTxtG"/>
              <w:suppressAutoHyphens w:val="0"/>
              <w:spacing w:before="40" w:after="40" w:line="220" w:lineRule="exact"/>
              <w:ind w:left="0" w:right="0"/>
              <w:jc w:val="right"/>
              <w:rPr>
                <w:sz w:val="18"/>
                <w:lang w:val="en-US"/>
              </w:rPr>
            </w:pPr>
            <w:r w:rsidRPr="00222917">
              <w:rPr>
                <w:sz w:val="18"/>
                <w:lang w:val="en-US"/>
              </w:rPr>
              <w:t>424</w:t>
            </w:r>
          </w:p>
        </w:tc>
      </w:tr>
    </w:tbl>
    <w:p w:rsidR="002D5BB0" w:rsidRPr="00222917" w:rsidRDefault="00B61B0B" w:rsidP="00B61B0B">
      <w:pPr>
        <w:pStyle w:val="H23G"/>
        <w:rPr>
          <w:b w:val="0"/>
          <w:sz w:val="16"/>
          <w:szCs w:val="16"/>
          <w:lang w:val="en-US"/>
        </w:rPr>
      </w:pPr>
      <w:r w:rsidRPr="00222917">
        <w:rPr>
          <w:lang w:val="en-US"/>
        </w:rPr>
        <w:tab/>
      </w:r>
      <w:r w:rsidRPr="00222917">
        <w:rPr>
          <w:lang w:val="en-US"/>
        </w:rPr>
        <w:tab/>
      </w:r>
      <w:r w:rsidR="002D5BB0" w:rsidRPr="00222917">
        <w:rPr>
          <w:lang w:val="en-US"/>
        </w:rPr>
        <w:t>Application for Refugee Status by Reason</w:t>
      </w:r>
      <w:r w:rsidRPr="00222917">
        <w:rPr>
          <w:lang w:val="en-US"/>
        </w:rPr>
        <w:br/>
      </w:r>
      <w:r w:rsidR="002D5BB0" w:rsidRPr="00222917">
        <w:rPr>
          <w:b w:val="0"/>
          <w:sz w:val="16"/>
          <w:szCs w:val="16"/>
          <w:lang w:val="en-US"/>
        </w:rPr>
        <w:t>(Period: 2004-2010; in persons)</w:t>
      </w:r>
    </w:p>
    <w:tbl>
      <w:tblPr>
        <w:tblW w:w="0" w:type="auto"/>
        <w:tblInd w:w="1134" w:type="dxa"/>
        <w:tblBorders>
          <w:top w:val="single" w:sz="4" w:space="0" w:color="auto"/>
        </w:tblBorders>
        <w:tblLayout w:type="fixed"/>
        <w:tblCellMar>
          <w:left w:w="0" w:type="dxa"/>
          <w:right w:w="0" w:type="dxa"/>
        </w:tblCellMar>
        <w:tblLook w:val="00A0"/>
      </w:tblPr>
      <w:tblGrid>
        <w:gridCol w:w="2835"/>
        <w:gridCol w:w="2268"/>
        <w:gridCol w:w="2268"/>
      </w:tblGrid>
      <w:tr w:rsidR="004D566A" w:rsidRPr="00222917" w:rsidTr="001811E8">
        <w:trPr>
          <w:tblHeader/>
        </w:trPr>
        <w:tc>
          <w:tcPr>
            <w:tcW w:w="283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D5BB0" w:rsidRPr="00222917" w:rsidRDefault="002D5BB0" w:rsidP="00B61B0B">
            <w:pPr>
              <w:pStyle w:val="SingleTxtG"/>
              <w:suppressAutoHyphens w:val="0"/>
              <w:spacing w:before="80" w:after="80" w:line="200" w:lineRule="exact"/>
              <w:ind w:left="0" w:right="0"/>
              <w:jc w:val="left"/>
              <w:rPr>
                <w:i/>
                <w:sz w:val="16"/>
                <w:lang w:val="en-US"/>
              </w:rPr>
            </w:pPr>
            <w:r w:rsidRPr="00222917">
              <w:rPr>
                <w:bCs/>
                <w:i/>
                <w:sz w:val="16"/>
                <w:lang w:val="en-US"/>
              </w:rPr>
              <w:t>Total number of applicants</w:t>
            </w:r>
          </w:p>
        </w:tc>
        <w:tc>
          <w:tcPr>
            <w:tcW w:w="226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D5BB0" w:rsidRPr="00222917" w:rsidRDefault="002D5BB0" w:rsidP="00B61B0B">
            <w:pPr>
              <w:pStyle w:val="SingleTxtG"/>
              <w:suppressAutoHyphens w:val="0"/>
              <w:spacing w:before="80" w:after="80" w:line="200" w:lineRule="exact"/>
              <w:ind w:left="0" w:right="0"/>
              <w:jc w:val="right"/>
              <w:rPr>
                <w:i/>
                <w:sz w:val="16"/>
                <w:lang w:val="en-US"/>
              </w:rPr>
            </w:pPr>
            <w:r w:rsidRPr="00222917">
              <w:rPr>
                <w:bCs/>
                <w:i/>
                <w:sz w:val="16"/>
                <w:lang w:val="en-US"/>
              </w:rPr>
              <w:t>Political</w:t>
            </w:r>
          </w:p>
        </w:tc>
        <w:tc>
          <w:tcPr>
            <w:tcW w:w="226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D5BB0" w:rsidRPr="00222917" w:rsidRDefault="002D5BB0" w:rsidP="00B61B0B">
            <w:pPr>
              <w:pStyle w:val="SingleTxtG"/>
              <w:suppressAutoHyphens w:val="0"/>
              <w:spacing w:before="80" w:after="80" w:line="200" w:lineRule="exact"/>
              <w:ind w:left="0" w:right="0"/>
              <w:jc w:val="right"/>
              <w:rPr>
                <w:i/>
                <w:sz w:val="16"/>
                <w:lang w:val="en-US"/>
              </w:rPr>
            </w:pPr>
            <w:r w:rsidRPr="00222917">
              <w:rPr>
                <w:bCs/>
                <w:i/>
                <w:sz w:val="16"/>
                <w:lang w:val="en-US"/>
              </w:rPr>
              <w:t>Racial, religious, and other</w:t>
            </w:r>
          </w:p>
        </w:tc>
      </w:tr>
      <w:tr w:rsidR="004D566A" w:rsidRPr="00222917" w:rsidTr="001811E8">
        <w:tc>
          <w:tcPr>
            <w:tcW w:w="2835" w:type="dxa"/>
            <w:tcBorders>
              <w:top w:val="single" w:sz="12" w:space="0" w:color="auto"/>
            </w:tcBorders>
            <w:shd w:val="clear" w:color="auto" w:fill="auto"/>
            <w:tcMar>
              <w:top w:w="0" w:type="dxa"/>
              <w:left w:w="0" w:type="dxa"/>
              <w:bottom w:w="0" w:type="dxa"/>
              <w:right w:w="0" w:type="dxa"/>
            </w:tcMar>
          </w:tcPr>
          <w:p w:rsidR="002D5BB0" w:rsidRPr="00222917" w:rsidRDefault="002D5BB0" w:rsidP="00B61B0B">
            <w:pPr>
              <w:pStyle w:val="SingleTxtG"/>
              <w:suppressAutoHyphens w:val="0"/>
              <w:spacing w:before="40" w:after="40" w:line="220" w:lineRule="exact"/>
              <w:ind w:left="0" w:right="0"/>
              <w:jc w:val="left"/>
              <w:rPr>
                <w:sz w:val="18"/>
                <w:lang w:val="en-US"/>
              </w:rPr>
            </w:pPr>
            <w:r w:rsidRPr="00222917">
              <w:rPr>
                <w:sz w:val="18"/>
                <w:lang w:val="en-US"/>
              </w:rPr>
              <w:t>2,915</w:t>
            </w:r>
          </w:p>
        </w:tc>
        <w:tc>
          <w:tcPr>
            <w:tcW w:w="2268" w:type="dxa"/>
            <w:tcBorders>
              <w:top w:val="single" w:sz="12" w:space="0" w:color="auto"/>
            </w:tcBorders>
            <w:shd w:val="clear" w:color="auto" w:fill="auto"/>
            <w:tcMar>
              <w:top w:w="0" w:type="dxa"/>
              <w:left w:w="0" w:type="dxa"/>
              <w:bottom w:w="0" w:type="dxa"/>
              <w:right w:w="0" w:type="dxa"/>
            </w:tcMar>
            <w:vAlign w:val="bottom"/>
          </w:tcPr>
          <w:p w:rsidR="002D5BB0" w:rsidRPr="00222917" w:rsidRDefault="002D5BB0" w:rsidP="00B61B0B">
            <w:pPr>
              <w:pStyle w:val="SingleTxtG"/>
              <w:suppressAutoHyphens w:val="0"/>
              <w:spacing w:before="40" w:after="40" w:line="220" w:lineRule="exact"/>
              <w:ind w:left="0" w:right="0"/>
              <w:jc w:val="right"/>
              <w:rPr>
                <w:sz w:val="18"/>
                <w:lang w:val="en-US"/>
              </w:rPr>
            </w:pPr>
            <w:r w:rsidRPr="00222917">
              <w:rPr>
                <w:sz w:val="18"/>
                <w:lang w:val="en-US"/>
              </w:rPr>
              <w:t>1,195</w:t>
            </w:r>
          </w:p>
        </w:tc>
        <w:tc>
          <w:tcPr>
            <w:tcW w:w="2268" w:type="dxa"/>
            <w:tcBorders>
              <w:top w:val="single" w:sz="12" w:space="0" w:color="auto"/>
            </w:tcBorders>
            <w:shd w:val="clear" w:color="auto" w:fill="auto"/>
            <w:tcMar>
              <w:top w:w="0" w:type="dxa"/>
              <w:left w:w="0" w:type="dxa"/>
              <w:bottom w:w="0" w:type="dxa"/>
              <w:right w:w="0" w:type="dxa"/>
            </w:tcMar>
            <w:vAlign w:val="bottom"/>
          </w:tcPr>
          <w:p w:rsidR="002D5BB0" w:rsidRPr="00222917" w:rsidRDefault="002D5BB0" w:rsidP="00B61B0B">
            <w:pPr>
              <w:pStyle w:val="SingleTxtG"/>
              <w:suppressAutoHyphens w:val="0"/>
              <w:spacing w:before="40" w:after="40" w:line="220" w:lineRule="exact"/>
              <w:ind w:left="0" w:right="0"/>
              <w:jc w:val="right"/>
              <w:rPr>
                <w:sz w:val="18"/>
                <w:lang w:val="en-US"/>
              </w:rPr>
            </w:pPr>
            <w:r w:rsidRPr="00222917">
              <w:rPr>
                <w:sz w:val="18"/>
                <w:lang w:val="en-US"/>
              </w:rPr>
              <w:t>1,720</w:t>
            </w:r>
          </w:p>
        </w:tc>
      </w:tr>
      <w:tr w:rsidR="004D566A" w:rsidRPr="00222917" w:rsidTr="001811E8">
        <w:tc>
          <w:tcPr>
            <w:tcW w:w="2835" w:type="dxa"/>
            <w:tcBorders>
              <w:bottom w:val="single" w:sz="12" w:space="0" w:color="auto"/>
            </w:tcBorders>
            <w:shd w:val="clear" w:color="auto" w:fill="auto"/>
            <w:tcMar>
              <w:top w:w="0" w:type="dxa"/>
              <w:left w:w="0" w:type="dxa"/>
              <w:bottom w:w="0" w:type="dxa"/>
              <w:right w:w="0" w:type="dxa"/>
            </w:tcMar>
          </w:tcPr>
          <w:p w:rsidR="002D5BB0" w:rsidRPr="00222917" w:rsidRDefault="002D5BB0" w:rsidP="00B61B0B">
            <w:pPr>
              <w:pStyle w:val="SingleTxtG"/>
              <w:suppressAutoHyphens w:val="0"/>
              <w:spacing w:before="40" w:after="40" w:line="220" w:lineRule="exact"/>
              <w:ind w:left="0" w:right="0"/>
              <w:jc w:val="left"/>
              <w:rPr>
                <w:sz w:val="18"/>
                <w:lang w:val="en-US"/>
              </w:rPr>
            </w:pPr>
            <w:r w:rsidRPr="00222917">
              <w:rPr>
                <w:sz w:val="18"/>
                <w:lang w:val="en-US"/>
              </w:rPr>
              <w:t>(100%)</w:t>
            </w:r>
          </w:p>
        </w:tc>
        <w:tc>
          <w:tcPr>
            <w:tcW w:w="2268" w:type="dxa"/>
            <w:tcBorders>
              <w:bottom w:val="single" w:sz="12" w:space="0" w:color="auto"/>
            </w:tcBorders>
            <w:shd w:val="clear" w:color="auto" w:fill="auto"/>
            <w:tcMar>
              <w:top w:w="0" w:type="dxa"/>
              <w:left w:w="0" w:type="dxa"/>
              <w:bottom w:w="0" w:type="dxa"/>
              <w:right w:w="0" w:type="dxa"/>
            </w:tcMar>
            <w:vAlign w:val="bottom"/>
          </w:tcPr>
          <w:p w:rsidR="002D5BB0" w:rsidRPr="00222917" w:rsidRDefault="002D5BB0" w:rsidP="00B61B0B">
            <w:pPr>
              <w:pStyle w:val="SingleTxtG"/>
              <w:suppressAutoHyphens w:val="0"/>
              <w:spacing w:before="40" w:after="40" w:line="220" w:lineRule="exact"/>
              <w:ind w:left="0" w:right="0"/>
              <w:jc w:val="right"/>
              <w:rPr>
                <w:sz w:val="18"/>
                <w:lang w:val="en-US"/>
              </w:rPr>
            </w:pPr>
            <w:r w:rsidRPr="00222917">
              <w:rPr>
                <w:sz w:val="18"/>
                <w:lang w:val="en-US"/>
              </w:rPr>
              <w:t>(41%)</w:t>
            </w:r>
          </w:p>
        </w:tc>
        <w:tc>
          <w:tcPr>
            <w:tcW w:w="2268" w:type="dxa"/>
            <w:tcBorders>
              <w:bottom w:val="single" w:sz="12" w:space="0" w:color="auto"/>
            </w:tcBorders>
            <w:shd w:val="clear" w:color="auto" w:fill="auto"/>
            <w:tcMar>
              <w:top w:w="0" w:type="dxa"/>
              <w:left w:w="0" w:type="dxa"/>
              <w:bottom w:w="0" w:type="dxa"/>
              <w:right w:w="0" w:type="dxa"/>
            </w:tcMar>
            <w:vAlign w:val="bottom"/>
          </w:tcPr>
          <w:p w:rsidR="002D5BB0" w:rsidRPr="00222917" w:rsidRDefault="002D5BB0" w:rsidP="00B61B0B">
            <w:pPr>
              <w:pStyle w:val="SingleTxtG"/>
              <w:suppressAutoHyphens w:val="0"/>
              <w:spacing w:before="40" w:after="40" w:line="220" w:lineRule="exact"/>
              <w:ind w:left="0" w:right="0"/>
              <w:jc w:val="right"/>
              <w:rPr>
                <w:sz w:val="18"/>
                <w:lang w:val="en-US"/>
              </w:rPr>
            </w:pPr>
            <w:r w:rsidRPr="00222917">
              <w:rPr>
                <w:sz w:val="18"/>
                <w:lang w:val="en-US"/>
              </w:rPr>
              <w:t>(59%)</w:t>
            </w:r>
          </w:p>
        </w:tc>
      </w:tr>
    </w:tbl>
    <w:p w:rsidR="002D5BB0" w:rsidRPr="003D31C4" w:rsidRDefault="00363502" w:rsidP="00363502">
      <w:pPr>
        <w:pStyle w:val="HChG"/>
        <w:rPr>
          <w:sz w:val="24"/>
          <w:szCs w:val="24"/>
          <w:lang w:val="en-US"/>
        </w:rPr>
      </w:pPr>
      <w:bookmarkStart w:id="167" w:name="_Toc307504105"/>
      <w:bookmarkStart w:id="168" w:name="_Toc336435877"/>
      <w:r w:rsidRPr="00222917">
        <w:rPr>
          <w:lang w:val="en-US"/>
        </w:rPr>
        <w:tab/>
      </w:r>
      <w:r w:rsidRPr="00222917">
        <w:rPr>
          <w:lang w:val="en-US"/>
        </w:rPr>
        <w:tab/>
      </w:r>
      <w:r w:rsidR="002D5BB0" w:rsidRPr="003D31C4">
        <w:rPr>
          <w:sz w:val="24"/>
          <w:szCs w:val="24"/>
          <w:lang w:val="en-US"/>
        </w:rPr>
        <w:t>Article 14</w:t>
      </w:r>
      <w:bookmarkEnd w:id="167"/>
      <w:bookmarkEnd w:id="168"/>
    </w:p>
    <w:p w:rsidR="002D5BB0" w:rsidRPr="00222917" w:rsidRDefault="00547908" w:rsidP="00547908">
      <w:pPr>
        <w:pStyle w:val="SingleTxtG"/>
        <w:rPr>
          <w:lang w:val="en-US"/>
        </w:rPr>
      </w:pPr>
      <w:r w:rsidRPr="00222917">
        <w:rPr>
          <w:lang w:val="en-US"/>
        </w:rPr>
        <w:t>222.</w:t>
      </w:r>
      <w:r w:rsidRPr="00222917">
        <w:rPr>
          <w:lang w:val="en-US"/>
        </w:rPr>
        <w:tab/>
      </w:r>
      <w:r w:rsidR="002D5BB0" w:rsidRPr="00222917">
        <w:rPr>
          <w:lang w:val="en-US"/>
        </w:rPr>
        <w:t xml:space="preserve">The governmental efforts and institutional measures to guarantee the right to </w:t>
      </w:r>
      <w:r w:rsidR="000850F5">
        <w:rPr>
          <w:lang w:val="en-US"/>
        </w:rPr>
        <w:t xml:space="preserve">a </w:t>
      </w:r>
      <w:r w:rsidR="002D5BB0" w:rsidRPr="00222917">
        <w:rPr>
          <w:lang w:val="en-US"/>
        </w:rPr>
        <w:t>fair trial of the accused are as stated in the first and second reports (CCPR/C/68/Add.1, paras.</w:t>
      </w:r>
      <w:r w:rsidR="00363502" w:rsidRPr="00222917">
        <w:rPr>
          <w:lang w:val="en-US"/>
        </w:rPr>
        <w:t> </w:t>
      </w:r>
      <w:r w:rsidR="002D5BB0" w:rsidRPr="00222917">
        <w:rPr>
          <w:lang w:val="en-US"/>
        </w:rPr>
        <w:t>19</w:t>
      </w:r>
      <w:r w:rsidR="00363502" w:rsidRPr="00222917">
        <w:rPr>
          <w:lang w:val="en-US"/>
        </w:rPr>
        <w:t>8-214; CCPR/C/114/Add.1, paras. </w:t>
      </w:r>
      <w:r w:rsidR="002D5BB0" w:rsidRPr="00222917">
        <w:rPr>
          <w:lang w:val="en-US"/>
        </w:rPr>
        <w:t xml:space="preserve">43 and 153). The court-appointed defense counsel system has been strengthened to ensure fair trials. Under the Constitution and the </w:t>
      </w:r>
      <w:r w:rsidR="002D5BB0" w:rsidRPr="00222917">
        <w:rPr>
          <w:iCs/>
          <w:lang w:val="en-US"/>
        </w:rPr>
        <w:t>Court Organization Act</w:t>
      </w:r>
      <w:r w:rsidR="002D5BB0" w:rsidRPr="00222917">
        <w:rPr>
          <w:lang w:val="en-US"/>
        </w:rPr>
        <w:t xml:space="preserve">, the judge-appointment system is stipulated; the judges’ independent status is guaranteed; and petitioning for </w:t>
      </w:r>
      <w:r w:rsidR="002D5BB0" w:rsidRPr="00222917">
        <w:rPr>
          <w:bCs/>
          <w:lang w:val="en-US"/>
        </w:rPr>
        <w:t>adjudication</w:t>
      </w:r>
      <w:r w:rsidR="002D5BB0" w:rsidRPr="00222917">
        <w:rPr>
          <w:lang w:val="en-US"/>
        </w:rPr>
        <w:t xml:space="preserve"> and the reopening of proceedings is allowed, as described in the third report (CCPR/C/KOR/20</w:t>
      </w:r>
      <w:r w:rsidR="00363502" w:rsidRPr="00222917">
        <w:rPr>
          <w:lang w:val="en-US"/>
        </w:rPr>
        <w:t>05/3, paras. 43, 231-</w:t>
      </w:r>
      <w:r w:rsidR="002D5BB0" w:rsidRPr="00222917">
        <w:rPr>
          <w:lang w:val="en-US"/>
        </w:rPr>
        <w:t>239).</w:t>
      </w:r>
    </w:p>
    <w:p w:rsidR="002D5BB0" w:rsidRPr="00222917" w:rsidRDefault="008872BF" w:rsidP="008872BF">
      <w:pPr>
        <w:pStyle w:val="H23G"/>
        <w:rPr>
          <w:lang w:val="en-US"/>
        </w:rPr>
      </w:pPr>
      <w:bookmarkStart w:id="169" w:name="_Toc307504106"/>
      <w:bookmarkStart w:id="170" w:name="_Toc336435878"/>
      <w:r w:rsidRPr="00222917">
        <w:rPr>
          <w:lang w:val="en-US"/>
        </w:rPr>
        <w:tab/>
      </w:r>
      <w:r w:rsidRPr="00222917">
        <w:rPr>
          <w:lang w:val="en-US"/>
        </w:rPr>
        <w:tab/>
      </w:r>
      <w:r w:rsidR="002D5BB0" w:rsidRPr="00222917">
        <w:rPr>
          <w:lang w:val="en-US"/>
        </w:rPr>
        <w:t>Enactment of the Act on Citizen Participation in Criminal Trials</w:t>
      </w:r>
      <w:bookmarkEnd w:id="169"/>
      <w:bookmarkEnd w:id="170"/>
    </w:p>
    <w:p w:rsidR="002D5BB0" w:rsidRPr="00222917" w:rsidRDefault="00547908" w:rsidP="00547908">
      <w:pPr>
        <w:pStyle w:val="SingleTxtG"/>
        <w:rPr>
          <w:lang w:val="en-US"/>
        </w:rPr>
      </w:pPr>
      <w:r w:rsidRPr="00222917">
        <w:rPr>
          <w:lang w:val="en-US"/>
        </w:rPr>
        <w:t>223.</w:t>
      </w:r>
      <w:r w:rsidRPr="00222917">
        <w:rPr>
          <w:lang w:val="en-US"/>
        </w:rPr>
        <w:tab/>
      </w:r>
      <w:r w:rsidR="002D5BB0" w:rsidRPr="00222917">
        <w:rPr>
          <w:lang w:val="en-US"/>
        </w:rPr>
        <w:t xml:space="preserve">On 1 June 2007, </w:t>
      </w:r>
      <w:r w:rsidR="002D5BB0" w:rsidRPr="00222917">
        <w:rPr>
          <w:bCs/>
          <w:lang w:val="en-US"/>
        </w:rPr>
        <w:t xml:space="preserve">the </w:t>
      </w:r>
      <w:r w:rsidR="002D5BB0" w:rsidRPr="00222917">
        <w:rPr>
          <w:bCs/>
          <w:iCs/>
          <w:lang w:val="en-US"/>
        </w:rPr>
        <w:t>Act on Citizen Participation in Criminal Trials</w:t>
      </w:r>
      <w:r w:rsidR="002D5BB0" w:rsidRPr="00222917">
        <w:rPr>
          <w:iCs/>
          <w:lang w:val="en-US"/>
        </w:rPr>
        <w:t xml:space="preserve"> </w:t>
      </w:r>
      <w:r w:rsidR="002D5BB0" w:rsidRPr="00222917">
        <w:rPr>
          <w:lang w:val="en-US"/>
        </w:rPr>
        <w:t xml:space="preserve">was enacted to establish a judicial system that has the confidence of the general public by bolstering the democratic legitimacy of the judicial </w:t>
      </w:r>
      <w:r w:rsidR="002D5BB0" w:rsidRPr="00222917">
        <w:rPr>
          <w:bCs/>
          <w:lang w:val="en-US"/>
        </w:rPr>
        <w:t>system</w:t>
      </w:r>
      <w:r w:rsidR="002D5BB0" w:rsidRPr="00222917">
        <w:rPr>
          <w:lang w:val="en-US"/>
        </w:rPr>
        <w:t xml:space="preserve"> and enhancing its transparency. This Act introduced the system that allows the public to participate in criminal trials as jury members and provides for various matters such as the scope of eligible cases for the system, qualifications and selection procedures of the jury, preparation and proceedings of trials, deliberation, rendering verdicts, discussion, ruling, and jury protection. </w:t>
      </w:r>
    </w:p>
    <w:p w:rsidR="002D5BB0" w:rsidRPr="00222917" w:rsidRDefault="00547908" w:rsidP="00547908">
      <w:pPr>
        <w:pStyle w:val="SingleTxtG"/>
        <w:rPr>
          <w:lang w:val="en-US"/>
        </w:rPr>
      </w:pPr>
      <w:r w:rsidRPr="00222917">
        <w:rPr>
          <w:lang w:val="en-US"/>
        </w:rPr>
        <w:t>224.</w:t>
      </w:r>
      <w:r w:rsidRPr="00222917">
        <w:rPr>
          <w:lang w:val="en-US"/>
        </w:rPr>
        <w:tab/>
      </w:r>
      <w:r w:rsidR="002D5BB0" w:rsidRPr="00222917">
        <w:rPr>
          <w:lang w:val="en-US"/>
        </w:rPr>
        <w:t>Under the Act, major offenses such as homicide, burglary, or rape; major corruption offenses such as bribery; and other offenses prescribed by the Supreme Court are subject to the system (</w:t>
      </w:r>
      <w:r w:rsidR="00681EC0" w:rsidRPr="00222917">
        <w:rPr>
          <w:lang w:val="en-US"/>
        </w:rPr>
        <w:t>a</w:t>
      </w:r>
      <w:r w:rsidR="002D5BB0" w:rsidRPr="00222917">
        <w:rPr>
          <w:lang w:val="en-US"/>
        </w:rPr>
        <w:t>rticle</w:t>
      </w:r>
      <w:r w:rsidR="00A94611" w:rsidRPr="00222917">
        <w:rPr>
          <w:lang w:val="en-US"/>
        </w:rPr>
        <w:t> </w:t>
      </w:r>
      <w:r w:rsidR="002D5BB0" w:rsidRPr="00222917">
        <w:rPr>
          <w:lang w:val="en-US"/>
        </w:rPr>
        <w:t>5). A defendant is asked if he/she desires a partici</w:t>
      </w:r>
      <w:r w:rsidR="00A94611" w:rsidRPr="00222917">
        <w:rPr>
          <w:lang w:val="en-US"/>
        </w:rPr>
        <w:t>patory trial (</w:t>
      </w:r>
      <w:r w:rsidR="00681EC0" w:rsidRPr="00222917">
        <w:rPr>
          <w:lang w:val="en-US"/>
        </w:rPr>
        <w:t>a</w:t>
      </w:r>
      <w:r w:rsidR="00A94611" w:rsidRPr="00222917">
        <w:rPr>
          <w:lang w:val="en-US"/>
        </w:rPr>
        <w:t>rticle </w:t>
      </w:r>
      <w:r w:rsidR="002D5BB0" w:rsidRPr="00222917">
        <w:rPr>
          <w:lang w:val="en-US"/>
        </w:rPr>
        <w:t>8). A court is allowed to decide not to proceed to a participatory trial for cases where a juror, or a prospective juror, etc. has difficulties in attending a trial due to threats, or possible threats to his/her life, body, or property, or where some of the defendants do not desire</w:t>
      </w:r>
      <w:r w:rsidR="00A94611" w:rsidRPr="00222917">
        <w:rPr>
          <w:lang w:val="en-US"/>
        </w:rPr>
        <w:t xml:space="preserve"> a participatory trial (</w:t>
      </w:r>
      <w:r w:rsidR="00681EC0" w:rsidRPr="00222917">
        <w:rPr>
          <w:lang w:val="en-US"/>
        </w:rPr>
        <w:t>a</w:t>
      </w:r>
      <w:r w:rsidR="00A94611" w:rsidRPr="00222917">
        <w:rPr>
          <w:lang w:val="en-US"/>
        </w:rPr>
        <w:t>rticle </w:t>
      </w:r>
      <w:r w:rsidR="002D5BB0" w:rsidRPr="00222917">
        <w:rPr>
          <w:lang w:val="en-US"/>
        </w:rPr>
        <w:t>9). The Act also provides for various matters such as the number of jurors, selection process, and preparation for trials. The jury can deliver a verdict upon closing of pleadings and arguments, and discuss sentencing with the judge and express their opinions when they deliver a verdict of guilty. However, no verdict and opinions of the jury ar</w:t>
      </w:r>
      <w:r w:rsidR="00A94611" w:rsidRPr="00222917">
        <w:rPr>
          <w:lang w:val="en-US"/>
        </w:rPr>
        <w:t>e binding on the court (</w:t>
      </w:r>
      <w:r w:rsidR="00AE0F13" w:rsidRPr="00222917">
        <w:rPr>
          <w:lang w:val="en-US"/>
        </w:rPr>
        <w:t>a</w:t>
      </w:r>
      <w:r w:rsidR="00A94611" w:rsidRPr="00222917">
        <w:rPr>
          <w:lang w:val="en-US"/>
        </w:rPr>
        <w:t>rticle </w:t>
      </w:r>
      <w:r w:rsidR="002D5BB0" w:rsidRPr="00222917">
        <w:rPr>
          <w:lang w:val="en-US"/>
        </w:rPr>
        <w:t>46). Where a court sentence is different from the jury’s verdict, the written judgment should spel</w:t>
      </w:r>
      <w:r w:rsidR="00A94611" w:rsidRPr="00222917">
        <w:rPr>
          <w:lang w:val="en-US"/>
        </w:rPr>
        <w:t>l out reasons therefor (</w:t>
      </w:r>
      <w:r w:rsidR="00681EC0" w:rsidRPr="00222917">
        <w:rPr>
          <w:lang w:val="en-US"/>
        </w:rPr>
        <w:t>a</w:t>
      </w:r>
      <w:r w:rsidR="00A94611" w:rsidRPr="00222917">
        <w:rPr>
          <w:lang w:val="en-US"/>
        </w:rPr>
        <w:t>rticle </w:t>
      </w:r>
      <w:r w:rsidR="002D5BB0" w:rsidRPr="00222917">
        <w:rPr>
          <w:lang w:val="en-US"/>
        </w:rPr>
        <w:t xml:space="preserve">49). </w:t>
      </w:r>
    </w:p>
    <w:p w:rsidR="002D5BB0" w:rsidRPr="00222917" w:rsidRDefault="008872BF" w:rsidP="008872BF">
      <w:pPr>
        <w:pStyle w:val="H23G"/>
        <w:rPr>
          <w:lang w:val="en-US"/>
        </w:rPr>
      </w:pPr>
      <w:bookmarkStart w:id="171" w:name="_Toc307504107"/>
      <w:bookmarkStart w:id="172" w:name="_Toc336435879"/>
      <w:r w:rsidRPr="00222917">
        <w:rPr>
          <w:lang w:val="en-US"/>
        </w:rPr>
        <w:tab/>
      </w:r>
      <w:r w:rsidRPr="00222917">
        <w:rPr>
          <w:lang w:val="en-US"/>
        </w:rPr>
        <w:tab/>
      </w:r>
      <w:r w:rsidR="002D5BB0" w:rsidRPr="00222917">
        <w:rPr>
          <w:lang w:val="en-US"/>
        </w:rPr>
        <w:t>Expansion of Scope of Crimes Subject to Petition for Adjudication</w:t>
      </w:r>
      <w:bookmarkEnd w:id="171"/>
      <w:bookmarkEnd w:id="172"/>
    </w:p>
    <w:p w:rsidR="002D5BB0" w:rsidRPr="00222917" w:rsidRDefault="00547908" w:rsidP="00547908">
      <w:pPr>
        <w:pStyle w:val="SingleTxtG"/>
        <w:rPr>
          <w:lang w:val="en-US"/>
        </w:rPr>
      </w:pPr>
      <w:r w:rsidRPr="00222917">
        <w:rPr>
          <w:lang w:val="en-US"/>
        </w:rPr>
        <w:t>225.</w:t>
      </w:r>
      <w:r w:rsidRPr="00222917">
        <w:rPr>
          <w:lang w:val="en-US"/>
        </w:rPr>
        <w:tab/>
      </w:r>
      <w:r w:rsidR="002D5BB0" w:rsidRPr="00222917">
        <w:rPr>
          <w:lang w:val="en-US"/>
        </w:rPr>
        <w:t xml:space="preserve">Under the amended </w:t>
      </w:r>
      <w:r w:rsidR="002D5BB0" w:rsidRPr="000850F5">
        <w:rPr>
          <w:iCs/>
          <w:lang w:val="en-US"/>
        </w:rPr>
        <w:t>Criminal Procedure Act</w:t>
      </w:r>
      <w:r w:rsidR="002D5BB0" w:rsidRPr="00222917">
        <w:rPr>
          <w:lang w:val="en-US"/>
        </w:rPr>
        <w:t xml:space="preserve">, the scope of crimes for adjudication, which was previously limited to </w:t>
      </w:r>
      <w:r w:rsidR="002D5BB0" w:rsidRPr="00222917">
        <w:rPr>
          <w:bCs/>
          <w:lang w:val="en-US"/>
        </w:rPr>
        <w:t>abuse</w:t>
      </w:r>
      <w:r w:rsidR="002D5BB0" w:rsidRPr="00222917">
        <w:rPr>
          <w:lang w:val="en-US"/>
        </w:rPr>
        <w:t xml:space="preserve"> of official authority, illegal arrest, detention, violence or cruel treatment has been expanded to all crimes against which a complaint has been filed. In principle, the petition for adjudication is to be filed subsequent to an appeal to the prosecution, but exceptions are made for the cases where no disposition on the appeal has been made for three months since the appeal was filed, or where the end of the statute of li</w:t>
      </w:r>
      <w:r w:rsidR="00A94611" w:rsidRPr="00222917">
        <w:rPr>
          <w:lang w:val="en-US"/>
        </w:rPr>
        <w:t>mitations is impending (</w:t>
      </w:r>
      <w:r w:rsidR="00BF3911" w:rsidRPr="00222917">
        <w:rPr>
          <w:lang w:val="en-US"/>
        </w:rPr>
        <w:t>a</w:t>
      </w:r>
      <w:r w:rsidR="00A94611" w:rsidRPr="00222917">
        <w:rPr>
          <w:lang w:val="en-US"/>
        </w:rPr>
        <w:t>rticle </w:t>
      </w:r>
      <w:r w:rsidR="002D5BB0" w:rsidRPr="00222917">
        <w:rPr>
          <w:lang w:val="en-US"/>
        </w:rPr>
        <w:t xml:space="preserve">260). </w:t>
      </w:r>
    </w:p>
    <w:p w:rsidR="002D5BB0" w:rsidRPr="00222917" w:rsidRDefault="008872BF" w:rsidP="008872BF">
      <w:pPr>
        <w:pStyle w:val="H23G"/>
        <w:rPr>
          <w:lang w:val="en-US"/>
        </w:rPr>
      </w:pPr>
      <w:bookmarkStart w:id="173" w:name="_Toc307504108"/>
      <w:bookmarkStart w:id="174" w:name="_Toc336435880"/>
      <w:r w:rsidRPr="00222917">
        <w:rPr>
          <w:lang w:val="en-US"/>
        </w:rPr>
        <w:tab/>
      </w:r>
      <w:r w:rsidRPr="00222917">
        <w:rPr>
          <w:lang w:val="en-US"/>
        </w:rPr>
        <w:tab/>
      </w:r>
      <w:r w:rsidR="002D5BB0" w:rsidRPr="00222917">
        <w:rPr>
          <w:lang w:val="en-US"/>
        </w:rPr>
        <w:t>Protection of Victims during the Trial</w:t>
      </w:r>
      <w:bookmarkEnd w:id="173"/>
      <w:bookmarkEnd w:id="174"/>
    </w:p>
    <w:p w:rsidR="002D5BB0" w:rsidRPr="00222917" w:rsidRDefault="00547908" w:rsidP="00547908">
      <w:pPr>
        <w:pStyle w:val="SingleTxtG"/>
        <w:rPr>
          <w:lang w:val="en-US"/>
        </w:rPr>
      </w:pPr>
      <w:r w:rsidRPr="00222917">
        <w:rPr>
          <w:lang w:val="en-US"/>
        </w:rPr>
        <w:t>226.</w:t>
      </w:r>
      <w:r w:rsidRPr="00222917">
        <w:rPr>
          <w:lang w:val="en-US"/>
        </w:rPr>
        <w:tab/>
      </w:r>
      <w:r w:rsidR="002D5BB0" w:rsidRPr="00222917">
        <w:rPr>
          <w:lang w:val="en-US"/>
        </w:rPr>
        <w:t xml:space="preserve">The amended </w:t>
      </w:r>
      <w:r w:rsidR="002D5BB0" w:rsidRPr="000850F5">
        <w:rPr>
          <w:iCs/>
          <w:lang w:val="en-US"/>
        </w:rPr>
        <w:t>Criminal Procedure Act</w:t>
      </w:r>
      <w:r w:rsidR="002D5BB0" w:rsidRPr="00222917">
        <w:rPr>
          <w:lang w:val="en-US"/>
        </w:rPr>
        <w:t xml:space="preserve"> allows the court to make a decision over an examination behind closed doors when it examines the victim as a witness, upon request from the victim or the public prosecutor, if deemed necessary for the victim’s privacy</w:t>
      </w:r>
      <w:r w:rsidR="00A94611" w:rsidRPr="00222917">
        <w:rPr>
          <w:lang w:val="en-US"/>
        </w:rPr>
        <w:t xml:space="preserve"> or personal safety (</w:t>
      </w:r>
      <w:r w:rsidR="00BF3911" w:rsidRPr="00222917">
        <w:rPr>
          <w:lang w:val="en-US"/>
        </w:rPr>
        <w:t>a</w:t>
      </w:r>
      <w:r w:rsidR="00A94611" w:rsidRPr="00222917">
        <w:rPr>
          <w:lang w:val="en-US"/>
        </w:rPr>
        <w:t>rticle </w:t>
      </w:r>
      <w:r w:rsidR="002D5BB0" w:rsidRPr="00222917">
        <w:rPr>
          <w:lang w:val="en-US"/>
        </w:rPr>
        <w:t xml:space="preserve">294-3). If a victim wishes to make statements behind closed doors on grounds of privacy, he/she is allowed to do so by eliminating elements that restrict the victim’s statement so that the </w:t>
      </w:r>
      <w:r w:rsidR="002D5BB0" w:rsidRPr="00222917">
        <w:rPr>
          <w:bCs/>
          <w:lang w:val="en-US"/>
        </w:rPr>
        <w:t>victim’s</w:t>
      </w:r>
      <w:r w:rsidR="002D5BB0" w:rsidRPr="00222917">
        <w:rPr>
          <w:lang w:val="en-US"/>
        </w:rPr>
        <w:t xml:space="preserve"> right to speak in court, which is guaranteed by the Constitution, can be substantially exercised. </w:t>
      </w:r>
    </w:p>
    <w:p w:rsidR="002D5BB0" w:rsidRPr="00222917" w:rsidRDefault="00547908" w:rsidP="00547908">
      <w:pPr>
        <w:pStyle w:val="SingleTxtG"/>
        <w:rPr>
          <w:lang w:val="en-US"/>
        </w:rPr>
      </w:pPr>
      <w:r w:rsidRPr="00222917">
        <w:rPr>
          <w:lang w:val="en-US"/>
        </w:rPr>
        <w:t>227.</w:t>
      </w:r>
      <w:r w:rsidRPr="00222917">
        <w:rPr>
          <w:lang w:val="en-US"/>
        </w:rPr>
        <w:tab/>
      </w:r>
      <w:r w:rsidR="002D5BB0" w:rsidRPr="00222917">
        <w:rPr>
          <w:lang w:val="en-US"/>
        </w:rPr>
        <w:t xml:space="preserve">On 29 October 2007, under the </w:t>
      </w:r>
      <w:r w:rsidR="002D5BB0" w:rsidRPr="00222917">
        <w:rPr>
          <w:iCs/>
          <w:lang w:val="en-US"/>
        </w:rPr>
        <w:t>Regulations on Criminal Procedure</w:t>
      </w:r>
      <w:r w:rsidR="002D5BB0" w:rsidRPr="00222917">
        <w:rPr>
          <w:lang w:val="en-US"/>
        </w:rPr>
        <w:t xml:space="preserve">, a provision concerning the decision over whether to examine a victim via media equipment such as video was newly inserted in </w:t>
      </w:r>
      <w:r w:rsidR="002D5BB0" w:rsidRPr="00222917">
        <w:rPr>
          <w:bCs/>
          <w:lang w:val="en-US"/>
        </w:rPr>
        <w:t>response</w:t>
      </w:r>
      <w:r w:rsidR="002D5BB0" w:rsidRPr="00222917">
        <w:rPr>
          <w:lang w:val="en-US"/>
        </w:rPr>
        <w:t xml:space="preserve"> to arguments that a victim needs to be isolated from the accused because the victim may suffer psychological pressure or emotional distress during his/her testimony in the face of the accused, even if the crime was not one of sexual violence (</w:t>
      </w:r>
      <w:r w:rsidR="00BF3911" w:rsidRPr="00222917">
        <w:rPr>
          <w:lang w:val="en-US"/>
        </w:rPr>
        <w:t>a</w:t>
      </w:r>
      <w:r w:rsidR="00A94611" w:rsidRPr="00222917">
        <w:rPr>
          <w:lang w:val="en-US"/>
        </w:rPr>
        <w:t>rticle </w:t>
      </w:r>
      <w:r w:rsidR="002D5BB0" w:rsidRPr="00222917">
        <w:rPr>
          <w:lang w:val="en-US"/>
        </w:rPr>
        <w:t xml:space="preserve">84-4). Therefore, in order to prevent witnesses such as children from suffering such secondary damage including mental distress that may arise when they testify in court before the litigants and spectators, the witness is put in a special room other than the courtroom to testify by a video monitor, through which a judge or a litigant examines the witness; or the witness is isolated by shielding equipment from the accused in the courtroom so that the witness does not have to look at the accused when responding to the examination. </w:t>
      </w:r>
    </w:p>
    <w:p w:rsidR="002D5BB0" w:rsidRPr="00222917" w:rsidRDefault="008872BF" w:rsidP="008872BF">
      <w:pPr>
        <w:pStyle w:val="H23G"/>
        <w:rPr>
          <w:lang w:val="en-US"/>
        </w:rPr>
      </w:pPr>
      <w:bookmarkStart w:id="175" w:name="_Toc307504109"/>
      <w:bookmarkStart w:id="176" w:name="_Toc336435881"/>
      <w:r w:rsidRPr="00222917">
        <w:rPr>
          <w:lang w:val="en-US"/>
        </w:rPr>
        <w:tab/>
      </w:r>
      <w:r w:rsidRPr="00222917">
        <w:rPr>
          <w:lang w:val="en-US"/>
        </w:rPr>
        <w:tab/>
      </w:r>
      <w:r w:rsidR="002D5BB0" w:rsidRPr="00222917">
        <w:rPr>
          <w:lang w:val="en-US"/>
        </w:rPr>
        <w:t>Legal Aid</w:t>
      </w:r>
      <w:bookmarkEnd w:id="175"/>
      <w:bookmarkEnd w:id="176"/>
    </w:p>
    <w:p w:rsidR="002D5BB0" w:rsidRPr="00222917" w:rsidRDefault="00547908" w:rsidP="00547908">
      <w:pPr>
        <w:pStyle w:val="SingleTxtG"/>
        <w:rPr>
          <w:lang w:val="en-US"/>
        </w:rPr>
      </w:pPr>
      <w:r w:rsidRPr="00222917">
        <w:rPr>
          <w:lang w:val="en-US"/>
        </w:rPr>
        <w:t>228.</w:t>
      </w:r>
      <w:r w:rsidRPr="00222917">
        <w:rPr>
          <w:lang w:val="en-US"/>
        </w:rPr>
        <w:tab/>
      </w:r>
      <w:r w:rsidR="002D5BB0" w:rsidRPr="00222917">
        <w:rPr>
          <w:lang w:val="en-US"/>
        </w:rPr>
        <w:t xml:space="preserve">As explained in the first and second </w:t>
      </w:r>
      <w:r w:rsidR="008872BF" w:rsidRPr="00222917">
        <w:rPr>
          <w:lang w:val="en-US"/>
        </w:rPr>
        <w:t xml:space="preserve">reports (CCPR/C/68/Add.1, para. 49; CCPR/C/114/Add.1, paras. 31 and </w:t>
      </w:r>
      <w:r w:rsidR="002D5BB0" w:rsidRPr="00222917">
        <w:rPr>
          <w:lang w:val="en-US"/>
        </w:rPr>
        <w:t xml:space="preserve">32), the Government is providing legal aid including free legal advice, assistance for legal </w:t>
      </w:r>
      <w:r w:rsidR="002D5BB0" w:rsidRPr="00222917">
        <w:rPr>
          <w:bCs/>
          <w:lang w:val="en-US"/>
        </w:rPr>
        <w:t>expenses</w:t>
      </w:r>
      <w:r w:rsidR="002D5BB0" w:rsidRPr="00222917">
        <w:rPr>
          <w:lang w:val="en-US"/>
        </w:rPr>
        <w:t xml:space="preserve">, and legal representation in order to protect the rights of citizens who are unable to pursue legal proceedings for their personal damages due to their lack of legal knowledge or financial resources. At present, corporations providing legal aid include the Korean Legal Aid Corporation, the </w:t>
      </w:r>
      <w:smartTag w:uri="urn:schemas-microsoft-com:office:smarttags" w:element="PlaceName">
        <w:r w:rsidR="002D5BB0" w:rsidRPr="00222917">
          <w:rPr>
            <w:lang w:val="en-US"/>
          </w:rPr>
          <w:t>Korea</w:t>
        </w:r>
      </w:smartTag>
      <w:r w:rsidR="002D5BB0" w:rsidRPr="00222917">
        <w:rPr>
          <w:lang w:val="en-US"/>
        </w:rPr>
        <w:t xml:space="preserve"> </w:t>
      </w:r>
      <w:smartTag w:uri="urn:schemas-microsoft-com:office:smarttags" w:element="PlaceName">
        <w:r w:rsidR="002D5BB0" w:rsidRPr="00222917">
          <w:rPr>
            <w:lang w:val="en-US"/>
          </w:rPr>
          <w:t>Legal</w:t>
        </w:r>
      </w:smartTag>
      <w:r w:rsidR="002D5BB0" w:rsidRPr="00222917">
        <w:rPr>
          <w:lang w:val="en-US"/>
        </w:rPr>
        <w:t xml:space="preserve"> </w:t>
      </w:r>
      <w:smartTag w:uri="urn:schemas-microsoft-com:office:smarttags" w:element="PlaceName">
        <w:r w:rsidR="002D5BB0" w:rsidRPr="00222917">
          <w:rPr>
            <w:lang w:val="en-US"/>
          </w:rPr>
          <w:t>Aid</w:t>
        </w:r>
      </w:smartTag>
      <w:r w:rsidR="002D5BB0" w:rsidRPr="00222917">
        <w:rPr>
          <w:lang w:val="en-US"/>
        </w:rPr>
        <w:t xml:space="preserve"> </w:t>
      </w:r>
      <w:smartTag w:uri="urn:schemas-microsoft-com:office:smarttags" w:element="PlaceType">
        <w:r w:rsidR="002D5BB0" w:rsidRPr="00222917">
          <w:rPr>
            <w:lang w:val="en-US"/>
          </w:rPr>
          <w:t>Center</w:t>
        </w:r>
      </w:smartTag>
      <w:r w:rsidR="002D5BB0" w:rsidRPr="00222917">
        <w:rPr>
          <w:lang w:val="en-US"/>
        </w:rPr>
        <w:t xml:space="preserve"> for Family Relations, the </w:t>
      </w:r>
      <w:smartTag w:uri="urn:schemas-microsoft-com:office:smarttags" w:element="place">
        <w:smartTag w:uri="urn:schemas-microsoft-com:office:smarttags" w:element="PlaceName">
          <w:r w:rsidR="002D5BB0" w:rsidRPr="00222917">
            <w:rPr>
              <w:lang w:val="en-US"/>
            </w:rPr>
            <w:t>Korea</w:t>
          </w:r>
        </w:smartTag>
        <w:r w:rsidR="002D5BB0" w:rsidRPr="00222917">
          <w:rPr>
            <w:lang w:val="en-US"/>
          </w:rPr>
          <w:t xml:space="preserve"> </w:t>
        </w:r>
        <w:smartTag w:uri="urn:schemas-microsoft-com:office:smarttags" w:element="PlaceName">
          <w:r w:rsidR="002D5BB0" w:rsidRPr="00222917">
            <w:rPr>
              <w:lang w:val="en-US"/>
            </w:rPr>
            <w:t>Family</w:t>
          </w:r>
        </w:smartTag>
        <w:r w:rsidR="002D5BB0" w:rsidRPr="00222917">
          <w:rPr>
            <w:lang w:val="en-US"/>
          </w:rPr>
          <w:t xml:space="preserve"> </w:t>
        </w:r>
        <w:smartTag w:uri="urn:schemas-microsoft-com:office:smarttags" w:element="PlaceName">
          <w:r w:rsidR="002D5BB0" w:rsidRPr="00222917">
            <w:rPr>
              <w:lang w:val="en-US"/>
            </w:rPr>
            <w:t>Legal</w:t>
          </w:r>
        </w:smartTag>
        <w:r w:rsidR="002D5BB0" w:rsidRPr="00222917">
          <w:rPr>
            <w:lang w:val="en-US"/>
          </w:rPr>
          <w:t xml:space="preserve"> </w:t>
        </w:r>
        <w:smartTag w:uri="urn:schemas-microsoft-com:office:smarttags" w:element="PlaceName">
          <w:r w:rsidR="002D5BB0" w:rsidRPr="00222917">
            <w:rPr>
              <w:lang w:val="en-US"/>
            </w:rPr>
            <w:t>Service</w:t>
          </w:r>
        </w:smartTag>
        <w:r w:rsidR="002D5BB0" w:rsidRPr="00222917">
          <w:rPr>
            <w:lang w:val="en-US"/>
          </w:rPr>
          <w:t xml:space="preserve"> </w:t>
        </w:r>
        <w:smartTag w:uri="urn:schemas-microsoft-com:office:smarttags" w:element="PlaceType">
          <w:r w:rsidR="002D5BB0" w:rsidRPr="00222917">
            <w:rPr>
              <w:lang w:val="en-US"/>
            </w:rPr>
            <w:t>Center</w:t>
          </w:r>
        </w:smartTag>
      </w:smartTag>
      <w:r w:rsidR="002D5BB0" w:rsidRPr="00222917">
        <w:rPr>
          <w:lang w:val="en-US"/>
        </w:rPr>
        <w:t>, and the Korean Bar Association Legal Aid Foundation. An extensive description of the Korean Legal Aid Corporation is offered in the third report (CCPR/C/KOR/2005/3, paras</w:t>
      </w:r>
      <w:r w:rsidR="009B3015" w:rsidRPr="00222917">
        <w:rPr>
          <w:lang w:val="en-US"/>
        </w:rPr>
        <w:t>. 41-</w:t>
      </w:r>
      <w:r w:rsidR="002D5BB0" w:rsidRPr="00222917">
        <w:rPr>
          <w:lang w:val="en-US"/>
        </w:rPr>
        <w:t xml:space="preserve">44). </w:t>
      </w:r>
    </w:p>
    <w:p w:rsidR="002D5BB0" w:rsidRPr="00222917" w:rsidRDefault="00547908" w:rsidP="00547908">
      <w:pPr>
        <w:pStyle w:val="SingleTxtG"/>
        <w:rPr>
          <w:lang w:val="en-US"/>
        </w:rPr>
      </w:pPr>
      <w:r w:rsidRPr="00222917">
        <w:rPr>
          <w:lang w:val="en-US"/>
        </w:rPr>
        <w:t>229.</w:t>
      </w:r>
      <w:r w:rsidRPr="00222917">
        <w:rPr>
          <w:lang w:val="en-US"/>
        </w:rPr>
        <w:tab/>
      </w:r>
      <w:r w:rsidR="002D5BB0" w:rsidRPr="00222917">
        <w:rPr>
          <w:lang w:val="en-US"/>
        </w:rPr>
        <w:t xml:space="preserve">Other legal aid corporations provide a variety of legal services such as legal counseling, reconciliation and arbitration, legal proceeding aid, and document preparation. The pre-litigation aid service </w:t>
      </w:r>
      <w:r w:rsidR="002D5BB0" w:rsidRPr="00222917">
        <w:rPr>
          <w:bCs/>
          <w:lang w:val="en-US"/>
        </w:rPr>
        <w:t>covers</w:t>
      </w:r>
      <w:r w:rsidR="002D5BB0" w:rsidRPr="00222917">
        <w:rPr>
          <w:lang w:val="en-US"/>
        </w:rPr>
        <w:t xml:space="preserve"> compromise and conciliation before an action is instituted; the document preparation service covers assistance with drawing up of documents to be submitted to the court; and the legal proceeding aid service deals with lawsuits or oral proceedings lodged by a lawyer or a public-service advocate.</w:t>
      </w:r>
      <w:r w:rsidR="00120D8B" w:rsidRPr="00222917">
        <w:rPr>
          <w:lang w:val="en-US"/>
        </w:rPr>
        <w:t xml:space="preserve"> </w:t>
      </w:r>
    </w:p>
    <w:p w:rsidR="002D5BB0" w:rsidRPr="00222917" w:rsidRDefault="0010529D" w:rsidP="0010529D">
      <w:pPr>
        <w:pStyle w:val="H23G"/>
        <w:rPr>
          <w:b w:val="0"/>
          <w:sz w:val="16"/>
          <w:szCs w:val="16"/>
          <w:lang w:val="en-US"/>
        </w:rPr>
      </w:pPr>
      <w:r w:rsidRPr="00222917">
        <w:rPr>
          <w:lang w:val="en-US"/>
        </w:rPr>
        <w:tab/>
      </w:r>
      <w:r w:rsidRPr="00222917">
        <w:rPr>
          <w:lang w:val="en-US"/>
        </w:rPr>
        <w:tab/>
      </w:r>
      <w:r w:rsidR="002D5BB0" w:rsidRPr="00222917">
        <w:rPr>
          <w:lang w:val="en-US"/>
        </w:rPr>
        <w:t>Legal Aid by the Korean Legal Aid Corporation</w:t>
      </w:r>
      <w:r w:rsidRPr="00222917">
        <w:rPr>
          <w:lang w:val="en-US"/>
        </w:rPr>
        <w:br/>
      </w:r>
      <w:r w:rsidR="002D5BB0" w:rsidRPr="00222917">
        <w:rPr>
          <w:b w:val="0"/>
          <w:sz w:val="16"/>
          <w:szCs w:val="16"/>
          <w:lang w:val="en-US"/>
        </w:rPr>
        <w:t>(Number of cases; KRW 100million)</w:t>
      </w:r>
    </w:p>
    <w:tbl>
      <w:tblPr>
        <w:tblW w:w="8505" w:type="dxa"/>
        <w:tblInd w:w="1134" w:type="dxa"/>
        <w:tblBorders>
          <w:top w:val="single" w:sz="4" w:space="0" w:color="auto"/>
        </w:tblBorders>
        <w:tblLayout w:type="fixed"/>
        <w:tblCellMar>
          <w:left w:w="0" w:type="dxa"/>
          <w:right w:w="0" w:type="dxa"/>
        </w:tblCellMar>
        <w:tblLook w:val="00A0"/>
      </w:tblPr>
      <w:tblGrid>
        <w:gridCol w:w="623"/>
        <w:gridCol w:w="964"/>
        <w:gridCol w:w="964"/>
        <w:gridCol w:w="964"/>
        <w:gridCol w:w="964"/>
        <w:gridCol w:w="964"/>
        <w:gridCol w:w="964"/>
        <w:gridCol w:w="964"/>
        <w:gridCol w:w="1134"/>
      </w:tblGrid>
      <w:tr w:rsidR="008F6543" w:rsidRPr="00222917" w:rsidTr="003F17B3">
        <w:trPr>
          <w:tblHeader/>
        </w:trPr>
        <w:tc>
          <w:tcPr>
            <w:tcW w:w="624" w:type="dxa"/>
            <w:vMerge w:val="restart"/>
            <w:tcBorders>
              <w:top w:val="single" w:sz="4" w:space="0" w:color="auto"/>
              <w:bottom w:val="single" w:sz="12" w:space="0" w:color="auto"/>
            </w:tcBorders>
            <w:shd w:val="clear" w:color="auto" w:fill="auto"/>
            <w:tcMar>
              <w:top w:w="28" w:type="dxa"/>
              <w:left w:w="28" w:type="dxa"/>
              <w:bottom w:w="28" w:type="dxa"/>
              <w:right w:w="28" w:type="dxa"/>
            </w:tcMar>
            <w:vAlign w:val="bottom"/>
          </w:tcPr>
          <w:p w:rsidR="008F6543" w:rsidRPr="00222917" w:rsidRDefault="008F6543" w:rsidP="0010529D">
            <w:pPr>
              <w:suppressAutoHyphens w:val="0"/>
              <w:snapToGrid w:val="0"/>
              <w:spacing w:before="80" w:after="80" w:line="200" w:lineRule="exact"/>
              <w:rPr>
                <w:i/>
                <w:sz w:val="16"/>
                <w:szCs w:val="16"/>
                <w:lang w:val="en-US"/>
              </w:rPr>
            </w:pPr>
            <w:r w:rsidRPr="00222917">
              <w:rPr>
                <w:bCs/>
                <w:i/>
                <w:sz w:val="16"/>
                <w:szCs w:val="16"/>
                <w:lang w:val="en-US"/>
              </w:rPr>
              <w:t>Year</w:t>
            </w:r>
          </w:p>
        </w:tc>
        <w:tc>
          <w:tcPr>
            <w:tcW w:w="964" w:type="dxa"/>
            <w:gridSpan w:val="7"/>
            <w:tcBorders>
              <w:top w:val="single" w:sz="4" w:space="0" w:color="auto"/>
              <w:bottom w:val="single" w:sz="4" w:space="0" w:color="auto"/>
            </w:tcBorders>
            <w:shd w:val="clear" w:color="auto" w:fill="auto"/>
            <w:tcMar>
              <w:top w:w="28" w:type="dxa"/>
              <w:left w:w="28" w:type="dxa"/>
              <w:bottom w:w="28" w:type="dxa"/>
              <w:right w:w="28" w:type="dxa"/>
            </w:tcMar>
            <w:vAlign w:val="bottom"/>
          </w:tcPr>
          <w:p w:rsidR="008F6543" w:rsidRPr="00222917" w:rsidRDefault="008F6543" w:rsidP="0010529D">
            <w:pPr>
              <w:suppressAutoHyphens w:val="0"/>
              <w:snapToGrid w:val="0"/>
              <w:spacing w:before="80" w:after="80" w:line="200" w:lineRule="exact"/>
              <w:jc w:val="center"/>
              <w:rPr>
                <w:i/>
                <w:sz w:val="16"/>
                <w:szCs w:val="16"/>
                <w:lang w:val="en-US"/>
              </w:rPr>
            </w:pPr>
            <w:r w:rsidRPr="00222917">
              <w:rPr>
                <w:bCs/>
                <w:i/>
                <w:sz w:val="16"/>
                <w:szCs w:val="16"/>
                <w:lang w:val="en-US"/>
              </w:rPr>
              <w:t>Legal Aid</w:t>
            </w:r>
          </w:p>
        </w:tc>
        <w:tc>
          <w:tcPr>
            <w:tcW w:w="1134" w:type="dxa"/>
            <w:vMerge w:val="restart"/>
            <w:tcBorders>
              <w:top w:val="single" w:sz="4" w:space="0" w:color="auto"/>
              <w:bottom w:val="single" w:sz="12" w:space="0" w:color="auto"/>
            </w:tcBorders>
            <w:shd w:val="clear" w:color="auto" w:fill="auto"/>
            <w:tcMar>
              <w:top w:w="28" w:type="dxa"/>
              <w:left w:w="28" w:type="dxa"/>
              <w:bottom w:w="28" w:type="dxa"/>
              <w:right w:w="28" w:type="dxa"/>
            </w:tcMar>
            <w:vAlign w:val="bottom"/>
          </w:tcPr>
          <w:p w:rsidR="008F6543" w:rsidRPr="00222917" w:rsidRDefault="008F6543" w:rsidP="0010529D">
            <w:pPr>
              <w:suppressAutoHyphens w:val="0"/>
              <w:snapToGrid w:val="0"/>
              <w:spacing w:before="80" w:after="80" w:line="200" w:lineRule="exact"/>
              <w:jc w:val="right"/>
              <w:rPr>
                <w:i/>
                <w:sz w:val="16"/>
                <w:szCs w:val="16"/>
                <w:lang w:val="en-US"/>
              </w:rPr>
            </w:pPr>
            <w:r w:rsidRPr="00222917">
              <w:rPr>
                <w:bCs/>
                <w:i/>
                <w:sz w:val="16"/>
                <w:szCs w:val="16"/>
                <w:lang w:val="en-US"/>
              </w:rPr>
              <w:br/>
            </w:r>
            <w:r w:rsidR="0010529D" w:rsidRPr="00222917">
              <w:rPr>
                <w:bCs/>
                <w:i/>
                <w:sz w:val="16"/>
                <w:szCs w:val="16"/>
                <w:lang w:val="en-US"/>
              </w:rPr>
              <w:t>Counselling</w:t>
            </w:r>
            <w:r w:rsidRPr="00222917">
              <w:rPr>
                <w:bCs/>
                <w:i/>
                <w:sz w:val="16"/>
                <w:szCs w:val="16"/>
                <w:lang w:val="en-US"/>
              </w:rPr>
              <w:t xml:space="preserve"> (visit/telephone)</w:t>
            </w:r>
          </w:p>
        </w:tc>
      </w:tr>
      <w:tr w:rsidR="008F6543" w:rsidRPr="00222917" w:rsidTr="003F17B3">
        <w:trPr>
          <w:tblHeader/>
        </w:trPr>
        <w:tc>
          <w:tcPr>
            <w:tcW w:w="624" w:type="dxa"/>
            <w:vMerge/>
            <w:tcBorders>
              <w:top w:val="single" w:sz="12" w:space="0" w:color="auto"/>
            </w:tcBorders>
            <w:shd w:val="clear" w:color="auto" w:fill="auto"/>
            <w:vAlign w:val="bottom"/>
          </w:tcPr>
          <w:p w:rsidR="008F6543" w:rsidRPr="00222917" w:rsidRDefault="008F6543" w:rsidP="0010529D">
            <w:pPr>
              <w:suppressAutoHyphens w:val="0"/>
              <w:spacing w:before="80" w:after="80" w:line="200" w:lineRule="exact"/>
              <w:rPr>
                <w:i/>
                <w:sz w:val="16"/>
                <w:szCs w:val="16"/>
                <w:lang w:val="en-US"/>
              </w:rPr>
            </w:pPr>
          </w:p>
        </w:tc>
        <w:tc>
          <w:tcPr>
            <w:tcW w:w="964" w:type="dxa"/>
            <w:vMerge w:val="restart"/>
            <w:tcBorders>
              <w:top w:val="single" w:sz="4" w:space="0" w:color="auto"/>
            </w:tcBorders>
            <w:shd w:val="clear" w:color="auto" w:fill="auto"/>
            <w:tcMar>
              <w:top w:w="28" w:type="dxa"/>
              <w:left w:w="28" w:type="dxa"/>
              <w:bottom w:w="28" w:type="dxa"/>
              <w:right w:w="28" w:type="dxa"/>
            </w:tcMar>
            <w:vAlign w:val="bottom"/>
          </w:tcPr>
          <w:p w:rsidR="008F6543" w:rsidRPr="00222917" w:rsidRDefault="008F6543" w:rsidP="0010529D">
            <w:pPr>
              <w:suppressAutoHyphens w:val="0"/>
              <w:snapToGrid w:val="0"/>
              <w:spacing w:before="80" w:after="80" w:line="200" w:lineRule="exact"/>
              <w:jc w:val="right"/>
              <w:rPr>
                <w:b/>
                <w:i/>
                <w:sz w:val="16"/>
                <w:szCs w:val="16"/>
                <w:lang w:val="en-US"/>
              </w:rPr>
            </w:pPr>
            <w:r w:rsidRPr="00222917">
              <w:rPr>
                <w:b/>
                <w:bCs/>
                <w:i/>
                <w:sz w:val="16"/>
                <w:szCs w:val="16"/>
                <w:lang w:val="en-US"/>
              </w:rPr>
              <w:t>Total</w:t>
            </w:r>
          </w:p>
        </w:tc>
        <w:tc>
          <w:tcPr>
            <w:tcW w:w="964" w:type="dxa"/>
            <w:tcBorders>
              <w:top w:val="single" w:sz="4" w:space="0" w:color="auto"/>
            </w:tcBorders>
            <w:shd w:val="clear" w:color="auto" w:fill="auto"/>
            <w:tcMar>
              <w:top w:w="28" w:type="dxa"/>
              <w:left w:w="28" w:type="dxa"/>
              <w:bottom w:w="28" w:type="dxa"/>
              <w:right w:w="28" w:type="dxa"/>
            </w:tcMar>
            <w:vAlign w:val="bottom"/>
          </w:tcPr>
          <w:p w:rsidR="008F6543" w:rsidRPr="00222917" w:rsidRDefault="008F6543" w:rsidP="0010529D">
            <w:pPr>
              <w:suppressAutoHyphens w:val="0"/>
              <w:snapToGrid w:val="0"/>
              <w:spacing w:before="80" w:after="80" w:line="200" w:lineRule="exact"/>
              <w:jc w:val="right"/>
              <w:rPr>
                <w:i/>
                <w:sz w:val="16"/>
                <w:szCs w:val="16"/>
                <w:lang w:val="en-US"/>
              </w:rPr>
            </w:pPr>
          </w:p>
        </w:tc>
        <w:tc>
          <w:tcPr>
            <w:tcW w:w="964" w:type="dxa"/>
            <w:gridSpan w:val="4"/>
            <w:tcBorders>
              <w:top w:val="single" w:sz="4" w:space="0" w:color="auto"/>
              <w:bottom w:val="single" w:sz="4" w:space="0" w:color="auto"/>
            </w:tcBorders>
            <w:shd w:val="clear" w:color="auto" w:fill="auto"/>
            <w:tcMar>
              <w:top w:w="28" w:type="dxa"/>
              <w:left w:w="28" w:type="dxa"/>
              <w:bottom w:w="28" w:type="dxa"/>
              <w:right w:w="28" w:type="dxa"/>
            </w:tcMar>
            <w:vAlign w:val="bottom"/>
          </w:tcPr>
          <w:p w:rsidR="008F6543" w:rsidRPr="00222917" w:rsidRDefault="008F6543" w:rsidP="0010529D">
            <w:pPr>
              <w:suppressAutoHyphens w:val="0"/>
              <w:snapToGrid w:val="0"/>
              <w:spacing w:before="80" w:after="80" w:line="200" w:lineRule="exact"/>
              <w:jc w:val="center"/>
              <w:rPr>
                <w:i/>
                <w:sz w:val="16"/>
                <w:szCs w:val="16"/>
                <w:lang w:val="en-US"/>
              </w:rPr>
            </w:pPr>
            <w:r w:rsidRPr="00222917">
              <w:rPr>
                <w:bCs/>
                <w:i/>
                <w:sz w:val="16"/>
                <w:szCs w:val="16"/>
                <w:lang w:val="en-US"/>
              </w:rPr>
              <w:t>Civil</w:t>
            </w:r>
          </w:p>
        </w:tc>
        <w:tc>
          <w:tcPr>
            <w:tcW w:w="964" w:type="dxa"/>
            <w:vMerge w:val="restart"/>
            <w:tcBorders>
              <w:top w:val="single" w:sz="4" w:space="0" w:color="auto"/>
            </w:tcBorders>
            <w:shd w:val="clear" w:color="auto" w:fill="auto"/>
            <w:tcMar>
              <w:top w:w="28" w:type="dxa"/>
              <w:left w:w="28" w:type="dxa"/>
              <w:bottom w:w="28" w:type="dxa"/>
              <w:right w:w="28" w:type="dxa"/>
            </w:tcMar>
            <w:vAlign w:val="bottom"/>
          </w:tcPr>
          <w:p w:rsidR="008F6543" w:rsidRPr="00222917" w:rsidRDefault="008F6543" w:rsidP="0010529D">
            <w:pPr>
              <w:suppressAutoHyphens w:val="0"/>
              <w:snapToGrid w:val="0"/>
              <w:spacing w:before="80" w:after="80" w:line="200" w:lineRule="exact"/>
              <w:jc w:val="right"/>
              <w:rPr>
                <w:i/>
                <w:sz w:val="16"/>
                <w:szCs w:val="16"/>
                <w:lang w:val="en-US"/>
              </w:rPr>
            </w:pPr>
            <w:r w:rsidRPr="00222917">
              <w:rPr>
                <w:bCs/>
                <w:i/>
                <w:sz w:val="16"/>
                <w:szCs w:val="16"/>
                <w:lang w:val="en-US"/>
              </w:rPr>
              <w:t>Criminal</w:t>
            </w:r>
          </w:p>
        </w:tc>
        <w:tc>
          <w:tcPr>
            <w:tcW w:w="1134" w:type="dxa"/>
            <w:vMerge/>
            <w:tcBorders>
              <w:top w:val="single" w:sz="12" w:space="0" w:color="auto"/>
            </w:tcBorders>
            <w:shd w:val="clear" w:color="auto" w:fill="auto"/>
            <w:vAlign w:val="bottom"/>
          </w:tcPr>
          <w:p w:rsidR="008F6543" w:rsidRPr="00222917" w:rsidRDefault="008F6543" w:rsidP="0010529D">
            <w:pPr>
              <w:suppressAutoHyphens w:val="0"/>
              <w:spacing w:before="80" w:after="80" w:line="200" w:lineRule="exact"/>
              <w:jc w:val="right"/>
              <w:rPr>
                <w:i/>
                <w:sz w:val="16"/>
                <w:szCs w:val="16"/>
                <w:lang w:val="en-US"/>
              </w:rPr>
            </w:pPr>
          </w:p>
        </w:tc>
      </w:tr>
      <w:tr w:rsidR="008F6543" w:rsidRPr="00222917" w:rsidTr="003F17B3">
        <w:trPr>
          <w:tblHeader/>
        </w:trPr>
        <w:tc>
          <w:tcPr>
            <w:tcW w:w="624" w:type="dxa"/>
            <w:vMerge/>
            <w:tcBorders>
              <w:bottom w:val="single" w:sz="12" w:space="0" w:color="auto"/>
            </w:tcBorders>
            <w:shd w:val="clear" w:color="auto" w:fill="auto"/>
            <w:vAlign w:val="bottom"/>
          </w:tcPr>
          <w:p w:rsidR="008F6543" w:rsidRPr="00222917" w:rsidRDefault="008F6543" w:rsidP="0010529D">
            <w:pPr>
              <w:suppressAutoHyphens w:val="0"/>
              <w:spacing w:before="80" w:after="80" w:line="200" w:lineRule="exact"/>
              <w:rPr>
                <w:i/>
                <w:sz w:val="16"/>
                <w:szCs w:val="16"/>
                <w:lang w:val="en-US"/>
              </w:rPr>
            </w:pPr>
          </w:p>
        </w:tc>
        <w:tc>
          <w:tcPr>
            <w:tcW w:w="964" w:type="dxa"/>
            <w:vMerge/>
            <w:tcBorders>
              <w:bottom w:val="single" w:sz="12" w:space="0" w:color="auto"/>
            </w:tcBorders>
            <w:shd w:val="clear" w:color="auto" w:fill="auto"/>
            <w:vAlign w:val="bottom"/>
          </w:tcPr>
          <w:p w:rsidR="008F6543" w:rsidRPr="00222917" w:rsidRDefault="008F6543" w:rsidP="0010529D">
            <w:pPr>
              <w:suppressAutoHyphens w:val="0"/>
              <w:spacing w:before="80" w:after="80" w:line="200" w:lineRule="exact"/>
              <w:jc w:val="right"/>
              <w:rPr>
                <w:b/>
                <w:i/>
                <w:sz w:val="16"/>
                <w:szCs w:val="16"/>
                <w:lang w:val="en-US"/>
              </w:rPr>
            </w:pPr>
          </w:p>
        </w:tc>
        <w:tc>
          <w:tcPr>
            <w:tcW w:w="964" w:type="dxa"/>
            <w:tcBorders>
              <w:bottom w:val="single" w:sz="12" w:space="0" w:color="auto"/>
            </w:tcBorders>
            <w:shd w:val="clear" w:color="auto" w:fill="auto"/>
            <w:tcMar>
              <w:top w:w="28" w:type="dxa"/>
              <w:left w:w="28" w:type="dxa"/>
              <w:bottom w:w="28" w:type="dxa"/>
              <w:right w:w="28" w:type="dxa"/>
            </w:tcMar>
            <w:vAlign w:val="bottom"/>
          </w:tcPr>
          <w:p w:rsidR="008F6543" w:rsidRPr="00222917" w:rsidRDefault="008F6543" w:rsidP="0010529D">
            <w:pPr>
              <w:suppressAutoHyphens w:val="0"/>
              <w:snapToGrid w:val="0"/>
              <w:spacing w:before="80" w:after="80" w:line="200" w:lineRule="exact"/>
              <w:jc w:val="right"/>
              <w:rPr>
                <w:i/>
                <w:sz w:val="16"/>
                <w:szCs w:val="16"/>
                <w:lang w:val="en-US"/>
              </w:rPr>
            </w:pPr>
            <w:r w:rsidRPr="00222917">
              <w:rPr>
                <w:bCs/>
                <w:i/>
                <w:sz w:val="16"/>
                <w:szCs w:val="16"/>
                <w:lang w:val="en-US"/>
              </w:rPr>
              <w:t>Change</w:t>
            </w:r>
          </w:p>
        </w:tc>
        <w:tc>
          <w:tcPr>
            <w:tcW w:w="964"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8F6543" w:rsidRPr="00222917" w:rsidRDefault="008F6543" w:rsidP="00537E9A">
            <w:pPr>
              <w:suppressAutoHyphens w:val="0"/>
              <w:snapToGrid w:val="0"/>
              <w:spacing w:before="80" w:after="80" w:line="200" w:lineRule="exact"/>
              <w:jc w:val="right"/>
              <w:rPr>
                <w:b/>
                <w:i/>
                <w:sz w:val="16"/>
                <w:szCs w:val="16"/>
                <w:lang w:val="en-US"/>
              </w:rPr>
            </w:pPr>
            <w:r w:rsidRPr="00222917">
              <w:rPr>
                <w:b/>
                <w:bCs/>
                <w:i/>
                <w:sz w:val="16"/>
                <w:szCs w:val="16"/>
                <w:lang w:val="en-US"/>
              </w:rPr>
              <w:t>Subtotal</w:t>
            </w:r>
          </w:p>
        </w:tc>
        <w:tc>
          <w:tcPr>
            <w:tcW w:w="964"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8F6543" w:rsidRPr="00222917" w:rsidRDefault="008F6543" w:rsidP="00537E9A">
            <w:pPr>
              <w:suppressAutoHyphens w:val="0"/>
              <w:snapToGrid w:val="0"/>
              <w:spacing w:before="80" w:after="80" w:line="200" w:lineRule="exact"/>
              <w:jc w:val="right"/>
              <w:rPr>
                <w:i/>
                <w:sz w:val="16"/>
                <w:szCs w:val="16"/>
                <w:lang w:val="en-US"/>
              </w:rPr>
            </w:pPr>
            <w:r w:rsidRPr="00222917">
              <w:rPr>
                <w:rFonts w:eastAsia="휴먼명조"/>
                <w:i/>
                <w:sz w:val="16"/>
                <w:szCs w:val="16"/>
                <w:lang w:val="en-US"/>
              </w:rPr>
              <w:t>Pre</w:t>
            </w:r>
            <w:r w:rsidR="00537E9A" w:rsidRPr="00222917">
              <w:rPr>
                <w:rFonts w:eastAsia="휴먼명조"/>
                <w:i/>
                <w:sz w:val="16"/>
                <w:szCs w:val="16"/>
                <w:lang w:val="en-US"/>
              </w:rPr>
              <w:t>-</w:t>
            </w:r>
            <w:r w:rsidR="00537E9A" w:rsidRPr="00222917">
              <w:rPr>
                <w:rFonts w:eastAsia="휴먼명조"/>
                <w:i/>
                <w:sz w:val="16"/>
                <w:szCs w:val="16"/>
                <w:lang w:val="en-US"/>
              </w:rPr>
              <w:br/>
            </w:r>
            <w:r w:rsidRPr="00222917">
              <w:rPr>
                <w:rFonts w:eastAsia="휴먼명조"/>
                <w:i/>
                <w:sz w:val="16"/>
                <w:szCs w:val="16"/>
                <w:lang w:val="en-US"/>
              </w:rPr>
              <w:t>litigation aid</w:t>
            </w:r>
          </w:p>
        </w:tc>
        <w:tc>
          <w:tcPr>
            <w:tcW w:w="964"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8F6543" w:rsidRPr="00222917" w:rsidRDefault="008F6543" w:rsidP="0010529D">
            <w:pPr>
              <w:suppressAutoHyphens w:val="0"/>
              <w:snapToGrid w:val="0"/>
              <w:spacing w:before="80" w:after="80" w:line="200" w:lineRule="exact"/>
              <w:jc w:val="right"/>
              <w:rPr>
                <w:i/>
                <w:sz w:val="16"/>
                <w:szCs w:val="16"/>
                <w:lang w:val="en-US"/>
              </w:rPr>
            </w:pPr>
            <w:r w:rsidRPr="00222917">
              <w:rPr>
                <w:bCs/>
                <w:i/>
                <w:sz w:val="16"/>
                <w:szCs w:val="16"/>
                <w:lang w:val="en-US"/>
              </w:rPr>
              <w:t>Document preparation</w:t>
            </w:r>
          </w:p>
        </w:tc>
        <w:tc>
          <w:tcPr>
            <w:tcW w:w="964"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8F6543" w:rsidRPr="00222917" w:rsidRDefault="008F6543" w:rsidP="00537E9A">
            <w:pPr>
              <w:suppressAutoHyphens w:val="0"/>
              <w:snapToGrid w:val="0"/>
              <w:spacing w:before="80" w:after="80" w:line="200" w:lineRule="exact"/>
              <w:jc w:val="right"/>
              <w:rPr>
                <w:i/>
                <w:sz w:val="16"/>
                <w:szCs w:val="16"/>
                <w:lang w:val="en-US"/>
              </w:rPr>
            </w:pPr>
            <w:r w:rsidRPr="00222917">
              <w:rPr>
                <w:bCs/>
                <w:i/>
                <w:sz w:val="16"/>
                <w:szCs w:val="16"/>
                <w:lang w:val="en-US"/>
              </w:rPr>
              <w:t>Legal pro</w:t>
            </w:r>
            <w:r w:rsidR="00537E9A" w:rsidRPr="00222917">
              <w:rPr>
                <w:bCs/>
                <w:i/>
                <w:sz w:val="16"/>
                <w:szCs w:val="16"/>
                <w:lang w:val="en-US"/>
              </w:rPr>
              <w:t>-</w:t>
            </w:r>
            <w:r w:rsidR="00537E9A" w:rsidRPr="00222917">
              <w:rPr>
                <w:bCs/>
                <w:i/>
                <w:sz w:val="16"/>
                <w:szCs w:val="16"/>
                <w:lang w:val="en-US"/>
              </w:rPr>
              <w:br/>
            </w:r>
            <w:r w:rsidRPr="00222917">
              <w:rPr>
                <w:bCs/>
                <w:i/>
                <w:sz w:val="16"/>
                <w:szCs w:val="16"/>
                <w:lang w:val="en-US"/>
              </w:rPr>
              <w:t>ceeding aid</w:t>
            </w:r>
          </w:p>
        </w:tc>
        <w:tc>
          <w:tcPr>
            <w:tcW w:w="964" w:type="dxa"/>
            <w:vMerge/>
            <w:tcBorders>
              <w:bottom w:val="single" w:sz="12" w:space="0" w:color="auto"/>
            </w:tcBorders>
            <w:shd w:val="clear" w:color="auto" w:fill="auto"/>
            <w:vAlign w:val="bottom"/>
          </w:tcPr>
          <w:p w:rsidR="008F6543" w:rsidRPr="00222917" w:rsidRDefault="008F6543" w:rsidP="0010529D">
            <w:pPr>
              <w:suppressAutoHyphens w:val="0"/>
              <w:spacing w:before="80" w:after="80" w:line="200" w:lineRule="exact"/>
              <w:jc w:val="right"/>
              <w:rPr>
                <w:i/>
                <w:sz w:val="16"/>
                <w:szCs w:val="16"/>
                <w:lang w:val="en-US"/>
              </w:rPr>
            </w:pPr>
          </w:p>
        </w:tc>
        <w:tc>
          <w:tcPr>
            <w:tcW w:w="1134" w:type="dxa"/>
            <w:vMerge/>
            <w:tcBorders>
              <w:bottom w:val="single" w:sz="12" w:space="0" w:color="auto"/>
            </w:tcBorders>
            <w:shd w:val="clear" w:color="auto" w:fill="auto"/>
            <w:vAlign w:val="bottom"/>
          </w:tcPr>
          <w:p w:rsidR="008F6543" w:rsidRPr="00222917" w:rsidRDefault="008F6543" w:rsidP="0010529D">
            <w:pPr>
              <w:suppressAutoHyphens w:val="0"/>
              <w:spacing w:before="80" w:after="80" w:line="200" w:lineRule="exact"/>
              <w:jc w:val="right"/>
              <w:rPr>
                <w:i/>
                <w:sz w:val="16"/>
                <w:szCs w:val="16"/>
                <w:lang w:val="en-US"/>
              </w:rPr>
            </w:pPr>
          </w:p>
        </w:tc>
      </w:tr>
      <w:tr w:rsidR="008F6543" w:rsidRPr="00222917" w:rsidTr="003F17B3">
        <w:tc>
          <w:tcPr>
            <w:tcW w:w="624" w:type="dxa"/>
            <w:tcBorders>
              <w:top w:val="single" w:sz="12" w:space="0" w:color="auto"/>
            </w:tcBorders>
            <w:shd w:val="clear" w:color="auto" w:fill="auto"/>
            <w:tcMar>
              <w:top w:w="28" w:type="dxa"/>
              <w:left w:w="28" w:type="dxa"/>
              <w:bottom w:w="28" w:type="dxa"/>
              <w:right w:w="28" w:type="dxa"/>
            </w:tcMar>
          </w:tcPr>
          <w:p w:rsidR="008F6543" w:rsidRPr="00222917" w:rsidRDefault="008F6543" w:rsidP="0010529D">
            <w:pPr>
              <w:suppressAutoHyphens w:val="0"/>
              <w:snapToGrid w:val="0"/>
              <w:spacing w:before="40" w:after="40" w:line="220" w:lineRule="exact"/>
              <w:rPr>
                <w:sz w:val="18"/>
                <w:szCs w:val="22"/>
                <w:lang w:val="en-US"/>
              </w:rPr>
            </w:pPr>
            <w:r w:rsidRPr="00222917">
              <w:rPr>
                <w:sz w:val="18"/>
                <w:szCs w:val="22"/>
                <w:lang w:val="en-US"/>
              </w:rPr>
              <w:t>2005</w:t>
            </w:r>
          </w:p>
        </w:tc>
        <w:tc>
          <w:tcPr>
            <w:tcW w:w="964" w:type="dxa"/>
            <w:tcBorders>
              <w:top w:val="single" w:sz="12" w:space="0" w:color="auto"/>
            </w:tcBorders>
            <w:shd w:val="clear" w:color="auto" w:fill="auto"/>
            <w:tcMar>
              <w:top w:w="28" w:type="dxa"/>
              <w:left w:w="28" w:type="dxa"/>
              <w:bottom w:w="28" w:type="dxa"/>
              <w:right w:w="28" w:type="dxa"/>
            </w:tcMar>
            <w:vAlign w:val="bottom"/>
          </w:tcPr>
          <w:p w:rsidR="008F6543" w:rsidRPr="00222917" w:rsidRDefault="008F6543" w:rsidP="0010529D">
            <w:pPr>
              <w:suppressAutoHyphens w:val="0"/>
              <w:snapToGrid w:val="0"/>
              <w:spacing w:before="40" w:after="40" w:line="220" w:lineRule="exact"/>
              <w:jc w:val="right"/>
              <w:rPr>
                <w:b/>
                <w:sz w:val="18"/>
                <w:szCs w:val="22"/>
                <w:lang w:val="en-US"/>
              </w:rPr>
            </w:pPr>
            <w:r w:rsidRPr="00222917">
              <w:rPr>
                <w:b/>
                <w:sz w:val="18"/>
                <w:szCs w:val="22"/>
                <w:lang w:val="en-US"/>
              </w:rPr>
              <w:t>76,058</w:t>
            </w:r>
          </w:p>
        </w:tc>
        <w:tc>
          <w:tcPr>
            <w:tcW w:w="964" w:type="dxa"/>
            <w:tcBorders>
              <w:top w:val="single" w:sz="12" w:space="0" w:color="auto"/>
            </w:tcBorders>
            <w:shd w:val="clear" w:color="auto" w:fill="auto"/>
            <w:tcMar>
              <w:top w:w="28" w:type="dxa"/>
              <w:left w:w="28" w:type="dxa"/>
              <w:bottom w:w="28" w:type="dxa"/>
              <w:right w:w="28" w:type="dxa"/>
            </w:tcMar>
            <w:vAlign w:val="bottom"/>
          </w:tcPr>
          <w:p w:rsidR="008F6543" w:rsidRPr="00222917" w:rsidRDefault="008F6543" w:rsidP="0010529D">
            <w:pPr>
              <w:suppressAutoHyphens w:val="0"/>
              <w:snapToGrid w:val="0"/>
              <w:spacing w:before="40" w:after="40" w:line="220" w:lineRule="exact"/>
              <w:jc w:val="right"/>
              <w:rPr>
                <w:sz w:val="18"/>
                <w:szCs w:val="22"/>
                <w:lang w:val="en-US"/>
              </w:rPr>
            </w:pPr>
            <w:r w:rsidRPr="00222917">
              <w:rPr>
                <w:sz w:val="18"/>
                <w:szCs w:val="22"/>
                <w:lang w:val="en-US"/>
              </w:rPr>
              <w:t>9.4</w:t>
            </w:r>
          </w:p>
        </w:tc>
        <w:tc>
          <w:tcPr>
            <w:tcW w:w="964" w:type="dxa"/>
            <w:tcBorders>
              <w:top w:val="single" w:sz="12" w:space="0" w:color="auto"/>
            </w:tcBorders>
            <w:shd w:val="clear" w:color="auto" w:fill="auto"/>
            <w:tcMar>
              <w:top w:w="28" w:type="dxa"/>
              <w:left w:w="28" w:type="dxa"/>
              <w:bottom w:w="28" w:type="dxa"/>
              <w:right w:w="28" w:type="dxa"/>
            </w:tcMar>
            <w:vAlign w:val="bottom"/>
          </w:tcPr>
          <w:p w:rsidR="008F6543" w:rsidRPr="00222917" w:rsidRDefault="008F6543" w:rsidP="0010529D">
            <w:pPr>
              <w:suppressAutoHyphens w:val="0"/>
              <w:snapToGrid w:val="0"/>
              <w:spacing w:before="40" w:after="40" w:line="220" w:lineRule="exact"/>
              <w:jc w:val="right"/>
              <w:rPr>
                <w:b/>
                <w:sz w:val="18"/>
                <w:szCs w:val="22"/>
                <w:lang w:val="en-US"/>
              </w:rPr>
            </w:pPr>
            <w:r w:rsidRPr="00222917">
              <w:rPr>
                <w:b/>
                <w:sz w:val="18"/>
                <w:szCs w:val="22"/>
                <w:lang w:val="en-US"/>
              </w:rPr>
              <w:t>58,980</w:t>
            </w:r>
          </w:p>
        </w:tc>
        <w:tc>
          <w:tcPr>
            <w:tcW w:w="964" w:type="dxa"/>
            <w:tcBorders>
              <w:top w:val="single" w:sz="12" w:space="0" w:color="auto"/>
            </w:tcBorders>
            <w:shd w:val="clear" w:color="auto" w:fill="auto"/>
            <w:tcMar>
              <w:top w:w="28" w:type="dxa"/>
              <w:left w:w="28" w:type="dxa"/>
              <w:bottom w:w="28" w:type="dxa"/>
              <w:right w:w="28" w:type="dxa"/>
            </w:tcMar>
            <w:vAlign w:val="bottom"/>
          </w:tcPr>
          <w:p w:rsidR="008F6543" w:rsidRPr="00222917" w:rsidRDefault="008F6543" w:rsidP="0010529D">
            <w:pPr>
              <w:suppressAutoHyphens w:val="0"/>
              <w:snapToGrid w:val="0"/>
              <w:spacing w:before="40" w:after="40" w:line="220" w:lineRule="exact"/>
              <w:jc w:val="right"/>
              <w:rPr>
                <w:sz w:val="18"/>
                <w:szCs w:val="22"/>
                <w:lang w:val="en-US"/>
              </w:rPr>
            </w:pPr>
            <w:r w:rsidRPr="00222917">
              <w:rPr>
                <w:sz w:val="18"/>
                <w:szCs w:val="22"/>
                <w:lang w:val="en-US"/>
              </w:rPr>
              <w:t>453</w:t>
            </w:r>
          </w:p>
        </w:tc>
        <w:tc>
          <w:tcPr>
            <w:tcW w:w="964" w:type="dxa"/>
            <w:tcBorders>
              <w:top w:val="single" w:sz="12" w:space="0" w:color="auto"/>
            </w:tcBorders>
            <w:shd w:val="clear" w:color="auto" w:fill="auto"/>
            <w:tcMar>
              <w:top w:w="28" w:type="dxa"/>
              <w:left w:w="28" w:type="dxa"/>
              <w:bottom w:w="28" w:type="dxa"/>
              <w:right w:w="28" w:type="dxa"/>
            </w:tcMar>
            <w:vAlign w:val="bottom"/>
          </w:tcPr>
          <w:p w:rsidR="008F6543" w:rsidRPr="00222917" w:rsidRDefault="008F6543" w:rsidP="0010529D">
            <w:pPr>
              <w:suppressAutoHyphens w:val="0"/>
              <w:snapToGrid w:val="0"/>
              <w:spacing w:before="40" w:after="40" w:line="220" w:lineRule="exact"/>
              <w:jc w:val="right"/>
              <w:rPr>
                <w:sz w:val="18"/>
                <w:szCs w:val="22"/>
                <w:lang w:val="en-US"/>
              </w:rPr>
            </w:pPr>
            <w:r w:rsidRPr="00222917">
              <w:rPr>
                <w:sz w:val="18"/>
                <w:szCs w:val="22"/>
                <w:lang w:val="en-US"/>
              </w:rPr>
              <w:t>29,004</w:t>
            </w:r>
          </w:p>
        </w:tc>
        <w:tc>
          <w:tcPr>
            <w:tcW w:w="964" w:type="dxa"/>
            <w:tcBorders>
              <w:top w:val="single" w:sz="12" w:space="0" w:color="auto"/>
            </w:tcBorders>
            <w:shd w:val="clear" w:color="auto" w:fill="auto"/>
            <w:tcMar>
              <w:top w:w="28" w:type="dxa"/>
              <w:left w:w="28" w:type="dxa"/>
              <w:bottom w:w="28" w:type="dxa"/>
              <w:right w:w="28" w:type="dxa"/>
            </w:tcMar>
            <w:vAlign w:val="bottom"/>
          </w:tcPr>
          <w:p w:rsidR="008F6543" w:rsidRPr="00222917" w:rsidRDefault="008F6543" w:rsidP="0010529D">
            <w:pPr>
              <w:suppressAutoHyphens w:val="0"/>
              <w:snapToGrid w:val="0"/>
              <w:spacing w:before="40" w:after="40" w:line="220" w:lineRule="exact"/>
              <w:jc w:val="right"/>
              <w:rPr>
                <w:sz w:val="18"/>
                <w:szCs w:val="22"/>
                <w:lang w:val="en-US"/>
              </w:rPr>
            </w:pPr>
            <w:r w:rsidRPr="00222917">
              <w:rPr>
                <w:sz w:val="18"/>
                <w:szCs w:val="22"/>
                <w:lang w:val="en-US"/>
              </w:rPr>
              <w:t>29,523</w:t>
            </w:r>
          </w:p>
        </w:tc>
        <w:tc>
          <w:tcPr>
            <w:tcW w:w="964" w:type="dxa"/>
            <w:tcBorders>
              <w:top w:val="single" w:sz="12" w:space="0" w:color="auto"/>
            </w:tcBorders>
            <w:shd w:val="clear" w:color="auto" w:fill="auto"/>
            <w:tcMar>
              <w:top w:w="28" w:type="dxa"/>
              <w:left w:w="28" w:type="dxa"/>
              <w:bottom w:w="28" w:type="dxa"/>
              <w:right w:w="28" w:type="dxa"/>
            </w:tcMar>
            <w:vAlign w:val="bottom"/>
          </w:tcPr>
          <w:p w:rsidR="008F6543" w:rsidRPr="00222917" w:rsidRDefault="008F6543" w:rsidP="0010529D">
            <w:pPr>
              <w:suppressAutoHyphens w:val="0"/>
              <w:snapToGrid w:val="0"/>
              <w:spacing w:before="40" w:after="40" w:line="220" w:lineRule="exact"/>
              <w:jc w:val="right"/>
              <w:rPr>
                <w:sz w:val="18"/>
                <w:szCs w:val="22"/>
                <w:lang w:val="en-US"/>
              </w:rPr>
            </w:pPr>
            <w:r w:rsidRPr="00222917">
              <w:rPr>
                <w:sz w:val="18"/>
                <w:szCs w:val="22"/>
                <w:lang w:val="en-US"/>
              </w:rPr>
              <w:t>17,078</w:t>
            </w:r>
          </w:p>
        </w:tc>
        <w:tc>
          <w:tcPr>
            <w:tcW w:w="1134" w:type="dxa"/>
            <w:tcBorders>
              <w:top w:val="single" w:sz="12" w:space="0" w:color="auto"/>
            </w:tcBorders>
            <w:shd w:val="clear" w:color="auto" w:fill="auto"/>
            <w:tcMar>
              <w:top w:w="28" w:type="dxa"/>
              <w:left w:w="28" w:type="dxa"/>
              <w:bottom w:w="28" w:type="dxa"/>
              <w:right w:w="28" w:type="dxa"/>
            </w:tcMar>
            <w:vAlign w:val="bottom"/>
          </w:tcPr>
          <w:p w:rsidR="008F6543" w:rsidRPr="00222917" w:rsidRDefault="008F6543" w:rsidP="0010529D">
            <w:pPr>
              <w:suppressAutoHyphens w:val="0"/>
              <w:snapToGrid w:val="0"/>
              <w:spacing w:before="40" w:after="40" w:line="220" w:lineRule="exact"/>
              <w:jc w:val="right"/>
              <w:rPr>
                <w:sz w:val="18"/>
                <w:szCs w:val="22"/>
                <w:lang w:val="en-US"/>
              </w:rPr>
            </w:pPr>
            <w:r w:rsidRPr="00222917">
              <w:rPr>
                <w:sz w:val="18"/>
                <w:szCs w:val="22"/>
                <w:lang w:val="en-US"/>
              </w:rPr>
              <w:t>1,002,908</w:t>
            </w:r>
          </w:p>
        </w:tc>
      </w:tr>
      <w:tr w:rsidR="008F6543" w:rsidRPr="00222917" w:rsidTr="003F17B3">
        <w:tc>
          <w:tcPr>
            <w:tcW w:w="624" w:type="dxa"/>
            <w:shd w:val="clear" w:color="auto" w:fill="auto"/>
            <w:tcMar>
              <w:top w:w="28" w:type="dxa"/>
              <w:left w:w="28" w:type="dxa"/>
              <w:bottom w:w="28" w:type="dxa"/>
              <w:right w:w="28" w:type="dxa"/>
            </w:tcMar>
          </w:tcPr>
          <w:p w:rsidR="008F6543" w:rsidRPr="00222917" w:rsidRDefault="008F6543" w:rsidP="0010529D">
            <w:pPr>
              <w:suppressAutoHyphens w:val="0"/>
              <w:snapToGrid w:val="0"/>
              <w:spacing w:before="40" w:after="40" w:line="220" w:lineRule="exact"/>
              <w:rPr>
                <w:sz w:val="18"/>
                <w:szCs w:val="22"/>
                <w:lang w:val="en-US"/>
              </w:rPr>
            </w:pPr>
            <w:r w:rsidRPr="00222917">
              <w:rPr>
                <w:sz w:val="18"/>
                <w:szCs w:val="22"/>
                <w:lang w:val="en-US"/>
              </w:rPr>
              <w:t>2006</w:t>
            </w:r>
          </w:p>
        </w:tc>
        <w:tc>
          <w:tcPr>
            <w:tcW w:w="964" w:type="dxa"/>
            <w:shd w:val="clear" w:color="auto" w:fill="auto"/>
            <w:tcMar>
              <w:top w:w="28" w:type="dxa"/>
              <w:left w:w="28" w:type="dxa"/>
              <w:bottom w:w="28" w:type="dxa"/>
              <w:right w:w="28" w:type="dxa"/>
            </w:tcMar>
            <w:vAlign w:val="bottom"/>
          </w:tcPr>
          <w:p w:rsidR="008F6543" w:rsidRPr="00222917" w:rsidRDefault="008F6543" w:rsidP="0010529D">
            <w:pPr>
              <w:suppressAutoHyphens w:val="0"/>
              <w:snapToGrid w:val="0"/>
              <w:spacing w:before="40" w:after="40" w:line="220" w:lineRule="exact"/>
              <w:jc w:val="right"/>
              <w:rPr>
                <w:b/>
                <w:sz w:val="18"/>
                <w:szCs w:val="22"/>
                <w:lang w:val="en-US"/>
              </w:rPr>
            </w:pPr>
            <w:r w:rsidRPr="00222917">
              <w:rPr>
                <w:b/>
                <w:sz w:val="18"/>
                <w:szCs w:val="22"/>
                <w:lang w:val="en-US"/>
              </w:rPr>
              <w:t>93,280</w:t>
            </w:r>
          </w:p>
        </w:tc>
        <w:tc>
          <w:tcPr>
            <w:tcW w:w="964" w:type="dxa"/>
            <w:shd w:val="clear" w:color="auto" w:fill="auto"/>
            <w:tcMar>
              <w:top w:w="28" w:type="dxa"/>
              <w:left w:w="28" w:type="dxa"/>
              <w:bottom w:w="28" w:type="dxa"/>
              <w:right w:w="28" w:type="dxa"/>
            </w:tcMar>
            <w:vAlign w:val="bottom"/>
          </w:tcPr>
          <w:p w:rsidR="008F6543" w:rsidRPr="00222917" w:rsidRDefault="008F6543" w:rsidP="0010529D">
            <w:pPr>
              <w:suppressAutoHyphens w:val="0"/>
              <w:snapToGrid w:val="0"/>
              <w:spacing w:before="40" w:after="40" w:line="220" w:lineRule="exact"/>
              <w:jc w:val="right"/>
              <w:rPr>
                <w:sz w:val="18"/>
                <w:szCs w:val="22"/>
                <w:lang w:val="en-US"/>
              </w:rPr>
            </w:pPr>
            <w:r w:rsidRPr="00222917">
              <w:rPr>
                <w:sz w:val="18"/>
                <w:szCs w:val="22"/>
                <w:lang w:val="en-US"/>
              </w:rPr>
              <w:t>22.6</w:t>
            </w:r>
          </w:p>
        </w:tc>
        <w:tc>
          <w:tcPr>
            <w:tcW w:w="964" w:type="dxa"/>
            <w:shd w:val="clear" w:color="auto" w:fill="auto"/>
            <w:tcMar>
              <w:top w:w="28" w:type="dxa"/>
              <w:left w:w="28" w:type="dxa"/>
              <w:bottom w:w="28" w:type="dxa"/>
              <w:right w:w="28" w:type="dxa"/>
            </w:tcMar>
            <w:vAlign w:val="bottom"/>
          </w:tcPr>
          <w:p w:rsidR="008F6543" w:rsidRPr="00222917" w:rsidRDefault="008F6543" w:rsidP="0010529D">
            <w:pPr>
              <w:suppressAutoHyphens w:val="0"/>
              <w:snapToGrid w:val="0"/>
              <w:spacing w:before="40" w:after="40" w:line="220" w:lineRule="exact"/>
              <w:jc w:val="right"/>
              <w:rPr>
                <w:b/>
                <w:sz w:val="18"/>
                <w:szCs w:val="22"/>
                <w:lang w:val="en-US"/>
              </w:rPr>
            </w:pPr>
            <w:r w:rsidRPr="00222917">
              <w:rPr>
                <w:b/>
                <w:sz w:val="18"/>
                <w:szCs w:val="22"/>
                <w:lang w:val="en-US"/>
              </w:rPr>
              <w:t>75,976</w:t>
            </w:r>
          </w:p>
        </w:tc>
        <w:tc>
          <w:tcPr>
            <w:tcW w:w="964" w:type="dxa"/>
            <w:shd w:val="clear" w:color="auto" w:fill="auto"/>
            <w:tcMar>
              <w:top w:w="28" w:type="dxa"/>
              <w:left w:w="28" w:type="dxa"/>
              <w:bottom w:w="28" w:type="dxa"/>
              <w:right w:w="28" w:type="dxa"/>
            </w:tcMar>
            <w:vAlign w:val="bottom"/>
          </w:tcPr>
          <w:p w:rsidR="008F6543" w:rsidRPr="00222917" w:rsidRDefault="008F6543" w:rsidP="0010529D">
            <w:pPr>
              <w:suppressAutoHyphens w:val="0"/>
              <w:snapToGrid w:val="0"/>
              <w:spacing w:before="40" w:after="40" w:line="220" w:lineRule="exact"/>
              <w:jc w:val="right"/>
              <w:rPr>
                <w:sz w:val="18"/>
                <w:szCs w:val="22"/>
                <w:lang w:val="en-US"/>
              </w:rPr>
            </w:pPr>
            <w:r w:rsidRPr="00222917">
              <w:rPr>
                <w:sz w:val="18"/>
                <w:szCs w:val="22"/>
                <w:lang w:val="en-US"/>
              </w:rPr>
              <w:t>377</w:t>
            </w:r>
          </w:p>
        </w:tc>
        <w:tc>
          <w:tcPr>
            <w:tcW w:w="964" w:type="dxa"/>
            <w:shd w:val="clear" w:color="auto" w:fill="auto"/>
            <w:tcMar>
              <w:top w:w="28" w:type="dxa"/>
              <w:left w:w="28" w:type="dxa"/>
              <w:bottom w:w="28" w:type="dxa"/>
              <w:right w:w="28" w:type="dxa"/>
            </w:tcMar>
            <w:vAlign w:val="bottom"/>
          </w:tcPr>
          <w:p w:rsidR="008F6543" w:rsidRPr="00222917" w:rsidRDefault="008F6543" w:rsidP="0010529D">
            <w:pPr>
              <w:suppressAutoHyphens w:val="0"/>
              <w:snapToGrid w:val="0"/>
              <w:spacing w:before="40" w:after="40" w:line="220" w:lineRule="exact"/>
              <w:jc w:val="right"/>
              <w:rPr>
                <w:sz w:val="18"/>
                <w:szCs w:val="22"/>
                <w:lang w:val="en-US"/>
              </w:rPr>
            </w:pPr>
            <w:r w:rsidRPr="00222917">
              <w:rPr>
                <w:sz w:val="18"/>
                <w:szCs w:val="22"/>
                <w:lang w:val="en-US"/>
              </w:rPr>
              <w:t>13,488</w:t>
            </w:r>
          </w:p>
        </w:tc>
        <w:tc>
          <w:tcPr>
            <w:tcW w:w="964" w:type="dxa"/>
            <w:shd w:val="clear" w:color="auto" w:fill="auto"/>
            <w:tcMar>
              <w:top w:w="28" w:type="dxa"/>
              <w:left w:w="28" w:type="dxa"/>
              <w:bottom w:w="28" w:type="dxa"/>
              <w:right w:w="28" w:type="dxa"/>
            </w:tcMar>
            <w:vAlign w:val="bottom"/>
          </w:tcPr>
          <w:p w:rsidR="008F6543" w:rsidRPr="00222917" w:rsidRDefault="008F6543" w:rsidP="0010529D">
            <w:pPr>
              <w:suppressAutoHyphens w:val="0"/>
              <w:snapToGrid w:val="0"/>
              <w:spacing w:before="40" w:after="40" w:line="220" w:lineRule="exact"/>
              <w:jc w:val="right"/>
              <w:rPr>
                <w:sz w:val="18"/>
                <w:szCs w:val="22"/>
                <w:lang w:val="en-US"/>
              </w:rPr>
            </w:pPr>
            <w:r w:rsidRPr="00222917">
              <w:rPr>
                <w:sz w:val="18"/>
                <w:szCs w:val="22"/>
                <w:lang w:val="en-US"/>
              </w:rPr>
              <w:t>62,111</w:t>
            </w:r>
          </w:p>
        </w:tc>
        <w:tc>
          <w:tcPr>
            <w:tcW w:w="964" w:type="dxa"/>
            <w:shd w:val="clear" w:color="auto" w:fill="auto"/>
            <w:tcMar>
              <w:top w:w="28" w:type="dxa"/>
              <w:left w:w="28" w:type="dxa"/>
              <w:bottom w:w="28" w:type="dxa"/>
              <w:right w:w="28" w:type="dxa"/>
            </w:tcMar>
            <w:vAlign w:val="bottom"/>
          </w:tcPr>
          <w:p w:rsidR="008F6543" w:rsidRPr="00222917" w:rsidRDefault="008F6543" w:rsidP="0010529D">
            <w:pPr>
              <w:suppressAutoHyphens w:val="0"/>
              <w:snapToGrid w:val="0"/>
              <w:spacing w:before="40" w:after="40" w:line="220" w:lineRule="exact"/>
              <w:jc w:val="right"/>
              <w:rPr>
                <w:sz w:val="18"/>
                <w:szCs w:val="22"/>
                <w:lang w:val="en-US"/>
              </w:rPr>
            </w:pPr>
            <w:r w:rsidRPr="00222917">
              <w:rPr>
                <w:sz w:val="18"/>
                <w:szCs w:val="22"/>
                <w:lang w:val="en-US"/>
              </w:rPr>
              <w:t>17,304</w:t>
            </w:r>
          </w:p>
        </w:tc>
        <w:tc>
          <w:tcPr>
            <w:tcW w:w="1134" w:type="dxa"/>
            <w:shd w:val="clear" w:color="auto" w:fill="auto"/>
            <w:tcMar>
              <w:top w:w="28" w:type="dxa"/>
              <w:left w:w="28" w:type="dxa"/>
              <w:bottom w:w="28" w:type="dxa"/>
              <w:right w:w="28" w:type="dxa"/>
            </w:tcMar>
            <w:vAlign w:val="bottom"/>
          </w:tcPr>
          <w:p w:rsidR="008F6543" w:rsidRPr="00222917" w:rsidRDefault="008F6543" w:rsidP="0010529D">
            <w:pPr>
              <w:suppressAutoHyphens w:val="0"/>
              <w:snapToGrid w:val="0"/>
              <w:spacing w:before="40" w:after="40" w:line="220" w:lineRule="exact"/>
              <w:jc w:val="right"/>
              <w:rPr>
                <w:sz w:val="18"/>
                <w:szCs w:val="22"/>
                <w:lang w:val="en-US"/>
              </w:rPr>
            </w:pPr>
            <w:r w:rsidRPr="00222917">
              <w:rPr>
                <w:sz w:val="18"/>
                <w:szCs w:val="22"/>
                <w:lang w:val="en-US"/>
              </w:rPr>
              <w:t>1,035,714</w:t>
            </w:r>
          </w:p>
        </w:tc>
      </w:tr>
      <w:tr w:rsidR="008F6543" w:rsidRPr="00222917" w:rsidTr="003F17B3">
        <w:tc>
          <w:tcPr>
            <w:tcW w:w="624" w:type="dxa"/>
            <w:shd w:val="clear" w:color="auto" w:fill="auto"/>
            <w:tcMar>
              <w:top w:w="28" w:type="dxa"/>
              <w:left w:w="28" w:type="dxa"/>
              <w:bottom w:w="28" w:type="dxa"/>
              <w:right w:w="28" w:type="dxa"/>
            </w:tcMar>
          </w:tcPr>
          <w:p w:rsidR="008F6543" w:rsidRPr="00222917" w:rsidRDefault="008F6543" w:rsidP="0010529D">
            <w:pPr>
              <w:suppressAutoHyphens w:val="0"/>
              <w:snapToGrid w:val="0"/>
              <w:spacing w:before="40" w:after="40" w:line="220" w:lineRule="exact"/>
              <w:rPr>
                <w:sz w:val="18"/>
                <w:szCs w:val="22"/>
                <w:lang w:val="en-US"/>
              </w:rPr>
            </w:pPr>
            <w:r w:rsidRPr="00222917">
              <w:rPr>
                <w:sz w:val="18"/>
                <w:szCs w:val="22"/>
                <w:lang w:val="en-US"/>
              </w:rPr>
              <w:t>2007</w:t>
            </w:r>
          </w:p>
        </w:tc>
        <w:tc>
          <w:tcPr>
            <w:tcW w:w="964" w:type="dxa"/>
            <w:shd w:val="clear" w:color="auto" w:fill="auto"/>
            <w:tcMar>
              <w:top w:w="28" w:type="dxa"/>
              <w:left w:w="28" w:type="dxa"/>
              <w:bottom w:w="28" w:type="dxa"/>
              <w:right w:w="28" w:type="dxa"/>
            </w:tcMar>
            <w:vAlign w:val="bottom"/>
          </w:tcPr>
          <w:p w:rsidR="008F6543" w:rsidRPr="00222917" w:rsidRDefault="008F6543" w:rsidP="0010529D">
            <w:pPr>
              <w:suppressAutoHyphens w:val="0"/>
              <w:snapToGrid w:val="0"/>
              <w:spacing w:before="40" w:after="40" w:line="220" w:lineRule="exact"/>
              <w:jc w:val="right"/>
              <w:rPr>
                <w:b/>
                <w:sz w:val="18"/>
                <w:szCs w:val="22"/>
                <w:lang w:val="en-US"/>
              </w:rPr>
            </w:pPr>
            <w:r w:rsidRPr="00222917">
              <w:rPr>
                <w:b/>
                <w:sz w:val="18"/>
                <w:szCs w:val="22"/>
                <w:lang w:val="en-US"/>
              </w:rPr>
              <w:t>100,147</w:t>
            </w:r>
          </w:p>
        </w:tc>
        <w:tc>
          <w:tcPr>
            <w:tcW w:w="964" w:type="dxa"/>
            <w:shd w:val="clear" w:color="auto" w:fill="auto"/>
            <w:tcMar>
              <w:top w:w="28" w:type="dxa"/>
              <w:left w:w="28" w:type="dxa"/>
              <w:bottom w:w="28" w:type="dxa"/>
              <w:right w:w="28" w:type="dxa"/>
            </w:tcMar>
            <w:vAlign w:val="bottom"/>
          </w:tcPr>
          <w:p w:rsidR="008F6543" w:rsidRPr="00222917" w:rsidRDefault="008F6543" w:rsidP="0010529D">
            <w:pPr>
              <w:suppressAutoHyphens w:val="0"/>
              <w:snapToGrid w:val="0"/>
              <w:spacing w:before="40" w:after="40" w:line="220" w:lineRule="exact"/>
              <w:jc w:val="right"/>
              <w:rPr>
                <w:sz w:val="18"/>
                <w:szCs w:val="22"/>
                <w:lang w:val="en-US"/>
              </w:rPr>
            </w:pPr>
            <w:r w:rsidRPr="00222917">
              <w:rPr>
                <w:sz w:val="18"/>
                <w:szCs w:val="22"/>
                <w:lang w:val="en-US"/>
              </w:rPr>
              <w:t>7.4</w:t>
            </w:r>
          </w:p>
        </w:tc>
        <w:tc>
          <w:tcPr>
            <w:tcW w:w="964" w:type="dxa"/>
            <w:shd w:val="clear" w:color="auto" w:fill="auto"/>
            <w:tcMar>
              <w:top w:w="28" w:type="dxa"/>
              <w:left w:w="28" w:type="dxa"/>
              <w:bottom w:w="28" w:type="dxa"/>
              <w:right w:w="28" w:type="dxa"/>
            </w:tcMar>
            <w:vAlign w:val="bottom"/>
          </w:tcPr>
          <w:p w:rsidR="008F6543" w:rsidRPr="00222917" w:rsidRDefault="008F6543" w:rsidP="0010529D">
            <w:pPr>
              <w:suppressAutoHyphens w:val="0"/>
              <w:snapToGrid w:val="0"/>
              <w:spacing w:before="40" w:after="40" w:line="220" w:lineRule="exact"/>
              <w:jc w:val="right"/>
              <w:rPr>
                <w:b/>
                <w:sz w:val="18"/>
                <w:szCs w:val="22"/>
                <w:lang w:val="en-US"/>
              </w:rPr>
            </w:pPr>
            <w:r w:rsidRPr="00222917">
              <w:rPr>
                <w:b/>
                <w:sz w:val="18"/>
                <w:szCs w:val="22"/>
                <w:lang w:val="en-US"/>
              </w:rPr>
              <w:t>77,653</w:t>
            </w:r>
          </w:p>
        </w:tc>
        <w:tc>
          <w:tcPr>
            <w:tcW w:w="964" w:type="dxa"/>
            <w:shd w:val="clear" w:color="auto" w:fill="auto"/>
            <w:tcMar>
              <w:top w:w="28" w:type="dxa"/>
              <w:left w:w="28" w:type="dxa"/>
              <w:bottom w:w="28" w:type="dxa"/>
              <w:right w:w="28" w:type="dxa"/>
            </w:tcMar>
            <w:vAlign w:val="bottom"/>
          </w:tcPr>
          <w:p w:rsidR="008F6543" w:rsidRPr="00222917" w:rsidRDefault="008F6543" w:rsidP="0010529D">
            <w:pPr>
              <w:suppressAutoHyphens w:val="0"/>
              <w:snapToGrid w:val="0"/>
              <w:spacing w:before="40" w:after="40" w:line="220" w:lineRule="exact"/>
              <w:jc w:val="right"/>
              <w:rPr>
                <w:sz w:val="18"/>
                <w:szCs w:val="22"/>
                <w:lang w:val="en-US"/>
              </w:rPr>
            </w:pPr>
            <w:r w:rsidRPr="00222917">
              <w:rPr>
                <w:sz w:val="18"/>
                <w:szCs w:val="22"/>
                <w:lang w:val="en-US"/>
              </w:rPr>
              <w:t>271</w:t>
            </w:r>
          </w:p>
        </w:tc>
        <w:tc>
          <w:tcPr>
            <w:tcW w:w="964" w:type="dxa"/>
            <w:shd w:val="clear" w:color="auto" w:fill="auto"/>
            <w:tcMar>
              <w:top w:w="28" w:type="dxa"/>
              <w:left w:w="28" w:type="dxa"/>
              <w:bottom w:w="28" w:type="dxa"/>
              <w:right w:w="28" w:type="dxa"/>
            </w:tcMar>
            <w:vAlign w:val="bottom"/>
          </w:tcPr>
          <w:p w:rsidR="008F6543" w:rsidRPr="00222917" w:rsidRDefault="008F6543" w:rsidP="0010529D">
            <w:pPr>
              <w:suppressAutoHyphens w:val="0"/>
              <w:snapToGrid w:val="0"/>
              <w:spacing w:before="40" w:after="40" w:line="220" w:lineRule="exact"/>
              <w:jc w:val="right"/>
              <w:rPr>
                <w:sz w:val="18"/>
                <w:szCs w:val="22"/>
                <w:lang w:val="en-US"/>
              </w:rPr>
            </w:pPr>
            <w:r w:rsidRPr="00222917">
              <w:rPr>
                <w:sz w:val="18"/>
                <w:szCs w:val="22"/>
                <w:lang w:val="en-US"/>
              </w:rPr>
              <w:t>10,429</w:t>
            </w:r>
          </w:p>
        </w:tc>
        <w:tc>
          <w:tcPr>
            <w:tcW w:w="964" w:type="dxa"/>
            <w:shd w:val="clear" w:color="auto" w:fill="auto"/>
            <w:tcMar>
              <w:top w:w="28" w:type="dxa"/>
              <w:left w:w="28" w:type="dxa"/>
              <w:bottom w:w="28" w:type="dxa"/>
              <w:right w:w="28" w:type="dxa"/>
            </w:tcMar>
            <w:vAlign w:val="bottom"/>
          </w:tcPr>
          <w:p w:rsidR="008F6543" w:rsidRPr="00222917" w:rsidRDefault="008F6543" w:rsidP="0010529D">
            <w:pPr>
              <w:suppressAutoHyphens w:val="0"/>
              <w:snapToGrid w:val="0"/>
              <w:spacing w:before="40" w:after="40" w:line="220" w:lineRule="exact"/>
              <w:jc w:val="right"/>
              <w:rPr>
                <w:sz w:val="18"/>
                <w:szCs w:val="22"/>
                <w:lang w:val="en-US"/>
              </w:rPr>
            </w:pPr>
            <w:r w:rsidRPr="00222917">
              <w:rPr>
                <w:sz w:val="18"/>
                <w:szCs w:val="22"/>
                <w:lang w:val="en-US"/>
              </w:rPr>
              <w:t>66,953</w:t>
            </w:r>
          </w:p>
        </w:tc>
        <w:tc>
          <w:tcPr>
            <w:tcW w:w="964" w:type="dxa"/>
            <w:shd w:val="clear" w:color="auto" w:fill="auto"/>
            <w:tcMar>
              <w:top w:w="28" w:type="dxa"/>
              <w:left w:w="28" w:type="dxa"/>
              <w:bottom w:w="28" w:type="dxa"/>
              <w:right w:w="28" w:type="dxa"/>
            </w:tcMar>
            <w:vAlign w:val="bottom"/>
          </w:tcPr>
          <w:p w:rsidR="008F6543" w:rsidRPr="00222917" w:rsidRDefault="008F6543" w:rsidP="0010529D">
            <w:pPr>
              <w:suppressAutoHyphens w:val="0"/>
              <w:snapToGrid w:val="0"/>
              <w:spacing w:before="40" w:after="40" w:line="220" w:lineRule="exact"/>
              <w:jc w:val="right"/>
              <w:rPr>
                <w:sz w:val="18"/>
                <w:szCs w:val="22"/>
                <w:lang w:val="en-US"/>
              </w:rPr>
            </w:pPr>
            <w:r w:rsidRPr="00222917">
              <w:rPr>
                <w:sz w:val="18"/>
                <w:szCs w:val="22"/>
                <w:lang w:val="en-US"/>
              </w:rPr>
              <w:t>22,494</w:t>
            </w:r>
          </w:p>
        </w:tc>
        <w:tc>
          <w:tcPr>
            <w:tcW w:w="1134" w:type="dxa"/>
            <w:shd w:val="clear" w:color="auto" w:fill="auto"/>
            <w:tcMar>
              <w:top w:w="28" w:type="dxa"/>
              <w:left w:w="28" w:type="dxa"/>
              <w:bottom w:w="28" w:type="dxa"/>
              <w:right w:w="28" w:type="dxa"/>
            </w:tcMar>
            <w:vAlign w:val="bottom"/>
          </w:tcPr>
          <w:p w:rsidR="008F6543" w:rsidRPr="00222917" w:rsidRDefault="008F6543" w:rsidP="0010529D">
            <w:pPr>
              <w:suppressAutoHyphens w:val="0"/>
              <w:snapToGrid w:val="0"/>
              <w:spacing w:before="40" w:after="40" w:line="220" w:lineRule="exact"/>
              <w:jc w:val="right"/>
              <w:rPr>
                <w:sz w:val="18"/>
                <w:szCs w:val="22"/>
                <w:lang w:val="en-US"/>
              </w:rPr>
            </w:pPr>
            <w:r w:rsidRPr="00222917">
              <w:rPr>
                <w:sz w:val="18"/>
                <w:szCs w:val="22"/>
                <w:lang w:val="en-US"/>
              </w:rPr>
              <w:t>1,085,712</w:t>
            </w:r>
          </w:p>
        </w:tc>
      </w:tr>
      <w:tr w:rsidR="008F6543" w:rsidRPr="00222917" w:rsidTr="003F17B3">
        <w:tc>
          <w:tcPr>
            <w:tcW w:w="624" w:type="dxa"/>
            <w:shd w:val="clear" w:color="auto" w:fill="auto"/>
            <w:tcMar>
              <w:top w:w="28" w:type="dxa"/>
              <w:left w:w="28" w:type="dxa"/>
              <w:bottom w:w="28" w:type="dxa"/>
              <w:right w:w="28" w:type="dxa"/>
            </w:tcMar>
          </w:tcPr>
          <w:p w:rsidR="008F6543" w:rsidRPr="00222917" w:rsidRDefault="008F6543" w:rsidP="0010529D">
            <w:pPr>
              <w:suppressAutoHyphens w:val="0"/>
              <w:snapToGrid w:val="0"/>
              <w:spacing w:before="40" w:after="40" w:line="220" w:lineRule="exact"/>
              <w:rPr>
                <w:sz w:val="18"/>
                <w:szCs w:val="22"/>
                <w:lang w:val="en-US"/>
              </w:rPr>
            </w:pPr>
            <w:r w:rsidRPr="00222917">
              <w:rPr>
                <w:sz w:val="18"/>
                <w:szCs w:val="22"/>
                <w:lang w:val="en-US"/>
              </w:rPr>
              <w:t>2008</w:t>
            </w:r>
          </w:p>
        </w:tc>
        <w:tc>
          <w:tcPr>
            <w:tcW w:w="964" w:type="dxa"/>
            <w:shd w:val="clear" w:color="auto" w:fill="auto"/>
            <w:tcMar>
              <w:top w:w="28" w:type="dxa"/>
              <w:left w:w="28" w:type="dxa"/>
              <w:bottom w:w="28" w:type="dxa"/>
              <w:right w:w="28" w:type="dxa"/>
            </w:tcMar>
            <w:vAlign w:val="bottom"/>
          </w:tcPr>
          <w:p w:rsidR="008F6543" w:rsidRPr="00222917" w:rsidRDefault="008F6543" w:rsidP="0010529D">
            <w:pPr>
              <w:suppressAutoHyphens w:val="0"/>
              <w:snapToGrid w:val="0"/>
              <w:spacing w:before="40" w:after="40" w:line="220" w:lineRule="exact"/>
              <w:jc w:val="right"/>
              <w:rPr>
                <w:b/>
                <w:sz w:val="18"/>
                <w:szCs w:val="22"/>
                <w:lang w:val="en-US"/>
              </w:rPr>
            </w:pPr>
            <w:r w:rsidRPr="00222917">
              <w:rPr>
                <w:b/>
                <w:sz w:val="18"/>
                <w:szCs w:val="22"/>
                <w:lang w:val="en-US"/>
              </w:rPr>
              <w:t>124,995</w:t>
            </w:r>
          </w:p>
        </w:tc>
        <w:tc>
          <w:tcPr>
            <w:tcW w:w="964" w:type="dxa"/>
            <w:shd w:val="clear" w:color="auto" w:fill="auto"/>
            <w:tcMar>
              <w:top w:w="28" w:type="dxa"/>
              <w:left w:w="28" w:type="dxa"/>
              <w:bottom w:w="28" w:type="dxa"/>
              <w:right w:w="28" w:type="dxa"/>
            </w:tcMar>
            <w:vAlign w:val="bottom"/>
          </w:tcPr>
          <w:p w:rsidR="008F6543" w:rsidRPr="00222917" w:rsidRDefault="008F6543" w:rsidP="0010529D">
            <w:pPr>
              <w:suppressAutoHyphens w:val="0"/>
              <w:snapToGrid w:val="0"/>
              <w:spacing w:before="40" w:after="40" w:line="220" w:lineRule="exact"/>
              <w:jc w:val="right"/>
              <w:rPr>
                <w:sz w:val="18"/>
                <w:szCs w:val="22"/>
                <w:lang w:val="en-US"/>
              </w:rPr>
            </w:pPr>
            <w:r w:rsidRPr="00222917">
              <w:rPr>
                <w:sz w:val="18"/>
                <w:szCs w:val="22"/>
                <w:lang w:val="en-US"/>
              </w:rPr>
              <w:t>24.8</w:t>
            </w:r>
          </w:p>
        </w:tc>
        <w:tc>
          <w:tcPr>
            <w:tcW w:w="964" w:type="dxa"/>
            <w:shd w:val="clear" w:color="auto" w:fill="auto"/>
            <w:tcMar>
              <w:top w:w="28" w:type="dxa"/>
              <w:left w:w="28" w:type="dxa"/>
              <w:bottom w:w="28" w:type="dxa"/>
              <w:right w:w="28" w:type="dxa"/>
            </w:tcMar>
            <w:vAlign w:val="bottom"/>
          </w:tcPr>
          <w:p w:rsidR="008F6543" w:rsidRPr="00222917" w:rsidRDefault="008F6543" w:rsidP="0010529D">
            <w:pPr>
              <w:suppressAutoHyphens w:val="0"/>
              <w:snapToGrid w:val="0"/>
              <w:spacing w:before="40" w:after="40" w:line="220" w:lineRule="exact"/>
              <w:jc w:val="right"/>
              <w:rPr>
                <w:b/>
                <w:sz w:val="18"/>
                <w:szCs w:val="22"/>
                <w:lang w:val="en-US"/>
              </w:rPr>
            </w:pPr>
            <w:r w:rsidRPr="00222917">
              <w:rPr>
                <w:b/>
                <w:sz w:val="18"/>
                <w:szCs w:val="22"/>
                <w:lang w:val="en-US"/>
              </w:rPr>
              <w:t>99,043</w:t>
            </w:r>
          </w:p>
        </w:tc>
        <w:tc>
          <w:tcPr>
            <w:tcW w:w="964" w:type="dxa"/>
            <w:shd w:val="clear" w:color="auto" w:fill="auto"/>
            <w:tcMar>
              <w:top w:w="28" w:type="dxa"/>
              <w:left w:w="28" w:type="dxa"/>
              <w:bottom w:w="28" w:type="dxa"/>
              <w:right w:w="28" w:type="dxa"/>
            </w:tcMar>
            <w:vAlign w:val="bottom"/>
          </w:tcPr>
          <w:p w:rsidR="008F6543" w:rsidRPr="00222917" w:rsidRDefault="008F6543" w:rsidP="0010529D">
            <w:pPr>
              <w:suppressAutoHyphens w:val="0"/>
              <w:snapToGrid w:val="0"/>
              <w:spacing w:before="40" w:after="40" w:line="220" w:lineRule="exact"/>
              <w:jc w:val="right"/>
              <w:rPr>
                <w:sz w:val="18"/>
                <w:szCs w:val="22"/>
                <w:lang w:val="en-US"/>
              </w:rPr>
            </w:pPr>
            <w:r w:rsidRPr="00222917">
              <w:rPr>
                <w:sz w:val="18"/>
                <w:szCs w:val="22"/>
                <w:lang w:val="en-US"/>
              </w:rPr>
              <w:t>190</w:t>
            </w:r>
          </w:p>
        </w:tc>
        <w:tc>
          <w:tcPr>
            <w:tcW w:w="964" w:type="dxa"/>
            <w:shd w:val="clear" w:color="auto" w:fill="auto"/>
            <w:tcMar>
              <w:top w:w="28" w:type="dxa"/>
              <w:left w:w="28" w:type="dxa"/>
              <w:bottom w:w="28" w:type="dxa"/>
              <w:right w:w="28" w:type="dxa"/>
            </w:tcMar>
            <w:vAlign w:val="bottom"/>
          </w:tcPr>
          <w:p w:rsidR="008F6543" w:rsidRPr="00222917" w:rsidRDefault="008F6543" w:rsidP="0010529D">
            <w:pPr>
              <w:suppressAutoHyphens w:val="0"/>
              <w:snapToGrid w:val="0"/>
              <w:spacing w:before="40" w:after="40" w:line="220" w:lineRule="exact"/>
              <w:jc w:val="right"/>
              <w:rPr>
                <w:sz w:val="18"/>
                <w:szCs w:val="22"/>
                <w:lang w:val="en-US"/>
              </w:rPr>
            </w:pPr>
            <w:r w:rsidRPr="00222917">
              <w:rPr>
                <w:sz w:val="18"/>
                <w:szCs w:val="22"/>
                <w:lang w:val="en-US"/>
              </w:rPr>
              <w:t>8,916</w:t>
            </w:r>
          </w:p>
        </w:tc>
        <w:tc>
          <w:tcPr>
            <w:tcW w:w="964" w:type="dxa"/>
            <w:shd w:val="clear" w:color="auto" w:fill="auto"/>
            <w:tcMar>
              <w:top w:w="28" w:type="dxa"/>
              <w:left w:w="28" w:type="dxa"/>
              <w:bottom w:w="28" w:type="dxa"/>
              <w:right w:w="28" w:type="dxa"/>
            </w:tcMar>
            <w:vAlign w:val="bottom"/>
          </w:tcPr>
          <w:p w:rsidR="008F6543" w:rsidRPr="00222917" w:rsidRDefault="008F6543" w:rsidP="0010529D">
            <w:pPr>
              <w:suppressAutoHyphens w:val="0"/>
              <w:snapToGrid w:val="0"/>
              <w:spacing w:before="40" w:after="40" w:line="220" w:lineRule="exact"/>
              <w:jc w:val="right"/>
              <w:rPr>
                <w:sz w:val="18"/>
                <w:szCs w:val="22"/>
                <w:lang w:val="en-US"/>
              </w:rPr>
            </w:pPr>
            <w:r w:rsidRPr="00222917">
              <w:rPr>
                <w:sz w:val="18"/>
                <w:szCs w:val="22"/>
                <w:lang w:val="en-US"/>
              </w:rPr>
              <w:t>89,937</w:t>
            </w:r>
          </w:p>
        </w:tc>
        <w:tc>
          <w:tcPr>
            <w:tcW w:w="964" w:type="dxa"/>
            <w:shd w:val="clear" w:color="auto" w:fill="auto"/>
            <w:tcMar>
              <w:top w:w="28" w:type="dxa"/>
              <w:left w:w="28" w:type="dxa"/>
              <w:bottom w:w="28" w:type="dxa"/>
              <w:right w:w="28" w:type="dxa"/>
            </w:tcMar>
            <w:vAlign w:val="bottom"/>
          </w:tcPr>
          <w:p w:rsidR="008F6543" w:rsidRPr="00222917" w:rsidRDefault="008F6543" w:rsidP="0010529D">
            <w:pPr>
              <w:suppressAutoHyphens w:val="0"/>
              <w:snapToGrid w:val="0"/>
              <w:spacing w:before="40" w:after="40" w:line="220" w:lineRule="exact"/>
              <w:jc w:val="right"/>
              <w:rPr>
                <w:sz w:val="18"/>
                <w:szCs w:val="22"/>
                <w:lang w:val="en-US"/>
              </w:rPr>
            </w:pPr>
            <w:r w:rsidRPr="00222917">
              <w:rPr>
                <w:sz w:val="18"/>
                <w:szCs w:val="22"/>
                <w:lang w:val="en-US"/>
              </w:rPr>
              <w:t>25,952</w:t>
            </w:r>
          </w:p>
        </w:tc>
        <w:tc>
          <w:tcPr>
            <w:tcW w:w="1134" w:type="dxa"/>
            <w:shd w:val="clear" w:color="auto" w:fill="auto"/>
            <w:tcMar>
              <w:top w:w="28" w:type="dxa"/>
              <w:left w:w="28" w:type="dxa"/>
              <w:bottom w:w="28" w:type="dxa"/>
              <w:right w:w="28" w:type="dxa"/>
            </w:tcMar>
            <w:vAlign w:val="bottom"/>
          </w:tcPr>
          <w:p w:rsidR="008F6543" w:rsidRPr="00222917" w:rsidRDefault="008F6543" w:rsidP="0010529D">
            <w:pPr>
              <w:suppressAutoHyphens w:val="0"/>
              <w:snapToGrid w:val="0"/>
              <w:spacing w:before="40" w:after="40" w:line="220" w:lineRule="exact"/>
              <w:jc w:val="right"/>
              <w:rPr>
                <w:sz w:val="18"/>
                <w:szCs w:val="22"/>
                <w:lang w:val="en-US"/>
              </w:rPr>
            </w:pPr>
            <w:r w:rsidRPr="00222917">
              <w:rPr>
                <w:sz w:val="18"/>
                <w:szCs w:val="22"/>
                <w:lang w:val="en-US"/>
              </w:rPr>
              <w:t>1,194,603</w:t>
            </w:r>
          </w:p>
        </w:tc>
      </w:tr>
      <w:tr w:rsidR="008F6543" w:rsidRPr="00222917" w:rsidTr="003F17B3">
        <w:tc>
          <w:tcPr>
            <w:tcW w:w="624" w:type="dxa"/>
            <w:shd w:val="clear" w:color="auto" w:fill="auto"/>
            <w:tcMar>
              <w:top w:w="28" w:type="dxa"/>
              <w:left w:w="28" w:type="dxa"/>
              <w:bottom w:w="28" w:type="dxa"/>
              <w:right w:w="28" w:type="dxa"/>
            </w:tcMar>
          </w:tcPr>
          <w:p w:rsidR="008F6543" w:rsidRPr="00222917" w:rsidRDefault="008F6543" w:rsidP="0010529D">
            <w:pPr>
              <w:suppressAutoHyphens w:val="0"/>
              <w:snapToGrid w:val="0"/>
              <w:spacing w:before="40" w:after="40" w:line="220" w:lineRule="exact"/>
              <w:rPr>
                <w:sz w:val="18"/>
                <w:szCs w:val="22"/>
                <w:lang w:val="en-US"/>
              </w:rPr>
            </w:pPr>
            <w:r w:rsidRPr="00222917">
              <w:rPr>
                <w:sz w:val="18"/>
                <w:szCs w:val="22"/>
                <w:lang w:val="en-US"/>
              </w:rPr>
              <w:t>2009</w:t>
            </w:r>
          </w:p>
        </w:tc>
        <w:tc>
          <w:tcPr>
            <w:tcW w:w="964" w:type="dxa"/>
            <w:shd w:val="clear" w:color="auto" w:fill="auto"/>
            <w:tcMar>
              <w:top w:w="28" w:type="dxa"/>
              <w:left w:w="28" w:type="dxa"/>
              <w:bottom w:w="28" w:type="dxa"/>
              <w:right w:w="28" w:type="dxa"/>
            </w:tcMar>
            <w:vAlign w:val="bottom"/>
          </w:tcPr>
          <w:p w:rsidR="008F6543" w:rsidRPr="00222917" w:rsidRDefault="008F6543" w:rsidP="0010529D">
            <w:pPr>
              <w:suppressAutoHyphens w:val="0"/>
              <w:snapToGrid w:val="0"/>
              <w:spacing w:before="40" w:after="40" w:line="220" w:lineRule="exact"/>
              <w:jc w:val="right"/>
              <w:rPr>
                <w:b/>
                <w:sz w:val="18"/>
                <w:szCs w:val="22"/>
                <w:lang w:val="en-US"/>
              </w:rPr>
            </w:pPr>
            <w:r w:rsidRPr="00222917">
              <w:rPr>
                <w:b/>
                <w:sz w:val="18"/>
                <w:szCs w:val="22"/>
                <w:lang w:val="en-US"/>
              </w:rPr>
              <w:t>133,273</w:t>
            </w:r>
          </w:p>
        </w:tc>
        <w:tc>
          <w:tcPr>
            <w:tcW w:w="964" w:type="dxa"/>
            <w:shd w:val="clear" w:color="auto" w:fill="auto"/>
            <w:tcMar>
              <w:top w:w="28" w:type="dxa"/>
              <w:left w:w="28" w:type="dxa"/>
              <w:bottom w:w="28" w:type="dxa"/>
              <w:right w:w="28" w:type="dxa"/>
            </w:tcMar>
            <w:vAlign w:val="bottom"/>
          </w:tcPr>
          <w:p w:rsidR="008F6543" w:rsidRPr="00222917" w:rsidRDefault="008F6543" w:rsidP="0010529D">
            <w:pPr>
              <w:suppressAutoHyphens w:val="0"/>
              <w:snapToGrid w:val="0"/>
              <w:spacing w:before="40" w:after="40" w:line="220" w:lineRule="exact"/>
              <w:jc w:val="right"/>
              <w:rPr>
                <w:sz w:val="18"/>
                <w:szCs w:val="22"/>
                <w:lang w:val="en-US"/>
              </w:rPr>
            </w:pPr>
            <w:r w:rsidRPr="00222917">
              <w:rPr>
                <w:sz w:val="18"/>
                <w:szCs w:val="22"/>
                <w:lang w:val="en-US"/>
              </w:rPr>
              <w:t>6.6</w:t>
            </w:r>
          </w:p>
        </w:tc>
        <w:tc>
          <w:tcPr>
            <w:tcW w:w="964" w:type="dxa"/>
            <w:shd w:val="clear" w:color="auto" w:fill="auto"/>
            <w:tcMar>
              <w:top w:w="28" w:type="dxa"/>
              <w:left w:w="28" w:type="dxa"/>
              <w:bottom w:w="28" w:type="dxa"/>
              <w:right w:w="28" w:type="dxa"/>
            </w:tcMar>
            <w:vAlign w:val="bottom"/>
          </w:tcPr>
          <w:p w:rsidR="008F6543" w:rsidRPr="00222917" w:rsidRDefault="008F6543" w:rsidP="0010529D">
            <w:pPr>
              <w:suppressAutoHyphens w:val="0"/>
              <w:snapToGrid w:val="0"/>
              <w:spacing w:before="40" w:after="40" w:line="220" w:lineRule="exact"/>
              <w:jc w:val="right"/>
              <w:rPr>
                <w:b/>
                <w:sz w:val="18"/>
                <w:szCs w:val="22"/>
                <w:lang w:val="en-US"/>
              </w:rPr>
            </w:pPr>
            <w:r w:rsidRPr="00222917">
              <w:rPr>
                <w:b/>
                <w:sz w:val="18"/>
                <w:szCs w:val="22"/>
                <w:lang w:val="en-US"/>
              </w:rPr>
              <w:t>108,654</w:t>
            </w:r>
          </w:p>
        </w:tc>
        <w:tc>
          <w:tcPr>
            <w:tcW w:w="964" w:type="dxa"/>
            <w:shd w:val="clear" w:color="auto" w:fill="auto"/>
            <w:tcMar>
              <w:top w:w="28" w:type="dxa"/>
              <w:left w:w="28" w:type="dxa"/>
              <w:bottom w:w="28" w:type="dxa"/>
              <w:right w:w="28" w:type="dxa"/>
            </w:tcMar>
            <w:vAlign w:val="bottom"/>
          </w:tcPr>
          <w:p w:rsidR="008F6543" w:rsidRPr="00222917" w:rsidRDefault="008F6543" w:rsidP="0010529D">
            <w:pPr>
              <w:suppressAutoHyphens w:val="0"/>
              <w:snapToGrid w:val="0"/>
              <w:spacing w:before="40" w:after="40" w:line="220" w:lineRule="exact"/>
              <w:jc w:val="right"/>
              <w:rPr>
                <w:sz w:val="18"/>
                <w:szCs w:val="22"/>
                <w:lang w:val="en-US"/>
              </w:rPr>
            </w:pPr>
            <w:r w:rsidRPr="00222917">
              <w:rPr>
                <w:sz w:val="18"/>
                <w:szCs w:val="22"/>
                <w:lang w:val="en-US"/>
              </w:rPr>
              <w:t>120</w:t>
            </w:r>
          </w:p>
        </w:tc>
        <w:tc>
          <w:tcPr>
            <w:tcW w:w="964" w:type="dxa"/>
            <w:shd w:val="clear" w:color="auto" w:fill="auto"/>
            <w:tcMar>
              <w:top w:w="28" w:type="dxa"/>
              <w:left w:w="28" w:type="dxa"/>
              <w:bottom w:w="28" w:type="dxa"/>
              <w:right w:w="28" w:type="dxa"/>
            </w:tcMar>
            <w:vAlign w:val="bottom"/>
          </w:tcPr>
          <w:p w:rsidR="008F6543" w:rsidRPr="00222917" w:rsidRDefault="008F6543" w:rsidP="0010529D">
            <w:pPr>
              <w:suppressAutoHyphens w:val="0"/>
              <w:snapToGrid w:val="0"/>
              <w:spacing w:before="40" w:after="40" w:line="220" w:lineRule="exact"/>
              <w:jc w:val="right"/>
              <w:rPr>
                <w:sz w:val="18"/>
                <w:szCs w:val="22"/>
                <w:lang w:val="en-US"/>
              </w:rPr>
            </w:pPr>
            <w:r w:rsidRPr="00222917">
              <w:rPr>
                <w:sz w:val="18"/>
                <w:szCs w:val="22"/>
                <w:lang w:val="en-US"/>
              </w:rPr>
              <w:t>8,243</w:t>
            </w:r>
          </w:p>
        </w:tc>
        <w:tc>
          <w:tcPr>
            <w:tcW w:w="964" w:type="dxa"/>
            <w:shd w:val="clear" w:color="auto" w:fill="auto"/>
            <w:tcMar>
              <w:top w:w="28" w:type="dxa"/>
              <w:left w:w="28" w:type="dxa"/>
              <w:bottom w:w="28" w:type="dxa"/>
              <w:right w:w="28" w:type="dxa"/>
            </w:tcMar>
            <w:vAlign w:val="bottom"/>
          </w:tcPr>
          <w:p w:rsidR="008F6543" w:rsidRPr="00222917" w:rsidRDefault="008F6543" w:rsidP="0010529D">
            <w:pPr>
              <w:suppressAutoHyphens w:val="0"/>
              <w:snapToGrid w:val="0"/>
              <w:spacing w:before="40" w:after="40" w:line="220" w:lineRule="exact"/>
              <w:jc w:val="right"/>
              <w:rPr>
                <w:sz w:val="18"/>
                <w:szCs w:val="22"/>
                <w:lang w:val="en-US"/>
              </w:rPr>
            </w:pPr>
            <w:r w:rsidRPr="00222917">
              <w:rPr>
                <w:sz w:val="18"/>
                <w:szCs w:val="22"/>
                <w:lang w:val="en-US"/>
              </w:rPr>
              <w:t>100,291</w:t>
            </w:r>
          </w:p>
        </w:tc>
        <w:tc>
          <w:tcPr>
            <w:tcW w:w="964" w:type="dxa"/>
            <w:shd w:val="clear" w:color="auto" w:fill="auto"/>
            <w:tcMar>
              <w:top w:w="28" w:type="dxa"/>
              <w:left w:w="28" w:type="dxa"/>
              <w:bottom w:w="28" w:type="dxa"/>
              <w:right w:w="28" w:type="dxa"/>
            </w:tcMar>
            <w:vAlign w:val="bottom"/>
          </w:tcPr>
          <w:p w:rsidR="008F6543" w:rsidRPr="00222917" w:rsidRDefault="008F6543" w:rsidP="0010529D">
            <w:pPr>
              <w:suppressAutoHyphens w:val="0"/>
              <w:snapToGrid w:val="0"/>
              <w:spacing w:before="40" w:after="40" w:line="220" w:lineRule="exact"/>
              <w:jc w:val="right"/>
              <w:rPr>
                <w:sz w:val="18"/>
                <w:szCs w:val="22"/>
                <w:lang w:val="en-US"/>
              </w:rPr>
            </w:pPr>
            <w:r w:rsidRPr="00222917">
              <w:rPr>
                <w:sz w:val="18"/>
                <w:szCs w:val="22"/>
                <w:lang w:val="en-US"/>
              </w:rPr>
              <w:t>24,619</w:t>
            </w:r>
          </w:p>
        </w:tc>
        <w:tc>
          <w:tcPr>
            <w:tcW w:w="1134" w:type="dxa"/>
            <w:shd w:val="clear" w:color="auto" w:fill="auto"/>
            <w:tcMar>
              <w:top w:w="28" w:type="dxa"/>
              <w:left w:w="28" w:type="dxa"/>
              <w:bottom w:w="28" w:type="dxa"/>
              <w:right w:w="28" w:type="dxa"/>
            </w:tcMar>
            <w:vAlign w:val="bottom"/>
          </w:tcPr>
          <w:p w:rsidR="008F6543" w:rsidRPr="00222917" w:rsidRDefault="008F6543" w:rsidP="0010529D">
            <w:pPr>
              <w:suppressAutoHyphens w:val="0"/>
              <w:snapToGrid w:val="0"/>
              <w:spacing w:before="40" w:after="40" w:line="220" w:lineRule="exact"/>
              <w:jc w:val="right"/>
              <w:rPr>
                <w:sz w:val="18"/>
                <w:szCs w:val="22"/>
                <w:lang w:val="en-US"/>
              </w:rPr>
            </w:pPr>
            <w:r w:rsidRPr="00222917">
              <w:rPr>
                <w:sz w:val="18"/>
                <w:szCs w:val="22"/>
                <w:lang w:val="en-US"/>
              </w:rPr>
              <w:t>1,260,401</w:t>
            </w:r>
          </w:p>
        </w:tc>
      </w:tr>
      <w:tr w:rsidR="008F6543" w:rsidRPr="00222917" w:rsidTr="003F17B3">
        <w:tc>
          <w:tcPr>
            <w:tcW w:w="624" w:type="dxa"/>
            <w:tcBorders>
              <w:bottom w:val="single" w:sz="12" w:space="0" w:color="auto"/>
            </w:tcBorders>
            <w:shd w:val="clear" w:color="auto" w:fill="auto"/>
            <w:tcMar>
              <w:top w:w="28" w:type="dxa"/>
              <w:left w:w="28" w:type="dxa"/>
              <w:bottom w:w="28" w:type="dxa"/>
              <w:right w:w="28" w:type="dxa"/>
            </w:tcMar>
          </w:tcPr>
          <w:p w:rsidR="008F6543" w:rsidRPr="00222917" w:rsidRDefault="008F6543" w:rsidP="0010529D">
            <w:pPr>
              <w:suppressAutoHyphens w:val="0"/>
              <w:snapToGrid w:val="0"/>
              <w:spacing w:before="40" w:after="40" w:line="220" w:lineRule="exact"/>
              <w:rPr>
                <w:sz w:val="18"/>
                <w:szCs w:val="22"/>
                <w:lang w:val="en-US"/>
              </w:rPr>
            </w:pPr>
            <w:r w:rsidRPr="00222917">
              <w:rPr>
                <w:sz w:val="18"/>
                <w:szCs w:val="22"/>
                <w:lang w:val="en-US"/>
              </w:rPr>
              <w:t>2010</w:t>
            </w:r>
          </w:p>
        </w:tc>
        <w:tc>
          <w:tcPr>
            <w:tcW w:w="964" w:type="dxa"/>
            <w:tcBorders>
              <w:bottom w:val="single" w:sz="12" w:space="0" w:color="auto"/>
            </w:tcBorders>
            <w:shd w:val="clear" w:color="auto" w:fill="auto"/>
            <w:tcMar>
              <w:top w:w="28" w:type="dxa"/>
              <w:left w:w="28" w:type="dxa"/>
              <w:bottom w:w="28" w:type="dxa"/>
              <w:right w:w="28" w:type="dxa"/>
            </w:tcMar>
            <w:vAlign w:val="bottom"/>
          </w:tcPr>
          <w:p w:rsidR="008F6543" w:rsidRPr="00222917" w:rsidRDefault="008F6543" w:rsidP="0010529D">
            <w:pPr>
              <w:suppressAutoHyphens w:val="0"/>
              <w:snapToGrid w:val="0"/>
              <w:spacing w:before="40" w:after="40" w:line="220" w:lineRule="exact"/>
              <w:jc w:val="right"/>
              <w:rPr>
                <w:b/>
                <w:sz w:val="18"/>
                <w:szCs w:val="22"/>
                <w:lang w:val="en-US"/>
              </w:rPr>
            </w:pPr>
            <w:r w:rsidRPr="00222917">
              <w:rPr>
                <w:b/>
                <w:sz w:val="18"/>
                <w:szCs w:val="22"/>
                <w:lang w:val="en-US"/>
              </w:rPr>
              <w:t>132,671</w:t>
            </w:r>
          </w:p>
        </w:tc>
        <w:tc>
          <w:tcPr>
            <w:tcW w:w="964" w:type="dxa"/>
            <w:tcBorders>
              <w:bottom w:val="single" w:sz="12" w:space="0" w:color="auto"/>
            </w:tcBorders>
            <w:shd w:val="clear" w:color="auto" w:fill="auto"/>
            <w:tcMar>
              <w:top w:w="28" w:type="dxa"/>
              <w:left w:w="28" w:type="dxa"/>
              <w:bottom w:w="28" w:type="dxa"/>
              <w:right w:w="28" w:type="dxa"/>
            </w:tcMar>
            <w:vAlign w:val="bottom"/>
          </w:tcPr>
          <w:p w:rsidR="008F6543" w:rsidRPr="00222917" w:rsidRDefault="008F6543" w:rsidP="0010529D">
            <w:pPr>
              <w:suppressAutoHyphens w:val="0"/>
              <w:snapToGrid w:val="0"/>
              <w:spacing w:before="40" w:after="40" w:line="220" w:lineRule="exact"/>
              <w:jc w:val="right"/>
              <w:rPr>
                <w:sz w:val="18"/>
                <w:szCs w:val="22"/>
                <w:lang w:val="en-US"/>
              </w:rPr>
            </w:pPr>
            <w:r w:rsidRPr="00222917">
              <w:rPr>
                <w:sz w:val="18"/>
                <w:szCs w:val="22"/>
                <w:lang w:val="en-US"/>
              </w:rPr>
              <w:t>0.5</w:t>
            </w:r>
          </w:p>
        </w:tc>
        <w:tc>
          <w:tcPr>
            <w:tcW w:w="964" w:type="dxa"/>
            <w:tcBorders>
              <w:bottom w:val="single" w:sz="12" w:space="0" w:color="auto"/>
            </w:tcBorders>
            <w:shd w:val="clear" w:color="auto" w:fill="auto"/>
            <w:tcMar>
              <w:top w:w="28" w:type="dxa"/>
              <w:left w:w="28" w:type="dxa"/>
              <w:bottom w:w="28" w:type="dxa"/>
              <w:right w:w="28" w:type="dxa"/>
            </w:tcMar>
            <w:vAlign w:val="bottom"/>
          </w:tcPr>
          <w:p w:rsidR="008F6543" w:rsidRPr="00222917" w:rsidRDefault="008F6543" w:rsidP="0010529D">
            <w:pPr>
              <w:suppressAutoHyphens w:val="0"/>
              <w:snapToGrid w:val="0"/>
              <w:spacing w:before="40" w:after="40" w:line="220" w:lineRule="exact"/>
              <w:jc w:val="right"/>
              <w:rPr>
                <w:b/>
                <w:sz w:val="18"/>
                <w:szCs w:val="22"/>
                <w:lang w:val="en-US"/>
              </w:rPr>
            </w:pPr>
            <w:r w:rsidRPr="00222917">
              <w:rPr>
                <w:b/>
                <w:sz w:val="18"/>
                <w:szCs w:val="22"/>
                <w:lang w:val="en-US"/>
              </w:rPr>
              <w:t>113,092</w:t>
            </w:r>
          </w:p>
        </w:tc>
        <w:tc>
          <w:tcPr>
            <w:tcW w:w="964" w:type="dxa"/>
            <w:tcBorders>
              <w:bottom w:val="single" w:sz="12" w:space="0" w:color="auto"/>
            </w:tcBorders>
            <w:shd w:val="clear" w:color="auto" w:fill="auto"/>
            <w:tcMar>
              <w:top w:w="28" w:type="dxa"/>
              <w:left w:w="28" w:type="dxa"/>
              <w:bottom w:w="28" w:type="dxa"/>
              <w:right w:w="28" w:type="dxa"/>
            </w:tcMar>
            <w:vAlign w:val="bottom"/>
          </w:tcPr>
          <w:p w:rsidR="008F6543" w:rsidRPr="00222917" w:rsidRDefault="008F6543" w:rsidP="0010529D">
            <w:pPr>
              <w:suppressAutoHyphens w:val="0"/>
              <w:snapToGrid w:val="0"/>
              <w:spacing w:before="40" w:after="40" w:line="220" w:lineRule="exact"/>
              <w:jc w:val="right"/>
              <w:rPr>
                <w:sz w:val="18"/>
                <w:szCs w:val="22"/>
                <w:lang w:val="en-US"/>
              </w:rPr>
            </w:pPr>
            <w:r w:rsidRPr="00222917">
              <w:rPr>
                <w:sz w:val="18"/>
                <w:szCs w:val="22"/>
                <w:lang w:val="en-US"/>
              </w:rPr>
              <w:t>115</w:t>
            </w:r>
          </w:p>
        </w:tc>
        <w:tc>
          <w:tcPr>
            <w:tcW w:w="964" w:type="dxa"/>
            <w:tcBorders>
              <w:bottom w:val="single" w:sz="12" w:space="0" w:color="auto"/>
            </w:tcBorders>
            <w:shd w:val="clear" w:color="auto" w:fill="auto"/>
            <w:tcMar>
              <w:top w:w="28" w:type="dxa"/>
              <w:left w:w="28" w:type="dxa"/>
              <w:bottom w:w="28" w:type="dxa"/>
              <w:right w:w="28" w:type="dxa"/>
            </w:tcMar>
            <w:vAlign w:val="bottom"/>
          </w:tcPr>
          <w:p w:rsidR="008F6543" w:rsidRPr="00222917" w:rsidRDefault="008F6543" w:rsidP="0010529D">
            <w:pPr>
              <w:suppressAutoHyphens w:val="0"/>
              <w:snapToGrid w:val="0"/>
              <w:spacing w:before="40" w:after="40" w:line="220" w:lineRule="exact"/>
              <w:jc w:val="right"/>
              <w:rPr>
                <w:sz w:val="18"/>
                <w:szCs w:val="22"/>
                <w:lang w:val="en-US"/>
              </w:rPr>
            </w:pPr>
            <w:r w:rsidRPr="00222917">
              <w:rPr>
                <w:sz w:val="18"/>
                <w:szCs w:val="22"/>
                <w:lang w:val="en-US"/>
              </w:rPr>
              <w:t>9,532</w:t>
            </w:r>
          </w:p>
        </w:tc>
        <w:tc>
          <w:tcPr>
            <w:tcW w:w="964" w:type="dxa"/>
            <w:tcBorders>
              <w:bottom w:val="single" w:sz="12" w:space="0" w:color="auto"/>
            </w:tcBorders>
            <w:shd w:val="clear" w:color="auto" w:fill="auto"/>
            <w:tcMar>
              <w:top w:w="28" w:type="dxa"/>
              <w:left w:w="28" w:type="dxa"/>
              <w:bottom w:w="28" w:type="dxa"/>
              <w:right w:w="28" w:type="dxa"/>
            </w:tcMar>
            <w:vAlign w:val="bottom"/>
          </w:tcPr>
          <w:p w:rsidR="008F6543" w:rsidRPr="00222917" w:rsidRDefault="008F6543" w:rsidP="0010529D">
            <w:pPr>
              <w:suppressAutoHyphens w:val="0"/>
              <w:snapToGrid w:val="0"/>
              <w:spacing w:before="40" w:after="40" w:line="220" w:lineRule="exact"/>
              <w:jc w:val="right"/>
              <w:rPr>
                <w:sz w:val="18"/>
                <w:szCs w:val="22"/>
                <w:lang w:val="en-US"/>
              </w:rPr>
            </w:pPr>
            <w:r w:rsidRPr="00222917">
              <w:rPr>
                <w:sz w:val="18"/>
                <w:szCs w:val="22"/>
                <w:lang w:val="en-US"/>
              </w:rPr>
              <w:t>103,445</w:t>
            </w:r>
          </w:p>
        </w:tc>
        <w:tc>
          <w:tcPr>
            <w:tcW w:w="964" w:type="dxa"/>
            <w:tcBorders>
              <w:bottom w:val="single" w:sz="12" w:space="0" w:color="auto"/>
            </w:tcBorders>
            <w:shd w:val="clear" w:color="auto" w:fill="auto"/>
            <w:tcMar>
              <w:top w:w="28" w:type="dxa"/>
              <w:left w:w="28" w:type="dxa"/>
              <w:bottom w:w="28" w:type="dxa"/>
              <w:right w:w="28" w:type="dxa"/>
            </w:tcMar>
            <w:vAlign w:val="bottom"/>
          </w:tcPr>
          <w:p w:rsidR="008F6543" w:rsidRPr="00222917" w:rsidRDefault="008F6543" w:rsidP="0010529D">
            <w:pPr>
              <w:suppressAutoHyphens w:val="0"/>
              <w:snapToGrid w:val="0"/>
              <w:spacing w:before="40" w:after="40" w:line="220" w:lineRule="exact"/>
              <w:jc w:val="right"/>
              <w:rPr>
                <w:sz w:val="18"/>
                <w:szCs w:val="22"/>
                <w:lang w:val="en-US"/>
              </w:rPr>
            </w:pPr>
            <w:r w:rsidRPr="00222917">
              <w:rPr>
                <w:sz w:val="18"/>
                <w:szCs w:val="22"/>
                <w:lang w:val="en-US"/>
              </w:rPr>
              <w:t>19,579</w:t>
            </w:r>
          </w:p>
        </w:tc>
        <w:tc>
          <w:tcPr>
            <w:tcW w:w="1134" w:type="dxa"/>
            <w:tcBorders>
              <w:bottom w:val="single" w:sz="12" w:space="0" w:color="auto"/>
            </w:tcBorders>
            <w:shd w:val="clear" w:color="auto" w:fill="auto"/>
            <w:tcMar>
              <w:top w:w="28" w:type="dxa"/>
              <w:left w:w="28" w:type="dxa"/>
              <w:bottom w:w="28" w:type="dxa"/>
              <w:right w:w="28" w:type="dxa"/>
            </w:tcMar>
            <w:vAlign w:val="bottom"/>
          </w:tcPr>
          <w:p w:rsidR="008F6543" w:rsidRPr="00222917" w:rsidRDefault="008F6543" w:rsidP="0010529D">
            <w:pPr>
              <w:suppressAutoHyphens w:val="0"/>
              <w:snapToGrid w:val="0"/>
              <w:spacing w:before="40" w:after="40" w:line="220" w:lineRule="exact"/>
              <w:jc w:val="right"/>
              <w:rPr>
                <w:sz w:val="18"/>
                <w:szCs w:val="22"/>
                <w:lang w:val="en-US"/>
              </w:rPr>
            </w:pPr>
            <w:r w:rsidRPr="00222917">
              <w:rPr>
                <w:sz w:val="18"/>
                <w:szCs w:val="22"/>
                <w:lang w:val="en-US"/>
              </w:rPr>
              <w:t>1,218,792</w:t>
            </w:r>
          </w:p>
        </w:tc>
      </w:tr>
    </w:tbl>
    <w:p w:rsidR="002D5BB0" w:rsidRPr="00222917" w:rsidRDefault="0010529D" w:rsidP="0010529D">
      <w:pPr>
        <w:pStyle w:val="H23G"/>
        <w:rPr>
          <w:b w:val="0"/>
          <w:sz w:val="16"/>
          <w:szCs w:val="16"/>
          <w:lang w:val="en-US"/>
        </w:rPr>
      </w:pPr>
      <w:r w:rsidRPr="00222917">
        <w:rPr>
          <w:lang w:val="en-US"/>
        </w:rPr>
        <w:tab/>
      </w:r>
      <w:r w:rsidRPr="00222917">
        <w:rPr>
          <w:lang w:val="en-US"/>
        </w:rPr>
        <w:tab/>
      </w:r>
      <w:r w:rsidR="002D5BB0" w:rsidRPr="00222917">
        <w:rPr>
          <w:lang w:val="en-US"/>
        </w:rPr>
        <w:t xml:space="preserve">Legal Aid by the </w:t>
      </w:r>
      <w:smartTag w:uri="urn:schemas-microsoft-com:office:smarttags" w:element="place">
        <w:smartTag w:uri="urn:schemas-microsoft-com:office:smarttags" w:element="PlaceName">
          <w:r w:rsidR="002D5BB0" w:rsidRPr="00222917">
            <w:rPr>
              <w:lang w:val="en-US"/>
            </w:rPr>
            <w:t>Korea</w:t>
          </w:r>
        </w:smartTag>
        <w:r w:rsidR="002D5BB0" w:rsidRPr="00222917">
          <w:rPr>
            <w:lang w:val="en-US"/>
          </w:rPr>
          <w:t xml:space="preserve"> </w:t>
        </w:r>
        <w:smartTag w:uri="urn:schemas-microsoft-com:office:smarttags" w:element="PlaceName">
          <w:r w:rsidR="002D5BB0" w:rsidRPr="00222917">
            <w:rPr>
              <w:lang w:val="en-US"/>
            </w:rPr>
            <w:t>Legal</w:t>
          </w:r>
        </w:smartTag>
        <w:r w:rsidR="002D5BB0" w:rsidRPr="00222917">
          <w:rPr>
            <w:lang w:val="en-US"/>
          </w:rPr>
          <w:t xml:space="preserve"> </w:t>
        </w:r>
        <w:smartTag w:uri="urn:schemas-microsoft-com:office:smarttags" w:element="PlaceName">
          <w:r w:rsidR="002D5BB0" w:rsidRPr="00222917">
            <w:rPr>
              <w:lang w:val="en-US"/>
            </w:rPr>
            <w:t>Aid</w:t>
          </w:r>
        </w:smartTag>
        <w:r w:rsidR="002D5BB0" w:rsidRPr="00222917">
          <w:rPr>
            <w:lang w:val="en-US"/>
          </w:rPr>
          <w:t xml:space="preserve"> </w:t>
        </w:r>
        <w:smartTag w:uri="urn:schemas-microsoft-com:office:smarttags" w:element="PlaceType">
          <w:r w:rsidR="002D5BB0" w:rsidRPr="00222917">
            <w:rPr>
              <w:lang w:val="en-US"/>
            </w:rPr>
            <w:t>Center</w:t>
          </w:r>
        </w:smartTag>
      </w:smartTag>
      <w:r w:rsidR="002D5BB0" w:rsidRPr="00222917">
        <w:rPr>
          <w:lang w:val="en-US"/>
        </w:rPr>
        <w:t xml:space="preserve"> for Family Relations</w:t>
      </w:r>
      <w:r w:rsidRPr="00222917">
        <w:rPr>
          <w:lang w:val="en-US"/>
        </w:rPr>
        <w:br/>
      </w:r>
      <w:r w:rsidR="002D5BB0" w:rsidRPr="00222917">
        <w:rPr>
          <w:b w:val="0"/>
          <w:sz w:val="16"/>
          <w:szCs w:val="16"/>
          <w:lang w:val="en-US"/>
        </w:rPr>
        <w:t>(Number of cases)</w:t>
      </w:r>
    </w:p>
    <w:tbl>
      <w:tblPr>
        <w:tblW w:w="0" w:type="auto"/>
        <w:tblInd w:w="1134" w:type="dxa"/>
        <w:tblBorders>
          <w:top w:val="single" w:sz="4" w:space="0" w:color="auto"/>
        </w:tblBorders>
        <w:tblLayout w:type="fixed"/>
        <w:tblCellMar>
          <w:left w:w="0" w:type="dxa"/>
          <w:right w:w="0" w:type="dxa"/>
        </w:tblCellMar>
        <w:tblLook w:val="00A0"/>
      </w:tblPr>
      <w:tblGrid>
        <w:gridCol w:w="1134"/>
        <w:gridCol w:w="1247"/>
        <w:gridCol w:w="1247"/>
        <w:gridCol w:w="1247"/>
        <w:gridCol w:w="1247"/>
        <w:gridCol w:w="1247"/>
      </w:tblGrid>
      <w:tr w:rsidR="008F6543" w:rsidRPr="00222917" w:rsidTr="00E7550D">
        <w:trPr>
          <w:tblHeader/>
        </w:trPr>
        <w:tc>
          <w:tcPr>
            <w:tcW w:w="1134" w:type="dxa"/>
            <w:vMerge w:val="restart"/>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CC6554">
            <w:pPr>
              <w:pStyle w:val="SingleTxtG"/>
              <w:suppressAutoHyphens w:val="0"/>
              <w:spacing w:before="80" w:after="80" w:line="200" w:lineRule="exact"/>
              <w:ind w:left="0" w:right="0"/>
              <w:jc w:val="left"/>
              <w:rPr>
                <w:bCs/>
                <w:i/>
                <w:sz w:val="16"/>
                <w:lang w:val="en-US"/>
              </w:rPr>
            </w:pPr>
            <w:r w:rsidRPr="00222917">
              <w:rPr>
                <w:bCs/>
                <w:i/>
                <w:sz w:val="16"/>
                <w:lang w:val="en-US"/>
              </w:rPr>
              <w:t>Year</w:t>
            </w:r>
          </w:p>
        </w:tc>
        <w:tc>
          <w:tcPr>
            <w:tcW w:w="1247" w:type="dxa"/>
            <w:gridSpan w:val="3"/>
            <w:tcBorders>
              <w:top w:val="single" w:sz="4" w:space="0" w:color="auto"/>
              <w:bottom w:val="single" w:sz="4" w:space="0" w:color="auto"/>
            </w:tcBorders>
            <w:shd w:val="clear" w:color="auto" w:fill="auto"/>
            <w:tcMar>
              <w:top w:w="28" w:type="dxa"/>
              <w:left w:w="28" w:type="dxa"/>
              <w:bottom w:w="28" w:type="dxa"/>
              <w:right w:w="28" w:type="dxa"/>
            </w:tcMar>
            <w:vAlign w:val="bottom"/>
          </w:tcPr>
          <w:p w:rsidR="002D5BB0" w:rsidRPr="00222917" w:rsidRDefault="002D5BB0" w:rsidP="00CC6554">
            <w:pPr>
              <w:pStyle w:val="SingleTxtG"/>
              <w:suppressAutoHyphens w:val="0"/>
              <w:spacing w:before="80" w:after="80" w:line="200" w:lineRule="exact"/>
              <w:ind w:left="0" w:right="0"/>
              <w:jc w:val="center"/>
              <w:rPr>
                <w:bCs/>
                <w:i/>
                <w:sz w:val="16"/>
                <w:lang w:val="en-US"/>
              </w:rPr>
            </w:pPr>
            <w:r w:rsidRPr="00222917">
              <w:rPr>
                <w:bCs/>
                <w:i/>
                <w:sz w:val="16"/>
                <w:lang w:val="en-US"/>
              </w:rPr>
              <w:t>Legal Aid</w:t>
            </w:r>
          </w:p>
        </w:tc>
        <w:tc>
          <w:tcPr>
            <w:tcW w:w="1247" w:type="dxa"/>
            <w:vMerge w:val="restart"/>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CC6554">
            <w:pPr>
              <w:pStyle w:val="SingleTxtG"/>
              <w:suppressAutoHyphens w:val="0"/>
              <w:spacing w:before="80" w:after="80" w:line="200" w:lineRule="exact"/>
              <w:ind w:left="0" w:right="0"/>
              <w:jc w:val="right"/>
              <w:rPr>
                <w:bCs/>
                <w:i/>
                <w:sz w:val="16"/>
                <w:lang w:val="en-US"/>
              </w:rPr>
            </w:pPr>
            <w:r w:rsidRPr="00222917">
              <w:rPr>
                <w:bCs/>
                <w:i/>
                <w:sz w:val="16"/>
                <w:lang w:val="en-US"/>
              </w:rPr>
              <w:t>Legal counseling</w:t>
            </w:r>
          </w:p>
        </w:tc>
        <w:tc>
          <w:tcPr>
            <w:tcW w:w="1247" w:type="dxa"/>
            <w:vMerge w:val="restart"/>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CC6554">
            <w:pPr>
              <w:pStyle w:val="SingleTxtG"/>
              <w:suppressAutoHyphens w:val="0"/>
              <w:spacing w:before="80" w:after="80" w:line="200" w:lineRule="exact"/>
              <w:ind w:left="0" w:right="0"/>
              <w:jc w:val="right"/>
              <w:rPr>
                <w:b/>
                <w:bCs/>
                <w:i/>
                <w:sz w:val="16"/>
                <w:lang w:val="en-US"/>
              </w:rPr>
            </w:pPr>
            <w:r w:rsidRPr="00222917">
              <w:rPr>
                <w:b/>
                <w:bCs/>
                <w:i/>
                <w:sz w:val="16"/>
                <w:lang w:val="en-US"/>
              </w:rPr>
              <w:t>Total</w:t>
            </w:r>
          </w:p>
        </w:tc>
      </w:tr>
      <w:tr w:rsidR="008F6543" w:rsidRPr="00222917" w:rsidTr="00E7550D">
        <w:trPr>
          <w:tblHeader/>
        </w:trPr>
        <w:tc>
          <w:tcPr>
            <w:tcW w:w="1134" w:type="dxa"/>
            <w:vMerge/>
            <w:tcBorders>
              <w:top w:val="single" w:sz="12" w:space="0" w:color="auto"/>
              <w:bottom w:val="single" w:sz="12" w:space="0" w:color="auto"/>
            </w:tcBorders>
            <w:shd w:val="clear" w:color="auto" w:fill="auto"/>
            <w:vAlign w:val="bottom"/>
          </w:tcPr>
          <w:p w:rsidR="002D5BB0" w:rsidRPr="00222917" w:rsidRDefault="002D5BB0" w:rsidP="00CC6554">
            <w:pPr>
              <w:pStyle w:val="SingleTxtG"/>
              <w:suppressAutoHyphens w:val="0"/>
              <w:spacing w:before="80" w:after="80" w:line="200" w:lineRule="exact"/>
              <w:ind w:left="0" w:right="0"/>
              <w:jc w:val="center"/>
              <w:rPr>
                <w:bCs/>
                <w:i/>
                <w:sz w:val="16"/>
                <w:lang w:val="en-US"/>
              </w:rPr>
            </w:pPr>
          </w:p>
        </w:tc>
        <w:tc>
          <w:tcPr>
            <w:tcW w:w="1247"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CC6554">
            <w:pPr>
              <w:pStyle w:val="SingleTxtG"/>
              <w:suppressAutoHyphens w:val="0"/>
              <w:spacing w:before="80" w:after="80" w:line="200" w:lineRule="exact"/>
              <w:ind w:left="0" w:right="0"/>
              <w:jc w:val="right"/>
              <w:rPr>
                <w:b/>
                <w:bCs/>
                <w:i/>
                <w:sz w:val="16"/>
                <w:lang w:val="en-US"/>
              </w:rPr>
            </w:pPr>
            <w:r w:rsidRPr="00222917">
              <w:rPr>
                <w:b/>
                <w:bCs/>
                <w:i/>
                <w:sz w:val="16"/>
                <w:lang w:val="en-US"/>
              </w:rPr>
              <w:t>Total</w:t>
            </w:r>
          </w:p>
        </w:tc>
        <w:tc>
          <w:tcPr>
            <w:tcW w:w="1247"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CC6554">
            <w:pPr>
              <w:pStyle w:val="SingleTxtG"/>
              <w:suppressAutoHyphens w:val="0"/>
              <w:spacing w:before="80" w:after="80" w:line="200" w:lineRule="exact"/>
              <w:ind w:left="0" w:right="0"/>
              <w:jc w:val="right"/>
              <w:rPr>
                <w:bCs/>
                <w:i/>
                <w:sz w:val="16"/>
                <w:lang w:val="en-US"/>
              </w:rPr>
            </w:pPr>
            <w:r w:rsidRPr="00222917">
              <w:rPr>
                <w:bCs/>
                <w:i/>
                <w:sz w:val="16"/>
                <w:lang w:val="en-US"/>
              </w:rPr>
              <w:t>Pre-</w:t>
            </w:r>
            <w:r w:rsidR="00CC6554" w:rsidRPr="00222917">
              <w:rPr>
                <w:bCs/>
                <w:i/>
                <w:sz w:val="16"/>
                <w:lang w:val="en-US"/>
              </w:rPr>
              <w:br/>
            </w:r>
            <w:r w:rsidRPr="00222917">
              <w:rPr>
                <w:bCs/>
                <w:i/>
                <w:sz w:val="16"/>
                <w:lang w:val="en-US"/>
              </w:rPr>
              <w:t>litigation aid</w:t>
            </w:r>
          </w:p>
        </w:tc>
        <w:tc>
          <w:tcPr>
            <w:tcW w:w="1247"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CC6554" w:rsidP="00CC6554">
            <w:pPr>
              <w:pStyle w:val="SingleTxtG"/>
              <w:suppressAutoHyphens w:val="0"/>
              <w:spacing w:before="80" w:after="80" w:line="200" w:lineRule="exact"/>
              <w:ind w:left="0" w:right="0"/>
              <w:jc w:val="right"/>
              <w:rPr>
                <w:bCs/>
                <w:i/>
                <w:sz w:val="16"/>
                <w:lang w:val="en-US"/>
              </w:rPr>
            </w:pPr>
            <w:r w:rsidRPr="00222917">
              <w:rPr>
                <w:bCs/>
                <w:i/>
                <w:sz w:val="16"/>
                <w:lang w:val="en-US"/>
              </w:rPr>
              <w:t>Legal</w:t>
            </w:r>
            <w:r w:rsidRPr="00222917">
              <w:rPr>
                <w:bCs/>
                <w:i/>
                <w:sz w:val="16"/>
                <w:lang w:val="en-US"/>
              </w:rPr>
              <w:br/>
            </w:r>
            <w:r w:rsidR="002D5BB0" w:rsidRPr="00222917">
              <w:rPr>
                <w:bCs/>
                <w:i/>
                <w:sz w:val="16"/>
                <w:lang w:val="en-US"/>
              </w:rPr>
              <w:t>proceeding aid</w:t>
            </w:r>
          </w:p>
        </w:tc>
        <w:tc>
          <w:tcPr>
            <w:tcW w:w="1247" w:type="dxa"/>
            <w:vMerge/>
            <w:tcBorders>
              <w:top w:val="single" w:sz="12" w:space="0" w:color="auto"/>
              <w:bottom w:val="single" w:sz="12" w:space="0" w:color="auto"/>
            </w:tcBorders>
            <w:shd w:val="clear" w:color="auto" w:fill="auto"/>
            <w:vAlign w:val="bottom"/>
          </w:tcPr>
          <w:p w:rsidR="002D5BB0" w:rsidRPr="00222917" w:rsidRDefault="002D5BB0" w:rsidP="00CC6554">
            <w:pPr>
              <w:pStyle w:val="SingleTxtG"/>
              <w:suppressAutoHyphens w:val="0"/>
              <w:spacing w:before="80" w:after="80" w:line="200" w:lineRule="exact"/>
              <w:ind w:left="0" w:right="0"/>
              <w:jc w:val="right"/>
              <w:rPr>
                <w:bCs/>
                <w:i/>
                <w:sz w:val="16"/>
                <w:lang w:val="en-US"/>
              </w:rPr>
            </w:pPr>
          </w:p>
        </w:tc>
        <w:tc>
          <w:tcPr>
            <w:tcW w:w="1247" w:type="dxa"/>
            <w:vMerge/>
            <w:tcBorders>
              <w:top w:val="single" w:sz="12" w:space="0" w:color="auto"/>
              <w:bottom w:val="single" w:sz="12" w:space="0" w:color="auto"/>
            </w:tcBorders>
            <w:shd w:val="clear" w:color="auto" w:fill="auto"/>
            <w:vAlign w:val="bottom"/>
          </w:tcPr>
          <w:p w:rsidR="002D5BB0" w:rsidRPr="00222917" w:rsidRDefault="002D5BB0" w:rsidP="00CC6554">
            <w:pPr>
              <w:pStyle w:val="SingleTxtG"/>
              <w:suppressAutoHyphens w:val="0"/>
              <w:spacing w:before="80" w:after="80" w:line="200" w:lineRule="exact"/>
              <w:ind w:left="0" w:right="0"/>
              <w:jc w:val="right"/>
              <w:rPr>
                <w:b/>
                <w:bCs/>
                <w:i/>
                <w:sz w:val="16"/>
                <w:lang w:val="en-US"/>
              </w:rPr>
            </w:pPr>
          </w:p>
        </w:tc>
      </w:tr>
      <w:tr w:rsidR="008F6543" w:rsidRPr="00222917" w:rsidTr="00E7550D">
        <w:tc>
          <w:tcPr>
            <w:tcW w:w="1134" w:type="dxa"/>
            <w:tcBorders>
              <w:top w:val="single" w:sz="12" w:space="0" w:color="auto"/>
            </w:tcBorders>
            <w:shd w:val="clear" w:color="auto" w:fill="auto"/>
            <w:tcMar>
              <w:top w:w="28" w:type="dxa"/>
              <w:left w:w="28" w:type="dxa"/>
              <w:bottom w:w="28" w:type="dxa"/>
              <w:right w:w="28" w:type="dxa"/>
            </w:tcMar>
          </w:tcPr>
          <w:p w:rsidR="002D5BB0" w:rsidRPr="00222917" w:rsidRDefault="002D5BB0" w:rsidP="00CC6554">
            <w:pPr>
              <w:pStyle w:val="SingleTxtG"/>
              <w:suppressAutoHyphens w:val="0"/>
              <w:spacing w:before="40" w:after="40" w:line="220" w:lineRule="exact"/>
              <w:ind w:left="0" w:right="0"/>
              <w:jc w:val="left"/>
              <w:rPr>
                <w:sz w:val="18"/>
                <w:lang w:val="en-US"/>
              </w:rPr>
            </w:pPr>
            <w:r w:rsidRPr="00222917">
              <w:rPr>
                <w:sz w:val="18"/>
                <w:lang w:val="en-US"/>
              </w:rPr>
              <w:t>2005</w:t>
            </w:r>
          </w:p>
        </w:tc>
        <w:tc>
          <w:tcPr>
            <w:tcW w:w="1247" w:type="dxa"/>
            <w:tcBorders>
              <w:top w:val="single" w:sz="12" w:space="0" w:color="auto"/>
            </w:tcBorders>
            <w:shd w:val="clear" w:color="auto" w:fill="auto"/>
            <w:tcMar>
              <w:top w:w="28" w:type="dxa"/>
              <w:left w:w="28" w:type="dxa"/>
              <w:bottom w:w="28" w:type="dxa"/>
              <w:right w:w="28" w:type="dxa"/>
            </w:tcMar>
            <w:vAlign w:val="bottom"/>
          </w:tcPr>
          <w:p w:rsidR="002D5BB0" w:rsidRPr="00222917" w:rsidRDefault="002D5BB0" w:rsidP="00CC6554">
            <w:pPr>
              <w:pStyle w:val="SingleTxtG"/>
              <w:suppressAutoHyphens w:val="0"/>
              <w:spacing w:before="40" w:after="40" w:line="220" w:lineRule="exact"/>
              <w:ind w:left="0" w:right="0"/>
              <w:jc w:val="right"/>
              <w:rPr>
                <w:b/>
                <w:sz w:val="18"/>
                <w:lang w:val="en-US"/>
              </w:rPr>
            </w:pPr>
            <w:r w:rsidRPr="00222917">
              <w:rPr>
                <w:b/>
                <w:sz w:val="18"/>
                <w:lang w:val="en-US"/>
              </w:rPr>
              <w:t>4,012</w:t>
            </w:r>
          </w:p>
        </w:tc>
        <w:tc>
          <w:tcPr>
            <w:tcW w:w="1247" w:type="dxa"/>
            <w:tcBorders>
              <w:top w:val="single" w:sz="12" w:space="0" w:color="auto"/>
            </w:tcBorders>
            <w:shd w:val="clear" w:color="auto" w:fill="auto"/>
            <w:tcMar>
              <w:top w:w="28" w:type="dxa"/>
              <w:left w:w="28" w:type="dxa"/>
              <w:bottom w:w="28" w:type="dxa"/>
              <w:right w:w="28" w:type="dxa"/>
            </w:tcMar>
            <w:vAlign w:val="bottom"/>
          </w:tcPr>
          <w:p w:rsidR="002D5BB0" w:rsidRPr="00222917" w:rsidRDefault="002D5BB0" w:rsidP="00CC6554">
            <w:pPr>
              <w:pStyle w:val="SingleTxtG"/>
              <w:suppressAutoHyphens w:val="0"/>
              <w:spacing w:before="40" w:after="40" w:line="220" w:lineRule="exact"/>
              <w:ind w:left="0" w:right="0"/>
              <w:jc w:val="right"/>
              <w:rPr>
                <w:sz w:val="18"/>
                <w:lang w:val="en-US"/>
              </w:rPr>
            </w:pPr>
            <w:r w:rsidRPr="00222917">
              <w:rPr>
                <w:sz w:val="18"/>
                <w:lang w:val="en-US"/>
              </w:rPr>
              <w:t>3,708</w:t>
            </w:r>
          </w:p>
        </w:tc>
        <w:tc>
          <w:tcPr>
            <w:tcW w:w="1247" w:type="dxa"/>
            <w:tcBorders>
              <w:top w:val="single" w:sz="12" w:space="0" w:color="auto"/>
            </w:tcBorders>
            <w:shd w:val="clear" w:color="auto" w:fill="auto"/>
            <w:tcMar>
              <w:top w:w="28" w:type="dxa"/>
              <w:left w:w="28" w:type="dxa"/>
              <w:bottom w:w="28" w:type="dxa"/>
              <w:right w:w="28" w:type="dxa"/>
            </w:tcMar>
            <w:vAlign w:val="bottom"/>
          </w:tcPr>
          <w:p w:rsidR="002D5BB0" w:rsidRPr="00222917" w:rsidRDefault="002D5BB0" w:rsidP="00CC6554">
            <w:pPr>
              <w:pStyle w:val="SingleTxtG"/>
              <w:suppressAutoHyphens w:val="0"/>
              <w:spacing w:before="40" w:after="40" w:line="220" w:lineRule="exact"/>
              <w:ind w:left="0" w:right="0"/>
              <w:jc w:val="right"/>
              <w:rPr>
                <w:sz w:val="18"/>
                <w:lang w:val="en-US"/>
              </w:rPr>
            </w:pPr>
            <w:r w:rsidRPr="00222917">
              <w:rPr>
                <w:sz w:val="18"/>
                <w:lang w:val="en-US"/>
              </w:rPr>
              <w:t>304</w:t>
            </w:r>
          </w:p>
        </w:tc>
        <w:tc>
          <w:tcPr>
            <w:tcW w:w="1247" w:type="dxa"/>
            <w:tcBorders>
              <w:top w:val="single" w:sz="12" w:space="0" w:color="auto"/>
            </w:tcBorders>
            <w:shd w:val="clear" w:color="auto" w:fill="auto"/>
            <w:tcMar>
              <w:top w:w="28" w:type="dxa"/>
              <w:left w:w="28" w:type="dxa"/>
              <w:bottom w:w="28" w:type="dxa"/>
              <w:right w:w="28" w:type="dxa"/>
            </w:tcMar>
            <w:vAlign w:val="bottom"/>
          </w:tcPr>
          <w:p w:rsidR="002D5BB0" w:rsidRPr="00222917" w:rsidRDefault="002D5BB0" w:rsidP="00CC6554">
            <w:pPr>
              <w:pStyle w:val="SingleTxtG"/>
              <w:suppressAutoHyphens w:val="0"/>
              <w:spacing w:before="40" w:after="40" w:line="220" w:lineRule="exact"/>
              <w:ind w:left="0" w:right="0"/>
              <w:jc w:val="right"/>
              <w:rPr>
                <w:sz w:val="18"/>
                <w:lang w:val="en-US"/>
              </w:rPr>
            </w:pPr>
            <w:r w:rsidRPr="00222917">
              <w:rPr>
                <w:sz w:val="18"/>
                <w:lang w:val="en-US"/>
              </w:rPr>
              <w:t>103,692</w:t>
            </w:r>
          </w:p>
        </w:tc>
        <w:tc>
          <w:tcPr>
            <w:tcW w:w="1247" w:type="dxa"/>
            <w:tcBorders>
              <w:top w:val="single" w:sz="12" w:space="0" w:color="auto"/>
            </w:tcBorders>
            <w:shd w:val="clear" w:color="auto" w:fill="auto"/>
            <w:tcMar>
              <w:top w:w="28" w:type="dxa"/>
              <w:left w:w="28" w:type="dxa"/>
              <w:bottom w:w="28" w:type="dxa"/>
              <w:right w:w="28" w:type="dxa"/>
            </w:tcMar>
            <w:vAlign w:val="bottom"/>
          </w:tcPr>
          <w:p w:rsidR="002D5BB0" w:rsidRPr="00222917" w:rsidRDefault="002D5BB0" w:rsidP="00CC6554">
            <w:pPr>
              <w:pStyle w:val="SingleTxtG"/>
              <w:suppressAutoHyphens w:val="0"/>
              <w:spacing w:before="40" w:after="40" w:line="220" w:lineRule="exact"/>
              <w:ind w:left="0" w:right="0"/>
              <w:jc w:val="right"/>
              <w:rPr>
                <w:b/>
                <w:sz w:val="18"/>
                <w:lang w:val="en-US"/>
              </w:rPr>
            </w:pPr>
            <w:r w:rsidRPr="00222917">
              <w:rPr>
                <w:b/>
                <w:sz w:val="18"/>
                <w:lang w:val="en-US"/>
              </w:rPr>
              <w:t>107,704</w:t>
            </w:r>
          </w:p>
        </w:tc>
      </w:tr>
      <w:tr w:rsidR="008F6543" w:rsidRPr="00222917" w:rsidTr="00E7550D">
        <w:tc>
          <w:tcPr>
            <w:tcW w:w="1134" w:type="dxa"/>
            <w:shd w:val="clear" w:color="auto" w:fill="auto"/>
            <w:tcMar>
              <w:top w:w="28" w:type="dxa"/>
              <w:left w:w="28" w:type="dxa"/>
              <w:bottom w:w="28" w:type="dxa"/>
              <w:right w:w="28" w:type="dxa"/>
            </w:tcMar>
          </w:tcPr>
          <w:p w:rsidR="002D5BB0" w:rsidRPr="00222917" w:rsidRDefault="002D5BB0" w:rsidP="00CC6554">
            <w:pPr>
              <w:pStyle w:val="SingleTxtG"/>
              <w:suppressAutoHyphens w:val="0"/>
              <w:spacing w:before="40" w:after="40" w:line="220" w:lineRule="exact"/>
              <w:ind w:left="0" w:right="0"/>
              <w:jc w:val="left"/>
              <w:rPr>
                <w:sz w:val="18"/>
                <w:lang w:val="en-US"/>
              </w:rPr>
            </w:pPr>
            <w:r w:rsidRPr="00222917">
              <w:rPr>
                <w:sz w:val="18"/>
                <w:lang w:val="en-US"/>
              </w:rPr>
              <w:t>2006</w:t>
            </w:r>
          </w:p>
        </w:tc>
        <w:tc>
          <w:tcPr>
            <w:tcW w:w="1247" w:type="dxa"/>
            <w:shd w:val="clear" w:color="auto" w:fill="auto"/>
            <w:tcMar>
              <w:top w:w="28" w:type="dxa"/>
              <w:left w:w="28" w:type="dxa"/>
              <w:bottom w:w="28" w:type="dxa"/>
              <w:right w:w="28" w:type="dxa"/>
            </w:tcMar>
            <w:vAlign w:val="bottom"/>
          </w:tcPr>
          <w:p w:rsidR="002D5BB0" w:rsidRPr="00222917" w:rsidRDefault="002D5BB0" w:rsidP="00CC6554">
            <w:pPr>
              <w:pStyle w:val="SingleTxtG"/>
              <w:suppressAutoHyphens w:val="0"/>
              <w:spacing w:before="40" w:after="40" w:line="220" w:lineRule="exact"/>
              <w:ind w:left="0" w:right="0"/>
              <w:jc w:val="right"/>
              <w:rPr>
                <w:b/>
                <w:sz w:val="18"/>
                <w:lang w:val="en-US"/>
              </w:rPr>
            </w:pPr>
            <w:r w:rsidRPr="00222917">
              <w:rPr>
                <w:b/>
                <w:sz w:val="18"/>
                <w:lang w:val="en-US"/>
              </w:rPr>
              <w:t>4,884</w:t>
            </w:r>
          </w:p>
        </w:tc>
        <w:tc>
          <w:tcPr>
            <w:tcW w:w="1247" w:type="dxa"/>
            <w:shd w:val="clear" w:color="auto" w:fill="auto"/>
            <w:tcMar>
              <w:top w:w="28" w:type="dxa"/>
              <w:left w:w="28" w:type="dxa"/>
              <w:bottom w:w="28" w:type="dxa"/>
              <w:right w:w="28" w:type="dxa"/>
            </w:tcMar>
            <w:vAlign w:val="bottom"/>
          </w:tcPr>
          <w:p w:rsidR="002D5BB0" w:rsidRPr="00222917" w:rsidRDefault="002D5BB0" w:rsidP="00CC6554">
            <w:pPr>
              <w:pStyle w:val="SingleTxtG"/>
              <w:suppressAutoHyphens w:val="0"/>
              <w:spacing w:before="40" w:after="40" w:line="220" w:lineRule="exact"/>
              <w:ind w:left="0" w:right="0"/>
              <w:jc w:val="right"/>
              <w:rPr>
                <w:sz w:val="18"/>
                <w:lang w:val="en-US"/>
              </w:rPr>
            </w:pPr>
            <w:r w:rsidRPr="00222917">
              <w:rPr>
                <w:sz w:val="18"/>
                <w:lang w:val="en-US"/>
              </w:rPr>
              <w:t>4,479</w:t>
            </w:r>
          </w:p>
        </w:tc>
        <w:tc>
          <w:tcPr>
            <w:tcW w:w="1247" w:type="dxa"/>
            <w:shd w:val="clear" w:color="auto" w:fill="auto"/>
            <w:tcMar>
              <w:top w:w="28" w:type="dxa"/>
              <w:left w:w="28" w:type="dxa"/>
              <w:bottom w:w="28" w:type="dxa"/>
              <w:right w:w="28" w:type="dxa"/>
            </w:tcMar>
            <w:vAlign w:val="bottom"/>
          </w:tcPr>
          <w:p w:rsidR="002D5BB0" w:rsidRPr="00222917" w:rsidRDefault="002D5BB0" w:rsidP="00CC6554">
            <w:pPr>
              <w:pStyle w:val="SingleTxtG"/>
              <w:suppressAutoHyphens w:val="0"/>
              <w:spacing w:before="40" w:after="40" w:line="220" w:lineRule="exact"/>
              <w:ind w:left="0" w:right="0"/>
              <w:jc w:val="right"/>
              <w:rPr>
                <w:sz w:val="18"/>
                <w:lang w:val="en-US"/>
              </w:rPr>
            </w:pPr>
            <w:r w:rsidRPr="00222917">
              <w:rPr>
                <w:sz w:val="18"/>
                <w:lang w:val="en-US"/>
              </w:rPr>
              <w:t>405</w:t>
            </w:r>
          </w:p>
        </w:tc>
        <w:tc>
          <w:tcPr>
            <w:tcW w:w="1247" w:type="dxa"/>
            <w:shd w:val="clear" w:color="auto" w:fill="auto"/>
            <w:tcMar>
              <w:top w:w="28" w:type="dxa"/>
              <w:left w:w="28" w:type="dxa"/>
              <w:bottom w:w="28" w:type="dxa"/>
              <w:right w:w="28" w:type="dxa"/>
            </w:tcMar>
            <w:vAlign w:val="bottom"/>
          </w:tcPr>
          <w:p w:rsidR="002D5BB0" w:rsidRPr="00222917" w:rsidRDefault="002D5BB0" w:rsidP="00CC6554">
            <w:pPr>
              <w:pStyle w:val="SingleTxtG"/>
              <w:suppressAutoHyphens w:val="0"/>
              <w:spacing w:before="40" w:after="40" w:line="220" w:lineRule="exact"/>
              <w:ind w:left="0" w:right="0"/>
              <w:jc w:val="right"/>
              <w:rPr>
                <w:sz w:val="18"/>
                <w:lang w:val="en-US"/>
              </w:rPr>
            </w:pPr>
            <w:r w:rsidRPr="00222917">
              <w:rPr>
                <w:sz w:val="18"/>
                <w:lang w:val="en-US"/>
              </w:rPr>
              <w:t>129,523</w:t>
            </w:r>
          </w:p>
        </w:tc>
        <w:tc>
          <w:tcPr>
            <w:tcW w:w="1247" w:type="dxa"/>
            <w:shd w:val="clear" w:color="auto" w:fill="auto"/>
            <w:tcMar>
              <w:top w:w="28" w:type="dxa"/>
              <w:left w:w="28" w:type="dxa"/>
              <w:bottom w:w="28" w:type="dxa"/>
              <w:right w:w="28" w:type="dxa"/>
            </w:tcMar>
            <w:vAlign w:val="bottom"/>
          </w:tcPr>
          <w:p w:rsidR="002D5BB0" w:rsidRPr="00222917" w:rsidRDefault="002D5BB0" w:rsidP="00CC6554">
            <w:pPr>
              <w:pStyle w:val="SingleTxtG"/>
              <w:suppressAutoHyphens w:val="0"/>
              <w:spacing w:before="40" w:after="40" w:line="220" w:lineRule="exact"/>
              <w:ind w:left="0" w:right="0"/>
              <w:jc w:val="right"/>
              <w:rPr>
                <w:b/>
                <w:sz w:val="18"/>
                <w:lang w:val="en-US"/>
              </w:rPr>
            </w:pPr>
            <w:r w:rsidRPr="00222917">
              <w:rPr>
                <w:b/>
                <w:sz w:val="18"/>
                <w:lang w:val="en-US"/>
              </w:rPr>
              <w:t>134,407</w:t>
            </w:r>
          </w:p>
        </w:tc>
      </w:tr>
      <w:tr w:rsidR="008F6543" w:rsidRPr="00222917" w:rsidTr="00E7550D">
        <w:tc>
          <w:tcPr>
            <w:tcW w:w="1134" w:type="dxa"/>
            <w:shd w:val="clear" w:color="auto" w:fill="auto"/>
            <w:tcMar>
              <w:top w:w="28" w:type="dxa"/>
              <w:left w:w="28" w:type="dxa"/>
              <w:bottom w:w="28" w:type="dxa"/>
              <w:right w:w="28" w:type="dxa"/>
            </w:tcMar>
          </w:tcPr>
          <w:p w:rsidR="002D5BB0" w:rsidRPr="00222917" w:rsidRDefault="002D5BB0" w:rsidP="00CC6554">
            <w:pPr>
              <w:pStyle w:val="SingleTxtG"/>
              <w:suppressAutoHyphens w:val="0"/>
              <w:spacing w:before="40" w:after="40" w:line="220" w:lineRule="exact"/>
              <w:ind w:left="0" w:right="0"/>
              <w:jc w:val="left"/>
              <w:rPr>
                <w:sz w:val="18"/>
                <w:lang w:val="en-US"/>
              </w:rPr>
            </w:pPr>
            <w:r w:rsidRPr="00222917">
              <w:rPr>
                <w:sz w:val="18"/>
                <w:lang w:val="en-US"/>
              </w:rPr>
              <w:t>2007</w:t>
            </w:r>
          </w:p>
        </w:tc>
        <w:tc>
          <w:tcPr>
            <w:tcW w:w="1247" w:type="dxa"/>
            <w:shd w:val="clear" w:color="auto" w:fill="auto"/>
            <w:tcMar>
              <w:top w:w="28" w:type="dxa"/>
              <w:left w:w="28" w:type="dxa"/>
              <w:bottom w:w="28" w:type="dxa"/>
              <w:right w:w="28" w:type="dxa"/>
            </w:tcMar>
            <w:vAlign w:val="bottom"/>
          </w:tcPr>
          <w:p w:rsidR="002D5BB0" w:rsidRPr="00222917" w:rsidRDefault="002D5BB0" w:rsidP="00CC6554">
            <w:pPr>
              <w:pStyle w:val="SingleTxtG"/>
              <w:suppressAutoHyphens w:val="0"/>
              <w:spacing w:before="40" w:after="40" w:line="220" w:lineRule="exact"/>
              <w:ind w:left="0" w:right="0"/>
              <w:jc w:val="right"/>
              <w:rPr>
                <w:b/>
                <w:sz w:val="18"/>
                <w:lang w:val="en-US"/>
              </w:rPr>
            </w:pPr>
            <w:r w:rsidRPr="00222917">
              <w:rPr>
                <w:b/>
                <w:sz w:val="18"/>
                <w:lang w:val="en-US"/>
              </w:rPr>
              <w:t>6,065</w:t>
            </w:r>
          </w:p>
        </w:tc>
        <w:tc>
          <w:tcPr>
            <w:tcW w:w="1247" w:type="dxa"/>
            <w:shd w:val="clear" w:color="auto" w:fill="auto"/>
            <w:tcMar>
              <w:top w:w="28" w:type="dxa"/>
              <w:left w:w="28" w:type="dxa"/>
              <w:bottom w:w="28" w:type="dxa"/>
              <w:right w:w="28" w:type="dxa"/>
            </w:tcMar>
            <w:vAlign w:val="bottom"/>
          </w:tcPr>
          <w:p w:rsidR="002D5BB0" w:rsidRPr="00222917" w:rsidRDefault="002D5BB0" w:rsidP="00CC6554">
            <w:pPr>
              <w:pStyle w:val="SingleTxtG"/>
              <w:suppressAutoHyphens w:val="0"/>
              <w:spacing w:before="40" w:after="40" w:line="220" w:lineRule="exact"/>
              <w:ind w:left="0" w:right="0"/>
              <w:jc w:val="right"/>
              <w:rPr>
                <w:sz w:val="18"/>
                <w:lang w:val="en-US"/>
              </w:rPr>
            </w:pPr>
            <w:r w:rsidRPr="00222917">
              <w:rPr>
                <w:sz w:val="18"/>
                <w:lang w:val="en-US"/>
              </w:rPr>
              <w:t>5,520</w:t>
            </w:r>
          </w:p>
        </w:tc>
        <w:tc>
          <w:tcPr>
            <w:tcW w:w="1247" w:type="dxa"/>
            <w:shd w:val="clear" w:color="auto" w:fill="auto"/>
            <w:tcMar>
              <w:top w:w="28" w:type="dxa"/>
              <w:left w:w="28" w:type="dxa"/>
              <w:bottom w:w="28" w:type="dxa"/>
              <w:right w:w="28" w:type="dxa"/>
            </w:tcMar>
            <w:vAlign w:val="bottom"/>
          </w:tcPr>
          <w:p w:rsidR="002D5BB0" w:rsidRPr="00222917" w:rsidRDefault="002D5BB0" w:rsidP="00CC6554">
            <w:pPr>
              <w:pStyle w:val="SingleTxtG"/>
              <w:suppressAutoHyphens w:val="0"/>
              <w:spacing w:before="40" w:after="40" w:line="220" w:lineRule="exact"/>
              <w:ind w:left="0" w:right="0"/>
              <w:jc w:val="right"/>
              <w:rPr>
                <w:sz w:val="18"/>
                <w:lang w:val="en-US"/>
              </w:rPr>
            </w:pPr>
            <w:r w:rsidRPr="00222917">
              <w:rPr>
                <w:sz w:val="18"/>
                <w:lang w:val="en-US"/>
              </w:rPr>
              <w:t>545</w:t>
            </w:r>
          </w:p>
        </w:tc>
        <w:tc>
          <w:tcPr>
            <w:tcW w:w="1247" w:type="dxa"/>
            <w:shd w:val="clear" w:color="auto" w:fill="auto"/>
            <w:tcMar>
              <w:top w:w="28" w:type="dxa"/>
              <w:left w:w="28" w:type="dxa"/>
              <w:bottom w:w="28" w:type="dxa"/>
              <w:right w:w="28" w:type="dxa"/>
            </w:tcMar>
            <w:vAlign w:val="bottom"/>
          </w:tcPr>
          <w:p w:rsidR="002D5BB0" w:rsidRPr="00222917" w:rsidRDefault="002D5BB0" w:rsidP="00CC6554">
            <w:pPr>
              <w:pStyle w:val="SingleTxtG"/>
              <w:suppressAutoHyphens w:val="0"/>
              <w:spacing w:before="40" w:after="40" w:line="220" w:lineRule="exact"/>
              <w:ind w:left="0" w:right="0"/>
              <w:jc w:val="right"/>
              <w:rPr>
                <w:sz w:val="18"/>
                <w:lang w:val="en-US"/>
              </w:rPr>
            </w:pPr>
            <w:r w:rsidRPr="00222917">
              <w:rPr>
                <w:sz w:val="18"/>
                <w:lang w:val="en-US"/>
              </w:rPr>
              <w:t>134,734</w:t>
            </w:r>
          </w:p>
        </w:tc>
        <w:tc>
          <w:tcPr>
            <w:tcW w:w="1247" w:type="dxa"/>
            <w:shd w:val="clear" w:color="auto" w:fill="auto"/>
            <w:tcMar>
              <w:top w:w="28" w:type="dxa"/>
              <w:left w:w="28" w:type="dxa"/>
              <w:bottom w:w="28" w:type="dxa"/>
              <w:right w:w="28" w:type="dxa"/>
            </w:tcMar>
            <w:vAlign w:val="bottom"/>
          </w:tcPr>
          <w:p w:rsidR="002D5BB0" w:rsidRPr="00222917" w:rsidRDefault="002D5BB0" w:rsidP="00CC6554">
            <w:pPr>
              <w:pStyle w:val="SingleTxtG"/>
              <w:suppressAutoHyphens w:val="0"/>
              <w:spacing w:before="40" w:after="40" w:line="220" w:lineRule="exact"/>
              <w:ind w:left="0" w:right="0"/>
              <w:jc w:val="right"/>
              <w:rPr>
                <w:b/>
                <w:sz w:val="18"/>
                <w:lang w:val="en-US"/>
              </w:rPr>
            </w:pPr>
            <w:r w:rsidRPr="00222917">
              <w:rPr>
                <w:b/>
                <w:sz w:val="18"/>
                <w:lang w:val="en-US"/>
              </w:rPr>
              <w:t>140,799</w:t>
            </w:r>
          </w:p>
        </w:tc>
      </w:tr>
      <w:tr w:rsidR="008F6543" w:rsidRPr="00222917" w:rsidTr="00E7550D">
        <w:tc>
          <w:tcPr>
            <w:tcW w:w="1134" w:type="dxa"/>
            <w:shd w:val="clear" w:color="auto" w:fill="auto"/>
            <w:tcMar>
              <w:top w:w="28" w:type="dxa"/>
              <w:left w:w="28" w:type="dxa"/>
              <w:bottom w:w="28" w:type="dxa"/>
              <w:right w:w="28" w:type="dxa"/>
            </w:tcMar>
          </w:tcPr>
          <w:p w:rsidR="002D5BB0" w:rsidRPr="00222917" w:rsidRDefault="002D5BB0" w:rsidP="00CC6554">
            <w:pPr>
              <w:pStyle w:val="SingleTxtG"/>
              <w:suppressAutoHyphens w:val="0"/>
              <w:spacing w:before="40" w:after="40" w:line="220" w:lineRule="exact"/>
              <w:ind w:left="0" w:right="0"/>
              <w:jc w:val="left"/>
              <w:rPr>
                <w:sz w:val="18"/>
                <w:lang w:val="en-US"/>
              </w:rPr>
            </w:pPr>
            <w:r w:rsidRPr="00222917">
              <w:rPr>
                <w:sz w:val="18"/>
                <w:lang w:val="en-US"/>
              </w:rPr>
              <w:t>2008</w:t>
            </w:r>
          </w:p>
        </w:tc>
        <w:tc>
          <w:tcPr>
            <w:tcW w:w="1247" w:type="dxa"/>
            <w:shd w:val="clear" w:color="auto" w:fill="auto"/>
            <w:tcMar>
              <w:top w:w="28" w:type="dxa"/>
              <w:left w:w="28" w:type="dxa"/>
              <w:bottom w:w="28" w:type="dxa"/>
              <w:right w:w="28" w:type="dxa"/>
            </w:tcMar>
            <w:vAlign w:val="bottom"/>
          </w:tcPr>
          <w:p w:rsidR="002D5BB0" w:rsidRPr="00222917" w:rsidRDefault="002D5BB0" w:rsidP="00CC6554">
            <w:pPr>
              <w:pStyle w:val="SingleTxtG"/>
              <w:suppressAutoHyphens w:val="0"/>
              <w:spacing w:before="40" w:after="40" w:line="220" w:lineRule="exact"/>
              <w:ind w:left="0" w:right="0"/>
              <w:jc w:val="right"/>
              <w:rPr>
                <w:b/>
                <w:sz w:val="18"/>
                <w:lang w:val="en-US"/>
              </w:rPr>
            </w:pPr>
            <w:r w:rsidRPr="00222917">
              <w:rPr>
                <w:b/>
                <w:sz w:val="18"/>
                <w:lang w:val="en-US"/>
              </w:rPr>
              <w:t>5,675</w:t>
            </w:r>
          </w:p>
        </w:tc>
        <w:tc>
          <w:tcPr>
            <w:tcW w:w="1247" w:type="dxa"/>
            <w:shd w:val="clear" w:color="auto" w:fill="auto"/>
            <w:tcMar>
              <w:top w:w="28" w:type="dxa"/>
              <w:left w:w="28" w:type="dxa"/>
              <w:bottom w:w="28" w:type="dxa"/>
              <w:right w:w="28" w:type="dxa"/>
            </w:tcMar>
            <w:vAlign w:val="bottom"/>
          </w:tcPr>
          <w:p w:rsidR="002D5BB0" w:rsidRPr="00222917" w:rsidRDefault="002D5BB0" w:rsidP="00CC6554">
            <w:pPr>
              <w:pStyle w:val="SingleTxtG"/>
              <w:suppressAutoHyphens w:val="0"/>
              <w:spacing w:before="40" w:after="40" w:line="220" w:lineRule="exact"/>
              <w:ind w:left="0" w:right="0"/>
              <w:jc w:val="right"/>
              <w:rPr>
                <w:sz w:val="18"/>
                <w:lang w:val="en-US"/>
              </w:rPr>
            </w:pPr>
            <w:r w:rsidRPr="00222917">
              <w:rPr>
                <w:sz w:val="18"/>
                <w:lang w:val="en-US"/>
              </w:rPr>
              <w:t>5,071</w:t>
            </w:r>
          </w:p>
        </w:tc>
        <w:tc>
          <w:tcPr>
            <w:tcW w:w="1247" w:type="dxa"/>
            <w:shd w:val="clear" w:color="auto" w:fill="auto"/>
            <w:tcMar>
              <w:top w:w="28" w:type="dxa"/>
              <w:left w:w="28" w:type="dxa"/>
              <w:bottom w:w="28" w:type="dxa"/>
              <w:right w:w="28" w:type="dxa"/>
            </w:tcMar>
            <w:vAlign w:val="bottom"/>
          </w:tcPr>
          <w:p w:rsidR="002D5BB0" w:rsidRPr="00222917" w:rsidRDefault="002D5BB0" w:rsidP="00CC6554">
            <w:pPr>
              <w:pStyle w:val="SingleTxtG"/>
              <w:suppressAutoHyphens w:val="0"/>
              <w:spacing w:before="40" w:after="40" w:line="220" w:lineRule="exact"/>
              <w:ind w:left="0" w:right="0"/>
              <w:jc w:val="right"/>
              <w:rPr>
                <w:sz w:val="18"/>
                <w:lang w:val="en-US"/>
              </w:rPr>
            </w:pPr>
            <w:r w:rsidRPr="00222917">
              <w:rPr>
                <w:sz w:val="18"/>
                <w:lang w:val="en-US"/>
              </w:rPr>
              <w:t>604</w:t>
            </w:r>
          </w:p>
        </w:tc>
        <w:tc>
          <w:tcPr>
            <w:tcW w:w="1247" w:type="dxa"/>
            <w:shd w:val="clear" w:color="auto" w:fill="auto"/>
            <w:tcMar>
              <w:top w:w="28" w:type="dxa"/>
              <w:left w:w="28" w:type="dxa"/>
              <w:bottom w:w="28" w:type="dxa"/>
              <w:right w:w="28" w:type="dxa"/>
            </w:tcMar>
            <w:vAlign w:val="bottom"/>
          </w:tcPr>
          <w:p w:rsidR="002D5BB0" w:rsidRPr="00222917" w:rsidRDefault="002D5BB0" w:rsidP="00CC6554">
            <w:pPr>
              <w:pStyle w:val="SingleTxtG"/>
              <w:suppressAutoHyphens w:val="0"/>
              <w:spacing w:before="40" w:after="40" w:line="220" w:lineRule="exact"/>
              <w:ind w:left="0" w:right="0"/>
              <w:jc w:val="right"/>
              <w:rPr>
                <w:sz w:val="18"/>
                <w:lang w:val="en-US"/>
              </w:rPr>
            </w:pPr>
            <w:r w:rsidRPr="00222917">
              <w:rPr>
                <w:sz w:val="18"/>
                <w:lang w:val="en-US"/>
              </w:rPr>
              <w:t>134,065</w:t>
            </w:r>
          </w:p>
        </w:tc>
        <w:tc>
          <w:tcPr>
            <w:tcW w:w="1247" w:type="dxa"/>
            <w:shd w:val="clear" w:color="auto" w:fill="auto"/>
            <w:tcMar>
              <w:top w:w="28" w:type="dxa"/>
              <w:left w:w="28" w:type="dxa"/>
              <w:bottom w:w="28" w:type="dxa"/>
              <w:right w:w="28" w:type="dxa"/>
            </w:tcMar>
            <w:vAlign w:val="bottom"/>
          </w:tcPr>
          <w:p w:rsidR="002D5BB0" w:rsidRPr="00222917" w:rsidRDefault="002D5BB0" w:rsidP="00CC6554">
            <w:pPr>
              <w:pStyle w:val="SingleTxtG"/>
              <w:suppressAutoHyphens w:val="0"/>
              <w:spacing w:before="40" w:after="40" w:line="220" w:lineRule="exact"/>
              <w:ind w:left="0" w:right="0"/>
              <w:jc w:val="right"/>
              <w:rPr>
                <w:b/>
                <w:sz w:val="18"/>
                <w:lang w:val="en-US"/>
              </w:rPr>
            </w:pPr>
            <w:r w:rsidRPr="00222917">
              <w:rPr>
                <w:b/>
                <w:sz w:val="18"/>
                <w:lang w:val="en-US"/>
              </w:rPr>
              <w:t>139,740</w:t>
            </w:r>
          </w:p>
        </w:tc>
      </w:tr>
      <w:tr w:rsidR="008F6543" w:rsidRPr="00222917" w:rsidTr="00E7550D">
        <w:tc>
          <w:tcPr>
            <w:tcW w:w="1134" w:type="dxa"/>
            <w:shd w:val="clear" w:color="auto" w:fill="auto"/>
            <w:tcMar>
              <w:top w:w="28" w:type="dxa"/>
              <w:left w:w="28" w:type="dxa"/>
              <w:bottom w:w="28" w:type="dxa"/>
              <w:right w:w="28" w:type="dxa"/>
            </w:tcMar>
          </w:tcPr>
          <w:p w:rsidR="002D5BB0" w:rsidRPr="00222917" w:rsidRDefault="002D5BB0" w:rsidP="00CC6554">
            <w:pPr>
              <w:pStyle w:val="SingleTxtG"/>
              <w:suppressAutoHyphens w:val="0"/>
              <w:spacing w:before="40" w:after="40" w:line="220" w:lineRule="exact"/>
              <w:ind w:left="0" w:right="0"/>
              <w:jc w:val="left"/>
              <w:rPr>
                <w:sz w:val="18"/>
                <w:lang w:val="en-US"/>
              </w:rPr>
            </w:pPr>
            <w:r w:rsidRPr="00222917">
              <w:rPr>
                <w:sz w:val="18"/>
                <w:lang w:val="en-US"/>
              </w:rPr>
              <w:t>2009</w:t>
            </w:r>
          </w:p>
        </w:tc>
        <w:tc>
          <w:tcPr>
            <w:tcW w:w="1247" w:type="dxa"/>
            <w:shd w:val="clear" w:color="auto" w:fill="auto"/>
            <w:tcMar>
              <w:top w:w="28" w:type="dxa"/>
              <w:left w:w="28" w:type="dxa"/>
              <w:bottom w:w="28" w:type="dxa"/>
              <w:right w:w="28" w:type="dxa"/>
            </w:tcMar>
            <w:vAlign w:val="bottom"/>
          </w:tcPr>
          <w:p w:rsidR="002D5BB0" w:rsidRPr="00222917" w:rsidRDefault="002D5BB0" w:rsidP="00CC6554">
            <w:pPr>
              <w:pStyle w:val="SingleTxtG"/>
              <w:suppressAutoHyphens w:val="0"/>
              <w:spacing w:before="40" w:after="40" w:line="220" w:lineRule="exact"/>
              <w:ind w:left="0" w:right="0"/>
              <w:jc w:val="right"/>
              <w:rPr>
                <w:b/>
                <w:sz w:val="18"/>
                <w:lang w:val="en-US"/>
              </w:rPr>
            </w:pPr>
            <w:r w:rsidRPr="00222917">
              <w:rPr>
                <w:b/>
                <w:sz w:val="18"/>
                <w:lang w:val="en-US"/>
              </w:rPr>
              <w:t>7,303</w:t>
            </w:r>
          </w:p>
        </w:tc>
        <w:tc>
          <w:tcPr>
            <w:tcW w:w="1247" w:type="dxa"/>
            <w:shd w:val="clear" w:color="auto" w:fill="auto"/>
            <w:tcMar>
              <w:top w:w="28" w:type="dxa"/>
              <w:left w:w="28" w:type="dxa"/>
              <w:bottom w:w="28" w:type="dxa"/>
              <w:right w:w="28" w:type="dxa"/>
            </w:tcMar>
            <w:vAlign w:val="bottom"/>
          </w:tcPr>
          <w:p w:rsidR="002D5BB0" w:rsidRPr="00222917" w:rsidRDefault="002D5BB0" w:rsidP="00CC6554">
            <w:pPr>
              <w:pStyle w:val="SingleTxtG"/>
              <w:suppressAutoHyphens w:val="0"/>
              <w:spacing w:before="40" w:after="40" w:line="220" w:lineRule="exact"/>
              <w:ind w:left="0" w:right="0"/>
              <w:jc w:val="right"/>
              <w:rPr>
                <w:sz w:val="18"/>
                <w:lang w:val="en-US"/>
              </w:rPr>
            </w:pPr>
            <w:r w:rsidRPr="00222917">
              <w:rPr>
                <w:sz w:val="18"/>
                <w:lang w:val="en-US"/>
              </w:rPr>
              <w:t>6,518</w:t>
            </w:r>
          </w:p>
        </w:tc>
        <w:tc>
          <w:tcPr>
            <w:tcW w:w="1247" w:type="dxa"/>
            <w:shd w:val="clear" w:color="auto" w:fill="auto"/>
            <w:tcMar>
              <w:top w:w="28" w:type="dxa"/>
              <w:left w:w="28" w:type="dxa"/>
              <w:bottom w:w="28" w:type="dxa"/>
              <w:right w:w="28" w:type="dxa"/>
            </w:tcMar>
            <w:vAlign w:val="bottom"/>
          </w:tcPr>
          <w:p w:rsidR="002D5BB0" w:rsidRPr="00222917" w:rsidRDefault="002D5BB0" w:rsidP="00CC6554">
            <w:pPr>
              <w:pStyle w:val="SingleTxtG"/>
              <w:suppressAutoHyphens w:val="0"/>
              <w:spacing w:before="40" w:after="40" w:line="220" w:lineRule="exact"/>
              <w:ind w:left="0" w:right="0"/>
              <w:jc w:val="right"/>
              <w:rPr>
                <w:sz w:val="18"/>
                <w:lang w:val="en-US"/>
              </w:rPr>
            </w:pPr>
            <w:r w:rsidRPr="00222917">
              <w:rPr>
                <w:sz w:val="18"/>
                <w:lang w:val="en-US"/>
              </w:rPr>
              <w:t>785</w:t>
            </w:r>
          </w:p>
        </w:tc>
        <w:tc>
          <w:tcPr>
            <w:tcW w:w="1247" w:type="dxa"/>
            <w:shd w:val="clear" w:color="auto" w:fill="auto"/>
            <w:tcMar>
              <w:top w:w="28" w:type="dxa"/>
              <w:left w:w="28" w:type="dxa"/>
              <w:bottom w:w="28" w:type="dxa"/>
              <w:right w:w="28" w:type="dxa"/>
            </w:tcMar>
            <w:vAlign w:val="bottom"/>
          </w:tcPr>
          <w:p w:rsidR="002D5BB0" w:rsidRPr="00222917" w:rsidRDefault="002D5BB0" w:rsidP="00CC6554">
            <w:pPr>
              <w:pStyle w:val="SingleTxtG"/>
              <w:suppressAutoHyphens w:val="0"/>
              <w:spacing w:before="40" w:after="40" w:line="220" w:lineRule="exact"/>
              <w:ind w:left="0" w:right="0"/>
              <w:jc w:val="right"/>
              <w:rPr>
                <w:sz w:val="18"/>
                <w:lang w:val="en-US"/>
              </w:rPr>
            </w:pPr>
            <w:r w:rsidRPr="00222917">
              <w:rPr>
                <w:sz w:val="18"/>
                <w:lang w:val="en-US"/>
              </w:rPr>
              <w:t>138,958</w:t>
            </w:r>
          </w:p>
        </w:tc>
        <w:tc>
          <w:tcPr>
            <w:tcW w:w="1247" w:type="dxa"/>
            <w:shd w:val="clear" w:color="auto" w:fill="auto"/>
            <w:tcMar>
              <w:top w:w="28" w:type="dxa"/>
              <w:left w:w="28" w:type="dxa"/>
              <w:bottom w:w="28" w:type="dxa"/>
              <w:right w:w="28" w:type="dxa"/>
            </w:tcMar>
            <w:vAlign w:val="bottom"/>
          </w:tcPr>
          <w:p w:rsidR="002D5BB0" w:rsidRPr="00222917" w:rsidRDefault="002D5BB0" w:rsidP="00CC6554">
            <w:pPr>
              <w:pStyle w:val="SingleTxtG"/>
              <w:suppressAutoHyphens w:val="0"/>
              <w:spacing w:before="40" w:after="40" w:line="220" w:lineRule="exact"/>
              <w:ind w:left="0" w:right="0"/>
              <w:jc w:val="right"/>
              <w:rPr>
                <w:b/>
                <w:sz w:val="18"/>
                <w:lang w:val="en-US"/>
              </w:rPr>
            </w:pPr>
            <w:r w:rsidRPr="00222917">
              <w:rPr>
                <w:b/>
                <w:sz w:val="18"/>
                <w:lang w:val="en-US"/>
              </w:rPr>
              <w:t>146,261</w:t>
            </w:r>
          </w:p>
        </w:tc>
      </w:tr>
      <w:tr w:rsidR="008F6543" w:rsidRPr="00222917" w:rsidTr="00E7550D">
        <w:tc>
          <w:tcPr>
            <w:tcW w:w="1134" w:type="dxa"/>
            <w:tcBorders>
              <w:bottom w:val="single" w:sz="12" w:space="0" w:color="auto"/>
            </w:tcBorders>
            <w:shd w:val="clear" w:color="auto" w:fill="auto"/>
            <w:tcMar>
              <w:top w:w="28" w:type="dxa"/>
              <w:left w:w="28" w:type="dxa"/>
              <w:bottom w:w="28" w:type="dxa"/>
              <w:right w:w="28" w:type="dxa"/>
            </w:tcMar>
          </w:tcPr>
          <w:p w:rsidR="002D5BB0" w:rsidRPr="00222917" w:rsidRDefault="002D5BB0" w:rsidP="00CC6554">
            <w:pPr>
              <w:pStyle w:val="SingleTxtG"/>
              <w:suppressAutoHyphens w:val="0"/>
              <w:spacing w:before="40" w:after="40" w:line="220" w:lineRule="exact"/>
              <w:ind w:left="0" w:right="0"/>
              <w:jc w:val="left"/>
              <w:rPr>
                <w:sz w:val="18"/>
                <w:lang w:val="en-US"/>
              </w:rPr>
            </w:pPr>
            <w:r w:rsidRPr="00222917">
              <w:rPr>
                <w:sz w:val="18"/>
                <w:lang w:val="en-US"/>
              </w:rPr>
              <w:t>2010</w:t>
            </w:r>
          </w:p>
        </w:tc>
        <w:tc>
          <w:tcPr>
            <w:tcW w:w="1247" w:type="dxa"/>
            <w:tcBorders>
              <w:bottom w:val="single" w:sz="12" w:space="0" w:color="auto"/>
            </w:tcBorders>
            <w:shd w:val="clear" w:color="auto" w:fill="auto"/>
            <w:tcMar>
              <w:top w:w="28" w:type="dxa"/>
              <w:left w:w="28" w:type="dxa"/>
              <w:bottom w:w="28" w:type="dxa"/>
              <w:right w:w="28" w:type="dxa"/>
            </w:tcMar>
            <w:vAlign w:val="bottom"/>
          </w:tcPr>
          <w:p w:rsidR="002D5BB0" w:rsidRPr="00222917" w:rsidRDefault="002D5BB0" w:rsidP="00CC6554">
            <w:pPr>
              <w:pStyle w:val="SingleTxtG"/>
              <w:suppressAutoHyphens w:val="0"/>
              <w:spacing w:before="40" w:after="40" w:line="220" w:lineRule="exact"/>
              <w:ind w:left="0" w:right="0"/>
              <w:jc w:val="right"/>
              <w:rPr>
                <w:b/>
                <w:sz w:val="18"/>
                <w:lang w:val="en-US"/>
              </w:rPr>
            </w:pPr>
            <w:r w:rsidRPr="00222917">
              <w:rPr>
                <w:b/>
                <w:sz w:val="18"/>
                <w:lang w:val="en-US"/>
              </w:rPr>
              <w:t>8,181</w:t>
            </w:r>
          </w:p>
        </w:tc>
        <w:tc>
          <w:tcPr>
            <w:tcW w:w="1247" w:type="dxa"/>
            <w:tcBorders>
              <w:bottom w:val="single" w:sz="12" w:space="0" w:color="auto"/>
            </w:tcBorders>
            <w:shd w:val="clear" w:color="auto" w:fill="auto"/>
            <w:tcMar>
              <w:top w:w="28" w:type="dxa"/>
              <w:left w:w="28" w:type="dxa"/>
              <w:bottom w:w="28" w:type="dxa"/>
              <w:right w:w="28" w:type="dxa"/>
            </w:tcMar>
            <w:vAlign w:val="bottom"/>
          </w:tcPr>
          <w:p w:rsidR="002D5BB0" w:rsidRPr="00222917" w:rsidRDefault="002D5BB0" w:rsidP="00CC6554">
            <w:pPr>
              <w:pStyle w:val="SingleTxtG"/>
              <w:suppressAutoHyphens w:val="0"/>
              <w:spacing w:before="40" w:after="40" w:line="220" w:lineRule="exact"/>
              <w:ind w:left="0" w:right="0"/>
              <w:jc w:val="right"/>
              <w:rPr>
                <w:sz w:val="18"/>
                <w:lang w:val="en-US"/>
              </w:rPr>
            </w:pPr>
            <w:r w:rsidRPr="00222917">
              <w:rPr>
                <w:sz w:val="18"/>
                <w:lang w:val="en-US"/>
              </w:rPr>
              <w:t>7,330</w:t>
            </w:r>
          </w:p>
        </w:tc>
        <w:tc>
          <w:tcPr>
            <w:tcW w:w="1247" w:type="dxa"/>
            <w:tcBorders>
              <w:bottom w:val="single" w:sz="12" w:space="0" w:color="auto"/>
            </w:tcBorders>
            <w:shd w:val="clear" w:color="auto" w:fill="auto"/>
            <w:tcMar>
              <w:top w:w="28" w:type="dxa"/>
              <w:left w:w="28" w:type="dxa"/>
              <w:bottom w:w="28" w:type="dxa"/>
              <w:right w:w="28" w:type="dxa"/>
            </w:tcMar>
            <w:vAlign w:val="bottom"/>
          </w:tcPr>
          <w:p w:rsidR="002D5BB0" w:rsidRPr="00222917" w:rsidRDefault="002D5BB0" w:rsidP="00CC6554">
            <w:pPr>
              <w:pStyle w:val="SingleTxtG"/>
              <w:suppressAutoHyphens w:val="0"/>
              <w:spacing w:before="40" w:after="40" w:line="220" w:lineRule="exact"/>
              <w:ind w:left="0" w:right="0"/>
              <w:jc w:val="right"/>
              <w:rPr>
                <w:sz w:val="18"/>
                <w:lang w:val="en-US"/>
              </w:rPr>
            </w:pPr>
            <w:r w:rsidRPr="00222917">
              <w:rPr>
                <w:sz w:val="18"/>
                <w:lang w:val="en-US"/>
              </w:rPr>
              <w:t>851</w:t>
            </w:r>
          </w:p>
        </w:tc>
        <w:tc>
          <w:tcPr>
            <w:tcW w:w="1247" w:type="dxa"/>
            <w:tcBorders>
              <w:bottom w:val="single" w:sz="12" w:space="0" w:color="auto"/>
            </w:tcBorders>
            <w:shd w:val="clear" w:color="auto" w:fill="auto"/>
            <w:tcMar>
              <w:top w:w="28" w:type="dxa"/>
              <w:left w:w="28" w:type="dxa"/>
              <w:bottom w:w="28" w:type="dxa"/>
              <w:right w:w="28" w:type="dxa"/>
            </w:tcMar>
            <w:vAlign w:val="bottom"/>
          </w:tcPr>
          <w:p w:rsidR="002D5BB0" w:rsidRPr="00222917" w:rsidRDefault="002D5BB0" w:rsidP="00CC6554">
            <w:pPr>
              <w:pStyle w:val="SingleTxtG"/>
              <w:suppressAutoHyphens w:val="0"/>
              <w:spacing w:before="40" w:after="40" w:line="220" w:lineRule="exact"/>
              <w:ind w:left="0" w:right="0"/>
              <w:jc w:val="right"/>
              <w:rPr>
                <w:sz w:val="18"/>
                <w:lang w:val="en-US"/>
              </w:rPr>
            </w:pPr>
            <w:r w:rsidRPr="00222917">
              <w:rPr>
                <w:sz w:val="18"/>
                <w:lang w:val="en-US"/>
              </w:rPr>
              <w:t>145,808</w:t>
            </w:r>
          </w:p>
        </w:tc>
        <w:tc>
          <w:tcPr>
            <w:tcW w:w="1247" w:type="dxa"/>
            <w:tcBorders>
              <w:bottom w:val="single" w:sz="12" w:space="0" w:color="auto"/>
            </w:tcBorders>
            <w:shd w:val="clear" w:color="auto" w:fill="auto"/>
            <w:tcMar>
              <w:top w:w="28" w:type="dxa"/>
              <w:left w:w="28" w:type="dxa"/>
              <w:bottom w:w="28" w:type="dxa"/>
              <w:right w:w="28" w:type="dxa"/>
            </w:tcMar>
            <w:vAlign w:val="bottom"/>
          </w:tcPr>
          <w:p w:rsidR="002D5BB0" w:rsidRPr="00222917" w:rsidRDefault="002D5BB0" w:rsidP="00CC6554">
            <w:pPr>
              <w:pStyle w:val="SingleTxtG"/>
              <w:suppressAutoHyphens w:val="0"/>
              <w:spacing w:before="40" w:after="40" w:line="220" w:lineRule="exact"/>
              <w:ind w:left="0" w:right="0"/>
              <w:jc w:val="right"/>
              <w:rPr>
                <w:b/>
                <w:sz w:val="18"/>
                <w:lang w:val="en-US"/>
              </w:rPr>
            </w:pPr>
            <w:r w:rsidRPr="00222917">
              <w:rPr>
                <w:b/>
                <w:sz w:val="18"/>
                <w:lang w:val="en-US"/>
              </w:rPr>
              <w:t>153,989</w:t>
            </w:r>
          </w:p>
        </w:tc>
      </w:tr>
    </w:tbl>
    <w:p w:rsidR="002D5BB0" w:rsidRPr="00222917" w:rsidRDefault="00794B5A" w:rsidP="00794B5A">
      <w:pPr>
        <w:pStyle w:val="H23G"/>
        <w:rPr>
          <w:b w:val="0"/>
          <w:sz w:val="16"/>
          <w:szCs w:val="16"/>
          <w:lang w:val="en-US"/>
        </w:rPr>
      </w:pPr>
      <w:r w:rsidRPr="00222917">
        <w:rPr>
          <w:lang w:val="en-US"/>
        </w:rPr>
        <w:tab/>
      </w:r>
      <w:r w:rsidRPr="00222917">
        <w:rPr>
          <w:lang w:val="en-US"/>
        </w:rPr>
        <w:tab/>
      </w:r>
      <w:r w:rsidR="002D5BB0" w:rsidRPr="00222917">
        <w:rPr>
          <w:lang w:val="en-US"/>
        </w:rPr>
        <w:t xml:space="preserve">Legal Aid by the </w:t>
      </w:r>
      <w:smartTag w:uri="urn:schemas-microsoft-com:office:smarttags" w:element="place">
        <w:smartTag w:uri="urn:schemas-microsoft-com:office:smarttags" w:element="PlaceName">
          <w:r w:rsidR="002D5BB0" w:rsidRPr="00222917">
            <w:rPr>
              <w:lang w:val="en-US"/>
            </w:rPr>
            <w:t>Korea</w:t>
          </w:r>
        </w:smartTag>
        <w:r w:rsidR="002D5BB0" w:rsidRPr="00222917">
          <w:rPr>
            <w:lang w:val="en-US"/>
          </w:rPr>
          <w:t xml:space="preserve"> </w:t>
        </w:r>
        <w:smartTag w:uri="urn:schemas-microsoft-com:office:smarttags" w:element="PlaceName">
          <w:r w:rsidR="002D5BB0" w:rsidRPr="00222917">
            <w:rPr>
              <w:lang w:val="en-US"/>
            </w:rPr>
            <w:t>Family</w:t>
          </w:r>
        </w:smartTag>
        <w:r w:rsidR="002D5BB0" w:rsidRPr="00222917">
          <w:rPr>
            <w:lang w:val="en-US"/>
          </w:rPr>
          <w:t xml:space="preserve"> </w:t>
        </w:r>
        <w:smartTag w:uri="urn:schemas-microsoft-com:office:smarttags" w:element="PlaceName">
          <w:r w:rsidR="002D5BB0" w:rsidRPr="00222917">
            <w:rPr>
              <w:lang w:val="en-US"/>
            </w:rPr>
            <w:t>Legal</w:t>
          </w:r>
        </w:smartTag>
        <w:r w:rsidR="002D5BB0" w:rsidRPr="00222917">
          <w:rPr>
            <w:lang w:val="en-US"/>
          </w:rPr>
          <w:t xml:space="preserve"> </w:t>
        </w:r>
        <w:smartTag w:uri="urn:schemas-microsoft-com:office:smarttags" w:element="PlaceName">
          <w:r w:rsidR="002D5BB0" w:rsidRPr="00222917">
            <w:rPr>
              <w:lang w:val="en-US"/>
            </w:rPr>
            <w:t>Service</w:t>
          </w:r>
        </w:smartTag>
        <w:r w:rsidR="002D5BB0" w:rsidRPr="00222917">
          <w:rPr>
            <w:lang w:val="en-US"/>
          </w:rPr>
          <w:t xml:space="preserve"> </w:t>
        </w:r>
        <w:smartTag w:uri="urn:schemas-microsoft-com:office:smarttags" w:element="PlaceType">
          <w:r w:rsidR="002D5BB0" w:rsidRPr="00222917">
            <w:rPr>
              <w:lang w:val="en-US"/>
            </w:rPr>
            <w:t>Center</w:t>
          </w:r>
        </w:smartTag>
      </w:smartTag>
      <w:r w:rsidR="002D5BB0" w:rsidRPr="00222917">
        <w:rPr>
          <w:lang w:val="en-US"/>
        </w:rPr>
        <w:br/>
      </w:r>
      <w:r w:rsidR="002D5BB0" w:rsidRPr="00222917">
        <w:rPr>
          <w:b w:val="0"/>
          <w:sz w:val="16"/>
          <w:szCs w:val="16"/>
          <w:lang w:val="en-US"/>
        </w:rPr>
        <w:t>(Number of cases)</w:t>
      </w:r>
    </w:p>
    <w:tbl>
      <w:tblPr>
        <w:tblW w:w="0" w:type="auto"/>
        <w:tblInd w:w="1134" w:type="dxa"/>
        <w:tblBorders>
          <w:top w:val="single" w:sz="4" w:space="0" w:color="auto"/>
        </w:tblBorders>
        <w:tblLayout w:type="fixed"/>
        <w:tblCellMar>
          <w:left w:w="0" w:type="dxa"/>
          <w:right w:w="0" w:type="dxa"/>
        </w:tblCellMar>
        <w:tblLook w:val="00A0"/>
      </w:tblPr>
      <w:tblGrid>
        <w:gridCol w:w="1701"/>
        <w:gridCol w:w="1418"/>
        <w:gridCol w:w="1418"/>
        <w:gridCol w:w="1418"/>
        <w:gridCol w:w="1418"/>
      </w:tblGrid>
      <w:tr w:rsidR="008F6543" w:rsidRPr="00222917" w:rsidTr="00E7550D">
        <w:trPr>
          <w:tblHeader/>
        </w:trPr>
        <w:tc>
          <w:tcPr>
            <w:tcW w:w="1701" w:type="dxa"/>
            <w:vMerge w:val="restart"/>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CC6554">
            <w:pPr>
              <w:pStyle w:val="SingleTxtG"/>
              <w:suppressAutoHyphens w:val="0"/>
              <w:spacing w:before="80" w:after="80" w:line="200" w:lineRule="exact"/>
              <w:ind w:left="0" w:right="0"/>
              <w:jc w:val="left"/>
              <w:rPr>
                <w:bCs/>
                <w:i/>
                <w:sz w:val="16"/>
                <w:lang w:val="en-US"/>
              </w:rPr>
            </w:pPr>
            <w:r w:rsidRPr="00222917">
              <w:rPr>
                <w:bCs/>
                <w:i/>
                <w:sz w:val="16"/>
                <w:lang w:val="en-US"/>
              </w:rPr>
              <w:t>Year</w:t>
            </w:r>
          </w:p>
        </w:tc>
        <w:tc>
          <w:tcPr>
            <w:tcW w:w="1418" w:type="dxa"/>
            <w:gridSpan w:val="3"/>
            <w:tcBorders>
              <w:top w:val="single" w:sz="4" w:space="0" w:color="auto"/>
              <w:bottom w:val="single" w:sz="4" w:space="0" w:color="auto"/>
            </w:tcBorders>
            <w:shd w:val="clear" w:color="auto" w:fill="auto"/>
            <w:tcMar>
              <w:top w:w="28" w:type="dxa"/>
              <w:left w:w="28" w:type="dxa"/>
              <w:bottom w:w="28" w:type="dxa"/>
              <w:right w:w="28" w:type="dxa"/>
            </w:tcMar>
            <w:vAlign w:val="bottom"/>
          </w:tcPr>
          <w:p w:rsidR="002D5BB0" w:rsidRPr="00222917" w:rsidRDefault="002D5BB0" w:rsidP="00CC6554">
            <w:pPr>
              <w:pStyle w:val="SingleTxtG"/>
              <w:suppressAutoHyphens w:val="0"/>
              <w:spacing w:before="80" w:after="80" w:line="200" w:lineRule="exact"/>
              <w:ind w:left="0" w:right="0"/>
              <w:jc w:val="center"/>
              <w:rPr>
                <w:bCs/>
                <w:i/>
                <w:sz w:val="16"/>
                <w:lang w:val="en-US"/>
              </w:rPr>
            </w:pPr>
            <w:r w:rsidRPr="00222917">
              <w:rPr>
                <w:bCs/>
                <w:i/>
                <w:sz w:val="16"/>
                <w:lang w:val="en-US"/>
              </w:rPr>
              <w:t>Legal Aid</w:t>
            </w:r>
          </w:p>
        </w:tc>
        <w:tc>
          <w:tcPr>
            <w:tcW w:w="1418" w:type="dxa"/>
            <w:vMerge w:val="restart"/>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CC6554">
            <w:pPr>
              <w:pStyle w:val="SingleTxtG"/>
              <w:suppressAutoHyphens w:val="0"/>
              <w:spacing w:before="80" w:after="80" w:line="200" w:lineRule="exact"/>
              <w:ind w:left="0" w:right="0"/>
              <w:jc w:val="right"/>
              <w:rPr>
                <w:bCs/>
                <w:i/>
                <w:sz w:val="16"/>
                <w:lang w:val="en-US"/>
              </w:rPr>
            </w:pPr>
            <w:r w:rsidRPr="00222917">
              <w:rPr>
                <w:bCs/>
                <w:i/>
                <w:sz w:val="16"/>
                <w:lang w:val="en-US"/>
              </w:rPr>
              <w:t>Legal counseling</w:t>
            </w:r>
          </w:p>
        </w:tc>
      </w:tr>
      <w:tr w:rsidR="008F6543" w:rsidRPr="00222917" w:rsidTr="00E7550D">
        <w:trPr>
          <w:tblHeader/>
        </w:trPr>
        <w:tc>
          <w:tcPr>
            <w:tcW w:w="1701" w:type="dxa"/>
            <w:vMerge/>
            <w:tcBorders>
              <w:top w:val="single" w:sz="12" w:space="0" w:color="auto"/>
              <w:bottom w:val="single" w:sz="12" w:space="0" w:color="auto"/>
            </w:tcBorders>
            <w:shd w:val="clear" w:color="auto" w:fill="auto"/>
            <w:vAlign w:val="bottom"/>
          </w:tcPr>
          <w:p w:rsidR="002D5BB0" w:rsidRPr="00222917" w:rsidRDefault="002D5BB0" w:rsidP="00CC6554">
            <w:pPr>
              <w:pStyle w:val="SingleTxtG"/>
              <w:suppressAutoHyphens w:val="0"/>
              <w:spacing w:before="80" w:after="80" w:line="200" w:lineRule="exact"/>
              <w:ind w:left="0" w:right="0"/>
              <w:jc w:val="left"/>
              <w:rPr>
                <w:bCs/>
                <w:i/>
                <w:sz w:val="16"/>
                <w:lang w:val="en-US"/>
              </w:rPr>
            </w:pPr>
          </w:p>
        </w:tc>
        <w:tc>
          <w:tcPr>
            <w:tcW w:w="1418"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CC6554">
            <w:pPr>
              <w:pStyle w:val="SingleTxtG"/>
              <w:suppressAutoHyphens w:val="0"/>
              <w:spacing w:before="80" w:after="80" w:line="200" w:lineRule="exact"/>
              <w:ind w:left="0" w:right="0"/>
              <w:jc w:val="right"/>
              <w:rPr>
                <w:bCs/>
                <w:i/>
                <w:sz w:val="16"/>
                <w:lang w:val="en-US"/>
              </w:rPr>
            </w:pPr>
            <w:r w:rsidRPr="00222917">
              <w:rPr>
                <w:bCs/>
                <w:i/>
                <w:sz w:val="16"/>
                <w:lang w:val="en-US"/>
              </w:rPr>
              <w:t>Pre-litigation aid</w:t>
            </w:r>
          </w:p>
        </w:tc>
        <w:tc>
          <w:tcPr>
            <w:tcW w:w="1418"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CC6554">
            <w:pPr>
              <w:pStyle w:val="SingleTxtG"/>
              <w:suppressAutoHyphens w:val="0"/>
              <w:spacing w:before="80" w:after="80" w:line="200" w:lineRule="exact"/>
              <w:ind w:left="0" w:right="0"/>
              <w:jc w:val="right"/>
              <w:rPr>
                <w:bCs/>
                <w:i/>
                <w:sz w:val="16"/>
                <w:lang w:val="en-US"/>
              </w:rPr>
            </w:pPr>
            <w:r w:rsidRPr="00222917">
              <w:rPr>
                <w:bCs/>
                <w:i/>
                <w:sz w:val="16"/>
                <w:lang w:val="en-US"/>
              </w:rPr>
              <w:t xml:space="preserve">Legal </w:t>
            </w:r>
            <w:r w:rsidR="00640EDF" w:rsidRPr="00222917">
              <w:rPr>
                <w:bCs/>
                <w:i/>
                <w:sz w:val="16"/>
                <w:lang w:val="en-US"/>
              </w:rPr>
              <w:br/>
            </w:r>
            <w:r w:rsidRPr="00222917">
              <w:rPr>
                <w:bCs/>
                <w:i/>
                <w:sz w:val="16"/>
                <w:lang w:val="en-US"/>
              </w:rPr>
              <w:t>proceeding aid</w:t>
            </w:r>
          </w:p>
        </w:tc>
        <w:tc>
          <w:tcPr>
            <w:tcW w:w="1418"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CC6554">
            <w:pPr>
              <w:pStyle w:val="SingleTxtG"/>
              <w:suppressAutoHyphens w:val="0"/>
              <w:spacing w:before="80" w:after="80" w:line="200" w:lineRule="exact"/>
              <w:ind w:left="0" w:right="0"/>
              <w:jc w:val="right"/>
              <w:rPr>
                <w:b/>
                <w:bCs/>
                <w:i/>
                <w:sz w:val="16"/>
                <w:lang w:val="en-US"/>
              </w:rPr>
            </w:pPr>
            <w:r w:rsidRPr="00222917">
              <w:rPr>
                <w:b/>
                <w:bCs/>
                <w:i/>
                <w:sz w:val="16"/>
                <w:lang w:val="en-US"/>
              </w:rPr>
              <w:t>Total</w:t>
            </w:r>
          </w:p>
        </w:tc>
        <w:tc>
          <w:tcPr>
            <w:tcW w:w="1418" w:type="dxa"/>
            <w:vMerge/>
            <w:tcBorders>
              <w:top w:val="single" w:sz="12" w:space="0" w:color="auto"/>
              <w:bottom w:val="single" w:sz="12" w:space="0" w:color="auto"/>
            </w:tcBorders>
            <w:shd w:val="clear" w:color="auto" w:fill="auto"/>
            <w:vAlign w:val="bottom"/>
          </w:tcPr>
          <w:p w:rsidR="002D5BB0" w:rsidRPr="00222917" w:rsidRDefault="002D5BB0" w:rsidP="00CC6554">
            <w:pPr>
              <w:pStyle w:val="SingleTxtG"/>
              <w:suppressAutoHyphens w:val="0"/>
              <w:spacing w:before="80" w:after="80" w:line="200" w:lineRule="exact"/>
              <w:ind w:left="0" w:right="0"/>
              <w:jc w:val="right"/>
              <w:rPr>
                <w:bCs/>
                <w:i/>
                <w:sz w:val="16"/>
                <w:lang w:val="en-US"/>
              </w:rPr>
            </w:pPr>
          </w:p>
        </w:tc>
      </w:tr>
      <w:tr w:rsidR="008F6543" w:rsidRPr="00222917" w:rsidTr="00E7550D">
        <w:tc>
          <w:tcPr>
            <w:tcW w:w="1701" w:type="dxa"/>
            <w:tcBorders>
              <w:top w:val="single" w:sz="12" w:space="0" w:color="auto"/>
            </w:tcBorders>
            <w:shd w:val="clear" w:color="auto" w:fill="auto"/>
            <w:tcMar>
              <w:top w:w="28" w:type="dxa"/>
              <w:left w:w="28" w:type="dxa"/>
              <w:bottom w:w="28" w:type="dxa"/>
              <w:right w:w="28" w:type="dxa"/>
            </w:tcMar>
          </w:tcPr>
          <w:p w:rsidR="002D5BB0" w:rsidRPr="00222917" w:rsidRDefault="002D5BB0" w:rsidP="00CC6554">
            <w:pPr>
              <w:pStyle w:val="SingleTxtG"/>
              <w:suppressAutoHyphens w:val="0"/>
              <w:spacing w:before="40" w:after="40" w:line="220" w:lineRule="exact"/>
              <w:ind w:left="0" w:right="0"/>
              <w:jc w:val="left"/>
              <w:rPr>
                <w:sz w:val="18"/>
                <w:lang w:val="en-US"/>
              </w:rPr>
            </w:pPr>
            <w:r w:rsidRPr="00222917">
              <w:rPr>
                <w:sz w:val="18"/>
                <w:lang w:val="en-US"/>
              </w:rPr>
              <w:t>2005</w:t>
            </w:r>
          </w:p>
        </w:tc>
        <w:tc>
          <w:tcPr>
            <w:tcW w:w="1418" w:type="dxa"/>
            <w:tcBorders>
              <w:top w:val="single" w:sz="12" w:space="0" w:color="auto"/>
            </w:tcBorders>
            <w:shd w:val="clear" w:color="auto" w:fill="auto"/>
            <w:tcMar>
              <w:top w:w="28" w:type="dxa"/>
              <w:left w:w="28" w:type="dxa"/>
              <w:bottom w:w="28" w:type="dxa"/>
              <w:right w:w="28" w:type="dxa"/>
            </w:tcMar>
            <w:vAlign w:val="bottom"/>
          </w:tcPr>
          <w:p w:rsidR="002D5BB0" w:rsidRPr="00222917" w:rsidRDefault="002D5BB0" w:rsidP="00CC6554">
            <w:pPr>
              <w:pStyle w:val="SingleTxtG"/>
              <w:suppressAutoHyphens w:val="0"/>
              <w:spacing w:before="40" w:after="40" w:line="220" w:lineRule="exact"/>
              <w:ind w:left="0" w:right="0"/>
              <w:jc w:val="right"/>
              <w:rPr>
                <w:sz w:val="18"/>
                <w:lang w:val="en-US"/>
              </w:rPr>
            </w:pPr>
            <w:r w:rsidRPr="00222917">
              <w:rPr>
                <w:sz w:val="18"/>
                <w:lang w:val="en-US"/>
              </w:rPr>
              <w:t>4,978</w:t>
            </w:r>
          </w:p>
        </w:tc>
        <w:tc>
          <w:tcPr>
            <w:tcW w:w="1418" w:type="dxa"/>
            <w:tcBorders>
              <w:top w:val="single" w:sz="12" w:space="0" w:color="auto"/>
            </w:tcBorders>
            <w:shd w:val="clear" w:color="auto" w:fill="auto"/>
            <w:tcMar>
              <w:top w:w="28" w:type="dxa"/>
              <w:left w:w="28" w:type="dxa"/>
              <w:bottom w:w="28" w:type="dxa"/>
              <w:right w:w="28" w:type="dxa"/>
            </w:tcMar>
            <w:vAlign w:val="bottom"/>
          </w:tcPr>
          <w:p w:rsidR="002D5BB0" w:rsidRPr="00222917" w:rsidRDefault="002D5BB0" w:rsidP="00CC6554">
            <w:pPr>
              <w:pStyle w:val="SingleTxtG"/>
              <w:suppressAutoHyphens w:val="0"/>
              <w:spacing w:before="40" w:after="40" w:line="220" w:lineRule="exact"/>
              <w:ind w:left="0" w:right="0"/>
              <w:jc w:val="right"/>
              <w:rPr>
                <w:sz w:val="18"/>
                <w:lang w:val="en-US"/>
              </w:rPr>
            </w:pPr>
            <w:r w:rsidRPr="00222917">
              <w:rPr>
                <w:sz w:val="18"/>
                <w:lang w:val="en-US"/>
              </w:rPr>
              <w:t>13</w:t>
            </w:r>
          </w:p>
        </w:tc>
        <w:tc>
          <w:tcPr>
            <w:tcW w:w="1418" w:type="dxa"/>
            <w:tcBorders>
              <w:top w:val="single" w:sz="12" w:space="0" w:color="auto"/>
            </w:tcBorders>
            <w:shd w:val="clear" w:color="auto" w:fill="auto"/>
            <w:tcMar>
              <w:top w:w="28" w:type="dxa"/>
              <w:left w:w="28" w:type="dxa"/>
              <w:bottom w:w="28" w:type="dxa"/>
              <w:right w:w="28" w:type="dxa"/>
            </w:tcMar>
            <w:vAlign w:val="bottom"/>
          </w:tcPr>
          <w:p w:rsidR="002D5BB0" w:rsidRPr="00222917" w:rsidRDefault="002D5BB0" w:rsidP="00CC6554">
            <w:pPr>
              <w:pStyle w:val="SingleTxtG"/>
              <w:suppressAutoHyphens w:val="0"/>
              <w:spacing w:before="40" w:after="40" w:line="220" w:lineRule="exact"/>
              <w:ind w:left="0" w:right="0"/>
              <w:jc w:val="right"/>
              <w:rPr>
                <w:b/>
                <w:sz w:val="18"/>
                <w:lang w:val="en-US"/>
              </w:rPr>
            </w:pPr>
            <w:r w:rsidRPr="00222917">
              <w:rPr>
                <w:b/>
                <w:sz w:val="18"/>
                <w:lang w:val="en-US"/>
              </w:rPr>
              <w:t>4,991</w:t>
            </w:r>
          </w:p>
        </w:tc>
        <w:tc>
          <w:tcPr>
            <w:tcW w:w="1418" w:type="dxa"/>
            <w:tcBorders>
              <w:top w:val="single" w:sz="12" w:space="0" w:color="auto"/>
            </w:tcBorders>
            <w:shd w:val="clear" w:color="auto" w:fill="auto"/>
            <w:tcMar>
              <w:top w:w="28" w:type="dxa"/>
              <w:left w:w="28" w:type="dxa"/>
              <w:bottom w:w="28" w:type="dxa"/>
              <w:right w:w="28" w:type="dxa"/>
            </w:tcMar>
            <w:vAlign w:val="bottom"/>
          </w:tcPr>
          <w:p w:rsidR="002D5BB0" w:rsidRPr="00222917" w:rsidRDefault="002D5BB0" w:rsidP="00CC6554">
            <w:pPr>
              <w:pStyle w:val="SingleTxtG"/>
              <w:suppressAutoHyphens w:val="0"/>
              <w:spacing w:before="40" w:after="40" w:line="220" w:lineRule="exact"/>
              <w:ind w:left="0" w:right="0"/>
              <w:jc w:val="right"/>
              <w:rPr>
                <w:sz w:val="18"/>
                <w:lang w:val="en-US"/>
              </w:rPr>
            </w:pPr>
            <w:r w:rsidRPr="00222917">
              <w:rPr>
                <w:sz w:val="18"/>
                <w:lang w:val="en-US"/>
              </w:rPr>
              <w:t>14,309</w:t>
            </w:r>
          </w:p>
        </w:tc>
      </w:tr>
      <w:tr w:rsidR="008F6543" w:rsidRPr="00222917" w:rsidTr="00E7550D">
        <w:tc>
          <w:tcPr>
            <w:tcW w:w="1701" w:type="dxa"/>
            <w:shd w:val="clear" w:color="auto" w:fill="auto"/>
            <w:tcMar>
              <w:top w:w="28" w:type="dxa"/>
              <w:left w:w="28" w:type="dxa"/>
              <w:bottom w:w="28" w:type="dxa"/>
              <w:right w:w="28" w:type="dxa"/>
            </w:tcMar>
          </w:tcPr>
          <w:p w:rsidR="002D5BB0" w:rsidRPr="00222917" w:rsidRDefault="002D5BB0" w:rsidP="00CC6554">
            <w:pPr>
              <w:pStyle w:val="SingleTxtG"/>
              <w:suppressAutoHyphens w:val="0"/>
              <w:spacing w:before="40" w:after="40" w:line="220" w:lineRule="exact"/>
              <w:ind w:left="0" w:right="0"/>
              <w:jc w:val="left"/>
              <w:rPr>
                <w:sz w:val="18"/>
                <w:lang w:val="en-US"/>
              </w:rPr>
            </w:pPr>
            <w:r w:rsidRPr="00222917">
              <w:rPr>
                <w:sz w:val="18"/>
                <w:lang w:val="en-US"/>
              </w:rPr>
              <w:t>2006</w:t>
            </w:r>
          </w:p>
        </w:tc>
        <w:tc>
          <w:tcPr>
            <w:tcW w:w="1418" w:type="dxa"/>
            <w:shd w:val="clear" w:color="auto" w:fill="auto"/>
            <w:tcMar>
              <w:top w:w="28" w:type="dxa"/>
              <w:left w:w="28" w:type="dxa"/>
              <w:bottom w:w="28" w:type="dxa"/>
              <w:right w:w="28" w:type="dxa"/>
            </w:tcMar>
            <w:vAlign w:val="bottom"/>
          </w:tcPr>
          <w:p w:rsidR="002D5BB0" w:rsidRPr="00222917" w:rsidRDefault="002D5BB0" w:rsidP="00CC6554">
            <w:pPr>
              <w:pStyle w:val="SingleTxtG"/>
              <w:suppressAutoHyphens w:val="0"/>
              <w:spacing w:before="40" w:after="40" w:line="220" w:lineRule="exact"/>
              <w:ind w:left="0" w:right="0"/>
              <w:jc w:val="right"/>
              <w:rPr>
                <w:sz w:val="18"/>
                <w:lang w:val="en-US"/>
              </w:rPr>
            </w:pPr>
            <w:r w:rsidRPr="00222917">
              <w:rPr>
                <w:sz w:val="18"/>
                <w:lang w:val="en-US"/>
              </w:rPr>
              <w:t>4,882</w:t>
            </w:r>
          </w:p>
        </w:tc>
        <w:tc>
          <w:tcPr>
            <w:tcW w:w="1418" w:type="dxa"/>
            <w:shd w:val="clear" w:color="auto" w:fill="auto"/>
            <w:tcMar>
              <w:top w:w="28" w:type="dxa"/>
              <w:left w:w="28" w:type="dxa"/>
              <w:bottom w:w="28" w:type="dxa"/>
              <w:right w:w="28" w:type="dxa"/>
            </w:tcMar>
            <w:vAlign w:val="bottom"/>
          </w:tcPr>
          <w:p w:rsidR="002D5BB0" w:rsidRPr="00222917" w:rsidRDefault="002D5BB0" w:rsidP="00CC6554">
            <w:pPr>
              <w:pStyle w:val="SingleTxtG"/>
              <w:suppressAutoHyphens w:val="0"/>
              <w:spacing w:before="40" w:after="40" w:line="220" w:lineRule="exact"/>
              <w:ind w:left="0" w:right="0"/>
              <w:jc w:val="right"/>
              <w:rPr>
                <w:sz w:val="18"/>
                <w:lang w:val="en-US"/>
              </w:rPr>
            </w:pPr>
            <w:r w:rsidRPr="00222917">
              <w:rPr>
                <w:sz w:val="18"/>
                <w:lang w:val="en-US"/>
              </w:rPr>
              <w:t>12</w:t>
            </w:r>
          </w:p>
        </w:tc>
        <w:tc>
          <w:tcPr>
            <w:tcW w:w="1418" w:type="dxa"/>
            <w:shd w:val="clear" w:color="auto" w:fill="auto"/>
            <w:tcMar>
              <w:top w:w="28" w:type="dxa"/>
              <w:left w:w="28" w:type="dxa"/>
              <w:bottom w:w="28" w:type="dxa"/>
              <w:right w:w="28" w:type="dxa"/>
            </w:tcMar>
            <w:vAlign w:val="bottom"/>
          </w:tcPr>
          <w:p w:rsidR="002D5BB0" w:rsidRPr="00222917" w:rsidRDefault="002D5BB0" w:rsidP="00CC6554">
            <w:pPr>
              <w:pStyle w:val="SingleTxtG"/>
              <w:suppressAutoHyphens w:val="0"/>
              <w:spacing w:before="40" w:after="40" w:line="220" w:lineRule="exact"/>
              <w:ind w:left="0" w:right="0"/>
              <w:jc w:val="right"/>
              <w:rPr>
                <w:b/>
                <w:sz w:val="18"/>
                <w:lang w:val="en-US"/>
              </w:rPr>
            </w:pPr>
            <w:r w:rsidRPr="00222917">
              <w:rPr>
                <w:b/>
                <w:sz w:val="18"/>
                <w:lang w:val="en-US"/>
              </w:rPr>
              <w:t>4,894</w:t>
            </w:r>
          </w:p>
        </w:tc>
        <w:tc>
          <w:tcPr>
            <w:tcW w:w="1418" w:type="dxa"/>
            <w:shd w:val="clear" w:color="auto" w:fill="auto"/>
            <w:tcMar>
              <w:top w:w="28" w:type="dxa"/>
              <w:left w:w="28" w:type="dxa"/>
              <w:bottom w:w="28" w:type="dxa"/>
              <w:right w:w="28" w:type="dxa"/>
            </w:tcMar>
            <w:vAlign w:val="bottom"/>
          </w:tcPr>
          <w:p w:rsidR="002D5BB0" w:rsidRPr="00222917" w:rsidRDefault="002D5BB0" w:rsidP="00CC6554">
            <w:pPr>
              <w:pStyle w:val="SingleTxtG"/>
              <w:suppressAutoHyphens w:val="0"/>
              <w:spacing w:before="40" w:after="40" w:line="220" w:lineRule="exact"/>
              <w:ind w:left="0" w:right="0"/>
              <w:jc w:val="right"/>
              <w:rPr>
                <w:sz w:val="18"/>
                <w:lang w:val="en-US"/>
              </w:rPr>
            </w:pPr>
            <w:r w:rsidRPr="00222917">
              <w:rPr>
                <w:sz w:val="18"/>
                <w:lang w:val="en-US"/>
              </w:rPr>
              <w:t>18,962</w:t>
            </w:r>
          </w:p>
        </w:tc>
      </w:tr>
      <w:tr w:rsidR="008F6543" w:rsidRPr="00222917" w:rsidTr="00E7550D">
        <w:tc>
          <w:tcPr>
            <w:tcW w:w="1701" w:type="dxa"/>
            <w:shd w:val="clear" w:color="auto" w:fill="auto"/>
            <w:tcMar>
              <w:top w:w="28" w:type="dxa"/>
              <w:left w:w="28" w:type="dxa"/>
              <w:bottom w:w="28" w:type="dxa"/>
              <w:right w:w="28" w:type="dxa"/>
            </w:tcMar>
          </w:tcPr>
          <w:p w:rsidR="002D5BB0" w:rsidRPr="00222917" w:rsidRDefault="002D5BB0" w:rsidP="00CC6554">
            <w:pPr>
              <w:pStyle w:val="SingleTxtG"/>
              <w:suppressAutoHyphens w:val="0"/>
              <w:spacing w:before="40" w:after="40" w:line="220" w:lineRule="exact"/>
              <w:ind w:left="0" w:right="0"/>
              <w:jc w:val="left"/>
              <w:rPr>
                <w:sz w:val="18"/>
                <w:lang w:val="en-US"/>
              </w:rPr>
            </w:pPr>
            <w:r w:rsidRPr="00222917">
              <w:rPr>
                <w:sz w:val="18"/>
                <w:lang w:val="en-US"/>
              </w:rPr>
              <w:t>2007</w:t>
            </w:r>
          </w:p>
        </w:tc>
        <w:tc>
          <w:tcPr>
            <w:tcW w:w="1418" w:type="dxa"/>
            <w:shd w:val="clear" w:color="auto" w:fill="auto"/>
            <w:tcMar>
              <w:top w:w="28" w:type="dxa"/>
              <w:left w:w="28" w:type="dxa"/>
              <w:bottom w:w="28" w:type="dxa"/>
              <w:right w:w="28" w:type="dxa"/>
            </w:tcMar>
            <w:vAlign w:val="bottom"/>
          </w:tcPr>
          <w:p w:rsidR="002D5BB0" w:rsidRPr="00222917" w:rsidRDefault="002D5BB0" w:rsidP="00CC6554">
            <w:pPr>
              <w:pStyle w:val="SingleTxtG"/>
              <w:suppressAutoHyphens w:val="0"/>
              <w:spacing w:before="40" w:after="40" w:line="220" w:lineRule="exact"/>
              <w:ind w:left="0" w:right="0"/>
              <w:jc w:val="right"/>
              <w:rPr>
                <w:sz w:val="18"/>
                <w:lang w:val="en-US"/>
              </w:rPr>
            </w:pPr>
            <w:r w:rsidRPr="00222917">
              <w:rPr>
                <w:sz w:val="18"/>
                <w:lang w:val="en-US"/>
              </w:rPr>
              <w:t>3,329</w:t>
            </w:r>
          </w:p>
        </w:tc>
        <w:tc>
          <w:tcPr>
            <w:tcW w:w="1418" w:type="dxa"/>
            <w:shd w:val="clear" w:color="auto" w:fill="auto"/>
            <w:tcMar>
              <w:top w:w="28" w:type="dxa"/>
              <w:left w:w="28" w:type="dxa"/>
              <w:bottom w:w="28" w:type="dxa"/>
              <w:right w:w="28" w:type="dxa"/>
            </w:tcMar>
            <w:vAlign w:val="bottom"/>
          </w:tcPr>
          <w:p w:rsidR="002D5BB0" w:rsidRPr="00222917" w:rsidRDefault="002D5BB0" w:rsidP="00CC6554">
            <w:pPr>
              <w:pStyle w:val="SingleTxtG"/>
              <w:suppressAutoHyphens w:val="0"/>
              <w:spacing w:before="40" w:after="40" w:line="220" w:lineRule="exact"/>
              <w:ind w:left="0" w:right="0"/>
              <w:jc w:val="right"/>
              <w:rPr>
                <w:sz w:val="18"/>
                <w:lang w:val="en-US"/>
              </w:rPr>
            </w:pPr>
            <w:r w:rsidRPr="00222917">
              <w:rPr>
                <w:sz w:val="18"/>
                <w:lang w:val="en-US"/>
              </w:rPr>
              <w:t>13</w:t>
            </w:r>
          </w:p>
        </w:tc>
        <w:tc>
          <w:tcPr>
            <w:tcW w:w="1418" w:type="dxa"/>
            <w:shd w:val="clear" w:color="auto" w:fill="auto"/>
            <w:tcMar>
              <w:top w:w="28" w:type="dxa"/>
              <w:left w:w="28" w:type="dxa"/>
              <w:bottom w:w="28" w:type="dxa"/>
              <w:right w:w="28" w:type="dxa"/>
            </w:tcMar>
            <w:vAlign w:val="bottom"/>
          </w:tcPr>
          <w:p w:rsidR="002D5BB0" w:rsidRPr="00222917" w:rsidRDefault="002D5BB0" w:rsidP="00CC6554">
            <w:pPr>
              <w:pStyle w:val="SingleTxtG"/>
              <w:suppressAutoHyphens w:val="0"/>
              <w:spacing w:before="40" w:after="40" w:line="220" w:lineRule="exact"/>
              <w:ind w:left="0" w:right="0"/>
              <w:jc w:val="right"/>
              <w:rPr>
                <w:b/>
                <w:sz w:val="18"/>
                <w:lang w:val="en-US"/>
              </w:rPr>
            </w:pPr>
            <w:r w:rsidRPr="00222917">
              <w:rPr>
                <w:b/>
                <w:sz w:val="18"/>
                <w:lang w:val="en-US"/>
              </w:rPr>
              <w:t>3,342</w:t>
            </w:r>
          </w:p>
        </w:tc>
        <w:tc>
          <w:tcPr>
            <w:tcW w:w="1418" w:type="dxa"/>
            <w:shd w:val="clear" w:color="auto" w:fill="auto"/>
            <w:tcMar>
              <w:top w:w="28" w:type="dxa"/>
              <w:left w:w="28" w:type="dxa"/>
              <w:bottom w:w="28" w:type="dxa"/>
              <w:right w:w="28" w:type="dxa"/>
            </w:tcMar>
            <w:vAlign w:val="bottom"/>
          </w:tcPr>
          <w:p w:rsidR="002D5BB0" w:rsidRPr="00222917" w:rsidRDefault="002D5BB0" w:rsidP="00CC6554">
            <w:pPr>
              <w:pStyle w:val="SingleTxtG"/>
              <w:suppressAutoHyphens w:val="0"/>
              <w:spacing w:before="40" w:after="40" w:line="220" w:lineRule="exact"/>
              <w:ind w:left="0" w:right="0"/>
              <w:jc w:val="right"/>
              <w:rPr>
                <w:sz w:val="18"/>
                <w:lang w:val="en-US"/>
              </w:rPr>
            </w:pPr>
            <w:r w:rsidRPr="00222917">
              <w:rPr>
                <w:sz w:val="18"/>
                <w:lang w:val="en-US"/>
              </w:rPr>
              <w:t>16,856</w:t>
            </w:r>
          </w:p>
        </w:tc>
      </w:tr>
      <w:tr w:rsidR="008F6543" w:rsidRPr="00222917" w:rsidTr="00E7550D">
        <w:tc>
          <w:tcPr>
            <w:tcW w:w="1701" w:type="dxa"/>
            <w:shd w:val="clear" w:color="auto" w:fill="auto"/>
            <w:tcMar>
              <w:top w:w="28" w:type="dxa"/>
              <w:left w:w="28" w:type="dxa"/>
              <w:bottom w:w="28" w:type="dxa"/>
              <w:right w:w="28" w:type="dxa"/>
            </w:tcMar>
          </w:tcPr>
          <w:p w:rsidR="002D5BB0" w:rsidRPr="00222917" w:rsidRDefault="002D5BB0" w:rsidP="00CC6554">
            <w:pPr>
              <w:pStyle w:val="SingleTxtG"/>
              <w:suppressAutoHyphens w:val="0"/>
              <w:spacing w:before="40" w:after="40" w:line="220" w:lineRule="exact"/>
              <w:ind w:left="0" w:right="0"/>
              <w:jc w:val="left"/>
              <w:rPr>
                <w:sz w:val="18"/>
                <w:lang w:val="en-US"/>
              </w:rPr>
            </w:pPr>
            <w:r w:rsidRPr="00222917">
              <w:rPr>
                <w:sz w:val="18"/>
                <w:lang w:val="en-US"/>
              </w:rPr>
              <w:t>2008</w:t>
            </w:r>
          </w:p>
        </w:tc>
        <w:tc>
          <w:tcPr>
            <w:tcW w:w="1418" w:type="dxa"/>
            <w:shd w:val="clear" w:color="auto" w:fill="auto"/>
            <w:tcMar>
              <w:top w:w="28" w:type="dxa"/>
              <w:left w:w="28" w:type="dxa"/>
              <w:bottom w:w="28" w:type="dxa"/>
              <w:right w:w="28" w:type="dxa"/>
            </w:tcMar>
            <w:vAlign w:val="bottom"/>
          </w:tcPr>
          <w:p w:rsidR="002D5BB0" w:rsidRPr="00222917" w:rsidRDefault="002D5BB0" w:rsidP="00CC6554">
            <w:pPr>
              <w:pStyle w:val="SingleTxtG"/>
              <w:suppressAutoHyphens w:val="0"/>
              <w:spacing w:before="40" w:after="40" w:line="220" w:lineRule="exact"/>
              <w:ind w:left="0" w:right="0"/>
              <w:jc w:val="right"/>
              <w:rPr>
                <w:sz w:val="18"/>
                <w:lang w:val="en-US"/>
              </w:rPr>
            </w:pPr>
            <w:r w:rsidRPr="00222917">
              <w:rPr>
                <w:sz w:val="18"/>
                <w:lang w:val="en-US"/>
              </w:rPr>
              <w:t>3,752</w:t>
            </w:r>
          </w:p>
        </w:tc>
        <w:tc>
          <w:tcPr>
            <w:tcW w:w="1418" w:type="dxa"/>
            <w:shd w:val="clear" w:color="auto" w:fill="auto"/>
            <w:tcMar>
              <w:top w:w="28" w:type="dxa"/>
              <w:left w:w="28" w:type="dxa"/>
              <w:bottom w:w="28" w:type="dxa"/>
              <w:right w:w="28" w:type="dxa"/>
            </w:tcMar>
            <w:vAlign w:val="bottom"/>
          </w:tcPr>
          <w:p w:rsidR="002D5BB0" w:rsidRPr="00222917" w:rsidRDefault="002D5BB0" w:rsidP="00CC6554">
            <w:pPr>
              <w:pStyle w:val="SingleTxtG"/>
              <w:suppressAutoHyphens w:val="0"/>
              <w:spacing w:before="40" w:after="40" w:line="220" w:lineRule="exact"/>
              <w:ind w:left="0" w:right="0"/>
              <w:jc w:val="right"/>
              <w:rPr>
                <w:sz w:val="18"/>
                <w:lang w:val="en-US"/>
              </w:rPr>
            </w:pPr>
            <w:r w:rsidRPr="00222917">
              <w:rPr>
                <w:sz w:val="18"/>
                <w:lang w:val="en-US"/>
              </w:rPr>
              <w:t>22</w:t>
            </w:r>
          </w:p>
        </w:tc>
        <w:tc>
          <w:tcPr>
            <w:tcW w:w="1418" w:type="dxa"/>
            <w:shd w:val="clear" w:color="auto" w:fill="auto"/>
            <w:tcMar>
              <w:top w:w="28" w:type="dxa"/>
              <w:left w:w="28" w:type="dxa"/>
              <w:bottom w:w="28" w:type="dxa"/>
              <w:right w:w="28" w:type="dxa"/>
            </w:tcMar>
            <w:vAlign w:val="bottom"/>
          </w:tcPr>
          <w:p w:rsidR="002D5BB0" w:rsidRPr="00222917" w:rsidRDefault="002D5BB0" w:rsidP="00CC6554">
            <w:pPr>
              <w:pStyle w:val="SingleTxtG"/>
              <w:suppressAutoHyphens w:val="0"/>
              <w:spacing w:before="40" w:after="40" w:line="220" w:lineRule="exact"/>
              <w:ind w:left="0" w:right="0"/>
              <w:jc w:val="right"/>
              <w:rPr>
                <w:b/>
                <w:sz w:val="18"/>
                <w:lang w:val="en-US"/>
              </w:rPr>
            </w:pPr>
            <w:r w:rsidRPr="00222917">
              <w:rPr>
                <w:b/>
                <w:sz w:val="18"/>
                <w:lang w:val="en-US"/>
              </w:rPr>
              <w:t>3,774</w:t>
            </w:r>
          </w:p>
        </w:tc>
        <w:tc>
          <w:tcPr>
            <w:tcW w:w="1418" w:type="dxa"/>
            <w:shd w:val="clear" w:color="auto" w:fill="auto"/>
            <w:tcMar>
              <w:top w:w="28" w:type="dxa"/>
              <w:left w:w="28" w:type="dxa"/>
              <w:bottom w:w="28" w:type="dxa"/>
              <w:right w:w="28" w:type="dxa"/>
            </w:tcMar>
            <w:vAlign w:val="bottom"/>
          </w:tcPr>
          <w:p w:rsidR="002D5BB0" w:rsidRPr="00222917" w:rsidRDefault="002D5BB0" w:rsidP="00CC6554">
            <w:pPr>
              <w:pStyle w:val="SingleTxtG"/>
              <w:suppressAutoHyphens w:val="0"/>
              <w:spacing w:before="40" w:after="40" w:line="220" w:lineRule="exact"/>
              <w:ind w:left="0" w:right="0"/>
              <w:jc w:val="right"/>
              <w:rPr>
                <w:sz w:val="18"/>
                <w:lang w:val="en-US"/>
              </w:rPr>
            </w:pPr>
            <w:r w:rsidRPr="00222917">
              <w:rPr>
                <w:sz w:val="18"/>
                <w:lang w:val="en-US"/>
              </w:rPr>
              <w:t>17,660</w:t>
            </w:r>
          </w:p>
        </w:tc>
      </w:tr>
      <w:tr w:rsidR="008F6543" w:rsidRPr="00222917" w:rsidTr="00E7550D">
        <w:tc>
          <w:tcPr>
            <w:tcW w:w="1701" w:type="dxa"/>
            <w:shd w:val="clear" w:color="auto" w:fill="auto"/>
            <w:tcMar>
              <w:top w:w="28" w:type="dxa"/>
              <w:left w:w="28" w:type="dxa"/>
              <w:bottom w:w="28" w:type="dxa"/>
              <w:right w:w="28" w:type="dxa"/>
            </w:tcMar>
          </w:tcPr>
          <w:p w:rsidR="002D5BB0" w:rsidRPr="00222917" w:rsidRDefault="002D5BB0" w:rsidP="00CC6554">
            <w:pPr>
              <w:pStyle w:val="SingleTxtG"/>
              <w:suppressAutoHyphens w:val="0"/>
              <w:spacing w:before="40" w:after="40" w:line="220" w:lineRule="exact"/>
              <w:ind w:left="0" w:right="0"/>
              <w:jc w:val="left"/>
              <w:rPr>
                <w:sz w:val="18"/>
                <w:lang w:val="en-US"/>
              </w:rPr>
            </w:pPr>
            <w:r w:rsidRPr="00222917">
              <w:rPr>
                <w:sz w:val="18"/>
                <w:lang w:val="en-US"/>
              </w:rPr>
              <w:t>2009</w:t>
            </w:r>
          </w:p>
        </w:tc>
        <w:tc>
          <w:tcPr>
            <w:tcW w:w="1418" w:type="dxa"/>
            <w:shd w:val="clear" w:color="auto" w:fill="auto"/>
            <w:tcMar>
              <w:top w:w="28" w:type="dxa"/>
              <w:left w:w="28" w:type="dxa"/>
              <w:bottom w:w="28" w:type="dxa"/>
              <w:right w:w="28" w:type="dxa"/>
            </w:tcMar>
            <w:vAlign w:val="bottom"/>
          </w:tcPr>
          <w:p w:rsidR="002D5BB0" w:rsidRPr="00222917" w:rsidRDefault="002D5BB0" w:rsidP="00CC6554">
            <w:pPr>
              <w:pStyle w:val="SingleTxtG"/>
              <w:suppressAutoHyphens w:val="0"/>
              <w:spacing w:before="40" w:after="40" w:line="220" w:lineRule="exact"/>
              <w:ind w:left="0" w:right="0"/>
              <w:jc w:val="right"/>
              <w:rPr>
                <w:sz w:val="18"/>
                <w:lang w:val="en-US"/>
              </w:rPr>
            </w:pPr>
            <w:r w:rsidRPr="00222917">
              <w:rPr>
                <w:sz w:val="18"/>
                <w:lang w:val="en-US"/>
              </w:rPr>
              <w:t>5,147</w:t>
            </w:r>
          </w:p>
        </w:tc>
        <w:tc>
          <w:tcPr>
            <w:tcW w:w="1418" w:type="dxa"/>
            <w:shd w:val="clear" w:color="auto" w:fill="auto"/>
            <w:tcMar>
              <w:top w:w="28" w:type="dxa"/>
              <w:left w:w="28" w:type="dxa"/>
              <w:bottom w:w="28" w:type="dxa"/>
              <w:right w:w="28" w:type="dxa"/>
            </w:tcMar>
            <w:vAlign w:val="bottom"/>
          </w:tcPr>
          <w:p w:rsidR="002D5BB0" w:rsidRPr="00222917" w:rsidRDefault="002D5BB0" w:rsidP="00CC6554">
            <w:pPr>
              <w:pStyle w:val="SingleTxtG"/>
              <w:suppressAutoHyphens w:val="0"/>
              <w:spacing w:before="40" w:after="40" w:line="220" w:lineRule="exact"/>
              <w:ind w:left="0" w:right="0"/>
              <w:jc w:val="right"/>
              <w:rPr>
                <w:sz w:val="18"/>
                <w:lang w:val="en-US"/>
              </w:rPr>
            </w:pPr>
            <w:r w:rsidRPr="00222917">
              <w:rPr>
                <w:sz w:val="18"/>
                <w:lang w:val="en-US"/>
              </w:rPr>
              <w:t>26</w:t>
            </w:r>
          </w:p>
        </w:tc>
        <w:tc>
          <w:tcPr>
            <w:tcW w:w="1418" w:type="dxa"/>
            <w:shd w:val="clear" w:color="auto" w:fill="auto"/>
            <w:tcMar>
              <w:top w:w="28" w:type="dxa"/>
              <w:left w:w="28" w:type="dxa"/>
              <w:bottom w:w="28" w:type="dxa"/>
              <w:right w:w="28" w:type="dxa"/>
            </w:tcMar>
            <w:vAlign w:val="bottom"/>
          </w:tcPr>
          <w:p w:rsidR="002D5BB0" w:rsidRPr="00222917" w:rsidRDefault="002D5BB0" w:rsidP="00CC6554">
            <w:pPr>
              <w:pStyle w:val="SingleTxtG"/>
              <w:suppressAutoHyphens w:val="0"/>
              <w:spacing w:before="40" w:after="40" w:line="220" w:lineRule="exact"/>
              <w:ind w:left="0" w:right="0"/>
              <w:jc w:val="right"/>
              <w:rPr>
                <w:b/>
                <w:sz w:val="18"/>
                <w:lang w:val="en-US"/>
              </w:rPr>
            </w:pPr>
            <w:r w:rsidRPr="00222917">
              <w:rPr>
                <w:b/>
                <w:sz w:val="18"/>
                <w:lang w:val="en-US"/>
              </w:rPr>
              <w:t>5,173</w:t>
            </w:r>
          </w:p>
        </w:tc>
        <w:tc>
          <w:tcPr>
            <w:tcW w:w="1418" w:type="dxa"/>
            <w:shd w:val="clear" w:color="auto" w:fill="auto"/>
            <w:tcMar>
              <w:top w:w="28" w:type="dxa"/>
              <w:left w:w="28" w:type="dxa"/>
              <w:bottom w:w="28" w:type="dxa"/>
              <w:right w:w="28" w:type="dxa"/>
            </w:tcMar>
            <w:vAlign w:val="bottom"/>
          </w:tcPr>
          <w:p w:rsidR="002D5BB0" w:rsidRPr="00222917" w:rsidRDefault="002D5BB0" w:rsidP="00CC6554">
            <w:pPr>
              <w:pStyle w:val="SingleTxtG"/>
              <w:suppressAutoHyphens w:val="0"/>
              <w:spacing w:before="40" w:after="40" w:line="220" w:lineRule="exact"/>
              <w:ind w:left="0" w:right="0"/>
              <w:jc w:val="right"/>
              <w:rPr>
                <w:sz w:val="18"/>
                <w:lang w:val="en-US"/>
              </w:rPr>
            </w:pPr>
            <w:r w:rsidRPr="00222917">
              <w:rPr>
                <w:sz w:val="18"/>
                <w:lang w:val="en-US"/>
              </w:rPr>
              <w:t>19,896</w:t>
            </w:r>
          </w:p>
        </w:tc>
      </w:tr>
      <w:tr w:rsidR="008F6543" w:rsidRPr="00222917" w:rsidTr="00E7550D">
        <w:tc>
          <w:tcPr>
            <w:tcW w:w="1701" w:type="dxa"/>
            <w:tcBorders>
              <w:bottom w:val="single" w:sz="12" w:space="0" w:color="auto"/>
            </w:tcBorders>
            <w:shd w:val="clear" w:color="auto" w:fill="auto"/>
            <w:tcMar>
              <w:top w:w="28" w:type="dxa"/>
              <w:left w:w="28" w:type="dxa"/>
              <w:bottom w:w="28" w:type="dxa"/>
              <w:right w:w="28" w:type="dxa"/>
            </w:tcMar>
          </w:tcPr>
          <w:p w:rsidR="002D5BB0" w:rsidRPr="00222917" w:rsidRDefault="002D5BB0" w:rsidP="00CC6554">
            <w:pPr>
              <w:pStyle w:val="SingleTxtG"/>
              <w:suppressAutoHyphens w:val="0"/>
              <w:spacing w:before="40" w:after="40" w:line="220" w:lineRule="exact"/>
              <w:ind w:left="0" w:right="0"/>
              <w:jc w:val="left"/>
              <w:rPr>
                <w:sz w:val="18"/>
                <w:lang w:val="en-US"/>
              </w:rPr>
            </w:pPr>
            <w:r w:rsidRPr="00222917">
              <w:rPr>
                <w:sz w:val="18"/>
                <w:lang w:val="en-US"/>
              </w:rPr>
              <w:t>2010</w:t>
            </w:r>
          </w:p>
        </w:tc>
        <w:tc>
          <w:tcPr>
            <w:tcW w:w="1418" w:type="dxa"/>
            <w:tcBorders>
              <w:bottom w:val="single" w:sz="12" w:space="0" w:color="auto"/>
            </w:tcBorders>
            <w:shd w:val="clear" w:color="auto" w:fill="auto"/>
            <w:tcMar>
              <w:top w:w="28" w:type="dxa"/>
              <w:left w:w="28" w:type="dxa"/>
              <w:bottom w:w="28" w:type="dxa"/>
              <w:right w:w="28" w:type="dxa"/>
            </w:tcMar>
            <w:vAlign w:val="bottom"/>
          </w:tcPr>
          <w:p w:rsidR="002D5BB0" w:rsidRPr="00222917" w:rsidRDefault="002D5BB0" w:rsidP="00CC6554">
            <w:pPr>
              <w:pStyle w:val="SingleTxtG"/>
              <w:suppressAutoHyphens w:val="0"/>
              <w:spacing w:before="40" w:after="40" w:line="220" w:lineRule="exact"/>
              <w:ind w:left="0" w:right="0"/>
              <w:jc w:val="right"/>
              <w:rPr>
                <w:sz w:val="18"/>
                <w:lang w:val="en-US"/>
              </w:rPr>
            </w:pPr>
            <w:r w:rsidRPr="00222917">
              <w:rPr>
                <w:sz w:val="18"/>
                <w:lang w:val="en-US"/>
              </w:rPr>
              <w:t>4,815</w:t>
            </w:r>
          </w:p>
        </w:tc>
        <w:tc>
          <w:tcPr>
            <w:tcW w:w="1418" w:type="dxa"/>
            <w:tcBorders>
              <w:bottom w:val="single" w:sz="12" w:space="0" w:color="auto"/>
            </w:tcBorders>
            <w:shd w:val="clear" w:color="auto" w:fill="auto"/>
            <w:tcMar>
              <w:top w:w="28" w:type="dxa"/>
              <w:left w:w="28" w:type="dxa"/>
              <w:bottom w:w="28" w:type="dxa"/>
              <w:right w:w="28" w:type="dxa"/>
            </w:tcMar>
            <w:vAlign w:val="bottom"/>
          </w:tcPr>
          <w:p w:rsidR="002D5BB0" w:rsidRPr="00222917" w:rsidRDefault="002D5BB0" w:rsidP="00CC6554">
            <w:pPr>
              <w:pStyle w:val="SingleTxtG"/>
              <w:suppressAutoHyphens w:val="0"/>
              <w:spacing w:before="40" w:after="40" w:line="220" w:lineRule="exact"/>
              <w:ind w:left="0" w:right="0"/>
              <w:jc w:val="right"/>
              <w:rPr>
                <w:sz w:val="18"/>
                <w:lang w:val="en-US"/>
              </w:rPr>
            </w:pPr>
            <w:r w:rsidRPr="00222917">
              <w:rPr>
                <w:sz w:val="18"/>
                <w:lang w:val="en-US"/>
              </w:rPr>
              <w:t>26</w:t>
            </w:r>
          </w:p>
        </w:tc>
        <w:tc>
          <w:tcPr>
            <w:tcW w:w="1418" w:type="dxa"/>
            <w:tcBorders>
              <w:bottom w:val="single" w:sz="12" w:space="0" w:color="auto"/>
            </w:tcBorders>
            <w:shd w:val="clear" w:color="auto" w:fill="auto"/>
            <w:tcMar>
              <w:top w:w="28" w:type="dxa"/>
              <w:left w:w="28" w:type="dxa"/>
              <w:bottom w:w="28" w:type="dxa"/>
              <w:right w:w="28" w:type="dxa"/>
            </w:tcMar>
            <w:vAlign w:val="bottom"/>
          </w:tcPr>
          <w:p w:rsidR="002D5BB0" w:rsidRPr="00222917" w:rsidRDefault="002D5BB0" w:rsidP="00CC6554">
            <w:pPr>
              <w:pStyle w:val="SingleTxtG"/>
              <w:suppressAutoHyphens w:val="0"/>
              <w:spacing w:before="40" w:after="40" w:line="220" w:lineRule="exact"/>
              <w:ind w:left="0" w:right="0"/>
              <w:jc w:val="right"/>
              <w:rPr>
                <w:b/>
                <w:sz w:val="18"/>
                <w:lang w:val="en-US"/>
              </w:rPr>
            </w:pPr>
            <w:r w:rsidRPr="00222917">
              <w:rPr>
                <w:b/>
                <w:sz w:val="18"/>
                <w:lang w:val="en-US"/>
              </w:rPr>
              <w:t>4,841</w:t>
            </w:r>
          </w:p>
        </w:tc>
        <w:tc>
          <w:tcPr>
            <w:tcW w:w="1418" w:type="dxa"/>
            <w:tcBorders>
              <w:bottom w:val="single" w:sz="12" w:space="0" w:color="auto"/>
            </w:tcBorders>
            <w:shd w:val="clear" w:color="auto" w:fill="auto"/>
            <w:tcMar>
              <w:top w:w="28" w:type="dxa"/>
              <w:left w:w="28" w:type="dxa"/>
              <w:bottom w:w="28" w:type="dxa"/>
              <w:right w:w="28" w:type="dxa"/>
            </w:tcMar>
            <w:vAlign w:val="bottom"/>
          </w:tcPr>
          <w:p w:rsidR="002D5BB0" w:rsidRPr="00222917" w:rsidRDefault="002D5BB0" w:rsidP="00CC6554">
            <w:pPr>
              <w:pStyle w:val="SingleTxtG"/>
              <w:suppressAutoHyphens w:val="0"/>
              <w:spacing w:before="40" w:after="40" w:line="220" w:lineRule="exact"/>
              <w:ind w:left="0" w:right="0"/>
              <w:jc w:val="right"/>
              <w:rPr>
                <w:sz w:val="18"/>
                <w:lang w:val="en-US"/>
              </w:rPr>
            </w:pPr>
            <w:r w:rsidRPr="00222917">
              <w:rPr>
                <w:sz w:val="18"/>
                <w:lang w:val="en-US"/>
              </w:rPr>
              <w:t>19,235</w:t>
            </w:r>
          </w:p>
        </w:tc>
      </w:tr>
    </w:tbl>
    <w:p w:rsidR="002D5BB0" w:rsidRPr="00222917" w:rsidRDefault="00794B5A" w:rsidP="00794B5A">
      <w:pPr>
        <w:pStyle w:val="H23G"/>
        <w:rPr>
          <w:b w:val="0"/>
          <w:sz w:val="16"/>
          <w:szCs w:val="16"/>
          <w:lang w:val="en-US"/>
        </w:rPr>
      </w:pPr>
      <w:r w:rsidRPr="00222917">
        <w:rPr>
          <w:lang w:val="en-US"/>
        </w:rPr>
        <w:tab/>
      </w:r>
      <w:r w:rsidRPr="00222917">
        <w:rPr>
          <w:lang w:val="en-US"/>
        </w:rPr>
        <w:tab/>
      </w:r>
      <w:r w:rsidR="002D5BB0" w:rsidRPr="00222917">
        <w:rPr>
          <w:lang w:val="en-US"/>
        </w:rPr>
        <w:t>Legal Aid by the Korean Bar Association Legal Aid Foundation</w:t>
      </w:r>
      <w:r w:rsidRPr="00222917">
        <w:rPr>
          <w:lang w:val="en-US"/>
        </w:rPr>
        <w:br/>
      </w:r>
      <w:r w:rsidR="002D5BB0" w:rsidRPr="00222917">
        <w:rPr>
          <w:b w:val="0"/>
          <w:sz w:val="16"/>
          <w:szCs w:val="16"/>
          <w:lang w:val="en-US"/>
        </w:rPr>
        <w:t>(Number of cases)</w:t>
      </w:r>
    </w:p>
    <w:tbl>
      <w:tblPr>
        <w:tblW w:w="0" w:type="auto"/>
        <w:tblInd w:w="1134" w:type="dxa"/>
        <w:tblBorders>
          <w:top w:val="single" w:sz="4" w:space="0" w:color="auto"/>
          <w:bottom w:val="single" w:sz="12" w:space="0" w:color="auto"/>
          <w:insideH w:val="single" w:sz="12" w:space="0" w:color="auto"/>
        </w:tblBorders>
        <w:tblLayout w:type="fixed"/>
        <w:tblCellMar>
          <w:left w:w="0" w:type="dxa"/>
          <w:right w:w="0" w:type="dxa"/>
        </w:tblCellMar>
        <w:tblLook w:val="00A0"/>
      </w:tblPr>
      <w:tblGrid>
        <w:gridCol w:w="1247"/>
        <w:gridCol w:w="1021"/>
        <w:gridCol w:w="1021"/>
        <w:gridCol w:w="1021"/>
        <w:gridCol w:w="1021"/>
        <w:gridCol w:w="1021"/>
        <w:gridCol w:w="1021"/>
      </w:tblGrid>
      <w:tr w:rsidR="008F6543" w:rsidRPr="00222917" w:rsidTr="00640EDF">
        <w:trPr>
          <w:trHeight w:val="142"/>
          <w:tblHeader/>
        </w:trPr>
        <w:tc>
          <w:tcPr>
            <w:tcW w:w="1247" w:type="dxa"/>
            <w:shd w:val="clear" w:color="auto" w:fill="auto"/>
            <w:tcMar>
              <w:top w:w="28" w:type="dxa"/>
              <w:left w:w="102" w:type="dxa"/>
              <w:bottom w:w="28" w:type="dxa"/>
              <w:right w:w="102" w:type="dxa"/>
            </w:tcMar>
            <w:vAlign w:val="bottom"/>
          </w:tcPr>
          <w:p w:rsidR="002D5BB0" w:rsidRPr="00222917" w:rsidRDefault="002D5BB0" w:rsidP="00640EDF">
            <w:pPr>
              <w:pStyle w:val="SingleTxtG"/>
              <w:suppressAutoHyphens w:val="0"/>
              <w:spacing w:before="80" w:after="80" w:line="200" w:lineRule="exact"/>
              <w:ind w:left="0" w:right="0"/>
              <w:jc w:val="left"/>
              <w:rPr>
                <w:i/>
                <w:sz w:val="16"/>
                <w:lang w:val="en-US"/>
              </w:rPr>
            </w:pPr>
            <w:r w:rsidRPr="00222917">
              <w:rPr>
                <w:bCs/>
                <w:i/>
                <w:sz w:val="16"/>
                <w:lang w:val="en-US"/>
              </w:rPr>
              <w:t>Year</w:t>
            </w:r>
          </w:p>
        </w:tc>
        <w:tc>
          <w:tcPr>
            <w:tcW w:w="1021" w:type="dxa"/>
            <w:shd w:val="clear" w:color="auto" w:fill="auto"/>
            <w:tcMar>
              <w:top w:w="28" w:type="dxa"/>
              <w:left w:w="102" w:type="dxa"/>
              <w:bottom w:w="28" w:type="dxa"/>
              <w:right w:w="102" w:type="dxa"/>
            </w:tcMar>
            <w:vAlign w:val="bottom"/>
          </w:tcPr>
          <w:p w:rsidR="002D5BB0" w:rsidRPr="00222917" w:rsidRDefault="002D5BB0" w:rsidP="00640EDF">
            <w:pPr>
              <w:pStyle w:val="SingleTxtG"/>
              <w:suppressAutoHyphens w:val="0"/>
              <w:spacing w:before="80" w:after="80" w:line="200" w:lineRule="exact"/>
              <w:ind w:left="0" w:right="0"/>
              <w:jc w:val="right"/>
              <w:rPr>
                <w:i/>
                <w:sz w:val="16"/>
                <w:lang w:val="en-US"/>
              </w:rPr>
            </w:pPr>
            <w:r w:rsidRPr="00222917">
              <w:rPr>
                <w:bCs/>
                <w:i/>
                <w:sz w:val="16"/>
                <w:lang w:val="en-US"/>
              </w:rPr>
              <w:t>2005</w:t>
            </w:r>
          </w:p>
        </w:tc>
        <w:tc>
          <w:tcPr>
            <w:tcW w:w="1021" w:type="dxa"/>
            <w:shd w:val="clear" w:color="auto" w:fill="auto"/>
            <w:tcMar>
              <w:top w:w="28" w:type="dxa"/>
              <w:left w:w="102" w:type="dxa"/>
              <w:bottom w:w="28" w:type="dxa"/>
              <w:right w:w="102" w:type="dxa"/>
            </w:tcMar>
            <w:vAlign w:val="bottom"/>
          </w:tcPr>
          <w:p w:rsidR="002D5BB0" w:rsidRPr="00222917" w:rsidRDefault="002D5BB0" w:rsidP="00640EDF">
            <w:pPr>
              <w:pStyle w:val="SingleTxtG"/>
              <w:suppressAutoHyphens w:val="0"/>
              <w:spacing w:before="80" w:after="80" w:line="200" w:lineRule="exact"/>
              <w:ind w:left="0" w:right="0"/>
              <w:jc w:val="right"/>
              <w:rPr>
                <w:i/>
                <w:sz w:val="16"/>
                <w:lang w:val="en-US"/>
              </w:rPr>
            </w:pPr>
            <w:r w:rsidRPr="00222917">
              <w:rPr>
                <w:bCs/>
                <w:i/>
                <w:sz w:val="16"/>
                <w:lang w:val="en-US"/>
              </w:rPr>
              <w:t>2006</w:t>
            </w:r>
          </w:p>
        </w:tc>
        <w:tc>
          <w:tcPr>
            <w:tcW w:w="1021" w:type="dxa"/>
            <w:shd w:val="clear" w:color="auto" w:fill="auto"/>
            <w:tcMar>
              <w:top w:w="28" w:type="dxa"/>
              <w:left w:w="102" w:type="dxa"/>
              <w:bottom w:w="28" w:type="dxa"/>
              <w:right w:w="102" w:type="dxa"/>
            </w:tcMar>
            <w:vAlign w:val="bottom"/>
          </w:tcPr>
          <w:p w:rsidR="002D5BB0" w:rsidRPr="00222917" w:rsidRDefault="002D5BB0" w:rsidP="00640EDF">
            <w:pPr>
              <w:pStyle w:val="SingleTxtG"/>
              <w:suppressAutoHyphens w:val="0"/>
              <w:spacing w:before="80" w:after="80" w:line="200" w:lineRule="exact"/>
              <w:ind w:left="0" w:right="0"/>
              <w:jc w:val="right"/>
              <w:rPr>
                <w:i/>
                <w:sz w:val="16"/>
                <w:lang w:val="en-US"/>
              </w:rPr>
            </w:pPr>
            <w:r w:rsidRPr="00222917">
              <w:rPr>
                <w:bCs/>
                <w:i/>
                <w:sz w:val="16"/>
                <w:lang w:val="en-US"/>
              </w:rPr>
              <w:t>2007</w:t>
            </w:r>
          </w:p>
        </w:tc>
        <w:tc>
          <w:tcPr>
            <w:tcW w:w="1021" w:type="dxa"/>
            <w:shd w:val="clear" w:color="auto" w:fill="auto"/>
            <w:tcMar>
              <w:top w:w="28" w:type="dxa"/>
              <w:left w:w="102" w:type="dxa"/>
              <w:bottom w:w="28" w:type="dxa"/>
              <w:right w:w="102" w:type="dxa"/>
            </w:tcMar>
            <w:vAlign w:val="bottom"/>
          </w:tcPr>
          <w:p w:rsidR="002D5BB0" w:rsidRPr="00222917" w:rsidRDefault="002D5BB0" w:rsidP="00640EDF">
            <w:pPr>
              <w:pStyle w:val="SingleTxtG"/>
              <w:suppressAutoHyphens w:val="0"/>
              <w:spacing w:before="80" w:after="80" w:line="200" w:lineRule="exact"/>
              <w:ind w:left="0" w:right="0"/>
              <w:jc w:val="right"/>
              <w:rPr>
                <w:i/>
                <w:sz w:val="16"/>
                <w:lang w:val="en-US"/>
              </w:rPr>
            </w:pPr>
            <w:r w:rsidRPr="00222917">
              <w:rPr>
                <w:bCs/>
                <w:i/>
                <w:sz w:val="16"/>
                <w:lang w:val="en-US"/>
              </w:rPr>
              <w:t>2008</w:t>
            </w:r>
          </w:p>
        </w:tc>
        <w:tc>
          <w:tcPr>
            <w:tcW w:w="1021" w:type="dxa"/>
            <w:shd w:val="clear" w:color="auto" w:fill="auto"/>
            <w:tcMar>
              <w:top w:w="28" w:type="dxa"/>
              <w:left w:w="102" w:type="dxa"/>
              <w:bottom w:w="28" w:type="dxa"/>
              <w:right w:w="102" w:type="dxa"/>
            </w:tcMar>
            <w:vAlign w:val="bottom"/>
          </w:tcPr>
          <w:p w:rsidR="002D5BB0" w:rsidRPr="00222917" w:rsidRDefault="002D5BB0" w:rsidP="00640EDF">
            <w:pPr>
              <w:pStyle w:val="SingleTxtG"/>
              <w:suppressAutoHyphens w:val="0"/>
              <w:spacing w:before="80" w:after="80" w:line="200" w:lineRule="exact"/>
              <w:ind w:left="0" w:right="0"/>
              <w:jc w:val="right"/>
              <w:rPr>
                <w:i/>
                <w:sz w:val="16"/>
                <w:lang w:val="en-US"/>
              </w:rPr>
            </w:pPr>
            <w:r w:rsidRPr="00222917">
              <w:rPr>
                <w:bCs/>
                <w:i/>
                <w:sz w:val="16"/>
                <w:lang w:val="en-US"/>
              </w:rPr>
              <w:t>2009</w:t>
            </w:r>
          </w:p>
        </w:tc>
        <w:tc>
          <w:tcPr>
            <w:tcW w:w="1021" w:type="dxa"/>
            <w:shd w:val="clear" w:color="auto" w:fill="auto"/>
            <w:tcMar>
              <w:top w:w="28" w:type="dxa"/>
              <w:left w:w="102" w:type="dxa"/>
              <w:bottom w:w="28" w:type="dxa"/>
              <w:right w:w="102" w:type="dxa"/>
            </w:tcMar>
            <w:vAlign w:val="bottom"/>
          </w:tcPr>
          <w:p w:rsidR="002D5BB0" w:rsidRPr="00222917" w:rsidRDefault="002D5BB0" w:rsidP="00640EDF">
            <w:pPr>
              <w:pStyle w:val="SingleTxtG"/>
              <w:suppressAutoHyphens w:val="0"/>
              <w:spacing w:before="80" w:after="80" w:line="200" w:lineRule="exact"/>
              <w:ind w:left="0" w:right="0"/>
              <w:jc w:val="right"/>
              <w:rPr>
                <w:i/>
                <w:sz w:val="16"/>
                <w:lang w:val="en-US"/>
              </w:rPr>
            </w:pPr>
            <w:r w:rsidRPr="00222917">
              <w:rPr>
                <w:bCs/>
                <w:i/>
                <w:sz w:val="16"/>
                <w:lang w:val="en-US"/>
              </w:rPr>
              <w:t>2010</w:t>
            </w:r>
          </w:p>
        </w:tc>
      </w:tr>
      <w:tr w:rsidR="008F6543" w:rsidRPr="00222917" w:rsidTr="00640EDF">
        <w:trPr>
          <w:trHeight w:val="142"/>
        </w:trPr>
        <w:tc>
          <w:tcPr>
            <w:tcW w:w="1247" w:type="dxa"/>
            <w:shd w:val="clear" w:color="auto" w:fill="auto"/>
            <w:tcMar>
              <w:top w:w="28" w:type="dxa"/>
              <w:left w:w="102" w:type="dxa"/>
              <w:bottom w:w="28" w:type="dxa"/>
              <w:right w:w="102" w:type="dxa"/>
            </w:tcMar>
          </w:tcPr>
          <w:p w:rsidR="002D5BB0" w:rsidRPr="00222917" w:rsidRDefault="002D5BB0" w:rsidP="00640EDF">
            <w:pPr>
              <w:pStyle w:val="SingleTxtG"/>
              <w:suppressAutoHyphens w:val="0"/>
              <w:spacing w:before="40" w:after="40" w:line="220" w:lineRule="exact"/>
              <w:ind w:left="0" w:right="0"/>
              <w:jc w:val="left"/>
              <w:rPr>
                <w:sz w:val="18"/>
                <w:lang w:val="en-US"/>
              </w:rPr>
            </w:pPr>
            <w:r w:rsidRPr="00222917">
              <w:rPr>
                <w:sz w:val="18"/>
                <w:lang w:val="en-US"/>
              </w:rPr>
              <w:t>Legal Aid</w:t>
            </w:r>
          </w:p>
        </w:tc>
        <w:tc>
          <w:tcPr>
            <w:tcW w:w="1021" w:type="dxa"/>
            <w:shd w:val="clear" w:color="auto" w:fill="auto"/>
            <w:tcMar>
              <w:top w:w="28" w:type="dxa"/>
              <w:left w:w="102" w:type="dxa"/>
              <w:bottom w:w="28" w:type="dxa"/>
              <w:right w:w="102" w:type="dxa"/>
            </w:tcMar>
            <w:vAlign w:val="bottom"/>
          </w:tcPr>
          <w:p w:rsidR="002D5BB0" w:rsidRPr="00222917" w:rsidRDefault="002D5BB0" w:rsidP="00640EDF">
            <w:pPr>
              <w:pStyle w:val="SingleTxtG"/>
              <w:suppressAutoHyphens w:val="0"/>
              <w:spacing w:before="40" w:after="40" w:line="220" w:lineRule="exact"/>
              <w:ind w:left="0" w:right="0"/>
              <w:jc w:val="right"/>
              <w:rPr>
                <w:sz w:val="18"/>
                <w:lang w:val="en-US"/>
              </w:rPr>
            </w:pPr>
            <w:r w:rsidRPr="00222917">
              <w:rPr>
                <w:sz w:val="18"/>
                <w:lang w:val="en-US"/>
              </w:rPr>
              <w:t>31</w:t>
            </w:r>
          </w:p>
        </w:tc>
        <w:tc>
          <w:tcPr>
            <w:tcW w:w="1021" w:type="dxa"/>
            <w:shd w:val="clear" w:color="auto" w:fill="auto"/>
            <w:tcMar>
              <w:top w:w="28" w:type="dxa"/>
              <w:left w:w="102" w:type="dxa"/>
              <w:bottom w:w="28" w:type="dxa"/>
              <w:right w:w="102" w:type="dxa"/>
            </w:tcMar>
            <w:vAlign w:val="bottom"/>
          </w:tcPr>
          <w:p w:rsidR="002D5BB0" w:rsidRPr="00222917" w:rsidRDefault="002D5BB0" w:rsidP="00640EDF">
            <w:pPr>
              <w:pStyle w:val="SingleTxtG"/>
              <w:suppressAutoHyphens w:val="0"/>
              <w:spacing w:before="40" w:after="40" w:line="220" w:lineRule="exact"/>
              <w:ind w:left="0" w:right="0"/>
              <w:jc w:val="right"/>
              <w:rPr>
                <w:sz w:val="18"/>
                <w:lang w:val="en-US"/>
              </w:rPr>
            </w:pPr>
            <w:r w:rsidRPr="00222917">
              <w:rPr>
                <w:sz w:val="18"/>
                <w:lang w:val="en-US"/>
              </w:rPr>
              <w:t>37</w:t>
            </w:r>
          </w:p>
        </w:tc>
        <w:tc>
          <w:tcPr>
            <w:tcW w:w="1021" w:type="dxa"/>
            <w:shd w:val="clear" w:color="auto" w:fill="auto"/>
            <w:tcMar>
              <w:top w:w="28" w:type="dxa"/>
              <w:left w:w="102" w:type="dxa"/>
              <w:bottom w:w="28" w:type="dxa"/>
              <w:right w:w="102" w:type="dxa"/>
            </w:tcMar>
            <w:vAlign w:val="bottom"/>
          </w:tcPr>
          <w:p w:rsidR="002D5BB0" w:rsidRPr="00222917" w:rsidRDefault="002D5BB0" w:rsidP="00640EDF">
            <w:pPr>
              <w:pStyle w:val="SingleTxtG"/>
              <w:suppressAutoHyphens w:val="0"/>
              <w:spacing w:before="40" w:after="40" w:line="220" w:lineRule="exact"/>
              <w:ind w:left="0" w:right="0"/>
              <w:jc w:val="right"/>
              <w:rPr>
                <w:sz w:val="18"/>
                <w:lang w:val="en-US"/>
              </w:rPr>
            </w:pPr>
            <w:r w:rsidRPr="00222917">
              <w:rPr>
                <w:sz w:val="18"/>
                <w:lang w:val="en-US"/>
              </w:rPr>
              <w:t>20</w:t>
            </w:r>
          </w:p>
        </w:tc>
        <w:tc>
          <w:tcPr>
            <w:tcW w:w="1021" w:type="dxa"/>
            <w:shd w:val="clear" w:color="auto" w:fill="auto"/>
            <w:tcMar>
              <w:top w:w="28" w:type="dxa"/>
              <w:left w:w="102" w:type="dxa"/>
              <w:bottom w:w="28" w:type="dxa"/>
              <w:right w:w="102" w:type="dxa"/>
            </w:tcMar>
            <w:vAlign w:val="bottom"/>
          </w:tcPr>
          <w:p w:rsidR="002D5BB0" w:rsidRPr="00222917" w:rsidRDefault="002D5BB0" w:rsidP="00640EDF">
            <w:pPr>
              <w:pStyle w:val="SingleTxtG"/>
              <w:suppressAutoHyphens w:val="0"/>
              <w:spacing w:before="40" w:after="40" w:line="220" w:lineRule="exact"/>
              <w:ind w:left="0" w:right="0"/>
              <w:jc w:val="right"/>
              <w:rPr>
                <w:sz w:val="18"/>
                <w:lang w:val="en-US"/>
              </w:rPr>
            </w:pPr>
            <w:r w:rsidRPr="00222917">
              <w:rPr>
                <w:sz w:val="18"/>
                <w:lang w:val="en-US"/>
              </w:rPr>
              <w:t>110</w:t>
            </w:r>
          </w:p>
        </w:tc>
        <w:tc>
          <w:tcPr>
            <w:tcW w:w="1021" w:type="dxa"/>
            <w:shd w:val="clear" w:color="auto" w:fill="auto"/>
            <w:tcMar>
              <w:top w:w="28" w:type="dxa"/>
              <w:left w:w="102" w:type="dxa"/>
              <w:bottom w:w="28" w:type="dxa"/>
              <w:right w:w="102" w:type="dxa"/>
            </w:tcMar>
            <w:vAlign w:val="bottom"/>
          </w:tcPr>
          <w:p w:rsidR="002D5BB0" w:rsidRPr="00222917" w:rsidRDefault="002D5BB0" w:rsidP="00640EDF">
            <w:pPr>
              <w:pStyle w:val="SingleTxtG"/>
              <w:suppressAutoHyphens w:val="0"/>
              <w:spacing w:before="40" w:after="40" w:line="220" w:lineRule="exact"/>
              <w:ind w:left="0" w:right="0"/>
              <w:jc w:val="right"/>
              <w:rPr>
                <w:sz w:val="18"/>
                <w:lang w:val="en-US"/>
              </w:rPr>
            </w:pPr>
            <w:r w:rsidRPr="00222917">
              <w:rPr>
                <w:sz w:val="18"/>
                <w:lang w:val="en-US"/>
              </w:rPr>
              <w:t>167</w:t>
            </w:r>
          </w:p>
        </w:tc>
        <w:tc>
          <w:tcPr>
            <w:tcW w:w="1021" w:type="dxa"/>
            <w:shd w:val="clear" w:color="auto" w:fill="auto"/>
            <w:tcMar>
              <w:top w:w="28" w:type="dxa"/>
              <w:left w:w="102" w:type="dxa"/>
              <w:bottom w:w="28" w:type="dxa"/>
              <w:right w:w="102" w:type="dxa"/>
            </w:tcMar>
            <w:vAlign w:val="bottom"/>
          </w:tcPr>
          <w:p w:rsidR="002D5BB0" w:rsidRPr="00222917" w:rsidRDefault="002D5BB0" w:rsidP="00640EDF">
            <w:pPr>
              <w:pStyle w:val="SingleTxtG"/>
              <w:suppressAutoHyphens w:val="0"/>
              <w:spacing w:before="40" w:after="40" w:line="220" w:lineRule="exact"/>
              <w:ind w:left="0" w:right="0"/>
              <w:jc w:val="right"/>
              <w:rPr>
                <w:sz w:val="18"/>
                <w:lang w:val="en-US"/>
              </w:rPr>
            </w:pPr>
            <w:r w:rsidRPr="00222917">
              <w:rPr>
                <w:sz w:val="18"/>
                <w:lang w:val="en-US"/>
              </w:rPr>
              <w:t>355</w:t>
            </w:r>
          </w:p>
        </w:tc>
      </w:tr>
    </w:tbl>
    <w:p w:rsidR="002D5BB0" w:rsidRPr="00222917" w:rsidRDefault="00794B5A" w:rsidP="00794B5A">
      <w:pPr>
        <w:pStyle w:val="H23G"/>
        <w:rPr>
          <w:b w:val="0"/>
          <w:sz w:val="16"/>
          <w:szCs w:val="16"/>
          <w:lang w:val="en-US"/>
        </w:rPr>
      </w:pPr>
      <w:r w:rsidRPr="00222917">
        <w:rPr>
          <w:lang w:val="en-US"/>
        </w:rPr>
        <w:tab/>
      </w:r>
      <w:r w:rsidRPr="00222917">
        <w:rPr>
          <w:lang w:val="en-US"/>
        </w:rPr>
        <w:tab/>
      </w:r>
      <w:r w:rsidR="002D5BB0" w:rsidRPr="00222917">
        <w:rPr>
          <w:lang w:val="en-US"/>
        </w:rPr>
        <w:t>Government Subsidies for Legal Aid Corporations</w:t>
      </w:r>
      <w:r w:rsidRPr="00222917">
        <w:rPr>
          <w:lang w:val="en-US"/>
        </w:rPr>
        <w:br/>
      </w:r>
      <w:r w:rsidRPr="00222917">
        <w:rPr>
          <w:b w:val="0"/>
          <w:sz w:val="16"/>
          <w:szCs w:val="16"/>
          <w:lang w:val="en-US"/>
        </w:rPr>
        <w:t>(</w:t>
      </w:r>
      <w:r w:rsidR="002D5BB0" w:rsidRPr="00222917">
        <w:rPr>
          <w:b w:val="0"/>
          <w:sz w:val="16"/>
          <w:szCs w:val="16"/>
          <w:lang w:val="en-US"/>
        </w:rPr>
        <w:t>In KRW 1 million)</w:t>
      </w:r>
    </w:p>
    <w:tbl>
      <w:tblPr>
        <w:tblW w:w="0" w:type="auto"/>
        <w:tblInd w:w="1134" w:type="dxa"/>
        <w:tblBorders>
          <w:top w:val="single" w:sz="4" w:space="0" w:color="auto"/>
        </w:tblBorders>
        <w:tblLayout w:type="fixed"/>
        <w:tblCellMar>
          <w:left w:w="0" w:type="dxa"/>
          <w:right w:w="0" w:type="dxa"/>
        </w:tblCellMar>
        <w:tblLook w:val="00A0"/>
      </w:tblPr>
      <w:tblGrid>
        <w:gridCol w:w="1701"/>
        <w:gridCol w:w="1134"/>
        <w:gridCol w:w="1134"/>
        <w:gridCol w:w="1134"/>
        <w:gridCol w:w="1134"/>
        <w:gridCol w:w="1134"/>
      </w:tblGrid>
      <w:tr w:rsidR="008F6543" w:rsidRPr="00222917" w:rsidTr="00E7550D">
        <w:trPr>
          <w:trHeight w:val="240"/>
          <w:tblHeader/>
        </w:trPr>
        <w:tc>
          <w:tcPr>
            <w:tcW w:w="1701"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D5BB0" w:rsidRPr="00222917" w:rsidRDefault="002D5BB0" w:rsidP="003C751E">
            <w:pPr>
              <w:pStyle w:val="SingleTxtG"/>
              <w:suppressAutoHyphens w:val="0"/>
              <w:spacing w:before="80" w:after="80" w:line="200" w:lineRule="exact"/>
              <w:ind w:left="0" w:right="0"/>
              <w:jc w:val="left"/>
              <w:rPr>
                <w:i/>
                <w:sz w:val="16"/>
                <w:lang w:val="en-US"/>
              </w:rPr>
            </w:pPr>
            <w:r w:rsidRPr="00222917">
              <w:rPr>
                <w:bCs/>
                <w:i/>
                <w:sz w:val="16"/>
                <w:lang w:val="en-US"/>
              </w:rPr>
              <w:t>Description</w:t>
            </w:r>
          </w:p>
        </w:tc>
        <w:tc>
          <w:tcPr>
            <w:tcW w:w="1134"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D5BB0" w:rsidRPr="00222917" w:rsidRDefault="002D5BB0" w:rsidP="003C751E">
            <w:pPr>
              <w:pStyle w:val="SingleTxtG"/>
              <w:suppressAutoHyphens w:val="0"/>
              <w:spacing w:before="80" w:after="80" w:line="200" w:lineRule="exact"/>
              <w:ind w:left="0" w:right="0"/>
              <w:jc w:val="right"/>
              <w:rPr>
                <w:i/>
                <w:sz w:val="16"/>
                <w:lang w:val="en-US"/>
              </w:rPr>
            </w:pPr>
            <w:r w:rsidRPr="00222917">
              <w:rPr>
                <w:bCs/>
                <w:i/>
                <w:sz w:val="16"/>
                <w:lang w:val="en-US"/>
              </w:rPr>
              <w:t>2006</w:t>
            </w:r>
          </w:p>
        </w:tc>
        <w:tc>
          <w:tcPr>
            <w:tcW w:w="1134"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D5BB0" w:rsidRPr="00222917" w:rsidRDefault="002D5BB0" w:rsidP="003C751E">
            <w:pPr>
              <w:pStyle w:val="SingleTxtG"/>
              <w:suppressAutoHyphens w:val="0"/>
              <w:spacing w:before="80" w:after="80" w:line="200" w:lineRule="exact"/>
              <w:ind w:left="0" w:right="0"/>
              <w:jc w:val="right"/>
              <w:rPr>
                <w:i/>
                <w:sz w:val="16"/>
                <w:lang w:val="en-US"/>
              </w:rPr>
            </w:pPr>
            <w:r w:rsidRPr="00222917">
              <w:rPr>
                <w:bCs/>
                <w:i/>
                <w:sz w:val="16"/>
                <w:lang w:val="en-US"/>
              </w:rPr>
              <w:t>2007</w:t>
            </w:r>
          </w:p>
        </w:tc>
        <w:tc>
          <w:tcPr>
            <w:tcW w:w="1134"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D5BB0" w:rsidRPr="00222917" w:rsidRDefault="002D5BB0" w:rsidP="003C751E">
            <w:pPr>
              <w:pStyle w:val="SingleTxtG"/>
              <w:suppressAutoHyphens w:val="0"/>
              <w:spacing w:before="80" w:after="80" w:line="200" w:lineRule="exact"/>
              <w:ind w:left="0" w:right="0"/>
              <w:jc w:val="right"/>
              <w:rPr>
                <w:i/>
                <w:sz w:val="16"/>
                <w:lang w:val="en-US"/>
              </w:rPr>
            </w:pPr>
            <w:r w:rsidRPr="00222917">
              <w:rPr>
                <w:bCs/>
                <w:i/>
                <w:sz w:val="16"/>
                <w:lang w:val="en-US"/>
              </w:rPr>
              <w:t>2008</w:t>
            </w:r>
          </w:p>
        </w:tc>
        <w:tc>
          <w:tcPr>
            <w:tcW w:w="1134"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D5BB0" w:rsidRPr="00222917" w:rsidRDefault="002D5BB0" w:rsidP="003C751E">
            <w:pPr>
              <w:pStyle w:val="SingleTxtG"/>
              <w:suppressAutoHyphens w:val="0"/>
              <w:spacing w:before="80" w:after="80" w:line="200" w:lineRule="exact"/>
              <w:ind w:left="0" w:right="0"/>
              <w:jc w:val="right"/>
              <w:rPr>
                <w:i/>
                <w:sz w:val="16"/>
                <w:lang w:val="en-US"/>
              </w:rPr>
            </w:pPr>
            <w:r w:rsidRPr="00222917">
              <w:rPr>
                <w:bCs/>
                <w:i/>
                <w:sz w:val="16"/>
                <w:lang w:val="en-US"/>
              </w:rPr>
              <w:t>2009</w:t>
            </w:r>
          </w:p>
        </w:tc>
        <w:tc>
          <w:tcPr>
            <w:tcW w:w="1134"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D5BB0" w:rsidRPr="00222917" w:rsidRDefault="002D5BB0" w:rsidP="003C751E">
            <w:pPr>
              <w:pStyle w:val="SingleTxtG"/>
              <w:suppressAutoHyphens w:val="0"/>
              <w:spacing w:before="80" w:after="80" w:line="200" w:lineRule="exact"/>
              <w:ind w:left="0" w:right="0"/>
              <w:jc w:val="right"/>
              <w:rPr>
                <w:i/>
                <w:sz w:val="16"/>
                <w:lang w:val="en-US"/>
              </w:rPr>
            </w:pPr>
            <w:r w:rsidRPr="00222917">
              <w:rPr>
                <w:bCs/>
                <w:i/>
                <w:sz w:val="16"/>
                <w:lang w:val="en-US"/>
              </w:rPr>
              <w:t>2010</w:t>
            </w:r>
          </w:p>
        </w:tc>
      </w:tr>
      <w:tr w:rsidR="008F6543" w:rsidRPr="00222917" w:rsidTr="00E7550D">
        <w:trPr>
          <w:trHeight w:val="240"/>
        </w:trPr>
        <w:tc>
          <w:tcPr>
            <w:tcW w:w="1701" w:type="dxa"/>
            <w:tcBorders>
              <w:top w:val="single" w:sz="12" w:space="0" w:color="auto"/>
            </w:tcBorders>
            <w:shd w:val="clear" w:color="auto" w:fill="auto"/>
            <w:tcMar>
              <w:top w:w="0" w:type="dxa"/>
              <w:left w:w="0" w:type="dxa"/>
              <w:bottom w:w="0" w:type="dxa"/>
              <w:right w:w="0" w:type="dxa"/>
            </w:tcMar>
          </w:tcPr>
          <w:p w:rsidR="002D5BB0" w:rsidRPr="00222917" w:rsidRDefault="002D5BB0" w:rsidP="003C751E">
            <w:pPr>
              <w:pStyle w:val="SingleTxtG"/>
              <w:suppressAutoHyphens w:val="0"/>
              <w:spacing w:before="40" w:after="40" w:line="220" w:lineRule="exact"/>
              <w:ind w:left="0" w:right="0"/>
              <w:jc w:val="left"/>
              <w:rPr>
                <w:sz w:val="18"/>
                <w:lang w:val="en-US"/>
              </w:rPr>
            </w:pPr>
            <w:r w:rsidRPr="00222917">
              <w:rPr>
                <w:sz w:val="18"/>
                <w:lang w:val="en-US"/>
              </w:rPr>
              <w:t>Korean Legal Aid Corporation</w:t>
            </w:r>
          </w:p>
        </w:tc>
        <w:tc>
          <w:tcPr>
            <w:tcW w:w="1134" w:type="dxa"/>
            <w:tcBorders>
              <w:top w:val="single" w:sz="12" w:space="0" w:color="auto"/>
            </w:tcBorders>
            <w:shd w:val="clear" w:color="auto" w:fill="auto"/>
            <w:tcMar>
              <w:top w:w="0" w:type="dxa"/>
              <w:left w:w="0" w:type="dxa"/>
              <w:bottom w:w="0" w:type="dxa"/>
              <w:right w:w="0" w:type="dxa"/>
            </w:tcMar>
            <w:vAlign w:val="bottom"/>
          </w:tcPr>
          <w:p w:rsidR="002D5BB0" w:rsidRPr="00222917" w:rsidRDefault="002D5BB0" w:rsidP="003C751E">
            <w:pPr>
              <w:pStyle w:val="SingleTxtG"/>
              <w:suppressAutoHyphens w:val="0"/>
              <w:spacing w:before="40" w:after="40" w:line="220" w:lineRule="exact"/>
              <w:ind w:left="0" w:right="0"/>
              <w:jc w:val="right"/>
              <w:rPr>
                <w:sz w:val="18"/>
                <w:lang w:val="en-US"/>
              </w:rPr>
            </w:pPr>
            <w:r w:rsidRPr="00222917">
              <w:rPr>
                <w:sz w:val="18"/>
                <w:lang w:val="en-US"/>
              </w:rPr>
              <w:t>22,224</w:t>
            </w:r>
          </w:p>
        </w:tc>
        <w:tc>
          <w:tcPr>
            <w:tcW w:w="1134" w:type="dxa"/>
            <w:tcBorders>
              <w:top w:val="single" w:sz="12" w:space="0" w:color="auto"/>
            </w:tcBorders>
            <w:shd w:val="clear" w:color="auto" w:fill="auto"/>
            <w:tcMar>
              <w:top w:w="0" w:type="dxa"/>
              <w:left w:w="0" w:type="dxa"/>
              <w:bottom w:w="0" w:type="dxa"/>
              <w:right w:w="0" w:type="dxa"/>
            </w:tcMar>
            <w:vAlign w:val="bottom"/>
          </w:tcPr>
          <w:p w:rsidR="002D5BB0" w:rsidRPr="00222917" w:rsidRDefault="002D5BB0" w:rsidP="003C751E">
            <w:pPr>
              <w:pStyle w:val="SingleTxtG"/>
              <w:suppressAutoHyphens w:val="0"/>
              <w:spacing w:before="40" w:after="40" w:line="220" w:lineRule="exact"/>
              <w:ind w:left="0" w:right="0"/>
              <w:jc w:val="right"/>
              <w:rPr>
                <w:sz w:val="18"/>
                <w:lang w:val="en-US"/>
              </w:rPr>
            </w:pPr>
            <w:r w:rsidRPr="00222917">
              <w:rPr>
                <w:sz w:val="18"/>
                <w:lang w:val="en-US"/>
              </w:rPr>
              <w:t>24,420</w:t>
            </w:r>
          </w:p>
        </w:tc>
        <w:tc>
          <w:tcPr>
            <w:tcW w:w="1134" w:type="dxa"/>
            <w:tcBorders>
              <w:top w:val="single" w:sz="12" w:space="0" w:color="auto"/>
            </w:tcBorders>
            <w:shd w:val="clear" w:color="auto" w:fill="auto"/>
            <w:tcMar>
              <w:top w:w="0" w:type="dxa"/>
              <w:left w:w="0" w:type="dxa"/>
              <w:bottom w:w="0" w:type="dxa"/>
              <w:right w:w="0" w:type="dxa"/>
            </w:tcMar>
            <w:vAlign w:val="bottom"/>
          </w:tcPr>
          <w:p w:rsidR="002D5BB0" w:rsidRPr="00222917" w:rsidRDefault="002D5BB0" w:rsidP="003C751E">
            <w:pPr>
              <w:pStyle w:val="SingleTxtG"/>
              <w:suppressAutoHyphens w:val="0"/>
              <w:spacing w:before="40" w:after="40" w:line="220" w:lineRule="exact"/>
              <w:ind w:left="0" w:right="0"/>
              <w:jc w:val="right"/>
              <w:rPr>
                <w:sz w:val="18"/>
                <w:lang w:val="en-US"/>
              </w:rPr>
            </w:pPr>
            <w:r w:rsidRPr="00222917">
              <w:rPr>
                <w:sz w:val="18"/>
                <w:lang w:val="en-US"/>
              </w:rPr>
              <w:t>26,039</w:t>
            </w:r>
          </w:p>
        </w:tc>
        <w:tc>
          <w:tcPr>
            <w:tcW w:w="1134" w:type="dxa"/>
            <w:tcBorders>
              <w:top w:val="single" w:sz="12" w:space="0" w:color="auto"/>
            </w:tcBorders>
            <w:shd w:val="clear" w:color="auto" w:fill="auto"/>
            <w:tcMar>
              <w:top w:w="0" w:type="dxa"/>
              <w:left w:w="0" w:type="dxa"/>
              <w:bottom w:w="0" w:type="dxa"/>
              <w:right w:w="0" w:type="dxa"/>
            </w:tcMar>
            <w:vAlign w:val="bottom"/>
          </w:tcPr>
          <w:p w:rsidR="002D5BB0" w:rsidRPr="00222917" w:rsidRDefault="002D5BB0" w:rsidP="003C751E">
            <w:pPr>
              <w:pStyle w:val="SingleTxtG"/>
              <w:suppressAutoHyphens w:val="0"/>
              <w:spacing w:before="40" w:after="40" w:line="220" w:lineRule="exact"/>
              <w:ind w:left="0" w:right="0"/>
              <w:jc w:val="right"/>
              <w:rPr>
                <w:sz w:val="18"/>
                <w:lang w:val="en-US"/>
              </w:rPr>
            </w:pPr>
            <w:r w:rsidRPr="00222917">
              <w:rPr>
                <w:sz w:val="18"/>
                <w:lang w:val="en-US"/>
              </w:rPr>
              <w:t>25,289</w:t>
            </w:r>
          </w:p>
        </w:tc>
        <w:tc>
          <w:tcPr>
            <w:tcW w:w="1134" w:type="dxa"/>
            <w:tcBorders>
              <w:top w:val="single" w:sz="12" w:space="0" w:color="auto"/>
            </w:tcBorders>
            <w:shd w:val="clear" w:color="auto" w:fill="auto"/>
            <w:tcMar>
              <w:top w:w="0" w:type="dxa"/>
              <w:left w:w="0" w:type="dxa"/>
              <w:bottom w:w="0" w:type="dxa"/>
              <w:right w:w="0" w:type="dxa"/>
            </w:tcMar>
            <w:vAlign w:val="bottom"/>
          </w:tcPr>
          <w:p w:rsidR="002D5BB0" w:rsidRPr="00222917" w:rsidRDefault="002D5BB0" w:rsidP="003C751E">
            <w:pPr>
              <w:pStyle w:val="SingleTxtG"/>
              <w:suppressAutoHyphens w:val="0"/>
              <w:spacing w:before="40" w:after="40" w:line="220" w:lineRule="exact"/>
              <w:ind w:left="0" w:right="0"/>
              <w:jc w:val="right"/>
              <w:rPr>
                <w:sz w:val="18"/>
                <w:lang w:val="en-US"/>
              </w:rPr>
            </w:pPr>
            <w:r w:rsidRPr="00222917">
              <w:rPr>
                <w:sz w:val="18"/>
                <w:lang w:val="en-US"/>
              </w:rPr>
              <w:t>26,273</w:t>
            </w:r>
          </w:p>
        </w:tc>
      </w:tr>
      <w:tr w:rsidR="008F6543" w:rsidRPr="00222917" w:rsidTr="00E7550D">
        <w:trPr>
          <w:trHeight w:val="240"/>
        </w:trPr>
        <w:tc>
          <w:tcPr>
            <w:tcW w:w="1701" w:type="dxa"/>
            <w:shd w:val="clear" w:color="auto" w:fill="auto"/>
            <w:tcMar>
              <w:top w:w="0" w:type="dxa"/>
              <w:left w:w="0" w:type="dxa"/>
              <w:bottom w:w="0" w:type="dxa"/>
              <w:right w:w="0" w:type="dxa"/>
            </w:tcMar>
          </w:tcPr>
          <w:p w:rsidR="002D5BB0" w:rsidRPr="00222917" w:rsidRDefault="002D5BB0" w:rsidP="003C751E">
            <w:pPr>
              <w:pStyle w:val="SingleTxtG"/>
              <w:suppressAutoHyphens w:val="0"/>
              <w:spacing w:before="40" w:after="40" w:line="220" w:lineRule="exact"/>
              <w:ind w:left="0" w:right="0"/>
              <w:jc w:val="left"/>
              <w:rPr>
                <w:sz w:val="18"/>
                <w:lang w:val="en-US"/>
              </w:rPr>
            </w:pPr>
            <w:smartTag w:uri="urn:schemas-microsoft-com:office:smarttags" w:element="place">
              <w:smartTag w:uri="urn:schemas-microsoft-com:office:smarttags" w:element="PlaceName">
                <w:r w:rsidRPr="00222917">
                  <w:rPr>
                    <w:sz w:val="18"/>
                    <w:lang w:val="en-US"/>
                  </w:rPr>
                  <w:t>Korea</w:t>
                </w:r>
              </w:smartTag>
              <w:r w:rsidRPr="00222917">
                <w:rPr>
                  <w:sz w:val="18"/>
                  <w:lang w:val="en-US"/>
                </w:rPr>
                <w:t xml:space="preserve"> </w:t>
              </w:r>
              <w:smartTag w:uri="urn:schemas-microsoft-com:office:smarttags" w:element="PlaceName">
                <w:r w:rsidRPr="00222917">
                  <w:rPr>
                    <w:sz w:val="18"/>
                    <w:lang w:val="en-US"/>
                  </w:rPr>
                  <w:t>Legal</w:t>
                </w:r>
              </w:smartTag>
              <w:r w:rsidRPr="00222917">
                <w:rPr>
                  <w:sz w:val="18"/>
                  <w:lang w:val="en-US"/>
                </w:rPr>
                <w:t xml:space="preserve"> </w:t>
              </w:r>
              <w:smartTag w:uri="urn:schemas-microsoft-com:office:smarttags" w:element="PlaceName">
                <w:r w:rsidRPr="00222917">
                  <w:rPr>
                    <w:sz w:val="18"/>
                    <w:lang w:val="en-US"/>
                  </w:rPr>
                  <w:t>Aid</w:t>
                </w:r>
              </w:smartTag>
              <w:r w:rsidRPr="00222917">
                <w:rPr>
                  <w:sz w:val="18"/>
                  <w:lang w:val="en-US"/>
                </w:rPr>
                <w:t xml:space="preserve"> </w:t>
              </w:r>
              <w:smartTag w:uri="urn:schemas-microsoft-com:office:smarttags" w:element="PlaceType">
                <w:r w:rsidRPr="00222917">
                  <w:rPr>
                    <w:sz w:val="18"/>
                    <w:lang w:val="en-US"/>
                  </w:rPr>
                  <w:t>Center</w:t>
                </w:r>
              </w:smartTag>
            </w:smartTag>
            <w:r w:rsidRPr="00222917">
              <w:rPr>
                <w:sz w:val="18"/>
                <w:lang w:val="en-US"/>
              </w:rPr>
              <w:t xml:space="preserve"> for Family Relations</w:t>
            </w:r>
          </w:p>
        </w:tc>
        <w:tc>
          <w:tcPr>
            <w:tcW w:w="1134" w:type="dxa"/>
            <w:shd w:val="clear" w:color="auto" w:fill="auto"/>
            <w:tcMar>
              <w:top w:w="0" w:type="dxa"/>
              <w:left w:w="0" w:type="dxa"/>
              <w:bottom w:w="0" w:type="dxa"/>
              <w:right w:w="0" w:type="dxa"/>
            </w:tcMar>
            <w:vAlign w:val="bottom"/>
          </w:tcPr>
          <w:p w:rsidR="002D5BB0" w:rsidRPr="00222917" w:rsidRDefault="002D5BB0" w:rsidP="003C751E">
            <w:pPr>
              <w:pStyle w:val="SingleTxtG"/>
              <w:suppressAutoHyphens w:val="0"/>
              <w:spacing w:before="40" w:after="40" w:line="220" w:lineRule="exact"/>
              <w:ind w:left="0" w:right="0"/>
              <w:jc w:val="right"/>
              <w:rPr>
                <w:sz w:val="18"/>
                <w:lang w:val="en-US"/>
              </w:rPr>
            </w:pPr>
            <w:r w:rsidRPr="00222917">
              <w:rPr>
                <w:sz w:val="18"/>
                <w:lang w:val="en-US"/>
              </w:rPr>
              <w:t>836</w:t>
            </w:r>
          </w:p>
        </w:tc>
        <w:tc>
          <w:tcPr>
            <w:tcW w:w="1134" w:type="dxa"/>
            <w:shd w:val="clear" w:color="auto" w:fill="auto"/>
            <w:tcMar>
              <w:top w:w="0" w:type="dxa"/>
              <w:left w:w="0" w:type="dxa"/>
              <w:bottom w:w="0" w:type="dxa"/>
              <w:right w:w="0" w:type="dxa"/>
            </w:tcMar>
            <w:vAlign w:val="bottom"/>
          </w:tcPr>
          <w:p w:rsidR="002D5BB0" w:rsidRPr="00222917" w:rsidRDefault="002D5BB0" w:rsidP="003C751E">
            <w:pPr>
              <w:pStyle w:val="SingleTxtG"/>
              <w:suppressAutoHyphens w:val="0"/>
              <w:spacing w:before="40" w:after="40" w:line="220" w:lineRule="exact"/>
              <w:ind w:left="0" w:right="0"/>
              <w:jc w:val="right"/>
              <w:rPr>
                <w:sz w:val="18"/>
                <w:lang w:val="en-US"/>
              </w:rPr>
            </w:pPr>
            <w:r w:rsidRPr="00222917">
              <w:rPr>
                <w:sz w:val="18"/>
                <w:lang w:val="en-US"/>
              </w:rPr>
              <w:t>957</w:t>
            </w:r>
          </w:p>
        </w:tc>
        <w:tc>
          <w:tcPr>
            <w:tcW w:w="1134" w:type="dxa"/>
            <w:shd w:val="clear" w:color="auto" w:fill="auto"/>
            <w:tcMar>
              <w:top w:w="0" w:type="dxa"/>
              <w:left w:w="0" w:type="dxa"/>
              <w:bottom w:w="0" w:type="dxa"/>
              <w:right w:w="0" w:type="dxa"/>
            </w:tcMar>
            <w:vAlign w:val="bottom"/>
          </w:tcPr>
          <w:p w:rsidR="002D5BB0" w:rsidRPr="00222917" w:rsidRDefault="002D5BB0" w:rsidP="003C751E">
            <w:pPr>
              <w:pStyle w:val="SingleTxtG"/>
              <w:suppressAutoHyphens w:val="0"/>
              <w:spacing w:before="40" w:after="40" w:line="220" w:lineRule="exact"/>
              <w:ind w:left="0" w:right="0"/>
              <w:jc w:val="right"/>
              <w:rPr>
                <w:sz w:val="18"/>
                <w:lang w:val="en-US"/>
              </w:rPr>
            </w:pPr>
            <w:r w:rsidRPr="00222917">
              <w:rPr>
                <w:sz w:val="18"/>
                <w:lang w:val="en-US"/>
              </w:rPr>
              <w:t>1,057</w:t>
            </w:r>
          </w:p>
        </w:tc>
        <w:tc>
          <w:tcPr>
            <w:tcW w:w="1134" w:type="dxa"/>
            <w:shd w:val="clear" w:color="auto" w:fill="auto"/>
            <w:tcMar>
              <w:top w:w="0" w:type="dxa"/>
              <w:left w:w="0" w:type="dxa"/>
              <w:bottom w:w="0" w:type="dxa"/>
              <w:right w:w="0" w:type="dxa"/>
            </w:tcMar>
            <w:vAlign w:val="bottom"/>
          </w:tcPr>
          <w:p w:rsidR="002D5BB0" w:rsidRPr="00222917" w:rsidRDefault="002D5BB0" w:rsidP="003C751E">
            <w:pPr>
              <w:pStyle w:val="SingleTxtG"/>
              <w:suppressAutoHyphens w:val="0"/>
              <w:spacing w:before="40" w:after="40" w:line="220" w:lineRule="exact"/>
              <w:ind w:left="0" w:right="0"/>
              <w:jc w:val="right"/>
              <w:rPr>
                <w:sz w:val="18"/>
                <w:lang w:val="en-US"/>
              </w:rPr>
            </w:pPr>
            <w:r w:rsidRPr="00222917">
              <w:rPr>
                <w:sz w:val="18"/>
                <w:lang w:val="en-US"/>
              </w:rPr>
              <w:t>1,057</w:t>
            </w:r>
          </w:p>
        </w:tc>
        <w:tc>
          <w:tcPr>
            <w:tcW w:w="1134" w:type="dxa"/>
            <w:shd w:val="clear" w:color="auto" w:fill="auto"/>
            <w:tcMar>
              <w:top w:w="0" w:type="dxa"/>
              <w:left w:w="0" w:type="dxa"/>
              <w:bottom w:w="0" w:type="dxa"/>
              <w:right w:w="0" w:type="dxa"/>
            </w:tcMar>
            <w:vAlign w:val="bottom"/>
          </w:tcPr>
          <w:p w:rsidR="002D5BB0" w:rsidRPr="00222917" w:rsidRDefault="002D5BB0" w:rsidP="003C751E">
            <w:pPr>
              <w:pStyle w:val="SingleTxtG"/>
              <w:suppressAutoHyphens w:val="0"/>
              <w:spacing w:before="40" w:after="40" w:line="220" w:lineRule="exact"/>
              <w:ind w:left="0" w:right="0"/>
              <w:jc w:val="right"/>
              <w:rPr>
                <w:sz w:val="18"/>
                <w:lang w:val="en-US"/>
              </w:rPr>
            </w:pPr>
            <w:r w:rsidRPr="00222917">
              <w:rPr>
                <w:sz w:val="18"/>
                <w:lang w:val="en-US"/>
              </w:rPr>
              <w:t>1,168</w:t>
            </w:r>
          </w:p>
        </w:tc>
      </w:tr>
      <w:tr w:rsidR="008F6543" w:rsidRPr="00222917" w:rsidTr="00E7550D">
        <w:trPr>
          <w:trHeight w:val="240"/>
        </w:trPr>
        <w:tc>
          <w:tcPr>
            <w:tcW w:w="1701" w:type="dxa"/>
            <w:tcBorders>
              <w:bottom w:val="single" w:sz="12" w:space="0" w:color="auto"/>
            </w:tcBorders>
            <w:shd w:val="clear" w:color="auto" w:fill="auto"/>
            <w:tcMar>
              <w:top w:w="0" w:type="dxa"/>
              <w:left w:w="0" w:type="dxa"/>
              <w:bottom w:w="0" w:type="dxa"/>
              <w:right w:w="0" w:type="dxa"/>
            </w:tcMar>
          </w:tcPr>
          <w:p w:rsidR="002D5BB0" w:rsidRPr="00222917" w:rsidRDefault="002D5BB0" w:rsidP="003C751E">
            <w:pPr>
              <w:pStyle w:val="SingleTxtG"/>
              <w:suppressAutoHyphens w:val="0"/>
              <w:spacing w:before="40" w:after="40" w:line="220" w:lineRule="exact"/>
              <w:ind w:left="0" w:right="0"/>
              <w:jc w:val="left"/>
              <w:rPr>
                <w:sz w:val="18"/>
                <w:lang w:val="en-US"/>
              </w:rPr>
            </w:pPr>
            <w:smartTag w:uri="urn:schemas-microsoft-com:office:smarttags" w:element="place">
              <w:smartTag w:uri="urn:schemas-microsoft-com:office:smarttags" w:element="PlaceName">
                <w:r w:rsidRPr="00222917">
                  <w:rPr>
                    <w:sz w:val="18"/>
                    <w:lang w:val="en-US"/>
                  </w:rPr>
                  <w:t>Korea</w:t>
                </w:r>
              </w:smartTag>
              <w:r w:rsidRPr="00222917">
                <w:rPr>
                  <w:sz w:val="18"/>
                  <w:lang w:val="en-US"/>
                </w:rPr>
                <w:t xml:space="preserve"> </w:t>
              </w:r>
              <w:smartTag w:uri="urn:schemas-microsoft-com:office:smarttags" w:element="PlaceName">
                <w:r w:rsidRPr="00222917">
                  <w:rPr>
                    <w:sz w:val="18"/>
                    <w:lang w:val="en-US"/>
                  </w:rPr>
                  <w:t>Family</w:t>
                </w:r>
              </w:smartTag>
              <w:r w:rsidRPr="00222917">
                <w:rPr>
                  <w:sz w:val="18"/>
                  <w:lang w:val="en-US"/>
                </w:rPr>
                <w:t xml:space="preserve"> </w:t>
              </w:r>
              <w:smartTag w:uri="urn:schemas-microsoft-com:office:smarttags" w:element="PlaceName">
                <w:r w:rsidRPr="00222917">
                  <w:rPr>
                    <w:sz w:val="18"/>
                    <w:lang w:val="en-US"/>
                  </w:rPr>
                  <w:t>Legal</w:t>
                </w:r>
              </w:smartTag>
              <w:r w:rsidRPr="00222917">
                <w:rPr>
                  <w:sz w:val="18"/>
                  <w:lang w:val="en-US"/>
                </w:rPr>
                <w:t xml:space="preserve"> </w:t>
              </w:r>
              <w:smartTag w:uri="urn:schemas-microsoft-com:office:smarttags" w:element="PlaceName">
                <w:r w:rsidRPr="00222917">
                  <w:rPr>
                    <w:sz w:val="18"/>
                    <w:lang w:val="en-US"/>
                  </w:rPr>
                  <w:t>Service</w:t>
                </w:r>
              </w:smartTag>
              <w:r w:rsidRPr="00222917">
                <w:rPr>
                  <w:sz w:val="18"/>
                  <w:lang w:val="en-US"/>
                </w:rPr>
                <w:t xml:space="preserve"> </w:t>
              </w:r>
              <w:smartTag w:uri="urn:schemas-microsoft-com:office:smarttags" w:element="PlaceType">
                <w:r w:rsidRPr="00222917">
                  <w:rPr>
                    <w:sz w:val="18"/>
                    <w:lang w:val="en-US"/>
                  </w:rPr>
                  <w:t>Center</w:t>
                </w:r>
              </w:smartTag>
            </w:smartTag>
          </w:p>
        </w:tc>
        <w:tc>
          <w:tcPr>
            <w:tcW w:w="1134" w:type="dxa"/>
            <w:tcBorders>
              <w:bottom w:val="single" w:sz="12" w:space="0" w:color="auto"/>
            </w:tcBorders>
            <w:shd w:val="clear" w:color="auto" w:fill="auto"/>
            <w:tcMar>
              <w:top w:w="0" w:type="dxa"/>
              <w:left w:w="0" w:type="dxa"/>
              <w:bottom w:w="0" w:type="dxa"/>
              <w:right w:w="0" w:type="dxa"/>
            </w:tcMar>
            <w:vAlign w:val="bottom"/>
          </w:tcPr>
          <w:p w:rsidR="002D5BB0" w:rsidRPr="00222917" w:rsidRDefault="002D5BB0" w:rsidP="003C751E">
            <w:pPr>
              <w:pStyle w:val="SingleTxtG"/>
              <w:suppressAutoHyphens w:val="0"/>
              <w:spacing w:before="40" w:after="40" w:line="220" w:lineRule="exact"/>
              <w:ind w:left="0" w:right="0"/>
              <w:jc w:val="right"/>
              <w:rPr>
                <w:sz w:val="18"/>
                <w:lang w:val="en-US"/>
              </w:rPr>
            </w:pPr>
            <w:r w:rsidRPr="00222917">
              <w:rPr>
                <w:sz w:val="18"/>
                <w:lang w:val="en-US"/>
              </w:rPr>
              <w:t>-</w:t>
            </w:r>
          </w:p>
        </w:tc>
        <w:tc>
          <w:tcPr>
            <w:tcW w:w="1134" w:type="dxa"/>
            <w:tcBorders>
              <w:bottom w:val="single" w:sz="12" w:space="0" w:color="auto"/>
            </w:tcBorders>
            <w:shd w:val="clear" w:color="auto" w:fill="auto"/>
            <w:tcMar>
              <w:top w:w="0" w:type="dxa"/>
              <w:left w:w="0" w:type="dxa"/>
              <w:bottom w:w="0" w:type="dxa"/>
              <w:right w:w="0" w:type="dxa"/>
            </w:tcMar>
            <w:vAlign w:val="bottom"/>
          </w:tcPr>
          <w:p w:rsidR="002D5BB0" w:rsidRPr="00222917" w:rsidRDefault="002D5BB0" w:rsidP="003C751E">
            <w:pPr>
              <w:pStyle w:val="SingleTxtG"/>
              <w:suppressAutoHyphens w:val="0"/>
              <w:spacing w:before="40" w:after="40" w:line="220" w:lineRule="exact"/>
              <w:ind w:left="0" w:right="0"/>
              <w:jc w:val="right"/>
              <w:rPr>
                <w:sz w:val="18"/>
                <w:lang w:val="en-US"/>
              </w:rPr>
            </w:pPr>
            <w:r w:rsidRPr="00222917">
              <w:rPr>
                <w:sz w:val="18"/>
                <w:lang w:val="en-US"/>
              </w:rPr>
              <w:t>-</w:t>
            </w:r>
          </w:p>
        </w:tc>
        <w:tc>
          <w:tcPr>
            <w:tcW w:w="1134" w:type="dxa"/>
            <w:tcBorders>
              <w:bottom w:val="single" w:sz="12" w:space="0" w:color="auto"/>
            </w:tcBorders>
            <w:shd w:val="clear" w:color="auto" w:fill="auto"/>
            <w:tcMar>
              <w:top w:w="0" w:type="dxa"/>
              <w:left w:w="0" w:type="dxa"/>
              <w:bottom w:w="0" w:type="dxa"/>
              <w:right w:w="0" w:type="dxa"/>
            </w:tcMar>
            <w:vAlign w:val="bottom"/>
          </w:tcPr>
          <w:p w:rsidR="002D5BB0" w:rsidRPr="00222917" w:rsidRDefault="002D5BB0" w:rsidP="003C751E">
            <w:pPr>
              <w:pStyle w:val="SingleTxtG"/>
              <w:suppressAutoHyphens w:val="0"/>
              <w:spacing w:before="40" w:after="40" w:line="220" w:lineRule="exact"/>
              <w:ind w:left="0" w:right="0"/>
              <w:jc w:val="right"/>
              <w:rPr>
                <w:sz w:val="18"/>
                <w:lang w:val="en-US"/>
              </w:rPr>
            </w:pPr>
            <w:r w:rsidRPr="00222917">
              <w:rPr>
                <w:sz w:val="18"/>
                <w:lang w:val="en-US"/>
              </w:rPr>
              <w:t>50</w:t>
            </w:r>
          </w:p>
        </w:tc>
        <w:tc>
          <w:tcPr>
            <w:tcW w:w="1134" w:type="dxa"/>
            <w:tcBorders>
              <w:bottom w:val="single" w:sz="12" w:space="0" w:color="auto"/>
            </w:tcBorders>
            <w:shd w:val="clear" w:color="auto" w:fill="auto"/>
            <w:tcMar>
              <w:top w:w="0" w:type="dxa"/>
              <w:left w:w="0" w:type="dxa"/>
              <w:bottom w:w="0" w:type="dxa"/>
              <w:right w:w="0" w:type="dxa"/>
            </w:tcMar>
            <w:vAlign w:val="bottom"/>
          </w:tcPr>
          <w:p w:rsidR="002D5BB0" w:rsidRPr="00222917" w:rsidRDefault="002D5BB0" w:rsidP="003C751E">
            <w:pPr>
              <w:pStyle w:val="SingleTxtG"/>
              <w:suppressAutoHyphens w:val="0"/>
              <w:spacing w:before="40" w:after="40" w:line="220" w:lineRule="exact"/>
              <w:ind w:left="0" w:right="0"/>
              <w:jc w:val="right"/>
              <w:rPr>
                <w:sz w:val="18"/>
                <w:lang w:val="en-US"/>
              </w:rPr>
            </w:pPr>
            <w:r w:rsidRPr="00222917">
              <w:rPr>
                <w:sz w:val="18"/>
                <w:lang w:val="en-US"/>
              </w:rPr>
              <w:t>54</w:t>
            </w:r>
          </w:p>
        </w:tc>
        <w:tc>
          <w:tcPr>
            <w:tcW w:w="1134" w:type="dxa"/>
            <w:tcBorders>
              <w:bottom w:val="single" w:sz="12" w:space="0" w:color="auto"/>
            </w:tcBorders>
            <w:shd w:val="clear" w:color="auto" w:fill="auto"/>
            <w:tcMar>
              <w:top w:w="0" w:type="dxa"/>
              <w:left w:w="0" w:type="dxa"/>
              <w:bottom w:w="0" w:type="dxa"/>
              <w:right w:w="0" w:type="dxa"/>
            </w:tcMar>
            <w:vAlign w:val="bottom"/>
          </w:tcPr>
          <w:p w:rsidR="002D5BB0" w:rsidRPr="00222917" w:rsidRDefault="002D5BB0" w:rsidP="003C751E">
            <w:pPr>
              <w:pStyle w:val="SingleTxtG"/>
              <w:suppressAutoHyphens w:val="0"/>
              <w:spacing w:before="40" w:after="40" w:line="220" w:lineRule="exact"/>
              <w:ind w:left="0" w:right="0"/>
              <w:jc w:val="right"/>
              <w:rPr>
                <w:sz w:val="18"/>
                <w:lang w:val="en-US"/>
              </w:rPr>
            </w:pPr>
            <w:r w:rsidRPr="00222917">
              <w:rPr>
                <w:sz w:val="18"/>
                <w:lang w:val="en-US"/>
              </w:rPr>
              <w:t>59</w:t>
            </w:r>
          </w:p>
        </w:tc>
      </w:tr>
    </w:tbl>
    <w:p w:rsidR="002D5BB0" w:rsidRPr="00222917" w:rsidRDefault="00547908" w:rsidP="00547908">
      <w:pPr>
        <w:pStyle w:val="SingleTxtG"/>
        <w:spacing w:before="240"/>
        <w:rPr>
          <w:lang w:val="en-US"/>
        </w:rPr>
      </w:pPr>
      <w:r w:rsidRPr="00222917">
        <w:rPr>
          <w:lang w:val="en-US"/>
        </w:rPr>
        <w:t>230.</w:t>
      </w:r>
      <w:r w:rsidRPr="00222917">
        <w:rPr>
          <w:lang w:val="en-US"/>
        </w:rPr>
        <w:tab/>
      </w:r>
      <w:r w:rsidR="002D5BB0" w:rsidRPr="00222917">
        <w:rPr>
          <w:lang w:val="en-US"/>
        </w:rPr>
        <w:t xml:space="preserve">A public-service advocate is a person holding a practicing certificate who is drafted as a public service worker and ordered to serve in legal aid services or related affairs such as government litigation instead of a mandatory stint in the armed forces under the </w:t>
      </w:r>
      <w:r w:rsidR="002D5BB0" w:rsidRPr="00222917">
        <w:rPr>
          <w:iCs/>
          <w:lang w:val="en-US"/>
        </w:rPr>
        <w:t xml:space="preserve">Public-Service Advocates Act </w:t>
      </w:r>
      <w:r w:rsidR="00A94611" w:rsidRPr="00222917">
        <w:rPr>
          <w:lang w:val="en-US"/>
        </w:rPr>
        <w:t>(</w:t>
      </w:r>
      <w:r w:rsidR="00BF3911" w:rsidRPr="00222917">
        <w:rPr>
          <w:lang w:val="en-US"/>
        </w:rPr>
        <w:t>a</w:t>
      </w:r>
      <w:r w:rsidR="00A94611" w:rsidRPr="00222917">
        <w:rPr>
          <w:lang w:val="en-US"/>
        </w:rPr>
        <w:t>rticle </w:t>
      </w:r>
      <w:r w:rsidR="002D5BB0" w:rsidRPr="00222917">
        <w:rPr>
          <w:lang w:val="en-US"/>
        </w:rPr>
        <w:t xml:space="preserve">2). </w:t>
      </w:r>
      <w:r w:rsidR="002D5BB0" w:rsidRPr="00222917">
        <w:rPr>
          <w:bCs/>
          <w:lang w:val="en-US"/>
        </w:rPr>
        <w:t>Public</w:t>
      </w:r>
      <w:r w:rsidR="002D5BB0" w:rsidRPr="00222917">
        <w:rPr>
          <w:lang w:val="en-US"/>
        </w:rPr>
        <w:t>-service advocates handle legal affairs such as legal counseling and legal representation for those who cannot afford to have legal protection due to their financial difficulties or ignorance of law at the Korean</w:t>
      </w:r>
      <w:r w:rsidR="00A94611" w:rsidRPr="00222917">
        <w:rPr>
          <w:lang w:val="en-US"/>
        </w:rPr>
        <w:t xml:space="preserve"> Legal Aid Corporation (</w:t>
      </w:r>
      <w:r w:rsidR="00BF3911" w:rsidRPr="00222917">
        <w:rPr>
          <w:lang w:val="en-US"/>
        </w:rPr>
        <w:t>a</w:t>
      </w:r>
      <w:r w:rsidR="00A94611" w:rsidRPr="00222917">
        <w:rPr>
          <w:lang w:val="en-US"/>
        </w:rPr>
        <w:t>rticle </w:t>
      </w:r>
      <w:r w:rsidR="002D5BB0" w:rsidRPr="00222917">
        <w:rPr>
          <w:lang w:val="en-US"/>
        </w:rPr>
        <w:t xml:space="preserve">2). </w:t>
      </w:r>
    </w:p>
    <w:p w:rsidR="002D5BB0" w:rsidRPr="00222917" w:rsidRDefault="00794B5A" w:rsidP="00794B5A">
      <w:pPr>
        <w:pStyle w:val="H23G"/>
        <w:rPr>
          <w:lang w:val="en-US"/>
        </w:rPr>
      </w:pPr>
      <w:r w:rsidRPr="00222917">
        <w:rPr>
          <w:lang w:val="en-US"/>
        </w:rPr>
        <w:tab/>
      </w:r>
      <w:r w:rsidRPr="00222917">
        <w:rPr>
          <w:lang w:val="en-US"/>
        </w:rPr>
        <w:tab/>
      </w:r>
      <w:r w:rsidR="002D5BB0" w:rsidRPr="00222917">
        <w:rPr>
          <w:lang w:val="en-US"/>
        </w:rPr>
        <w:t>Legal Aid by Public-Service Advocates</w:t>
      </w:r>
    </w:p>
    <w:tbl>
      <w:tblPr>
        <w:tblW w:w="0" w:type="auto"/>
        <w:tblInd w:w="1134" w:type="dxa"/>
        <w:tblBorders>
          <w:top w:val="single" w:sz="4" w:space="0" w:color="auto"/>
        </w:tblBorders>
        <w:tblLayout w:type="fixed"/>
        <w:tblCellMar>
          <w:left w:w="0" w:type="dxa"/>
          <w:right w:w="0" w:type="dxa"/>
        </w:tblCellMar>
        <w:tblLook w:val="00A0"/>
      </w:tblPr>
      <w:tblGrid>
        <w:gridCol w:w="1134"/>
        <w:gridCol w:w="1247"/>
        <w:gridCol w:w="1247"/>
        <w:gridCol w:w="1247"/>
        <w:gridCol w:w="1247"/>
        <w:gridCol w:w="1247"/>
      </w:tblGrid>
      <w:tr w:rsidR="008F6543" w:rsidRPr="00222917" w:rsidTr="00E7550D">
        <w:trPr>
          <w:trHeight w:val="240"/>
          <w:tblHeader/>
        </w:trPr>
        <w:tc>
          <w:tcPr>
            <w:tcW w:w="1134"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D5BB0" w:rsidRPr="00222917" w:rsidRDefault="002D5BB0" w:rsidP="004A7217">
            <w:pPr>
              <w:pStyle w:val="SingleTxtG"/>
              <w:suppressAutoHyphens w:val="0"/>
              <w:spacing w:before="80" w:after="80" w:line="200" w:lineRule="exact"/>
              <w:ind w:left="0" w:right="0"/>
              <w:jc w:val="left"/>
              <w:rPr>
                <w:i/>
                <w:sz w:val="16"/>
                <w:lang w:val="en-US"/>
              </w:rPr>
            </w:pPr>
            <w:r w:rsidRPr="00222917">
              <w:rPr>
                <w:bCs/>
                <w:i/>
                <w:sz w:val="16"/>
                <w:lang w:val="en-US"/>
              </w:rPr>
              <w:t>Year</w:t>
            </w:r>
          </w:p>
        </w:tc>
        <w:tc>
          <w:tcPr>
            <w:tcW w:w="1247"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D5BB0" w:rsidRPr="00222917" w:rsidRDefault="002D5BB0" w:rsidP="004A7217">
            <w:pPr>
              <w:pStyle w:val="SingleTxtG"/>
              <w:suppressAutoHyphens w:val="0"/>
              <w:spacing w:before="80" w:after="80" w:line="200" w:lineRule="exact"/>
              <w:ind w:left="0" w:right="0"/>
              <w:jc w:val="right"/>
              <w:rPr>
                <w:i/>
                <w:sz w:val="16"/>
                <w:lang w:val="en-US"/>
              </w:rPr>
            </w:pPr>
            <w:r w:rsidRPr="00222917">
              <w:rPr>
                <w:bCs/>
                <w:i/>
                <w:sz w:val="16"/>
                <w:lang w:val="en-US"/>
              </w:rPr>
              <w:t>Number of public-service advocates</w:t>
            </w:r>
          </w:p>
        </w:tc>
        <w:tc>
          <w:tcPr>
            <w:tcW w:w="1247"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D5BB0" w:rsidRPr="00222917" w:rsidRDefault="002D5BB0" w:rsidP="004A7217">
            <w:pPr>
              <w:pStyle w:val="SingleTxtG"/>
              <w:suppressAutoHyphens w:val="0"/>
              <w:spacing w:before="80" w:after="80" w:line="200" w:lineRule="exact"/>
              <w:ind w:left="0" w:right="0"/>
              <w:jc w:val="right"/>
              <w:rPr>
                <w:i/>
                <w:sz w:val="16"/>
                <w:lang w:val="en-US"/>
              </w:rPr>
            </w:pPr>
            <w:r w:rsidRPr="00222917">
              <w:rPr>
                <w:bCs/>
                <w:i/>
                <w:sz w:val="16"/>
                <w:lang w:val="en-US"/>
              </w:rPr>
              <w:t>Aid for civil/family litigations</w:t>
            </w:r>
            <w:r w:rsidRPr="00222917">
              <w:rPr>
                <w:i/>
                <w:sz w:val="16"/>
                <w:lang w:val="en-US"/>
              </w:rPr>
              <w:t xml:space="preserve"> (number of cases)</w:t>
            </w:r>
          </w:p>
        </w:tc>
        <w:tc>
          <w:tcPr>
            <w:tcW w:w="1247"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D5BB0" w:rsidRPr="00222917" w:rsidRDefault="002D5BB0" w:rsidP="00204FF1">
            <w:pPr>
              <w:pStyle w:val="SingleTxtG"/>
              <w:suppressAutoHyphens w:val="0"/>
              <w:spacing w:before="80" w:after="80" w:line="200" w:lineRule="exact"/>
              <w:ind w:left="0" w:right="0"/>
              <w:jc w:val="right"/>
              <w:rPr>
                <w:i/>
                <w:sz w:val="16"/>
                <w:lang w:val="en-US"/>
              </w:rPr>
            </w:pPr>
            <w:r w:rsidRPr="00222917">
              <w:rPr>
                <w:bCs/>
                <w:i/>
                <w:sz w:val="16"/>
                <w:lang w:val="en-US"/>
              </w:rPr>
              <w:t>Defense in criminal cases</w:t>
            </w:r>
            <w:r w:rsidR="00204FF1" w:rsidRPr="00222917">
              <w:rPr>
                <w:bCs/>
                <w:i/>
                <w:sz w:val="16"/>
                <w:lang w:val="en-US"/>
              </w:rPr>
              <w:br/>
            </w:r>
            <w:r w:rsidRPr="00222917">
              <w:rPr>
                <w:i/>
                <w:sz w:val="16"/>
                <w:lang w:val="en-US"/>
              </w:rPr>
              <w:t>(number of cases)</w:t>
            </w:r>
          </w:p>
        </w:tc>
        <w:tc>
          <w:tcPr>
            <w:tcW w:w="1247"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D5BB0" w:rsidRPr="00222917" w:rsidRDefault="002D5BB0" w:rsidP="00204FF1">
            <w:pPr>
              <w:pStyle w:val="SingleTxtG"/>
              <w:suppressAutoHyphens w:val="0"/>
              <w:spacing w:before="80" w:after="80" w:line="200" w:lineRule="exact"/>
              <w:ind w:left="0" w:right="0"/>
              <w:jc w:val="right"/>
              <w:rPr>
                <w:i/>
                <w:sz w:val="16"/>
                <w:lang w:val="en-US"/>
              </w:rPr>
            </w:pPr>
            <w:r w:rsidRPr="00222917">
              <w:rPr>
                <w:bCs/>
                <w:i/>
                <w:sz w:val="16"/>
                <w:lang w:val="en-US"/>
              </w:rPr>
              <w:t>Legal counseling</w:t>
            </w:r>
            <w:r w:rsidR="00204FF1" w:rsidRPr="00222917">
              <w:rPr>
                <w:bCs/>
                <w:i/>
                <w:sz w:val="16"/>
                <w:lang w:val="en-US"/>
              </w:rPr>
              <w:br/>
            </w:r>
            <w:r w:rsidRPr="00222917">
              <w:rPr>
                <w:i/>
                <w:sz w:val="16"/>
                <w:lang w:val="en-US"/>
              </w:rPr>
              <w:t>(number of cases)</w:t>
            </w:r>
          </w:p>
        </w:tc>
        <w:tc>
          <w:tcPr>
            <w:tcW w:w="1247"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D5BB0" w:rsidRPr="00222917" w:rsidRDefault="002D5BB0" w:rsidP="00204FF1">
            <w:pPr>
              <w:pStyle w:val="SingleTxtG"/>
              <w:suppressAutoHyphens w:val="0"/>
              <w:spacing w:before="80" w:after="80" w:line="200" w:lineRule="exact"/>
              <w:ind w:left="0" w:right="0"/>
              <w:jc w:val="right"/>
              <w:rPr>
                <w:i/>
                <w:sz w:val="16"/>
                <w:lang w:val="en-US"/>
              </w:rPr>
            </w:pPr>
            <w:r w:rsidRPr="00222917">
              <w:rPr>
                <w:bCs/>
                <w:i/>
                <w:sz w:val="16"/>
                <w:lang w:val="en-US"/>
              </w:rPr>
              <w:t>Lecture for basic legal knowledge</w:t>
            </w:r>
            <w:r w:rsidR="00204FF1" w:rsidRPr="00222917">
              <w:rPr>
                <w:bCs/>
                <w:i/>
                <w:sz w:val="16"/>
                <w:lang w:val="en-US"/>
              </w:rPr>
              <w:br/>
            </w:r>
            <w:r w:rsidRPr="00222917">
              <w:rPr>
                <w:i/>
                <w:sz w:val="16"/>
                <w:lang w:val="en-US"/>
              </w:rPr>
              <w:t>(times)</w:t>
            </w:r>
          </w:p>
        </w:tc>
      </w:tr>
      <w:tr w:rsidR="008F6543" w:rsidRPr="00222917" w:rsidTr="00E7550D">
        <w:trPr>
          <w:trHeight w:val="240"/>
        </w:trPr>
        <w:tc>
          <w:tcPr>
            <w:tcW w:w="1134" w:type="dxa"/>
            <w:tcBorders>
              <w:top w:val="single" w:sz="12" w:space="0" w:color="auto"/>
            </w:tcBorders>
            <w:shd w:val="clear" w:color="auto" w:fill="auto"/>
            <w:tcMar>
              <w:top w:w="0" w:type="dxa"/>
              <w:left w:w="0" w:type="dxa"/>
              <w:bottom w:w="0" w:type="dxa"/>
              <w:right w:w="0" w:type="dxa"/>
            </w:tcMar>
          </w:tcPr>
          <w:p w:rsidR="002D5BB0" w:rsidRPr="00222917" w:rsidRDefault="002D5BB0" w:rsidP="004A7217">
            <w:pPr>
              <w:pStyle w:val="SingleTxtG"/>
              <w:suppressAutoHyphens w:val="0"/>
              <w:spacing w:before="40" w:after="40" w:line="220" w:lineRule="exact"/>
              <w:ind w:left="0" w:right="0"/>
              <w:jc w:val="left"/>
              <w:rPr>
                <w:sz w:val="18"/>
                <w:lang w:val="en-US"/>
              </w:rPr>
            </w:pPr>
            <w:r w:rsidRPr="00222917">
              <w:rPr>
                <w:sz w:val="18"/>
                <w:lang w:val="en-US"/>
              </w:rPr>
              <w:t>2004</w:t>
            </w:r>
          </w:p>
        </w:tc>
        <w:tc>
          <w:tcPr>
            <w:tcW w:w="1247" w:type="dxa"/>
            <w:tcBorders>
              <w:top w:val="single" w:sz="12" w:space="0" w:color="auto"/>
            </w:tcBorders>
            <w:shd w:val="clear" w:color="auto" w:fill="auto"/>
            <w:tcMar>
              <w:top w:w="0" w:type="dxa"/>
              <w:left w:w="0" w:type="dxa"/>
              <w:bottom w:w="0" w:type="dxa"/>
              <w:right w:w="0" w:type="dxa"/>
            </w:tcMar>
            <w:vAlign w:val="bottom"/>
          </w:tcPr>
          <w:p w:rsidR="002D5BB0" w:rsidRPr="00222917" w:rsidRDefault="002D5BB0" w:rsidP="004A7217">
            <w:pPr>
              <w:pStyle w:val="SingleTxtG"/>
              <w:suppressAutoHyphens w:val="0"/>
              <w:spacing w:before="40" w:after="40" w:line="220" w:lineRule="exact"/>
              <w:ind w:left="0" w:right="0"/>
              <w:jc w:val="right"/>
              <w:rPr>
                <w:sz w:val="18"/>
                <w:lang w:val="en-US"/>
              </w:rPr>
            </w:pPr>
            <w:r w:rsidRPr="00222917">
              <w:rPr>
                <w:sz w:val="18"/>
                <w:lang w:val="en-US"/>
              </w:rPr>
              <w:t>112</w:t>
            </w:r>
          </w:p>
        </w:tc>
        <w:tc>
          <w:tcPr>
            <w:tcW w:w="1247" w:type="dxa"/>
            <w:tcBorders>
              <w:top w:val="single" w:sz="12" w:space="0" w:color="auto"/>
            </w:tcBorders>
            <w:shd w:val="clear" w:color="auto" w:fill="auto"/>
            <w:tcMar>
              <w:top w:w="0" w:type="dxa"/>
              <w:left w:w="0" w:type="dxa"/>
              <w:bottom w:w="0" w:type="dxa"/>
              <w:right w:w="0" w:type="dxa"/>
            </w:tcMar>
            <w:vAlign w:val="bottom"/>
          </w:tcPr>
          <w:p w:rsidR="002D5BB0" w:rsidRPr="00222917" w:rsidRDefault="002D5BB0" w:rsidP="004A7217">
            <w:pPr>
              <w:pStyle w:val="SingleTxtG"/>
              <w:suppressAutoHyphens w:val="0"/>
              <w:spacing w:before="40" w:after="40" w:line="220" w:lineRule="exact"/>
              <w:ind w:left="0" w:right="0"/>
              <w:jc w:val="right"/>
              <w:rPr>
                <w:sz w:val="18"/>
                <w:lang w:val="en-US"/>
              </w:rPr>
            </w:pPr>
            <w:r w:rsidRPr="00222917">
              <w:rPr>
                <w:sz w:val="18"/>
                <w:lang w:val="en-US"/>
              </w:rPr>
              <w:t>9,663</w:t>
            </w:r>
          </w:p>
        </w:tc>
        <w:tc>
          <w:tcPr>
            <w:tcW w:w="1247" w:type="dxa"/>
            <w:tcBorders>
              <w:top w:val="single" w:sz="12" w:space="0" w:color="auto"/>
            </w:tcBorders>
            <w:shd w:val="clear" w:color="auto" w:fill="auto"/>
            <w:tcMar>
              <w:top w:w="0" w:type="dxa"/>
              <w:left w:w="0" w:type="dxa"/>
              <w:bottom w:w="0" w:type="dxa"/>
              <w:right w:w="0" w:type="dxa"/>
            </w:tcMar>
            <w:vAlign w:val="bottom"/>
          </w:tcPr>
          <w:p w:rsidR="002D5BB0" w:rsidRPr="00222917" w:rsidRDefault="002D5BB0" w:rsidP="004A7217">
            <w:pPr>
              <w:pStyle w:val="SingleTxtG"/>
              <w:suppressAutoHyphens w:val="0"/>
              <w:spacing w:before="40" w:after="40" w:line="220" w:lineRule="exact"/>
              <w:ind w:left="0" w:right="0"/>
              <w:jc w:val="right"/>
              <w:rPr>
                <w:sz w:val="18"/>
                <w:lang w:val="en-US"/>
              </w:rPr>
            </w:pPr>
            <w:r w:rsidRPr="00222917">
              <w:rPr>
                <w:sz w:val="18"/>
                <w:lang w:val="en-US"/>
              </w:rPr>
              <w:t>15,855</w:t>
            </w:r>
          </w:p>
        </w:tc>
        <w:tc>
          <w:tcPr>
            <w:tcW w:w="1247" w:type="dxa"/>
            <w:tcBorders>
              <w:top w:val="single" w:sz="12" w:space="0" w:color="auto"/>
            </w:tcBorders>
            <w:shd w:val="clear" w:color="auto" w:fill="auto"/>
            <w:tcMar>
              <w:top w:w="0" w:type="dxa"/>
              <w:left w:w="0" w:type="dxa"/>
              <w:bottom w:w="0" w:type="dxa"/>
              <w:right w:w="0" w:type="dxa"/>
            </w:tcMar>
            <w:vAlign w:val="bottom"/>
          </w:tcPr>
          <w:p w:rsidR="002D5BB0" w:rsidRPr="00222917" w:rsidRDefault="002D5BB0" w:rsidP="004A7217">
            <w:pPr>
              <w:pStyle w:val="SingleTxtG"/>
              <w:suppressAutoHyphens w:val="0"/>
              <w:spacing w:before="40" w:after="40" w:line="220" w:lineRule="exact"/>
              <w:ind w:left="0" w:right="0"/>
              <w:jc w:val="right"/>
              <w:rPr>
                <w:sz w:val="18"/>
                <w:lang w:val="en-US"/>
              </w:rPr>
            </w:pPr>
            <w:r w:rsidRPr="00222917">
              <w:rPr>
                <w:sz w:val="18"/>
                <w:lang w:val="en-US"/>
              </w:rPr>
              <w:t>82,974</w:t>
            </w:r>
          </w:p>
        </w:tc>
        <w:tc>
          <w:tcPr>
            <w:tcW w:w="1247" w:type="dxa"/>
            <w:tcBorders>
              <w:top w:val="single" w:sz="12" w:space="0" w:color="auto"/>
            </w:tcBorders>
            <w:shd w:val="clear" w:color="auto" w:fill="auto"/>
            <w:tcMar>
              <w:top w:w="0" w:type="dxa"/>
              <w:left w:w="0" w:type="dxa"/>
              <w:bottom w:w="0" w:type="dxa"/>
              <w:right w:w="0" w:type="dxa"/>
            </w:tcMar>
            <w:vAlign w:val="bottom"/>
          </w:tcPr>
          <w:p w:rsidR="002D5BB0" w:rsidRPr="00222917" w:rsidRDefault="002D5BB0" w:rsidP="004A7217">
            <w:pPr>
              <w:pStyle w:val="SingleTxtG"/>
              <w:suppressAutoHyphens w:val="0"/>
              <w:spacing w:before="40" w:after="40" w:line="220" w:lineRule="exact"/>
              <w:ind w:left="0" w:right="0"/>
              <w:jc w:val="right"/>
              <w:rPr>
                <w:sz w:val="18"/>
                <w:lang w:val="en-US"/>
              </w:rPr>
            </w:pPr>
            <w:r w:rsidRPr="00222917">
              <w:rPr>
                <w:sz w:val="18"/>
                <w:lang w:val="en-US"/>
              </w:rPr>
              <w:t>245</w:t>
            </w:r>
          </w:p>
        </w:tc>
      </w:tr>
      <w:tr w:rsidR="008F6543" w:rsidRPr="00222917" w:rsidTr="00E7550D">
        <w:trPr>
          <w:trHeight w:val="240"/>
        </w:trPr>
        <w:tc>
          <w:tcPr>
            <w:tcW w:w="1134" w:type="dxa"/>
            <w:shd w:val="clear" w:color="auto" w:fill="auto"/>
            <w:tcMar>
              <w:top w:w="0" w:type="dxa"/>
              <w:left w:w="0" w:type="dxa"/>
              <w:bottom w:w="0" w:type="dxa"/>
              <w:right w:w="0" w:type="dxa"/>
            </w:tcMar>
          </w:tcPr>
          <w:p w:rsidR="002D5BB0" w:rsidRPr="00222917" w:rsidRDefault="002D5BB0" w:rsidP="004A7217">
            <w:pPr>
              <w:pStyle w:val="SingleTxtG"/>
              <w:suppressAutoHyphens w:val="0"/>
              <w:spacing w:before="40" w:after="40" w:line="220" w:lineRule="exact"/>
              <w:ind w:left="0" w:right="0"/>
              <w:jc w:val="left"/>
              <w:rPr>
                <w:sz w:val="18"/>
                <w:lang w:val="en-US"/>
              </w:rPr>
            </w:pPr>
            <w:r w:rsidRPr="00222917">
              <w:rPr>
                <w:sz w:val="18"/>
                <w:lang w:val="en-US"/>
              </w:rPr>
              <w:t>2005</w:t>
            </w:r>
          </w:p>
        </w:tc>
        <w:tc>
          <w:tcPr>
            <w:tcW w:w="1247" w:type="dxa"/>
            <w:shd w:val="clear" w:color="auto" w:fill="auto"/>
            <w:tcMar>
              <w:top w:w="0" w:type="dxa"/>
              <w:left w:w="0" w:type="dxa"/>
              <w:bottom w:w="0" w:type="dxa"/>
              <w:right w:w="0" w:type="dxa"/>
            </w:tcMar>
            <w:vAlign w:val="bottom"/>
          </w:tcPr>
          <w:p w:rsidR="002D5BB0" w:rsidRPr="00222917" w:rsidRDefault="002D5BB0" w:rsidP="004A7217">
            <w:pPr>
              <w:pStyle w:val="SingleTxtG"/>
              <w:suppressAutoHyphens w:val="0"/>
              <w:spacing w:before="40" w:after="40" w:line="220" w:lineRule="exact"/>
              <w:ind w:left="0" w:right="0"/>
              <w:jc w:val="right"/>
              <w:rPr>
                <w:sz w:val="18"/>
                <w:lang w:val="en-US"/>
              </w:rPr>
            </w:pPr>
            <w:r w:rsidRPr="00222917">
              <w:rPr>
                <w:sz w:val="18"/>
                <w:lang w:val="en-US"/>
              </w:rPr>
              <w:t>119</w:t>
            </w:r>
          </w:p>
        </w:tc>
        <w:tc>
          <w:tcPr>
            <w:tcW w:w="1247" w:type="dxa"/>
            <w:shd w:val="clear" w:color="auto" w:fill="auto"/>
            <w:tcMar>
              <w:top w:w="0" w:type="dxa"/>
              <w:left w:w="0" w:type="dxa"/>
              <w:bottom w:w="0" w:type="dxa"/>
              <w:right w:w="0" w:type="dxa"/>
            </w:tcMar>
            <w:vAlign w:val="bottom"/>
          </w:tcPr>
          <w:p w:rsidR="002D5BB0" w:rsidRPr="00222917" w:rsidRDefault="002D5BB0" w:rsidP="004A7217">
            <w:pPr>
              <w:pStyle w:val="SingleTxtG"/>
              <w:suppressAutoHyphens w:val="0"/>
              <w:spacing w:before="40" w:after="40" w:line="220" w:lineRule="exact"/>
              <w:ind w:left="0" w:right="0"/>
              <w:jc w:val="right"/>
              <w:rPr>
                <w:sz w:val="18"/>
                <w:lang w:val="en-US"/>
              </w:rPr>
            </w:pPr>
            <w:r w:rsidRPr="00222917">
              <w:rPr>
                <w:sz w:val="18"/>
                <w:lang w:val="en-US"/>
              </w:rPr>
              <w:t>15,541</w:t>
            </w:r>
          </w:p>
        </w:tc>
        <w:tc>
          <w:tcPr>
            <w:tcW w:w="1247" w:type="dxa"/>
            <w:shd w:val="clear" w:color="auto" w:fill="auto"/>
            <w:tcMar>
              <w:top w:w="0" w:type="dxa"/>
              <w:left w:w="0" w:type="dxa"/>
              <w:bottom w:w="0" w:type="dxa"/>
              <w:right w:w="0" w:type="dxa"/>
            </w:tcMar>
            <w:vAlign w:val="bottom"/>
          </w:tcPr>
          <w:p w:rsidR="002D5BB0" w:rsidRPr="00222917" w:rsidRDefault="002D5BB0" w:rsidP="004A7217">
            <w:pPr>
              <w:pStyle w:val="SingleTxtG"/>
              <w:suppressAutoHyphens w:val="0"/>
              <w:spacing w:before="40" w:after="40" w:line="220" w:lineRule="exact"/>
              <w:ind w:left="0" w:right="0"/>
              <w:jc w:val="right"/>
              <w:rPr>
                <w:sz w:val="18"/>
                <w:lang w:val="en-US"/>
              </w:rPr>
            </w:pPr>
            <w:r w:rsidRPr="00222917">
              <w:rPr>
                <w:sz w:val="18"/>
                <w:lang w:val="en-US"/>
              </w:rPr>
              <w:t>14,894</w:t>
            </w:r>
          </w:p>
        </w:tc>
        <w:tc>
          <w:tcPr>
            <w:tcW w:w="1247" w:type="dxa"/>
            <w:shd w:val="clear" w:color="auto" w:fill="auto"/>
            <w:tcMar>
              <w:top w:w="0" w:type="dxa"/>
              <w:left w:w="0" w:type="dxa"/>
              <w:bottom w:w="0" w:type="dxa"/>
              <w:right w:w="0" w:type="dxa"/>
            </w:tcMar>
            <w:vAlign w:val="bottom"/>
          </w:tcPr>
          <w:p w:rsidR="002D5BB0" w:rsidRPr="00222917" w:rsidRDefault="002D5BB0" w:rsidP="004A7217">
            <w:pPr>
              <w:pStyle w:val="SingleTxtG"/>
              <w:suppressAutoHyphens w:val="0"/>
              <w:spacing w:before="40" w:after="40" w:line="220" w:lineRule="exact"/>
              <w:ind w:left="0" w:right="0"/>
              <w:jc w:val="right"/>
              <w:rPr>
                <w:sz w:val="18"/>
                <w:lang w:val="en-US"/>
              </w:rPr>
            </w:pPr>
            <w:r w:rsidRPr="00222917">
              <w:rPr>
                <w:sz w:val="18"/>
                <w:lang w:val="en-US"/>
              </w:rPr>
              <w:t>67,135</w:t>
            </w:r>
          </w:p>
        </w:tc>
        <w:tc>
          <w:tcPr>
            <w:tcW w:w="1247" w:type="dxa"/>
            <w:shd w:val="clear" w:color="auto" w:fill="auto"/>
            <w:tcMar>
              <w:top w:w="0" w:type="dxa"/>
              <w:left w:w="0" w:type="dxa"/>
              <w:bottom w:w="0" w:type="dxa"/>
              <w:right w:w="0" w:type="dxa"/>
            </w:tcMar>
            <w:vAlign w:val="bottom"/>
          </w:tcPr>
          <w:p w:rsidR="002D5BB0" w:rsidRPr="00222917" w:rsidRDefault="002D5BB0" w:rsidP="004A7217">
            <w:pPr>
              <w:pStyle w:val="SingleTxtG"/>
              <w:suppressAutoHyphens w:val="0"/>
              <w:spacing w:before="40" w:after="40" w:line="220" w:lineRule="exact"/>
              <w:ind w:left="0" w:right="0"/>
              <w:jc w:val="right"/>
              <w:rPr>
                <w:sz w:val="18"/>
                <w:lang w:val="en-US"/>
              </w:rPr>
            </w:pPr>
            <w:r w:rsidRPr="00222917">
              <w:rPr>
                <w:sz w:val="18"/>
                <w:lang w:val="en-US"/>
              </w:rPr>
              <w:t>246</w:t>
            </w:r>
          </w:p>
        </w:tc>
      </w:tr>
      <w:tr w:rsidR="008F6543" w:rsidRPr="00222917" w:rsidTr="00E7550D">
        <w:trPr>
          <w:trHeight w:val="240"/>
        </w:trPr>
        <w:tc>
          <w:tcPr>
            <w:tcW w:w="1134" w:type="dxa"/>
            <w:shd w:val="clear" w:color="auto" w:fill="auto"/>
            <w:tcMar>
              <w:top w:w="0" w:type="dxa"/>
              <w:left w:w="0" w:type="dxa"/>
              <w:bottom w:w="0" w:type="dxa"/>
              <w:right w:w="0" w:type="dxa"/>
            </w:tcMar>
          </w:tcPr>
          <w:p w:rsidR="002D5BB0" w:rsidRPr="00222917" w:rsidRDefault="002D5BB0" w:rsidP="004A7217">
            <w:pPr>
              <w:pStyle w:val="SingleTxtG"/>
              <w:suppressAutoHyphens w:val="0"/>
              <w:spacing w:before="40" w:after="40" w:line="220" w:lineRule="exact"/>
              <w:ind w:left="0" w:right="0"/>
              <w:jc w:val="left"/>
              <w:rPr>
                <w:sz w:val="18"/>
                <w:lang w:val="en-US"/>
              </w:rPr>
            </w:pPr>
            <w:r w:rsidRPr="00222917">
              <w:rPr>
                <w:sz w:val="18"/>
                <w:lang w:val="en-US"/>
              </w:rPr>
              <w:t>2006</w:t>
            </w:r>
          </w:p>
        </w:tc>
        <w:tc>
          <w:tcPr>
            <w:tcW w:w="1247" w:type="dxa"/>
            <w:shd w:val="clear" w:color="auto" w:fill="auto"/>
            <w:tcMar>
              <w:top w:w="0" w:type="dxa"/>
              <w:left w:w="0" w:type="dxa"/>
              <w:bottom w:w="0" w:type="dxa"/>
              <w:right w:w="0" w:type="dxa"/>
            </w:tcMar>
            <w:vAlign w:val="bottom"/>
          </w:tcPr>
          <w:p w:rsidR="002D5BB0" w:rsidRPr="00222917" w:rsidRDefault="002D5BB0" w:rsidP="004A7217">
            <w:pPr>
              <w:pStyle w:val="SingleTxtG"/>
              <w:suppressAutoHyphens w:val="0"/>
              <w:spacing w:before="40" w:after="40" w:line="220" w:lineRule="exact"/>
              <w:ind w:left="0" w:right="0"/>
              <w:jc w:val="right"/>
              <w:rPr>
                <w:sz w:val="18"/>
                <w:lang w:val="en-US"/>
              </w:rPr>
            </w:pPr>
            <w:r w:rsidRPr="00222917">
              <w:rPr>
                <w:sz w:val="18"/>
                <w:lang w:val="en-US"/>
              </w:rPr>
              <w:t>104</w:t>
            </w:r>
          </w:p>
        </w:tc>
        <w:tc>
          <w:tcPr>
            <w:tcW w:w="1247" w:type="dxa"/>
            <w:shd w:val="clear" w:color="auto" w:fill="auto"/>
            <w:tcMar>
              <w:top w:w="0" w:type="dxa"/>
              <w:left w:w="0" w:type="dxa"/>
              <w:bottom w:w="0" w:type="dxa"/>
              <w:right w:w="0" w:type="dxa"/>
            </w:tcMar>
            <w:vAlign w:val="bottom"/>
          </w:tcPr>
          <w:p w:rsidR="002D5BB0" w:rsidRPr="00222917" w:rsidRDefault="002D5BB0" w:rsidP="004A7217">
            <w:pPr>
              <w:pStyle w:val="SingleTxtG"/>
              <w:suppressAutoHyphens w:val="0"/>
              <w:spacing w:before="40" w:after="40" w:line="220" w:lineRule="exact"/>
              <w:ind w:left="0" w:right="0"/>
              <w:jc w:val="right"/>
              <w:rPr>
                <w:sz w:val="18"/>
                <w:lang w:val="en-US"/>
              </w:rPr>
            </w:pPr>
            <w:r w:rsidRPr="00222917">
              <w:rPr>
                <w:sz w:val="18"/>
                <w:lang w:val="en-US"/>
              </w:rPr>
              <w:t>29,659</w:t>
            </w:r>
          </w:p>
        </w:tc>
        <w:tc>
          <w:tcPr>
            <w:tcW w:w="1247" w:type="dxa"/>
            <w:shd w:val="clear" w:color="auto" w:fill="auto"/>
            <w:tcMar>
              <w:top w:w="0" w:type="dxa"/>
              <w:left w:w="0" w:type="dxa"/>
              <w:bottom w:w="0" w:type="dxa"/>
              <w:right w:w="0" w:type="dxa"/>
            </w:tcMar>
            <w:vAlign w:val="bottom"/>
          </w:tcPr>
          <w:p w:rsidR="002D5BB0" w:rsidRPr="00222917" w:rsidRDefault="002D5BB0" w:rsidP="004A7217">
            <w:pPr>
              <w:pStyle w:val="SingleTxtG"/>
              <w:suppressAutoHyphens w:val="0"/>
              <w:spacing w:before="40" w:after="40" w:line="220" w:lineRule="exact"/>
              <w:ind w:left="0" w:right="0"/>
              <w:jc w:val="right"/>
              <w:rPr>
                <w:sz w:val="18"/>
                <w:lang w:val="en-US"/>
              </w:rPr>
            </w:pPr>
            <w:r w:rsidRPr="00222917">
              <w:rPr>
                <w:sz w:val="18"/>
                <w:lang w:val="en-US"/>
              </w:rPr>
              <w:t>15,019</w:t>
            </w:r>
          </w:p>
        </w:tc>
        <w:tc>
          <w:tcPr>
            <w:tcW w:w="1247" w:type="dxa"/>
            <w:shd w:val="clear" w:color="auto" w:fill="auto"/>
            <w:tcMar>
              <w:top w:w="0" w:type="dxa"/>
              <w:left w:w="0" w:type="dxa"/>
              <w:bottom w:w="0" w:type="dxa"/>
              <w:right w:w="0" w:type="dxa"/>
            </w:tcMar>
            <w:vAlign w:val="bottom"/>
          </w:tcPr>
          <w:p w:rsidR="002D5BB0" w:rsidRPr="00222917" w:rsidRDefault="002D5BB0" w:rsidP="004A7217">
            <w:pPr>
              <w:pStyle w:val="SingleTxtG"/>
              <w:suppressAutoHyphens w:val="0"/>
              <w:spacing w:before="40" w:after="40" w:line="220" w:lineRule="exact"/>
              <w:ind w:left="0" w:right="0"/>
              <w:jc w:val="right"/>
              <w:rPr>
                <w:sz w:val="18"/>
                <w:lang w:val="en-US"/>
              </w:rPr>
            </w:pPr>
            <w:r w:rsidRPr="00222917">
              <w:rPr>
                <w:sz w:val="18"/>
                <w:lang w:val="en-US"/>
              </w:rPr>
              <w:t>60,392</w:t>
            </w:r>
          </w:p>
        </w:tc>
        <w:tc>
          <w:tcPr>
            <w:tcW w:w="1247" w:type="dxa"/>
            <w:shd w:val="clear" w:color="auto" w:fill="auto"/>
            <w:tcMar>
              <w:top w:w="0" w:type="dxa"/>
              <w:left w:w="0" w:type="dxa"/>
              <w:bottom w:w="0" w:type="dxa"/>
              <w:right w:w="0" w:type="dxa"/>
            </w:tcMar>
            <w:vAlign w:val="bottom"/>
          </w:tcPr>
          <w:p w:rsidR="002D5BB0" w:rsidRPr="00222917" w:rsidRDefault="002D5BB0" w:rsidP="004A7217">
            <w:pPr>
              <w:pStyle w:val="SingleTxtG"/>
              <w:suppressAutoHyphens w:val="0"/>
              <w:spacing w:before="40" w:after="40" w:line="220" w:lineRule="exact"/>
              <w:ind w:left="0" w:right="0"/>
              <w:jc w:val="right"/>
              <w:rPr>
                <w:sz w:val="18"/>
                <w:lang w:val="en-US"/>
              </w:rPr>
            </w:pPr>
            <w:r w:rsidRPr="00222917">
              <w:rPr>
                <w:sz w:val="18"/>
                <w:lang w:val="en-US"/>
              </w:rPr>
              <w:t>204</w:t>
            </w:r>
          </w:p>
        </w:tc>
      </w:tr>
      <w:tr w:rsidR="008F6543" w:rsidRPr="00222917" w:rsidTr="00E7550D">
        <w:trPr>
          <w:trHeight w:val="240"/>
        </w:trPr>
        <w:tc>
          <w:tcPr>
            <w:tcW w:w="1134" w:type="dxa"/>
            <w:shd w:val="clear" w:color="auto" w:fill="auto"/>
            <w:tcMar>
              <w:top w:w="0" w:type="dxa"/>
              <w:left w:w="0" w:type="dxa"/>
              <w:bottom w:w="0" w:type="dxa"/>
              <w:right w:w="0" w:type="dxa"/>
            </w:tcMar>
          </w:tcPr>
          <w:p w:rsidR="002D5BB0" w:rsidRPr="00222917" w:rsidRDefault="002D5BB0" w:rsidP="004A7217">
            <w:pPr>
              <w:pStyle w:val="SingleTxtG"/>
              <w:suppressAutoHyphens w:val="0"/>
              <w:spacing w:before="40" w:after="40" w:line="220" w:lineRule="exact"/>
              <w:ind w:left="0" w:right="0"/>
              <w:jc w:val="left"/>
              <w:rPr>
                <w:sz w:val="18"/>
                <w:lang w:val="en-US"/>
              </w:rPr>
            </w:pPr>
            <w:r w:rsidRPr="00222917">
              <w:rPr>
                <w:sz w:val="18"/>
                <w:lang w:val="en-US"/>
              </w:rPr>
              <w:t>2007</w:t>
            </w:r>
          </w:p>
        </w:tc>
        <w:tc>
          <w:tcPr>
            <w:tcW w:w="1247" w:type="dxa"/>
            <w:shd w:val="clear" w:color="auto" w:fill="auto"/>
            <w:tcMar>
              <w:top w:w="0" w:type="dxa"/>
              <w:left w:w="0" w:type="dxa"/>
              <w:bottom w:w="0" w:type="dxa"/>
              <w:right w:w="0" w:type="dxa"/>
            </w:tcMar>
            <w:vAlign w:val="bottom"/>
          </w:tcPr>
          <w:p w:rsidR="002D5BB0" w:rsidRPr="00222917" w:rsidRDefault="002D5BB0" w:rsidP="004A7217">
            <w:pPr>
              <w:pStyle w:val="SingleTxtG"/>
              <w:suppressAutoHyphens w:val="0"/>
              <w:spacing w:before="40" w:after="40" w:line="220" w:lineRule="exact"/>
              <w:ind w:left="0" w:right="0"/>
              <w:jc w:val="right"/>
              <w:rPr>
                <w:sz w:val="18"/>
                <w:lang w:val="en-US"/>
              </w:rPr>
            </w:pPr>
            <w:r w:rsidRPr="00222917">
              <w:rPr>
                <w:sz w:val="18"/>
                <w:lang w:val="en-US"/>
              </w:rPr>
              <w:t>112</w:t>
            </w:r>
          </w:p>
        </w:tc>
        <w:tc>
          <w:tcPr>
            <w:tcW w:w="1247" w:type="dxa"/>
            <w:shd w:val="clear" w:color="auto" w:fill="auto"/>
            <w:tcMar>
              <w:top w:w="0" w:type="dxa"/>
              <w:left w:w="0" w:type="dxa"/>
              <w:bottom w:w="0" w:type="dxa"/>
              <w:right w:w="0" w:type="dxa"/>
            </w:tcMar>
            <w:vAlign w:val="bottom"/>
          </w:tcPr>
          <w:p w:rsidR="002D5BB0" w:rsidRPr="00222917" w:rsidRDefault="002D5BB0" w:rsidP="004A7217">
            <w:pPr>
              <w:pStyle w:val="SingleTxtG"/>
              <w:suppressAutoHyphens w:val="0"/>
              <w:spacing w:before="40" w:after="40" w:line="220" w:lineRule="exact"/>
              <w:ind w:left="0" w:right="0"/>
              <w:jc w:val="right"/>
              <w:rPr>
                <w:sz w:val="18"/>
                <w:lang w:val="en-US"/>
              </w:rPr>
            </w:pPr>
            <w:r w:rsidRPr="00222917">
              <w:rPr>
                <w:sz w:val="18"/>
                <w:lang w:val="en-US"/>
              </w:rPr>
              <w:t>36,412</w:t>
            </w:r>
          </w:p>
        </w:tc>
        <w:tc>
          <w:tcPr>
            <w:tcW w:w="1247" w:type="dxa"/>
            <w:shd w:val="clear" w:color="auto" w:fill="auto"/>
            <w:tcMar>
              <w:top w:w="0" w:type="dxa"/>
              <w:left w:w="0" w:type="dxa"/>
              <w:bottom w:w="0" w:type="dxa"/>
              <w:right w:w="0" w:type="dxa"/>
            </w:tcMar>
            <w:vAlign w:val="bottom"/>
          </w:tcPr>
          <w:p w:rsidR="002D5BB0" w:rsidRPr="00222917" w:rsidRDefault="002D5BB0" w:rsidP="004A7217">
            <w:pPr>
              <w:pStyle w:val="SingleTxtG"/>
              <w:suppressAutoHyphens w:val="0"/>
              <w:spacing w:before="40" w:after="40" w:line="220" w:lineRule="exact"/>
              <w:ind w:left="0" w:right="0"/>
              <w:jc w:val="right"/>
              <w:rPr>
                <w:sz w:val="18"/>
                <w:lang w:val="en-US"/>
              </w:rPr>
            </w:pPr>
            <w:r w:rsidRPr="00222917">
              <w:rPr>
                <w:sz w:val="18"/>
                <w:lang w:val="en-US"/>
              </w:rPr>
              <w:t>22,949</w:t>
            </w:r>
          </w:p>
        </w:tc>
        <w:tc>
          <w:tcPr>
            <w:tcW w:w="1247" w:type="dxa"/>
            <w:shd w:val="clear" w:color="auto" w:fill="auto"/>
            <w:tcMar>
              <w:top w:w="0" w:type="dxa"/>
              <w:left w:w="0" w:type="dxa"/>
              <w:bottom w:w="0" w:type="dxa"/>
              <w:right w:w="0" w:type="dxa"/>
            </w:tcMar>
            <w:vAlign w:val="bottom"/>
          </w:tcPr>
          <w:p w:rsidR="002D5BB0" w:rsidRPr="00222917" w:rsidRDefault="002D5BB0" w:rsidP="004A7217">
            <w:pPr>
              <w:pStyle w:val="SingleTxtG"/>
              <w:suppressAutoHyphens w:val="0"/>
              <w:spacing w:before="40" w:after="40" w:line="220" w:lineRule="exact"/>
              <w:ind w:left="0" w:right="0"/>
              <w:jc w:val="right"/>
              <w:rPr>
                <w:sz w:val="18"/>
                <w:lang w:val="en-US"/>
              </w:rPr>
            </w:pPr>
            <w:r w:rsidRPr="00222917">
              <w:rPr>
                <w:sz w:val="18"/>
                <w:lang w:val="en-US"/>
              </w:rPr>
              <w:t>64,141</w:t>
            </w:r>
          </w:p>
        </w:tc>
        <w:tc>
          <w:tcPr>
            <w:tcW w:w="1247" w:type="dxa"/>
            <w:shd w:val="clear" w:color="auto" w:fill="auto"/>
            <w:tcMar>
              <w:top w:w="0" w:type="dxa"/>
              <w:left w:w="0" w:type="dxa"/>
              <w:bottom w:w="0" w:type="dxa"/>
              <w:right w:w="0" w:type="dxa"/>
            </w:tcMar>
            <w:vAlign w:val="bottom"/>
          </w:tcPr>
          <w:p w:rsidR="002D5BB0" w:rsidRPr="00222917" w:rsidRDefault="002D5BB0" w:rsidP="004A7217">
            <w:pPr>
              <w:pStyle w:val="SingleTxtG"/>
              <w:suppressAutoHyphens w:val="0"/>
              <w:spacing w:before="40" w:after="40" w:line="220" w:lineRule="exact"/>
              <w:ind w:left="0" w:right="0"/>
              <w:jc w:val="right"/>
              <w:rPr>
                <w:sz w:val="18"/>
                <w:lang w:val="en-US"/>
              </w:rPr>
            </w:pPr>
            <w:r w:rsidRPr="00222917">
              <w:rPr>
                <w:sz w:val="18"/>
                <w:lang w:val="en-US"/>
              </w:rPr>
              <w:t>227</w:t>
            </w:r>
          </w:p>
        </w:tc>
      </w:tr>
      <w:tr w:rsidR="008F6543" w:rsidRPr="00222917" w:rsidTr="00E7550D">
        <w:trPr>
          <w:trHeight w:val="240"/>
        </w:trPr>
        <w:tc>
          <w:tcPr>
            <w:tcW w:w="1134" w:type="dxa"/>
            <w:shd w:val="clear" w:color="auto" w:fill="auto"/>
            <w:tcMar>
              <w:top w:w="0" w:type="dxa"/>
              <w:left w:w="0" w:type="dxa"/>
              <w:bottom w:w="0" w:type="dxa"/>
              <w:right w:w="0" w:type="dxa"/>
            </w:tcMar>
          </w:tcPr>
          <w:p w:rsidR="002D5BB0" w:rsidRPr="00222917" w:rsidRDefault="002D5BB0" w:rsidP="004A7217">
            <w:pPr>
              <w:pStyle w:val="SingleTxtG"/>
              <w:suppressAutoHyphens w:val="0"/>
              <w:spacing w:before="40" w:after="40" w:line="220" w:lineRule="exact"/>
              <w:ind w:left="0" w:right="0"/>
              <w:jc w:val="left"/>
              <w:rPr>
                <w:sz w:val="18"/>
                <w:lang w:val="en-US"/>
              </w:rPr>
            </w:pPr>
            <w:r w:rsidRPr="00222917">
              <w:rPr>
                <w:sz w:val="18"/>
                <w:lang w:val="en-US"/>
              </w:rPr>
              <w:t>2008</w:t>
            </w:r>
          </w:p>
        </w:tc>
        <w:tc>
          <w:tcPr>
            <w:tcW w:w="1247" w:type="dxa"/>
            <w:shd w:val="clear" w:color="auto" w:fill="auto"/>
            <w:tcMar>
              <w:top w:w="0" w:type="dxa"/>
              <w:left w:w="0" w:type="dxa"/>
              <w:bottom w:w="0" w:type="dxa"/>
              <w:right w:w="0" w:type="dxa"/>
            </w:tcMar>
            <w:vAlign w:val="bottom"/>
          </w:tcPr>
          <w:p w:rsidR="002D5BB0" w:rsidRPr="00222917" w:rsidRDefault="002D5BB0" w:rsidP="004A7217">
            <w:pPr>
              <w:pStyle w:val="SingleTxtG"/>
              <w:suppressAutoHyphens w:val="0"/>
              <w:spacing w:before="40" w:after="40" w:line="220" w:lineRule="exact"/>
              <w:ind w:left="0" w:right="0"/>
              <w:jc w:val="right"/>
              <w:rPr>
                <w:sz w:val="18"/>
                <w:lang w:val="en-US"/>
              </w:rPr>
            </w:pPr>
            <w:r w:rsidRPr="00222917">
              <w:rPr>
                <w:sz w:val="18"/>
                <w:lang w:val="en-US"/>
              </w:rPr>
              <w:t>130</w:t>
            </w:r>
          </w:p>
        </w:tc>
        <w:tc>
          <w:tcPr>
            <w:tcW w:w="1247" w:type="dxa"/>
            <w:shd w:val="clear" w:color="auto" w:fill="auto"/>
            <w:tcMar>
              <w:top w:w="0" w:type="dxa"/>
              <w:left w:w="0" w:type="dxa"/>
              <w:bottom w:w="0" w:type="dxa"/>
              <w:right w:w="0" w:type="dxa"/>
            </w:tcMar>
            <w:vAlign w:val="bottom"/>
          </w:tcPr>
          <w:p w:rsidR="002D5BB0" w:rsidRPr="00222917" w:rsidRDefault="002D5BB0" w:rsidP="004A7217">
            <w:pPr>
              <w:pStyle w:val="SingleTxtG"/>
              <w:suppressAutoHyphens w:val="0"/>
              <w:spacing w:before="40" w:after="40" w:line="220" w:lineRule="exact"/>
              <w:ind w:left="0" w:right="0"/>
              <w:jc w:val="right"/>
              <w:rPr>
                <w:sz w:val="18"/>
                <w:lang w:val="en-US"/>
              </w:rPr>
            </w:pPr>
            <w:r w:rsidRPr="00222917">
              <w:rPr>
                <w:sz w:val="18"/>
                <w:lang w:val="en-US"/>
              </w:rPr>
              <w:t>49,029</w:t>
            </w:r>
          </w:p>
        </w:tc>
        <w:tc>
          <w:tcPr>
            <w:tcW w:w="1247" w:type="dxa"/>
            <w:shd w:val="clear" w:color="auto" w:fill="auto"/>
            <w:tcMar>
              <w:top w:w="0" w:type="dxa"/>
              <w:left w:w="0" w:type="dxa"/>
              <w:bottom w:w="0" w:type="dxa"/>
              <w:right w:w="0" w:type="dxa"/>
            </w:tcMar>
            <w:vAlign w:val="bottom"/>
          </w:tcPr>
          <w:p w:rsidR="002D5BB0" w:rsidRPr="00222917" w:rsidRDefault="002D5BB0" w:rsidP="004A7217">
            <w:pPr>
              <w:pStyle w:val="SingleTxtG"/>
              <w:suppressAutoHyphens w:val="0"/>
              <w:spacing w:before="40" w:after="40" w:line="220" w:lineRule="exact"/>
              <w:ind w:left="0" w:right="0"/>
              <w:jc w:val="right"/>
              <w:rPr>
                <w:sz w:val="18"/>
                <w:lang w:val="en-US"/>
              </w:rPr>
            </w:pPr>
            <w:r w:rsidRPr="00222917">
              <w:rPr>
                <w:sz w:val="18"/>
                <w:lang w:val="en-US"/>
              </w:rPr>
              <w:t>16,326</w:t>
            </w:r>
          </w:p>
        </w:tc>
        <w:tc>
          <w:tcPr>
            <w:tcW w:w="1247" w:type="dxa"/>
            <w:shd w:val="clear" w:color="auto" w:fill="auto"/>
            <w:tcMar>
              <w:top w:w="0" w:type="dxa"/>
              <w:left w:w="0" w:type="dxa"/>
              <w:bottom w:w="0" w:type="dxa"/>
              <w:right w:w="0" w:type="dxa"/>
            </w:tcMar>
            <w:vAlign w:val="bottom"/>
          </w:tcPr>
          <w:p w:rsidR="002D5BB0" w:rsidRPr="00222917" w:rsidRDefault="002D5BB0" w:rsidP="004A7217">
            <w:pPr>
              <w:pStyle w:val="SingleTxtG"/>
              <w:suppressAutoHyphens w:val="0"/>
              <w:spacing w:before="40" w:after="40" w:line="220" w:lineRule="exact"/>
              <w:ind w:left="0" w:right="0"/>
              <w:jc w:val="right"/>
              <w:rPr>
                <w:sz w:val="18"/>
                <w:lang w:val="en-US"/>
              </w:rPr>
            </w:pPr>
            <w:r w:rsidRPr="00222917">
              <w:rPr>
                <w:sz w:val="18"/>
                <w:lang w:val="en-US"/>
              </w:rPr>
              <w:t>64,036</w:t>
            </w:r>
          </w:p>
        </w:tc>
        <w:tc>
          <w:tcPr>
            <w:tcW w:w="1247" w:type="dxa"/>
            <w:shd w:val="clear" w:color="auto" w:fill="auto"/>
            <w:tcMar>
              <w:top w:w="0" w:type="dxa"/>
              <w:left w:w="0" w:type="dxa"/>
              <w:bottom w:w="0" w:type="dxa"/>
              <w:right w:w="0" w:type="dxa"/>
            </w:tcMar>
            <w:vAlign w:val="bottom"/>
          </w:tcPr>
          <w:p w:rsidR="002D5BB0" w:rsidRPr="00222917" w:rsidRDefault="002D5BB0" w:rsidP="004A7217">
            <w:pPr>
              <w:pStyle w:val="SingleTxtG"/>
              <w:suppressAutoHyphens w:val="0"/>
              <w:spacing w:before="40" w:after="40" w:line="220" w:lineRule="exact"/>
              <w:ind w:left="0" w:right="0"/>
              <w:jc w:val="right"/>
              <w:rPr>
                <w:sz w:val="18"/>
                <w:lang w:val="en-US"/>
              </w:rPr>
            </w:pPr>
            <w:r w:rsidRPr="00222917">
              <w:rPr>
                <w:sz w:val="18"/>
                <w:lang w:val="en-US"/>
              </w:rPr>
              <w:t>242</w:t>
            </w:r>
          </w:p>
        </w:tc>
      </w:tr>
      <w:tr w:rsidR="008F6543" w:rsidRPr="00222917" w:rsidTr="00E7550D">
        <w:trPr>
          <w:trHeight w:val="240"/>
        </w:trPr>
        <w:tc>
          <w:tcPr>
            <w:tcW w:w="1134" w:type="dxa"/>
            <w:shd w:val="clear" w:color="auto" w:fill="auto"/>
            <w:tcMar>
              <w:top w:w="0" w:type="dxa"/>
              <w:left w:w="0" w:type="dxa"/>
              <w:bottom w:w="0" w:type="dxa"/>
              <w:right w:w="0" w:type="dxa"/>
            </w:tcMar>
          </w:tcPr>
          <w:p w:rsidR="002D5BB0" w:rsidRPr="00222917" w:rsidRDefault="002D5BB0" w:rsidP="004A7217">
            <w:pPr>
              <w:pStyle w:val="SingleTxtG"/>
              <w:suppressAutoHyphens w:val="0"/>
              <w:spacing w:before="40" w:after="40" w:line="220" w:lineRule="exact"/>
              <w:ind w:left="0" w:right="0"/>
              <w:jc w:val="left"/>
              <w:rPr>
                <w:sz w:val="18"/>
                <w:lang w:val="en-US"/>
              </w:rPr>
            </w:pPr>
            <w:r w:rsidRPr="00222917">
              <w:rPr>
                <w:sz w:val="18"/>
                <w:lang w:val="en-US"/>
              </w:rPr>
              <w:t>2009</w:t>
            </w:r>
          </w:p>
        </w:tc>
        <w:tc>
          <w:tcPr>
            <w:tcW w:w="1247" w:type="dxa"/>
            <w:shd w:val="clear" w:color="auto" w:fill="auto"/>
            <w:tcMar>
              <w:top w:w="0" w:type="dxa"/>
              <w:left w:w="0" w:type="dxa"/>
              <w:bottom w:w="0" w:type="dxa"/>
              <w:right w:w="0" w:type="dxa"/>
            </w:tcMar>
            <w:vAlign w:val="bottom"/>
          </w:tcPr>
          <w:p w:rsidR="002D5BB0" w:rsidRPr="00222917" w:rsidRDefault="002D5BB0" w:rsidP="004A7217">
            <w:pPr>
              <w:pStyle w:val="SingleTxtG"/>
              <w:suppressAutoHyphens w:val="0"/>
              <w:spacing w:before="40" w:after="40" w:line="220" w:lineRule="exact"/>
              <w:ind w:left="0" w:right="0"/>
              <w:jc w:val="right"/>
              <w:rPr>
                <w:sz w:val="18"/>
                <w:lang w:val="en-US"/>
              </w:rPr>
            </w:pPr>
            <w:r w:rsidRPr="00222917">
              <w:rPr>
                <w:sz w:val="18"/>
                <w:lang w:val="en-US"/>
              </w:rPr>
              <w:t>126</w:t>
            </w:r>
          </w:p>
        </w:tc>
        <w:tc>
          <w:tcPr>
            <w:tcW w:w="1247" w:type="dxa"/>
            <w:shd w:val="clear" w:color="auto" w:fill="auto"/>
            <w:tcMar>
              <w:top w:w="0" w:type="dxa"/>
              <w:left w:w="0" w:type="dxa"/>
              <w:bottom w:w="0" w:type="dxa"/>
              <w:right w:w="0" w:type="dxa"/>
            </w:tcMar>
            <w:vAlign w:val="bottom"/>
          </w:tcPr>
          <w:p w:rsidR="002D5BB0" w:rsidRPr="00222917" w:rsidRDefault="002D5BB0" w:rsidP="004A7217">
            <w:pPr>
              <w:pStyle w:val="SingleTxtG"/>
              <w:suppressAutoHyphens w:val="0"/>
              <w:spacing w:before="40" w:after="40" w:line="220" w:lineRule="exact"/>
              <w:ind w:left="0" w:right="0"/>
              <w:jc w:val="right"/>
              <w:rPr>
                <w:sz w:val="18"/>
                <w:lang w:val="en-US"/>
              </w:rPr>
            </w:pPr>
            <w:r w:rsidRPr="00222917">
              <w:rPr>
                <w:sz w:val="18"/>
                <w:lang w:val="en-US"/>
              </w:rPr>
              <w:t>47,897</w:t>
            </w:r>
          </w:p>
        </w:tc>
        <w:tc>
          <w:tcPr>
            <w:tcW w:w="1247" w:type="dxa"/>
            <w:shd w:val="clear" w:color="auto" w:fill="auto"/>
            <w:tcMar>
              <w:top w:w="0" w:type="dxa"/>
              <w:left w:w="0" w:type="dxa"/>
              <w:bottom w:w="0" w:type="dxa"/>
              <w:right w:w="0" w:type="dxa"/>
            </w:tcMar>
            <w:vAlign w:val="bottom"/>
          </w:tcPr>
          <w:p w:rsidR="002D5BB0" w:rsidRPr="00222917" w:rsidRDefault="002D5BB0" w:rsidP="004A7217">
            <w:pPr>
              <w:pStyle w:val="SingleTxtG"/>
              <w:suppressAutoHyphens w:val="0"/>
              <w:spacing w:before="40" w:after="40" w:line="220" w:lineRule="exact"/>
              <w:ind w:left="0" w:right="0"/>
              <w:jc w:val="right"/>
              <w:rPr>
                <w:sz w:val="18"/>
                <w:lang w:val="en-US"/>
              </w:rPr>
            </w:pPr>
            <w:r w:rsidRPr="00222917">
              <w:rPr>
                <w:sz w:val="18"/>
                <w:lang w:val="en-US"/>
              </w:rPr>
              <w:t>18,061</w:t>
            </w:r>
          </w:p>
        </w:tc>
        <w:tc>
          <w:tcPr>
            <w:tcW w:w="1247" w:type="dxa"/>
            <w:shd w:val="clear" w:color="auto" w:fill="auto"/>
            <w:tcMar>
              <w:top w:w="0" w:type="dxa"/>
              <w:left w:w="0" w:type="dxa"/>
              <w:bottom w:w="0" w:type="dxa"/>
              <w:right w:w="0" w:type="dxa"/>
            </w:tcMar>
            <w:vAlign w:val="bottom"/>
          </w:tcPr>
          <w:p w:rsidR="002D5BB0" w:rsidRPr="00222917" w:rsidRDefault="002D5BB0" w:rsidP="004A7217">
            <w:pPr>
              <w:pStyle w:val="SingleTxtG"/>
              <w:suppressAutoHyphens w:val="0"/>
              <w:spacing w:before="40" w:after="40" w:line="220" w:lineRule="exact"/>
              <w:ind w:left="0" w:right="0"/>
              <w:jc w:val="right"/>
              <w:rPr>
                <w:sz w:val="18"/>
                <w:lang w:val="en-US"/>
              </w:rPr>
            </w:pPr>
            <w:r w:rsidRPr="00222917">
              <w:rPr>
                <w:sz w:val="18"/>
                <w:lang w:val="en-US"/>
              </w:rPr>
              <w:t>58,414</w:t>
            </w:r>
          </w:p>
        </w:tc>
        <w:tc>
          <w:tcPr>
            <w:tcW w:w="1247" w:type="dxa"/>
            <w:shd w:val="clear" w:color="auto" w:fill="auto"/>
            <w:tcMar>
              <w:top w:w="0" w:type="dxa"/>
              <w:left w:w="0" w:type="dxa"/>
              <w:bottom w:w="0" w:type="dxa"/>
              <w:right w:w="0" w:type="dxa"/>
            </w:tcMar>
            <w:vAlign w:val="bottom"/>
          </w:tcPr>
          <w:p w:rsidR="002D5BB0" w:rsidRPr="00222917" w:rsidRDefault="002D5BB0" w:rsidP="004A7217">
            <w:pPr>
              <w:pStyle w:val="SingleTxtG"/>
              <w:suppressAutoHyphens w:val="0"/>
              <w:spacing w:before="40" w:after="40" w:line="220" w:lineRule="exact"/>
              <w:ind w:left="0" w:right="0"/>
              <w:jc w:val="right"/>
              <w:rPr>
                <w:sz w:val="18"/>
                <w:lang w:val="en-US"/>
              </w:rPr>
            </w:pPr>
            <w:r w:rsidRPr="00222917">
              <w:rPr>
                <w:sz w:val="18"/>
                <w:lang w:val="en-US"/>
              </w:rPr>
              <w:t>70</w:t>
            </w:r>
          </w:p>
        </w:tc>
      </w:tr>
      <w:tr w:rsidR="008F6543" w:rsidRPr="00222917" w:rsidTr="00E7550D">
        <w:trPr>
          <w:trHeight w:val="240"/>
        </w:trPr>
        <w:tc>
          <w:tcPr>
            <w:tcW w:w="1134" w:type="dxa"/>
            <w:tcBorders>
              <w:bottom w:val="single" w:sz="12" w:space="0" w:color="auto"/>
            </w:tcBorders>
            <w:shd w:val="clear" w:color="auto" w:fill="auto"/>
            <w:tcMar>
              <w:top w:w="0" w:type="dxa"/>
              <w:left w:w="0" w:type="dxa"/>
              <w:bottom w:w="0" w:type="dxa"/>
              <w:right w:w="0" w:type="dxa"/>
            </w:tcMar>
          </w:tcPr>
          <w:p w:rsidR="002D5BB0" w:rsidRPr="00222917" w:rsidRDefault="002D5BB0" w:rsidP="004A7217">
            <w:pPr>
              <w:pStyle w:val="SingleTxtG"/>
              <w:suppressAutoHyphens w:val="0"/>
              <w:spacing w:before="40" w:after="40" w:line="220" w:lineRule="exact"/>
              <w:ind w:left="0" w:right="0"/>
              <w:jc w:val="left"/>
              <w:rPr>
                <w:sz w:val="18"/>
                <w:lang w:val="en-US"/>
              </w:rPr>
            </w:pPr>
            <w:r w:rsidRPr="00222917">
              <w:rPr>
                <w:sz w:val="18"/>
                <w:lang w:val="en-US"/>
              </w:rPr>
              <w:t>2010</w:t>
            </w:r>
          </w:p>
        </w:tc>
        <w:tc>
          <w:tcPr>
            <w:tcW w:w="1247" w:type="dxa"/>
            <w:tcBorders>
              <w:bottom w:val="single" w:sz="12" w:space="0" w:color="auto"/>
            </w:tcBorders>
            <w:shd w:val="clear" w:color="auto" w:fill="auto"/>
            <w:tcMar>
              <w:top w:w="0" w:type="dxa"/>
              <w:left w:w="0" w:type="dxa"/>
              <w:bottom w:w="0" w:type="dxa"/>
              <w:right w:w="0" w:type="dxa"/>
            </w:tcMar>
            <w:vAlign w:val="bottom"/>
          </w:tcPr>
          <w:p w:rsidR="002D5BB0" w:rsidRPr="00222917" w:rsidRDefault="002D5BB0" w:rsidP="004A7217">
            <w:pPr>
              <w:pStyle w:val="SingleTxtG"/>
              <w:suppressAutoHyphens w:val="0"/>
              <w:spacing w:before="40" w:after="40" w:line="220" w:lineRule="exact"/>
              <w:ind w:left="0" w:right="0"/>
              <w:jc w:val="right"/>
              <w:rPr>
                <w:sz w:val="18"/>
                <w:lang w:val="en-US"/>
              </w:rPr>
            </w:pPr>
            <w:r w:rsidRPr="00222917">
              <w:rPr>
                <w:sz w:val="18"/>
                <w:lang w:val="en-US"/>
              </w:rPr>
              <w:t>126</w:t>
            </w:r>
          </w:p>
        </w:tc>
        <w:tc>
          <w:tcPr>
            <w:tcW w:w="1247" w:type="dxa"/>
            <w:tcBorders>
              <w:bottom w:val="single" w:sz="12" w:space="0" w:color="auto"/>
            </w:tcBorders>
            <w:shd w:val="clear" w:color="auto" w:fill="auto"/>
            <w:tcMar>
              <w:top w:w="0" w:type="dxa"/>
              <w:left w:w="0" w:type="dxa"/>
              <w:bottom w:w="0" w:type="dxa"/>
              <w:right w:w="0" w:type="dxa"/>
            </w:tcMar>
            <w:vAlign w:val="bottom"/>
          </w:tcPr>
          <w:p w:rsidR="002D5BB0" w:rsidRPr="00222917" w:rsidRDefault="002D5BB0" w:rsidP="004A7217">
            <w:pPr>
              <w:pStyle w:val="SingleTxtG"/>
              <w:suppressAutoHyphens w:val="0"/>
              <w:spacing w:before="40" w:after="40" w:line="220" w:lineRule="exact"/>
              <w:ind w:left="0" w:right="0"/>
              <w:jc w:val="right"/>
              <w:rPr>
                <w:sz w:val="18"/>
                <w:lang w:val="en-US"/>
              </w:rPr>
            </w:pPr>
            <w:r w:rsidRPr="00222917">
              <w:rPr>
                <w:sz w:val="18"/>
                <w:lang w:val="en-US"/>
              </w:rPr>
              <w:t>46,800</w:t>
            </w:r>
          </w:p>
        </w:tc>
        <w:tc>
          <w:tcPr>
            <w:tcW w:w="1247" w:type="dxa"/>
            <w:tcBorders>
              <w:bottom w:val="single" w:sz="12" w:space="0" w:color="auto"/>
            </w:tcBorders>
            <w:shd w:val="clear" w:color="auto" w:fill="auto"/>
            <w:tcMar>
              <w:top w:w="0" w:type="dxa"/>
              <w:left w:w="0" w:type="dxa"/>
              <w:bottom w:w="0" w:type="dxa"/>
              <w:right w:w="0" w:type="dxa"/>
            </w:tcMar>
            <w:vAlign w:val="bottom"/>
          </w:tcPr>
          <w:p w:rsidR="002D5BB0" w:rsidRPr="00222917" w:rsidRDefault="002D5BB0" w:rsidP="004A7217">
            <w:pPr>
              <w:pStyle w:val="SingleTxtG"/>
              <w:suppressAutoHyphens w:val="0"/>
              <w:spacing w:before="40" w:after="40" w:line="220" w:lineRule="exact"/>
              <w:ind w:left="0" w:right="0"/>
              <w:jc w:val="right"/>
              <w:rPr>
                <w:sz w:val="18"/>
                <w:lang w:val="en-US"/>
              </w:rPr>
            </w:pPr>
            <w:r w:rsidRPr="00222917">
              <w:rPr>
                <w:sz w:val="18"/>
                <w:lang w:val="en-US"/>
              </w:rPr>
              <w:t>14,374</w:t>
            </w:r>
          </w:p>
        </w:tc>
        <w:tc>
          <w:tcPr>
            <w:tcW w:w="1247" w:type="dxa"/>
            <w:tcBorders>
              <w:bottom w:val="single" w:sz="12" w:space="0" w:color="auto"/>
            </w:tcBorders>
            <w:shd w:val="clear" w:color="auto" w:fill="auto"/>
            <w:tcMar>
              <w:top w:w="0" w:type="dxa"/>
              <w:left w:w="0" w:type="dxa"/>
              <w:bottom w:w="0" w:type="dxa"/>
              <w:right w:w="0" w:type="dxa"/>
            </w:tcMar>
            <w:vAlign w:val="bottom"/>
          </w:tcPr>
          <w:p w:rsidR="002D5BB0" w:rsidRPr="00222917" w:rsidRDefault="002D5BB0" w:rsidP="004A7217">
            <w:pPr>
              <w:pStyle w:val="SingleTxtG"/>
              <w:suppressAutoHyphens w:val="0"/>
              <w:spacing w:before="40" w:after="40" w:line="220" w:lineRule="exact"/>
              <w:ind w:left="0" w:right="0"/>
              <w:jc w:val="right"/>
              <w:rPr>
                <w:sz w:val="18"/>
                <w:lang w:val="en-US"/>
              </w:rPr>
            </w:pPr>
            <w:r w:rsidRPr="00222917">
              <w:rPr>
                <w:sz w:val="18"/>
                <w:lang w:val="en-US"/>
              </w:rPr>
              <w:t>52,125</w:t>
            </w:r>
          </w:p>
        </w:tc>
        <w:tc>
          <w:tcPr>
            <w:tcW w:w="1247" w:type="dxa"/>
            <w:tcBorders>
              <w:bottom w:val="single" w:sz="12" w:space="0" w:color="auto"/>
            </w:tcBorders>
            <w:shd w:val="clear" w:color="auto" w:fill="auto"/>
            <w:tcMar>
              <w:top w:w="0" w:type="dxa"/>
              <w:left w:w="0" w:type="dxa"/>
              <w:bottom w:w="0" w:type="dxa"/>
              <w:right w:w="0" w:type="dxa"/>
            </w:tcMar>
            <w:vAlign w:val="bottom"/>
          </w:tcPr>
          <w:p w:rsidR="002D5BB0" w:rsidRPr="00222917" w:rsidRDefault="002D5BB0" w:rsidP="004A7217">
            <w:pPr>
              <w:pStyle w:val="SingleTxtG"/>
              <w:suppressAutoHyphens w:val="0"/>
              <w:spacing w:before="40" w:after="40" w:line="220" w:lineRule="exact"/>
              <w:ind w:left="0" w:right="0"/>
              <w:jc w:val="right"/>
              <w:rPr>
                <w:sz w:val="18"/>
                <w:lang w:val="en-US"/>
              </w:rPr>
            </w:pPr>
            <w:r w:rsidRPr="00222917">
              <w:rPr>
                <w:sz w:val="18"/>
                <w:lang w:val="en-US"/>
              </w:rPr>
              <w:t>238</w:t>
            </w:r>
          </w:p>
        </w:tc>
      </w:tr>
    </w:tbl>
    <w:p w:rsidR="002D5BB0" w:rsidRPr="00222917" w:rsidRDefault="00794B5A" w:rsidP="00794B5A">
      <w:pPr>
        <w:pStyle w:val="H23G"/>
        <w:rPr>
          <w:lang w:val="en-US"/>
        </w:rPr>
      </w:pPr>
      <w:bookmarkStart w:id="177" w:name="_Toc307504110"/>
      <w:bookmarkStart w:id="178" w:name="_Toc336435882"/>
      <w:r w:rsidRPr="00222917">
        <w:rPr>
          <w:lang w:val="en-US"/>
        </w:rPr>
        <w:tab/>
      </w:r>
      <w:r w:rsidRPr="00222917">
        <w:rPr>
          <w:lang w:val="en-US"/>
        </w:rPr>
        <w:tab/>
      </w:r>
      <w:r w:rsidR="002D5BB0" w:rsidRPr="00222917">
        <w:rPr>
          <w:lang w:val="en-US"/>
        </w:rPr>
        <w:t>Protection of Criminal Victims</w:t>
      </w:r>
      <w:bookmarkEnd w:id="177"/>
      <w:bookmarkEnd w:id="178"/>
    </w:p>
    <w:p w:rsidR="002D5BB0" w:rsidRPr="00222917" w:rsidRDefault="00547908" w:rsidP="00547908">
      <w:pPr>
        <w:pStyle w:val="SingleTxtG"/>
        <w:rPr>
          <w:lang w:val="en-US"/>
        </w:rPr>
      </w:pPr>
      <w:r w:rsidRPr="00222917">
        <w:rPr>
          <w:lang w:val="en-US"/>
        </w:rPr>
        <w:t>231.</w:t>
      </w:r>
      <w:r w:rsidRPr="00222917">
        <w:rPr>
          <w:lang w:val="en-US"/>
        </w:rPr>
        <w:tab/>
      </w:r>
      <w:r w:rsidR="002D5BB0" w:rsidRPr="00222917">
        <w:rPr>
          <w:lang w:val="en-US"/>
        </w:rPr>
        <w:t xml:space="preserve">In April 2009, the </w:t>
      </w:r>
      <w:r w:rsidR="002D5BB0" w:rsidRPr="000850F5">
        <w:rPr>
          <w:iCs/>
          <w:lang w:val="en-US"/>
        </w:rPr>
        <w:t>Enforcement Decree of the Crime Victim Aid Act</w:t>
      </w:r>
      <w:r w:rsidR="002D5BB0" w:rsidRPr="00222917">
        <w:rPr>
          <w:lang w:val="en-US"/>
        </w:rPr>
        <w:t xml:space="preserve">, designed to provide financial aid for the bereaved family of the deceased or the victim injured due to criminal acts, was amended to increase the </w:t>
      </w:r>
      <w:r w:rsidR="002D5BB0" w:rsidRPr="00222917">
        <w:rPr>
          <w:bCs/>
          <w:lang w:val="en-US"/>
        </w:rPr>
        <w:t>upper</w:t>
      </w:r>
      <w:r w:rsidR="002D5BB0" w:rsidRPr="00222917">
        <w:rPr>
          <w:lang w:val="en-US"/>
        </w:rPr>
        <w:t xml:space="preserve"> limit of the compensation for the bereaved family from KRW 10 million to KRW 30 million, and that of the disability compensation from KRW 6 million to KRW 30 million. </w:t>
      </w:r>
    </w:p>
    <w:p w:rsidR="002D5BB0" w:rsidRPr="00222917" w:rsidRDefault="00794B5A" w:rsidP="00723D15">
      <w:pPr>
        <w:pStyle w:val="H23G"/>
        <w:rPr>
          <w:b w:val="0"/>
          <w:sz w:val="16"/>
          <w:szCs w:val="16"/>
          <w:lang w:val="en-US"/>
        </w:rPr>
      </w:pPr>
      <w:r w:rsidRPr="00222917">
        <w:rPr>
          <w:lang w:val="en-US"/>
        </w:rPr>
        <w:tab/>
      </w:r>
      <w:r w:rsidRPr="00222917">
        <w:rPr>
          <w:lang w:val="en-US"/>
        </w:rPr>
        <w:tab/>
      </w:r>
      <w:r w:rsidR="002D5BB0" w:rsidRPr="00222917">
        <w:rPr>
          <w:lang w:val="en-US"/>
        </w:rPr>
        <w:t>Payment of Criminal Victim Compensation</w:t>
      </w:r>
      <w:r w:rsidRPr="00222917">
        <w:rPr>
          <w:lang w:val="en-US"/>
        </w:rPr>
        <w:br/>
      </w:r>
      <w:r w:rsidR="002D5BB0" w:rsidRPr="00222917">
        <w:rPr>
          <w:b w:val="0"/>
          <w:sz w:val="16"/>
          <w:szCs w:val="16"/>
          <w:lang w:val="en-US"/>
        </w:rPr>
        <w:t>(Number of cases; KRW 1,000)</w:t>
      </w:r>
    </w:p>
    <w:tbl>
      <w:tblPr>
        <w:tblW w:w="0" w:type="auto"/>
        <w:tblInd w:w="1134" w:type="dxa"/>
        <w:tblBorders>
          <w:top w:val="single" w:sz="4" w:space="0" w:color="auto"/>
        </w:tblBorders>
        <w:tblLayout w:type="fixed"/>
        <w:tblCellMar>
          <w:left w:w="0" w:type="dxa"/>
          <w:right w:w="0" w:type="dxa"/>
        </w:tblCellMar>
        <w:tblLook w:val="00A0"/>
      </w:tblPr>
      <w:tblGrid>
        <w:gridCol w:w="1134"/>
        <w:gridCol w:w="1247"/>
        <w:gridCol w:w="1247"/>
        <w:gridCol w:w="1247"/>
        <w:gridCol w:w="1247"/>
        <w:gridCol w:w="1247"/>
      </w:tblGrid>
      <w:tr w:rsidR="008F6543" w:rsidRPr="00222917" w:rsidTr="001C4E4C">
        <w:trPr>
          <w:tblHeader/>
        </w:trPr>
        <w:tc>
          <w:tcPr>
            <w:tcW w:w="1134" w:type="dxa"/>
            <w:vMerge w:val="restart"/>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723D15">
            <w:pPr>
              <w:pStyle w:val="SingleTxtG"/>
              <w:keepNext/>
              <w:keepLines/>
              <w:suppressAutoHyphens w:val="0"/>
              <w:spacing w:before="80" w:after="80" w:line="200" w:lineRule="exact"/>
              <w:ind w:left="0" w:right="0"/>
              <w:jc w:val="left"/>
              <w:rPr>
                <w:bCs/>
                <w:i/>
                <w:sz w:val="16"/>
                <w:lang w:val="en-US"/>
              </w:rPr>
            </w:pPr>
            <w:r w:rsidRPr="00222917">
              <w:rPr>
                <w:bCs/>
                <w:i/>
                <w:sz w:val="16"/>
                <w:lang w:val="en-US"/>
              </w:rPr>
              <w:t>Year</w:t>
            </w:r>
          </w:p>
        </w:tc>
        <w:tc>
          <w:tcPr>
            <w:tcW w:w="1247" w:type="dxa"/>
            <w:vMerge w:val="restart"/>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4A75DE">
            <w:pPr>
              <w:pStyle w:val="SingleTxtG"/>
              <w:keepNext/>
              <w:keepLines/>
              <w:suppressAutoHyphens w:val="0"/>
              <w:spacing w:before="80" w:after="80" w:line="200" w:lineRule="exact"/>
              <w:ind w:left="0" w:right="0"/>
              <w:jc w:val="right"/>
              <w:rPr>
                <w:bCs/>
                <w:i/>
                <w:sz w:val="16"/>
                <w:lang w:val="en-US"/>
              </w:rPr>
            </w:pPr>
            <w:r w:rsidRPr="00222917">
              <w:rPr>
                <w:bCs/>
                <w:i/>
                <w:sz w:val="16"/>
                <w:lang w:val="en-US"/>
              </w:rPr>
              <w:t>Budget (KRW1,000)</w:t>
            </w:r>
          </w:p>
        </w:tc>
        <w:tc>
          <w:tcPr>
            <w:tcW w:w="1247" w:type="dxa"/>
            <w:gridSpan w:val="2"/>
            <w:tcBorders>
              <w:top w:val="single" w:sz="4" w:space="0" w:color="auto"/>
              <w:bottom w:val="single" w:sz="4" w:space="0" w:color="auto"/>
              <w:right w:val="single" w:sz="24" w:space="0" w:color="FFFFFF"/>
            </w:tcBorders>
            <w:shd w:val="clear" w:color="auto" w:fill="auto"/>
            <w:tcMar>
              <w:top w:w="28" w:type="dxa"/>
              <w:left w:w="28" w:type="dxa"/>
              <w:bottom w:w="28" w:type="dxa"/>
              <w:right w:w="28" w:type="dxa"/>
            </w:tcMar>
            <w:vAlign w:val="bottom"/>
          </w:tcPr>
          <w:p w:rsidR="002D5BB0" w:rsidRPr="00222917" w:rsidRDefault="002D5BB0" w:rsidP="00723D15">
            <w:pPr>
              <w:pStyle w:val="SingleTxtG"/>
              <w:keepNext/>
              <w:keepLines/>
              <w:suppressAutoHyphens w:val="0"/>
              <w:spacing w:before="80" w:after="80" w:line="200" w:lineRule="exact"/>
              <w:ind w:left="0" w:right="0"/>
              <w:jc w:val="center"/>
              <w:rPr>
                <w:bCs/>
                <w:i/>
                <w:sz w:val="16"/>
                <w:lang w:val="en-US"/>
              </w:rPr>
            </w:pPr>
            <w:r w:rsidRPr="00222917">
              <w:rPr>
                <w:bCs/>
                <w:i/>
                <w:sz w:val="16"/>
                <w:lang w:val="en-US"/>
              </w:rPr>
              <w:t>Application</w:t>
            </w:r>
          </w:p>
        </w:tc>
        <w:tc>
          <w:tcPr>
            <w:tcW w:w="1247" w:type="dxa"/>
            <w:gridSpan w:val="2"/>
            <w:tcBorders>
              <w:top w:val="single" w:sz="4" w:space="0" w:color="auto"/>
              <w:left w:val="single" w:sz="24" w:space="0" w:color="FFFFFF"/>
              <w:bottom w:val="single" w:sz="4" w:space="0" w:color="auto"/>
            </w:tcBorders>
            <w:shd w:val="clear" w:color="auto" w:fill="auto"/>
            <w:tcMar>
              <w:top w:w="28" w:type="dxa"/>
              <w:left w:w="28" w:type="dxa"/>
              <w:bottom w:w="28" w:type="dxa"/>
              <w:right w:w="28" w:type="dxa"/>
            </w:tcMar>
            <w:vAlign w:val="bottom"/>
          </w:tcPr>
          <w:p w:rsidR="002D5BB0" w:rsidRPr="00222917" w:rsidRDefault="002D5BB0" w:rsidP="00723D15">
            <w:pPr>
              <w:pStyle w:val="SingleTxtG"/>
              <w:keepNext/>
              <w:keepLines/>
              <w:suppressAutoHyphens w:val="0"/>
              <w:spacing w:before="80" w:after="80" w:line="200" w:lineRule="exact"/>
              <w:ind w:left="0" w:right="0"/>
              <w:jc w:val="center"/>
              <w:rPr>
                <w:bCs/>
                <w:i/>
                <w:sz w:val="16"/>
                <w:lang w:val="en-US"/>
              </w:rPr>
            </w:pPr>
            <w:r w:rsidRPr="00222917">
              <w:rPr>
                <w:bCs/>
                <w:i/>
                <w:sz w:val="16"/>
                <w:lang w:val="en-US"/>
              </w:rPr>
              <w:t>Payment</w:t>
            </w:r>
          </w:p>
        </w:tc>
      </w:tr>
      <w:tr w:rsidR="008F6543" w:rsidRPr="00222917" w:rsidTr="001C4E4C">
        <w:trPr>
          <w:tblHeader/>
        </w:trPr>
        <w:tc>
          <w:tcPr>
            <w:tcW w:w="1134" w:type="dxa"/>
            <w:vMerge/>
            <w:tcBorders>
              <w:top w:val="single" w:sz="12" w:space="0" w:color="auto"/>
              <w:bottom w:val="single" w:sz="12" w:space="0" w:color="auto"/>
            </w:tcBorders>
            <w:shd w:val="clear" w:color="auto" w:fill="auto"/>
            <w:vAlign w:val="bottom"/>
          </w:tcPr>
          <w:p w:rsidR="002D5BB0" w:rsidRPr="00222917" w:rsidRDefault="002D5BB0" w:rsidP="00723D15">
            <w:pPr>
              <w:pStyle w:val="SingleTxtG"/>
              <w:keepNext/>
              <w:keepLines/>
              <w:suppressAutoHyphens w:val="0"/>
              <w:spacing w:before="80" w:after="80" w:line="200" w:lineRule="exact"/>
              <w:ind w:left="0" w:right="0"/>
              <w:jc w:val="left"/>
              <w:rPr>
                <w:bCs/>
                <w:i/>
                <w:sz w:val="16"/>
                <w:lang w:val="en-US"/>
              </w:rPr>
            </w:pPr>
          </w:p>
        </w:tc>
        <w:tc>
          <w:tcPr>
            <w:tcW w:w="1247" w:type="dxa"/>
            <w:vMerge/>
            <w:tcBorders>
              <w:top w:val="single" w:sz="12" w:space="0" w:color="auto"/>
              <w:bottom w:val="single" w:sz="12" w:space="0" w:color="auto"/>
            </w:tcBorders>
            <w:shd w:val="clear" w:color="auto" w:fill="auto"/>
            <w:vAlign w:val="bottom"/>
          </w:tcPr>
          <w:p w:rsidR="002D5BB0" w:rsidRPr="00222917" w:rsidRDefault="002D5BB0" w:rsidP="00723D15">
            <w:pPr>
              <w:pStyle w:val="SingleTxtG"/>
              <w:keepNext/>
              <w:keepLines/>
              <w:suppressAutoHyphens w:val="0"/>
              <w:spacing w:before="80" w:after="80" w:line="200" w:lineRule="exact"/>
              <w:ind w:left="0" w:right="0"/>
              <w:jc w:val="left"/>
              <w:rPr>
                <w:bCs/>
                <w:i/>
                <w:sz w:val="16"/>
                <w:lang w:val="en-US"/>
              </w:rPr>
            </w:pPr>
          </w:p>
        </w:tc>
        <w:tc>
          <w:tcPr>
            <w:tcW w:w="1247"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4A75DE">
            <w:pPr>
              <w:pStyle w:val="SingleTxtG"/>
              <w:keepNext/>
              <w:keepLines/>
              <w:suppressAutoHyphens w:val="0"/>
              <w:spacing w:before="80" w:after="80" w:line="200" w:lineRule="exact"/>
              <w:ind w:left="0" w:right="0"/>
              <w:jc w:val="right"/>
              <w:rPr>
                <w:bCs/>
                <w:i/>
                <w:sz w:val="16"/>
                <w:lang w:val="en-US"/>
              </w:rPr>
            </w:pPr>
            <w:r w:rsidRPr="00222917">
              <w:rPr>
                <w:bCs/>
                <w:i/>
                <w:sz w:val="16"/>
                <w:lang w:val="en-US"/>
              </w:rPr>
              <w:t xml:space="preserve">Number </w:t>
            </w:r>
            <w:r w:rsidR="004A75DE" w:rsidRPr="00222917">
              <w:rPr>
                <w:bCs/>
                <w:i/>
                <w:sz w:val="16"/>
                <w:lang w:val="en-US"/>
              </w:rPr>
              <w:br/>
            </w:r>
            <w:r w:rsidRPr="00222917">
              <w:rPr>
                <w:bCs/>
                <w:i/>
                <w:sz w:val="16"/>
                <w:lang w:val="en-US"/>
              </w:rPr>
              <w:t>of cases</w:t>
            </w:r>
          </w:p>
        </w:tc>
        <w:tc>
          <w:tcPr>
            <w:tcW w:w="1247" w:type="dxa"/>
            <w:tcBorders>
              <w:top w:val="single" w:sz="4" w:space="0" w:color="auto"/>
              <w:bottom w:val="single" w:sz="12" w:space="0" w:color="auto"/>
              <w:right w:val="single" w:sz="24" w:space="0" w:color="FFFFFF"/>
            </w:tcBorders>
            <w:shd w:val="clear" w:color="auto" w:fill="auto"/>
            <w:tcMar>
              <w:top w:w="28" w:type="dxa"/>
              <w:left w:w="28" w:type="dxa"/>
              <w:bottom w:w="28" w:type="dxa"/>
              <w:right w:w="28" w:type="dxa"/>
            </w:tcMar>
            <w:vAlign w:val="bottom"/>
          </w:tcPr>
          <w:p w:rsidR="002D5BB0" w:rsidRPr="00222917" w:rsidRDefault="004A75DE" w:rsidP="004A75DE">
            <w:pPr>
              <w:pStyle w:val="SingleTxtG"/>
              <w:keepNext/>
              <w:keepLines/>
              <w:suppressAutoHyphens w:val="0"/>
              <w:spacing w:before="80" w:after="80" w:line="200" w:lineRule="exact"/>
              <w:ind w:left="0" w:right="0"/>
              <w:jc w:val="right"/>
              <w:rPr>
                <w:bCs/>
                <w:i/>
                <w:sz w:val="16"/>
                <w:lang w:val="en-US"/>
              </w:rPr>
            </w:pPr>
            <w:r w:rsidRPr="00222917">
              <w:rPr>
                <w:bCs/>
                <w:i/>
                <w:sz w:val="16"/>
                <w:lang w:val="en-US"/>
              </w:rPr>
              <w:t>Amount</w:t>
            </w:r>
            <w:r w:rsidRPr="00222917">
              <w:rPr>
                <w:bCs/>
                <w:i/>
                <w:sz w:val="16"/>
                <w:lang w:val="en-US"/>
              </w:rPr>
              <w:br/>
            </w:r>
            <w:r w:rsidR="002D5BB0" w:rsidRPr="00222917">
              <w:rPr>
                <w:bCs/>
                <w:i/>
                <w:sz w:val="16"/>
                <w:lang w:val="en-US"/>
              </w:rPr>
              <w:t>(KRW 1,000)</w:t>
            </w:r>
          </w:p>
        </w:tc>
        <w:tc>
          <w:tcPr>
            <w:tcW w:w="1247" w:type="dxa"/>
            <w:tcBorders>
              <w:top w:val="single" w:sz="4" w:space="0" w:color="auto"/>
              <w:left w:val="single" w:sz="24" w:space="0" w:color="FFFFFF"/>
              <w:bottom w:val="single" w:sz="12" w:space="0" w:color="auto"/>
            </w:tcBorders>
            <w:shd w:val="clear" w:color="auto" w:fill="auto"/>
            <w:tcMar>
              <w:top w:w="28" w:type="dxa"/>
              <w:left w:w="28" w:type="dxa"/>
              <w:bottom w:w="28" w:type="dxa"/>
              <w:right w:w="28" w:type="dxa"/>
            </w:tcMar>
            <w:vAlign w:val="bottom"/>
          </w:tcPr>
          <w:p w:rsidR="002D5BB0" w:rsidRPr="00222917" w:rsidRDefault="004A75DE" w:rsidP="004A75DE">
            <w:pPr>
              <w:pStyle w:val="SingleTxtG"/>
              <w:keepNext/>
              <w:keepLines/>
              <w:suppressAutoHyphens w:val="0"/>
              <w:spacing w:before="80" w:after="80" w:line="200" w:lineRule="exact"/>
              <w:ind w:left="0" w:right="0"/>
              <w:jc w:val="right"/>
              <w:rPr>
                <w:bCs/>
                <w:i/>
                <w:sz w:val="16"/>
                <w:lang w:val="en-US"/>
              </w:rPr>
            </w:pPr>
            <w:r w:rsidRPr="00222917">
              <w:rPr>
                <w:bCs/>
                <w:i/>
                <w:sz w:val="16"/>
                <w:lang w:val="en-US"/>
              </w:rPr>
              <w:t>Number</w:t>
            </w:r>
            <w:r w:rsidRPr="00222917">
              <w:rPr>
                <w:bCs/>
                <w:i/>
                <w:sz w:val="16"/>
                <w:lang w:val="en-US"/>
              </w:rPr>
              <w:br/>
            </w:r>
            <w:r w:rsidR="002D5BB0" w:rsidRPr="00222917">
              <w:rPr>
                <w:bCs/>
                <w:i/>
                <w:sz w:val="16"/>
                <w:lang w:val="en-US"/>
              </w:rPr>
              <w:t>of cases</w:t>
            </w:r>
          </w:p>
        </w:tc>
        <w:tc>
          <w:tcPr>
            <w:tcW w:w="1247"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4A75DE" w:rsidP="004A75DE">
            <w:pPr>
              <w:pStyle w:val="SingleTxtG"/>
              <w:keepNext/>
              <w:keepLines/>
              <w:suppressAutoHyphens w:val="0"/>
              <w:spacing w:before="80" w:after="80" w:line="200" w:lineRule="exact"/>
              <w:ind w:left="0" w:right="0"/>
              <w:jc w:val="right"/>
              <w:rPr>
                <w:bCs/>
                <w:i/>
                <w:sz w:val="16"/>
                <w:lang w:val="en-US"/>
              </w:rPr>
            </w:pPr>
            <w:r w:rsidRPr="00222917">
              <w:rPr>
                <w:bCs/>
                <w:i/>
                <w:sz w:val="16"/>
                <w:lang w:val="en-US"/>
              </w:rPr>
              <w:t>Amount</w:t>
            </w:r>
            <w:r w:rsidRPr="00222917">
              <w:rPr>
                <w:bCs/>
                <w:i/>
                <w:sz w:val="16"/>
                <w:lang w:val="en-US"/>
              </w:rPr>
              <w:br/>
            </w:r>
            <w:r w:rsidR="002D5BB0" w:rsidRPr="00222917">
              <w:rPr>
                <w:bCs/>
                <w:i/>
                <w:sz w:val="16"/>
                <w:lang w:val="en-US"/>
              </w:rPr>
              <w:t>(KRW 1,000)</w:t>
            </w:r>
          </w:p>
        </w:tc>
      </w:tr>
      <w:tr w:rsidR="008F6543" w:rsidRPr="00222917" w:rsidTr="00723D15">
        <w:tc>
          <w:tcPr>
            <w:tcW w:w="1134" w:type="dxa"/>
            <w:tcBorders>
              <w:top w:val="single" w:sz="12" w:space="0" w:color="auto"/>
            </w:tcBorders>
            <w:shd w:val="clear" w:color="auto" w:fill="auto"/>
            <w:tcMar>
              <w:top w:w="28" w:type="dxa"/>
              <w:left w:w="28" w:type="dxa"/>
              <w:bottom w:w="28" w:type="dxa"/>
              <w:right w:w="28" w:type="dxa"/>
            </w:tcMar>
          </w:tcPr>
          <w:p w:rsidR="002D5BB0" w:rsidRPr="00222917" w:rsidRDefault="002D5BB0" w:rsidP="00723D15">
            <w:pPr>
              <w:pStyle w:val="SingleTxtG"/>
              <w:keepNext/>
              <w:keepLines/>
              <w:suppressAutoHyphens w:val="0"/>
              <w:spacing w:before="40" w:after="40" w:line="220" w:lineRule="exact"/>
              <w:ind w:left="0" w:right="0"/>
              <w:jc w:val="left"/>
              <w:rPr>
                <w:sz w:val="18"/>
                <w:lang w:val="en-US"/>
              </w:rPr>
            </w:pPr>
            <w:r w:rsidRPr="00222917">
              <w:rPr>
                <w:sz w:val="18"/>
                <w:lang w:val="en-US"/>
              </w:rPr>
              <w:t>2004</w:t>
            </w:r>
          </w:p>
        </w:tc>
        <w:tc>
          <w:tcPr>
            <w:tcW w:w="1247" w:type="dxa"/>
            <w:tcBorders>
              <w:top w:val="single" w:sz="12" w:space="0" w:color="auto"/>
            </w:tcBorders>
            <w:shd w:val="clear" w:color="auto" w:fill="auto"/>
            <w:tcMar>
              <w:top w:w="28" w:type="dxa"/>
              <w:left w:w="28" w:type="dxa"/>
              <w:bottom w:w="28" w:type="dxa"/>
              <w:right w:w="28" w:type="dxa"/>
            </w:tcMar>
            <w:vAlign w:val="bottom"/>
          </w:tcPr>
          <w:p w:rsidR="002D5BB0" w:rsidRPr="00222917" w:rsidRDefault="002D5BB0" w:rsidP="00723D15">
            <w:pPr>
              <w:pStyle w:val="SingleTxtG"/>
              <w:keepNext/>
              <w:keepLines/>
              <w:suppressAutoHyphens w:val="0"/>
              <w:spacing w:before="40" w:after="40" w:line="220" w:lineRule="exact"/>
              <w:ind w:left="0" w:right="0"/>
              <w:jc w:val="right"/>
              <w:rPr>
                <w:sz w:val="18"/>
                <w:lang w:val="en-US"/>
              </w:rPr>
            </w:pPr>
            <w:r w:rsidRPr="00222917">
              <w:rPr>
                <w:sz w:val="18"/>
                <w:lang w:val="en-US"/>
              </w:rPr>
              <w:t>749,000</w:t>
            </w:r>
          </w:p>
        </w:tc>
        <w:tc>
          <w:tcPr>
            <w:tcW w:w="1247" w:type="dxa"/>
            <w:tcBorders>
              <w:top w:val="single" w:sz="12" w:space="0" w:color="auto"/>
            </w:tcBorders>
            <w:shd w:val="clear" w:color="auto" w:fill="auto"/>
            <w:tcMar>
              <w:top w:w="28" w:type="dxa"/>
              <w:left w:w="28" w:type="dxa"/>
              <w:bottom w:w="28" w:type="dxa"/>
              <w:right w:w="28" w:type="dxa"/>
            </w:tcMar>
            <w:vAlign w:val="bottom"/>
          </w:tcPr>
          <w:p w:rsidR="002D5BB0" w:rsidRPr="00222917" w:rsidRDefault="002D5BB0" w:rsidP="00723D15">
            <w:pPr>
              <w:pStyle w:val="SingleTxtG"/>
              <w:keepNext/>
              <w:keepLines/>
              <w:suppressAutoHyphens w:val="0"/>
              <w:spacing w:before="40" w:after="40" w:line="220" w:lineRule="exact"/>
              <w:ind w:left="0" w:right="0"/>
              <w:jc w:val="right"/>
              <w:rPr>
                <w:sz w:val="18"/>
                <w:lang w:val="en-US"/>
              </w:rPr>
            </w:pPr>
            <w:r w:rsidRPr="00222917">
              <w:rPr>
                <w:sz w:val="18"/>
                <w:lang w:val="en-US"/>
              </w:rPr>
              <w:t>138</w:t>
            </w:r>
          </w:p>
        </w:tc>
        <w:tc>
          <w:tcPr>
            <w:tcW w:w="1247" w:type="dxa"/>
            <w:tcBorders>
              <w:top w:val="single" w:sz="12" w:space="0" w:color="auto"/>
            </w:tcBorders>
            <w:shd w:val="clear" w:color="auto" w:fill="auto"/>
            <w:tcMar>
              <w:top w:w="28" w:type="dxa"/>
              <w:left w:w="28" w:type="dxa"/>
              <w:bottom w:w="28" w:type="dxa"/>
              <w:right w:w="28" w:type="dxa"/>
            </w:tcMar>
            <w:vAlign w:val="bottom"/>
          </w:tcPr>
          <w:p w:rsidR="002D5BB0" w:rsidRPr="00222917" w:rsidRDefault="002D5BB0" w:rsidP="00723D15">
            <w:pPr>
              <w:pStyle w:val="SingleTxtG"/>
              <w:keepNext/>
              <w:keepLines/>
              <w:suppressAutoHyphens w:val="0"/>
              <w:spacing w:before="40" w:after="40" w:line="220" w:lineRule="exact"/>
              <w:ind w:left="0" w:right="0"/>
              <w:jc w:val="right"/>
              <w:rPr>
                <w:sz w:val="18"/>
                <w:lang w:val="en-US"/>
              </w:rPr>
            </w:pPr>
            <w:r w:rsidRPr="00222917">
              <w:rPr>
                <w:sz w:val="18"/>
                <w:lang w:val="en-US"/>
              </w:rPr>
              <w:t>1,274,000</w:t>
            </w:r>
          </w:p>
        </w:tc>
        <w:tc>
          <w:tcPr>
            <w:tcW w:w="1247" w:type="dxa"/>
            <w:tcBorders>
              <w:top w:val="single" w:sz="12" w:space="0" w:color="auto"/>
            </w:tcBorders>
            <w:shd w:val="clear" w:color="auto" w:fill="auto"/>
            <w:tcMar>
              <w:top w:w="28" w:type="dxa"/>
              <w:left w:w="28" w:type="dxa"/>
              <w:bottom w:w="28" w:type="dxa"/>
              <w:right w:w="28" w:type="dxa"/>
            </w:tcMar>
            <w:vAlign w:val="bottom"/>
          </w:tcPr>
          <w:p w:rsidR="002D5BB0" w:rsidRPr="00222917" w:rsidRDefault="002D5BB0" w:rsidP="00723D15">
            <w:pPr>
              <w:pStyle w:val="SingleTxtG"/>
              <w:keepNext/>
              <w:keepLines/>
              <w:suppressAutoHyphens w:val="0"/>
              <w:spacing w:before="40" w:after="40" w:line="220" w:lineRule="exact"/>
              <w:ind w:left="0" w:right="0"/>
              <w:jc w:val="right"/>
              <w:rPr>
                <w:sz w:val="18"/>
                <w:lang w:val="en-US"/>
              </w:rPr>
            </w:pPr>
            <w:r w:rsidRPr="00222917">
              <w:rPr>
                <w:sz w:val="18"/>
                <w:lang w:val="en-US"/>
              </w:rPr>
              <w:t>74</w:t>
            </w:r>
          </w:p>
        </w:tc>
        <w:tc>
          <w:tcPr>
            <w:tcW w:w="1247" w:type="dxa"/>
            <w:tcBorders>
              <w:top w:val="single" w:sz="12" w:space="0" w:color="auto"/>
            </w:tcBorders>
            <w:shd w:val="clear" w:color="auto" w:fill="auto"/>
            <w:tcMar>
              <w:top w:w="28" w:type="dxa"/>
              <w:left w:w="28" w:type="dxa"/>
              <w:bottom w:w="28" w:type="dxa"/>
              <w:right w:w="28" w:type="dxa"/>
            </w:tcMar>
            <w:vAlign w:val="bottom"/>
          </w:tcPr>
          <w:p w:rsidR="002D5BB0" w:rsidRPr="00222917" w:rsidRDefault="002D5BB0" w:rsidP="00723D15">
            <w:pPr>
              <w:pStyle w:val="SingleTxtG"/>
              <w:keepNext/>
              <w:keepLines/>
              <w:suppressAutoHyphens w:val="0"/>
              <w:spacing w:before="40" w:after="40" w:line="220" w:lineRule="exact"/>
              <w:ind w:left="0" w:right="0"/>
              <w:jc w:val="right"/>
              <w:rPr>
                <w:sz w:val="18"/>
                <w:lang w:val="en-US"/>
              </w:rPr>
            </w:pPr>
            <w:r w:rsidRPr="00222917">
              <w:rPr>
                <w:sz w:val="18"/>
                <w:lang w:val="en-US"/>
              </w:rPr>
              <w:t>648,400</w:t>
            </w:r>
          </w:p>
        </w:tc>
      </w:tr>
      <w:tr w:rsidR="008F6543" w:rsidRPr="00222917" w:rsidTr="00723D15">
        <w:tc>
          <w:tcPr>
            <w:tcW w:w="1134" w:type="dxa"/>
            <w:shd w:val="clear" w:color="auto" w:fill="auto"/>
            <w:tcMar>
              <w:top w:w="28" w:type="dxa"/>
              <w:left w:w="28" w:type="dxa"/>
              <w:bottom w:w="28" w:type="dxa"/>
              <w:right w:w="28" w:type="dxa"/>
            </w:tcMar>
          </w:tcPr>
          <w:p w:rsidR="002D5BB0" w:rsidRPr="00222917" w:rsidRDefault="002D5BB0" w:rsidP="00723D15">
            <w:pPr>
              <w:pStyle w:val="SingleTxtG"/>
              <w:keepNext/>
              <w:keepLines/>
              <w:suppressAutoHyphens w:val="0"/>
              <w:spacing w:before="40" w:after="40" w:line="220" w:lineRule="exact"/>
              <w:ind w:left="0" w:right="0"/>
              <w:jc w:val="left"/>
              <w:rPr>
                <w:sz w:val="18"/>
                <w:lang w:val="en-US"/>
              </w:rPr>
            </w:pPr>
            <w:r w:rsidRPr="00222917">
              <w:rPr>
                <w:sz w:val="18"/>
                <w:lang w:val="en-US"/>
              </w:rPr>
              <w:t>2005</w:t>
            </w:r>
          </w:p>
        </w:tc>
        <w:tc>
          <w:tcPr>
            <w:tcW w:w="1247" w:type="dxa"/>
            <w:shd w:val="clear" w:color="auto" w:fill="auto"/>
            <w:tcMar>
              <w:top w:w="28" w:type="dxa"/>
              <w:left w:w="28" w:type="dxa"/>
              <w:bottom w:w="28" w:type="dxa"/>
              <w:right w:w="28" w:type="dxa"/>
            </w:tcMar>
            <w:vAlign w:val="bottom"/>
          </w:tcPr>
          <w:p w:rsidR="002D5BB0" w:rsidRPr="00222917" w:rsidRDefault="002D5BB0" w:rsidP="00723D15">
            <w:pPr>
              <w:pStyle w:val="SingleTxtG"/>
              <w:keepNext/>
              <w:keepLines/>
              <w:suppressAutoHyphens w:val="0"/>
              <w:spacing w:before="40" w:after="40" w:line="220" w:lineRule="exact"/>
              <w:ind w:left="0" w:right="0"/>
              <w:jc w:val="right"/>
              <w:rPr>
                <w:sz w:val="18"/>
                <w:lang w:val="en-US"/>
              </w:rPr>
            </w:pPr>
            <w:r w:rsidRPr="00222917">
              <w:rPr>
                <w:sz w:val="18"/>
                <w:lang w:val="en-US"/>
              </w:rPr>
              <w:t>537,000</w:t>
            </w:r>
          </w:p>
        </w:tc>
        <w:tc>
          <w:tcPr>
            <w:tcW w:w="1247" w:type="dxa"/>
            <w:shd w:val="clear" w:color="auto" w:fill="auto"/>
            <w:tcMar>
              <w:top w:w="28" w:type="dxa"/>
              <w:left w:w="28" w:type="dxa"/>
              <w:bottom w:w="28" w:type="dxa"/>
              <w:right w:w="28" w:type="dxa"/>
            </w:tcMar>
            <w:vAlign w:val="bottom"/>
          </w:tcPr>
          <w:p w:rsidR="002D5BB0" w:rsidRPr="00222917" w:rsidRDefault="002D5BB0" w:rsidP="00723D15">
            <w:pPr>
              <w:pStyle w:val="SingleTxtG"/>
              <w:keepNext/>
              <w:keepLines/>
              <w:suppressAutoHyphens w:val="0"/>
              <w:spacing w:before="40" w:after="40" w:line="220" w:lineRule="exact"/>
              <w:ind w:left="0" w:right="0"/>
              <w:jc w:val="right"/>
              <w:rPr>
                <w:sz w:val="18"/>
                <w:lang w:val="en-US"/>
              </w:rPr>
            </w:pPr>
            <w:r w:rsidRPr="00222917">
              <w:rPr>
                <w:sz w:val="18"/>
                <w:lang w:val="en-US"/>
              </w:rPr>
              <w:t>221</w:t>
            </w:r>
          </w:p>
        </w:tc>
        <w:tc>
          <w:tcPr>
            <w:tcW w:w="1247" w:type="dxa"/>
            <w:shd w:val="clear" w:color="auto" w:fill="auto"/>
            <w:tcMar>
              <w:top w:w="28" w:type="dxa"/>
              <w:left w:w="28" w:type="dxa"/>
              <w:bottom w:w="28" w:type="dxa"/>
              <w:right w:w="28" w:type="dxa"/>
            </w:tcMar>
            <w:vAlign w:val="bottom"/>
          </w:tcPr>
          <w:p w:rsidR="002D5BB0" w:rsidRPr="00222917" w:rsidRDefault="002D5BB0" w:rsidP="00723D15">
            <w:pPr>
              <w:pStyle w:val="SingleTxtG"/>
              <w:keepNext/>
              <w:keepLines/>
              <w:suppressAutoHyphens w:val="0"/>
              <w:spacing w:before="40" w:after="40" w:line="220" w:lineRule="exact"/>
              <w:ind w:left="0" w:right="0"/>
              <w:jc w:val="right"/>
              <w:rPr>
                <w:sz w:val="18"/>
                <w:lang w:val="en-US"/>
              </w:rPr>
            </w:pPr>
            <w:r w:rsidRPr="00222917">
              <w:rPr>
                <w:sz w:val="18"/>
                <w:lang w:val="en-US"/>
              </w:rPr>
              <w:t>2,052,333</w:t>
            </w:r>
          </w:p>
        </w:tc>
        <w:tc>
          <w:tcPr>
            <w:tcW w:w="1247" w:type="dxa"/>
            <w:shd w:val="clear" w:color="auto" w:fill="auto"/>
            <w:tcMar>
              <w:top w:w="28" w:type="dxa"/>
              <w:left w:w="28" w:type="dxa"/>
              <w:bottom w:w="28" w:type="dxa"/>
              <w:right w:w="28" w:type="dxa"/>
            </w:tcMar>
            <w:vAlign w:val="bottom"/>
          </w:tcPr>
          <w:p w:rsidR="002D5BB0" w:rsidRPr="00222917" w:rsidRDefault="002D5BB0" w:rsidP="00723D15">
            <w:pPr>
              <w:pStyle w:val="SingleTxtG"/>
              <w:keepNext/>
              <w:keepLines/>
              <w:suppressAutoHyphens w:val="0"/>
              <w:spacing w:before="40" w:after="40" w:line="220" w:lineRule="exact"/>
              <w:ind w:left="0" w:right="0"/>
              <w:jc w:val="right"/>
              <w:rPr>
                <w:sz w:val="18"/>
                <w:lang w:val="en-US"/>
              </w:rPr>
            </w:pPr>
            <w:r w:rsidRPr="00222917">
              <w:rPr>
                <w:sz w:val="18"/>
                <w:lang w:val="en-US"/>
              </w:rPr>
              <w:t>118</w:t>
            </w:r>
          </w:p>
        </w:tc>
        <w:tc>
          <w:tcPr>
            <w:tcW w:w="1247" w:type="dxa"/>
            <w:shd w:val="clear" w:color="auto" w:fill="auto"/>
            <w:tcMar>
              <w:top w:w="28" w:type="dxa"/>
              <w:left w:w="28" w:type="dxa"/>
              <w:bottom w:w="28" w:type="dxa"/>
              <w:right w:w="28" w:type="dxa"/>
            </w:tcMar>
            <w:vAlign w:val="bottom"/>
          </w:tcPr>
          <w:p w:rsidR="002D5BB0" w:rsidRPr="00222917" w:rsidRDefault="002D5BB0" w:rsidP="00723D15">
            <w:pPr>
              <w:pStyle w:val="SingleTxtG"/>
              <w:keepNext/>
              <w:keepLines/>
              <w:suppressAutoHyphens w:val="0"/>
              <w:spacing w:before="40" w:after="40" w:line="220" w:lineRule="exact"/>
              <w:ind w:left="0" w:right="0"/>
              <w:jc w:val="right"/>
              <w:rPr>
                <w:sz w:val="18"/>
                <w:lang w:val="en-US"/>
              </w:rPr>
            </w:pPr>
            <w:r w:rsidRPr="00222917">
              <w:rPr>
                <w:sz w:val="18"/>
                <w:lang w:val="en-US"/>
              </w:rPr>
              <w:t>1,065,133</w:t>
            </w:r>
          </w:p>
        </w:tc>
      </w:tr>
      <w:tr w:rsidR="008F6543" w:rsidRPr="00222917" w:rsidTr="00723D15">
        <w:tc>
          <w:tcPr>
            <w:tcW w:w="1134" w:type="dxa"/>
            <w:shd w:val="clear" w:color="auto" w:fill="auto"/>
            <w:tcMar>
              <w:top w:w="28" w:type="dxa"/>
              <w:left w:w="28" w:type="dxa"/>
              <w:bottom w:w="28" w:type="dxa"/>
              <w:right w:w="28" w:type="dxa"/>
            </w:tcMar>
          </w:tcPr>
          <w:p w:rsidR="002D5BB0" w:rsidRPr="00222917" w:rsidRDefault="002D5BB0" w:rsidP="00723D15">
            <w:pPr>
              <w:pStyle w:val="SingleTxtG"/>
              <w:keepNext/>
              <w:keepLines/>
              <w:suppressAutoHyphens w:val="0"/>
              <w:spacing w:before="40" w:after="40" w:line="220" w:lineRule="exact"/>
              <w:ind w:left="0" w:right="0"/>
              <w:jc w:val="left"/>
              <w:rPr>
                <w:sz w:val="18"/>
                <w:lang w:val="en-US"/>
              </w:rPr>
            </w:pPr>
            <w:r w:rsidRPr="00222917">
              <w:rPr>
                <w:sz w:val="18"/>
                <w:lang w:val="en-US"/>
              </w:rPr>
              <w:t>2006</w:t>
            </w:r>
          </w:p>
        </w:tc>
        <w:tc>
          <w:tcPr>
            <w:tcW w:w="1247" w:type="dxa"/>
            <w:shd w:val="clear" w:color="auto" w:fill="auto"/>
            <w:tcMar>
              <w:top w:w="28" w:type="dxa"/>
              <w:left w:w="28" w:type="dxa"/>
              <w:bottom w:w="28" w:type="dxa"/>
              <w:right w:w="28" w:type="dxa"/>
            </w:tcMar>
            <w:vAlign w:val="bottom"/>
          </w:tcPr>
          <w:p w:rsidR="002D5BB0" w:rsidRPr="00222917" w:rsidRDefault="002D5BB0" w:rsidP="00723D15">
            <w:pPr>
              <w:pStyle w:val="SingleTxtG"/>
              <w:keepNext/>
              <w:keepLines/>
              <w:suppressAutoHyphens w:val="0"/>
              <w:spacing w:before="40" w:after="40" w:line="220" w:lineRule="exact"/>
              <w:ind w:left="0" w:right="0"/>
              <w:jc w:val="right"/>
              <w:rPr>
                <w:sz w:val="18"/>
                <w:lang w:val="en-US"/>
              </w:rPr>
            </w:pPr>
            <w:r w:rsidRPr="00222917">
              <w:rPr>
                <w:sz w:val="18"/>
                <w:lang w:val="en-US"/>
              </w:rPr>
              <w:t>1,937,000</w:t>
            </w:r>
          </w:p>
        </w:tc>
        <w:tc>
          <w:tcPr>
            <w:tcW w:w="1247" w:type="dxa"/>
            <w:shd w:val="clear" w:color="auto" w:fill="auto"/>
            <w:tcMar>
              <w:top w:w="28" w:type="dxa"/>
              <w:left w:w="28" w:type="dxa"/>
              <w:bottom w:w="28" w:type="dxa"/>
              <w:right w:w="28" w:type="dxa"/>
            </w:tcMar>
            <w:vAlign w:val="bottom"/>
          </w:tcPr>
          <w:p w:rsidR="002D5BB0" w:rsidRPr="00222917" w:rsidRDefault="002D5BB0" w:rsidP="00723D15">
            <w:pPr>
              <w:pStyle w:val="SingleTxtG"/>
              <w:keepNext/>
              <w:keepLines/>
              <w:suppressAutoHyphens w:val="0"/>
              <w:spacing w:before="40" w:after="40" w:line="220" w:lineRule="exact"/>
              <w:ind w:left="0" w:right="0"/>
              <w:jc w:val="right"/>
              <w:rPr>
                <w:sz w:val="18"/>
                <w:lang w:val="en-US"/>
              </w:rPr>
            </w:pPr>
            <w:r w:rsidRPr="00222917">
              <w:rPr>
                <w:sz w:val="18"/>
                <w:lang w:val="en-US"/>
              </w:rPr>
              <w:t>200</w:t>
            </w:r>
          </w:p>
        </w:tc>
        <w:tc>
          <w:tcPr>
            <w:tcW w:w="1247" w:type="dxa"/>
            <w:shd w:val="clear" w:color="auto" w:fill="auto"/>
            <w:tcMar>
              <w:top w:w="28" w:type="dxa"/>
              <w:left w:w="28" w:type="dxa"/>
              <w:bottom w:w="28" w:type="dxa"/>
              <w:right w:w="28" w:type="dxa"/>
            </w:tcMar>
            <w:vAlign w:val="bottom"/>
          </w:tcPr>
          <w:p w:rsidR="002D5BB0" w:rsidRPr="00222917" w:rsidRDefault="002D5BB0" w:rsidP="00723D15">
            <w:pPr>
              <w:pStyle w:val="SingleTxtG"/>
              <w:keepNext/>
              <w:keepLines/>
              <w:suppressAutoHyphens w:val="0"/>
              <w:spacing w:before="40" w:after="40" w:line="220" w:lineRule="exact"/>
              <w:ind w:left="0" w:right="0"/>
              <w:jc w:val="right"/>
              <w:rPr>
                <w:sz w:val="18"/>
                <w:lang w:val="en-US"/>
              </w:rPr>
            </w:pPr>
            <w:r w:rsidRPr="00222917">
              <w:rPr>
                <w:sz w:val="18"/>
                <w:lang w:val="en-US"/>
              </w:rPr>
              <w:t>1,861,000</w:t>
            </w:r>
          </w:p>
        </w:tc>
        <w:tc>
          <w:tcPr>
            <w:tcW w:w="1247" w:type="dxa"/>
            <w:shd w:val="clear" w:color="auto" w:fill="auto"/>
            <w:tcMar>
              <w:top w:w="28" w:type="dxa"/>
              <w:left w:w="28" w:type="dxa"/>
              <w:bottom w:w="28" w:type="dxa"/>
              <w:right w:w="28" w:type="dxa"/>
            </w:tcMar>
            <w:vAlign w:val="bottom"/>
          </w:tcPr>
          <w:p w:rsidR="002D5BB0" w:rsidRPr="00222917" w:rsidRDefault="002D5BB0" w:rsidP="00723D15">
            <w:pPr>
              <w:pStyle w:val="SingleTxtG"/>
              <w:keepNext/>
              <w:keepLines/>
              <w:suppressAutoHyphens w:val="0"/>
              <w:spacing w:before="40" w:after="40" w:line="220" w:lineRule="exact"/>
              <w:ind w:left="0" w:right="0"/>
              <w:jc w:val="right"/>
              <w:rPr>
                <w:sz w:val="18"/>
                <w:lang w:val="en-US"/>
              </w:rPr>
            </w:pPr>
            <w:r w:rsidRPr="00222917">
              <w:rPr>
                <w:sz w:val="18"/>
                <w:lang w:val="en-US"/>
              </w:rPr>
              <w:t>117</w:t>
            </w:r>
          </w:p>
        </w:tc>
        <w:tc>
          <w:tcPr>
            <w:tcW w:w="1247" w:type="dxa"/>
            <w:shd w:val="clear" w:color="auto" w:fill="auto"/>
            <w:tcMar>
              <w:top w:w="28" w:type="dxa"/>
              <w:left w:w="28" w:type="dxa"/>
              <w:bottom w:w="28" w:type="dxa"/>
              <w:right w:w="28" w:type="dxa"/>
            </w:tcMar>
            <w:vAlign w:val="bottom"/>
          </w:tcPr>
          <w:p w:rsidR="002D5BB0" w:rsidRPr="00222917" w:rsidRDefault="002D5BB0" w:rsidP="00723D15">
            <w:pPr>
              <w:pStyle w:val="SingleTxtG"/>
              <w:keepNext/>
              <w:keepLines/>
              <w:suppressAutoHyphens w:val="0"/>
              <w:spacing w:before="40" w:after="40" w:line="220" w:lineRule="exact"/>
              <w:ind w:left="0" w:right="0"/>
              <w:jc w:val="right"/>
              <w:rPr>
                <w:sz w:val="18"/>
                <w:lang w:val="en-US"/>
              </w:rPr>
            </w:pPr>
            <w:r w:rsidRPr="00222917">
              <w:rPr>
                <w:sz w:val="18"/>
                <w:lang w:val="en-US"/>
              </w:rPr>
              <w:t>1,063,000</w:t>
            </w:r>
          </w:p>
        </w:tc>
      </w:tr>
      <w:tr w:rsidR="008F6543" w:rsidRPr="00222917" w:rsidTr="00723D15">
        <w:tc>
          <w:tcPr>
            <w:tcW w:w="1134" w:type="dxa"/>
            <w:shd w:val="clear" w:color="auto" w:fill="auto"/>
            <w:tcMar>
              <w:top w:w="28" w:type="dxa"/>
              <w:left w:w="28" w:type="dxa"/>
              <w:bottom w:w="28" w:type="dxa"/>
              <w:right w:w="28" w:type="dxa"/>
            </w:tcMar>
          </w:tcPr>
          <w:p w:rsidR="002D5BB0" w:rsidRPr="00222917" w:rsidRDefault="002D5BB0" w:rsidP="00723D15">
            <w:pPr>
              <w:pStyle w:val="SingleTxtG"/>
              <w:suppressAutoHyphens w:val="0"/>
              <w:spacing w:before="40" w:after="40" w:line="220" w:lineRule="exact"/>
              <w:ind w:left="0" w:right="0"/>
              <w:jc w:val="left"/>
              <w:rPr>
                <w:sz w:val="18"/>
                <w:lang w:val="en-US"/>
              </w:rPr>
            </w:pPr>
            <w:r w:rsidRPr="00222917">
              <w:rPr>
                <w:sz w:val="18"/>
                <w:lang w:val="en-US"/>
              </w:rPr>
              <w:t>2007</w:t>
            </w:r>
          </w:p>
        </w:tc>
        <w:tc>
          <w:tcPr>
            <w:tcW w:w="1247" w:type="dxa"/>
            <w:shd w:val="clear" w:color="auto" w:fill="auto"/>
            <w:tcMar>
              <w:top w:w="28" w:type="dxa"/>
              <w:left w:w="28" w:type="dxa"/>
              <w:bottom w:w="28" w:type="dxa"/>
              <w:right w:w="28" w:type="dxa"/>
            </w:tcMar>
            <w:vAlign w:val="bottom"/>
          </w:tcPr>
          <w:p w:rsidR="002D5BB0" w:rsidRPr="00222917" w:rsidRDefault="002D5BB0" w:rsidP="00723D15">
            <w:pPr>
              <w:pStyle w:val="SingleTxtG"/>
              <w:suppressAutoHyphens w:val="0"/>
              <w:spacing w:before="40" w:after="40" w:line="220" w:lineRule="exact"/>
              <w:ind w:left="0" w:right="0"/>
              <w:jc w:val="right"/>
              <w:rPr>
                <w:sz w:val="18"/>
                <w:lang w:val="en-US"/>
              </w:rPr>
            </w:pPr>
            <w:r w:rsidRPr="00222917">
              <w:rPr>
                <w:sz w:val="18"/>
                <w:lang w:val="en-US"/>
              </w:rPr>
              <w:t>1,927,000</w:t>
            </w:r>
          </w:p>
        </w:tc>
        <w:tc>
          <w:tcPr>
            <w:tcW w:w="1247" w:type="dxa"/>
            <w:shd w:val="clear" w:color="auto" w:fill="auto"/>
            <w:tcMar>
              <w:top w:w="28" w:type="dxa"/>
              <w:left w:w="28" w:type="dxa"/>
              <w:bottom w:w="28" w:type="dxa"/>
              <w:right w:w="28" w:type="dxa"/>
            </w:tcMar>
            <w:vAlign w:val="bottom"/>
          </w:tcPr>
          <w:p w:rsidR="002D5BB0" w:rsidRPr="00222917" w:rsidRDefault="002D5BB0" w:rsidP="00723D15">
            <w:pPr>
              <w:pStyle w:val="SingleTxtG"/>
              <w:suppressAutoHyphens w:val="0"/>
              <w:spacing w:before="40" w:after="40" w:line="220" w:lineRule="exact"/>
              <w:ind w:left="0" w:right="0"/>
              <w:jc w:val="right"/>
              <w:rPr>
                <w:sz w:val="18"/>
                <w:lang w:val="en-US"/>
              </w:rPr>
            </w:pPr>
            <w:r w:rsidRPr="00222917">
              <w:rPr>
                <w:sz w:val="18"/>
                <w:lang w:val="en-US"/>
              </w:rPr>
              <w:t>261</w:t>
            </w:r>
          </w:p>
        </w:tc>
        <w:tc>
          <w:tcPr>
            <w:tcW w:w="1247" w:type="dxa"/>
            <w:shd w:val="clear" w:color="auto" w:fill="auto"/>
            <w:tcMar>
              <w:top w:w="28" w:type="dxa"/>
              <w:left w:w="28" w:type="dxa"/>
              <w:bottom w:w="28" w:type="dxa"/>
              <w:right w:w="28" w:type="dxa"/>
            </w:tcMar>
            <w:vAlign w:val="bottom"/>
          </w:tcPr>
          <w:p w:rsidR="002D5BB0" w:rsidRPr="00222917" w:rsidRDefault="002D5BB0" w:rsidP="00723D15">
            <w:pPr>
              <w:pStyle w:val="SingleTxtG"/>
              <w:suppressAutoHyphens w:val="0"/>
              <w:spacing w:before="40" w:after="40" w:line="220" w:lineRule="exact"/>
              <w:ind w:left="0" w:right="0"/>
              <w:jc w:val="right"/>
              <w:rPr>
                <w:sz w:val="18"/>
                <w:lang w:val="en-US"/>
              </w:rPr>
            </w:pPr>
            <w:r w:rsidRPr="00222917">
              <w:rPr>
                <w:sz w:val="18"/>
                <w:lang w:val="en-US"/>
              </w:rPr>
              <w:t>2,469,000</w:t>
            </w:r>
          </w:p>
        </w:tc>
        <w:tc>
          <w:tcPr>
            <w:tcW w:w="1247" w:type="dxa"/>
            <w:shd w:val="clear" w:color="auto" w:fill="auto"/>
            <w:tcMar>
              <w:top w:w="28" w:type="dxa"/>
              <w:left w:w="28" w:type="dxa"/>
              <w:bottom w:w="28" w:type="dxa"/>
              <w:right w:w="28" w:type="dxa"/>
            </w:tcMar>
            <w:vAlign w:val="bottom"/>
          </w:tcPr>
          <w:p w:rsidR="002D5BB0" w:rsidRPr="00222917" w:rsidRDefault="002D5BB0" w:rsidP="00723D15">
            <w:pPr>
              <w:pStyle w:val="SingleTxtG"/>
              <w:suppressAutoHyphens w:val="0"/>
              <w:spacing w:before="40" w:after="40" w:line="220" w:lineRule="exact"/>
              <w:ind w:left="0" w:right="0"/>
              <w:jc w:val="right"/>
              <w:rPr>
                <w:sz w:val="18"/>
                <w:lang w:val="en-US"/>
              </w:rPr>
            </w:pPr>
            <w:r w:rsidRPr="00222917">
              <w:rPr>
                <w:sz w:val="18"/>
                <w:lang w:val="en-US"/>
              </w:rPr>
              <w:t>169</w:t>
            </w:r>
          </w:p>
        </w:tc>
        <w:tc>
          <w:tcPr>
            <w:tcW w:w="1247" w:type="dxa"/>
            <w:shd w:val="clear" w:color="auto" w:fill="auto"/>
            <w:tcMar>
              <w:top w:w="28" w:type="dxa"/>
              <w:left w:w="28" w:type="dxa"/>
              <w:bottom w:w="28" w:type="dxa"/>
              <w:right w:w="28" w:type="dxa"/>
            </w:tcMar>
            <w:vAlign w:val="bottom"/>
          </w:tcPr>
          <w:p w:rsidR="002D5BB0" w:rsidRPr="00222917" w:rsidRDefault="002D5BB0" w:rsidP="00723D15">
            <w:pPr>
              <w:pStyle w:val="SingleTxtG"/>
              <w:suppressAutoHyphens w:val="0"/>
              <w:spacing w:before="40" w:after="40" w:line="220" w:lineRule="exact"/>
              <w:ind w:left="0" w:right="0"/>
              <w:jc w:val="right"/>
              <w:rPr>
                <w:sz w:val="18"/>
                <w:lang w:val="en-US"/>
              </w:rPr>
            </w:pPr>
            <w:r w:rsidRPr="00222917">
              <w:rPr>
                <w:sz w:val="18"/>
                <w:lang w:val="en-US"/>
              </w:rPr>
              <w:t>1,607,000</w:t>
            </w:r>
          </w:p>
        </w:tc>
      </w:tr>
      <w:tr w:rsidR="008F6543" w:rsidRPr="00222917" w:rsidTr="00723D15">
        <w:tc>
          <w:tcPr>
            <w:tcW w:w="1134" w:type="dxa"/>
            <w:shd w:val="clear" w:color="auto" w:fill="auto"/>
            <w:tcMar>
              <w:top w:w="28" w:type="dxa"/>
              <w:left w:w="28" w:type="dxa"/>
              <w:bottom w:w="28" w:type="dxa"/>
              <w:right w:w="28" w:type="dxa"/>
            </w:tcMar>
          </w:tcPr>
          <w:p w:rsidR="002D5BB0" w:rsidRPr="00222917" w:rsidRDefault="002D5BB0" w:rsidP="00723D15">
            <w:pPr>
              <w:pStyle w:val="SingleTxtG"/>
              <w:suppressAutoHyphens w:val="0"/>
              <w:spacing w:before="40" w:after="40" w:line="220" w:lineRule="exact"/>
              <w:ind w:left="0" w:right="0"/>
              <w:jc w:val="left"/>
              <w:rPr>
                <w:sz w:val="18"/>
                <w:lang w:val="en-US"/>
              </w:rPr>
            </w:pPr>
            <w:r w:rsidRPr="00222917">
              <w:rPr>
                <w:sz w:val="18"/>
                <w:lang w:val="en-US"/>
              </w:rPr>
              <w:t>2008</w:t>
            </w:r>
          </w:p>
        </w:tc>
        <w:tc>
          <w:tcPr>
            <w:tcW w:w="1247" w:type="dxa"/>
            <w:shd w:val="clear" w:color="auto" w:fill="auto"/>
            <w:tcMar>
              <w:top w:w="28" w:type="dxa"/>
              <w:left w:w="28" w:type="dxa"/>
              <w:bottom w:w="28" w:type="dxa"/>
              <w:right w:w="28" w:type="dxa"/>
            </w:tcMar>
            <w:vAlign w:val="bottom"/>
          </w:tcPr>
          <w:p w:rsidR="002D5BB0" w:rsidRPr="00222917" w:rsidRDefault="002D5BB0" w:rsidP="00723D15">
            <w:pPr>
              <w:pStyle w:val="SingleTxtG"/>
              <w:suppressAutoHyphens w:val="0"/>
              <w:spacing w:before="40" w:after="40" w:line="220" w:lineRule="exact"/>
              <w:ind w:left="0" w:right="0"/>
              <w:jc w:val="right"/>
              <w:rPr>
                <w:sz w:val="18"/>
                <w:lang w:val="en-US"/>
              </w:rPr>
            </w:pPr>
            <w:r w:rsidRPr="00222917">
              <w:rPr>
                <w:sz w:val="18"/>
                <w:lang w:val="en-US"/>
              </w:rPr>
              <w:t>1,878,000</w:t>
            </w:r>
          </w:p>
        </w:tc>
        <w:tc>
          <w:tcPr>
            <w:tcW w:w="1247" w:type="dxa"/>
            <w:shd w:val="clear" w:color="auto" w:fill="auto"/>
            <w:tcMar>
              <w:top w:w="28" w:type="dxa"/>
              <w:left w:w="28" w:type="dxa"/>
              <w:bottom w:w="28" w:type="dxa"/>
              <w:right w:w="28" w:type="dxa"/>
            </w:tcMar>
            <w:vAlign w:val="bottom"/>
          </w:tcPr>
          <w:p w:rsidR="002D5BB0" w:rsidRPr="00222917" w:rsidRDefault="002D5BB0" w:rsidP="00723D15">
            <w:pPr>
              <w:pStyle w:val="SingleTxtG"/>
              <w:suppressAutoHyphens w:val="0"/>
              <w:spacing w:before="40" w:after="40" w:line="220" w:lineRule="exact"/>
              <w:ind w:left="0" w:right="0"/>
              <w:jc w:val="right"/>
              <w:rPr>
                <w:sz w:val="18"/>
                <w:lang w:val="en-US"/>
              </w:rPr>
            </w:pPr>
            <w:r w:rsidRPr="00222917">
              <w:rPr>
                <w:sz w:val="18"/>
                <w:lang w:val="en-US"/>
              </w:rPr>
              <w:t>237</w:t>
            </w:r>
          </w:p>
        </w:tc>
        <w:tc>
          <w:tcPr>
            <w:tcW w:w="1247" w:type="dxa"/>
            <w:shd w:val="clear" w:color="auto" w:fill="auto"/>
            <w:tcMar>
              <w:top w:w="28" w:type="dxa"/>
              <w:left w:w="28" w:type="dxa"/>
              <w:bottom w:w="28" w:type="dxa"/>
              <w:right w:w="28" w:type="dxa"/>
            </w:tcMar>
            <w:vAlign w:val="bottom"/>
          </w:tcPr>
          <w:p w:rsidR="002D5BB0" w:rsidRPr="00222917" w:rsidRDefault="002D5BB0" w:rsidP="00723D15">
            <w:pPr>
              <w:pStyle w:val="SingleTxtG"/>
              <w:suppressAutoHyphens w:val="0"/>
              <w:spacing w:before="40" w:after="40" w:line="220" w:lineRule="exact"/>
              <w:ind w:left="0" w:right="0"/>
              <w:jc w:val="right"/>
              <w:rPr>
                <w:sz w:val="18"/>
                <w:lang w:val="en-US"/>
              </w:rPr>
            </w:pPr>
            <w:r w:rsidRPr="00222917">
              <w:rPr>
                <w:sz w:val="18"/>
                <w:lang w:val="en-US"/>
              </w:rPr>
              <w:t>2,225,000</w:t>
            </w:r>
          </w:p>
        </w:tc>
        <w:tc>
          <w:tcPr>
            <w:tcW w:w="1247" w:type="dxa"/>
            <w:shd w:val="clear" w:color="auto" w:fill="auto"/>
            <w:tcMar>
              <w:top w:w="28" w:type="dxa"/>
              <w:left w:w="28" w:type="dxa"/>
              <w:bottom w:w="28" w:type="dxa"/>
              <w:right w:w="28" w:type="dxa"/>
            </w:tcMar>
            <w:vAlign w:val="bottom"/>
          </w:tcPr>
          <w:p w:rsidR="002D5BB0" w:rsidRPr="00222917" w:rsidRDefault="002D5BB0" w:rsidP="00723D15">
            <w:pPr>
              <w:pStyle w:val="SingleTxtG"/>
              <w:suppressAutoHyphens w:val="0"/>
              <w:spacing w:before="40" w:after="40" w:line="220" w:lineRule="exact"/>
              <w:ind w:left="0" w:right="0"/>
              <w:jc w:val="right"/>
              <w:rPr>
                <w:sz w:val="18"/>
                <w:lang w:val="en-US"/>
              </w:rPr>
            </w:pPr>
            <w:r w:rsidRPr="00222917">
              <w:rPr>
                <w:sz w:val="18"/>
                <w:lang w:val="en-US"/>
              </w:rPr>
              <w:t>155</w:t>
            </w:r>
          </w:p>
        </w:tc>
        <w:tc>
          <w:tcPr>
            <w:tcW w:w="1247" w:type="dxa"/>
            <w:shd w:val="clear" w:color="auto" w:fill="auto"/>
            <w:tcMar>
              <w:top w:w="28" w:type="dxa"/>
              <w:left w:w="28" w:type="dxa"/>
              <w:bottom w:w="28" w:type="dxa"/>
              <w:right w:w="28" w:type="dxa"/>
            </w:tcMar>
            <w:vAlign w:val="bottom"/>
          </w:tcPr>
          <w:p w:rsidR="002D5BB0" w:rsidRPr="00222917" w:rsidRDefault="002D5BB0" w:rsidP="00723D15">
            <w:pPr>
              <w:pStyle w:val="SingleTxtG"/>
              <w:suppressAutoHyphens w:val="0"/>
              <w:spacing w:before="40" w:after="40" w:line="220" w:lineRule="exact"/>
              <w:ind w:left="0" w:right="0"/>
              <w:jc w:val="right"/>
              <w:rPr>
                <w:sz w:val="18"/>
                <w:lang w:val="en-US"/>
              </w:rPr>
            </w:pPr>
            <w:r w:rsidRPr="00222917">
              <w:rPr>
                <w:sz w:val="18"/>
                <w:lang w:val="en-US"/>
              </w:rPr>
              <w:t>1,411,000</w:t>
            </w:r>
          </w:p>
        </w:tc>
      </w:tr>
      <w:tr w:rsidR="008F6543" w:rsidRPr="00222917" w:rsidTr="00723D15">
        <w:tc>
          <w:tcPr>
            <w:tcW w:w="1134" w:type="dxa"/>
            <w:shd w:val="clear" w:color="auto" w:fill="auto"/>
            <w:tcMar>
              <w:top w:w="28" w:type="dxa"/>
              <w:left w:w="28" w:type="dxa"/>
              <w:bottom w:w="28" w:type="dxa"/>
              <w:right w:w="28" w:type="dxa"/>
            </w:tcMar>
          </w:tcPr>
          <w:p w:rsidR="002D5BB0" w:rsidRPr="00222917" w:rsidRDefault="002D5BB0" w:rsidP="00723D15">
            <w:pPr>
              <w:pStyle w:val="SingleTxtG"/>
              <w:suppressAutoHyphens w:val="0"/>
              <w:spacing w:before="40" w:after="40" w:line="220" w:lineRule="exact"/>
              <w:ind w:left="0" w:right="0"/>
              <w:jc w:val="left"/>
              <w:rPr>
                <w:sz w:val="18"/>
                <w:lang w:val="en-US"/>
              </w:rPr>
            </w:pPr>
            <w:r w:rsidRPr="00222917">
              <w:rPr>
                <w:sz w:val="18"/>
                <w:lang w:val="en-US"/>
              </w:rPr>
              <w:t>2009</w:t>
            </w:r>
          </w:p>
        </w:tc>
        <w:tc>
          <w:tcPr>
            <w:tcW w:w="1247" w:type="dxa"/>
            <w:shd w:val="clear" w:color="auto" w:fill="auto"/>
            <w:tcMar>
              <w:top w:w="28" w:type="dxa"/>
              <w:left w:w="28" w:type="dxa"/>
              <w:bottom w:w="28" w:type="dxa"/>
              <w:right w:w="28" w:type="dxa"/>
            </w:tcMar>
            <w:vAlign w:val="bottom"/>
          </w:tcPr>
          <w:p w:rsidR="002D5BB0" w:rsidRPr="00222917" w:rsidRDefault="002D5BB0" w:rsidP="00723D15">
            <w:pPr>
              <w:pStyle w:val="SingleTxtG"/>
              <w:suppressAutoHyphens w:val="0"/>
              <w:spacing w:before="40" w:after="40" w:line="220" w:lineRule="exact"/>
              <w:ind w:left="0" w:right="0"/>
              <w:jc w:val="right"/>
              <w:rPr>
                <w:sz w:val="18"/>
                <w:lang w:val="en-US"/>
              </w:rPr>
            </w:pPr>
            <w:r w:rsidRPr="00222917">
              <w:rPr>
                <w:sz w:val="18"/>
                <w:lang w:val="en-US"/>
              </w:rPr>
              <w:t>2,246,220</w:t>
            </w:r>
          </w:p>
        </w:tc>
        <w:tc>
          <w:tcPr>
            <w:tcW w:w="1247" w:type="dxa"/>
            <w:shd w:val="clear" w:color="auto" w:fill="auto"/>
            <w:tcMar>
              <w:top w:w="28" w:type="dxa"/>
              <w:left w:w="28" w:type="dxa"/>
              <w:bottom w:w="28" w:type="dxa"/>
              <w:right w:w="28" w:type="dxa"/>
            </w:tcMar>
            <w:vAlign w:val="bottom"/>
          </w:tcPr>
          <w:p w:rsidR="002D5BB0" w:rsidRPr="00222917" w:rsidRDefault="002D5BB0" w:rsidP="00723D15">
            <w:pPr>
              <w:pStyle w:val="SingleTxtG"/>
              <w:suppressAutoHyphens w:val="0"/>
              <w:spacing w:before="40" w:after="40" w:line="220" w:lineRule="exact"/>
              <w:ind w:left="0" w:right="0"/>
              <w:jc w:val="right"/>
              <w:rPr>
                <w:sz w:val="18"/>
                <w:lang w:val="en-US"/>
              </w:rPr>
            </w:pPr>
            <w:r w:rsidRPr="00222917">
              <w:rPr>
                <w:sz w:val="18"/>
                <w:lang w:val="en-US"/>
              </w:rPr>
              <w:t>295</w:t>
            </w:r>
          </w:p>
        </w:tc>
        <w:tc>
          <w:tcPr>
            <w:tcW w:w="1247" w:type="dxa"/>
            <w:shd w:val="clear" w:color="auto" w:fill="auto"/>
            <w:tcMar>
              <w:top w:w="28" w:type="dxa"/>
              <w:left w:w="28" w:type="dxa"/>
              <w:bottom w:w="28" w:type="dxa"/>
              <w:right w:w="28" w:type="dxa"/>
            </w:tcMar>
            <w:vAlign w:val="bottom"/>
          </w:tcPr>
          <w:p w:rsidR="002D5BB0" w:rsidRPr="00222917" w:rsidRDefault="002D5BB0" w:rsidP="00723D15">
            <w:pPr>
              <w:pStyle w:val="SingleTxtG"/>
              <w:suppressAutoHyphens w:val="0"/>
              <w:spacing w:before="40" w:after="40" w:line="220" w:lineRule="exact"/>
              <w:ind w:left="0" w:right="0"/>
              <w:jc w:val="right"/>
              <w:rPr>
                <w:sz w:val="18"/>
                <w:lang w:val="en-US"/>
              </w:rPr>
            </w:pPr>
            <w:r w:rsidRPr="00222917">
              <w:rPr>
                <w:sz w:val="18"/>
                <w:lang w:val="en-US"/>
              </w:rPr>
              <w:t>3,611,667</w:t>
            </w:r>
          </w:p>
        </w:tc>
        <w:tc>
          <w:tcPr>
            <w:tcW w:w="1247" w:type="dxa"/>
            <w:shd w:val="clear" w:color="auto" w:fill="auto"/>
            <w:tcMar>
              <w:top w:w="28" w:type="dxa"/>
              <w:left w:w="28" w:type="dxa"/>
              <w:bottom w:w="28" w:type="dxa"/>
              <w:right w:w="28" w:type="dxa"/>
            </w:tcMar>
            <w:vAlign w:val="bottom"/>
          </w:tcPr>
          <w:p w:rsidR="002D5BB0" w:rsidRPr="00222917" w:rsidRDefault="002D5BB0" w:rsidP="00723D15">
            <w:pPr>
              <w:pStyle w:val="SingleTxtG"/>
              <w:suppressAutoHyphens w:val="0"/>
              <w:spacing w:before="40" w:after="40" w:line="220" w:lineRule="exact"/>
              <w:ind w:left="0" w:right="0"/>
              <w:jc w:val="right"/>
              <w:rPr>
                <w:sz w:val="18"/>
                <w:lang w:val="en-US"/>
              </w:rPr>
            </w:pPr>
            <w:r w:rsidRPr="00222917">
              <w:rPr>
                <w:sz w:val="18"/>
                <w:lang w:val="en-US"/>
              </w:rPr>
              <w:t>205</w:t>
            </w:r>
          </w:p>
        </w:tc>
        <w:tc>
          <w:tcPr>
            <w:tcW w:w="1247" w:type="dxa"/>
            <w:shd w:val="clear" w:color="auto" w:fill="auto"/>
            <w:tcMar>
              <w:top w:w="28" w:type="dxa"/>
              <w:left w:w="28" w:type="dxa"/>
              <w:bottom w:w="28" w:type="dxa"/>
              <w:right w:w="28" w:type="dxa"/>
            </w:tcMar>
            <w:vAlign w:val="bottom"/>
          </w:tcPr>
          <w:p w:rsidR="002D5BB0" w:rsidRPr="00222917" w:rsidRDefault="002D5BB0" w:rsidP="00723D15">
            <w:pPr>
              <w:pStyle w:val="SingleTxtG"/>
              <w:suppressAutoHyphens w:val="0"/>
              <w:spacing w:before="40" w:after="40" w:line="220" w:lineRule="exact"/>
              <w:ind w:left="0" w:right="0"/>
              <w:jc w:val="right"/>
              <w:rPr>
                <w:sz w:val="18"/>
                <w:lang w:val="en-US"/>
              </w:rPr>
            </w:pPr>
            <w:r w:rsidRPr="00222917">
              <w:rPr>
                <w:sz w:val="18"/>
                <w:lang w:val="en-US"/>
              </w:rPr>
              <w:t>2,204,833</w:t>
            </w:r>
          </w:p>
        </w:tc>
      </w:tr>
      <w:tr w:rsidR="008F6543" w:rsidRPr="00222917" w:rsidTr="00723D15">
        <w:tc>
          <w:tcPr>
            <w:tcW w:w="1134" w:type="dxa"/>
            <w:tcBorders>
              <w:bottom w:val="single" w:sz="12" w:space="0" w:color="auto"/>
            </w:tcBorders>
            <w:shd w:val="clear" w:color="auto" w:fill="auto"/>
            <w:tcMar>
              <w:top w:w="28" w:type="dxa"/>
              <w:left w:w="28" w:type="dxa"/>
              <w:bottom w:w="28" w:type="dxa"/>
              <w:right w:w="28" w:type="dxa"/>
            </w:tcMar>
          </w:tcPr>
          <w:p w:rsidR="002D5BB0" w:rsidRPr="00222917" w:rsidRDefault="002D5BB0" w:rsidP="00723D15">
            <w:pPr>
              <w:pStyle w:val="SingleTxtG"/>
              <w:suppressAutoHyphens w:val="0"/>
              <w:spacing w:before="40" w:after="40" w:line="220" w:lineRule="exact"/>
              <w:ind w:left="0" w:right="0"/>
              <w:jc w:val="left"/>
              <w:rPr>
                <w:sz w:val="18"/>
                <w:lang w:val="en-US"/>
              </w:rPr>
            </w:pPr>
            <w:r w:rsidRPr="00222917">
              <w:rPr>
                <w:sz w:val="18"/>
                <w:lang w:val="en-US"/>
              </w:rPr>
              <w:t>2010</w:t>
            </w:r>
          </w:p>
        </w:tc>
        <w:tc>
          <w:tcPr>
            <w:tcW w:w="1247" w:type="dxa"/>
            <w:tcBorders>
              <w:bottom w:val="single" w:sz="12" w:space="0" w:color="auto"/>
            </w:tcBorders>
            <w:shd w:val="clear" w:color="auto" w:fill="auto"/>
            <w:tcMar>
              <w:top w:w="28" w:type="dxa"/>
              <w:left w:w="28" w:type="dxa"/>
              <w:bottom w:w="28" w:type="dxa"/>
              <w:right w:w="28" w:type="dxa"/>
            </w:tcMar>
            <w:vAlign w:val="bottom"/>
          </w:tcPr>
          <w:p w:rsidR="002D5BB0" w:rsidRPr="00222917" w:rsidRDefault="002D5BB0" w:rsidP="00723D15">
            <w:pPr>
              <w:pStyle w:val="SingleTxtG"/>
              <w:suppressAutoHyphens w:val="0"/>
              <w:spacing w:before="40" w:after="40" w:line="220" w:lineRule="exact"/>
              <w:ind w:left="0" w:right="0"/>
              <w:jc w:val="right"/>
              <w:rPr>
                <w:sz w:val="18"/>
                <w:lang w:val="en-US"/>
              </w:rPr>
            </w:pPr>
            <w:r w:rsidRPr="00222917">
              <w:rPr>
                <w:sz w:val="18"/>
                <w:lang w:val="en-US"/>
              </w:rPr>
              <w:t>3,268,220</w:t>
            </w:r>
          </w:p>
        </w:tc>
        <w:tc>
          <w:tcPr>
            <w:tcW w:w="1247" w:type="dxa"/>
            <w:tcBorders>
              <w:bottom w:val="single" w:sz="12" w:space="0" w:color="auto"/>
            </w:tcBorders>
            <w:shd w:val="clear" w:color="auto" w:fill="auto"/>
            <w:tcMar>
              <w:top w:w="28" w:type="dxa"/>
              <w:left w:w="28" w:type="dxa"/>
              <w:bottom w:w="28" w:type="dxa"/>
              <w:right w:w="28" w:type="dxa"/>
            </w:tcMar>
            <w:vAlign w:val="bottom"/>
          </w:tcPr>
          <w:p w:rsidR="002D5BB0" w:rsidRPr="00222917" w:rsidRDefault="002D5BB0" w:rsidP="00723D15">
            <w:pPr>
              <w:pStyle w:val="SingleTxtG"/>
              <w:suppressAutoHyphens w:val="0"/>
              <w:spacing w:before="40" w:after="40" w:line="220" w:lineRule="exact"/>
              <w:ind w:left="0" w:right="0"/>
              <w:jc w:val="right"/>
              <w:rPr>
                <w:sz w:val="18"/>
                <w:lang w:val="en-US"/>
              </w:rPr>
            </w:pPr>
            <w:r w:rsidRPr="00222917">
              <w:rPr>
                <w:sz w:val="18"/>
                <w:lang w:val="en-US"/>
              </w:rPr>
              <w:t>343</w:t>
            </w:r>
          </w:p>
        </w:tc>
        <w:tc>
          <w:tcPr>
            <w:tcW w:w="1247" w:type="dxa"/>
            <w:tcBorders>
              <w:bottom w:val="single" w:sz="12" w:space="0" w:color="auto"/>
            </w:tcBorders>
            <w:shd w:val="clear" w:color="auto" w:fill="auto"/>
            <w:tcMar>
              <w:top w:w="28" w:type="dxa"/>
              <w:left w:w="28" w:type="dxa"/>
              <w:bottom w:w="28" w:type="dxa"/>
              <w:right w:w="28" w:type="dxa"/>
            </w:tcMar>
            <w:vAlign w:val="bottom"/>
          </w:tcPr>
          <w:p w:rsidR="002D5BB0" w:rsidRPr="00222917" w:rsidRDefault="002D5BB0" w:rsidP="00723D15">
            <w:pPr>
              <w:pStyle w:val="SingleTxtG"/>
              <w:suppressAutoHyphens w:val="0"/>
              <w:spacing w:before="40" w:after="40" w:line="220" w:lineRule="exact"/>
              <w:ind w:left="0" w:right="0"/>
              <w:jc w:val="right"/>
              <w:rPr>
                <w:sz w:val="18"/>
                <w:lang w:val="en-US"/>
              </w:rPr>
            </w:pPr>
            <w:r w:rsidRPr="00222917">
              <w:rPr>
                <w:sz w:val="18"/>
                <w:lang w:val="en-US"/>
              </w:rPr>
              <w:t>6,631,93</w:t>
            </w:r>
          </w:p>
        </w:tc>
        <w:tc>
          <w:tcPr>
            <w:tcW w:w="1247" w:type="dxa"/>
            <w:tcBorders>
              <w:bottom w:val="single" w:sz="12" w:space="0" w:color="auto"/>
            </w:tcBorders>
            <w:shd w:val="clear" w:color="auto" w:fill="auto"/>
            <w:tcMar>
              <w:top w:w="28" w:type="dxa"/>
              <w:left w:w="28" w:type="dxa"/>
              <w:bottom w:w="28" w:type="dxa"/>
              <w:right w:w="28" w:type="dxa"/>
            </w:tcMar>
            <w:vAlign w:val="bottom"/>
          </w:tcPr>
          <w:p w:rsidR="002D5BB0" w:rsidRPr="00222917" w:rsidRDefault="002D5BB0" w:rsidP="00723D15">
            <w:pPr>
              <w:pStyle w:val="SingleTxtG"/>
              <w:suppressAutoHyphens w:val="0"/>
              <w:spacing w:before="40" w:after="40" w:line="220" w:lineRule="exact"/>
              <w:ind w:left="0" w:right="0"/>
              <w:jc w:val="right"/>
              <w:rPr>
                <w:sz w:val="18"/>
                <w:lang w:val="en-US"/>
              </w:rPr>
            </w:pPr>
            <w:r w:rsidRPr="00222917">
              <w:rPr>
                <w:sz w:val="18"/>
                <w:lang w:val="en-US"/>
              </w:rPr>
              <w:t>209</w:t>
            </w:r>
          </w:p>
        </w:tc>
        <w:tc>
          <w:tcPr>
            <w:tcW w:w="1247" w:type="dxa"/>
            <w:tcBorders>
              <w:bottom w:val="single" w:sz="12" w:space="0" w:color="auto"/>
            </w:tcBorders>
            <w:shd w:val="clear" w:color="auto" w:fill="auto"/>
            <w:tcMar>
              <w:top w:w="28" w:type="dxa"/>
              <w:left w:w="28" w:type="dxa"/>
              <w:bottom w:w="28" w:type="dxa"/>
              <w:right w:w="28" w:type="dxa"/>
            </w:tcMar>
            <w:vAlign w:val="bottom"/>
          </w:tcPr>
          <w:p w:rsidR="002D5BB0" w:rsidRPr="00222917" w:rsidRDefault="002D5BB0" w:rsidP="00723D15">
            <w:pPr>
              <w:pStyle w:val="SingleTxtG"/>
              <w:suppressAutoHyphens w:val="0"/>
              <w:spacing w:before="40" w:after="40" w:line="220" w:lineRule="exact"/>
              <w:ind w:left="0" w:right="0"/>
              <w:jc w:val="right"/>
              <w:rPr>
                <w:sz w:val="18"/>
                <w:lang w:val="en-US"/>
              </w:rPr>
            </w:pPr>
            <w:r w:rsidRPr="00222917">
              <w:rPr>
                <w:sz w:val="18"/>
                <w:lang w:val="en-US"/>
              </w:rPr>
              <w:t>3,416,782</w:t>
            </w:r>
          </w:p>
        </w:tc>
      </w:tr>
    </w:tbl>
    <w:p w:rsidR="002D5BB0" w:rsidRPr="00222917" w:rsidRDefault="00547908" w:rsidP="00547908">
      <w:pPr>
        <w:pStyle w:val="SingleTxtG"/>
        <w:spacing w:before="240"/>
        <w:rPr>
          <w:lang w:val="en-US"/>
        </w:rPr>
      </w:pPr>
      <w:r w:rsidRPr="00222917">
        <w:rPr>
          <w:lang w:val="en-US"/>
        </w:rPr>
        <w:t>232.</w:t>
      </w:r>
      <w:r w:rsidRPr="00222917">
        <w:rPr>
          <w:lang w:val="en-US"/>
        </w:rPr>
        <w:tab/>
      </w:r>
      <w:r w:rsidR="002D5BB0" w:rsidRPr="00222917">
        <w:rPr>
          <w:lang w:val="en-US"/>
        </w:rPr>
        <w:t xml:space="preserve">On 23 December 2005, the Government enacted the </w:t>
      </w:r>
      <w:r w:rsidR="002D5BB0" w:rsidRPr="000850F5">
        <w:rPr>
          <w:iCs/>
          <w:lang w:val="en-US"/>
        </w:rPr>
        <w:t>Crime Victim Protection Act</w:t>
      </w:r>
      <w:r w:rsidR="002D5BB0" w:rsidRPr="00222917">
        <w:rPr>
          <w:lang w:val="en-US"/>
        </w:rPr>
        <w:t xml:space="preserve"> to not only provide crime victims with financial aid but also to help them effectively cope with damages caused by major and brutal </w:t>
      </w:r>
      <w:r w:rsidR="002D5BB0" w:rsidRPr="00222917">
        <w:rPr>
          <w:bCs/>
          <w:lang w:val="en-US"/>
        </w:rPr>
        <w:t>crimes</w:t>
      </w:r>
      <w:r w:rsidR="002D5BB0" w:rsidRPr="00222917">
        <w:rPr>
          <w:lang w:val="en-US"/>
        </w:rPr>
        <w:t xml:space="preserve"> and practically support them. Under the Act, the Government is required to prepare the “Master Plan for Protection and Support for Crime Vic</w:t>
      </w:r>
      <w:r w:rsidR="00A94611" w:rsidRPr="00222917">
        <w:rPr>
          <w:lang w:val="en-US"/>
        </w:rPr>
        <w:t>tims” every five years (</w:t>
      </w:r>
      <w:r w:rsidR="00BF3911" w:rsidRPr="00222917">
        <w:rPr>
          <w:lang w:val="en-US"/>
        </w:rPr>
        <w:t>a</w:t>
      </w:r>
      <w:r w:rsidR="00A94611" w:rsidRPr="00222917">
        <w:rPr>
          <w:lang w:val="en-US"/>
        </w:rPr>
        <w:t>rticle </w:t>
      </w:r>
      <w:r w:rsidR="002D5BB0" w:rsidRPr="00222917">
        <w:rPr>
          <w:lang w:val="en-US"/>
        </w:rPr>
        <w:t>12). The plan includes comprehensive and structured protection and support measures for crime victims. Subsidies are offered to crime victi</w:t>
      </w:r>
      <w:r w:rsidR="00A94611" w:rsidRPr="00222917">
        <w:rPr>
          <w:lang w:val="en-US"/>
        </w:rPr>
        <w:t>m support corporations (</w:t>
      </w:r>
      <w:r w:rsidR="00BF3911" w:rsidRPr="00222917">
        <w:rPr>
          <w:lang w:val="en-US"/>
        </w:rPr>
        <w:t>a</w:t>
      </w:r>
      <w:r w:rsidR="00A94611" w:rsidRPr="00222917">
        <w:rPr>
          <w:lang w:val="en-US"/>
        </w:rPr>
        <w:t>rticle </w:t>
      </w:r>
      <w:r w:rsidR="002D5BB0" w:rsidRPr="00222917">
        <w:rPr>
          <w:lang w:val="en-US"/>
        </w:rPr>
        <w:t>17), and such subsidies are prohibited from being used for other purposes than pr</w:t>
      </w:r>
      <w:r w:rsidR="00A94611" w:rsidRPr="00222917">
        <w:rPr>
          <w:lang w:val="en-US"/>
        </w:rPr>
        <w:t>escribed under the Act (</w:t>
      </w:r>
      <w:r w:rsidR="00BF3911" w:rsidRPr="00222917">
        <w:rPr>
          <w:lang w:val="en-US"/>
        </w:rPr>
        <w:t>a</w:t>
      </w:r>
      <w:r w:rsidR="00A94611" w:rsidRPr="00222917">
        <w:rPr>
          <w:lang w:val="en-US"/>
        </w:rPr>
        <w:t>rticle </w:t>
      </w:r>
      <w:r w:rsidR="002D5BB0" w:rsidRPr="00222917">
        <w:rPr>
          <w:lang w:val="en-US"/>
        </w:rPr>
        <w:t xml:space="preserve">18). </w:t>
      </w:r>
    </w:p>
    <w:p w:rsidR="002D5BB0" w:rsidRPr="00222917" w:rsidRDefault="00547908" w:rsidP="00547908">
      <w:pPr>
        <w:pStyle w:val="SingleTxtG"/>
        <w:rPr>
          <w:lang w:val="en-US"/>
        </w:rPr>
      </w:pPr>
      <w:r w:rsidRPr="00222917">
        <w:rPr>
          <w:lang w:val="en-US"/>
        </w:rPr>
        <w:t>233.</w:t>
      </w:r>
      <w:r w:rsidRPr="00222917">
        <w:rPr>
          <w:lang w:val="en-US"/>
        </w:rPr>
        <w:tab/>
      </w:r>
      <w:r w:rsidR="002D5BB0" w:rsidRPr="00222917">
        <w:rPr>
          <w:lang w:val="en-US"/>
        </w:rPr>
        <w:t xml:space="preserve">The amendment of the </w:t>
      </w:r>
      <w:r w:rsidR="002D5BB0" w:rsidRPr="00222917">
        <w:rPr>
          <w:iCs/>
          <w:lang w:val="en-US"/>
        </w:rPr>
        <w:t>Crime Victim Protection Act</w:t>
      </w:r>
      <w:r w:rsidR="002D5BB0" w:rsidRPr="00222917">
        <w:rPr>
          <w:lang w:val="en-US"/>
        </w:rPr>
        <w:t xml:space="preserve">, which is an integration of the </w:t>
      </w:r>
      <w:r w:rsidR="002D5BB0" w:rsidRPr="00222917">
        <w:rPr>
          <w:iCs/>
          <w:lang w:val="en-US"/>
        </w:rPr>
        <w:t>Crime Victim Protection Ac</w:t>
      </w:r>
      <w:r w:rsidR="002D5BB0" w:rsidRPr="00222917">
        <w:rPr>
          <w:lang w:val="en-US"/>
        </w:rPr>
        <w:t xml:space="preserve">t and the </w:t>
      </w:r>
      <w:r w:rsidR="002D5BB0" w:rsidRPr="00222917">
        <w:rPr>
          <w:iCs/>
          <w:lang w:val="en-US"/>
        </w:rPr>
        <w:t>Crime Victim Aid Act</w:t>
      </w:r>
      <w:r w:rsidR="002D5BB0" w:rsidRPr="00222917">
        <w:rPr>
          <w:lang w:val="en-US"/>
        </w:rPr>
        <w:t xml:space="preserve">, and the bill for the </w:t>
      </w:r>
      <w:r w:rsidR="002D5BB0" w:rsidRPr="00222917">
        <w:rPr>
          <w:iCs/>
          <w:lang w:val="en-US"/>
        </w:rPr>
        <w:t>Crime Victim Protection Fund Act</w:t>
      </w:r>
      <w:r w:rsidR="002D5BB0" w:rsidRPr="00222917">
        <w:rPr>
          <w:lang w:val="en-US"/>
        </w:rPr>
        <w:t xml:space="preserve">, which is designed to establish the crime victim protection and support fund with </w:t>
      </w:r>
      <w:r w:rsidR="00E92293" w:rsidRPr="00222917">
        <w:rPr>
          <w:lang w:val="en-US"/>
        </w:rPr>
        <w:t>4%</w:t>
      </w:r>
      <w:r w:rsidR="002D5BB0" w:rsidRPr="00222917">
        <w:rPr>
          <w:lang w:val="en-US"/>
        </w:rPr>
        <w:t xml:space="preserve"> of fines, passed through the National Assembly on 21 April 2010. Major provisions of the amendment of the </w:t>
      </w:r>
      <w:r w:rsidR="002D5BB0" w:rsidRPr="00222917">
        <w:rPr>
          <w:iCs/>
          <w:lang w:val="en-US"/>
        </w:rPr>
        <w:t>Crime Victim Protection Act</w:t>
      </w:r>
      <w:r w:rsidR="002D5BB0" w:rsidRPr="00222917">
        <w:rPr>
          <w:lang w:val="en-US"/>
        </w:rPr>
        <w:t xml:space="preserve"> are as follows: the aforementioned two laws are combined to unify the legal structure for crime victim protection and support; the requirements for payment of crime victim aid money are eased (requirements regarding unidentified offenders and insolvency deleted); the scope of payment is expanded to include cases of severe injury as well as death and all disabilities; criminal arbitration is newly </w:t>
      </w:r>
      <w:r w:rsidR="002D5BB0" w:rsidRPr="00222917">
        <w:rPr>
          <w:bCs/>
          <w:lang w:val="en-US"/>
        </w:rPr>
        <w:t>provided</w:t>
      </w:r>
      <w:r w:rsidR="002D5BB0" w:rsidRPr="00222917">
        <w:rPr>
          <w:lang w:val="en-US"/>
        </w:rPr>
        <w:t xml:space="preserve"> for to promote prompt resolution of conflicts between the victim and offender; and more reasonable means of calculation of the aid money are used to set it at levels based on actual income rather than paying a fixed amount to ensure that victims receive appropriate support.</w:t>
      </w:r>
      <w:r w:rsidR="00120D8B" w:rsidRPr="00222917">
        <w:rPr>
          <w:lang w:val="en-US"/>
        </w:rPr>
        <w:t xml:space="preserve"> </w:t>
      </w:r>
    </w:p>
    <w:p w:rsidR="002D5BB0" w:rsidRPr="00222917" w:rsidRDefault="00794B5A" w:rsidP="00794B5A">
      <w:pPr>
        <w:pStyle w:val="H23G"/>
        <w:rPr>
          <w:lang w:val="en-US"/>
        </w:rPr>
      </w:pPr>
      <w:bookmarkStart w:id="179" w:name="_Toc307504111"/>
      <w:bookmarkStart w:id="180" w:name="_Toc336435883"/>
      <w:r w:rsidRPr="00222917">
        <w:rPr>
          <w:lang w:val="en-US"/>
        </w:rPr>
        <w:tab/>
      </w:r>
      <w:r w:rsidRPr="00222917">
        <w:rPr>
          <w:lang w:val="en-US"/>
        </w:rPr>
        <w:tab/>
      </w:r>
      <w:r w:rsidR="002D5BB0" w:rsidRPr="00222917">
        <w:rPr>
          <w:lang w:val="en-US"/>
        </w:rPr>
        <w:t>Judgment to Compensate for Victims of Unfair Judicial Proceedings</w:t>
      </w:r>
      <w:bookmarkEnd w:id="179"/>
      <w:bookmarkEnd w:id="180"/>
      <w:r w:rsidR="002D5BB0" w:rsidRPr="00222917">
        <w:rPr>
          <w:lang w:val="en-US"/>
        </w:rPr>
        <w:t xml:space="preserve"> </w:t>
      </w:r>
    </w:p>
    <w:p w:rsidR="002D5BB0" w:rsidRPr="00222917" w:rsidRDefault="00547908" w:rsidP="00547908">
      <w:pPr>
        <w:pStyle w:val="SingleTxtG"/>
        <w:rPr>
          <w:lang w:val="en-US"/>
        </w:rPr>
      </w:pPr>
      <w:r w:rsidRPr="00222917">
        <w:rPr>
          <w:lang w:val="en-US"/>
        </w:rPr>
        <w:t>234.</w:t>
      </w:r>
      <w:r w:rsidRPr="00222917">
        <w:rPr>
          <w:lang w:val="en-US"/>
        </w:rPr>
        <w:tab/>
      </w:r>
      <w:r w:rsidR="002D5BB0" w:rsidRPr="00222917">
        <w:rPr>
          <w:lang w:val="en-US"/>
        </w:rPr>
        <w:t xml:space="preserve">On 27 May 2010, the Seoul Central District Court acknowledged that the central Government announced trumped-up charges during the investigation into the </w:t>
      </w:r>
      <w:r w:rsidR="002D5BB0" w:rsidRPr="00222917">
        <w:rPr>
          <w:i/>
          <w:lang w:val="en-US"/>
        </w:rPr>
        <w:t xml:space="preserve">Inhyeokdang </w:t>
      </w:r>
      <w:r w:rsidR="002D5BB0" w:rsidRPr="00222917">
        <w:rPr>
          <w:lang w:val="en-US"/>
        </w:rPr>
        <w:t xml:space="preserve">(the People’s Revolutionary Party) Incident in 1974. The then Korean Government accused members of army intelligence who had been sent to </w:t>
      </w:r>
      <w:smartTag w:uri="urn:schemas-microsoft-com:office:smarttags" w:element="country-region">
        <w:r w:rsidR="002D5BB0" w:rsidRPr="00222917">
          <w:rPr>
            <w:lang w:val="en-US"/>
          </w:rPr>
          <w:t>North Korea</w:t>
        </w:r>
      </w:smartTag>
      <w:r w:rsidR="002D5BB0" w:rsidRPr="00222917">
        <w:rPr>
          <w:lang w:val="en-US"/>
        </w:rPr>
        <w:t xml:space="preserve"> on special missions of spying on behalf of </w:t>
      </w:r>
      <w:smartTag w:uri="urn:schemas-microsoft-com:office:smarttags" w:element="place">
        <w:smartTag w:uri="urn:schemas-microsoft-com:office:smarttags" w:element="country-region">
          <w:r w:rsidR="002D5BB0" w:rsidRPr="00222917">
            <w:rPr>
              <w:lang w:val="en-US"/>
            </w:rPr>
            <w:t>North Korea</w:t>
          </w:r>
        </w:smartTag>
      </w:smartTag>
      <w:r w:rsidR="002D5BB0" w:rsidRPr="00222917">
        <w:rPr>
          <w:lang w:val="en-US"/>
        </w:rPr>
        <w:t xml:space="preserve"> and leading the </w:t>
      </w:r>
      <w:r w:rsidR="002D5BB0" w:rsidRPr="00222917">
        <w:rPr>
          <w:i/>
          <w:lang w:val="en-US"/>
        </w:rPr>
        <w:t>Inhyeokdang</w:t>
      </w:r>
      <w:r w:rsidR="002D5BB0" w:rsidRPr="00222917">
        <w:rPr>
          <w:lang w:val="en-US"/>
        </w:rPr>
        <w:t xml:space="preserve"> Incident. The </w:t>
      </w:r>
      <w:r w:rsidR="002D5BB0" w:rsidRPr="00222917">
        <w:rPr>
          <w:i/>
          <w:lang w:val="en-US"/>
        </w:rPr>
        <w:t xml:space="preserve">Inhyeokdang </w:t>
      </w:r>
      <w:r w:rsidR="002D5BB0" w:rsidRPr="00222917">
        <w:rPr>
          <w:lang w:val="en-US"/>
        </w:rPr>
        <w:t xml:space="preserve">Incident occurred in 1974, when the Supreme Court sentenced individuals of socialist inclinations to the death penalty based on accusations fabricated by the Korean Central Intelligence Agency and executed them only 18 hours after sentencing. The Seoul Central District Court ordered compensation of KRW 2.8 billion for mental distress of the bereaved families, who had long been branded as spies’ families (2008 GA-HAP 68581). </w:t>
      </w:r>
    </w:p>
    <w:p w:rsidR="002D5BB0" w:rsidRPr="0043669F" w:rsidRDefault="00794B5A" w:rsidP="00794B5A">
      <w:pPr>
        <w:pStyle w:val="HChG"/>
        <w:rPr>
          <w:sz w:val="24"/>
          <w:szCs w:val="24"/>
          <w:lang w:val="en-US"/>
        </w:rPr>
      </w:pPr>
      <w:bookmarkStart w:id="181" w:name="_Toc307504112"/>
      <w:bookmarkStart w:id="182" w:name="_Toc336435884"/>
      <w:r w:rsidRPr="00222917">
        <w:rPr>
          <w:lang w:val="en-US"/>
        </w:rPr>
        <w:tab/>
      </w:r>
      <w:r w:rsidRPr="00222917">
        <w:rPr>
          <w:lang w:val="en-US"/>
        </w:rPr>
        <w:tab/>
      </w:r>
      <w:r w:rsidR="002D5BB0" w:rsidRPr="0043669F">
        <w:rPr>
          <w:sz w:val="24"/>
          <w:szCs w:val="24"/>
          <w:lang w:val="en-US"/>
        </w:rPr>
        <w:t>Article 15</w:t>
      </w:r>
      <w:bookmarkEnd w:id="181"/>
      <w:bookmarkEnd w:id="182"/>
    </w:p>
    <w:p w:rsidR="002D5BB0" w:rsidRPr="00222917" w:rsidRDefault="00547908" w:rsidP="00547908">
      <w:pPr>
        <w:pStyle w:val="SingleTxtG"/>
        <w:rPr>
          <w:bCs/>
          <w:lang w:val="en-US"/>
        </w:rPr>
      </w:pPr>
      <w:r w:rsidRPr="00222917">
        <w:rPr>
          <w:bCs/>
          <w:lang w:val="en-US"/>
        </w:rPr>
        <w:t>235.</w:t>
      </w:r>
      <w:r w:rsidRPr="00222917">
        <w:rPr>
          <w:bCs/>
          <w:lang w:val="en-US"/>
        </w:rPr>
        <w:tab/>
      </w:r>
      <w:r w:rsidR="002D5BB0" w:rsidRPr="00222917">
        <w:rPr>
          <w:lang w:val="en-US"/>
        </w:rPr>
        <w:t>As stated in the first and second reports (CCPR/C/68/Add.1, paras.</w:t>
      </w:r>
      <w:r w:rsidR="00C02269" w:rsidRPr="00222917">
        <w:rPr>
          <w:lang w:val="en-US"/>
        </w:rPr>
        <w:t> </w:t>
      </w:r>
      <w:r w:rsidR="002D5BB0" w:rsidRPr="00222917">
        <w:rPr>
          <w:lang w:val="en-US"/>
        </w:rPr>
        <w:t>215</w:t>
      </w:r>
      <w:r w:rsidR="00C02269" w:rsidRPr="00222917">
        <w:rPr>
          <w:lang w:val="en-US"/>
        </w:rPr>
        <w:t xml:space="preserve"> and 216; CCPR/C/114/Add.1, paras. 175 and </w:t>
      </w:r>
      <w:r w:rsidR="002D5BB0" w:rsidRPr="00222917">
        <w:rPr>
          <w:lang w:val="en-US"/>
        </w:rPr>
        <w:t xml:space="preserve">176), the principle of </w:t>
      </w:r>
      <w:r w:rsidR="002D5BB0" w:rsidRPr="00222917">
        <w:rPr>
          <w:i/>
          <w:lang w:val="en-US"/>
        </w:rPr>
        <w:t>nulla poena sine lege</w:t>
      </w:r>
      <w:r w:rsidR="002D5BB0" w:rsidRPr="00222917">
        <w:rPr>
          <w:lang w:val="en-US"/>
        </w:rPr>
        <w:t xml:space="preserve"> is strictly guarant</w:t>
      </w:r>
      <w:r w:rsidR="00A94611" w:rsidRPr="00222917">
        <w:rPr>
          <w:lang w:val="en-US"/>
        </w:rPr>
        <w:t xml:space="preserve">eed under </w:t>
      </w:r>
      <w:r w:rsidR="00BF3911" w:rsidRPr="00222917">
        <w:rPr>
          <w:lang w:val="en-US"/>
        </w:rPr>
        <w:t>a</w:t>
      </w:r>
      <w:r w:rsidR="00A94611" w:rsidRPr="00222917">
        <w:rPr>
          <w:lang w:val="en-US"/>
        </w:rPr>
        <w:t>rticle </w:t>
      </w:r>
      <w:r w:rsidR="005F5775" w:rsidRPr="00222917">
        <w:rPr>
          <w:lang w:val="en-US"/>
        </w:rPr>
        <w:t>13, paragraph </w:t>
      </w:r>
      <w:r w:rsidR="002D5BB0" w:rsidRPr="00222917">
        <w:rPr>
          <w:lang w:val="en-US"/>
        </w:rPr>
        <w:t>1 of the Constitution, which stipulates that “no</w:t>
      </w:r>
      <w:r w:rsidR="00C02269" w:rsidRPr="00222917">
        <w:rPr>
          <w:lang w:val="en-US"/>
        </w:rPr>
        <w:t> </w:t>
      </w:r>
      <w:r w:rsidR="002D5BB0" w:rsidRPr="00222917">
        <w:rPr>
          <w:lang w:val="en-US"/>
        </w:rPr>
        <w:t xml:space="preserve">citizen shall be prosecuted for an act which does not constitute a crime under the Act in force at the time it was committed.” </w:t>
      </w:r>
    </w:p>
    <w:p w:rsidR="002D5BB0" w:rsidRPr="00222917" w:rsidRDefault="00547908" w:rsidP="00547908">
      <w:pPr>
        <w:pStyle w:val="SingleTxtG"/>
        <w:rPr>
          <w:bCs/>
          <w:lang w:val="en-US"/>
        </w:rPr>
      </w:pPr>
      <w:r w:rsidRPr="00222917">
        <w:rPr>
          <w:bCs/>
          <w:lang w:val="en-US"/>
        </w:rPr>
        <w:t>236.</w:t>
      </w:r>
      <w:r w:rsidRPr="00222917">
        <w:rPr>
          <w:bCs/>
          <w:lang w:val="en-US"/>
        </w:rPr>
        <w:tab/>
      </w:r>
      <w:r w:rsidR="002D5BB0" w:rsidRPr="00222917">
        <w:rPr>
          <w:bCs/>
          <w:lang w:val="en-US"/>
        </w:rPr>
        <w:t xml:space="preserve">On 24 July 2008, the Supreme Court ruled that the principle of non-retroactivity should also apply to the community service order, which is a public security measure by nature rather than criminal punishment. The ruling says, “The community service order aims to adjust the environment of and correct the character and conduct of the person who committed domestic violence crimes, serving as a security measure rather than a punishment, by nature. However, it is imposed in lieu of criminal punishment by imposing mandatory labor and restrictions on personal freedom upon the person who committed an act of domestic violence and thereby deprives him or her of leisure time. Therefore, in principle, in accordance with the principle of non-retroactivity, the Act in force at the time the crime was committed should apply.” (2008 EOH 4) </w:t>
      </w:r>
    </w:p>
    <w:p w:rsidR="002D5BB0" w:rsidRPr="00222917" w:rsidRDefault="00547908" w:rsidP="00547908">
      <w:pPr>
        <w:pStyle w:val="SingleTxtG"/>
        <w:rPr>
          <w:bCs/>
          <w:lang w:val="en-US"/>
        </w:rPr>
      </w:pPr>
      <w:r w:rsidRPr="00222917">
        <w:rPr>
          <w:bCs/>
          <w:lang w:val="en-US"/>
        </w:rPr>
        <w:t>237.</w:t>
      </w:r>
      <w:r w:rsidRPr="00222917">
        <w:rPr>
          <w:bCs/>
          <w:lang w:val="en-US"/>
        </w:rPr>
        <w:tab/>
      </w:r>
      <w:r w:rsidR="002D5BB0" w:rsidRPr="00222917">
        <w:rPr>
          <w:bCs/>
          <w:lang w:val="en-US"/>
        </w:rPr>
        <w:t>As explained in paragrap</w:t>
      </w:r>
      <w:r w:rsidR="005F5775" w:rsidRPr="00222917">
        <w:rPr>
          <w:bCs/>
          <w:lang w:val="en-US"/>
        </w:rPr>
        <w:t>h </w:t>
      </w:r>
      <w:r w:rsidR="00A94611" w:rsidRPr="00222917">
        <w:rPr>
          <w:bCs/>
          <w:lang w:val="en-US"/>
        </w:rPr>
        <w:t xml:space="preserve">72 above, pursuant to </w:t>
      </w:r>
      <w:r w:rsidR="00BF3911" w:rsidRPr="00222917">
        <w:rPr>
          <w:bCs/>
          <w:lang w:val="en-US"/>
        </w:rPr>
        <w:t>a</w:t>
      </w:r>
      <w:r w:rsidR="00A94611" w:rsidRPr="00222917">
        <w:rPr>
          <w:bCs/>
          <w:lang w:val="en-US"/>
        </w:rPr>
        <w:t>rticle 2 </w:t>
      </w:r>
      <w:r w:rsidR="002D5BB0" w:rsidRPr="00222917">
        <w:rPr>
          <w:bCs/>
          <w:lang w:val="en-US"/>
        </w:rPr>
        <w:t xml:space="preserve">(1) of Addenda of the </w:t>
      </w:r>
      <w:r w:rsidR="002D5BB0" w:rsidRPr="00222917">
        <w:rPr>
          <w:bCs/>
          <w:iCs/>
          <w:lang w:val="en-US"/>
        </w:rPr>
        <w:t>Act on the Electronic Monitoring of Specific Criminal Offenders</w:t>
      </w:r>
      <w:r w:rsidR="002D5BB0" w:rsidRPr="00222917">
        <w:rPr>
          <w:bCs/>
          <w:lang w:val="en-US"/>
        </w:rPr>
        <w:t>, a prosecutor is permitted to make a request to the court to attach electronic anklets to sex offenders who are soon to be released, or have been released, and are deemed to pose high risk of repeating the crime. In</w:t>
      </w:r>
      <w:r w:rsidR="00A94611" w:rsidRPr="00222917">
        <w:rPr>
          <w:bCs/>
          <w:lang w:val="en-US"/>
        </w:rPr>
        <w:t> </w:t>
      </w:r>
      <w:r w:rsidR="002D5BB0" w:rsidRPr="00222917">
        <w:rPr>
          <w:bCs/>
          <w:lang w:val="en-US"/>
        </w:rPr>
        <w:t xml:space="preserve">August 2010, the </w:t>
      </w:r>
      <w:r w:rsidR="002D5BB0" w:rsidRPr="00222917">
        <w:rPr>
          <w:bCs/>
          <w:i/>
          <w:lang w:val="en-US"/>
        </w:rPr>
        <w:t>Cheongju</w:t>
      </w:r>
      <w:r w:rsidR="002D5BB0" w:rsidRPr="00222917">
        <w:rPr>
          <w:bCs/>
          <w:lang w:val="en-US"/>
        </w:rPr>
        <w:t xml:space="preserve"> District Court made a request for adjudication on the constitutionality of the Act to the </w:t>
      </w:r>
      <w:smartTag w:uri="urn:schemas-microsoft-com:office:smarttags" w:element="Street">
        <w:smartTag w:uri="urn:schemas-microsoft-com:office:smarttags" w:element="address">
          <w:r w:rsidR="002D5BB0" w:rsidRPr="00222917">
            <w:rPr>
              <w:bCs/>
              <w:lang w:val="en-US"/>
            </w:rPr>
            <w:t>Constitutional Court</w:t>
          </w:r>
        </w:smartTag>
      </w:smartTag>
      <w:r w:rsidR="002D5BB0" w:rsidRPr="00222917">
        <w:rPr>
          <w:bCs/>
          <w:lang w:val="en-US"/>
        </w:rPr>
        <w:t xml:space="preserve"> on grounds that the provision is likely to violate the principle of non-retroactivity. </w:t>
      </w:r>
    </w:p>
    <w:p w:rsidR="002D5BB0" w:rsidRPr="0043669F" w:rsidRDefault="00794B5A" w:rsidP="00794B5A">
      <w:pPr>
        <w:pStyle w:val="HChG"/>
        <w:rPr>
          <w:sz w:val="24"/>
          <w:szCs w:val="24"/>
          <w:lang w:val="en-US"/>
        </w:rPr>
      </w:pPr>
      <w:bookmarkStart w:id="183" w:name="_Toc307504113"/>
      <w:bookmarkStart w:id="184" w:name="_Toc336435885"/>
      <w:r w:rsidRPr="00222917">
        <w:rPr>
          <w:lang w:val="en-US"/>
        </w:rPr>
        <w:tab/>
      </w:r>
      <w:r w:rsidRPr="00222917">
        <w:rPr>
          <w:lang w:val="en-US"/>
        </w:rPr>
        <w:tab/>
      </w:r>
      <w:r w:rsidR="002D5BB0" w:rsidRPr="0043669F">
        <w:rPr>
          <w:sz w:val="24"/>
          <w:szCs w:val="24"/>
          <w:lang w:val="en-US"/>
        </w:rPr>
        <w:t>Article 16</w:t>
      </w:r>
      <w:bookmarkEnd w:id="183"/>
      <w:bookmarkEnd w:id="184"/>
    </w:p>
    <w:p w:rsidR="002D5BB0" w:rsidRPr="00222917" w:rsidRDefault="00794B5A" w:rsidP="00794B5A">
      <w:pPr>
        <w:pStyle w:val="H23G"/>
        <w:rPr>
          <w:lang w:val="en-US"/>
        </w:rPr>
      </w:pPr>
      <w:bookmarkStart w:id="185" w:name="_Toc307504114"/>
      <w:bookmarkStart w:id="186" w:name="_Toc336435886"/>
      <w:r w:rsidRPr="00222917">
        <w:rPr>
          <w:lang w:val="en-US"/>
        </w:rPr>
        <w:tab/>
      </w:r>
      <w:r w:rsidRPr="00222917">
        <w:rPr>
          <w:lang w:val="en-US"/>
        </w:rPr>
        <w:tab/>
      </w:r>
      <w:r w:rsidR="002D5BB0" w:rsidRPr="00222917">
        <w:rPr>
          <w:lang w:val="en-US"/>
        </w:rPr>
        <w:t>Introduction of Adult Guardianship</w:t>
      </w:r>
      <w:bookmarkEnd w:id="185"/>
      <w:bookmarkEnd w:id="186"/>
    </w:p>
    <w:p w:rsidR="002D5BB0" w:rsidRPr="00222917" w:rsidRDefault="00547908" w:rsidP="00547908">
      <w:pPr>
        <w:pStyle w:val="SingleTxtG"/>
        <w:rPr>
          <w:lang w:val="en-US"/>
        </w:rPr>
      </w:pPr>
      <w:r w:rsidRPr="00222917">
        <w:rPr>
          <w:lang w:val="en-US"/>
        </w:rPr>
        <w:t>238.</w:t>
      </w:r>
      <w:r w:rsidRPr="00222917">
        <w:rPr>
          <w:lang w:val="en-US"/>
        </w:rPr>
        <w:tab/>
      </w:r>
      <w:r w:rsidR="002D5BB0" w:rsidRPr="00222917">
        <w:rPr>
          <w:lang w:val="en-US"/>
        </w:rPr>
        <w:t xml:space="preserve">Various guardianship arrangements in accordance with the degree of disability are being devised to improve systems for incapacitated persons under existing laws, and to better respect their intentions and </w:t>
      </w:r>
      <w:r w:rsidR="002D5BB0" w:rsidRPr="00222917">
        <w:rPr>
          <w:bCs/>
          <w:lang w:val="en-US"/>
        </w:rPr>
        <w:t>actual</w:t>
      </w:r>
      <w:r w:rsidR="002D5BB0" w:rsidRPr="00222917">
        <w:rPr>
          <w:lang w:val="en-US"/>
        </w:rPr>
        <w:t xml:space="preserve"> capacity. Under the provisions of the </w:t>
      </w:r>
      <w:r w:rsidR="002D5BB0" w:rsidRPr="000850F5">
        <w:rPr>
          <w:iCs/>
          <w:lang w:val="en-US"/>
        </w:rPr>
        <w:t>Civil Act</w:t>
      </w:r>
      <w:r w:rsidR="002D5BB0" w:rsidRPr="00222917">
        <w:rPr>
          <w:lang w:val="en-US"/>
        </w:rPr>
        <w:t>, only two</w:t>
      </w:r>
      <w:r w:rsidR="00C02269" w:rsidRPr="00222917">
        <w:rPr>
          <w:lang w:val="en-US"/>
        </w:rPr>
        <w:t xml:space="preserve"> types of incapacitated wards –</w:t>
      </w:r>
      <w:r w:rsidR="002D5BB0" w:rsidRPr="00222917">
        <w:rPr>
          <w:lang w:val="en-US"/>
        </w:rPr>
        <w:t xml:space="preserve"> the incompe</w:t>
      </w:r>
      <w:r w:rsidR="00C02269" w:rsidRPr="00222917">
        <w:rPr>
          <w:lang w:val="en-US"/>
        </w:rPr>
        <w:t>tent and the quasi-incompetent</w:t>
      </w:r>
      <w:r w:rsidR="00A727C1" w:rsidRPr="00222917">
        <w:rPr>
          <w:lang w:val="en-US"/>
        </w:rPr>
        <w:t xml:space="preserve"> </w:t>
      </w:r>
      <w:r w:rsidR="00C02269" w:rsidRPr="00222917">
        <w:rPr>
          <w:lang w:val="en-US"/>
        </w:rPr>
        <w:t>–</w:t>
      </w:r>
      <w:r w:rsidR="002D5BB0" w:rsidRPr="00222917">
        <w:rPr>
          <w:lang w:val="en-US"/>
        </w:rPr>
        <w:t xml:space="preserve"> were recognized, and all their legal acts require the guardian’s procuration or consent. However, with the introduction of adult guardianship, comprehensive guardianship is broken down into adult guardianship and minor guardianship depending on age, and restrictive guardianship is classified into limited guardianship and special guardianship depending on the scope of guardianship. Furthermore, the guardianship contract has been established to allow the ward to make decisions over a guardian and details of guardianship. </w:t>
      </w:r>
    </w:p>
    <w:p w:rsidR="002D5BB0" w:rsidRPr="00222917" w:rsidRDefault="00547908" w:rsidP="00547908">
      <w:pPr>
        <w:pStyle w:val="SingleTxtG"/>
        <w:rPr>
          <w:lang w:val="en-US"/>
        </w:rPr>
      </w:pPr>
      <w:r w:rsidRPr="00222917">
        <w:rPr>
          <w:lang w:val="en-US"/>
        </w:rPr>
        <w:t>239.</w:t>
      </w:r>
      <w:r w:rsidRPr="00222917">
        <w:rPr>
          <w:lang w:val="en-US"/>
        </w:rPr>
        <w:tab/>
      </w:r>
      <w:r w:rsidR="002D5BB0" w:rsidRPr="00222917">
        <w:rPr>
          <w:lang w:val="en-US"/>
        </w:rPr>
        <w:t xml:space="preserve">With the introduction of such a system, the scope of legal acts to be conducted independently by the ward under comprehensive guardianship has been expanded. In addition, with the introduction of the limited guardianship, through which a ward obtains assistance only for a given period or for specific matters, actual capacity of the ward can be maximized. The guardianship </w:t>
      </w:r>
      <w:r w:rsidR="002D5BB0" w:rsidRPr="00222917">
        <w:rPr>
          <w:bCs/>
          <w:lang w:val="en-US"/>
        </w:rPr>
        <w:t>contract</w:t>
      </w:r>
      <w:r w:rsidR="002D5BB0" w:rsidRPr="00222917">
        <w:rPr>
          <w:lang w:val="en-US"/>
        </w:rPr>
        <w:t xml:space="preserve"> system also allows a ward to exercise his/her rights to make decisions over the details of guardianship, protecting the right to self-determination of the ward. The amended </w:t>
      </w:r>
      <w:r w:rsidR="002D5BB0" w:rsidRPr="0043215C">
        <w:rPr>
          <w:iCs/>
          <w:lang w:val="en-US"/>
        </w:rPr>
        <w:t xml:space="preserve">Civil Act </w:t>
      </w:r>
      <w:r w:rsidR="002D5BB0" w:rsidRPr="00222917">
        <w:rPr>
          <w:lang w:val="en-US"/>
        </w:rPr>
        <w:t xml:space="preserve">contains such new provisions and is expected to be passed through the plenary session of the National Assembly in December 2010. </w:t>
      </w:r>
    </w:p>
    <w:p w:rsidR="002D5BB0" w:rsidRPr="00F016DF" w:rsidRDefault="00794B5A" w:rsidP="00794B5A">
      <w:pPr>
        <w:pStyle w:val="HChG"/>
        <w:rPr>
          <w:sz w:val="24"/>
          <w:szCs w:val="24"/>
          <w:lang w:val="en-US"/>
        </w:rPr>
      </w:pPr>
      <w:bookmarkStart w:id="187" w:name="_Toc307504115"/>
      <w:bookmarkStart w:id="188" w:name="_Toc336435887"/>
      <w:r w:rsidRPr="00222917">
        <w:rPr>
          <w:lang w:val="en-US"/>
        </w:rPr>
        <w:tab/>
      </w:r>
      <w:r w:rsidRPr="00222917">
        <w:rPr>
          <w:lang w:val="en-US"/>
        </w:rPr>
        <w:tab/>
      </w:r>
      <w:r w:rsidR="002D5BB0" w:rsidRPr="00F016DF">
        <w:rPr>
          <w:sz w:val="24"/>
          <w:szCs w:val="24"/>
          <w:lang w:val="en-US"/>
        </w:rPr>
        <w:t>Article 17</w:t>
      </w:r>
      <w:bookmarkEnd w:id="187"/>
      <w:bookmarkEnd w:id="188"/>
    </w:p>
    <w:p w:rsidR="002D5BB0" w:rsidRPr="00222917" w:rsidRDefault="00794B5A" w:rsidP="00794B5A">
      <w:pPr>
        <w:pStyle w:val="H1G"/>
        <w:rPr>
          <w:lang w:val="en-US"/>
        </w:rPr>
      </w:pPr>
      <w:bookmarkStart w:id="189" w:name="_Toc307504116"/>
      <w:bookmarkStart w:id="190" w:name="_Toc336435888"/>
      <w:r w:rsidRPr="00222917">
        <w:rPr>
          <w:lang w:val="en-US"/>
        </w:rPr>
        <w:tab/>
      </w:r>
      <w:r w:rsidRPr="00222917">
        <w:rPr>
          <w:lang w:val="en-US"/>
        </w:rPr>
        <w:tab/>
      </w:r>
      <w:r w:rsidR="002D5BB0" w:rsidRPr="00222917">
        <w:rPr>
          <w:lang w:val="en-US"/>
        </w:rPr>
        <w:t>Paragraph 1</w:t>
      </w:r>
      <w:bookmarkEnd w:id="189"/>
      <w:bookmarkEnd w:id="190"/>
    </w:p>
    <w:p w:rsidR="002D5BB0" w:rsidRPr="00222917" w:rsidRDefault="00547908" w:rsidP="00547908">
      <w:pPr>
        <w:pStyle w:val="SingleTxtG"/>
        <w:rPr>
          <w:lang w:val="en-US"/>
        </w:rPr>
      </w:pPr>
      <w:r w:rsidRPr="00222917">
        <w:rPr>
          <w:lang w:val="en-US"/>
        </w:rPr>
        <w:t>240.</w:t>
      </w:r>
      <w:r w:rsidRPr="00222917">
        <w:rPr>
          <w:lang w:val="en-US"/>
        </w:rPr>
        <w:tab/>
      </w:r>
      <w:r w:rsidR="002D5BB0" w:rsidRPr="00222917">
        <w:rPr>
          <w:lang w:val="en-US"/>
        </w:rPr>
        <w:t xml:space="preserve">The freedom of privacy is guaranteed by the provisions </w:t>
      </w:r>
      <w:r w:rsidR="00A94611" w:rsidRPr="00222917">
        <w:rPr>
          <w:lang w:val="en-US"/>
        </w:rPr>
        <w:t xml:space="preserve">of </w:t>
      </w:r>
      <w:r w:rsidR="00BF3911" w:rsidRPr="00222917">
        <w:rPr>
          <w:lang w:val="en-US"/>
        </w:rPr>
        <w:t>a</w:t>
      </w:r>
      <w:r w:rsidR="00A94611" w:rsidRPr="00222917">
        <w:rPr>
          <w:lang w:val="en-US"/>
        </w:rPr>
        <w:t>rticle </w:t>
      </w:r>
      <w:r w:rsidR="002D5BB0" w:rsidRPr="00222917">
        <w:rPr>
          <w:lang w:val="en-US"/>
        </w:rPr>
        <w:t>17 of the Constitution, and the freedom of correspo</w:t>
      </w:r>
      <w:r w:rsidR="00A94611" w:rsidRPr="00222917">
        <w:rPr>
          <w:lang w:val="en-US"/>
        </w:rPr>
        <w:t xml:space="preserve">ndence is guaranteed by </w:t>
      </w:r>
      <w:r w:rsidR="00BF3911" w:rsidRPr="00222917">
        <w:rPr>
          <w:lang w:val="en-US"/>
        </w:rPr>
        <w:t>a</w:t>
      </w:r>
      <w:r w:rsidR="00A94611" w:rsidRPr="00222917">
        <w:rPr>
          <w:lang w:val="en-US"/>
        </w:rPr>
        <w:t>rticle </w:t>
      </w:r>
      <w:r w:rsidR="002D5BB0" w:rsidRPr="00222917">
        <w:rPr>
          <w:lang w:val="en-US"/>
        </w:rPr>
        <w:t xml:space="preserve">18 thereof. Such guarantee of the freedom is </w:t>
      </w:r>
      <w:r w:rsidR="002D5BB0" w:rsidRPr="00222917">
        <w:rPr>
          <w:bCs/>
          <w:lang w:val="en-US"/>
        </w:rPr>
        <w:t>substantiated</w:t>
      </w:r>
      <w:r w:rsidR="002D5BB0" w:rsidRPr="00222917">
        <w:rPr>
          <w:lang w:val="en-US"/>
        </w:rPr>
        <w:t xml:space="preserve"> by the </w:t>
      </w:r>
      <w:r w:rsidR="002D5BB0" w:rsidRPr="00222917">
        <w:rPr>
          <w:iCs/>
          <w:lang w:val="en-US"/>
        </w:rPr>
        <w:t>Criminal Act</w:t>
      </w:r>
      <w:r w:rsidR="002D5BB0" w:rsidRPr="00222917">
        <w:rPr>
          <w:lang w:val="en-US"/>
        </w:rPr>
        <w:t xml:space="preserve">, the </w:t>
      </w:r>
      <w:r w:rsidR="002D5BB0" w:rsidRPr="00222917">
        <w:rPr>
          <w:iCs/>
          <w:lang w:val="en-US"/>
        </w:rPr>
        <w:t>Civil Act</w:t>
      </w:r>
      <w:r w:rsidR="002D5BB0" w:rsidRPr="00222917">
        <w:rPr>
          <w:lang w:val="en-US"/>
        </w:rPr>
        <w:t xml:space="preserve">, the </w:t>
      </w:r>
      <w:r w:rsidR="002D5BB0" w:rsidRPr="00222917">
        <w:rPr>
          <w:iCs/>
          <w:lang w:val="en-US"/>
        </w:rPr>
        <w:t>Minor Offence Punishment Act,</w:t>
      </w:r>
      <w:r w:rsidR="002D5BB0" w:rsidRPr="00222917">
        <w:rPr>
          <w:lang w:val="en-US"/>
        </w:rPr>
        <w:t xml:space="preserve"> the </w:t>
      </w:r>
      <w:r w:rsidR="002D5BB0" w:rsidRPr="00222917">
        <w:rPr>
          <w:iCs/>
          <w:lang w:val="en-US"/>
        </w:rPr>
        <w:t>Protection of Communications Secrets Act,</w:t>
      </w:r>
      <w:r w:rsidR="002D5BB0" w:rsidRPr="00222917">
        <w:rPr>
          <w:lang w:val="en-US"/>
        </w:rPr>
        <w:t xml:space="preserve"> the </w:t>
      </w:r>
      <w:r w:rsidR="002D5BB0" w:rsidRPr="00222917">
        <w:rPr>
          <w:iCs/>
          <w:lang w:val="en-US"/>
        </w:rPr>
        <w:t>Act on the Protection of Personal Information Maintained by Public Institutions</w:t>
      </w:r>
      <w:r w:rsidR="002D5BB0" w:rsidRPr="00222917">
        <w:rPr>
          <w:lang w:val="en-US"/>
        </w:rPr>
        <w:t xml:space="preserve">, the </w:t>
      </w:r>
      <w:r w:rsidR="002D5BB0" w:rsidRPr="00222917">
        <w:rPr>
          <w:iCs/>
          <w:lang w:val="en-US"/>
        </w:rPr>
        <w:t>Postal Services Act, and the Telecommunications Business Act</w:t>
      </w:r>
      <w:r w:rsidR="002D5BB0" w:rsidRPr="00222917">
        <w:rPr>
          <w:lang w:val="en-US"/>
        </w:rPr>
        <w:t>. As such, the legal structure of the Republic of Korea in relation to the freedom of correspo</w:t>
      </w:r>
      <w:r w:rsidR="00A94611" w:rsidRPr="00222917">
        <w:rPr>
          <w:lang w:val="en-US"/>
        </w:rPr>
        <w:t xml:space="preserve">ndence set forth in </w:t>
      </w:r>
      <w:r w:rsidR="00AE0F13" w:rsidRPr="00222917">
        <w:rPr>
          <w:lang w:val="en-US"/>
        </w:rPr>
        <w:t>a</w:t>
      </w:r>
      <w:r w:rsidR="00A94611" w:rsidRPr="00222917">
        <w:rPr>
          <w:lang w:val="en-US"/>
        </w:rPr>
        <w:t>rticle </w:t>
      </w:r>
      <w:r w:rsidR="002D5BB0" w:rsidRPr="00222917">
        <w:rPr>
          <w:lang w:val="en-US"/>
        </w:rPr>
        <w:t>17 of the Covenant is as stated in the first, second, and third reports (CCPR/C/68/Add.1, paras.</w:t>
      </w:r>
      <w:r w:rsidR="00C02269" w:rsidRPr="00222917">
        <w:rPr>
          <w:lang w:val="en-US"/>
        </w:rPr>
        <w:t> </w:t>
      </w:r>
      <w:r w:rsidR="002D5BB0" w:rsidRPr="00222917">
        <w:rPr>
          <w:lang w:val="en-US"/>
        </w:rPr>
        <w:t>223</w:t>
      </w:r>
      <w:r w:rsidR="00880048" w:rsidRPr="00222917">
        <w:rPr>
          <w:lang w:val="en-US"/>
        </w:rPr>
        <w:noBreakHyphen/>
      </w:r>
      <w:r w:rsidR="00C02269" w:rsidRPr="00222917">
        <w:rPr>
          <w:lang w:val="en-US"/>
        </w:rPr>
        <w:t>228; CCPR/C/114/Add.1, paras. </w:t>
      </w:r>
      <w:r w:rsidR="002D5BB0" w:rsidRPr="00222917">
        <w:rPr>
          <w:lang w:val="en-US"/>
        </w:rPr>
        <w:t>179</w:t>
      </w:r>
      <w:r w:rsidR="00C02269" w:rsidRPr="00222917">
        <w:rPr>
          <w:lang w:val="en-US"/>
        </w:rPr>
        <w:t>-184; CCPR/C/KOR/2005/3, paras. 245-</w:t>
      </w:r>
      <w:r w:rsidR="002D5BB0" w:rsidRPr="00222917">
        <w:rPr>
          <w:lang w:val="en-US"/>
        </w:rPr>
        <w:t xml:space="preserve">263). Revisions since May 2004 are as follows: </w:t>
      </w:r>
    </w:p>
    <w:p w:rsidR="002D5BB0" w:rsidRPr="00222917" w:rsidRDefault="00794B5A" w:rsidP="00794B5A">
      <w:pPr>
        <w:pStyle w:val="H23G"/>
        <w:rPr>
          <w:lang w:val="en-US"/>
        </w:rPr>
      </w:pPr>
      <w:bookmarkStart w:id="191" w:name="_Toc307504117"/>
      <w:bookmarkStart w:id="192" w:name="_Toc336435889"/>
      <w:r w:rsidRPr="00222917">
        <w:rPr>
          <w:lang w:val="en-US"/>
        </w:rPr>
        <w:tab/>
      </w:r>
      <w:r w:rsidRPr="00222917">
        <w:rPr>
          <w:lang w:val="en-US"/>
        </w:rPr>
        <w:tab/>
      </w:r>
      <w:r w:rsidR="002D5BB0" w:rsidRPr="00222917">
        <w:rPr>
          <w:lang w:val="en-US"/>
        </w:rPr>
        <w:t>Amendment of the Protection of Communications Secrets Act</w:t>
      </w:r>
      <w:bookmarkEnd w:id="191"/>
      <w:bookmarkEnd w:id="192"/>
    </w:p>
    <w:p w:rsidR="002D5BB0" w:rsidRPr="00222917" w:rsidRDefault="00547908" w:rsidP="00547908">
      <w:pPr>
        <w:pStyle w:val="SingleTxtG"/>
        <w:rPr>
          <w:lang w:val="en-US"/>
        </w:rPr>
      </w:pPr>
      <w:r w:rsidRPr="00222917">
        <w:rPr>
          <w:lang w:val="en-US"/>
        </w:rPr>
        <w:t>241.</w:t>
      </w:r>
      <w:r w:rsidRPr="00222917">
        <w:rPr>
          <w:lang w:val="en-US"/>
        </w:rPr>
        <w:tab/>
      </w:r>
      <w:r w:rsidR="002D5BB0" w:rsidRPr="00222917">
        <w:rPr>
          <w:lang w:val="en-US"/>
        </w:rPr>
        <w:t xml:space="preserve">The public prosecutor’s offices at each level have cracked down on violations of the </w:t>
      </w:r>
      <w:r w:rsidR="002D5BB0" w:rsidRPr="00222917">
        <w:rPr>
          <w:iCs/>
          <w:lang w:val="en-US"/>
        </w:rPr>
        <w:t xml:space="preserve">Protection of Communications Secrets Act </w:t>
      </w:r>
      <w:r w:rsidR="002D5BB0" w:rsidRPr="00222917">
        <w:rPr>
          <w:lang w:val="en-US"/>
        </w:rPr>
        <w:t xml:space="preserve">such as illegal wiretapping. From 2004 to 2009, a total of 1,622 persons were caught, and 104 of them were arrested. The frequency of requests for warrants for </w:t>
      </w:r>
      <w:r w:rsidR="002D5BB0" w:rsidRPr="00222917">
        <w:rPr>
          <w:bCs/>
          <w:lang w:val="en-US"/>
        </w:rPr>
        <w:t>wiretapping</w:t>
      </w:r>
      <w:r w:rsidR="002D5BB0" w:rsidRPr="00222917">
        <w:rPr>
          <w:lang w:val="en-US"/>
        </w:rPr>
        <w:t xml:space="preserve"> has been decreasing since 2004, though there has been a slight increase in such requests specifically concerning the increase in incidents of industrial espionage involving high technology. </w:t>
      </w:r>
    </w:p>
    <w:p w:rsidR="002D5BB0" w:rsidRPr="00222917" w:rsidRDefault="00794B5A" w:rsidP="00794B5A">
      <w:pPr>
        <w:pStyle w:val="H23G"/>
        <w:rPr>
          <w:lang w:val="en-US"/>
        </w:rPr>
      </w:pPr>
      <w:r w:rsidRPr="00222917">
        <w:rPr>
          <w:lang w:val="en-US"/>
        </w:rPr>
        <w:tab/>
      </w:r>
      <w:r w:rsidRPr="00222917">
        <w:rPr>
          <w:lang w:val="en-US"/>
        </w:rPr>
        <w:tab/>
      </w:r>
      <w:r w:rsidR="002D5BB0" w:rsidRPr="00222917">
        <w:rPr>
          <w:lang w:val="en-US"/>
        </w:rPr>
        <w:t>Crackdown on Offences of the Protection of Communications Secrets Act</w:t>
      </w:r>
      <w:r w:rsidRPr="00222917">
        <w:rPr>
          <w:lang w:val="en-US"/>
        </w:rPr>
        <w:br/>
      </w:r>
      <w:r w:rsidR="002D5BB0" w:rsidRPr="00222917">
        <w:rPr>
          <w:b w:val="0"/>
          <w:sz w:val="16"/>
          <w:szCs w:val="16"/>
          <w:lang w:val="en-US"/>
        </w:rPr>
        <w:t>(In persons)</w:t>
      </w:r>
    </w:p>
    <w:tbl>
      <w:tblPr>
        <w:tblW w:w="0" w:type="auto"/>
        <w:tblInd w:w="1134" w:type="dxa"/>
        <w:tblBorders>
          <w:top w:val="single" w:sz="4" w:space="0" w:color="auto"/>
        </w:tblBorders>
        <w:tblLayout w:type="fixed"/>
        <w:tblCellMar>
          <w:left w:w="0" w:type="dxa"/>
          <w:right w:w="0" w:type="dxa"/>
        </w:tblCellMar>
        <w:tblLook w:val="00A0"/>
      </w:tblPr>
      <w:tblGrid>
        <w:gridCol w:w="1021"/>
        <w:gridCol w:w="907"/>
        <w:gridCol w:w="907"/>
        <w:gridCol w:w="907"/>
        <w:gridCol w:w="907"/>
        <w:gridCol w:w="907"/>
        <w:gridCol w:w="907"/>
        <w:gridCol w:w="907"/>
      </w:tblGrid>
      <w:tr w:rsidR="008F6543" w:rsidRPr="00222917" w:rsidTr="00880048">
        <w:trPr>
          <w:tblHeader/>
        </w:trPr>
        <w:tc>
          <w:tcPr>
            <w:tcW w:w="1021"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880048">
            <w:pPr>
              <w:pStyle w:val="SingleTxtG"/>
              <w:suppressAutoHyphens w:val="0"/>
              <w:spacing w:before="80" w:after="80" w:line="200" w:lineRule="exact"/>
              <w:ind w:left="0" w:right="0"/>
              <w:jc w:val="left"/>
              <w:rPr>
                <w:i/>
                <w:sz w:val="16"/>
                <w:lang w:val="en-US"/>
              </w:rPr>
            </w:pPr>
            <w:r w:rsidRPr="00222917">
              <w:rPr>
                <w:bCs/>
                <w:i/>
                <w:sz w:val="16"/>
                <w:lang w:val="en-US"/>
              </w:rPr>
              <w:t>Year</w:t>
            </w:r>
          </w:p>
        </w:tc>
        <w:tc>
          <w:tcPr>
            <w:tcW w:w="907"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880048">
            <w:pPr>
              <w:pStyle w:val="SingleTxtG"/>
              <w:suppressAutoHyphens w:val="0"/>
              <w:spacing w:before="80" w:after="80" w:line="200" w:lineRule="exact"/>
              <w:ind w:left="0" w:right="0"/>
              <w:jc w:val="right"/>
              <w:rPr>
                <w:i/>
                <w:sz w:val="16"/>
                <w:lang w:val="en-US"/>
              </w:rPr>
            </w:pPr>
            <w:r w:rsidRPr="00222917">
              <w:rPr>
                <w:bCs/>
                <w:i/>
                <w:sz w:val="16"/>
                <w:lang w:val="en-US"/>
              </w:rPr>
              <w:t>2004</w:t>
            </w:r>
          </w:p>
        </w:tc>
        <w:tc>
          <w:tcPr>
            <w:tcW w:w="907"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880048">
            <w:pPr>
              <w:pStyle w:val="SingleTxtG"/>
              <w:suppressAutoHyphens w:val="0"/>
              <w:spacing w:before="80" w:after="80" w:line="200" w:lineRule="exact"/>
              <w:ind w:left="0" w:right="0"/>
              <w:jc w:val="right"/>
              <w:rPr>
                <w:i/>
                <w:sz w:val="16"/>
                <w:lang w:val="en-US"/>
              </w:rPr>
            </w:pPr>
            <w:r w:rsidRPr="00222917">
              <w:rPr>
                <w:bCs/>
                <w:i/>
                <w:sz w:val="16"/>
                <w:lang w:val="en-US"/>
              </w:rPr>
              <w:t>2005</w:t>
            </w:r>
          </w:p>
        </w:tc>
        <w:tc>
          <w:tcPr>
            <w:tcW w:w="907"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880048">
            <w:pPr>
              <w:pStyle w:val="SingleTxtG"/>
              <w:suppressAutoHyphens w:val="0"/>
              <w:spacing w:before="80" w:after="80" w:line="200" w:lineRule="exact"/>
              <w:ind w:left="0" w:right="0"/>
              <w:jc w:val="right"/>
              <w:rPr>
                <w:i/>
                <w:sz w:val="16"/>
                <w:lang w:val="en-US"/>
              </w:rPr>
            </w:pPr>
            <w:r w:rsidRPr="00222917">
              <w:rPr>
                <w:bCs/>
                <w:i/>
                <w:sz w:val="16"/>
                <w:lang w:val="en-US"/>
              </w:rPr>
              <w:t>2006</w:t>
            </w:r>
          </w:p>
        </w:tc>
        <w:tc>
          <w:tcPr>
            <w:tcW w:w="907"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880048">
            <w:pPr>
              <w:pStyle w:val="SingleTxtG"/>
              <w:suppressAutoHyphens w:val="0"/>
              <w:spacing w:before="80" w:after="80" w:line="200" w:lineRule="exact"/>
              <w:ind w:left="0" w:right="0"/>
              <w:jc w:val="right"/>
              <w:rPr>
                <w:i/>
                <w:sz w:val="16"/>
                <w:lang w:val="en-US"/>
              </w:rPr>
            </w:pPr>
            <w:r w:rsidRPr="00222917">
              <w:rPr>
                <w:bCs/>
                <w:i/>
                <w:sz w:val="16"/>
                <w:lang w:val="en-US"/>
              </w:rPr>
              <w:t>2007</w:t>
            </w:r>
          </w:p>
        </w:tc>
        <w:tc>
          <w:tcPr>
            <w:tcW w:w="907"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880048">
            <w:pPr>
              <w:pStyle w:val="SingleTxtG"/>
              <w:suppressAutoHyphens w:val="0"/>
              <w:spacing w:before="80" w:after="80" w:line="200" w:lineRule="exact"/>
              <w:ind w:left="0" w:right="0"/>
              <w:jc w:val="right"/>
              <w:rPr>
                <w:i/>
                <w:sz w:val="16"/>
                <w:lang w:val="en-US"/>
              </w:rPr>
            </w:pPr>
            <w:r w:rsidRPr="00222917">
              <w:rPr>
                <w:bCs/>
                <w:i/>
                <w:sz w:val="16"/>
                <w:lang w:val="en-US"/>
              </w:rPr>
              <w:t>2008</w:t>
            </w:r>
          </w:p>
        </w:tc>
        <w:tc>
          <w:tcPr>
            <w:tcW w:w="907"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880048">
            <w:pPr>
              <w:pStyle w:val="SingleTxtG"/>
              <w:suppressAutoHyphens w:val="0"/>
              <w:spacing w:before="80" w:after="80" w:line="200" w:lineRule="exact"/>
              <w:ind w:left="0" w:right="0"/>
              <w:jc w:val="right"/>
              <w:rPr>
                <w:i/>
                <w:sz w:val="16"/>
                <w:lang w:val="en-US"/>
              </w:rPr>
            </w:pPr>
            <w:r w:rsidRPr="00222917">
              <w:rPr>
                <w:bCs/>
                <w:i/>
                <w:sz w:val="16"/>
                <w:lang w:val="en-US"/>
              </w:rPr>
              <w:t>2009</w:t>
            </w:r>
          </w:p>
        </w:tc>
        <w:tc>
          <w:tcPr>
            <w:tcW w:w="907" w:type="dxa"/>
            <w:tcBorders>
              <w:top w:val="single" w:sz="4" w:space="0" w:color="auto"/>
              <w:bottom w:val="single" w:sz="12" w:space="0" w:color="auto"/>
            </w:tcBorders>
            <w:shd w:val="clear" w:color="auto" w:fill="auto"/>
            <w:vAlign w:val="bottom"/>
          </w:tcPr>
          <w:p w:rsidR="002D5BB0" w:rsidRPr="00222917" w:rsidRDefault="002D5BB0" w:rsidP="00880048">
            <w:pPr>
              <w:pStyle w:val="SingleTxtG"/>
              <w:suppressAutoHyphens w:val="0"/>
              <w:spacing w:before="80" w:after="80" w:line="200" w:lineRule="exact"/>
              <w:ind w:left="0" w:right="0"/>
              <w:jc w:val="right"/>
              <w:rPr>
                <w:bCs/>
                <w:i/>
                <w:sz w:val="16"/>
                <w:lang w:val="en-US"/>
              </w:rPr>
            </w:pPr>
            <w:r w:rsidRPr="00222917">
              <w:rPr>
                <w:bCs/>
                <w:i/>
                <w:sz w:val="16"/>
                <w:lang w:val="en-US"/>
              </w:rPr>
              <w:t>2010</w:t>
            </w:r>
          </w:p>
        </w:tc>
      </w:tr>
      <w:tr w:rsidR="008F6543" w:rsidRPr="00222917" w:rsidTr="00880048">
        <w:tc>
          <w:tcPr>
            <w:tcW w:w="1021" w:type="dxa"/>
            <w:tcBorders>
              <w:top w:val="single" w:sz="12" w:space="0" w:color="auto"/>
            </w:tcBorders>
            <w:shd w:val="clear" w:color="auto" w:fill="auto"/>
            <w:tcMar>
              <w:top w:w="28" w:type="dxa"/>
              <w:left w:w="28" w:type="dxa"/>
              <w:bottom w:w="28" w:type="dxa"/>
              <w:right w:w="28" w:type="dxa"/>
            </w:tcMar>
          </w:tcPr>
          <w:p w:rsidR="002D5BB0" w:rsidRPr="00222917" w:rsidRDefault="002D5BB0" w:rsidP="00880048">
            <w:pPr>
              <w:pStyle w:val="SingleTxtG"/>
              <w:suppressAutoHyphens w:val="0"/>
              <w:spacing w:before="40" w:after="40" w:line="220" w:lineRule="exact"/>
              <w:ind w:left="0" w:right="0"/>
              <w:jc w:val="left"/>
              <w:rPr>
                <w:sz w:val="18"/>
                <w:lang w:val="en-US"/>
              </w:rPr>
            </w:pPr>
            <w:r w:rsidRPr="00222917">
              <w:rPr>
                <w:sz w:val="18"/>
                <w:lang w:val="en-US"/>
              </w:rPr>
              <w:t>Arrest</w:t>
            </w:r>
          </w:p>
        </w:tc>
        <w:tc>
          <w:tcPr>
            <w:tcW w:w="907" w:type="dxa"/>
            <w:tcBorders>
              <w:top w:val="single" w:sz="12" w:space="0" w:color="auto"/>
            </w:tcBorders>
            <w:shd w:val="clear" w:color="auto" w:fill="auto"/>
            <w:tcMar>
              <w:top w:w="28" w:type="dxa"/>
              <w:left w:w="28" w:type="dxa"/>
              <w:bottom w:w="28" w:type="dxa"/>
              <w:right w:w="28" w:type="dxa"/>
            </w:tcMar>
            <w:vAlign w:val="bottom"/>
          </w:tcPr>
          <w:p w:rsidR="002D5BB0" w:rsidRPr="00222917" w:rsidRDefault="002D5BB0" w:rsidP="00880048">
            <w:pPr>
              <w:pStyle w:val="SingleTxtG"/>
              <w:suppressAutoHyphens w:val="0"/>
              <w:spacing w:before="40" w:after="40" w:line="220" w:lineRule="exact"/>
              <w:ind w:left="0" w:right="0"/>
              <w:jc w:val="right"/>
              <w:rPr>
                <w:sz w:val="18"/>
                <w:lang w:val="en-US"/>
              </w:rPr>
            </w:pPr>
            <w:r w:rsidRPr="00222917">
              <w:rPr>
                <w:sz w:val="18"/>
                <w:lang w:val="en-US"/>
              </w:rPr>
              <w:t>15</w:t>
            </w:r>
          </w:p>
        </w:tc>
        <w:tc>
          <w:tcPr>
            <w:tcW w:w="907" w:type="dxa"/>
            <w:tcBorders>
              <w:top w:val="single" w:sz="12" w:space="0" w:color="auto"/>
            </w:tcBorders>
            <w:shd w:val="clear" w:color="auto" w:fill="auto"/>
            <w:tcMar>
              <w:top w:w="28" w:type="dxa"/>
              <w:left w:w="28" w:type="dxa"/>
              <w:bottom w:w="28" w:type="dxa"/>
              <w:right w:w="28" w:type="dxa"/>
            </w:tcMar>
            <w:vAlign w:val="bottom"/>
          </w:tcPr>
          <w:p w:rsidR="002D5BB0" w:rsidRPr="00222917" w:rsidRDefault="002D5BB0" w:rsidP="00880048">
            <w:pPr>
              <w:pStyle w:val="SingleTxtG"/>
              <w:suppressAutoHyphens w:val="0"/>
              <w:spacing w:before="40" w:after="40" w:line="220" w:lineRule="exact"/>
              <w:ind w:left="0" w:right="0"/>
              <w:jc w:val="right"/>
              <w:rPr>
                <w:sz w:val="18"/>
                <w:lang w:val="en-US"/>
              </w:rPr>
            </w:pPr>
            <w:r w:rsidRPr="00222917">
              <w:rPr>
                <w:sz w:val="18"/>
                <w:lang w:val="en-US"/>
              </w:rPr>
              <w:t>38</w:t>
            </w:r>
          </w:p>
        </w:tc>
        <w:tc>
          <w:tcPr>
            <w:tcW w:w="907" w:type="dxa"/>
            <w:tcBorders>
              <w:top w:val="single" w:sz="12" w:space="0" w:color="auto"/>
            </w:tcBorders>
            <w:shd w:val="clear" w:color="auto" w:fill="auto"/>
            <w:tcMar>
              <w:top w:w="28" w:type="dxa"/>
              <w:left w:w="28" w:type="dxa"/>
              <w:bottom w:w="28" w:type="dxa"/>
              <w:right w:w="28" w:type="dxa"/>
            </w:tcMar>
            <w:vAlign w:val="bottom"/>
          </w:tcPr>
          <w:p w:rsidR="002D5BB0" w:rsidRPr="00222917" w:rsidRDefault="002D5BB0" w:rsidP="00880048">
            <w:pPr>
              <w:pStyle w:val="SingleTxtG"/>
              <w:suppressAutoHyphens w:val="0"/>
              <w:spacing w:before="40" w:after="40" w:line="220" w:lineRule="exact"/>
              <w:ind w:left="0" w:right="0"/>
              <w:jc w:val="right"/>
              <w:rPr>
                <w:sz w:val="18"/>
                <w:lang w:val="en-US"/>
              </w:rPr>
            </w:pPr>
            <w:r w:rsidRPr="00222917">
              <w:rPr>
                <w:sz w:val="18"/>
                <w:lang w:val="en-US"/>
              </w:rPr>
              <w:t>12</w:t>
            </w:r>
          </w:p>
        </w:tc>
        <w:tc>
          <w:tcPr>
            <w:tcW w:w="907" w:type="dxa"/>
            <w:tcBorders>
              <w:top w:val="single" w:sz="12" w:space="0" w:color="auto"/>
            </w:tcBorders>
            <w:shd w:val="clear" w:color="auto" w:fill="auto"/>
            <w:tcMar>
              <w:top w:w="28" w:type="dxa"/>
              <w:left w:w="28" w:type="dxa"/>
              <w:bottom w:w="28" w:type="dxa"/>
              <w:right w:w="28" w:type="dxa"/>
            </w:tcMar>
            <w:vAlign w:val="bottom"/>
          </w:tcPr>
          <w:p w:rsidR="002D5BB0" w:rsidRPr="00222917" w:rsidRDefault="002D5BB0" w:rsidP="00880048">
            <w:pPr>
              <w:pStyle w:val="SingleTxtG"/>
              <w:suppressAutoHyphens w:val="0"/>
              <w:spacing w:before="40" w:after="40" w:line="220" w:lineRule="exact"/>
              <w:ind w:left="0" w:right="0"/>
              <w:jc w:val="right"/>
              <w:rPr>
                <w:sz w:val="18"/>
                <w:lang w:val="en-US"/>
              </w:rPr>
            </w:pPr>
            <w:r w:rsidRPr="00222917">
              <w:rPr>
                <w:sz w:val="18"/>
                <w:lang w:val="en-US"/>
              </w:rPr>
              <w:t>9</w:t>
            </w:r>
          </w:p>
        </w:tc>
        <w:tc>
          <w:tcPr>
            <w:tcW w:w="907" w:type="dxa"/>
            <w:tcBorders>
              <w:top w:val="single" w:sz="12" w:space="0" w:color="auto"/>
            </w:tcBorders>
            <w:shd w:val="clear" w:color="auto" w:fill="auto"/>
            <w:tcMar>
              <w:top w:w="28" w:type="dxa"/>
              <w:left w:w="28" w:type="dxa"/>
              <w:bottom w:w="28" w:type="dxa"/>
              <w:right w:w="28" w:type="dxa"/>
            </w:tcMar>
            <w:vAlign w:val="bottom"/>
          </w:tcPr>
          <w:p w:rsidR="002D5BB0" w:rsidRPr="00222917" w:rsidRDefault="002D5BB0" w:rsidP="00880048">
            <w:pPr>
              <w:pStyle w:val="SingleTxtG"/>
              <w:suppressAutoHyphens w:val="0"/>
              <w:spacing w:before="40" w:after="40" w:line="220" w:lineRule="exact"/>
              <w:ind w:left="0" w:right="0"/>
              <w:jc w:val="right"/>
              <w:rPr>
                <w:sz w:val="18"/>
                <w:lang w:val="en-US"/>
              </w:rPr>
            </w:pPr>
            <w:r w:rsidRPr="00222917">
              <w:rPr>
                <w:sz w:val="18"/>
                <w:lang w:val="en-US"/>
              </w:rPr>
              <w:t>8</w:t>
            </w:r>
          </w:p>
        </w:tc>
        <w:tc>
          <w:tcPr>
            <w:tcW w:w="907" w:type="dxa"/>
            <w:tcBorders>
              <w:top w:val="single" w:sz="12" w:space="0" w:color="auto"/>
            </w:tcBorders>
            <w:shd w:val="clear" w:color="auto" w:fill="auto"/>
            <w:tcMar>
              <w:top w:w="28" w:type="dxa"/>
              <w:left w:w="28" w:type="dxa"/>
              <w:bottom w:w="28" w:type="dxa"/>
              <w:right w:w="28" w:type="dxa"/>
            </w:tcMar>
            <w:vAlign w:val="bottom"/>
          </w:tcPr>
          <w:p w:rsidR="002D5BB0" w:rsidRPr="00222917" w:rsidRDefault="002D5BB0" w:rsidP="00880048">
            <w:pPr>
              <w:pStyle w:val="SingleTxtG"/>
              <w:suppressAutoHyphens w:val="0"/>
              <w:spacing w:before="40" w:after="40" w:line="220" w:lineRule="exact"/>
              <w:ind w:left="0" w:right="0"/>
              <w:jc w:val="right"/>
              <w:rPr>
                <w:sz w:val="18"/>
                <w:lang w:val="en-US"/>
              </w:rPr>
            </w:pPr>
            <w:r w:rsidRPr="00222917">
              <w:rPr>
                <w:sz w:val="18"/>
                <w:lang w:val="en-US"/>
              </w:rPr>
              <w:t>22</w:t>
            </w:r>
          </w:p>
        </w:tc>
        <w:tc>
          <w:tcPr>
            <w:tcW w:w="907" w:type="dxa"/>
            <w:tcBorders>
              <w:top w:val="single" w:sz="12" w:space="0" w:color="auto"/>
            </w:tcBorders>
            <w:shd w:val="clear" w:color="auto" w:fill="auto"/>
            <w:vAlign w:val="bottom"/>
          </w:tcPr>
          <w:p w:rsidR="002D5BB0" w:rsidRPr="00222917" w:rsidRDefault="002D5BB0" w:rsidP="00880048">
            <w:pPr>
              <w:pStyle w:val="SingleTxtG"/>
              <w:suppressAutoHyphens w:val="0"/>
              <w:spacing w:before="40" w:after="40" w:line="220" w:lineRule="exact"/>
              <w:ind w:left="0" w:right="0"/>
              <w:jc w:val="right"/>
              <w:rPr>
                <w:sz w:val="18"/>
                <w:lang w:val="en-US"/>
              </w:rPr>
            </w:pPr>
            <w:r w:rsidRPr="00222917">
              <w:rPr>
                <w:sz w:val="18"/>
                <w:lang w:val="en-US"/>
              </w:rPr>
              <w:t>6</w:t>
            </w:r>
          </w:p>
        </w:tc>
      </w:tr>
      <w:tr w:rsidR="008F6543" w:rsidRPr="00222917" w:rsidTr="001C4E4C">
        <w:tc>
          <w:tcPr>
            <w:tcW w:w="1021" w:type="dxa"/>
            <w:tcBorders>
              <w:bottom w:val="single" w:sz="4" w:space="0" w:color="000000"/>
            </w:tcBorders>
            <w:shd w:val="clear" w:color="auto" w:fill="auto"/>
            <w:tcMar>
              <w:top w:w="28" w:type="dxa"/>
              <w:left w:w="28" w:type="dxa"/>
              <w:bottom w:w="28" w:type="dxa"/>
              <w:right w:w="28" w:type="dxa"/>
            </w:tcMar>
          </w:tcPr>
          <w:p w:rsidR="002D5BB0" w:rsidRPr="00222917" w:rsidRDefault="002D5BB0" w:rsidP="00880048">
            <w:pPr>
              <w:pStyle w:val="SingleTxtG"/>
              <w:suppressAutoHyphens w:val="0"/>
              <w:spacing w:before="40" w:after="40" w:line="220" w:lineRule="exact"/>
              <w:ind w:left="0" w:right="0"/>
              <w:jc w:val="left"/>
              <w:rPr>
                <w:sz w:val="18"/>
                <w:lang w:val="en-US"/>
              </w:rPr>
            </w:pPr>
            <w:r w:rsidRPr="00222917">
              <w:rPr>
                <w:sz w:val="18"/>
                <w:lang w:val="en-US"/>
              </w:rPr>
              <w:t>Non-restraint</w:t>
            </w:r>
          </w:p>
        </w:tc>
        <w:tc>
          <w:tcPr>
            <w:tcW w:w="907" w:type="dxa"/>
            <w:tcBorders>
              <w:bottom w:val="single" w:sz="4" w:space="0" w:color="000000"/>
            </w:tcBorders>
            <w:shd w:val="clear" w:color="auto" w:fill="auto"/>
            <w:tcMar>
              <w:top w:w="28" w:type="dxa"/>
              <w:left w:w="28" w:type="dxa"/>
              <w:bottom w:w="28" w:type="dxa"/>
              <w:right w:w="28" w:type="dxa"/>
            </w:tcMar>
            <w:vAlign w:val="bottom"/>
          </w:tcPr>
          <w:p w:rsidR="002D5BB0" w:rsidRPr="00222917" w:rsidRDefault="002D5BB0" w:rsidP="00880048">
            <w:pPr>
              <w:pStyle w:val="SingleTxtG"/>
              <w:suppressAutoHyphens w:val="0"/>
              <w:spacing w:before="40" w:after="40" w:line="220" w:lineRule="exact"/>
              <w:ind w:left="0" w:right="0"/>
              <w:jc w:val="right"/>
              <w:rPr>
                <w:sz w:val="18"/>
                <w:lang w:val="en-US"/>
              </w:rPr>
            </w:pPr>
            <w:r w:rsidRPr="00222917">
              <w:rPr>
                <w:sz w:val="18"/>
                <w:lang w:val="en-US"/>
              </w:rPr>
              <w:t>156</w:t>
            </w:r>
          </w:p>
        </w:tc>
        <w:tc>
          <w:tcPr>
            <w:tcW w:w="907" w:type="dxa"/>
            <w:tcBorders>
              <w:bottom w:val="single" w:sz="4" w:space="0" w:color="000000"/>
            </w:tcBorders>
            <w:shd w:val="clear" w:color="auto" w:fill="auto"/>
            <w:tcMar>
              <w:top w:w="28" w:type="dxa"/>
              <w:left w:w="28" w:type="dxa"/>
              <w:bottom w:w="28" w:type="dxa"/>
              <w:right w:w="28" w:type="dxa"/>
            </w:tcMar>
            <w:vAlign w:val="bottom"/>
          </w:tcPr>
          <w:p w:rsidR="002D5BB0" w:rsidRPr="00222917" w:rsidRDefault="002D5BB0" w:rsidP="00880048">
            <w:pPr>
              <w:pStyle w:val="SingleTxtG"/>
              <w:suppressAutoHyphens w:val="0"/>
              <w:spacing w:before="40" w:after="40" w:line="220" w:lineRule="exact"/>
              <w:ind w:left="0" w:right="0"/>
              <w:jc w:val="right"/>
              <w:rPr>
                <w:sz w:val="18"/>
                <w:lang w:val="en-US"/>
              </w:rPr>
            </w:pPr>
            <w:r w:rsidRPr="00222917">
              <w:rPr>
                <w:sz w:val="18"/>
                <w:lang w:val="en-US"/>
              </w:rPr>
              <w:t>280</w:t>
            </w:r>
          </w:p>
        </w:tc>
        <w:tc>
          <w:tcPr>
            <w:tcW w:w="907" w:type="dxa"/>
            <w:tcBorders>
              <w:bottom w:val="single" w:sz="4" w:space="0" w:color="000000"/>
            </w:tcBorders>
            <w:shd w:val="clear" w:color="auto" w:fill="auto"/>
            <w:tcMar>
              <w:top w:w="28" w:type="dxa"/>
              <w:left w:w="28" w:type="dxa"/>
              <w:bottom w:w="28" w:type="dxa"/>
              <w:right w:w="28" w:type="dxa"/>
            </w:tcMar>
            <w:vAlign w:val="bottom"/>
          </w:tcPr>
          <w:p w:rsidR="002D5BB0" w:rsidRPr="00222917" w:rsidRDefault="002D5BB0" w:rsidP="00880048">
            <w:pPr>
              <w:pStyle w:val="SingleTxtG"/>
              <w:suppressAutoHyphens w:val="0"/>
              <w:spacing w:before="40" w:after="40" w:line="220" w:lineRule="exact"/>
              <w:ind w:left="0" w:right="0"/>
              <w:jc w:val="right"/>
              <w:rPr>
                <w:sz w:val="18"/>
                <w:lang w:val="en-US"/>
              </w:rPr>
            </w:pPr>
            <w:r w:rsidRPr="00222917">
              <w:rPr>
                <w:sz w:val="18"/>
                <w:lang w:val="en-US"/>
              </w:rPr>
              <w:t>290</w:t>
            </w:r>
          </w:p>
        </w:tc>
        <w:tc>
          <w:tcPr>
            <w:tcW w:w="907" w:type="dxa"/>
            <w:tcBorders>
              <w:bottom w:val="single" w:sz="4" w:space="0" w:color="000000"/>
            </w:tcBorders>
            <w:shd w:val="clear" w:color="auto" w:fill="auto"/>
            <w:tcMar>
              <w:top w:w="28" w:type="dxa"/>
              <w:left w:w="28" w:type="dxa"/>
              <w:bottom w:w="28" w:type="dxa"/>
              <w:right w:w="28" w:type="dxa"/>
            </w:tcMar>
            <w:vAlign w:val="bottom"/>
          </w:tcPr>
          <w:p w:rsidR="002D5BB0" w:rsidRPr="00222917" w:rsidRDefault="002D5BB0" w:rsidP="00880048">
            <w:pPr>
              <w:pStyle w:val="SingleTxtG"/>
              <w:suppressAutoHyphens w:val="0"/>
              <w:spacing w:before="40" w:after="40" w:line="220" w:lineRule="exact"/>
              <w:ind w:left="0" w:right="0"/>
              <w:jc w:val="right"/>
              <w:rPr>
                <w:sz w:val="18"/>
                <w:lang w:val="en-US"/>
              </w:rPr>
            </w:pPr>
            <w:r w:rsidRPr="00222917">
              <w:rPr>
                <w:sz w:val="18"/>
                <w:lang w:val="en-US"/>
              </w:rPr>
              <w:t>232</w:t>
            </w:r>
          </w:p>
        </w:tc>
        <w:tc>
          <w:tcPr>
            <w:tcW w:w="907" w:type="dxa"/>
            <w:tcBorders>
              <w:bottom w:val="single" w:sz="4" w:space="0" w:color="000000"/>
            </w:tcBorders>
            <w:shd w:val="clear" w:color="auto" w:fill="auto"/>
            <w:tcMar>
              <w:top w:w="28" w:type="dxa"/>
              <w:left w:w="28" w:type="dxa"/>
              <w:bottom w:w="28" w:type="dxa"/>
              <w:right w:w="28" w:type="dxa"/>
            </w:tcMar>
            <w:vAlign w:val="bottom"/>
          </w:tcPr>
          <w:p w:rsidR="002D5BB0" w:rsidRPr="00222917" w:rsidRDefault="002D5BB0" w:rsidP="00880048">
            <w:pPr>
              <w:pStyle w:val="SingleTxtG"/>
              <w:suppressAutoHyphens w:val="0"/>
              <w:spacing w:before="40" w:after="40" w:line="220" w:lineRule="exact"/>
              <w:ind w:left="0" w:right="0"/>
              <w:jc w:val="right"/>
              <w:rPr>
                <w:sz w:val="18"/>
                <w:lang w:val="en-US"/>
              </w:rPr>
            </w:pPr>
            <w:r w:rsidRPr="00222917">
              <w:rPr>
                <w:sz w:val="18"/>
                <w:lang w:val="en-US"/>
              </w:rPr>
              <w:t>226</w:t>
            </w:r>
          </w:p>
        </w:tc>
        <w:tc>
          <w:tcPr>
            <w:tcW w:w="907" w:type="dxa"/>
            <w:tcBorders>
              <w:bottom w:val="single" w:sz="4" w:space="0" w:color="000000"/>
            </w:tcBorders>
            <w:shd w:val="clear" w:color="auto" w:fill="auto"/>
            <w:tcMar>
              <w:top w:w="28" w:type="dxa"/>
              <w:left w:w="28" w:type="dxa"/>
              <w:bottom w:w="28" w:type="dxa"/>
              <w:right w:w="28" w:type="dxa"/>
            </w:tcMar>
            <w:vAlign w:val="bottom"/>
          </w:tcPr>
          <w:p w:rsidR="002D5BB0" w:rsidRPr="00222917" w:rsidRDefault="002D5BB0" w:rsidP="00880048">
            <w:pPr>
              <w:pStyle w:val="SingleTxtG"/>
              <w:suppressAutoHyphens w:val="0"/>
              <w:spacing w:before="40" w:after="40" w:line="220" w:lineRule="exact"/>
              <w:ind w:left="0" w:right="0"/>
              <w:jc w:val="right"/>
              <w:rPr>
                <w:sz w:val="18"/>
                <w:lang w:val="en-US"/>
              </w:rPr>
            </w:pPr>
            <w:r w:rsidRPr="00222917">
              <w:rPr>
                <w:sz w:val="18"/>
                <w:lang w:val="en-US"/>
              </w:rPr>
              <w:t>334</w:t>
            </w:r>
          </w:p>
        </w:tc>
        <w:tc>
          <w:tcPr>
            <w:tcW w:w="907" w:type="dxa"/>
            <w:tcBorders>
              <w:bottom w:val="single" w:sz="4" w:space="0" w:color="000000"/>
            </w:tcBorders>
            <w:shd w:val="clear" w:color="auto" w:fill="auto"/>
            <w:vAlign w:val="bottom"/>
          </w:tcPr>
          <w:p w:rsidR="002D5BB0" w:rsidRPr="00222917" w:rsidRDefault="002D5BB0" w:rsidP="00880048">
            <w:pPr>
              <w:pStyle w:val="SingleTxtG"/>
              <w:suppressAutoHyphens w:val="0"/>
              <w:spacing w:before="40" w:after="40" w:line="220" w:lineRule="exact"/>
              <w:ind w:left="0" w:right="0"/>
              <w:jc w:val="right"/>
              <w:rPr>
                <w:sz w:val="18"/>
                <w:lang w:val="en-US"/>
              </w:rPr>
            </w:pPr>
            <w:r w:rsidRPr="00222917">
              <w:rPr>
                <w:sz w:val="18"/>
                <w:lang w:val="en-US"/>
              </w:rPr>
              <w:t>226</w:t>
            </w:r>
          </w:p>
        </w:tc>
      </w:tr>
      <w:tr w:rsidR="008F6543" w:rsidRPr="00222917" w:rsidTr="001C4E4C">
        <w:tc>
          <w:tcPr>
            <w:tcW w:w="1021" w:type="dxa"/>
            <w:tcBorders>
              <w:top w:val="single" w:sz="4" w:space="0" w:color="000000"/>
              <w:bottom w:val="single" w:sz="12" w:space="0" w:color="auto"/>
            </w:tcBorders>
            <w:shd w:val="clear" w:color="auto" w:fill="auto"/>
            <w:tcMar>
              <w:top w:w="28" w:type="dxa"/>
              <w:left w:w="28" w:type="dxa"/>
              <w:bottom w:w="28" w:type="dxa"/>
              <w:right w:w="28" w:type="dxa"/>
            </w:tcMar>
          </w:tcPr>
          <w:p w:rsidR="002D5BB0" w:rsidRPr="00222917" w:rsidRDefault="002D5BB0" w:rsidP="00F95A79">
            <w:pPr>
              <w:pStyle w:val="SingleTxtG"/>
              <w:suppressAutoHyphens w:val="0"/>
              <w:spacing w:before="80" w:after="80" w:line="220" w:lineRule="exact"/>
              <w:ind w:left="284" w:right="0"/>
              <w:jc w:val="left"/>
              <w:rPr>
                <w:b/>
                <w:sz w:val="18"/>
                <w:lang w:val="en-US"/>
              </w:rPr>
            </w:pPr>
            <w:r w:rsidRPr="00222917">
              <w:rPr>
                <w:b/>
                <w:sz w:val="18"/>
                <w:lang w:val="en-US"/>
              </w:rPr>
              <w:t>Total</w:t>
            </w:r>
          </w:p>
        </w:tc>
        <w:tc>
          <w:tcPr>
            <w:tcW w:w="907" w:type="dxa"/>
            <w:tcBorders>
              <w:top w:val="single" w:sz="4" w:space="0" w:color="000000"/>
              <w:bottom w:val="single" w:sz="12" w:space="0" w:color="auto"/>
            </w:tcBorders>
            <w:shd w:val="clear" w:color="auto" w:fill="auto"/>
            <w:tcMar>
              <w:top w:w="28" w:type="dxa"/>
              <w:left w:w="28" w:type="dxa"/>
              <w:bottom w:w="28" w:type="dxa"/>
              <w:right w:w="28" w:type="dxa"/>
            </w:tcMar>
            <w:vAlign w:val="bottom"/>
          </w:tcPr>
          <w:p w:rsidR="002D5BB0" w:rsidRPr="00222917" w:rsidRDefault="002D5BB0" w:rsidP="00F95A79">
            <w:pPr>
              <w:pStyle w:val="SingleTxtG"/>
              <w:suppressAutoHyphens w:val="0"/>
              <w:spacing w:before="80" w:after="80" w:line="220" w:lineRule="exact"/>
              <w:ind w:left="0" w:right="0"/>
              <w:jc w:val="right"/>
              <w:rPr>
                <w:b/>
                <w:sz w:val="18"/>
                <w:lang w:val="en-US"/>
              </w:rPr>
            </w:pPr>
            <w:r w:rsidRPr="00222917">
              <w:rPr>
                <w:b/>
                <w:sz w:val="18"/>
                <w:lang w:val="en-US"/>
              </w:rPr>
              <w:t>171</w:t>
            </w:r>
          </w:p>
        </w:tc>
        <w:tc>
          <w:tcPr>
            <w:tcW w:w="907" w:type="dxa"/>
            <w:tcBorders>
              <w:top w:val="single" w:sz="4" w:space="0" w:color="000000"/>
              <w:bottom w:val="single" w:sz="12" w:space="0" w:color="auto"/>
            </w:tcBorders>
            <w:shd w:val="clear" w:color="auto" w:fill="auto"/>
            <w:tcMar>
              <w:top w:w="28" w:type="dxa"/>
              <w:left w:w="28" w:type="dxa"/>
              <w:bottom w:w="28" w:type="dxa"/>
              <w:right w:w="28" w:type="dxa"/>
            </w:tcMar>
            <w:vAlign w:val="bottom"/>
          </w:tcPr>
          <w:p w:rsidR="002D5BB0" w:rsidRPr="00222917" w:rsidRDefault="002D5BB0" w:rsidP="00F95A79">
            <w:pPr>
              <w:pStyle w:val="SingleTxtG"/>
              <w:suppressAutoHyphens w:val="0"/>
              <w:spacing w:before="80" w:after="80" w:line="220" w:lineRule="exact"/>
              <w:ind w:left="0" w:right="0"/>
              <w:jc w:val="right"/>
              <w:rPr>
                <w:b/>
                <w:sz w:val="18"/>
                <w:lang w:val="en-US"/>
              </w:rPr>
            </w:pPr>
            <w:r w:rsidRPr="00222917">
              <w:rPr>
                <w:b/>
                <w:sz w:val="18"/>
                <w:lang w:val="en-US"/>
              </w:rPr>
              <w:t>318</w:t>
            </w:r>
          </w:p>
        </w:tc>
        <w:tc>
          <w:tcPr>
            <w:tcW w:w="907" w:type="dxa"/>
            <w:tcBorders>
              <w:top w:val="single" w:sz="4" w:space="0" w:color="000000"/>
              <w:bottom w:val="single" w:sz="12" w:space="0" w:color="auto"/>
            </w:tcBorders>
            <w:shd w:val="clear" w:color="auto" w:fill="auto"/>
            <w:tcMar>
              <w:top w:w="28" w:type="dxa"/>
              <w:left w:w="28" w:type="dxa"/>
              <w:bottom w:w="28" w:type="dxa"/>
              <w:right w:w="28" w:type="dxa"/>
            </w:tcMar>
            <w:vAlign w:val="bottom"/>
          </w:tcPr>
          <w:p w:rsidR="002D5BB0" w:rsidRPr="00222917" w:rsidRDefault="002D5BB0" w:rsidP="00F95A79">
            <w:pPr>
              <w:pStyle w:val="SingleTxtG"/>
              <w:suppressAutoHyphens w:val="0"/>
              <w:spacing w:before="80" w:after="80" w:line="220" w:lineRule="exact"/>
              <w:ind w:left="0" w:right="0"/>
              <w:jc w:val="right"/>
              <w:rPr>
                <w:b/>
                <w:sz w:val="18"/>
                <w:lang w:val="en-US"/>
              </w:rPr>
            </w:pPr>
            <w:r w:rsidRPr="00222917">
              <w:rPr>
                <w:b/>
                <w:sz w:val="18"/>
                <w:lang w:val="en-US"/>
              </w:rPr>
              <w:t>302</w:t>
            </w:r>
          </w:p>
        </w:tc>
        <w:tc>
          <w:tcPr>
            <w:tcW w:w="907" w:type="dxa"/>
            <w:tcBorders>
              <w:top w:val="single" w:sz="4" w:space="0" w:color="000000"/>
              <w:bottom w:val="single" w:sz="12" w:space="0" w:color="auto"/>
            </w:tcBorders>
            <w:shd w:val="clear" w:color="auto" w:fill="auto"/>
            <w:tcMar>
              <w:top w:w="28" w:type="dxa"/>
              <w:left w:w="28" w:type="dxa"/>
              <w:bottom w:w="28" w:type="dxa"/>
              <w:right w:w="28" w:type="dxa"/>
            </w:tcMar>
            <w:vAlign w:val="bottom"/>
          </w:tcPr>
          <w:p w:rsidR="002D5BB0" w:rsidRPr="00222917" w:rsidRDefault="002D5BB0" w:rsidP="00F95A79">
            <w:pPr>
              <w:pStyle w:val="SingleTxtG"/>
              <w:suppressAutoHyphens w:val="0"/>
              <w:spacing w:before="80" w:after="80" w:line="220" w:lineRule="exact"/>
              <w:ind w:left="0" w:right="0"/>
              <w:jc w:val="right"/>
              <w:rPr>
                <w:b/>
                <w:sz w:val="18"/>
                <w:lang w:val="en-US"/>
              </w:rPr>
            </w:pPr>
            <w:r w:rsidRPr="00222917">
              <w:rPr>
                <w:b/>
                <w:sz w:val="18"/>
                <w:lang w:val="en-US"/>
              </w:rPr>
              <w:t>241</w:t>
            </w:r>
          </w:p>
        </w:tc>
        <w:tc>
          <w:tcPr>
            <w:tcW w:w="907" w:type="dxa"/>
            <w:tcBorders>
              <w:top w:val="single" w:sz="4" w:space="0" w:color="000000"/>
              <w:bottom w:val="single" w:sz="12" w:space="0" w:color="auto"/>
            </w:tcBorders>
            <w:shd w:val="clear" w:color="auto" w:fill="auto"/>
            <w:tcMar>
              <w:top w:w="28" w:type="dxa"/>
              <w:left w:w="28" w:type="dxa"/>
              <w:bottom w:w="28" w:type="dxa"/>
              <w:right w:w="28" w:type="dxa"/>
            </w:tcMar>
            <w:vAlign w:val="bottom"/>
          </w:tcPr>
          <w:p w:rsidR="002D5BB0" w:rsidRPr="00222917" w:rsidRDefault="002D5BB0" w:rsidP="00F95A79">
            <w:pPr>
              <w:pStyle w:val="SingleTxtG"/>
              <w:suppressAutoHyphens w:val="0"/>
              <w:spacing w:before="80" w:after="80" w:line="220" w:lineRule="exact"/>
              <w:ind w:left="0" w:right="0"/>
              <w:jc w:val="right"/>
              <w:rPr>
                <w:b/>
                <w:sz w:val="18"/>
                <w:lang w:val="en-US"/>
              </w:rPr>
            </w:pPr>
            <w:r w:rsidRPr="00222917">
              <w:rPr>
                <w:b/>
                <w:sz w:val="18"/>
                <w:lang w:val="en-US"/>
              </w:rPr>
              <w:t>234</w:t>
            </w:r>
          </w:p>
        </w:tc>
        <w:tc>
          <w:tcPr>
            <w:tcW w:w="907" w:type="dxa"/>
            <w:tcBorders>
              <w:top w:val="single" w:sz="4" w:space="0" w:color="000000"/>
              <w:bottom w:val="single" w:sz="12" w:space="0" w:color="auto"/>
            </w:tcBorders>
            <w:shd w:val="clear" w:color="auto" w:fill="auto"/>
            <w:tcMar>
              <w:top w:w="28" w:type="dxa"/>
              <w:left w:w="28" w:type="dxa"/>
              <w:bottom w:w="28" w:type="dxa"/>
              <w:right w:w="28" w:type="dxa"/>
            </w:tcMar>
            <w:vAlign w:val="bottom"/>
          </w:tcPr>
          <w:p w:rsidR="002D5BB0" w:rsidRPr="00222917" w:rsidRDefault="002D5BB0" w:rsidP="00F95A79">
            <w:pPr>
              <w:pStyle w:val="SingleTxtG"/>
              <w:suppressAutoHyphens w:val="0"/>
              <w:spacing w:before="80" w:after="80" w:line="220" w:lineRule="exact"/>
              <w:ind w:left="0" w:right="0"/>
              <w:jc w:val="right"/>
              <w:rPr>
                <w:b/>
                <w:sz w:val="18"/>
                <w:lang w:val="en-US"/>
              </w:rPr>
            </w:pPr>
            <w:r w:rsidRPr="00222917">
              <w:rPr>
                <w:b/>
                <w:sz w:val="18"/>
                <w:lang w:val="en-US"/>
              </w:rPr>
              <w:t>356</w:t>
            </w:r>
          </w:p>
        </w:tc>
        <w:tc>
          <w:tcPr>
            <w:tcW w:w="907" w:type="dxa"/>
            <w:tcBorders>
              <w:top w:val="single" w:sz="4" w:space="0" w:color="000000"/>
              <w:bottom w:val="single" w:sz="12" w:space="0" w:color="auto"/>
            </w:tcBorders>
            <w:shd w:val="clear" w:color="auto" w:fill="auto"/>
            <w:vAlign w:val="bottom"/>
          </w:tcPr>
          <w:p w:rsidR="002D5BB0" w:rsidRPr="00222917" w:rsidRDefault="002D5BB0" w:rsidP="00F95A79">
            <w:pPr>
              <w:pStyle w:val="SingleTxtG"/>
              <w:suppressAutoHyphens w:val="0"/>
              <w:spacing w:before="80" w:after="80" w:line="220" w:lineRule="exact"/>
              <w:ind w:left="0" w:right="0"/>
              <w:jc w:val="right"/>
              <w:rPr>
                <w:b/>
                <w:sz w:val="18"/>
                <w:lang w:val="en-US"/>
              </w:rPr>
            </w:pPr>
            <w:r w:rsidRPr="00222917">
              <w:rPr>
                <w:b/>
                <w:sz w:val="18"/>
                <w:lang w:val="en-US"/>
              </w:rPr>
              <w:t>232</w:t>
            </w:r>
          </w:p>
        </w:tc>
      </w:tr>
    </w:tbl>
    <w:p w:rsidR="002D5BB0" w:rsidRPr="00222917" w:rsidRDefault="00794B5A" w:rsidP="00794B5A">
      <w:pPr>
        <w:pStyle w:val="H23G"/>
        <w:rPr>
          <w:b w:val="0"/>
          <w:sz w:val="16"/>
          <w:szCs w:val="16"/>
          <w:lang w:val="en-US"/>
        </w:rPr>
      </w:pPr>
      <w:r w:rsidRPr="00222917">
        <w:rPr>
          <w:lang w:val="en-US"/>
        </w:rPr>
        <w:tab/>
      </w:r>
      <w:r w:rsidRPr="00222917">
        <w:rPr>
          <w:lang w:val="en-US"/>
        </w:rPr>
        <w:tab/>
      </w:r>
      <w:r w:rsidR="002D5BB0" w:rsidRPr="00222917">
        <w:rPr>
          <w:lang w:val="en-US"/>
        </w:rPr>
        <w:t>Communications Restriction Measures</w:t>
      </w:r>
      <w:r w:rsidRPr="00222917">
        <w:rPr>
          <w:lang w:val="en-US"/>
        </w:rPr>
        <w:br/>
      </w:r>
      <w:r w:rsidR="002D5BB0" w:rsidRPr="00222917">
        <w:rPr>
          <w:b w:val="0"/>
          <w:sz w:val="16"/>
          <w:szCs w:val="16"/>
          <w:lang w:val="en-US"/>
        </w:rPr>
        <w:t>(Number of cases)</w:t>
      </w:r>
    </w:p>
    <w:tbl>
      <w:tblPr>
        <w:tblW w:w="0" w:type="auto"/>
        <w:tblInd w:w="1134" w:type="dxa"/>
        <w:tblBorders>
          <w:top w:val="single" w:sz="4" w:space="0" w:color="auto"/>
        </w:tblBorders>
        <w:tblLayout w:type="fixed"/>
        <w:tblCellMar>
          <w:left w:w="0" w:type="dxa"/>
          <w:right w:w="0" w:type="dxa"/>
        </w:tblCellMar>
        <w:tblLook w:val="00A0"/>
      </w:tblPr>
      <w:tblGrid>
        <w:gridCol w:w="1021"/>
        <w:gridCol w:w="907"/>
        <w:gridCol w:w="907"/>
        <w:gridCol w:w="907"/>
        <w:gridCol w:w="907"/>
        <w:gridCol w:w="907"/>
        <w:gridCol w:w="907"/>
        <w:gridCol w:w="907"/>
      </w:tblGrid>
      <w:tr w:rsidR="008F6543" w:rsidRPr="00222917" w:rsidTr="00880048">
        <w:trPr>
          <w:tblHeader/>
        </w:trPr>
        <w:tc>
          <w:tcPr>
            <w:tcW w:w="1021"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880048">
            <w:pPr>
              <w:pStyle w:val="SingleTxtG"/>
              <w:suppressAutoHyphens w:val="0"/>
              <w:spacing w:before="80" w:after="80" w:line="200" w:lineRule="exact"/>
              <w:ind w:left="0" w:right="0"/>
              <w:jc w:val="left"/>
              <w:rPr>
                <w:i/>
                <w:sz w:val="16"/>
                <w:lang w:val="en-US"/>
              </w:rPr>
            </w:pPr>
            <w:r w:rsidRPr="00222917">
              <w:rPr>
                <w:bCs/>
                <w:i/>
                <w:sz w:val="16"/>
                <w:lang w:val="en-US"/>
              </w:rPr>
              <w:t>Year</w:t>
            </w:r>
          </w:p>
        </w:tc>
        <w:tc>
          <w:tcPr>
            <w:tcW w:w="907"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880048">
            <w:pPr>
              <w:pStyle w:val="SingleTxtG"/>
              <w:suppressAutoHyphens w:val="0"/>
              <w:spacing w:before="80" w:after="80" w:line="200" w:lineRule="exact"/>
              <w:ind w:left="0" w:right="0"/>
              <w:jc w:val="right"/>
              <w:rPr>
                <w:i/>
                <w:sz w:val="16"/>
                <w:lang w:val="en-US"/>
              </w:rPr>
            </w:pPr>
            <w:r w:rsidRPr="00222917">
              <w:rPr>
                <w:bCs/>
                <w:i/>
                <w:sz w:val="16"/>
                <w:lang w:val="en-US"/>
              </w:rPr>
              <w:t>2004</w:t>
            </w:r>
          </w:p>
        </w:tc>
        <w:tc>
          <w:tcPr>
            <w:tcW w:w="907"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880048">
            <w:pPr>
              <w:pStyle w:val="SingleTxtG"/>
              <w:suppressAutoHyphens w:val="0"/>
              <w:spacing w:before="80" w:after="80" w:line="200" w:lineRule="exact"/>
              <w:ind w:left="0" w:right="0"/>
              <w:jc w:val="right"/>
              <w:rPr>
                <w:i/>
                <w:sz w:val="16"/>
                <w:lang w:val="en-US"/>
              </w:rPr>
            </w:pPr>
            <w:r w:rsidRPr="00222917">
              <w:rPr>
                <w:bCs/>
                <w:i/>
                <w:sz w:val="16"/>
                <w:lang w:val="en-US"/>
              </w:rPr>
              <w:t>2005</w:t>
            </w:r>
          </w:p>
        </w:tc>
        <w:tc>
          <w:tcPr>
            <w:tcW w:w="907"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880048">
            <w:pPr>
              <w:pStyle w:val="SingleTxtG"/>
              <w:suppressAutoHyphens w:val="0"/>
              <w:spacing w:before="80" w:after="80" w:line="200" w:lineRule="exact"/>
              <w:ind w:left="0" w:right="0"/>
              <w:jc w:val="right"/>
              <w:rPr>
                <w:i/>
                <w:sz w:val="16"/>
                <w:lang w:val="en-US"/>
              </w:rPr>
            </w:pPr>
            <w:r w:rsidRPr="00222917">
              <w:rPr>
                <w:bCs/>
                <w:i/>
                <w:sz w:val="16"/>
                <w:lang w:val="en-US"/>
              </w:rPr>
              <w:t>2006</w:t>
            </w:r>
          </w:p>
        </w:tc>
        <w:tc>
          <w:tcPr>
            <w:tcW w:w="907"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880048">
            <w:pPr>
              <w:pStyle w:val="SingleTxtG"/>
              <w:suppressAutoHyphens w:val="0"/>
              <w:spacing w:before="80" w:after="80" w:line="200" w:lineRule="exact"/>
              <w:ind w:left="0" w:right="0"/>
              <w:jc w:val="right"/>
              <w:rPr>
                <w:i/>
                <w:sz w:val="16"/>
                <w:lang w:val="en-US"/>
              </w:rPr>
            </w:pPr>
            <w:r w:rsidRPr="00222917">
              <w:rPr>
                <w:bCs/>
                <w:i/>
                <w:sz w:val="16"/>
                <w:lang w:val="en-US"/>
              </w:rPr>
              <w:t>2007</w:t>
            </w:r>
          </w:p>
        </w:tc>
        <w:tc>
          <w:tcPr>
            <w:tcW w:w="907"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880048">
            <w:pPr>
              <w:pStyle w:val="SingleTxtG"/>
              <w:suppressAutoHyphens w:val="0"/>
              <w:spacing w:before="80" w:after="80" w:line="200" w:lineRule="exact"/>
              <w:ind w:left="0" w:right="0"/>
              <w:jc w:val="right"/>
              <w:rPr>
                <w:i/>
                <w:sz w:val="16"/>
                <w:lang w:val="en-US"/>
              </w:rPr>
            </w:pPr>
            <w:r w:rsidRPr="00222917">
              <w:rPr>
                <w:bCs/>
                <w:i/>
                <w:sz w:val="16"/>
                <w:lang w:val="en-US"/>
              </w:rPr>
              <w:t>2008</w:t>
            </w:r>
          </w:p>
        </w:tc>
        <w:tc>
          <w:tcPr>
            <w:tcW w:w="907"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880048">
            <w:pPr>
              <w:pStyle w:val="SingleTxtG"/>
              <w:suppressAutoHyphens w:val="0"/>
              <w:spacing w:before="80" w:after="80" w:line="200" w:lineRule="exact"/>
              <w:ind w:left="0" w:right="0"/>
              <w:jc w:val="right"/>
              <w:rPr>
                <w:i/>
                <w:sz w:val="16"/>
                <w:lang w:val="en-US"/>
              </w:rPr>
            </w:pPr>
            <w:r w:rsidRPr="00222917">
              <w:rPr>
                <w:bCs/>
                <w:i/>
                <w:sz w:val="16"/>
                <w:lang w:val="en-US"/>
              </w:rPr>
              <w:t>2009</w:t>
            </w:r>
          </w:p>
        </w:tc>
        <w:tc>
          <w:tcPr>
            <w:tcW w:w="907" w:type="dxa"/>
            <w:tcBorders>
              <w:top w:val="single" w:sz="4" w:space="0" w:color="auto"/>
              <w:bottom w:val="single" w:sz="12" w:space="0" w:color="auto"/>
            </w:tcBorders>
            <w:shd w:val="clear" w:color="auto" w:fill="auto"/>
            <w:vAlign w:val="bottom"/>
          </w:tcPr>
          <w:p w:rsidR="002D5BB0" w:rsidRPr="00222917" w:rsidRDefault="002D5BB0" w:rsidP="00880048">
            <w:pPr>
              <w:pStyle w:val="SingleTxtG"/>
              <w:suppressAutoHyphens w:val="0"/>
              <w:spacing w:before="80" w:after="80" w:line="200" w:lineRule="exact"/>
              <w:ind w:left="0" w:right="0"/>
              <w:jc w:val="right"/>
              <w:rPr>
                <w:bCs/>
                <w:i/>
                <w:sz w:val="16"/>
                <w:lang w:val="en-US"/>
              </w:rPr>
            </w:pPr>
            <w:r w:rsidRPr="00222917">
              <w:rPr>
                <w:bCs/>
                <w:i/>
                <w:sz w:val="16"/>
                <w:lang w:val="en-US"/>
              </w:rPr>
              <w:t>2010</w:t>
            </w:r>
          </w:p>
        </w:tc>
      </w:tr>
      <w:tr w:rsidR="008F6543" w:rsidRPr="00222917" w:rsidTr="00880048">
        <w:tc>
          <w:tcPr>
            <w:tcW w:w="1021" w:type="dxa"/>
            <w:tcBorders>
              <w:top w:val="single" w:sz="12" w:space="0" w:color="auto"/>
            </w:tcBorders>
            <w:shd w:val="clear" w:color="auto" w:fill="auto"/>
            <w:tcMar>
              <w:top w:w="28" w:type="dxa"/>
              <w:left w:w="28" w:type="dxa"/>
              <w:bottom w:w="28" w:type="dxa"/>
              <w:right w:w="28" w:type="dxa"/>
            </w:tcMar>
          </w:tcPr>
          <w:p w:rsidR="002D5BB0" w:rsidRPr="00222917" w:rsidRDefault="002D5BB0" w:rsidP="00880048">
            <w:pPr>
              <w:pStyle w:val="SingleTxtG"/>
              <w:suppressAutoHyphens w:val="0"/>
              <w:spacing w:before="40" w:after="40" w:line="220" w:lineRule="exact"/>
              <w:ind w:left="0" w:right="0"/>
              <w:jc w:val="left"/>
              <w:rPr>
                <w:sz w:val="18"/>
                <w:lang w:val="en-US"/>
              </w:rPr>
            </w:pPr>
            <w:r w:rsidRPr="00222917">
              <w:rPr>
                <w:sz w:val="18"/>
                <w:lang w:val="en-US"/>
              </w:rPr>
              <w:t>Requested</w:t>
            </w:r>
          </w:p>
        </w:tc>
        <w:tc>
          <w:tcPr>
            <w:tcW w:w="907" w:type="dxa"/>
            <w:tcBorders>
              <w:top w:val="single" w:sz="12" w:space="0" w:color="auto"/>
            </w:tcBorders>
            <w:shd w:val="clear" w:color="auto" w:fill="auto"/>
            <w:tcMar>
              <w:top w:w="28" w:type="dxa"/>
              <w:left w:w="28" w:type="dxa"/>
              <w:bottom w:w="28" w:type="dxa"/>
              <w:right w:w="28" w:type="dxa"/>
            </w:tcMar>
            <w:vAlign w:val="bottom"/>
          </w:tcPr>
          <w:p w:rsidR="002D5BB0" w:rsidRPr="00222917" w:rsidRDefault="002D5BB0" w:rsidP="00880048">
            <w:pPr>
              <w:pStyle w:val="SingleTxtG"/>
              <w:suppressAutoHyphens w:val="0"/>
              <w:spacing w:before="40" w:after="40" w:line="220" w:lineRule="exact"/>
              <w:ind w:left="0" w:right="0"/>
              <w:jc w:val="right"/>
              <w:rPr>
                <w:sz w:val="18"/>
                <w:lang w:val="en-US"/>
              </w:rPr>
            </w:pPr>
            <w:r w:rsidRPr="00222917">
              <w:rPr>
                <w:sz w:val="18"/>
                <w:lang w:val="en-US"/>
              </w:rPr>
              <w:t>337</w:t>
            </w:r>
          </w:p>
        </w:tc>
        <w:tc>
          <w:tcPr>
            <w:tcW w:w="907" w:type="dxa"/>
            <w:tcBorders>
              <w:top w:val="single" w:sz="12" w:space="0" w:color="auto"/>
            </w:tcBorders>
            <w:shd w:val="clear" w:color="auto" w:fill="auto"/>
            <w:tcMar>
              <w:top w:w="28" w:type="dxa"/>
              <w:left w:w="28" w:type="dxa"/>
              <w:bottom w:w="28" w:type="dxa"/>
              <w:right w:w="28" w:type="dxa"/>
            </w:tcMar>
            <w:vAlign w:val="bottom"/>
          </w:tcPr>
          <w:p w:rsidR="002D5BB0" w:rsidRPr="00222917" w:rsidRDefault="002D5BB0" w:rsidP="00880048">
            <w:pPr>
              <w:pStyle w:val="SingleTxtG"/>
              <w:suppressAutoHyphens w:val="0"/>
              <w:spacing w:before="40" w:after="40" w:line="220" w:lineRule="exact"/>
              <w:ind w:left="0" w:right="0"/>
              <w:jc w:val="right"/>
              <w:rPr>
                <w:sz w:val="18"/>
                <w:lang w:val="en-US"/>
              </w:rPr>
            </w:pPr>
            <w:r w:rsidRPr="00222917">
              <w:rPr>
                <w:sz w:val="18"/>
                <w:lang w:val="en-US"/>
              </w:rPr>
              <w:t>134</w:t>
            </w:r>
          </w:p>
        </w:tc>
        <w:tc>
          <w:tcPr>
            <w:tcW w:w="907" w:type="dxa"/>
            <w:tcBorders>
              <w:top w:val="single" w:sz="12" w:space="0" w:color="auto"/>
            </w:tcBorders>
            <w:shd w:val="clear" w:color="auto" w:fill="auto"/>
            <w:tcMar>
              <w:top w:w="28" w:type="dxa"/>
              <w:left w:w="28" w:type="dxa"/>
              <w:bottom w:w="28" w:type="dxa"/>
              <w:right w:w="28" w:type="dxa"/>
            </w:tcMar>
            <w:vAlign w:val="bottom"/>
          </w:tcPr>
          <w:p w:rsidR="002D5BB0" w:rsidRPr="00222917" w:rsidRDefault="002D5BB0" w:rsidP="00880048">
            <w:pPr>
              <w:pStyle w:val="SingleTxtG"/>
              <w:suppressAutoHyphens w:val="0"/>
              <w:spacing w:before="40" w:after="40" w:line="220" w:lineRule="exact"/>
              <w:ind w:left="0" w:right="0"/>
              <w:jc w:val="right"/>
              <w:rPr>
                <w:sz w:val="18"/>
                <w:lang w:val="en-US"/>
              </w:rPr>
            </w:pPr>
            <w:r w:rsidRPr="00222917">
              <w:rPr>
                <w:sz w:val="18"/>
                <w:lang w:val="en-US"/>
              </w:rPr>
              <w:t>166</w:t>
            </w:r>
          </w:p>
        </w:tc>
        <w:tc>
          <w:tcPr>
            <w:tcW w:w="907" w:type="dxa"/>
            <w:tcBorders>
              <w:top w:val="single" w:sz="12" w:space="0" w:color="auto"/>
            </w:tcBorders>
            <w:shd w:val="clear" w:color="auto" w:fill="auto"/>
            <w:tcMar>
              <w:top w:w="28" w:type="dxa"/>
              <w:left w:w="28" w:type="dxa"/>
              <w:bottom w:w="28" w:type="dxa"/>
              <w:right w:w="28" w:type="dxa"/>
            </w:tcMar>
            <w:vAlign w:val="bottom"/>
          </w:tcPr>
          <w:p w:rsidR="002D5BB0" w:rsidRPr="00222917" w:rsidRDefault="002D5BB0" w:rsidP="00880048">
            <w:pPr>
              <w:pStyle w:val="SingleTxtG"/>
              <w:suppressAutoHyphens w:val="0"/>
              <w:spacing w:before="40" w:after="40" w:line="220" w:lineRule="exact"/>
              <w:ind w:left="0" w:right="0"/>
              <w:jc w:val="right"/>
              <w:rPr>
                <w:sz w:val="18"/>
                <w:lang w:val="en-US"/>
              </w:rPr>
            </w:pPr>
            <w:r w:rsidRPr="00222917">
              <w:rPr>
                <w:sz w:val="18"/>
                <w:lang w:val="en-US"/>
              </w:rPr>
              <w:t>141</w:t>
            </w:r>
          </w:p>
        </w:tc>
        <w:tc>
          <w:tcPr>
            <w:tcW w:w="907" w:type="dxa"/>
            <w:tcBorders>
              <w:top w:val="single" w:sz="12" w:space="0" w:color="auto"/>
            </w:tcBorders>
            <w:shd w:val="clear" w:color="auto" w:fill="auto"/>
            <w:tcMar>
              <w:top w:w="28" w:type="dxa"/>
              <w:left w:w="28" w:type="dxa"/>
              <w:bottom w:w="28" w:type="dxa"/>
              <w:right w:w="28" w:type="dxa"/>
            </w:tcMar>
            <w:vAlign w:val="bottom"/>
          </w:tcPr>
          <w:p w:rsidR="002D5BB0" w:rsidRPr="00222917" w:rsidRDefault="002D5BB0" w:rsidP="00880048">
            <w:pPr>
              <w:pStyle w:val="SingleTxtG"/>
              <w:suppressAutoHyphens w:val="0"/>
              <w:spacing w:before="40" w:after="40" w:line="220" w:lineRule="exact"/>
              <w:ind w:left="0" w:right="0"/>
              <w:jc w:val="right"/>
              <w:rPr>
                <w:sz w:val="18"/>
                <w:lang w:val="en-US"/>
              </w:rPr>
            </w:pPr>
            <w:r w:rsidRPr="00222917">
              <w:rPr>
                <w:sz w:val="18"/>
                <w:lang w:val="en-US"/>
              </w:rPr>
              <w:t>137</w:t>
            </w:r>
          </w:p>
        </w:tc>
        <w:tc>
          <w:tcPr>
            <w:tcW w:w="907" w:type="dxa"/>
            <w:tcBorders>
              <w:top w:val="single" w:sz="12" w:space="0" w:color="auto"/>
            </w:tcBorders>
            <w:shd w:val="clear" w:color="auto" w:fill="auto"/>
            <w:tcMar>
              <w:top w:w="28" w:type="dxa"/>
              <w:left w:w="28" w:type="dxa"/>
              <w:bottom w:w="28" w:type="dxa"/>
              <w:right w:w="28" w:type="dxa"/>
            </w:tcMar>
            <w:vAlign w:val="bottom"/>
          </w:tcPr>
          <w:p w:rsidR="002D5BB0" w:rsidRPr="00222917" w:rsidRDefault="002D5BB0" w:rsidP="00880048">
            <w:pPr>
              <w:pStyle w:val="SingleTxtG"/>
              <w:suppressAutoHyphens w:val="0"/>
              <w:spacing w:before="40" w:after="40" w:line="220" w:lineRule="exact"/>
              <w:ind w:left="0" w:right="0"/>
              <w:jc w:val="right"/>
              <w:rPr>
                <w:sz w:val="18"/>
                <w:lang w:val="en-US"/>
              </w:rPr>
            </w:pPr>
            <w:r w:rsidRPr="00222917">
              <w:rPr>
                <w:sz w:val="18"/>
                <w:lang w:val="en-US"/>
              </w:rPr>
              <w:t>208</w:t>
            </w:r>
          </w:p>
        </w:tc>
        <w:tc>
          <w:tcPr>
            <w:tcW w:w="907" w:type="dxa"/>
            <w:tcBorders>
              <w:top w:val="single" w:sz="12" w:space="0" w:color="auto"/>
            </w:tcBorders>
            <w:shd w:val="clear" w:color="auto" w:fill="auto"/>
            <w:vAlign w:val="bottom"/>
          </w:tcPr>
          <w:p w:rsidR="002D5BB0" w:rsidRPr="00222917" w:rsidRDefault="002D5BB0" w:rsidP="00880048">
            <w:pPr>
              <w:pStyle w:val="SingleTxtG"/>
              <w:suppressAutoHyphens w:val="0"/>
              <w:spacing w:before="40" w:after="40" w:line="220" w:lineRule="exact"/>
              <w:ind w:left="0" w:right="0"/>
              <w:jc w:val="right"/>
              <w:rPr>
                <w:sz w:val="18"/>
                <w:lang w:val="en-US"/>
              </w:rPr>
            </w:pPr>
            <w:r w:rsidRPr="00222917">
              <w:rPr>
                <w:sz w:val="18"/>
                <w:lang w:val="en-US"/>
              </w:rPr>
              <w:t>112</w:t>
            </w:r>
          </w:p>
        </w:tc>
      </w:tr>
      <w:tr w:rsidR="008F6543" w:rsidRPr="00222917" w:rsidTr="00880048">
        <w:tc>
          <w:tcPr>
            <w:tcW w:w="1021" w:type="dxa"/>
            <w:tcBorders>
              <w:bottom w:val="single" w:sz="12" w:space="0" w:color="auto"/>
            </w:tcBorders>
            <w:shd w:val="clear" w:color="auto" w:fill="auto"/>
            <w:tcMar>
              <w:top w:w="28" w:type="dxa"/>
              <w:left w:w="28" w:type="dxa"/>
              <w:bottom w:w="28" w:type="dxa"/>
              <w:right w:w="28" w:type="dxa"/>
            </w:tcMar>
          </w:tcPr>
          <w:p w:rsidR="002D5BB0" w:rsidRPr="00222917" w:rsidRDefault="002D5BB0" w:rsidP="00880048">
            <w:pPr>
              <w:pStyle w:val="SingleTxtG"/>
              <w:suppressAutoHyphens w:val="0"/>
              <w:spacing w:before="40" w:after="40" w:line="220" w:lineRule="exact"/>
              <w:ind w:left="0" w:right="0"/>
              <w:jc w:val="left"/>
              <w:rPr>
                <w:sz w:val="18"/>
                <w:lang w:val="en-US"/>
              </w:rPr>
            </w:pPr>
            <w:r w:rsidRPr="00222917">
              <w:rPr>
                <w:sz w:val="18"/>
                <w:lang w:val="en-US"/>
              </w:rPr>
              <w:t>Issued</w:t>
            </w:r>
          </w:p>
        </w:tc>
        <w:tc>
          <w:tcPr>
            <w:tcW w:w="907" w:type="dxa"/>
            <w:tcBorders>
              <w:bottom w:val="single" w:sz="12" w:space="0" w:color="auto"/>
            </w:tcBorders>
            <w:shd w:val="clear" w:color="auto" w:fill="auto"/>
            <w:tcMar>
              <w:top w:w="28" w:type="dxa"/>
              <w:left w:w="28" w:type="dxa"/>
              <w:bottom w:w="28" w:type="dxa"/>
              <w:right w:w="28" w:type="dxa"/>
            </w:tcMar>
            <w:vAlign w:val="bottom"/>
          </w:tcPr>
          <w:p w:rsidR="002D5BB0" w:rsidRPr="00222917" w:rsidRDefault="002D5BB0" w:rsidP="00880048">
            <w:pPr>
              <w:pStyle w:val="SingleTxtG"/>
              <w:suppressAutoHyphens w:val="0"/>
              <w:spacing w:before="40" w:after="40" w:line="220" w:lineRule="exact"/>
              <w:ind w:left="0" w:right="0"/>
              <w:jc w:val="right"/>
              <w:rPr>
                <w:sz w:val="18"/>
                <w:lang w:val="en-US"/>
              </w:rPr>
            </w:pPr>
            <w:r w:rsidRPr="00222917">
              <w:rPr>
                <w:sz w:val="18"/>
                <w:lang w:val="en-US"/>
              </w:rPr>
              <w:t>332</w:t>
            </w:r>
          </w:p>
        </w:tc>
        <w:tc>
          <w:tcPr>
            <w:tcW w:w="907" w:type="dxa"/>
            <w:tcBorders>
              <w:bottom w:val="single" w:sz="12" w:space="0" w:color="auto"/>
            </w:tcBorders>
            <w:shd w:val="clear" w:color="auto" w:fill="auto"/>
            <w:tcMar>
              <w:top w:w="28" w:type="dxa"/>
              <w:left w:w="28" w:type="dxa"/>
              <w:bottom w:w="28" w:type="dxa"/>
              <w:right w:w="28" w:type="dxa"/>
            </w:tcMar>
            <w:vAlign w:val="bottom"/>
          </w:tcPr>
          <w:p w:rsidR="002D5BB0" w:rsidRPr="00222917" w:rsidRDefault="002D5BB0" w:rsidP="00880048">
            <w:pPr>
              <w:pStyle w:val="SingleTxtG"/>
              <w:suppressAutoHyphens w:val="0"/>
              <w:spacing w:before="40" w:after="40" w:line="220" w:lineRule="exact"/>
              <w:ind w:left="0" w:right="0"/>
              <w:jc w:val="right"/>
              <w:rPr>
                <w:sz w:val="18"/>
                <w:lang w:val="en-US"/>
              </w:rPr>
            </w:pPr>
            <w:r w:rsidRPr="00222917">
              <w:rPr>
                <w:sz w:val="18"/>
                <w:lang w:val="en-US"/>
              </w:rPr>
              <w:t>134</w:t>
            </w:r>
          </w:p>
        </w:tc>
        <w:tc>
          <w:tcPr>
            <w:tcW w:w="907" w:type="dxa"/>
            <w:tcBorders>
              <w:bottom w:val="single" w:sz="12" w:space="0" w:color="auto"/>
            </w:tcBorders>
            <w:shd w:val="clear" w:color="auto" w:fill="auto"/>
            <w:tcMar>
              <w:top w:w="28" w:type="dxa"/>
              <w:left w:w="28" w:type="dxa"/>
              <w:bottom w:w="28" w:type="dxa"/>
              <w:right w:w="28" w:type="dxa"/>
            </w:tcMar>
            <w:vAlign w:val="bottom"/>
          </w:tcPr>
          <w:p w:rsidR="002D5BB0" w:rsidRPr="00222917" w:rsidRDefault="002D5BB0" w:rsidP="00880048">
            <w:pPr>
              <w:pStyle w:val="SingleTxtG"/>
              <w:suppressAutoHyphens w:val="0"/>
              <w:spacing w:before="40" w:after="40" w:line="220" w:lineRule="exact"/>
              <w:ind w:left="0" w:right="0"/>
              <w:jc w:val="right"/>
              <w:rPr>
                <w:sz w:val="18"/>
                <w:lang w:val="en-US"/>
              </w:rPr>
            </w:pPr>
            <w:r w:rsidRPr="00222917">
              <w:rPr>
                <w:sz w:val="18"/>
                <w:lang w:val="en-US"/>
              </w:rPr>
              <w:t>159</w:t>
            </w:r>
          </w:p>
        </w:tc>
        <w:tc>
          <w:tcPr>
            <w:tcW w:w="907" w:type="dxa"/>
            <w:tcBorders>
              <w:bottom w:val="single" w:sz="12" w:space="0" w:color="auto"/>
            </w:tcBorders>
            <w:shd w:val="clear" w:color="auto" w:fill="auto"/>
            <w:tcMar>
              <w:top w:w="28" w:type="dxa"/>
              <w:left w:w="28" w:type="dxa"/>
              <w:bottom w:w="28" w:type="dxa"/>
              <w:right w:w="28" w:type="dxa"/>
            </w:tcMar>
            <w:vAlign w:val="bottom"/>
          </w:tcPr>
          <w:p w:rsidR="002D5BB0" w:rsidRPr="00222917" w:rsidRDefault="002D5BB0" w:rsidP="00880048">
            <w:pPr>
              <w:pStyle w:val="SingleTxtG"/>
              <w:suppressAutoHyphens w:val="0"/>
              <w:spacing w:before="40" w:after="40" w:line="220" w:lineRule="exact"/>
              <w:ind w:left="0" w:right="0"/>
              <w:jc w:val="right"/>
              <w:rPr>
                <w:sz w:val="18"/>
                <w:lang w:val="en-US"/>
              </w:rPr>
            </w:pPr>
            <w:r w:rsidRPr="00222917">
              <w:rPr>
                <w:sz w:val="18"/>
                <w:lang w:val="en-US"/>
              </w:rPr>
              <w:t>135</w:t>
            </w:r>
          </w:p>
        </w:tc>
        <w:tc>
          <w:tcPr>
            <w:tcW w:w="907" w:type="dxa"/>
            <w:tcBorders>
              <w:bottom w:val="single" w:sz="12" w:space="0" w:color="auto"/>
            </w:tcBorders>
            <w:shd w:val="clear" w:color="auto" w:fill="auto"/>
            <w:tcMar>
              <w:top w:w="28" w:type="dxa"/>
              <w:left w:w="28" w:type="dxa"/>
              <w:bottom w:w="28" w:type="dxa"/>
              <w:right w:w="28" w:type="dxa"/>
            </w:tcMar>
            <w:vAlign w:val="bottom"/>
          </w:tcPr>
          <w:p w:rsidR="002D5BB0" w:rsidRPr="00222917" w:rsidRDefault="002D5BB0" w:rsidP="00880048">
            <w:pPr>
              <w:pStyle w:val="SingleTxtG"/>
              <w:suppressAutoHyphens w:val="0"/>
              <w:spacing w:before="40" w:after="40" w:line="220" w:lineRule="exact"/>
              <w:ind w:left="0" w:right="0"/>
              <w:jc w:val="right"/>
              <w:rPr>
                <w:sz w:val="18"/>
                <w:lang w:val="en-US"/>
              </w:rPr>
            </w:pPr>
            <w:r w:rsidRPr="00222917">
              <w:rPr>
                <w:sz w:val="18"/>
                <w:lang w:val="en-US"/>
              </w:rPr>
              <w:t>136</w:t>
            </w:r>
          </w:p>
        </w:tc>
        <w:tc>
          <w:tcPr>
            <w:tcW w:w="907" w:type="dxa"/>
            <w:tcBorders>
              <w:bottom w:val="single" w:sz="12" w:space="0" w:color="auto"/>
            </w:tcBorders>
            <w:shd w:val="clear" w:color="auto" w:fill="auto"/>
            <w:tcMar>
              <w:top w:w="28" w:type="dxa"/>
              <w:left w:w="28" w:type="dxa"/>
              <w:bottom w:w="28" w:type="dxa"/>
              <w:right w:w="28" w:type="dxa"/>
            </w:tcMar>
            <w:vAlign w:val="bottom"/>
          </w:tcPr>
          <w:p w:rsidR="002D5BB0" w:rsidRPr="00222917" w:rsidRDefault="002D5BB0" w:rsidP="00880048">
            <w:pPr>
              <w:pStyle w:val="SingleTxtG"/>
              <w:suppressAutoHyphens w:val="0"/>
              <w:spacing w:before="40" w:after="40" w:line="220" w:lineRule="exact"/>
              <w:ind w:left="0" w:right="0"/>
              <w:jc w:val="right"/>
              <w:rPr>
                <w:sz w:val="18"/>
                <w:lang w:val="en-US"/>
              </w:rPr>
            </w:pPr>
            <w:r w:rsidRPr="00222917">
              <w:rPr>
                <w:sz w:val="18"/>
                <w:lang w:val="en-US"/>
              </w:rPr>
              <w:t>199</w:t>
            </w:r>
          </w:p>
        </w:tc>
        <w:tc>
          <w:tcPr>
            <w:tcW w:w="907" w:type="dxa"/>
            <w:tcBorders>
              <w:bottom w:val="single" w:sz="12" w:space="0" w:color="auto"/>
            </w:tcBorders>
            <w:shd w:val="clear" w:color="auto" w:fill="auto"/>
            <w:vAlign w:val="bottom"/>
          </w:tcPr>
          <w:p w:rsidR="002D5BB0" w:rsidRPr="00222917" w:rsidRDefault="002D5BB0" w:rsidP="00880048">
            <w:pPr>
              <w:pStyle w:val="SingleTxtG"/>
              <w:suppressAutoHyphens w:val="0"/>
              <w:spacing w:before="40" w:after="40" w:line="220" w:lineRule="exact"/>
              <w:ind w:left="0" w:right="0"/>
              <w:jc w:val="right"/>
              <w:rPr>
                <w:sz w:val="18"/>
                <w:lang w:val="en-US"/>
              </w:rPr>
            </w:pPr>
            <w:r w:rsidRPr="00222917">
              <w:rPr>
                <w:sz w:val="18"/>
                <w:lang w:val="en-US"/>
              </w:rPr>
              <w:t>107</w:t>
            </w:r>
          </w:p>
        </w:tc>
      </w:tr>
    </w:tbl>
    <w:p w:rsidR="002D5BB0" w:rsidRPr="00222917" w:rsidRDefault="00794B5A" w:rsidP="00794B5A">
      <w:pPr>
        <w:pStyle w:val="H23G"/>
        <w:rPr>
          <w:b w:val="0"/>
          <w:sz w:val="16"/>
          <w:szCs w:val="16"/>
          <w:lang w:val="en-US"/>
        </w:rPr>
      </w:pPr>
      <w:r w:rsidRPr="00222917">
        <w:rPr>
          <w:lang w:val="en-US"/>
        </w:rPr>
        <w:tab/>
      </w:r>
      <w:r w:rsidRPr="00222917">
        <w:rPr>
          <w:lang w:val="en-US"/>
        </w:rPr>
        <w:tab/>
      </w:r>
      <w:r w:rsidR="002D5BB0" w:rsidRPr="00222917">
        <w:rPr>
          <w:lang w:val="en-US"/>
        </w:rPr>
        <w:t>Wiretapping by Year</w:t>
      </w:r>
      <w:r w:rsidRPr="00222917">
        <w:rPr>
          <w:lang w:val="en-US"/>
        </w:rPr>
        <w:br/>
      </w:r>
      <w:r w:rsidR="002D5BB0" w:rsidRPr="00222917">
        <w:rPr>
          <w:b w:val="0"/>
          <w:sz w:val="16"/>
          <w:szCs w:val="16"/>
          <w:lang w:val="en-US"/>
        </w:rPr>
        <w:t>(Number of cases)</w:t>
      </w:r>
    </w:p>
    <w:tbl>
      <w:tblPr>
        <w:tblW w:w="0" w:type="auto"/>
        <w:tblInd w:w="1134" w:type="dxa"/>
        <w:tblBorders>
          <w:top w:val="single" w:sz="4" w:space="0" w:color="auto"/>
        </w:tblBorders>
        <w:tblLayout w:type="fixed"/>
        <w:tblCellMar>
          <w:left w:w="0" w:type="dxa"/>
          <w:right w:w="0" w:type="dxa"/>
        </w:tblCellMar>
        <w:tblLook w:val="00A0"/>
      </w:tblPr>
      <w:tblGrid>
        <w:gridCol w:w="1021"/>
        <w:gridCol w:w="1247"/>
        <w:gridCol w:w="1247"/>
        <w:gridCol w:w="1247"/>
        <w:gridCol w:w="1247"/>
        <w:gridCol w:w="1247"/>
      </w:tblGrid>
      <w:tr w:rsidR="008F6543" w:rsidRPr="00222917" w:rsidTr="00683928">
        <w:trPr>
          <w:tblHeader/>
        </w:trPr>
        <w:tc>
          <w:tcPr>
            <w:tcW w:w="1021"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683928">
            <w:pPr>
              <w:pStyle w:val="SingleTxtG"/>
              <w:suppressAutoHyphens w:val="0"/>
              <w:spacing w:before="80" w:after="80" w:line="200" w:lineRule="exact"/>
              <w:ind w:left="0" w:right="0"/>
              <w:jc w:val="left"/>
              <w:rPr>
                <w:i/>
                <w:sz w:val="16"/>
                <w:lang w:val="en-US"/>
              </w:rPr>
            </w:pPr>
            <w:r w:rsidRPr="00222917">
              <w:rPr>
                <w:bCs/>
                <w:i/>
                <w:sz w:val="16"/>
                <w:lang w:val="en-US"/>
              </w:rPr>
              <w:t>Year</w:t>
            </w:r>
          </w:p>
        </w:tc>
        <w:tc>
          <w:tcPr>
            <w:tcW w:w="1247"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683928">
            <w:pPr>
              <w:pStyle w:val="SingleTxtG"/>
              <w:suppressAutoHyphens w:val="0"/>
              <w:spacing w:before="80" w:after="80" w:line="200" w:lineRule="exact"/>
              <w:ind w:left="0" w:right="0"/>
              <w:jc w:val="right"/>
              <w:rPr>
                <w:i/>
                <w:sz w:val="16"/>
                <w:lang w:val="en-US"/>
              </w:rPr>
            </w:pPr>
            <w:r w:rsidRPr="00222917">
              <w:rPr>
                <w:bCs/>
                <w:i/>
                <w:sz w:val="16"/>
                <w:lang w:val="en-US"/>
              </w:rPr>
              <w:t>Prosecution</w:t>
            </w:r>
          </w:p>
        </w:tc>
        <w:tc>
          <w:tcPr>
            <w:tcW w:w="1247"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683928">
            <w:pPr>
              <w:pStyle w:val="SingleTxtG"/>
              <w:suppressAutoHyphens w:val="0"/>
              <w:spacing w:before="80" w:after="80" w:line="200" w:lineRule="exact"/>
              <w:ind w:left="0" w:right="0"/>
              <w:jc w:val="right"/>
              <w:rPr>
                <w:i/>
                <w:sz w:val="16"/>
                <w:lang w:val="en-US"/>
              </w:rPr>
            </w:pPr>
            <w:r w:rsidRPr="00222917">
              <w:rPr>
                <w:bCs/>
                <w:i/>
                <w:sz w:val="16"/>
                <w:lang w:val="en-US"/>
              </w:rPr>
              <w:t>Police</w:t>
            </w:r>
          </w:p>
        </w:tc>
        <w:tc>
          <w:tcPr>
            <w:tcW w:w="1247"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683928">
            <w:pPr>
              <w:pStyle w:val="SingleTxtG"/>
              <w:suppressAutoHyphens w:val="0"/>
              <w:spacing w:before="80" w:after="80" w:line="200" w:lineRule="exact"/>
              <w:ind w:left="0" w:right="0"/>
              <w:jc w:val="right"/>
              <w:rPr>
                <w:i/>
                <w:sz w:val="16"/>
                <w:lang w:val="en-US"/>
              </w:rPr>
            </w:pPr>
            <w:smartTag w:uri="urn:schemas-microsoft-com:office:smarttags" w:element="place">
              <w:smartTag w:uri="urn:schemas-microsoft-com:office:smarttags" w:element="City">
                <w:r w:rsidRPr="00222917">
                  <w:rPr>
                    <w:bCs/>
                    <w:i/>
                    <w:sz w:val="16"/>
                    <w:lang w:val="en-US"/>
                  </w:rPr>
                  <w:t>NIS</w:t>
                </w:r>
              </w:smartTag>
            </w:smartTag>
          </w:p>
        </w:tc>
        <w:tc>
          <w:tcPr>
            <w:tcW w:w="1247"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683928">
            <w:pPr>
              <w:pStyle w:val="SingleTxtG"/>
              <w:suppressAutoHyphens w:val="0"/>
              <w:spacing w:before="80" w:after="80" w:line="200" w:lineRule="exact"/>
              <w:ind w:left="0" w:right="0"/>
              <w:jc w:val="right"/>
              <w:rPr>
                <w:i/>
                <w:sz w:val="16"/>
                <w:lang w:val="en-US"/>
              </w:rPr>
            </w:pPr>
            <w:r w:rsidRPr="00222917">
              <w:rPr>
                <w:bCs/>
                <w:i/>
                <w:sz w:val="16"/>
                <w:lang w:val="en-US"/>
              </w:rPr>
              <w:t>Military investigation agency</w:t>
            </w:r>
          </w:p>
        </w:tc>
        <w:tc>
          <w:tcPr>
            <w:tcW w:w="1247"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683928">
            <w:pPr>
              <w:pStyle w:val="SingleTxtG"/>
              <w:suppressAutoHyphens w:val="0"/>
              <w:spacing w:before="80" w:after="80" w:line="200" w:lineRule="exact"/>
              <w:ind w:left="0" w:right="0"/>
              <w:jc w:val="right"/>
              <w:rPr>
                <w:b/>
                <w:i/>
                <w:sz w:val="16"/>
                <w:lang w:val="en-US"/>
              </w:rPr>
            </w:pPr>
            <w:r w:rsidRPr="00222917">
              <w:rPr>
                <w:b/>
                <w:bCs/>
                <w:i/>
                <w:sz w:val="16"/>
                <w:lang w:val="en-US"/>
              </w:rPr>
              <w:t>Total</w:t>
            </w:r>
          </w:p>
        </w:tc>
      </w:tr>
      <w:tr w:rsidR="008F6543" w:rsidRPr="00222917" w:rsidTr="00683928">
        <w:tc>
          <w:tcPr>
            <w:tcW w:w="1021" w:type="dxa"/>
            <w:tcBorders>
              <w:top w:val="single" w:sz="12" w:space="0" w:color="auto"/>
            </w:tcBorders>
            <w:shd w:val="clear" w:color="auto" w:fill="auto"/>
            <w:tcMar>
              <w:top w:w="28" w:type="dxa"/>
              <w:left w:w="28" w:type="dxa"/>
              <w:bottom w:w="28" w:type="dxa"/>
              <w:right w:w="28" w:type="dxa"/>
            </w:tcMar>
          </w:tcPr>
          <w:p w:rsidR="002D5BB0" w:rsidRPr="00222917" w:rsidRDefault="002D5BB0" w:rsidP="00683928">
            <w:pPr>
              <w:pStyle w:val="SingleTxtG"/>
              <w:suppressAutoHyphens w:val="0"/>
              <w:spacing w:before="40" w:after="40" w:line="220" w:lineRule="exact"/>
              <w:ind w:left="0" w:right="0"/>
              <w:jc w:val="left"/>
              <w:rPr>
                <w:sz w:val="18"/>
                <w:lang w:val="en-US"/>
              </w:rPr>
            </w:pPr>
            <w:r w:rsidRPr="00222917">
              <w:rPr>
                <w:sz w:val="18"/>
                <w:lang w:val="en-US"/>
              </w:rPr>
              <w:t>2006</w:t>
            </w:r>
          </w:p>
        </w:tc>
        <w:tc>
          <w:tcPr>
            <w:tcW w:w="1247" w:type="dxa"/>
            <w:tcBorders>
              <w:top w:val="single" w:sz="12" w:space="0" w:color="auto"/>
            </w:tcBorders>
            <w:shd w:val="clear" w:color="auto" w:fill="auto"/>
            <w:tcMar>
              <w:top w:w="28" w:type="dxa"/>
              <w:left w:w="28" w:type="dxa"/>
              <w:bottom w:w="28" w:type="dxa"/>
              <w:right w:w="28" w:type="dxa"/>
            </w:tcMar>
            <w:vAlign w:val="bottom"/>
          </w:tcPr>
          <w:p w:rsidR="002D5BB0" w:rsidRPr="00222917" w:rsidRDefault="002D5BB0" w:rsidP="00683928">
            <w:pPr>
              <w:pStyle w:val="SingleTxtG"/>
              <w:suppressAutoHyphens w:val="0"/>
              <w:spacing w:before="40" w:after="40" w:line="220" w:lineRule="exact"/>
              <w:ind w:left="0" w:right="0"/>
              <w:jc w:val="right"/>
              <w:rPr>
                <w:sz w:val="18"/>
                <w:lang w:val="en-US"/>
              </w:rPr>
            </w:pPr>
            <w:r w:rsidRPr="00222917">
              <w:rPr>
                <w:sz w:val="18"/>
                <w:lang w:val="en-US"/>
              </w:rPr>
              <w:t>35 (3.3%)</w:t>
            </w:r>
          </w:p>
        </w:tc>
        <w:tc>
          <w:tcPr>
            <w:tcW w:w="1247" w:type="dxa"/>
            <w:tcBorders>
              <w:top w:val="single" w:sz="12" w:space="0" w:color="auto"/>
            </w:tcBorders>
            <w:shd w:val="clear" w:color="auto" w:fill="auto"/>
            <w:tcMar>
              <w:top w:w="28" w:type="dxa"/>
              <w:left w:w="28" w:type="dxa"/>
              <w:bottom w:w="28" w:type="dxa"/>
              <w:right w:w="28" w:type="dxa"/>
            </w:tcMar>
            <w:vAlign w:val="bottom"/>
          </w:tcPr>
          <w:p w:rsidR="002D5BB0" w:rsidRPr="00222917" w:rsidRDefault="002D5BB0" w:rsidP="00683928">
            <w:pPr>
              <w:pStyle w:val="SingleTxtG"/>
              <w:suppressAutoHyphens w:val="0"/>
              <w:spacing w:before="40" w:after="40" w:line="220" w:lineRule="exact"/>
              <w:ind w:left="0" w:right="0"/>
              <w:jc w:val="right"/>
              <w:rPr>
                <w:sz w:val="18"/>
                <w:lang w:val="en-US"/>
              </w:rPr>
            </w:pPr>
            <w:r w:rsidRPr="00222917">
              <w:rPr>
                <w:sz w:val="18"/>
                <w:lang w:val="en-US"/>
              </w:rPr>
              <w:t>99 (9.5%)</w:t>
            </w:r>
          </w:p>
        </w:tc>
        <w:tc>
          <w:tcPr>
            <w:tcW w:w="1247" w:type="dxa"/>
            <w:tcBorders>
              <w:top w:val="single" w:sz="12" w:space="0" w:color="auto"/>
            </w:tcBorders>
            <w:shd w:val="clear" w:color="auto" w:fill="auto"/>
            <w:tcMar>
              <w:top w:w="28" w:type="dxa"/>
              <w:left w:w="28" w:type="dxa"/>
              <w:bottom w:w="28" w:type="dxa"/>
              <w:right w:w="28" w:type="dxa"/>
            </w:tcMar>
            <w:vAlign w:val="bottom"/>
          </w:tcPr>
          <w:p w:rsidR="002D5BB0" w:rsidRPr="00222917" w:rsidRDefault="002D5BB0" w:rsidP="00683928">
            <w:pPr>
              <w:pStyle w:val="SingleTxtG"/>
              <w:suppressAutoHyphens w:val="0"/>
              <w:spacing w:before="40" w:after="40" w:line="220" w:lineRule="exact"/>
              <w:ind w:left="0" w:right="0"/>
              <w:jc w:val="right"/>
              <w:rPr>
                <w:sz w:val="18"/>
                <w:lang w:val="en-US"/>
              </w:rPr>
            </w:pPr>
            <w:r w:rsidRPr="00222917">
              <w:rPr>
                <w:sz w:val="18"/>
                <w:lang w:val="en-US"/>
              </w:rPr>
              <w:t>870 (84%)</w:t>
            </w:r>
          </w:p>
        </w:tc>
        <w:tc>
          <w:tcPr>
            <w:tcW w:w="1247" w:type="dxa"/>
            <w:tcBorders>
              <w:top w:val="single" w:sz="12" w:space="0" w:color="auto"/>
            </w:tcBorders>
            <w:shd w:val="clear" w:color="auto" w:fill="auto"/>
            <w:tcMar>
              <w:top w:w="28" w:type="dxa"/>
              <w:left w:w="28" w:type="dxa"/>
              <w:bottom w:w="28" w:type="dxa"/>
              <w:right w:w="28" w:type="dxa"/>
            </w:tcMar>
            <w:vAlign w:val="bottom"/>
          </w:tcPr>
          <w:p w:rsidR="002D5BB0" w:rsidRPr="00222917" w:rsidRDefault="002D5BB0" w:rsidP="00683928">
            <w:pPr>
              <w:pStyle w:val="SingleTxtG"/>
              <w:suppressAutoHyphens w:val="0"/>
              <w:spacing w:before="40" w:after="40" w:line="220" w:lineRule="exact"/>
              <w:ind w:left="0" w:right="0"/>
              <w:jc w:val="right"/>
              <w:rPr>
                <w:sz w:val="18"/>
                <w:lang w:val="en-US"/>
              </w:rPr>
            </w:pPr>
            <w:r w:rsidRPr="00222917">
              <w:rPr>
                <w:sz w:val="18"/>
                <w:lang w:val="en-US"/>
              </w:rPr>
              <w:t>29 (2%)</w:t>
            </w:r>
          </w:p>
        </w:tc>
        <w:tc>
          <w:tcPr>
            <w:tcW w:w="1247" w:type="dxa"/>
            <w:tcBorders>
              <w:top w:val="single" w:sz="12" w:space="0" w:color="auto"/>
            </w:tcBorders>
            <w:shd w:val="clear" w:color="auto" w:fill="auto"/>
            <w:tcMar>
              <w:top w:w="28" w:type="dxa"/>
              <w:left w:w="28" w:type="dxa"/>
              <w:bottom w:w="28" w:type="dxa"/>
              <w:right w:w="28" w:type="dxa"/>
            </w:tcMar>
            <w:vAlign w:val="bottom"/>
          </w:tcPr>
          <w:p w:rsidR="002D5BB0" w:rsidRPr="00222917" w:rsidRDefault="002D5BB0" w:rsidP="00683928">
            <w:pPr>
              <w:pStyle w:val="SingleTxtG"/>
              <w:suppressAutoHyphens w:val="0"/>
              <w:spacing w:before="40" w:after="40" w:line="220" w:lineRule="exact"/>
              <w:ind w:left="0" w:right="0"/>
              <w:jc w:val="right"/>
              <w:rPr>
                <w:b/>
                <w:sz w:val="18"/>
                <w:lang w:val="en-US"/>
              </w:rPr>
            </w:pPr>
            <w:r w:rsidRPr="00222917">
              <w:rPr>
                <w:b/>
                <w:sz w:val="18"/>
                <w:lang w:val="en-US"/>
              </w:rPr>
              <w:t>1,033 (100%)</w:t>
            </w:r>
          </w:p>
        </w:tc>
      </w:tr>
      <w:tr w:rsidR="008F6543" w:rsidRPr="00222917" w:rsidTr="00683928">
        <w:tc>
          <w:tcPr>
            <w:tcW w:w="1021" w:type="dxa"/>
            <w:shd w:val="clear" w:color="auto" w:fill="auto"/>
            <w:tcMar>
              <w:top w:w="28" w:type="dxa"/>
              <w:left w:w="28" w:type="dxa"/>
              <w:bottom w:w="28" w:type="dxa"/>
              <w:right w:w="28" w:type="dxa"/>
            </w:tcMar>
          </w:tcPr>
          <w:p w:rsidR="002D5BB0" w:rsidRPr="00222917" w:rsidRDefault="002D5BB0" w:rsidP="00683928">
            <w:pPr>
              <w:pStyle w:val="SingleTxtG"/>
              <w:suppressAutoHyphens w:val="0"/>
              <w:spacing w:before="40" w:after="40" w:line="220" w:lineRule="exact"/>
              <w:ind w:left="0" w:right="0"/>
              <w:jc w:val="left"/>
              <w:rPr>
                <w:sz w:val="18"/>
                <w:lang w:val="en-US"/>
              </w:rPr>
            </w:pPr>
            <w:r w:rsidRPr="00222917">
              <w:rPr>
                <w:sz w:val="18"/>
                <w:lang w:val="en-US"/>
              </w:rPr>
              <w:t>2007</w:t>
            </w:r>
          </w:p>
        </w:tc>
        <w:tc>
          <w:tcPr>
            <w:tcW w:w="1247" w:type="dxa"/>
            <w:shd w:val="clear" w:color="auto" w:fill="auto"/>
            <w:tcMar>
              <w:top w:w="28" w:type="dxa"/>
              <w:left w:w="28" w:type="dxa"/>
              <w:bottom w:w="28" w:type="dxa"/>
              <w:right w:w="28" w:type="dxa"/>
            </w:tcMar>
            <w:vAlign w:val="bottom"/>
          </w:tcPr>
          <w:p w:rsidR="002D5BB0" w:rsidRPr="00222917" w:rsidRDefault="002D5BB0" w:rsidP="00683928">
            <w:pPr>
              <w:pStyle w:val="SingleTxtG"/>
              <w:suppressAutoHyphens w:val="0"/>
              <w:spacing w:before="40" w:after="40" w:line="220" w:lineRule="exact"/>
              <w:ind w:left="0" w:right="0"/>
              <w:jc w:val="right"/>
              <w:rPr>
                <w:sz w:val="18"/>
                <w:lang w:val="en-US"/>
              </w:rPr>
            </w:pPr>
            <w:r w:rsidRPr="00222917">
              <w:rPr>
                <w:sz w:val="18"/>
                <w:lang w:val="en-US"/>
              </w:rPr>
              <w:t>24 (2%)</w:t>
            </w:r>
          </w:p>
        </w:tc>
        <w:tc>
          <w:tcPr>
            <w:tcW w:w="1247" w:type="dxa"/>
            <w:shd w:val="clear" w:color="auto" w:fill="auto"/>
            <w:tcMar>
              <w:top w:w="28" w:type="dxa"/>
              <w:left w:w="28" w:type="dxa"/>
              <w:bottom w:w="28" w:type="dxa"/>
              <w:right w:w="28" w:type="dxa"/>
            </w:tcMar>
            <w:vAlign w:val="bottom"/>
          </w:tcPr>
          <w:p w:rsidR="002D5BB0" w:rsidRPr="00222917" w:rsidRDefault="002D5BB0" w:rsidP="00683928">
            <w:pPr>
              <w:pStyle w:val="SingleTxtG"/>
              <w:suppressAutoHyphens w:val="0"/>
              <w:spacing w:before="40" w:after="40" w:line="220" w:lineRule="exact"/>
              <w:ind w:left="0" w:right="0"/>
              <w:jc w:val="right"/>
              <w:rPr>
                <w:sz w:val="18"/>
                <w:lang w:val="en-US"/>
              </w:rPr>
            </w:pPr>
            <w:r w:rsidRPr="00222917">
              <w:rPr>
                <w:sz w:val="18"/>
                <w:lang w:val="en-US"/>
              </w:rPr>
              <w:t>81 (7%)</w:t>
            </w:r>
          </w:p>
        </w:tc>
        <w:tc>
          <w:tcPr>
            <w:tcW w:w="1247" w:type="dxa"/>
            <w:shd w:val="clear" w:color="auto" w:fill="auto"/>
            <w:tcMar>
              <w:top w:w="28" w:type="dxa"/>
              <w:left w:w="28" w:type="dxa"/>
              <w:bottom w:w="28" w:type="dxa"/>
              <w:right w:w="28" w:type="dxa"/>
            </w:tcMar>
            <w:vAlign w:val="bottom"/>
          </w:tcPr>
          <w:p w:rsidR="002D5BB0" w:rsidRPr="00222917" w:rsidRDefault="002D5BB0" w:rsidP="00683928">
            <w:pPr>
              <w:pStyle w:val="SingleTxtG"/>
              <w:suppressAutoHyphens w:val="0"/>
              <w:spacing w:before="40" w:after="40" w:line="220" w:lineRule="exact"/>
              <w:ind w:left="0" w:right="0"/>
              <w:jc w:val="right"/>
              <w:rPr>
                <w:sz w:val="18"/>
                <w:lang w:val="en-US"/>
              </w:rPr>
            </w:pPr>
            <w:r w:rsidRPr="00222917">
              <w:rPr>
                <w:sz w:val="18"/>
                <w:lang w:val="en-US"/>
              </w:rPr>
              <w:t>1,010 (87%)</w:t>
            </w:r>
          </w:p>
        </w:tc>
        <w:tc>
          <w:tcPr>
            <w:tcW w:w="1247" w:type="dxa"/>
            <w:shd w:val="clear" w:color="auto" w:fill="auto"/>
            <w:tcMar>
              <w:top w:w="28" w:type="dxa"/>
              <w:left w:w="28" w:type="dxa"/>
              <w:bottom w:w="28" w:type="dxa"/>
              <w:right w:w="28" w:type="dxa"/>
            </w:tcMar>
            <w:vAlign w:val="bottom"/>
          </w:tcPr>
          <w:p w:rsidR="002D5BB0" w:rsidRPr="00222917" w:rsidRDefault="002D5BB0" w:rsidP="00683928">
            <w:pPr>
              <w:pStyle w:val="SingleTxtG"/>
              <w:suppressAutoHyphens w:val="0"/>
              <w:spacing w:before="40" w:after="40" w:line="220" w:lineRule="exact"/>
              <w:ind w:left="0" w:right="0"/>
              <w:jc w:val="right"/>
              <w:rPr>
                <w:sz w:val="18"/>
                <w:lang w:val="en-US"/>
              </w:rPr>
            </w:pPr>
            <w:r w:rsidRPr="00222917">
              <w:rPr>
                <w:sz w:val="18"/>
                <w:lang w:val="en-US"/>
              </w:rPr>
              <w:t>34 (2.9%)</w:t>
            </w:r>
          </w:p>
        </w:tc>
        <w:tc>
          <w:tcPr>
            <w:tcW w:w="1247" w:type="dxa"/>
            <w:shd w:val="clear" w:color="auto" w:fill="auto"/>
            <w:tcMar>
              <w:top w:w="28" w:type="dxa"/>
              <w:left w:w="28" w:type="dxa"/>
              <w:bottom w:w="28" w:type="dxa"/>
              <w:right w:w="28" w:type="dxa"/>
            </w:tcMar>
            <w:vAlign w:val="bottom"/>
          </w:tcPr>
          <w:p w:rsidR="002D5BB0" w:rsidRPr="00222917" w:rsidRDefault="002D5BB0" w:rsidP="00683928">
            <w:pPr>
              <w:pStyle w:val="SingleTxtG"/>
              <w:suppressAutoHyphens w:val="0"/>
              <w:spacing w:before="40" w:after="40" w:line="220" w:lineRule="exact"/>
              <w:ind w:left="0" w:right="0"/>
              <w:jc w:val="right"/>
              <w:rPr>
                <w:b/>
                <w:sz w:val="18"/>
                <w:lang w:val="en-US"/>
              </w:rPr>
            </w:pPr>
            <w:r w:rsidRPr="00222917">
              <w:rPr>
                <w:b/>
                <w:sz w:val="18"/>
                <w:lang w:val="en-US"/>
              </w:rPr>
              <w:t>1,149 (100%)</w:t>
            </w:r>
          </w:p>
        </w:tc>
      </w:tr>
      <w:tr w:rsidR="008F6543" w:rsidRPr="00222917" w:rsidTr="00683928">
        <w:tc>
          <w:tcPr>
            <w:tcW w:w="1021" w:type="dxa"/>
            <w:shd w:val="clear" w:color="auto" w:fill="auto"/>
            <w:tcMar>
              <w:top w:w="28" w:type="dxa"/>
              <w:left w:w="28" w:type="dxa"/>
              <w:bottom w:w="28" w:type="dxa"/>
              <w:right w:w="28" w:type="dxa"/>
            </w:tcMar>
          </w:tcPr>
          <w:p w:rsidR="002D5BB0" w:rsidRPr="00222917" w:rsidRDefault="002D5BB0" w:rsidP="00683928">
            <w:pPr>
              <w:pStyle w:val="SingleTxtG"/>
              <w:suppressAutoHyphens w:val="0"/>
              <w:spacing w:before="40" w:after="40" w:line="220" w:lineRule="exact"/>
              <w:ind w:left="0" w:right="0"/>
              <w:jc w:val="left"/>
              <w:rPr>
                <w:sz w:val="18"/>
                <w:lang w:val="en-US"/>
              </w:rPr>
            </w:pPr>
            <w:r w:rsidRPr="00222917">
              <w:rPr>
                <w:sz w:val="18"/>
                <w:lang w:val="en-US"/>
              </w:rPr>
              <w:t>2008</w:t>
            </w:r>
          </w:p>
        </w:tc>
        <w:tc>
          <w:tcPr>
            <w:tcW w:w="1247" w:type="dxa"/>
            <w:shd w:val="clear" w:color="auto" w:fill="auto"/>
            <w:tcMar>
              <w:top w:w="28" w:type="dxa"/>
              <w:left w:w="28" w:type="dxa"/>
              <w:bottom w:w="28" w:type="dxa"/>
              <w:right w:w="28" w:type="dxa"/>
            </w:tcMar>
            <w:vAlign w:val="bottom"/>
          </w:tcPr>
          <w:p w:rsidR="002D5BB0" w:rsidRPr="00222917" w:rsidRDefault="002D5BB0" w:rsidP="00683928">
            <w:pPr>
              <w:pStyle w:val="SingleTxtG"/>
              <w:suppressAutoHyphens w:val="0"/>
              <w:spacing w:before="40" w:after="40" w:line="220" w:lineRule="exact"/>
              <w:ind w:left="0" w:right="0"/>
              <w:jc w:val="right"/>
              <w:rPr>
                <w:sz w:val="18"/>
                <w:lang w:val="en-US"/>
              </w:rPr>
            </w:pPr>
            <w:r w:rsidRPr="00222917">
              <w:rPr>
                <w:sz w:val="18"/>
                <w:lang w:val="en-US"/>
              </w:rPr>
              <w:t>18 (1.5%)</w:t>
            </w:r>
          </w:p>
        </w:tc>
        <w:tc>
          <w:tcPr>
            <w:tcW w:w="1247" w:type="dxa"/>
            <w:shd w:val="clear" w:color="auto" w:fill="auto"/>
            <w:tcMar>
              <w:top w:w="28" w:type="dxa"/>
              <w:left w:w="28" w:type="dxa"/>
              <w:bottom w:w="28" w:type="dxa"/>
              <w:right w:w="28" w:type="dxa"/>
            </w:tcMar>
            <w:vAlign w:val="bottom"/>
          </w:tcPr>
          <w:p w:rsidR="002D5BB0" w:rsidRPr="00222917" w:rsidRDefault="002D5BB0" w:rsidP="00683928">
            <w:pPr>
              <w:pStyle w:val="SingleTxtG"/>
              <w:suppressAutoHyphens w:val="0"/>
              <w:spacing w:before="40" w:after="40" w:line="220" w:lineRule="exact"/>
              <w:ind w:left="0" w:right="0"/>
              <w:jc w:val="right"/>
              <w:rPr>
                <w:sz w:val="18"/>
                <w:lang w:val="en-US"/>
              </w:rPr>
            </w:pPr>
            <w:r w:rsidRPr="00222917">
              <w:rPr>
                <w:sz w:val="18"/>
                <w:lang w:val="en-US"/>
              </w:rPr>
              <w:t>75 (6.5%)</w:t>
            </w:r>
          </w:p>
        </w:tc>
        <w:tc>
          <w:tcPr>
            <w:tcW w:w="1247" w:type="dxa"/>
            <w:shd w:val="clear" w:color="auto" w:fill="auto"/>
            <w:tcMar>
              <w:top w:w="28" w:type="dxa"/>
              <w:left w:w="28" w:type="dxa"/>
              <w:bottom w:w="28" w:type="dxa"/>
              <w:right w:w="28" w:type="dxa"/>
            </w:tcMar>
            <w:vAlign w:val="bottom"/>
          </w:tcPr>
          <w:p w:rsidR="002D5BB0" w:rsidRPr="00222917" w:rsidRDefault="002D5BB0" w:rsidP="00683928">
            <w:pPr>
              <w:pStyle w:val="SingleTxtG"/>
              <w:suppressAutoHyphens w:val="0"/>
              <w:spacing w:before="40" w:after="40" w:line="220" w:lineRule="exact"/>
              <w:ind w:left="0" w:right="0"/>
              <w:jc w:val="right"/>
              <w:rPr>
                <w:sz w:val="18"/>
                <w:lang w:val="en-US"/>
              </w:rPr>
            </w:pPr>
            <w:r w:rsidRPr="00222917">
              <w:rPr>
                <w:sz w:val="18"/>
                <w:lang w:val="en-US"/>
              </w:rPr>
              <w:t>1,043 (90%)</w:t>
            </w:r>
          </w:p>
        </w:tc>
        <w:tc>
          <w:tcPr>
            <w:tcW w:w="1247" w:type="dxa"/>
            <w:shd w:val="clear" w:color="auto" w:fill="auto"/>
            <w:tcMar>
              <w:top w:w="28" w:type="dxa"/>
              <w:left w:w="28" w:type="dxa"/>
              <w:bottom w:w="28" w:type="dxa"/>
              <w:right w:w="28" w:type="dxa"/>
            </w:tcMar>
            <w:vAlign w:val="bottom"/>
          </w:tcPr>
          <w:p w:rsidR="002D5BB0" w:rsidRPr="00222917" w:rsidRDefault="002D5BB0" w:rsidP="00683928">
            <w:pPr>
              <w:pStyle w:val="SingleTxtG"/>
              <w:suppressAutoHyphens w:val="0"/>
              <w:spacing w:before="40" w:after="40" w:line="220" w:lineRule="exact"/>
              <w:ind w:left="0" w:right="0"/>
              <w:jc w:val="right"/>
              <w:rPr>
                <w:sz w:val="18"/>
                <w:lang w:val="en-US"/>
              </w:rPr>
            </w:pPr>
            <w:r w:rsidRPr="00222917">
              <w:rPr>
                <w:sz w:val="18"/>
                <w:lang w:val="en-US"/>
              </w:rPr>
              <w:t>16 (1.3%)</w:t>
            </w:r>
          </w:p>
        </w:tc>
        <w:tc>
          <w:tcPr>
            <w:tcW w:w="1247" w:type="dxa"/>
            <w:shd w:val="clear" w:color="auto" w:fill="auto"/>
            <w:tcMar>
              <w:top w:w="28" w:type="dxa"/>
              <w:left w:w="28" w:type="dxa"/>
              <w:bottom w:w="28" w:type="dxa"/>
              <w:right w:w="28" w:type="dxa"/>
            </w:tcMar>
            <w:vAlign w:val="bottom"/>
          </w:tcPr>
          <w:p w:rsidR="002D5BB0" w:rsidRPr="00222917" w:rsidRDefault="002D5BB0" w:rsidP="00683928">
            <w:pPr>
              <w:pStyle w:val="SingleTxtG"/>
              <w:suppressAutoHyphens w:val="0"/>
              <w:spacing w:before="40" w:after="40" w:line="220" w:lineRule="exact"/>
              <w:ind w:left="0" w:right="0"/>
              <w:jc w:val="right"/>
              <w:rPr>
                <w:b/>
                <w:sz w:val="18"/>
                <w:lang w:val="en-US"/>
              </w:rPr>
            </w:pPr>
            <w:r w:rsidRPr="00222917">
              <w:rPr>
                <w:b/>
                <w:sz w:val="18"/>
                <w:lang w:val="en-US"/>
              </w:rPr>
              <w:t>1,152 (100%)</w:t>
            </w:r>
          </w:p>
        </w:tc>
      </w:tr>
      <w:tr w:rsidR="008F6543" w:rsidRPr="00222917" w:rsidTr="00683928">
        <w:tc>
          <w:tcPr>
            <w:tcW w:w="1021" w:type="dxa"/>
            <w:shd w:val="clear" w:color="auto" w:fill="auto"/>
            <w:tcMar>
              <w:top w:w="28" w:type="dxa"/>
              <w:left w:w="28" w:type="dxa"/>
              <w:bottom w:w="28" w:type="dxa"/>
              <w:right w:w="28" w:type="dxa"/>
            </w:tcMar>
          </w:tcPr>
          <w:p w:rsidR="002D5BB0" w:rsidRPr="00222917" w:rsidRDefault="002D5BB0" w:rsidP="00683928">
            <w:pPr>
              <w:pStyle w:val="SingleTxtG"/>
              <w:suppressAutoHyphens w:val="0"/>
              <w:spacing w:before="40" w:after="40" w:line="220" w:lineRule="exact"/>
              <w:ind w:left="0" w:right="0"/>
              <w:jc w:val="left"/>
              <w:rPr>
                <w:sz w:val="18"/>
                <w:lang w:val="en-US"/>
              </w:rPr>
            </w:pPr>
            <w:r w:rsidRPr="00222917">
              <w:rPr>
                <w:sz w:val="18"/>
                <w:lang w:val="en-US"/>
              </w:rPr>
              <w:t>2009</w:t>
            </w:r>
          </w:p>
        </w:tc>
        <w:tc>
          <w:tcPr>
            <w:tcW w:w="1247" w:type="dxa"/>
            <w:shd w:val="clear" w:color="auto" w:fill="auto"/>
            <w:tcMar>
              <w:top w:w="28" w:type="dxa"/>
              <w:left w:w="28" w:type="dxa"/>
              <w:bottom w:w="28" w:type="dxa"/>
              <w:right w:w="28" w:type="dxa"/>
            </w:tcMar>
            <w:vAlign w:val="bottom"/>
          </w:tcPr>
          <w:p w:rsidR="002D5BB0" w:rsidRPr="00222917" w:rsidRDefault="002D5BB0" w:rsidP="00683928">
            <w:pPr>
              <w:pStyle w:val="SingleTxtG"/>
              <w:suppressAutoHyphens w:val="0"/>
              <w:spacing w:before="40" w:after="40" w:line="220" w:lineRule="exact"/>
              <w:ind w:left="0" w:right="0"/>
              <w:jc w:val="right"/>
              <w:rPr>
                <w:sz w:val="18"/>
                <w:lang w:val="en-US"/>
              </w:rPr>
            </w:pPr>
            <w:r w:rsidRPr="00222917">
              <w:rPr>
                <w:sz w:val="18"/>
                <w:lang w:val="en-US"/>
              </w:rPr>
              <w:t>9 (0.5%)</w:t>
            </w:r>
          </w:p>
        </w:tc>
        <w:tc>
          <w:tcPr>
            <w:tcW w:w="1247" w:type="dxa"/>
            <w:shd w:val="clear" w:color="auto" w:fill="auto"/>
            <w:tcMar>
              <w:top w:w="28" w:type="dxa"/>
              <w:left w:w="28" w:type="dxa"/>
              <w:bottom w:w="28" w:type="dxa"/>
              <w:right w:w="28" w:type="dxa"/>
            </w:tcMar>
            <w:vAlign w:val="bottom"/>
          </w:tcPr>
          <w:p w:rsidR="002D5BB0" w:rsidRPr="00222917" w:rsidRDefault="002D5BB0" w:rsidP="00683928">
            <w:pPr>
              <w:pStyle w:val="SingleTxtG"/>
              <w:suppressAutoHyphens w:val="0"/>
              <w:spacing w:before="40" w:after="40" w:line="220" w:lineRule="exact"/>
              <w:ind w:left="0" w:right="0"/>
              <w:jc w:val="right"/>
              <w:rPr>
                <w:sz w:val="18"/>
                <w:lang w:val="en-US"/>
              </w:rPr>
            </w:pPr>
            <w:r w:rsidRPr="00222917">
              <w:rPr>
                <w:sz w:val="18"/>
                <w:lang w:val="en-US"/>
              </w:rPr>
              <w:t>145 (9%)</w:t>
            </w:r>
          </w:p>
        </w:tc>
        <w:tc>
          <w:tcPr>
            <w:tcW w:w="1247" w:type="dxa"/>
            <w:shd w:val="clear" w:color="auto" w:fill="auto"/>
            <w:tcMar>
              <w:top w:w="28" w:type="dxa"/>
              <w:left w:w="28" w:type="dxa"/>
              <w:bottom w:w="28" w:type="dxa"/>
              <w:right w:w="28" w:type="dxa"/>
            </w:tcMar>
            <w:vAlign w:val="bottom"/>
          </w:tcPr>
          <w:p w:rsidR="002D5BB0" w:rsidRPr="00222917" w:rsidRDefault="002D5BB0" w:rsidP="00683928">
            <w:pPr>
              <w:pStyle w:val="SingleTxtG"/>
              <w:suppressAutoHyphens w:val="0"/>
              <w:spacing w:before="40" w:after="40" w:line="220" w:lineRule="exact"/>
              <w:ind w:left="0" w:right="0"/>
              <w:jc w:val="right"/>
              <w:rPr>
                <w:sz w:val="18"/>
                <w:lang w:val="en-US"/>
              </w:rPr>
            </w:pPr>
            <w:r w:rsidRPr="00222917">
              <w:rPr>
                <w:sz w:val="18"/>
                <w:lang w:val="en-US"/>
              </w:rPr>
              <w:t>1,320 (87%)</w:t>
            </w:r>
          </w:p>
        </w:tc>
        <w:tc>
          <w:tcPr>
            <w:tcW w:w="1247" w:type="dxa"/>
            <w:shd w:val="clear" w:color="auto" w:fill="auto"/>
            <w:tcMar>
              <w:top w:w="28" w:type="dxa"/>
              <w:left w:w="28" w:type="dxa"/>
              <w:bottom w:w="28" w:type="dxa"/>
              <w:right w:w="28" w:type="dxa"/>
            </w:tcMar>
            <w:vAlign w:val="bottom"/>
          </w:tcPr>
          <w:p w:rsidR="002D5BB0" w:rsidRPr="00222917" w:rsidRDefault="002D5BB0" w:rsidP="00683928">
            <w:pPr>
              <w:pStyle w:val="SingleTxtG"/>
              <w:suppressAutoHyphens w:val="0"/>
              <w:spacing w:before="40" w:after="40" w:line="220" w:lineRule="exact"/>
              <w:ind w:left="0" w:right="0"/>
              <w:jc w:val="right"/>
              <w:rPr>
                <w:sz w:val="18"/>
                <w:lang w:val="en-US"/>
              </w:rPr>
            </w:pPr>
            <w:r w:rsidRPr="00222917">
              <w:rPr>
                <w:sz w:val="18"/>
                <w:lang w:val="en-US"/>
              </w:rPr>
              <w:t>42 (2.7%)</w:t>
            </w:r>
          </w:p>
        </w:tc>
        <w:tc>
          <w:tcPr>
            <w:tcW w:w="1247" w:type="dxa"/>
            <w:shd w:val="clear" w:color="auto" w:fill="auto"/>
            <w:tcMar>
              <w:top w:w="28" w:type="dxa"/>
              <w:left w:w="28" w:type="dxa"/>
              <w:bottom w:w="28" w:type="dxa"/>
              <w:right w:w="28" w:type="dxa"/>
            </w:tcMar>
            <w:vAlign w:val="bottom"/>
          </w:tcPr>
          <w:p w:rsidR="002D5BB0" w:rsidRPr="00222917" w:rsidRDefault="002D5BB0" w:rsidP="00683928">
            <w:pPr>
              <w:pStyle w:val="SingleTxtG"/>
              <w:suppressAutoHyphens w:val="0"/>
              <w:spacing w:before="40" w:after="40" w:line="220" w:lineRule="exact"/>
              <w:ind w:left="0" w:right="0"/>
              <w:jc w:val="right"/>
              <w:rPr>
                <w:b/>
                <w:sz w:val="18"/>
                <w:lang w:val="en-US"/>
              </w:rPr>
            </w:pPr>
            <w:r w:rsidRPr="00222917">
              <w:rPr>
                <w:b/>
                <w:sz w:val="18"/>
                <w:lang w:val="en-US"/>
              </w:rPr>
              <w:t>1,516 (100%)</w:t>
            </w:r>
          </w:p>
        </w:tc>
      </w:tr>
      <w:tr w:rsidR="008F6543" w:rsidRPr="00222917" w:rsidTr="00683928">
        <w:tc>
          <w:tcPr>
            <w:tcW w:w="1021" w:type="dxa"/>
            <w:tcBorders>
              <w:bottom w:val="single" w:sz="12" w:space="0" w:color="auto"/>
            </w:tcBorders>
            <w:shd w:val="clear" w:color="auto" w:fill="auto"/>
            <w:tcMar>
              <w:top w:w="28" w:type="dxa"/>
              <w:left w:w="28" w:type="dxa"/>
              <w:bottom w:w="28" w:type="dxa"/>
              <w:right w:w="28" w:type="dxa"/>
            </w:tcMar>
          </w:tcPr>
          <w:p w:rsidR="002D5BB0" w:rsidRPr="00222917" w:rsidRDefault="002D5BB0" w:rsidP="00683928">
            <w:pPr>
              <w:pStyle w:val="SingleTxtG"/>
              <w:suppressAutoHyphens w:val="0"/>
              <w:spacing w:before="40" w:after="40" w:line="220" w:lineRule="exact"/>
              <w:ind w:left="0" w:right="0"/>
              <w:jc w:val="left"/>
              <w:rPr>
                <w:sz w:val="18"/>
                <w:lang w:val="en-US"/>
              </w:rPr>
            </w:pPr>
            <w:r w:rsidRPr="00222917">
              <w:rPr>
                <w:sz w:val="18"/>
                <w:lang w:val="en-US"/>
              </w:rPr>
              <w:t>2010</w:t>
            </w:r>
          </w:p>
        </w:tc>
        <w:tc>
          <w:tcPr>
            <w:tcW w:w="1247" w:type="dxa"/>
            <w:tcBorders>
              <w:bottom w:val="single" w:sz="12" w:space="0" w:color="auto"/>
            </w:tcBorders>
            <w:shd w:val="clear" w:color="auto" w:fill="auto"/>
            <w:tcMar>
              <w:top w:w="28" w:type="dxa"/>
              <w:left w:w="28" w:type="dxa"/>
              <w:bottom w:w="28" w:type="dxa"/>
              <w:right w:w="28" w:type="dxa"/>
            </w:tcMar>
            <w:vAlign w:val="bottom"/>
          </w:tcPr>
          <w:p w:rsidR="002D5BB0" w:rsidRPr="00222917" w:rsidRDefault="002D5BB0" w:rsidP="00683928">
            <w:pPr>
              <w:pStyle w:val="SingleTxtG"/>
              <w:suppressAutoHyphens w:val="0"/>
              <w:spacing w:before="40" w:after="40" w:line="220" w:lineRule="exact"/>
              <w:ind w:left="0" w:right="0"/>
              <w:jc w:val="right"/>
              <w:rPr>
                <w:sz w:val="18"/>
                <w:lang w:val="en-US"/>
              </w:rPr>
            </w:pPr>
            <w:r w:rsidRPr="00222917">
              <w:rPr>
                <w:sz w:val="18"/>
                <w:lang w:val="en-US"/>
              </w:rPr>
              <w:t>2 (0.2%)</w:t>
            </w:r>
          </w:p>
        </w:tc>
        <w:tc>
          <w:tcPr>
            <w:tcW w:w="1247" w:type="dxa"/>
            <w:tcBorders>
              <w:bottom w:val="single" w:sz="12" w:space="0" w:color="auto"/>
            </w:tcBorders>
            <w:shd w:val="clear" w:color="auto" w:fill="auto"/>
            <w:tcMar>
              <w:top w:w="28" w:type="dxa"/>
              <w:left w:w="28" w:type="dxa"/>
              <w:bottom w:w="28" w:type="dxa"/>
              <w:right w:w="28" w:type="dxa"/>
            </w:tcMar>
            <w:vAlign w:val="bottom"/>
          </w:tcPr>
          <w:p w:rsidR="002D5BB0" w:rsidRPr="00222917" w:rsidRDefault="002D5BB0" w:rsidP="00683928">
            <w:pPr>
              <w:pStyle w:val="SingleTxtG"/>
              <w:suppressAutoHyphens w:val="0"/>
              <w:spacing w:before="40" w:after="40" w:line="220" w:lineRule="exact"/>
              <w:ind w:left="0" w:right="0"/>
              <w:jc w:val="right"/>
              <w:rPr>
                <w:sz w:val="18"/>
                <w:lang w:val="en-US"/>
              </w:rPr>
            </w:pPr>
            <w:r w:rsidRPr="00222917">
              <w:rPr>
                <w:sz w:val="18"/>
                <w:lang w:val="en-US"/>
              </w:rPr>
              <w:t>186 (17%)</w:t>
            </w:r>
          </w:p>
        </w:tc>
        <w:tc>
          <w:tcPr>
            <w:tcW w:w="1247" w:type="dxa"/>
            <w:tcBorders>
              <w:bottom w:val="single" w:sz="12" w:space="0" w:color="auto"/>
            </w:tcBorders>
            <w:shd w:val="clear" w:color="auto" w:fill="auto"/>
            <w:tcMar>
              <w:top w:w="28" w:type="dxa"/>
              <w:left w:w="28" w:type="dxa"/>
              <w:bottom w:w="28" w:type="dxa"/>
              <w:right w:w="28" w:type="dxa"/>
            </w:tcMar>
            <w:vAlign w:val="bottom"/>
          </w:tcPr>
          <w:p w:rsidR="002D5BB0" w:rsidRPr="00222917" w:rsidRDefault="002D5BB0" w:rsidP="00683928">
            <w:pPr>
              <w:pStyle w:val="SingleTxtG"/>
              <w:suppressAutoHyphens w:val="0"/>
              <w:spacing w:before="40" w:after="40" w:line="220" w:lineRule="exact"/>
              <w:ind w:left="0" w:right="0"/>
              <w:jc w:val="right"/>
              <w:rPr>
                <w:sz w:val="18"/>
                <w:lang w:val="en-US"/>
              </w:rPr>
            </w:pPr>
            <w:r w:rsidRPr="00222917">
              <w:rPr>
                <w:sz w:val="18"/>
                <w:lang w:val="en-US"/>
              </w:rPr>
              <w:t>856 (79%)</w:t>
            </w:r>
          </w:p>
        </w:tc>
        <w:tc>
          <w:tcPr>
            <w:tcW w:w="1247" w:type="dxa"/>
            <w:tcBorders>
              <w:bottom w:val="single" w:sz="12" w:space="0" w:color="auto"/>
            </w:tcBorders>
            <w:shd w:val="clear" w:color="auto" w:fill="auto"/>
            <w:tcMar>
              <w:top w:w="28" w:type="dxa"/>
              <w:left w:w="28" w:type="dxa"/>
              <w:bottom w:w="28" w:type="dxa"/>
              <w:right w:w="28" w:type="dxa"/>
            </w:tcMar>
            <w:vAlign w:val="bottom"/>
          </w:tcPr>
          <w:p w:rsidR="002D5BB0" w:rsidRPr="00222917" w:rsidRDefault="002D5BB0" w:rsidP="00683928">
            <w:pPr>
              <w:pStyle w:val="SingleTxtG"/>
              <w:suppressAutoHyphens w:val="0"/>
              <w:spacing w:before="40" w:after="40" w:line="220" w:lineRule="exact"/>
              <w:ind w:left="0" w:right="0"/>
              <w:jc w:val="right"/>
              <w:rPr>
                <w:sz w:val="18"/>
                <w:lang w:val="en-US"/>
              </w:rPr>
            </w:pPr>
            <w:r w:rsidRPr="00222917">
              <w:rPr>
                <w:sz w:val="18"/>
                <w:lang w:val="en-US"/>
              </w:rPr>
              <w:t>37 (3.4%)</w:t>
            </w:r>
          </w:p>
        </w:tc>
        <w:tc>
          <w:tcPr>
            <w:tcW w:w="1247" w:type="dxa"/>
            <w:tcBorders>
              <w:bottom w:val="single" w:sz="12" w:space="0" w:color="auto"/>
            </w:tcBorders>
            <w:shd w:val="clear" w:color="auto" w:fill="auto"/>
            <w:tcMar>
              <w:top w:w="28" w:type="dxa"/>
              <w:left w:w="28" w:type="dxa"/>
              <w:bottom w:w="28" w:type="dxa"/>
              <w:right w:w="28" w:type="dxa"/>
            </w:tcMar>
            <w:vAlign w:val="bottom"/>
          </w:tcPr>
          <w:p w:rsidR="002D5BB0" w:rsidRPr="00222917" w:rsidRDefault="002D5BB0" w:rsidP="00683928">
            <w:pPr>
              <w:pStyle w:val="SingleTxtG"/>
              <w:suppressAutoHyphens w:val="0"/>
              <w:spacing w:before="40" w:after="40" w:line="220" w:lineRule="exact"/>
              <w:ind w:left="0" w:right="0"/>
              <w:jc w:val="right"/>
              <w:rPr>
                <w:b/>
                <w:sz w:val="18"/>
                <w:lang w:val="en-US"/>
              </w:rPr>
            </w:pPr>
            <w:r w:rsidRPr="00222917">
              <w:rPr>
                <w:b/>
                <w:sz w:val="18"/>
                <w:lang w:val="en-US"/>
              </w:rPr>
              <w:t>1,081 (100%)</w:t>
            </w:r>
          </w:p>
        </w:tc>
      </w:tr>
    </w:tbl>
    <w:p w:rsidR="002D5BB0" w:rsidRPr="00222917" w:rsidRDefault="00547908" w:rsidP="00547908">
      <w:pPr>
        <w:pStyle w:val="SingleTxtG"/>
        <w:spacing w:before="240"/>
        <w:rPr>
          <w:lang w:val="en-US"/>
        </w:rPr>
      </w:pPr>
      <w:r w:rsidRPr="00222917">
        <w:rPr>
          <w:lang w:val="en-US"/>
        </w:rPr>
        <w:t>242.</w:t>
      </w:r>
      <w:r w:rsidRPr="00222917">
        <w:rPr>
          <w:lang w:val="en-US"/>
        </w:rPr>
        <w:tab/>
      </w:r>
      <w:r w:rsidR="002D5BB0" w:rsidRPr="00222917">
        <w:rPr>
          <w:lang w:val="en-US"/>
        </w:rPr>
        <w:t xml:space="preserve">On 27 January 2005, in order to protect privacy, the </w:t>
      </w:r>
      <w:r w:rsidR="002D5BB0" w:rsidRPr="000850F5">
        <w:rPr>
          <w:iCs/>
          <w:lang w:val="en-US"/>
        </w:rPr>
        <w:t xml:space="preserve">Protection of Communications Secrets Act </w:t>
      </w:r>
      <w:r w:rsidR="002D5BB0" w:rsidRPr="00222917">
        <w:rPr>
          <w:lang w:val="en-US"/>
        </w:rPr>
        <w:t xml:space="preserve">was amended to require permission from the court when communications data including Internet logs, location tracking </w:t>
      </w:r>
      <w:r w:rsidR="002D5BB0" w:rsidRPr="00222917">
        <w:rPr>
          <w:bCs/>
          <w:lang w:val="en-US"/>
        </w:rPr>
        <w:t>data</w:t>
      </w:r>
      <w:r w:rsidR="002D5BB0" w:rsidRPr="00222917">
        <w:rPr>
          <w:lang w:val="en-US"/>
        </w:rPr>
        <w:t xml:space="preserve"> of the sending base station and acc</w:t>
      </w:r>
      <w:r w:rsidR="00A94611" w:rsidRPr="00222917">
        <w:rPr>
          <w:lang w:val="en-US"/>
        </w:rPr>
        <w:t>ess area are confirmed (</w:t>
      </w:r>
      <w:r w:rsidR="00BF3911" w:rsidRPr="00222917">
        <w:rPr>
          <w:lang w:val="en-US"/>
        </w:rPr>
        <w:t>a</w:t>
      </w:r>
      <w:r w:rsidR="00A94611" w:rsidRPr="00222917">
        <w:rPr>
          <w:lang w:val="en-US"/>
        </w:rPr>
        <w:t>rticle 2 </w:t>
      </w:r>
      <w:r w:rsidR="002D5BB0" w:rsidRPr="00222917">
        <w:rPr>
          <w:lang w:val="en-US"/>
        </w:rPr>
        <w:t xml:space="preserve">(11)). </w:t>
      </w:r>
    </w:p>
    <w:p w:rsidR="002D5BB0" w:rsidRPr="00222917" w:rsidRDefault="00547908" w:rsidP="00547908">
      <w:pPr>
        <w:pStyle w:val="SingleTxtG"/>
        <w:rPr>
          <w:lang w:val="en-US"/>
        </w:rPr>
      </w:pPr>
      <w:r w:rsidRPr="00222917">
        <w:rPr>
          <w:lang w:val="en-US"/>
        </w:rPr>
        <w:t>243.</w:t>
      </w:r>
      <w:r w:rsidRPr="00222917">
        <w:rPr>
          <w:lang w:val="en-US"/>
        </w:rPr>
        <w:tab/>
      </w:r>
      <w:r w:rsidR="002D5BB0" w:rsidRPr="00222917">
        <w:rPr>
          <w:lang w:val="en-US"/>
        </w:rPr>
        <w:t xml:space="preserve">On 26 May 2005, the </w:t>
      </w:r>
      <w:r w:rsidR="002D5BB0" w:rsidRPr="00222917">
        <w:rPr>
          <w:iCs/>
          <w:lang w:val="en-US"/>
        </w:rPr>
        <w:t xml:space="preserve">Protection of Communications Secrets Act </w:t>
      </w:r>
      <w:r w:rsidR="002D5BB0" w:rsidRPr="00222917">
        <w:rPr>
          <w:lang w:val="en-US"/>
        </w:rPr>
        <w:t>was amended again to protect the freedom of correspondence and privacy by setting forth strict requirements and procedures for investigation agencies to make requests for measures to restrict communications or provide communication confirmation data. There are four major amendments. First, to request the provision of the communication confirmation data, permission from the competent district court is required, rather than approval from the c</w:t>
      </w:r>
      <w:r w:rsidR="00A94611" w:rsidRPr="00222917">
        <w:rPr>
          <w:lang w:val="en-US"/>
        </w:rPr>
        <w:t>hief public prosecutor (</w:t>
      </w:r>
      <w:r w:rsidR="00BF3911" w:rsidRPr="00222917">
        <w:rPr>
          <w:lang w:val="en-US"/>
        </w:rPr>
        <w:t>a</w:t>
      </w:r>
      <w:r w:rsidR="00A94611" w:rsidRPr="00222917">
        <w:rPr>
          <w:lang w:val="en-US"/>
        </w:rPr>
        <w:t>rticle </w:t>
      </w:r>
      <w:r w:rsidR="002D5BB0" w:rsidRPr="00222917">
        <w:rPr>
          <w:lang w:val="en-US"/>
        </w:rPr>
        <w:t>13</w:t>
      </w:r>
      <w:r w:rsidR="00A94611" w:rsidRPr="00222917">
        <w:rPr>
          <w:lang w:val="en-US"/>
        </w:rPr>
        <w:t> </w:t>
      </w:r>
      <w:r w:rsidR="002D5BB0" w:rsidRPr="00222917">
        <w:rPr>
          <w:lang w:val="en-US"/>
        </w:rPr>
        <w:t>(2)). Second, in order to guarantee the people’s right to know any violation of communications secrets, the amended provision stipulates that where communications confirmation data is provided, such fact should also be notified to the person concerned so that such confirmation data is not abused, along with the previous provision that stipulated notification of the enforcement of the communication restriction measure t</w:t>
      </w:r>
      <w:r w:rsidR="00A94611" w:rsidRPr="00222917">
        <w:rPr>
          <w:lang w:val="en-US"/>
        </w:rPr>
        <w:t>o the person concerned (</w:t>
      </w:r>
      <w:r w:rsidR="00BF3911" w:rsidRPr="00222917">
        <w:rPr>
          <w:lang w:val="en-US"/>
        </w:rPr>
        <w:t>a</w:t>
      </w:r>
      <w:r w:rsidR="00A94611" w:rsidRPr="00222917">
        <w:rPr>
          <w:lang w:val="en-US"/>
        </w:rPr>
        <w:t>rticle </w:t>
      </w:r>
      <w:r w:rsidR="002D5BB0" w:rsidRPr="00222917">
        <w:rPr>
          <w:lang w:val="en-US"/>
        </w:rPr>
        <w:t xml:space="preserve">13-3). If the final disposition including indictment, non-indictment, or non-booking is imposed against a case where communication confirmation data had been received for the purpose of criminal investigation, a public prosecutor or a judicial police officer is required to notify, in writing, the person concerned of the receipt of such data, the agency that requested such provision, and the period thereof within 30 days. If the head of an intelligence and investigation agency receives the communication confirmation data for the purpose of national security, as is the case with enforcement of the communication restriction measure, he or she should notify the person concerned of the enforcement of such request for provision of the communication confirmation data within 30 days from the receipt of such request. Third, control over the provision of communication confirmation data by telecommunications service providers has been strengthened to prevent them from assisting an investigation agency with its illegal request for the </w:t>
      </w:r>
      <w:r w:rsidR="00A94611" w:rsidRPr="00222917">
        <w:rPr>
          <w:lang w:val="en-US"/>
        </w:rPr>
        <w:t>provision of such data (</w:t>
      </w:r>
      <w:r w:rsidR="00BF3911" w:rsidRPr="00222917">
        <w:rPr>
          <w:lang w:val="en-US"/>
        </w:rPr>
        <w:t>a</w:t>
      </w:r>
      <w:r w:rsidR="00A94611" w:rsidRPr="00222917">
        <w:rPr>
          <w:lang w:val="en-US"/>
        </w:rPr>
        <w:t>rticle 13 </w:t>
      </w:r>
      <w:r w:rsidR="002D5BB0" w:rsidRPr="00222917">
        <w:rPr>
          <w:lang w:val="en-US"/>
        </w:rPr>
        <w:t xml:space="preserve">(7)). If a telecommunications service provider provides an investigation agency with communication confirmation data, it should submit reports on such provision and other details to the Korea Communications Commission twice a year, and keep relevant documents including a register stating the provision of such data and other necessary information, and the written request for such provision for seven years from the date of providing such data. The Korea Communications Commission should verify the details of reports made by the telecommunications service provider and the proper management of relevant documentation. Punitive provisions enforced in the event of violation of these provisions were also newly inserted. Fourth, in order to prevent unauthorized disclosure of personal information or divulgence of investigation secrets due to the provision of communication confirmation data, obligations to observe confidentiality are classified to be imposed upon each agency, corresponding to the measure to </w:t>
      </w:r>
      <w:r w:rsidR="00A94611" w:rsidRPr="00222917">
        <w:rPr>
          <w:lang w:val="en-US"/>
        </w:rPr>
        <w:t>restrict communication (</w:t>
      </w:r>
      <w:r w:rsidR="00BF3911" w:rsidRPr="00222917">
        <w:rPr>
          <w:lang w:val="en-US"/>
        </w:rPr>
        <w:t>a</w:t>
      </w:r>
      <w:r w:rsidR="00A94611" w:rsidRPr="00222917">
        <w:rPr>
          <w:lang w:val="en-US"/>
        </w:rPr>
        <w:t>rticle </w:t>
      </w:r>
      <w:r w:rsidR="002D5BB0" w:rsidRPr="00222917">
        <w:rPr>
          <w:lang w:val="en-US"/>
        </w:rPr>
        <w:t xml:space="preserve">13-5). </w:t>
      </w:r>
    </w:p>
    <w:p w:rsidR="002D5BB0" w:rsidRPr="00222917" w:rsidRDefault="00794B5A" w:rsidP="00794B5A">
      <w:pPr>
        <w:pStyle w:val="H23G"/>
        <w:rPr>
          <w:lang w:val="en-US"/>
        </w:rPr>
      </w:pPr>
      <w:r w:rsidRPr="00222917">
        <w:rPr>
          <w:lang w:val="en-US"/>
        </w:rPr>
        <w:tab/>
      </w:r>
      <w:r w:rsidRPr="00222917">
        <w:rPr>
          <w:lang w:val="en-US"/>
        </w:rPr>
        <w:tab/>
      </w:r>
      <w:r w:rsidR="002D5BB0" w:rsidRPr="00222917">
        <w:rPr>
          <w:lang w:val="en-US"/>
        </w:rPr>
        <w:t>Number of Cases where Communication Confirmation Data were Provided</w:t>
      </w:r>
    </w:p>
    <w:tbl>
      <w:tblPr>
        <w:tblW w:w="7370" w:type="dxa"/>
        <w:tblInd w:w="1134" w:type="dxa"/>
        <w:tblBorders>
          <w:top w:val="single" w:sz="4" w:space="0" w:color="auto"/>
        </w:tblBorders>
        <w:tblCellMar>
          <w:left w:w="0" w:type="dxa"/>
          <w:right w:w="0" w:type="dxa"/>
        </w:tblCellMar>
        <w:tblLook w:val="00A0"/>
      </w:tblPr>
      <w:tblGrid>
        <w:gridCol w:w="2046"/>
        <w:gridCol w:w="925"/>
        <w:gridCol w:w="925"/>
        <w:gridCol w:w="925"/>
        <w:gridCol w:w="812"/>
        <w:gridCol w:w="925"/>
        <w:gridCol w:w="812"/>
      </w:tblGrid>
      <w:tr w:rsidR="008F6543" w:rsidRPr="00222917" w:rsidTr="00A727C1">
        <w:trPr>
          <w:tblHeader/>
        </w:trPr>
        <w:tc>
          <w:tcPr>
            <w:tcW w:w="2268" w:type="dxa"/>
            <w:vMerge w:val="restart"/>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F95A79">
            <w:pPr>
              <w:pStyle w:val="SingleTxtG"/>
              <w:suppressAutoHyphens w:val="0"/>
              <w:spacing w:before="80" w:after="80" w:line="200" w:lineRule="exact"/>
              <w:ind w:left="0" w:right="0"/>
              <w:jc w:val="left"/>
              <w:rPr>
                <w:bCs/>
                <w:i/>
                <w:sz w:val="16"/>
                <w:lang w:val="en-US"/>
              </w:rPr>
            </w:pPr>
            <w:r w:rsidRPr="00222917">
              <w:rPr>
                <w:bCs/>
                <w:i/>
                <w:sz w:val="16"/>
                <w:lang w:val="en-US"/>
              </w:rPr>
              <w:t>Description</w:t>
            </w:r>
          </w:p>
        </w:tc>
        <w:tc>
          <w:tcPr>
            <w:tcW w:w="851" w:type="dxa"/>
            <w:gridSpan w:val="2"/>
            <w:tcBorders>
              <w:top w:val="single" w:sz="4" w:space="0" w:color="auto"/>
              <w:bottom w:val="single" w:sz="4" w:space="0" w:color="000000"/>
              <w:right w:val="single" w:sz="24" w:space="0" w:color="FFFFFF"/>
            </w:tcBorders>
            <w:shd w:val="clear" w:color="auto" w:fill="auto"/>
            <w:tcMar>
              <w:top w:w="28" w:type="dxa"/>
              <w:left w:w="28" w:type="dxa"/>
              <w:bottom w:w="28" w:type="dxa"/>
              <w:right w:w="28" w:type="dxa"/>
            </w:tcMar>
            <w:vAlign w:val="bottom"/>
          </w:tcPr>
          <w:p w:rsidR="002D5BB0" w:rsidRPr="00222917" w:rsidRDefault="002D5BB0" w:rsidP="00F95A79">
            <w:pPr>
              <w:pStyle w:val="SingleTxtG"/>
              <w:suppressAutoHyphens w:val="0"/>
              <w:spacing w:before="80" w:after="80" w:line="200" w:lineRule="exact"/>
              <w:ind w:left="0" w:right="0"/>
              <w:jc w:val="center"/>
              <w:rPr>
                <w:bCs/>
                <w:i/>
                <w:sz w:val="16"/>
                <w:lang w:val="en-US"/>
              </w:rPr>
            </w:pPr>
            <w:r w:rsidRPr="00222917">
              <w:rPr>
                <w:bCs/>
                <w:i/>
                <w:sz w:val="16"/>
                <w:lang w:val="en-US"/>
              </w:rPr>
              <w:t>2009</w:t>
            </w:r>
          </w:p>
        </w:tc>
        <w:tc>
          <w:tcPr>
            <w:tcW w:w="851" w:type="dxa"/>
            <w:gridSpan w:val="4"/>
            <w:tcBorders>
              <w:top w:val="single" w:sz="4" w:space="0" w:color="auto"/>
              <w:left w:val="single" w:sz="24" w:space="0" w:color="FFFFFF"/>
              <w:bottom w:val="single" w:sz="4" w:space="0" w:color="000000"/>
            </w:tcBorders>
            <w:shd w:val="clear" w:color="auto" w:fill="auto"/>
            <w:tcMar>
              <w:top w:w="28" w:type="dxa"/>
              <w:left w:w="28" w:type="dxa"/>
              <w:bottom w:w="28" w:type="dxa"/>
              <w:right w:w="28" w:type="dxa"/>
            </w:tcMar>
            <w:vAlign w:val="bottom"/>
          </w:tcPr>
          <w:p w:rsidR="002D5BB0" w:rsidRPr="00222917" w:rsidRDefault="002D5BB0" w:rsidP="00F95A79">
            <w:pPr>
              <w:pStyle w:val="SingleTxtG"/>
              <w:suppressAutoHyphens w:val="0"/>
              <w:spacing w:before="80" w:after="80" w:line="200" w:lineRule="exact"/>
              <w:ind w:left="0" w:right="0"/>
              <w:jc w:val="center"/>
              <w:rPr>
                <w:bCs/>
                <w:i/>
                <w:sz w:val="16"/>
                <w:lang w:val="en-US"/>
              </w:rPr>
            </w:pPr>
            <w:r w:rsidRPr="00222917">
              <w:rPr>
                <w:bCs/>
                <w:i/>
                <w:sz w:val="16"/>
                <w:lang w:val="en-US"/>
              </w:rPr>
              <w:t>2010</w:t>
            </w:r>
          </w:p>
        </w:tc>
      </w:tr>
      <w:tr w:rsidR="008F6543" w:rsidRPr="00222917" w:rsidTr="00A727C1">
        <w:trPr>
          <w:tblHeader/>
        </w:trPr>
        <w:tc>
          <w:tcPr>
            <w:tcW w:w="2268" w:type="dxa"/>
            <w:vMerge/>
            <w:tcBorders>
              <w:top w:val="single" w:sz="12" w:space="0" w:color="auto"/>
              <w:bottom w:val="single" w:sz="12" w:space="0" w:color="000000"/>
            </w:tcBorders>
            <w:shd w:val="clear" w:color="auto" w:fill="auto"/>
            <w:vAlign w:val="bottom"/>
          </w:tcPr>
          <w:p w:rsidR="002D5BB0" w:rsidRPr="00222917" w:rsidRDefault="002D5BB0" w:rsidP="00F95A79">
            <w:pPr>
              <w:pStyle w:val="SingleTxtG"/>
              <w:suppressAutoHyphens w:val="0"/>
              <w:spacing w:before="80" w:after="80" w:line="200" w:lineRule="exact"/>
              <w:ind w:left="0" w:right="0"/>
              <w:jc w:val="left"/>
              <w:rPr>
                <w:bCs/>
                <w:i/>
                <w:sz w:val="16"/>
                <w:lang w:val="en-US"/>
              </w:rPr>
            </w:pPr>
          </w:p>
        </w:tc>
        <w:tc>
          <w:tcPr>
            <w:tcW w:w="851" w:type="dxa"/>
            <w:tcBorders>
              <w:top w:val="single" w:sz="4" w:space="0" w:color="000000"/>
              <w:bottom w:val="single" w:sz="12" w:space="0" w:color="000000"/>
            </w:tcBorders>
            <w:shd w:val="clear" w:color="auto" w:fill="auto"/>
            <w:tcMar>
              <w:top w:w="28" w:type="dxa"/>
              <w:left w:w="28" w:type="dxa"/>
              <w:bottom w:w="28" w:type="dxa"/>
              <w:right w:w="28" w:type="dxa"/>
            </w:tcMar>
            <w:vAlign w:val="bottom"/>
          </w:tcPr>
          <w:p w:rsidR="002D5BB0" w:rsidRPr="00222917" w:rsidRDefault="002D5BB0" w:rsidP="00F95A79">
            <w:pPr>
              <w:pStyle w:val="SingleTxtG"/>
              <w:suppressAutoHyphens w:val="0"/>
              <w:spacing w:before="80" w:after="80" w:line="200" w:lineRule="exact"/>
              <w:ind w:left="0" w:right="0"/>
              <w:jc w:val="right"/>
              <w:rPr>
                <w:bCs/>
                <w:i/>
                <w:sz w:val="16"/>
                <w:lang w:val="en-US"/>
              </w:rPr>
            </w:pPr>
            <w:r w:rsidRPr="00222917">
              <w:rPr>
                <w:bCs/>
                <w:i/>
                <w:sz w:val="16"/>
                <w:lang w:val="en-US"/>
              </w:rPr>
              <w:t>First half</w:t>
            </w:r>
          </w:p>
        </w:tc>
        <w:tc>
          <w:tcPr>
            <w:tcW w:w="851" w:type="dxa"/>
            <w:tcBorders>
              <w:top w:val="single" w:sz="4" w:space="0" w:color="000000"/>
              <w:bottom w:val="single" w:sz="12" w:space="0" w:color="000000"/>
              <w:right w:val="single" w:sz="24" w:space="0" w:color="FFFFFF"/>
            </w:tcBorders>
            <w:shd w:val="clear" w:color="auto" w:fill="auto"/>
            <w:tcMar>
              <w:top w:w="28" w:type="dxa"/>
              <w:left w:w="28" w:type="dxa"/>
              <w:bottom w:w="28" w:type="dxa"/>
              <w:right w:w="28" w:type="dxa"/>
            </w:tcMar>
            <w:vAlign w:val="bottom"/>
          </w:tcPr>
          <w:p w:rsidR="002D5BB0" w:rsidRPr="00222917" w:rsidRDefault="002D5BB0" w:rsidP="00F95A79">
            <w:pPr>
              <w:pStyle w:val="SingleTxtG"/>
              <w:suppressAutoHyphens w:val="0"/>
              <w:spacing w:before="80" w:after="80" w:line="200" w:lineRule="exact"/>
              <w:ind w:left="0" w:right="0"/>
              <w:jc w:val="right"/>
              <w:rPr>
                <w:bCs/>
                <w:i/>
                <w:sz w:val="16"/>
                <w:lang w:val="en-US"/>
              </w:rPr>
            </w:pPr>
            <w:r w:rsidRPr="00222917">
              <w:rPr>
                <w:bCs/>
                <w:i/>
                <w:sz w:val="16"/>
                <w:lang w:val="en-US"/>
              </w:rPr>
              <w:t>Second half</w:t>
            </w:r>
          </w:p>
        </w:tc>
        <w:tc>
          <w:tcPr>
            <w:tcW w:w="851" w:type="dxa"/>
            <w:gridSpan w:val="2"/>
            <w:tcBorders>
              <w:top w:val="single" w:sz="4" w:space="0" w:color="000000"/>
              <w:left w:val="single" w:sz="24" w:space="0" w:color="FFFFFF"/>
              <w:bottom w:val="single" w:sz="12" w:space="0" w:color="000000"/>
            </w:tcBorders>
            <w:shd w:val="clear" w:color="auto" w:fill="auto"/>
            <w:tcMar>
              <w:top w:w="28" w:type="dxa"/>
              <w:left w:w="28" w:type="dxa"/>
              <w:bottom w:w="28" w:type="dxa"/>
              <w:right w:w="28" w:type="dxa"/>
            </w:tcMar>
            <w:vAlign w:val="bottom"/>
          </w:tcPr>
          <w:p w:rsidR="002D5BB0" w:rsidRPr="00222917" w:rsidRDefault="002D5BB0" w:rsidP="00F95A79">
            <w:pPr>
              <w:pStyle w:val="SingleTxtG"/>
              <w:suppressAutoHyphens w:val="0"/>
              <w:spacing w:before="80" w:after="80" w:line="200" w:lineRule="exact"/>
              <w:ind w:left="0" w:right="0"/>
              <w:jc w:val="center"/>
              <w:rPr>
                <w:bCs/>
                <w:i/>
                <w:sz w:val="16"/>
                <w:lang w:val="en-US"/>
              </w:rPr>
            </w:pPr>
            <w:r w:rsidRPr="00222917">
              <w:rPr>
                <w:bCs/>
                <w:i/>
                <w:sz w:val="16"/>
                <w:lang w:val="en-US"/>
              </w:rPr>
              <w:t>First half</w:t>
            </w:r>
          </w:p>
        </w:tc>
        <w:tc>
          <w:tcPr>
            <w:tcW w:w="851" w:type="dxa"/>
            <w:gridSpan w:val="2"/>
            <w:tcBorders>
              <w:top w:val="single" w:sz="4" w:space="0" w:color="000000"/>
              <w:bottom w:val="single" w:sz="12" w:space="0" w:color="000000"/>
            </w:tcBorders>
            <w:shd w:val="clear" w:color="auto" w:fill="auto"/>
            <w:tcMar>
              <w:top w:w="28" w:type="dxa"/>
              <w:left w:w="28" w:type="dxa"/>
              <w:bottom w:w="28" w:type="dxa"/>
              <w:right w:w="28" w:type="dxa"/>
            </w:tcMar>
            <w:vAlign w:val="bottom"/>
          </w:tcPr>
          <w:p w:rsidR="002D5BB0" w:rsidRPr="00222917" w:rsidRDefault="002D5BB0" w:rsidP="00F95A79">
            <w:pPr>
              <w:pStyle w:val="SingleTxtG"/>
              <w:suppressAutoHyphens w:val="0"/>
              <w:spacing w:before="80" w:after="80" w:line="200" w:lineRule="exact"/>
              <w:ind w:left="0" w:right="0"/>
              <w:jc w:val="center"/>
              <w:rPr>
                <w:bCs/>
                <w:i/>
                <w:sz w:val="16"/>
                <w:lang w:val="en-US"/>
              </w:rPr>
            </w:pPr>
            <w:r w:rsidRPr="00222917">
              <w:rPr>
                <w:bCs/>
                <w:i/>
                <w:sz w:val="16"/>
                <w:lang w:val="en-US"/>
              </w:rPr>
              <w:t>Second half</w:t>
            </w:r>
          </w:p>
        </w:tc>
      </w:tr>
      <w:tr w:rsidR="008F6543" w:rsidRPr="00222917" w:rsidTr="00A727C1">
        <w:tc>
          <w:tcPr>
            <w:tcW w:w="2268" w:type="dxa"/>
            <w:tcBorders>
              <w:top w:val="single" w:sz="12" w:space="0" w:color="000000"/>
            </w:tcBorders>
            <w:shd w:val="clear" w:color="auto" w:fill="auto"/>
            <w:tcMar>
              <w:top w:w="28" w:type="dxa"/>
              <w:left w:w="28" w:type="dxa"/>
              <w:bottom w:w="28" w:type="dxa"/>
              <w:right w:w="28" w:type="dxa"/>
            </w:tcMar>
          </w:tcPr>
          <w:p w:rsidR="002D5BB0" w:rsidRPr="00222917" w:rsidRDefault="002D5BB0" w:rsidP="00F95A79">
            <w:pPr>
              <w:pStyle w:val="SingleTxtG"/>
              <w:suppressAutoHyphens w:val="0"/>
              <w:spacing w:before="40" w:after="40" w:line="220" w:lineRule="exact"/>
              <w:ind w:left="0" w:right="0"/>
              <w:jc w:val="left"/>
              <w:rPr>
                <w:sz w:val="18"/>
                <w:lang w:val="en-US"/>
              </w:rPr>
            </w:pPr>
            <w:r w:rsidRPr="00222917">
              <w:rPr>
                <w:sz w:val="18"/>
                <w:lang w:val="en-US"/>
              </w:rPr>
              <w:t>Prosecution</w:t>
            </w:r>
          </w:p>
        </w:tc>
        <w:tc>
          <w:tcPr>
            <w:tcW w:w="851" w:type="dxa"/>
            <w:tcBorders>
              <w:top w:val="single" w:sz="12" w:space="0" w:color="000000"/>
            </w:tcBorders>
            <w:shd w:val="clear" w:color="auto" w:fill="auto"/>
            <w:tcMar>
              <w:top w:w="28" w:type="dxa"/>
              <w:left w:w="28" w:type="dxa"/>
              <w:bottom w:w="28" w:type="dxa"/>
              <w:right w:w="28" w:type="dxa"/>
            </w:tcMar>
            <w:vAlign w:val="bottom"/>
          </w:tcPr>
          <w:p w:rsidR="002D5BB0" w:rsidRPr="00222917" w:rsidRDefault="002D5BB0" w:rsidP="00F95A79">
            <w:pPr>
              <w:pStyle w:val="SingleTxtG"/>
              <w:suppressAutoHyphens w:val="0"/>
              <w:spacing w:before="40" w:after="40" w:line="220" w:lineRule="exact"/>
              <w:ind w:left="0" w:right="0"/>
              <w:jc w:val="right"/>
              <w:rPr>
                <w:sz w:val="18"/>
                <w:lang w:val="en-US"/>
              </w:rPr>
            </w:pPr>
            <w:r w:rsidRPr="00222917">
              <w:rPr>
                <w:sz w:val="18"/>
                <w:lang w:val="en-US"/>
              </w:rPr>
              <w:t>22,279</w:t>
            </w:r>
          </w:p>
        </w:tc>
        <w:tc>
          <w:tcPr>
            <w:tcW w:w="851" w:type="dxa"/>
            <w:tcBorders>
              <w:top w:val="single" w:sz="12" w:space="0" w:color="000000"/>
            </w:tcBorders>
            <w:shd w:val="clear" w:color="auto" w:fill="auto"/>
            <w:tcMar>
              <w:top w:w="28" w:type="dxa"/>
              <w:left w:w="28" w:type="dxa"/>
              <w:bottom w:w="28" w:type="dxa"/>
              <w:right w:w="28" w:type="dxa"/>
            </w:tcMar>
            <w:vAlign w:val="bottom"/>
          </w:tcPr>
          <w:p w:rsidR="002D5BB0" w:rsidRPr="00222917" w:rsidRDefault="002D5BB0" w:rsidP="00F95A79">
            <w:pPr>
              <w:pStyle w:val="SingleTxtG"/>
              <w:suppressAutoHyphens w:val="0"/>
              <w:spacing w:before="40" w:after="40" w:line="220" w:lineRule="exact"/>
              <w:ind w:left="0" w:right="0"/>
              <w:jc w:val="right"/>
              <w:rPr>
                <w:sz w:val="18"/>
                <w:lang w:val="en-US"/>
              </w:rPr>
            </w:pPr>
            <w:r w:rsidRPr="00222917">
              <w:rPr>
                <w:sz w:val="18"/>
                <w:lang w:val="en-US"/>
              </w:rPr>
              <w:t>19,780</w:t>
            </w:r>
          </w:p>
        </w:tc>
        <w:tc>
          <w:tcPr>
            <w:tcW w:w="851" w:type="dxa"/>
            <w:tcBorders>
              <w:top w:val="single" w:sz="12" w:space="0" w:color="000000"/>
            </w:tcBorders>
            <w:shd w:val="clear" w:color="auto" w:fill="auto"/>
            <w:tcMar>
              <w:top w:w="28" w:type="dxa"/>
              <w:left w:w="28" w:type="dxa"/>
              <w:bottom w:w="28" w:type="dxa"/>
              <w:right w:w="28" w:type="dxa"/>
            </w:tcMar>
            <w:vAlign w:val="bottom"/>
          </w:tcPr>
          <w:p w:rsidR="002D5BB0" w:rsidRPr="00222917" w:rsidRDefault="002D5BB0" w:rsidP="00F95A79">
            <w:pPr>
              <w:pStyle w:val="SingleTxtG"/>
              <w:suppressAutoHyphens w:val="0"/>
              <w:spacing w:before="40" w:after="40" w:line="220" w:lineRule="exact"/>
              <w:ind w:left="0" w:right="0"/>
              <w:jc w:val="right"/>
              <w:rPr>
                <w:sz w:val="18"/>
                <w:lang w:val="en-US"/>
              </w:rPr>
            </w:pPr>
            <w:r w:rsidRPr="00222917">
              <w:rPr>
                <w:sz w:val="18"/>
                <w:lang w:val="en-US"/>
              </w:rPr>
              <w:t>22,829</w:t>
            </w:r>
          </w:p>
        </w:tc>
        <w:tc>
          <w:tcPr>
            <w:tcW w:w="851" w:type="dxa"/>
            <w:tcBorders>
              <w:top w:val="single" w:sz="12" w:space="0" w:color="000000"/>
            </w:tcBorders>
            <w:shd w:val="clear" w:color="auto" w:fill="auto"/>
            <w:tcMar>
              <w:top w:w="28" w:type="dxa"/>
              <w:left w:w="28" w:type="dxa"/>
              <w:bottom w:w="28" w:type="dxa"/>
              <w:right w:w="28" w:type="dxa"/>
            </w:tcMar>
            <w:vAlign w:val="bottom"/>
          </w:tcPr>
          <w:p w:rsidR="002D5BB0" w:rsidRPr="00222917" w:rsidRDefault="002D5BB0" w:rsidP="00F95A79">
            <w:pPr>
              <w:pStyle w:val="SingleTxtG"/>
              <w:suppressAutoHyphens w:val="0"/>
              <w:spacing w:before="40" w:after="40" w:line="220" w:lineRule="exact"/>
              <w:ind w:left="0" w:right="0"/>
              <w:jc w:val="right"/>
              <w:rPr>
                <w:sz w:val="18"/>
                <w:lang w:val="en-US"/>
              </w:rPr>
            </w:pPr>
            <w:r w:rsidRPr="00222917">
              <w:rPr>
                <w:sz w:val="18"/>
                <w:lang w:val="en-US"/>
              </w:rPr>
              <w:t>(2.5)</w:t>
            </w:r>
          </w:p>
        </w:tc>
        <w:tc>
          <w:tcPr>
            <w:tcW w:w="851" w:type="dxa"/>
            <w:tcBorders>
              <w:top w:val="single" w:sz="12" w:space="0" w:color="000000"/>
            </w:tcBorders>
            <w:shd w:val="clear" w:color="auto" w:fill="auto"/>
            <w:tcMar>
              <w:top w:w="28" w:type="dxa"/>
              <w:left w:w="28" w:type="dxa"/>
              <w:bottom w:w="28" w:type="dxa"/>
              <w:right w:w="28" w:type="dxa"/>
            </w:tcMar>
            <w:vAlign w:val="bottom"/>
          </w:tcPr>
          <w:p w:rsidR="002D5BB0" w:rsidRPr="00222917" w:rsidRDefault="002D5BB0" w:rsidP="00F95A79">
            <w:pPr>
              <w:pStyle w:val="SingleTxtG"/>
              <w:suppressAutoHyphens w:val="0"/>
              <w:spacing w:before="40" w:after="40" w:line="220" w:lineRule="exact"/>
              <w:ind w:left="0" w:right="0"/>
              <w:jc w:val="right"/>
              <w:rPr>
                <w:sz w:val="18"/>
                <w:lang w:val="en-US"/>
              </w:rPr>
            </w:pPr>
            <w:r w:rsidRPr="00222917">
              <w:rPr>
                <w:sz w:val="18"/>
                <w:lang w:val="en-US"/>
              </w:rPr>
              <w:t>22,111</w:t>
            </w:r>
          </w:p>
        </w:tc>
        <w:tc>
          <w:tcPr>
            <w:tcW w:w="851" w:type="dxa"/>
            <w:tcBorders>
              <w:top w:val="single" w:sz="12" w:space="0" w:color="000000"/>
            </w:tcBorders>
            <w:shd w:val="clear" w:color="auto" w:fill="auto"/>
            <w:tcMar>
              <w:top w:w="28" w:type="dxa"/>
              <w:left w:w="28" w:type="dxa"/>
              <w:bottom w:w="28" w:type="dxa"/>
              <w:right w:w="28" w:type="dxa"/>
            </w:tcMar>
            <w:vAlign w:val="bottom"/>
          </w:tcPr>
          <w:p w:rsidR="002D5BB0" w:rsidRPr="00222917" w:rsidRDefault="002D5BB0" w:rsidP="00F95A79">
            <w:pPr>
              <w:pStyle w:val="SingleTxtG"/>
              <w:suppressAutoHyphens w:val="0"/>
              <w:spacing w:before="40" w:after="40" w:line="220" w:lineRule="exact"/>
              <w:ind w:left="0" w:right="0"/>
              <w:jc w:val="right"/>
              <w:rPr>
                <w:sz w:val="18"/>
                <w:lang w:val="en-US"/>
              </w:rPr>
            </w:pPr>
            <w:r w:rsidRPr="00222917">
              <w:rPr>
                <w:bCs/>
                <w:sz w:val="18"/>
                <w:lang w:val="en-US"/>
              </w:rPr>
              <w:t>(11.8)</w:t>
            </w:r>
          </w:p>
        </w:tc>
      </w:tr>
      <w:tr w:rsidR="008F6543" w:rsidRPr="00222917" w:rsidTr="00A727C1">
        <w:tc>
          <w:tcPr>
            <w:tcW w:w="2268" w:type="dxa"/>
            <w:shd w:val="clear" w:color="auto" w:fill="auto"/>
            <w:tcMar>
              <w:top w:w="28" w:type="dxa"/>
              <w:left w:w="28" w:type="dxa"/>
              <w:bottom w:w="28" w:type="dxa"/>
              <w:right w:w="28" w:type="dxa"/>
            </w:tcMar>
          </w:tcPr>
          <w:p w:rsidR="002D5BB0" w:rsidRPr="00222917" w:rsidRDefault="002D5BB0" w:rsidP="00F95A79">
            <w:pPr>
              <w:pStyle w:val="SingleTxtG"/>
              <w:suppressAutoHyphens w:val="0"/>
              <w:spacing w:before="40" w:after="40" w:line="220" w:lineRule="exact"/>
              <w:ind w:left="0" w:right="0"/>
              <w:jc w:val="left"/>
              <w:rPr>
                <w:sz w:val="18"/>
                <w:lang w:val="en-US"/>
              </w:rPr>
            </w:pPr>
            <w:r w:rsidRPr="00222917">
              <w:rPr>
                <w:sz w:val="18"/>
                <w:lang w:val="en-US"/>
              </w:rPr>
              <w:t>Police</w:t>
            </w:r>
          </w:p>
        </w:tc>
        <w:tc>
          <w:tcPr>
            <w:tcW w:w="851" w:type="dxa"/>
            <w:shd w:val="clear" w:color="auto" w:fill="auto"/>
            <w:tcMar>
              <w:top w:w="28" w:type="dxa"/>
              <w:left w:w="28" w:type="dxa"/>
              <w:bottom w:w="28" w:type="dxa"/>
              <w:right w:w="28" w:type="dxa"/>
            </w:tcMar>
            <w:vAlign w:val="bottom"/>
          </w:tcPr>
          <w:p w:rsidR="002D5BB0" w:rsidRPr="00222917" w:rsidRDefault="002D5BB0" w:rsidP="00F95A79">
            <w:pPr>
              <w:pStyle w:val="SingleTxtG"/>
              <w:suppressAutoHyphens w:val="0"/>
              <w:spacing w:before="40" w:after="40" w:line="220" w:lineRule="exact"/>
              <w:ind w:left="0" w:right="0"/>
              <w:jc w:val="right"/>
              <w:rPr>
                <w:sz w:val="18"/>
                <w:lang w:val="en-US"/>
              </w:rPr>
            </w:pPr>
            <w:r w:rsidRPr="00222917">
              <w:rPr>
                <w:sz w:val="18"/>
                <w:lang w:val="en-US"/>
              </w:rPr>
              <w:t>97,659</w:t>
            </w:r>
          </w:p>
        </w:tc>
        <w:tc>
          <w:tcPr>
            <w:tcW w:w="851" w:type="dxa"/>
            <w:shd w:val="clear" w:color="auto" w:fill="auto"/>
            <w:tcMar>
              <w:top w:w="28" w:type="dxa"/>
              <w:left w:w="28" w:type="dxa"/>
              <w:bottom w:w="28" w:type="dxa"/>
              <w:right w:w="28" w:type="dxa"/>
            </w:tcMar>
            <w:vAlign w:val="bottom"/>
          </w:tcPr>
          <w:p w:rsidR="002D5BB0" w:rsidRPr="00222917" w:rsidRDefault="002D5BB0" w:rsidP="00F95A79">
            <w:pPr>
              <w:pStyle w:val="SingleTxtG"/>
              <w:suppressAutoHyphens w:val="0"/>
              <w:spacing w:before="40" w:after="40" w:line="220" w:lineRule="exact"/>
              <w:ind w:left="0" w:right="0"/>
              <w:jc w:val="right"/>
              <w:rPr>
                <w:sz w:val="18"/>
                <w:lang w:val="en-US"/>
              </w:rPr>
            </w:pPr>
            <w:r w:rsidRPr="00222917">
              <w:rPr>
                <w:sz w:val="18"/>
                <w:lang w:val="en-US"/>
              </w:rPr>
              <w:t>96,131</w:t>
            </w:r>
          </w:p>
        </w:tc>
        <w:tc>
          <w:tcPr>
            <w:tcW w:w="851" w:type="dxa"/>
            <w:shd w:val="clear" w:color="auto" w:fill="auto"/>
            <w:tcMar>
              <w:top w:w="28" w:type="dxa"/>
              <w:left w:w="28" w:type="dxa"/>
              <w:bottom w:w="28" w:type="dxa"/>
              <w:right w:w="28" w:type="dxa"/>
            </w:tcMar>
            <w:vAlign w:val="bottom"/>
          </w:tcPr>
          <w:p w:rsidR="002D5BB0" w:rsidRPr="00222917" w:rsidRDefault="002D5BB0" w:rsidP="00F95A79">
            <w:pPr>
              <w:pStyle w:val="SingleTxtG"/>
              <w:suppressAutoHyphens w:val="0"/>
              <w:spacing w:before="40" w:after="40" w:line="220" w:lineRule="exact"/>
              <w:ind w:left="0" w:right="0"/>
              <w:jc w:val="right"/>
              <w:rPr>
                <w:sz w:val="18"/>
                <w:lang w:val="en-US"/>
              </w:rPr>
            </w:pPr>
            <w:r w:rsidRPr="00222917">
              <w:rPr>
                <w:sz w:val="18"/>
                <w:lang w:val="en-US"/>
              </w:rPr>
              <w:t>91,704</w:t>
            </w:r>
          </w:p>
        </w:tc>
        <w:tc>
          <w:tcPr>
            <w:tcW w:w="851" w:type="dxa"/>
            <w:shd w:val="clear" w:color="auto" w:fill="auto"/>
            <w:tcMar>
              <w:top w:w="28" w:type="dxa"/>
              <w:left w:w="28" w:type="dxa"/>
              <w:bottom w:w="28" w:type="dxa"/>
              <w:right w:w="28" w:type="dxa"/>
            </w:tcMar>
            <w:vAlign w:val="bottom"/>
          </w:tcPr>
          <w:p w:rsidR="002D5BB0" w:rsidRPr="00222917" w:rsidRDefault="002D5BB0" w:rsidP="00F95A79">
            <w:pPr>
              <w:pStyle w:val="SingleTxtG"/>
              <w:suppressAutoHyphens w:val="0"/>
              <w:spacing w:before="40" w:after="40" w:line="220" w:lineRule="exact"/>
              <w:ind w:left="0" w:right="0"/>
              <w:jc w:val="right"/>
              <w:rPr>
                <w:sz w:val="18"/>
                <w:lang w:val="en-US"/>
              </w:rPr>
            </w:pPr>
            <w:r w:rsidRPr="00222917">
              <w:rPr>
                <w:sz w:val="18"/>
                <w:lang w:val="en-US"/>
              </w:rPr>
              <w:t>(-6.1)</w:t>
            </w:r>
          </w:p>
        </w:tc>
        <w:tc>
          <w:tcPr>
            <w:tcW w:w="851" w:type="dxa"/>
            <w:shd w:val="clear" w:color="auto" w:fill="auto"/>
            <w:tcMar>
              <w:top w:w="28" w:type="dxa"/>
              <w:left w:w="28" w:type="dxa"/>
              <w:bottom w:w="28" w:type="dxa"/>
              <w:right w:w="28" w:type="dxa"/>
            </w:tcMar>
            <w:vAlign w:val="bottom"/>
          </w:tcPr>
          <w:p w:rsidR="002D5BB0" w:rsidRPr="00222917" w:rsidRDefault="002D5BB0" w:rsidP="00F95A79">
            <w:pPr>
              <w:pStyle w:val="SingleTxtG"/>
              <w:suppressAutoHyphens w:val="0"/>
              <w:spacing w:before="40" w:after="40" w:line="220" w:lineRule="exact"/>
              <w:ind w:left="0" w:right="0"/>
              <w:jc w:val="right"/>
              <w:rPr>
                <w:sz w:val="18"/>
                <w:lang w:val="en-US"/>
              </w:rPr>
            </w:pPr>
            <w:r w:rsidRPr="00222917">
              <w:rPr>
                <w:sz w:val="18"/>
                <w:lang w:val="en-US"/>
              </w:rPr>
              <w:t>94,692</w:t>
            </w:r>
          </w:p>
        </w:tc>
        <w:tc>
          <w:tcPr>
            <w:tcW w:w="851" w:type="dxa"/>
            <w:shd w:val="clear" w:color="auto" w:fill="auto"/>
            <w:tcMar>
              <w:top w:w="28" w:type="dxa"/>
              <w:left w:w="28" w:type="dxa"/>
              <w:bottom w:w="28" w:type="dxa"/>
              <w:right w:w="28" w:type="dxa"/>
            </w:tcMar>
            <w:vAlign w:val="bottom"/>
          </w:tcPr>
          <w:p w:rsidR="002D5BB0" w:rsidRPr="00222917" w:rsidRDefault="002D5BB0" w:rsidP="00F95A79">
            <w:pPr>
              <w:pStyle w:val="SingleTxtG"/>
              <w:suppressAutoHyphens w:val="0"/>
              <w:spacing w:before="40" w:after="40" w:line="220" w:lineRule="exact"/>
              <w:ind w:left="0" w:right="0"/>
              <w:jc w:val="right"/>
              <w:rPr>
                <w:sz w:val="18"/>
                <w:lang w:val="en-US"/>
              </w:rPr>
            </w:pPr>
            <w:r w:rsidRPr="00222917">
              <w:rPr>
                <w:bCs/>
                <w:sz w:val="18"/>
                <w:lang w:val="en-US"/>
              </w:rPr>
              <w:t>(-1.5)</w:t>
            </w:r>
          </w:p>
        </w:tc>
      </w:tr>
      <w:tr w:rsidR="008F6543" w:rsidRPr="00222917" w:rsidTr="00A727C1">
        <w:tc>
          <w:tcPr>
            <w:tcW w:w="2268" w:type="dxa"/>
            <w:shd w:val="clear" w:color="auto" w:fill="auto"/>
            <w:tcMar>
              <w:top w:w="28" w:type="dxa"/>
              <w:left w:w="28" w:type="dxa"/>
              <w:bottom w:w="28" w:type="dxa"/>
              <w:right w:w="28" w:type="dxa"/>
            </w:tcMar>
          </w:tcPr>
          <w:p w:rsidR="002D5BB0" w:rsidRPr="00222917" w:rsidRDefault="002D5BB0" w:rsidP="00F95A79">
            <w:pPr>
              <w:pStyle w:val="SingleTxtG"/>
              <w:suppressAutoHyphens w:val="0"/>
              <w:spacing w:before="40" w:after="40" w:line="220" w:lineRule="exact"/>
              <w:ind w:left="0" w:right="0"/>
              <w:jc w:val="left"/>
              <w:rPr>
                <w:sz w:val="18"/>
                <w:lang w:val="en-US"/>
              </w:rPr>
            </w:pPr>
            <w:r w:rsidRPr="00222917">
              <w:rPr>
                <w:sz w:val="18"/>
                <w:lang w:val="en-US"/>
              </w:rPr>
              <w:t>National Intelligence Service</w:t>
            </w:r>
          </w:p>
        </w:tc>
        <w:tc>
          <w:tcPr>
            <w:tcW w:w="851" w:type="dxa"/>
            <w:shd w:val="clear" w:color="auto" w:fill="auto"/>
            <w:tcMar>
              <w:top w:w="28" w:type="dxa"/>
              <w:left w:w="28" w:type="dxa"/>
              <w:bottom w:w="28" w:type="dxa"/>
              <w:right w:w="28" w:type="dxa"/>
            </w:tcMar>
            <w:vAlign w:val="bottom"/>
          </w:tcPr>
          <w:p w:rsidR="002D5BB0" w:rsidRPr="00222917" w:rsidRDefault="002D5BB0" w:rsidP="00F95A79">
            <w:pPr>
              <w:pStyle w:val="SingleTxtG"/>
              <w:suppressAutoHyphens w:val="0"/>
              <w:spacing w:before="40" w:after="40" w:line="220" w:lineRule="exact"/>
              <w:ind w:left="0" w:right="0"/>
              <w:jc w:val="right"/>
              <w:rPr>
                <w:sz w:val="18"/>
                <w:lang w:val="en-US"/>
              </w:rPr>
            </w:pPr>
            <w:r w:rsidRPr="00222917">
              <w:rPr>
                <w:sz w:val="18"/>
                <w:lang w:val="en-US"/>
              </w:rPr>
              <w:t>951</w:t>
            </w:r>
          </w:p>
        </w:tc>
        <w:tc>
          <w:tcPr>
            <w:tcW w:w="851" w:type="dxa"/>
            <w:shd w:val="clear" w:color="auto" w:fill="auto"/>
            <w:tcMar>
              <w:top w:w="28" w:type="dxa"/>
              <w:left w:w="28" w:type="dxa"/>
              <w:bottom w:w="28" w:type="dxa"/>
              <w:right w:w="28" w:type="dxa"/>
            </w:tcMar>
            <w:vAlign w:val="bottom"/>
          </w:tcPr>
          <w:p w:rsidR="002D5BB0" w:rsidRPr="00222917" w:rsidRDefault="002D5BB0" w:rsidP="00F95A79">
            <w:pPr>
              <w:pStyle w:val="SingleTxtG"/>
              <w:suppressAutoHyphens w:val="0"/>
              <w:spacing w:before="40" w:after="40" w:line="220" w:lineRule="exact"/>
              <w:ind w:left="0" w:right="0"/>
              <w:jc w:val="right"/>
              <w:rPr>
                <w:sz w:val="18"/>
                <w:lang w:val="en-US"/>
              </w:rPr>
            </w:pPr>
            <w:r w:rsidRPr="00222917">
              <w:rPr>
                <w:sz w:val="18"/>
                <w:lang w:val="en-US"/>
              </w:rPr>
              <w:t>768</w:t>
            </w:r>
          </w:p>
        </w:tc>
        <w:tc>
          <w:tcPr>
            <w:tcW w:w="851" w:type="dxa"/>
            <w:shd w:val="clear" w:color="auto" w:fill="auto"/>
            <w:tcMar>
              <w:top w:w="28" w:type="dxa"/>
              <w:left w:w="28" w:type="dxa"/>
              <w:bottom w:w="28" w:type="dxa"/>
              <w:right w:w="28" w:type="dxa"/>
            </w:tcMar>
            <w:vAlign w:val="bottom"/>
          </w:tcPr>
          <w:p w:rsidR="002D5BB0" w:rsidRPr="00222917" w:rsidRDefault="002D5BB0" w:rsidP="00F95A79">
            <w:pPr>
              <w:pStyle w:val="SingleTxtG"/>
              <w:suppressAutoHyphens w:val="0"/>
              <w:spacing w:before="40" w:after="40" w:line="220" w:lineRule="exact"/>
              <w:ind w:left="0" w:right="0"/>
              <w:jc w:val="right"/>
              <w:rPr>
                <w:sz w:val="18"/>
                <w:lang w:val="en-US"/>
              </w:rPr>
            </w:pPr>
            <w:r w:rsidRPr="00222917">
              <w:rPr>
                <w:sz w:val="18"/>
                <w:lang w:val="en-US"/>
              </w:rPr>
              <w:t>731</w:t>
            </w:r>
          </w:p>
        </w:tc>
        <w:tc>
          <w:tcPr>
            <w:tcW w:w="851" w:type="dxa"/>
            <w:shd w:val="clear" w:color="auto" w:fill="auto"/>
            <w:tcMar>
              <w:top w:w="28" w:type="dxa"/>
              <w:left w:w="28" w:type="dxa"/>
              <w:bottom w:w="28" w:type="dxa"/>
              <w:right w:w="28" w:type="dxa"/>
            </w:tcMar>
            <w:vAlign w:val="bottom"/>
          </w:tcPr>
          <w:p w:rsidR="002D5BB0" w:rsidRPr="00222917" w:rsidRDefault="002D5BB0" w:rsidP="00F95A79">
            <w:pPr>
              <w:pStyle w:val="SingleTxtG"/>
              <w:suppressAutoHyphens w:val="0"/>
              <w:spacing w:before="40" w:after="40" w:line="220" w:lineRule="exact"/>
              <w:ind w:left="0" w:right="0"/>
              <w:jc w:val="right"/>
              <w:rPr>
                <w:sz w:val="18"/>
                <w:lang w:val="en-US"/>
              </w:rPr>
            </w:pPr>
            <w:r w:rsidRPr="00222917">
              <w:rPr>
                <w:sz w:val="18"/>
                <w:lang w:val="en-US"/>
              </w:rPr>
              <w:t>(-23.1)</w:t>
            </w:r>
          </w:p>
        </w:tc>
        <w:tc>
          <w:tcPr>
            <w:tcW w:w="851" w:type="dxa"/>
            <w:shd w:val="clear" w:color="auto" w:fill="auto"/>
            <w:tcMar>
              <w:top w:w="28" w:type="dxa"/>
              <w:left w:w="28" w:type="dxa"/>
              <w:bottom w:w="28" w:type="dxa"/>
              <w:right w:w="28" w:type="dxa"/>
            </w:tcMar>
            <w:vAlign w:val="bottom"/>
          </w:tcPr>
          <w:p w:rsidR="002D5BB0" w:rsidRPr="00222917" w:rsidRDefault="002D5BB0" w:rsidP="00F95A79">
            <w:pPr>
              <w:pStyle w:val="SingleTxtG"/>
              <w:suppressAutoHyphens w:val="0"/>
              <w:spacing w:before="40" w:after="40" w:line="220" w:lineRule="exact"/>
              <w:ind w:left="0" w:right="0"/>
              <w:jc w:val="right"/>
              <w:rPr>
                <w:sz w:val="18"/>
                <w:lang w:val="en-US"/>
              </w:rPr>
            </w:pPr>
            <w:r w:rsidRPr="00222917">
              <w:rPr>
                <w:sz w:val="18"/>
                <w:lang w:val="en-US"/>
              </w:rPr>
              <w:t>957</w:t>
            </w:r>
          </w:p>
        </w:tc>
        <w:tc>
          <w:tcPr>
            <w:tcW w:w="851" w:type="dxa"/>
            <w:shd w:val="clear" w:color="auto" w:fill="auto"/>
            <w:tcMar>
              <w:top w:w="28" w:type="dxa"/>
              <w:left w:w="28" w:type="dxa"/>
              <w:bottom w:w="28" w:type="dxa"/>
              <w:right w:w="28" w:type="dxa"/>
            </w:tcMar>
            <w:vAlign w:val="bottom"/>
          </w:tcPr>
          <w:p w:rsidR="002D5BB0" w:rsidRPr="00222917" w:rsidRDefault="002D5BB0" w:rsidP="00F95A79">
            <w:pPr>
              <w:pStyle w:val="SingleTxtG"/>
              <w:suppressAutoHyphens w:val="0"/>
              <w:spacing w:before="40" w:after="40" w:line="220" w:lineRule="exact"/>
              <w:ind w:left="0" w:right="0"/>
              <w:jc w:val="right"/>
              <w:rPr>
                <w:sz w:val="18"/>
                <w:lang w:val="en-US"/>
              </w:rPr>
            </w:pPr>
            <w:r w:rsidRPr="00222917">
              <w:rPr>
                <w:bCs/>
                <w:sz w:val="18"/>
                <w:lang w:val="en-US"/>
              </w:rPr>
              <w:t>(24.6)</w:t>
            </w:r>
          </w:p>
        </w:tc>
      </w:tr>
      <w:tr w:rsidR="008F6543" w:rsidRPr="00222917" w:rsidTr="00A727C1">
        <w:tc>
          <w:tcPr>
            <w:tcW w:w="2268" w:type="dxa"/>
            <w:tcBorders>
              <w:bottom w:val="single" w:sz="4" w:space="0" w:color="000000"/>
            </w:tcBorders>
            <w:shd w:val="clear" w:color="auto" w:fill="auto"/>
            <w:tcMar>
              <w:top w:w="28" w:type="dxa"/>
              <w:left w:w="28" w:type="dxa"/>
              <w:bottom w:w="28" w:type="dxa"/>
              <w:right w:w="28" w:type="dxa"/>
            </w:tcMar>
          </w:tcPr>
          <w:p w:rsidR="002D5BB0" w:rsidRPr="00222917" w:rsidRDefault="002D5BB0" w:rsidP="00F95A79">
            <w:pPr>
              <w:pStyle w:val="SingleTxtG"/>
              <w:suppressAutoHyphens w:val="0"/>
              <w:spacing w:before="40" w:after="40" w:line="220" w:lineRule="exact"/>
              <w:ind w:left="0" w:right="0"/>
              <w:jc w:val="left"/>
              <w:rPr>
                <w:sz w:val="18"/>
                <w:lang w:val="en-US"/>
              </w:rPr>
            </w:pPr>
            <w:r w:rsidRPr="00222917">
              <w:rPr>
                <w:sz w:val="18"/>
                <w:lang w:val="en-US"/>
              </w:rPr>
              <w:t>*Military investigation agencies, etc.</w:t>
            </w:r>
          </w:p>
        </w:tc>
        <w:tc>
          <w:tcPr>
            <w:tcW w:w="851" w:type="dxa"/>
            <w:tcBorders>
              <w:bottom w:val="single" w:sz="4" w:space="0" w:color="000000"/>
            </w:tcBorders>
            <w:shd w:val="clear" w:color="auto" w:fill="auto"/>
            <w:tcMar>
              <w:top w:w="28" w:type="dxa"/>
              <w:left w:w="28" w:type="dxa"/>
              <w:bottom w:w="28" w:type="dxa"/>
              <w:right w:w="28" w:type="dxa"/>
            </w:tcMar>
            <w:vAlign w:val="bottom"/>
          </w:tcPr>
          <w:p w:rsidR="002D5BB0" w:rsidRPr="00222917" w:rsidRDefault="002D5BB0" w:rsidP="00F95A79">
            <w:pPr>
              <w:pStyle w:val="SingleTxtG"/>
              <w:suppressAutoHyphens w:val="0"/>
              <w:spacing w:before="40" w:after="40" w:line="220" w:lineRule="exact"/>
              <w:ind w:left="0" w:right="0"/>
              <w:jc w:val="right"/>
              <w:rPr>
                <w:sz w:val="18"/>
                <w:lang w:val="en-US"/>
              </w:rPr>
            </w:pPr>
            <w:r w:rsidRPr="00222917">
              <w:rPr>
                <w:sz w:val="18"/>
                <w:lang w:val="en-US"/>
              </w:rPr>
              <w:t>5,482</w:t>
            </w:r>
          </w:p>
        </w:tc>
        <w:tc>
          <w:tcPr>
            <w:tcW w:w="851" w:type="dxa"/>
            <w:tcBorders>
              <w:bottom w:val="single" w:sz="4" w:space="0" w:color="000000"/>
            </w:tcBorders>
            <w:shd w:val="clear" w:color="auto" w:fill="auto"/>
            <w:tcMar>
              <w:top w:w="28" w:type="dxa"/>
              <w:left w:w="28" w:type="dxa"/>
              <w:bottom w:w="28" w:type="dxa"/>
              <w:right w:w="28" w:type="dxa"/>
            </w:tcMar>
            <w:vAlign w:val="bottom"/>
          </w:tcPr>
          <w:p w:rsidR="002D5BB0" w:rsidRPr="00222917" w:rsidRDefault="002D5BB0" w:rsidP="00F95A79">
            <w:pPr>
              <w:pStyle w:val="SingleTxtG"/>
              <w:suppressAutoHyphens w:val="0"/>
              <w:spacing w:before="40" w:after="40" w:line="220" w:lineRule="exact"/>
              <w:ind w:left="0" w:right="0"/>
              <w:jc w:val="right"/>
              <w:rPr>
                <w:sz w:val="18"/>
                <w:lang w:val="en-US"/>
              </w:rPr>
            </w:pPr>
            <w:r w:rsidRPr="00222917">
              <w:rPr>
                <w:sz w:val="18"/>
                <w:lang w:val="en-US"/>
              </w:rPr>
              <w:t>5,502</w:t>
            </w:r>
          </w:p>
        </w:tc>
        <w:tc>
          <w:tcPr>
            <w:tcW w:w="851" w:type="dxa"/>
            <w:tcBorders>
              <w:bottom w:val="single" w:sz="4" w:space="0" w:color="000000"/>
            </w:tcBorders>
            <w:shd w:val="clear" w:color="auto" w:fill="auto"/>
            <w:tcMar>
              <w:top w:w="28" w:type="dxa"/>
              <w:left w:w="28" w:type="dxa"/>
              <w:bottom w:w="28" w:type="dxa"/>
              <w:right w:w="28" w:type="dxa"/>
            </w:tcMar>
            <w:vAlign w:val="bottom"/>
          </w:tcPr>
          <w:p w:rsidR="002D5BB0" w:rsidRPr="00222917" w:rsidRDefault="002D5BB0" w:rsidP="00F95A79">
            <w:pPr>
              <w:pStyle w:val="SingleTxtG"/>
              <w:suppressAutoHyphens w:val="0"/>
              <w:spacing w:before="40" w:after="40" w:line="220" w:lineRule="exact"/>
              <w:ind w:left="0" w:right="0"/>
              <w:jc w:val="right"/>
              <w:rPr>
                <w:sz w:val="18"/>
                <w:lang w:val="en-US"/>
              </w:rPr>
            </w:pPr>
            <w:r w:rsidRPr="00222917">
              <w:rPr>
                <w:sz w:val="18"/>
                <w:lang w:val="en-US"/>
              </w:rPr>
              <w:t>2,677</w:t>
            </w:r>
          </w:p>
        </w:tc>
        <w:tc>
          <w:tcPr>
            <w:tcW w:w="851" w:type="dxa"/>
            <w:tcBorders>
              <w:bottom w:val="single" w:sz="4" w:space="0" w:color="000000"/>
            </w:tcBorders>
            <w:shd w:val="clear" w:color="auto" w:fill="auto"/>
            <w:tcMar>
              <w:top w:w="28" w:type="dxa"/>
              <w:left w:w="28" w:type="dxa"/>
              <w:bottom w:w="28" w:type="dxa"/>
              <w:right w:w="28" w:type="dxa"/>
            </w:tcMar>
            <w:vAlign w:val="bottom"/>
          </w:tcPr>
          <w:p w:rsidR="002D5BB0" w:rsidRPr="00222917" w:rsidRDefault="002D5BB0" w:rsidP="00F95A79">
            <w:pPr>
              <w:pStyle w:val="SingleTxtG"/>
              <w:suppressAutoHyphens w:val="0"/>
              <w:spacing w:before="40" w:after="40" w:line="220" w:lineRule="exact"/>
              <w:ind w:left="0" w:right="0"/>
              <w:jc w:val="right"/>
              <w:rPr>
                <w:sz w:val="18"/>
                <w:lang w:val="en-US"/>
              </w:rPr>
            </w:pPr>
            <w:r w:rsidRPr="00222917">
              <w:rPr>
                <w:sz w:val="18"/>
                <w:lang w:val="en-US"/>
              </w:rPr>
              <w:t>(-51.2)</w:t>
            </w:r>
          </w:p>
        </w:tc>
        <w:tc>
          <w:tcPr>
            <w:tcW w:w="851" w:type="dxa"/>
            <w:tcBorders>
              <w:bottom w:val="single" w:sz="4" w:space="0" w:color="000000"/>
            </w:tcBorders>
            <w:shd w:val="clear" w:color="auto" w:fill="auto"/>
            <w:tcMar>
              <w:top w:w="28" w:type="dxa"/>
              <w:left w:w="28" w:type="dxa"/>
              <w:bottom w:w="28" w:type="dxa"/>
              <w:right w:w="28" w:type="dxa"/>
            </w:tcMar>
            <w:vAlign w:val="bottom"/>
          </w:tcPr>
          <w:p w:rsidR="002D5BB0" w:rsidRPr="00222917" w:rsidRDefault="002D5BB0" w:rsidP="00F95A79">
            <w:pPr>
              <w:pStyle w:val="SingleTxtG"/>
              <w:suppressAutoHyphens w:val="0"/>
              <w:spacing w:before="40" w:after="40" w:line="220" w:lineRule="exact"/>
              <w:ind w:left="0" w:right="0"/>
              <w:jc w:val="right"/>
              <w:rPr>
                <w:sz w:val="18"/>
                <w:lang w:val="en-US"/>
              </w:rPr>
            </w:pPr>
            <w:r w:rsidRPr="00222917">
              <w:rPr>
                <w:sz w:val="18"/>
                <w:lang w:val="en-US"/>
              </w:rPr>
              <w:t>3,168</w:t>
            </w:r>
          </w:p>
        </w:tc>
        <w:tc>
          <w:tcPr>
            <w:tcW w:w="851" w:type="dxa"/>
            <w:tcBorders>
              <w:bottom w:val="single" w:sz="4" w:space="0" w:color="000000"/>
            </w:tcBorders>
            <w:shd w:val="clear" w:color="auto" w:fill="auto"/>
            <w:tcMar>
              <w:top w:w="28" w:type="dxa"/>
              <w:left w:w="28" w:type="dxa"/>
              <w:bottom w:w="28" w:type="dxa"/>
              <w:right w:w="28" w:type="dxa"/>
            </w:tcMar>
            <w:vAlign w:val="bottom"/>
          </w:tcPr>
          <w:p w:rsidR="002D5BB0" w:rsidRPr="00222917" w:rsidRDefault="002D5BB0" w:rsidP="00F95A79">
            <w:pPr>
              <w:pStyle w:val="SingleTxtG"/>
              <w:suppressAutoHyphens w:val="0"/>
              <w:spacing w:before="40" w:after="40" w:line="220" w:lineRule="exact"/>
              <w:ind w:left="0" w:right="0"/>
              <w:jc w:val="right"/>
              <w:rPr>
                <w:sz w:val="18"/>
                <w:lang w:val="en-US"/>
              </w:rPr>
            </w:pPr>
            <w:r w:rsidRPr="00222917">
              <w:rPr>
                <w:bCs/>
                <w:sz w:val="18"/>
                <w:lang w:val="en-US"/>
              </w:rPr>
              <w:t>(-42.4)</w:t>
            </w:r>
          </w:p>
        </w:tc>
      </w:tr>
      <w:tr w:rsidR="008F6543" w:rsidRPr="00222917" w:rsidTr="00A727C1">
        <w:tc>
          <w:tcPr>
            <w:tcW w:w="2268" w:type="dxa"/>
            <w:tcBorders>
              <w:top w:val="single" w:sz="4" w:space="0" w:color="000000"/>
              <w:bottom w:val="single" w:sz="12" w:space="0" w:color="auto"/>
            </w:tcBorders>
            <w:shd w:val="clear" w:color="auto" w:fill="auto"/>
            <w:tcMar>
              <w:top w:w="28" w:type="dxa"/>
              <w:left w:w="28" w:type="dxa"/>
              <w:bottom w:w="28" w:type="dxa"/>
              <w:right w:w="28" w:type="dxa"/>
            </w:tcMar>
          </w:tcPr>
          <w:p w:rsidR="002D5BB0" w:rsidRPr="00222917" w:rsidRDefault="002D5BB0" w:rsidP="00F95A79">
            <w:pPr>
              <w:pStyle w:val="SingleTxtG"/>
              <w:suppressAutoHyphens w:val="0"/>
              <w:spacing w:before="80" w:after="80" w:line="220" w:lineRule="exact"/>
              <w:ind w:left="284" w:right="0"/>
              <w:jc w:val="left"/>
              <w:rPr>
                <w:b/>
                <w:sz w:val="18"/>
                <w:lang w:val="en-US"/>
              </w:rPr>
            </w:pPr>
            <w:r w:rsidRPr="00222917">
              <w:rPr>
                <w:b/>
                <w:sz w:val="18"/>
                <w:lang w:val="en-US"/>
              </w:rPr>
              <w:t>Total</w:t>
            </w:r>
          </w:p>
        </w:tc>
        <w:tc>
          <w:tcPr>
            <w:tcW w:w="851" w:type="dxa"/>
            <w:tcBorders>
              <w:top w:val="single" w:sz="4" w:space="0" w:color="000000"/>
              <w:bottom w:val="single" w:sz="12" w:space="0" w:color="auto"/>
            </w:tcBorders>
            <w:shd w:val="clear" w:color="auto" w:fill="auto"/>
            <w:tcMar>
              <w:top w:w="28" w:type="dxa"/>
              <w:left w:w="28" w:type="dxa"/>
              <w:bottom w:w="28" w:type="dxa"/>
              <w:right w:w="28" w:type="dxa"/>
            </w:tcMar>
            <w:vAlign w:val="bottom"/>
          </w:tcPr>
          <w:p w:rsidR="002D5BB0" w:rsidRPr="00222917" w:rsidRDefault="002D5BB0" w:rsidP="00F95A79">
            <w:pPr>
              <w:pStyle w:val="SingleTxtG"/>
              <w:suppressAutoHyphens w:val="0"/>
              <w:spacing w:before="80" w:after="80" w:line="220" w:lineRule="exact"/>
              <w:ind w:left="284" w:right="0"/>
              <w:jc w:val="right"/>
              <w:rPr>
                <w:b/>
                <w:sz w:val="18"/>
                <w:lang w:val="en-US"/>
              </w:rPr>
            </w:pPr>
            <w:r w:rsidRPr="00222917">
              <w:rPr>
                <w:b/>
                <w:sz w:val="18"/>
                <w:lang w:val="en-US"/>
              </w:rPr>
              <w:t>126,371</w:t>
            </w:r>
          </w:p>
        </w:tc>
        <w:tc>
          <w:tcPr>
            <w:tcW w:w="851" w:type="dxa"/>
            <w:tcBorders>
              <w:top w:val="single" w:sz="4" w:space="0" w:color="000000"/>
              <w:bottom w:val="single" w:sz="12" w:space="0" w:color="auto"/>
            </w:tcBorders>
            <w:shd w:val="clear" w:color="auto" w:fill="auto"/>
            <w:tcMar>
              <w:top w:w="28" w:type="dxa"/>
              <w:left w:w="28" w:type="dxa"/>
              <w:bottom w:w="28" w:type="dxa"/>
              <w:right w:w="28" w:type="dxa"/>
            </w:tcMar>
            <w:vAlign w:val="bottom"/>
          </w:tcPr>
          <w:p w:rsidR="002D5BB0" w:rsidRPr="00222917" w:rsidRDefault="002D5BB0" w:rsidP="00F95A79">
            <w:pPr>
              <w:pStyle w:val="SingleTxtG"/>
              <w:suppressAutoHyphens w:val="0"/>
              <w:spacing w:before="80" w:after="80" w:line="220" w:lineRule="exact"/>
              <w:ind w:left="284" w:right="0"/>
              <w:jc w:val="right"/>
              <w:rPr>
                <w:b/>
                <w:sz w:val="18"/>
                <w:lang w:val="en-US"/>
              </w:rPr>
            </w:pPr>
            <w:r w:rsidRPr="00222917">
              <w:rPr>
                <w:b/>
                <w:sz w:val="18"/>
                <w:lang w:val="en-US"/>
              </w:rPr>
              <w:t>122,181</w:t>
            </w:r>
          </w:p>
        </w:tc>
        <w:tc>
          <w:tcPr>
            <w:tcW w:w="851" w:type="dxa"/>
            <w:tcBorders>
              <w:top w:val="single" w:sz="4" w:space="0" w:color="000000"/>
              <w:bottom w:val="single" w:sz="12" w:space="0" w:color="auto"/>
            </w:tcBorders>
            <w:shd w:val="clear" w:color="auto" w:fill="auto"/>
            <w:tcMar>
              <w:top w:w="28" w:type="dxa"/>
              <w:left w:w="28" w:type="dxa"/>
              <w:bottom w:w="28" w:type="dxa"/>
              <w:right w:w="28" w:type="dxa"/>
            </w:tcMar>
            <w:vAlign w:val="bottom"/>
          </w:tcPr>
          <w:p w:rsidR="002D5BB0" w:rsidRPr="00222917" w:rsidRDefault="002D5BB0" w:rsidP="00F95A79">
            <w:pPr>
              <w:pStyle w:val="SingleTxtG"/>
              <w:suppressAutoHyphens w:val="0"/>
              <w:spacing w:before="80" w:after="80" w:line="220" w:lineRule="exact"/>
              <w:ind w:left="284" w:right="0"/>
              <w:jc w:val="right"/>
              <w:rPr>
                <w:b/>
                <w:sz w:val="18"/>
                <w:lang w:val="en-US"/>
              </w:rPr>
            </w:pPr>
            <w:r w:rsidRPr="00222917">
              <w:rPr>
                <w:b/>
                <w:sz w:val="18"/>
                <w:lang w:val="en-US"/>
              </w:rPr>
              <w:t>117,941</w:t>
            </w:r>
          </w:p>
        </w:tc>
        <w:tc>
          <w:tcPr>
            <w:tcW w:w="851" w:type="dxa"/>
            <w:tcBorders>
              <w:top w:val="single" w:sz="4" w:space="0" w:color="000000"/>
              <w:bottom w:val="single" w:sz="12" w:space="0" w:color="auto"/>
            </w:tcBorders>
            <w:shd w:val="clear" w:color="auto" w:fill="auto"/>
            <w:tcMar>
              <w:top w:w="28" w:type="dxa"/>
              <w:left w:w="28" w:type="dxa"/>
              <w:bottom w:w="28" w:type="dxa"/>
              <w:right w:w="28" w:type="dxa"/>
            </w:tcMar>
            <w:vAlign w:val="bottom"/>
          </w:tcPr>
          <w:p w:rsidR="002D5BB0" w:rsidRPr="00222917" w:rsidRDefault="002D5BB0" w:rsidP="00F95A79">
            <w:pPr>
              <w:pStyle w:val="SingleTxtG"/>
              <w:suppressAutoHyphens w:val="0"/>
              <w:spacing w:before="80" w:after="80" w:line="220" w:lineRule="exact"/>
              <w:ind w:left="284" w:right="0"/>
              <w:jc w:val="right"/>
              <w:rPr>
                <w:b/>
                <w:sz w:val="18"/>
                <w:lang w:val="en-US"/>
              </w:rPr>
            </w:pPr>
            <w:r w:rsidRPr="00222917">
              <w:rPr>
                <w:b/>
                <w:sz w:val="18"/>
                <w:lang w:val="en-US"/>
              </w:rPr>
              <w:t>(-6.7)</w:t>
            </w:r>
          </w:p>
        </w:tc>
        <w:tc>
          <w:tcPr>
            <w:tcW w:w="851" w:type="dxa"/>
            <w:tcBorders>
              <w:top w:val="single" w:sz="4" w:space="0" w:color="000000"/>
              <w:bottom w:val="single" w:sz="12" w:space="0" w:color="auto"/>
            </w:tcBorders>
            <w:shd w:val="clear" w:color="auto" w:fill="auto"/>
            <w:tcMar>
              <w:top w:w="28" w:type="dxa"/>
              <w:left w:w="28" w:type="dxa"/>
              <w:bottom w:w="28" w:type="dxa"/>
              <w:right w:w="28" w:type="dxa"/>
            </w:tcMar>
            <w:vAlign w:val="bottom"/>
          </w:tcPr>
          <w:p w:rsidR="002D5BB0" w:rsidRPr="00222917" w:rsidRDefault="002D5BB0" w:rsidP="00F95A79">
            <w:pPr>
              <w:pStyle w:val="SingleTxtG"/>
              <w:suppressAutoHyphens w:val="0"/>
              <w:spacing w:before="80" w:after="80" w:line="220" w:lineRule="exact"/>
              <w:ind w:left="284" w:right="0"/>
              <w:jc w:val="right"/>
              <w:rPr>
                <w:b/>
                <w:sz w:val="18"/>
                <w:lang w:val="en-US"/>
              </w:rPr>
            </w:pPr>
            <w:r w:rsidRPr="00222917">
              <w:rPr>
                <w:b/>
                <w:sz w:val="18"/>
                <w:lang w:val="en-US"/>
              </w:rPr>
              <w:t>120,928</w:t>
            </w:r>
          </w:p>
        </w:tc>
        <w:tc>
          <w:tcPr>
            <w:tcW w:w="851" w:type="dxa"/>
            <w:tcBorders>
              <w:top w:val="single" w:sz="4" w:space="0" w:color="000000"/>
              <w:bottom w:val="single" w:sz="12" w:space="0" w:color="auto"/>
            </w:tcBorders>
            <w:shd w:val="clear" w:color="auto" w:fill="auto"/>
            <w:tcMar>
              <w:top w:w="28" w:type="dxa"/>
              <w:left w:w="28" w:type="dxa"/>
              <w:bottom w:w="28" w:type="dxa"/>
              <w:right w:w="28" w:type="dxa"/>
            </w:tcMar>
            <w:vAlign w:val="bottom"/>
          </w:tcPr>
          <w:p w:rsidR="002D5BB0" w:rsidRPr="00222917" w:rsidRDefault="002D5BB0" w:rsidP="00F95A79">
            <w:pPr>
              <w:pStyle w:val="SingleTxtG"/>
              <w:suppressAutoHyphens w:val="0"/>
              <w:spacing w:before="80" w:after="80" w:line="220" w:lineRule="exact"/>
              <w:ind w:left="284" w:right="0"/>
              <w:jc w:val="right"/>
              <w:rPr>
                <w:b/>
                <w:sz w:val="18"/>
                <w:lang w:val="en-US"/>
              </w:rPr>
            </w:pPr>
            <w:r w:rsidRPr="00222917">
              <w:rPr>
                <w:b/>
                <w:sz w:val="18"/>
                <w:lang w:val="en-US"/>
              </w:rPr>
              <w:t>(-1.0)</w:t>
            </w:r>
          </w:p>
        </w:tc>
      </w:tr>
    </w:tbl>
    <w:p w:rsidR="002D5BB0" w:rsidRPr="00222917" w:rsidRDefault="00547908" w:rsidP="00547908">
      <w:pPr>
        <w:pStyle w:val="SingleTxtG"/>
        <w:spacing w:before="240"/>
        <w:rPr>
          <w:lang w:val="en-US"/>
        </w:rPr>
      </w:pPr>
      <w:r w:rsidRPr="00222917">
        <w:rPr>
          <w:lang w:val="en-US"/>
        </w:rPr>
        <w:t>244.</w:t>
      </w:r>
      <w:r w:rsidRPr="00222917">
        <w:rPr>
          <w:lang w:val="en-US"/>
        </w:rPr>
        <w:tab/>
      </w:r>
      <w:r w:rsidR="002D5BB0" w:rsidRPr="00222917">
        <w:rPr>
          <w:lang w:val="en-US"/>
        </w:rPr>
        <w:t xml:space="preserve">On 28 May 2009, the </w:t>
      </w:r>
      <w:r w:rsidR="002D5BB0" w:rsidRPr="000850F5">
        <w:rPr>
          <w:iCs/>
          <w:lang w:val="en-US"/>
        </w:rPr>
        <w:t xml:space="preserve">Protection of Communications Secrets Act </w:t>
      </w:r>
      <w:r w:rsidR="002D5BB0" w:rsidRPr="00222917">
        <w:rPr>
          <w:lang w:val="en-US"/>
        </w:rPr>
        <w:t xml:space="preserve">was amended to guarantee the right to privacy and the right to know regarding the execution of confiscation, search, or investigation for telecommunication equipment whose transmission and reception have been completed. Where an investigation agency executes confiscation, search, or investigation for </w:t>
      </w:r>
      <w:r w:rsidR="002D5BB0" w:rsidRPr="00222917">
        <w:rPr>
          <w:bCs/>
          <w:lang w:val="en-US"/>
        </w:rPr>
        <w:t>telecommunication</w:t>
      </w:r>
      <w:r w:rsidR="002D5BB0" w:rsidRPr="00222917">
        <w:rPr>
          <w:lang w:val="en-US"/>
        </w:rPr>
        <w:t xml:space="preserve"> equipment whose transmission and reception have been completed, and the final disposition including indictment, non-indictment, or non-booking is imposed, the investigation agency should notify, in writing, the subscriber subject to investigation of such enforcement within 30 days from imposition of such dispositio</w:t>
      </w:r>
      <w:r w:rsidR="00A94611" w:rsidRPr="00222917">
        <w:rPr>
          <w:lang w:val="en-US"/>
        </w:rPr>
        <w:t>n (</w:t>
      </w:r>
      <w:r w:rsidR="00BF3911" w:rsidRPr="00222917">
        <w:rPr>
          <w:lang w:val="en-US"/>
        </w:rPr>
        <w:t>a</w:t>
      </w:r>
      <w:r w:rsidR="00A94611" w:rsidRPr="00222917">
        <w:rPr>
          <w:lang w:val="en-US"/>
        </w:rPr>
        <w:t>rticle </w:t>
      </w:r>
      <w:r w:rsidR="002D5BB0" w:rsidRPr="00222917">
        <w:rPr>
          <w:lang w:val="en-US"/>
        </w:rPr>
        <w:t>9-3).</w:t>
      </w:r>
    </w:p>
    <w:p w:rsidR="002D5BB0" w:rsidRPr="00222917" w:rsidRDefault="00794B5A" w:rsidP="00794B5A">
      <w:pPr>
        <w:pStyle w:val="H23G"/>
        <w:rPr>
          <w:lang w:val="en-US"/>
        </w:rPr>
      </w:pPr>
      <w:bookmarkStart w:id="193" w:name="_Toc307504118"/>
      <w:bookmarkStart w:id="194" w:name="_Toc336435890"/>
      <w:r w:rsidRPr="00222917">
        <w:rPr>
          <w:lang w:val="en-US"/>
        </w:rPr>
        <w:tab/>
      </w:r>
      <w:r w:rsidRPr="00222917">
        <w:rPr>
          <w:lang w:val="en-US"/>
        </w:rPr>
        <w:tab/>
      </w:r>
      <w:r w:rsidR="002D5BB0" w:rsidRPr="00222917">
        <w:rPr>
          <w:lang w:val="en-US"/>
        </w:rPr>
        <w:t>Protection of Information on Suspects during Investigations</w:t>
      </w:r>
      <w:bookmarkEnd w:id="193"/>
      <w:bookmarkEnd w:id="194"/>
    </w:p>
    <w:p w:rsidR="002D5BB0" w:rsidRPr="00222917" w:rsidRDefault="00547908" w:rsidP="00547908">
      <w:pPr>
        <w:pStyle w:val="SingleTxtG"/>
        <w:rPr>
          <w:lang w:val="en-US"/>
        </w:rPr>
      </w:pPr>
      <w:r w:rsidRPr="00222917">
        <w:rPr>
          <w:lang w:val="en-US"/>
        </w:rPr>
        <w:t>245.</w:t>
      </w:r>
      <w:r w:rsidRPr="00222917">
        <w:rPr>
          <w:lang w:val="en-US"/>
        </w:rPr>
        <w:tab/>
      </w:r>
      <w:r w:rsidR="002D5BB0" w:rsidRPr="00222917">
        <w:rPr>
          <w:lang w:val="en-US"/>
        </w:rPr>
        <w:t>As stated in the third report (CCPR/C/KOR/2005/3, par</w:t>
      </w:r>
      <w:r w:rsidR="00794B5A" w:rsidRPr="00222917">
        <w:rPr>
          <w:lang w:val="en-US"/>
        </w:rPr>
        <w:t>a. </w:t>
      </w:r>
      <w:r w:rsidR="002D5BB0" w:rsidRPr="00222917">
        <w:rPr>
          <w:lang w:val="en-US"/>
        </w:rPr>
        <w:t xml:space="preserve">255), the </w:t>
      </w:r>
      <w:r w:rsidR="002D5BB0" w:rsidRPr="00222917">
        <w:rPr>
          <w:iCs/>
          <w:lang w:val="en-US"/>
        </w:rPr>
        <w:t>Act on the Lapse of Criminal Sentences</w:t>
      </w:r>
      <w:r w:rsidR="002D5BB0" w:rsidRPr="00222917">
        <w:rPr>
          <w:lang w:val="en-US"/>
        </w:rPr>
        <w:t xml:space="preserve"> was revised to tightly control investigation materials. </w:t>
      </w:r>
    </w:p>
    <w:p w:rsidR="002D5BB0" w:rsidRPr="00222917" w:rsidRDefault="00547908" w:rsidP="00547908">
      <w:pPr>
        <w:pStyle w:val="SingleTxtG"/>
        <w:rPr>
          <w:lang w:val="en-US"/>
        </w:rPr>
      </w:pPr>
      <w:r w:rsidRPr="00222917">
        <w:rPr>
          <w:lang w:val="en-US"/>
        </w:rPr>
        <w:t>246.</w:t>
      </w:r>
      <w:r w:rsidRPr="00222917">
        <w:rPr>
          <w:lang w:val="en-US"/>
        </w:rPr>
        <w:tab/>
      </w:r>
      <w:r w:rsidR="002D5BB0" w:rsidRPr="00222917">
        <w:rPr>
          <w:lang w:val="en-US"/>
        </w:rPr>
        <w:t>As the details of major investigations have been leaked to the press, publication of facts of suspected crimes has led to defamation and human right violations against persons involved in the cases. Since there may be conflicts between a person’s right to privacy and reputation and the people’s right to know, it is necessary to devise a new system to strike a balance between them.</w:t>
      </w:r>
      <w:r w:rsidR="00120D8B" w:rsidRPr="00222917">
        <w:rPr>
          <w:lang w:val="en-US"/>
        </w:rPr>
        <w:t xml:space="preserve"> </w:t>
      </w:r>
    </w:p>
    <w:p w:rsidR="002D5BB0" w:rsidRPr="00222917" w:rsidRDefault="00547908" w:rsidP="00547908">
      <w:pPr>
        <w:pStyle w:val="SingleTxtG"/>
        <w:rPr>
          <w:lang w:val="en-US"/>
        </w:rPr>
      </w:pPr>
      <w:r w:rsidRPr="00222917">
        <w:rPr>
          <w:lang w:val="en-US"/>
        </w:rPr>
        <w:t>247.</w:t>
      </w:r>
      <w:r w:rsidRPr="00222917">
        <w:rPr>
          <w:lang w:val="en-US"/>
        </w:rPr>
        <w:tab/>
      </w:r>
      <w:r w:rsidR="002D5BB0" w:rsidRPr="00222917">
        <w:rPr>
          <w:lang w:val="en-US"/>
        </w:rPr>
        <w:t xml:space="preserve">Prosecutors, police, or others who investigate crimes may be punished for the crime of publication of facts of suspected </w:t>
      </w:r>
      <w:r w:rsidR="002D5BB0" w:rsidRPr="00222917">
        <w:rPr>
          <w:bCs/>
          <w:lang w:val="en-US"/>
        </w:rPr>
        <w:t>crime</w:t>
      </w:r>
      <w:r w:rsidR="002D5BB0" w:rsidRPr="00222917">
        <w:rPr>
          <w:lang w:val="en-US"/>
        </w:rPr>
        <w:t xml:space="preserve"> under the </w:t>
      </w:r>
      <w:r w:rsidR="002D5BB0" w:rsidRPr="00222917">
        <w:rPr>
          <w:iCs/>
          <w:lang w:val="en-US"/>
        </w:rPr>
        <w:t>Criminal Act</w:t>
      </w:r>
      <w:r w:rsidR="00A94611" w:rsidRPr="00222917">
        <w:rPr>
          <w:iCs/>
          <w:lang w:val="en-US"/>
        </w:rPr>
        <w:t xml:space="preserve"> </w:t>
      </w:r>
      <w:r w:rsidR="00A94611" w:rsidRPr="00222917">
        <w:rPr>
          <w:lang w:val="en-US"/>
        </w:rPr>
        <w:t>(</w:t>
      </w:r>
      <w:r w:rsidR="00BF3911" w:rsidRPr="00222917">
        <w:rPr>
          <w:lang w:val="en-US"/>
        </w:rPr>
        <w:t>a</w:t>
      </w:r>
      <w:r w:rsidR="00A94611" w:rsidRPr="00222917">
        <w:rPr>
          <w:lang w:val="en-US"/>
        </w:rPr>
        <w:t>rticle </w:t>
      </w:r>
      <w:r w:rsidR="002D5BB0" w:rsidRPr="00222917">
        <w:rPr>
          <w:lang w:val="en-US"/>
        </w:rPr>
        <w:t xml:space="preserve">126) if they make public the facts of suspected crimes. A crime informant or a defense counselor other than an investigation agency who makes public the facts of suspected crime for political or personal purposes may be punished under the </w:t>
      </w:r>
      <w:r w:rsidR="002D5BB0" w:rsidRPr="000850F5">
        <w:rPr>
          <w:iCs/>
          <w:lang w:val="en-US"/>
        </w:rPr>
        <w:t>Criminal Act</w:t>
      </w:r>
      <w:r w:rsidR="002D5BB0" w:rsidRPr="00222917">
        <w:rPr>
          <w:lang w:val="en-US"/>
        </w:rPr>
        <w:t xml:space="preserve"> for t</w:t>
      </w:r>
      <w:r w:rsidR="00A94611" w:rsidRPr="00222917">
        <w:rPr>
          <w:lang w:val="en-US"/>
        </w:rPr>
        <w:t>he crime of defamation (</w:t>
      </w:r>
      <w:r w:rsidR="00BF3911" w:rsidRPr="00222917">
        <w:rPr>
          <w:lang w:val="en-US"/>
        </w:rPr>
        <w:t>a</w:t>
      </w:r>
      <w:r w:rsidR="00A94611" w:rsidRPr="00222917">
        <w:rPr>
          <w:lang w:val="en-US"/>
        </w:rPr>
        <w:t>rticle </w:t>
      </w:r>
      <w:r w:rsidR="002D5BB0" w:rsidRPr="00222917">
        <w:rPr>
          <w:lang w:val="en-US"/>
        </w:rPr>
        <w:t>307), the crime of inte</w:t>
      </w:r>
      <w:r w:rsidR="00A94611" w:rsidRPr="00222917">
        <w:rPr>
          <w:lang w:val="en-US"/>
        </w:rPr>
        <w:t>rference with business (</w:t>
      </w:r>
      <w:r w:rsidR="00BF3911" w:rsidRPr="00222917">
        <w:rPr>
          <w:lang w:val="en-US"/>
        </w:rPr>
        <w:t>a</w:t>
      </w:r>
      <w:r w:rsidR="00A94611" w:rsidRPr="00222917">
        <w:rPr>
          <w:lang w:val="en-US"/>
        </w:rPr>
        <w:t>rticle </w:t>
      </w:r>
      <w:r w:rsidR="002D5BB0" w:rsidRPr="00222917">
        <w:rPr>
          <w:lang w:val="en-US"/>
        </w:rPr>
        <w:t>314), or the crime of occupational disclos</w:t>
      </w:r>
      <w:r w:rsidR="00A94611" w:rsidRPr="00222917">
        <w:rPr>
          <w:lang w:val="en-US"/>
        </w:rPr>
        <w:t>ure of other’s secrets (</w:t>
      </w:r>
      <w:r w:rsidR="00BF3911" w:rsidRPr="00222917">
        <w:rPr>
          <w:lang w:val="en-US"/>
        </w:rPr>
        <w:t>a</w:t>
      </w:r>
      <w:r w:rsidR="00A94611" w:rsidRPr="00222917">
        <w:rPr>
          <w:lang w:val="en-US"/>
        </w:rPr>
        <w:t>rticle </w:t>
      </w:r>
      <w:r w:rsidR="002D5BB0" w:rsidRPr="00222917">
        <w:rPr>
          <w:lang w:val="en-US"/>
        </w:rPr>
        <w:t xml:space="preserve">317). </w:t>
      </w:r>
    </w:p>
    <w:p w:rsidR="002D5BB0" w:rsidRPr="00222917" w:rsidRDefault="00547908" w:rsidP="00547908">
      <w:pPr>
        <w:pStyle w:val="SingleTxtG"/>
        <w:rPr>
          <w:lang w:val="en-US"/>
        </w:rPr>
      </w:pPr>
      <w:r w:rsidRPr="00222917">
        <w:rPr>
          <w:lang w:val="en-US"/>
        </w:rPr>
        <w:t>248.</w:t>
      </w:r>
      <w:r w:rsidRPr="00222917">
        <w:rPr>
          <w:lang w:val="en-US"/>
        </w:rPr>
        <w:tab/>
      </w:r>
      <w:r w:rsidR="002D5BB0" w:rsidRPr="00222917">
        <w:rPr>
          <w:lang w:val="en-US"/>
        </w:rPr>
        <w:t xml:space="preserve">On 18 January 2010, the Prosecutors’ Office enacted the Rules for Official Report of Investigation to Protect Human Rights as a directive of the Ministry of Justice. The rules involve limitations on oral briefing prior to institution of public prosecutions, prohibition of prosecutors and investigators </w:t>
      </w:r>
      <w:r w:rsidR="002D5BB0" w:rsidRPr="00222917">
        <w:rPr>
          <w:bCs/>
          <w:lang w:val="en-US"/>
        </w:rPr>
        <w:t>from</w:t>
      </w:r>
      <w:r w:rsidR="002D5BB0" w:rsidRPr="00222917">
        <w:rPr>
          <w:lang w:val="en-US"/>
        </w:rPr>
        <w:t xml:space="preserve"> contacting the media, and types of information prohibited from being disclosed. Under the rules, as for the materially incorrect reports or speculative reports that officials of the Prosecutors’ Office are quoted as saying, official reports on investigations, and requests for correction and counter-argument reports can be actively made. </w:t>
      </w:r>
    </w:p>
    <w:p w:rsidR="002D5BB0" w:rsidRPr="00222917" w:rsidRDefault="00547908" w:rsidP="00547908">
      <w:pPr>
        <w:pStyle w:val="SingleTxtG"/>
        <w:rPr>
          <w:lang w:val="en-US"/>
        </w:rPr>
      </w:pPr>
      <w:r w:rsidRPr="00222917">
        <w:rPr>
          <w:lang w:val="en-US"/>
        </w:rPr>
        <w:t>249.</w:t>
      </w:r>
      <w:r w:rsidRPr="00222917">
        <w:rPr>
          <w:lang w:val="en-US"/>
        </w:rPr>
        <w:tab/>
      </w:r>
      <w:r w:rsidR="002D5BB0" w:rsidRPr="00222917">
        <w:rPr>
          <w:lang w:val="en-US"/>
        </w:rPr>
        <w:t xml:space="preserve">Pursuant to the Rules for Official Report of Investigation to Protect Human Rights, the Prosecutors’ Office announces findings of investigation after public action is instituted. Under the rules, even before public action is instituted, information can be disclosed only to the extent necessary to fulfill exceptional purposes in the following cases: (i) where it is highly likely that damages of the crime will rapidly spread or copycat crimes will be perpetrated; (ii) where the people need to be immediately informed about the imminent threat to public security or its countermeasures; (iii) where it is essential to gain cooperation of the public through provision of information for the purpose of arresting a criminal or discovering important evidence. However, even in such cases, information should be provided anonymously, and any expression that likely leads to hasty conclusion of guilt should be avoided. </w:t>
      </w:r>
    </w:p>
    <w:p w:rsidR="002D5BB0" w:rsidRPr="00222917" w:rsidRDefault="002D5BB0" w:rsidP="005012F4">
      <w:pPr>
        <w:pStyle w:val="H23G"/>
        <w:ind w:left="0" w:firstLine="0"/>
        <w:rPr>
          <w:b w:val="0"/>
          <w:sz w:val="16"/>
          <w:szCs w:val="16"/>
          <w:lang w:val="en-US"/>
        </w:rPr>
      </w:pPr>
      <w:r w:rsidRPr="00222917">
        <w:rPr>
          <w:lang w:val="en-US"/>
        </w:rPr>
        <w:t>Receipt and Handling of the Cases of Publication of Facts of Suspected Crime</w:t>
      </w:r>
      <w:r w:rsidR="00794B5A" w:rsidRPr="00222917">
        <w:rPr>
          <w:lang w:val="en-US"/>
        </w:rPr>
        <w:br/>
      </w:r>
      <w:r w:rsidRPr="00222917">
        <w:rPr>
          <w:b w:val="0"/>
          <w:sz w:val="16"/>
          <w:szCs w:val="16"/>
          <w:lang w:val="en-US"/>
        </w:rPr>
        <w:t>(In persons)</w:t>
      </w:r>
    </w:p>
    <w:tbl>
      <w:tblPr>
        <w:tblW w:w="9639" w:type="dxa"/>
        <w:tblBorders>
          <w:top w:val="single" w:sz="4" w:space="0" w:color="auto"/>
        </w:tblBorders>
        <w:tblLayout w:type="fixed"/>
        <w:tblCellMar>
          <w:left w:w="0" w:type="dxa"/>
          <w:right w:w="0" w:type="dxa"/>
        </w:tblCellMar>
        <w:tblLook w:val="00A0"/>
      </w:tblPr>
      <w:tblGrid>
        <w:gridCol w:w="453"/>
        <w:gridCol w:w="679"/>
        <w:gridCol w:w="850"/>
        <w:gridCol w:w="851"/>
        <w:gridCol w:w="851"/>
        <w:gridCol w:w="964"/>
        <w:gridCol w:w="851"/>
        <w:gridCol w:w="851"/>
        <w:gridCol w:w="851"/>
        <w:gridCol w:w="964"/>
        <w:gridCol w:w="737"/>
        <w:gridCol w:w="737"/>
      </w:tblGrid>
      <w:tr w:rsidR="00B817ED" w:rsidRPr="00222917" w:rsidTr="001C4E4C">
        <w:trPr>
          <w:tblHeader/>
        </w:trPr>
        <w:tc>
          <w:tcPr>
            <w:tcW w:w="454" w:type="dxa"/>
            <w:vMerge w:val="restart"/>
            <w:tcBorders>
              <w:top w:val="single" w:sz="4" w:space="0" w:color="auto"/>
              <w:bottom w:val="single" w:sz="12" w:space="0" w:color="auto"/>
            </w:tcBorders>
            <w:shd w:val="clear" w:color="auto" w:fill="auto"/>
            <w:tcMar>
              <w:top w:w="28" w:type="dxa"/>
              <w:left w:w="28" w:type="dxa"/>
              <w:bottom w:w="28" w:type="dxa"/>
              <w:right w:w="28" w:type="dxa"/>
            </w:tcMar>
            <w:vAlign w:val="bottom"/>
          </w:tcPr>
          <w:p w:rsidR="008F6543" w:rsidRPr="00222917" w:rsidRDefault="008F6543" w:rsidP="00963D8F">
            <w:pPr>
              <w:suppressAutoHyphens w:val="0"/>
              <w:snapToGrid w:val="0"/>
              <w:spacing w:before="80" w:after="80" w:line="180" w:lineRule="exact"/>
              <w:rPr>
                <w:i/>
                <w:sz w:val="14"/>
                <w:szCs w:val="14"/>
                <w:lang w:val="en-US"/>
              </w:rPr>
            </w:pPr>
            <w:r w:rsidRPr="00222917">
              <w:rPr>
                <w:bCs/>
                <w:i/>
                <w:sz w:val="14"/>
                <w:szCs w:val="14"/>
                <w:lang w:val="en-US"/>
              </w:rPr>
              <w:t>Year</w:t>
            </w:r>
          </w:p>
        </w:tc>
        <w:tc>
          <w:tcPr>
            <w:tcW w:w="680" w:type="dxa"/>
            <w:vMerge w:val="restart"/>
            <w:tcBorders>
              <w:top w:val="single" w:sz="4" w:space="0" w:color="auto"/>
              <w:bottom w:val="single" w:sz="12" w:space="0" w:color="auto"/>
            </w:tcBorders>
            <w:shd w:val="clear" w:color="auto" w:fill="auto"/>
            <w:tcMar>
              <w:top w:w="28" w:type="dxa"/>
              <w:left w:w="28" w:type="dxa"/>
              <w:bottom w:w="28" w:type="dxa"/>
              <w:right w:w="28" w:type="dxa"/>
            </w:tcMar>
            <w:vAlign w:val="bottom"/>
          </w:tcPr>
          <w:p w:rsidR="008F6543" w:rsidRPr="00222917" w:rsidRDefault="008F6543" w:rsidP="00963D8F">
            <w:pPr>
              <w:suppressAutoHyphens w:val="0"/>
              <w:snapToGrid w:val="0"/>
              <w:spacing w:before="80" w:after="80" w:line="180" w:lineRule="exact"/>
              <w:jc w:val="right"/>
              <w:rPr>
                <w:i/>
                <w:sz w:val="14"/>
                <w:szCs w:val="14"/>
                <w:lang w:val="en-US"/>
              </w:rPr>
            </w:pPr>
            <w:r w:rsidRPr="00222917">
              <w:rPr>
                <w:bCs/>
                <w:i/>
                <w:sz w:val="14"/>
                <w:szCs w:val="14"/>
                <w:lang w:val="en-US"/>
              </w:rPr>
              <w:t>Receipt</w:t>
            </w:r>
          </w:p>
        </w:tc>
        <w:tc>
          <w:tcPr>
            <w:tcW w:w="964" w:type="dxa"/>
            <w:gridSpan w:val="8"/>
            <w:tcBorders>
              <w:top w:val="single" w:sz="4" w:space="0" w:color="auto"/>
              <w:bottom w:val="single" w:sz="4" w:space="0" w:color="000000"/>
            </w:tcBorders>
            <w:shd w:val="clear" w:color="auto" w:fill="auto"/>
            <w:tcMar>
              <w:top w:w="28" w:type="dxa"/>
              <w:left w:w="28" w:type="dxa"/>
              <w:bottom w:w="28" w:type="dxa"/>
              <w:right w:w="28" w:type="dxa"/>
            </w:tcMar>
            <w:vAlign w:val="bottom"/>
          </w:tcPr>
          <w:p w:rsidR="008F6543" w:rsidRPr="00222917" w:rsidRDefault="008F6543" w:rsidP="00963D8F">
            <w:pPr>
              <w:suppressAutoHyphens w:val="0"/>
              <w:snapToGrid w:val="0"/>
              <w:spacing w:before="80" w:after="80" w:line="180" w:lineRule="exact"/>
              <w:jc w:val="center"/>
              <w:rPr>
                <w:i/>
                <w:sz w:val="14"/>
                <w:szCs w:val="14"/>
                <w:lang w:val="en-US"/>
              </w:rPr>
            </w:pPr>
            <w:r w:rsidRPr="00222917">
              <w:rPr>
                <w:bCs/>
                <w:i/>
                <w:sz w:val="14"/>
                <w:szCs w:val="14"/>
                <w:lang w:val="en-US"/>
              </w:rPr>
              <w:t>Handling</w:t>
            </w:r>
          </w:p>
        </w:tc>
        <w:tc>
          <w:tcPr>
            <w:tcW w:w="737" w:type="dxa"/>
            <w:vMerge w:val="restart"/>
            <w:tcBorders>
              <w:top w:val="single" w:sz="4" w:space="0" w:color="auto"/>
              <w:bottom w:val="single" w:sz="12" w:space="0" w:color="auto"/>
            </w:tcBorders>
            <w:shd w:val="clear" w:color="auto" w:fill="auto"/>
            <w:tcMar>
              <w:top w:w="28" w:type="dxa"/>
              <w:left w:w="28" w:type="dxa"/>
              <w:bottom w:w="28" w:type="dxa"/>
              <w:right w:w="28" w:type="dxa"/>
            </w:tcMar>
            <w:vAlign w:val="bottom"/>
          </w:tcPr>
          <w:p w:rsidR="008F6543" w:rsidRPr="00222917" w:rsidRDefault="008F5F21" w:rsidP="00963D8F">
            <w:pPr>
              <w:suppressAutoHyphens w:val="0"/>
              <w:snapToGrid w:val="0"/>
              <w:spacing w:before="80" w:after="80" w:line="180" w:lineRule="exact"/>
              <w:jc w:val="right"/>
              <w:rPr>
                <w:i/>
                <w:sz w:val="14"/>
                <w:szCs w:val="14"/>
                <w:lang w:val="en-US"/>
              </w:rPr>
            </w:pPr>
            <w:r w:rsidRPr="00222917">
              <w:rPr>
                <w:bCs/>
                <w:i/>
                <w:sz w:val="14"/>
                <w:szCs w:val="14"/>
                <w:lang w:val="en-US"/>
              </w:rPr>
              <w:t>Trans</w:t>
            </w:r>
            <w:r w:rsidR="008F6543" w:rsidRPr="00222917">
              <w:rPr>
                <w:bCs/>
                <w:i/>
                <w:sz w:val="14"/>
                <w:szCs w:val="14"/>
                <w:lang w:val="en-US"/>
              </w:rPr>
              <w:t>ferred</w:t>
            </w:r>
          </w:p>
        </w:tc>
        <w:tc>
          <w:tcPr>
            <w:tcW w:w="737" w:type="dxa"/>
            <w:vMerge w:val="restart"/>
            <w:tcBorders>
              <w:top w:val="single" w:sz="4" w:space="0" w:color="auto"/>
              <w:bottom w:val="single" w:sz="12" w:space="0" w:color="auto"/>
            </w:tcBorders>
            <w:shd w:val="clear" w:color="auto" w:fill="auto"/>
            <w:tcMar>
              <w:top w:w="28" w:type="dxa"/>
              <w:left w:w="28" w:type="dxa"/>
              <w:bottom w:w="28" w:type="dxa"/>
              <w:right w:w="28" w:type="dxa"/>
            </w:tcMar>
            <w:vAlign w:val="bottom"/>
          </w:tcPr>
          <w:p w:rsidR="008F6543" w:rsidRPr="00222917" w:rsidRDefault="008F5F21" w:rsidP="00963D8F">
            <w:pPr>
              <w:suppressAutoHyphens w:val="0"/>
              <w:snapToGrid w:val="0"/>
              <w:spacing w:before="80" w:after="80" w:line="180" w:lineRule="exact"/>
              <w:jc w:val="right"/>
              <w:rPr>
                <w:i/>
                <w:sz w:val="14"/>
                <w:szCs w:val="14"/>
                <w:lang w:val="en-US"/>
              </w:rPr>
            </w:pPr>
            <w:r w:rsidRPr="00222917">
              <w:rPr>
                <w:bCs/>
                <w:i/>
                <w:sz w:val="14"/>
                <w:szCs w:val="14"/>
                <w:lang w:val="en-US"/>
              </w:rPr>
              <w:t>Un</w:t>
            </w:r>
            <w:r w:rsidR="008F6543" w:rsidRPr="00222917">
              <w:rPr>
                <w:bCs/>
                <w:i/>
                <w:sz w:val="14"/>
                <w:szCs w:val="14"/>
                <w:lang w:val="en-US"/>
              </w:rPr>
              <w:t>resolved</w:t>
            </w:r>
          </w:p>
        </w:tc>
      </w:tr>
      <w:tr w:rsidR="008F5F21" w:rsidRPr="00222917" w:rsidTr="001C4E4C">
        <w:trPr>
          <w:tblHeader/>
        </w:trPr>
        <w:tc>
          <w:tcPr>
            <w:tcW w:w="454" w:type="dxa"/>
            <w:vMerge/>
            <w:tcBorders>
              <w:top w:val="single" w:sz="12" w:space="0" w:color="auto"/>
            </w:tcBorders>
            <w:shd w:val="clear" w:color="auto" w:fill="auto"/>
            <w:vAlign w:val="bottom"/>
          </w:tcPr>
          <w:p w:rsidR="008F6543" w:rsidRPr="00222917" w:rsidRDefault="008F6543" w:rsidP="00963D8F">
            <w:pPr>
              <w:suppressAutoHyphens w:val="0"/>
              <w:spacing w:before="80" w:after="80" w:line="180" w:lineRule="exact"/>
              <w:rPr>
                <w:i/>
                <w:sz w:val="14"/>
                <w:szCs w:val="14"/>
                <w:lang w:val="en-US"/>
              </w:rPr>
            </w:pPr>
          </w:p>
        </w:tc>
        <w:tc>
          <w:tcPr>
            <w:tcW w:w="680" w:type="dxa"/>
            <w:vMerge/>
            <w:tcBorders>
              <w:top w:val="single" w:sz="12" w:space="0" w:color="auto"/>
            </w:tcBorders>
            <w:shd w:val="clear" w:color="auto" w:fill="auto"/>
            <w:vAlign w:val="bottom"/>
          </w:tcPr>
          <w:p w:rsidR="008F6543" w:rsidRPr="00222917" w:rsidRDefault="008F6543" w:rsidP="00963D8F">
            <w:pPr>
              <w:suppressAutoHyphens w:val="0"/>
              <w:spacing w:before="80" w:after="80" w:line="180" w:lineRule="exact"/>
              <w:jc w:val="right"/>
              <w:rPr>
                <w:i/>
                <w:sz w:val="14"/>
                <w:szCs w:val="14"/>
                <w:lang w:val="en-US"/>
              </w:rPr>
            </w:pPr>
          </w:p>
        </w:tc>
        <w:tc>
          <w:tcPr>
            <w:tcW w:w="851" w:type="dxa"/>
            <w:gridSpan w:val="2"/>
            <w:tcBorders>
              <w:top w:val="single" w:sz="4" w:space="0" w:color="000000"/>
              <w:bottom w:val="single" w:sz="4" w:space="0" w:color="000000"/>
              <w:right w:val="single" w:sz="24" w:space="0" w:color="FFFFFF"/>
            </w:tcBorders>
            <w:shd w:val="clear" w:color="auto" w:fill="auto"/>
            <w:tcMar>
              <w:top w:w="28" w:type="dxa"/>
              <w:left w:w="28" w:type="dxa"/>
              <w:bottom w:w="28" w:type="dxa"/>
              <w:right w:w="28" w:type="dxa"/>
            </w:tcMar>
            <w:vAlign w:val="bottom"/>
          </w:tcPr>
          <w:p w:rsidR="008F6543" w:rsidRPr="00222917" w:rsidRDefault="008F6543" w:rsidP="00963D8F">
            <w:pPr>
              <w:suppressAutoHyphens w:val="0"/>
              <w:snapToGrid w:val="0"/>
              <w:spacing w:before="80" w:after="80" w:line="180" w:lineRule="exact"/>
              <w:jc w:val="center"/>
              <w:rPr>
                <w:i/>
                <w:sz w:val="14"/>
                <w:szCs w:val="14"/>
                <w:lang w:val="en-US"/>
              </w:rPr>
            </w:pPr>
            <w:r w:rsidRPr="00222917">
              <w:rPr>
                <w:bCs/>
                <w:i/>
                <w:sz w:val="14"/>
                <w:szCs w:val="14"/>
                <w:lang w:val="en-US"/>
              </w:rPr>
              <w:t>Prosecuted</w:t>
            </w:r>
          </w:p>
        </w:tc>
        <w:tc>
          <w:tcPr>
            <w:tcW w:w="964" w:type="dxa"/>
            <w:gridSpan w:val="6"/>
            <w:tcBorders>
              <w:top w:val="single" w:sz="4" w:space="0" w:color="000000"/>
              <w:left w:val="single" w:sz="24" w:space="0" w:color="FFFFFF"/>
              <w:bottom w:val="single" w:sz="4" w:space="0" w:color="000000"/>
            </w:tcBorders>
            <w:shd w:val="clear" w:color="auto" w:fill="auto"/>
            <w:tcMar>
              <w:top w:w="28" w:type="dxa"/>
              <w:left w:w="28" w:type="dxa"/>
              <w:bottom w:w="28" w:type="dxa"/>
              <w:right w:w="28" w:type="dxa"/>
            </w:tcMar>
            <w:vAlign w:val="bottom"/>
          </w:tcPr>
          <w:p w:rsidR="008F6543" w:rsidRPr="00222917" w:rsidRDefault="008F6543" w:rsidP="00963D8F">
            <w:pPr>
              <w:suppressAutoHyphens w:val="0"/>
              <w:snapToGrid w:val="0"/>
              <w:spacing w:before="80" w:after="80" w:line="180" w:lineRule="exact"/>
              <w:jc w:val="center"/>
              <w:rPr>
                <w:i/>
                <w:sz w:val="14"/>
                <w:szCs w:val="14"/>
                <w:lang w:val="en-US"/>
              </w:rPr>
            </w:pPr>
            <w:r w:rsidRPr="00222917">
              <w:rPr>
                <w:bCs/>
                <w:i/>
                <w:sz w:val="14"/>
                <w:szCs w:val="14"/>
                <w:lang w:val="en-US"/>
              </w:rPr>
              <w:t>Not prosecuted</w:t>
            </w:r>
          </w:p>
        </w:tc>
        <w:tc>
          <w:tcPr>
            <w:tcW w:w="737" w:type="dxa"/>
            <w:vMerge/>
            <w:tcBorders>
              <w:top w:val="single" w:sz="12" w:space="0" w:color="auto"/>
            </w:tcBorders>
            <w:shd w:val="clear" w:color="auto" w:fill="auto"/>
            <w:vAlign w:val="bottom"/>
          </w:tcPr>
          <w:p w:rsidR="008F6543" w:rsidRPr="00222917" w:rsidRDefault="008F6543" w:rsidP="00963D8F">
            <w:pPr>
              <w:suppressAutoHyphens w:val="0"/>
              <w:spacing w:before="80" w:after="80" w:line="180" w:lineRule="exact"/>
              <w:jc w:val="right"/>
              <w:rPr>
                <w:i/>
                <w:sz w:val="14"/>
                <w:szCs w:val="14"/>
                <w:lang w:val="en-US"/>
              </w:rPr>
            </w:pPr>
          </w:p>
        </w:tc>
        <w:tc>
          <w:tcPr>
            <w:tcW w:w="737" w:type="dxa"/>
            <w:vMerge/>
            <w:tcBorders>
              <w:top w:val="single" w:sz="12" w:space="0" w:color="auto"/>
            </w:tcBorders>
            <w:shd w:val="clear" w:color="auto" w:fill="auto"/>
            <w:vAlign w:val="bottom"/>
          </w:tcPr>
          <w:p w:rsidR="008F6543" w:rsidRPr="00222917" w:rsidRDefault="008F6543" w:rsidP="00963D8F">
            <w:pPr>
              <w:suppressAutoHyphens w:val="0"/>
              <w:spacing w:before="80" w:after="80" w:line="180" w:lineRule="exact"/>
              <w:jc w:val="right"/>
              <w:rPr>
                <w:i/>
                <w:sz w:val="14"/>
                <w:szCs w:val="14"/>
                <w:lang w:val="en-US"/>
              </w:rPr>
            </w:pPr>
          </w:p>
        </w:tc>
      </w:tr>
      <w:tr w:rsidR="008F5F21" w:rsidRPr="00222917" w:rsidTr="001C4E4C">
        <w:trPr>
          <w:tblHeader/>
        </w:trPr>
        <w:tc>
          <w:tcPr>
            <w:tcW w:w="454" w:type="dxa"/>
            <w:vMerge/>
            <w:tcBorders>
              <w:bottom w:val="single" w:sz="12" w:space="0" w:color="000000"/>
            </w:tcBorders>
            <w:shd w:val="clear" w:color="auto" w:fill="auto"/>
            <w:vAlign w:val="bottom"/>
          </w:tcPr>
          <w:p w:rsidR="008F6543" w:rsidRPr="00222917" w:rsidRDefault="008F6543" w:rsidP="00963D8F">
            <w:pPr>
              <w:suppressAutoHyphens w:val="0"/>
              <w:spacing w:before="80" w:after="80" w:line="180" w:lineRule="exact"/>
              <w:rPr>
                <w:i/>
                <w:sz w:val="14"/>
                <w:szCs w:val="14"/>
                <w:lang w:val="en-US"/>
              </w:rPr>
            </w:pPr>
          </w:p>
        </w:tc>
        <w:tc>
          <w:tcPr>
            <w:tcW w:w="680" w:type="dxa"/>
            <w:vMerge/>
            <w:tcBorders>
              <w:bottom w:val="single" w:sz="12" w:space="0" w:color="000000"/>
            </w:tcBorders>
            <w:shd w:val="clear" w:color="auto" w:fill="auto"/>
            <w:vAlign w:val="bottom"/>
          </w:tcPr>
          <w:p w:rsidR="008F6543" w:rsidRPr="00222917" w:rsidRDefault="008F6543" w:rsidP="00963D8F">
            <w:pPr>
              <w:suppressAutoHyphens w:val="0"/>
              <w:spacing w:before="80" w:after="80" w:line="180" w:lineRule="exact"/>
              <w:jc w:val="right"/>
              <w:rPr>
                <w:i/>
                <w:sz w:val="14"/>
                <w:szCs w:val="14"/>
                <w:lang w:val="en-US"/>
              </w:rPr>
            </w:pPr>
          </w:p>
        </w:tc>
        <w:tc>
          <w:tcPr>
            <w:tcW w:w="851" w:type="dxa"/>
            <w:tcBorders>
              <w:top w:val="single" w:sz="4" w:space="0" w:color="000000"/>
              <w:bottom w:val="single" w:sz="12" w:space="0" w:color="000000"/>
            </w:tcBorders>
            <w:shd w:val="clear" w:color="auto" w:fill="auto"/>
            <w:tcMar>
              <w:top w:w="28" w:type="dxa"/>
              <w:left w:w="28" w:type="dxa"/>
              <w:bottom w:w="28" w:type="dxa"/>
              <w:right w:w="28" w:type="dxa"/>
            </w:tcMar>
            <w:vAlign w:val="bottom"/>
          </w:tcPr>
          <w:p w:rsidR="008F6543" w:rsidRPr="00222917" w:rsidRDefault="000E6F57" w:rsidP="00963D8F">
            <w:pPr>
              <w:suppressAutoHyphens w:val="0"/>
              <w:snapToGrid w:val="0"/>
              <w:spacing w:before="80" w:after="80" w:line="180" w:lineRule="exact"/>
              <w:jc w:val="right"/>
              <w:rPr>
                <w:i/>
                <w:sz w:val="14"/>
                <w:szCs w:val="14"/>
                <w:lang w:val="en-US"/>
              </w:rPr>
            </w:pPr>
            <w:r w:rsidRPr="00222917">
              <w:rPr>
                <w:bCs/>
                <w:i/>
                <w:sz w:val="14"/>
                <w:szCs w:val="14"/>
                <w:lang w:val="en-US"/>
              </w:rPr>
              <w:t>Brought</w:t>
            </w:r>
            <w:r w:rsidRPr="00222917">
              <w:rPr>
                <w:bCs/>
                <w:i/>
                <w:sz w:val="14"/>
                <w:szCs w:val="14"/>
                <w:lang w:val="en-US"/>
              </w:rPr>
              <w:br/>
            </w:r>
            <w:r w:rsidR="008F6543" w:rsidRPr="00222917">
              <w:rPr>
                <w:bCs/>
                <w:i/>
                <w:sz w:val="14"/>
                <w:szCs w:val="14"/>
                <w:lang w:val="en-US"/>
              </w:rPr>
              <w:t>to trial</w:t>
            </w:r>
          </w:p>
        </w:tc>
        <w:tc>
          <w:tcPr>
            <w:tcW w:w="851" w:type="dxa"/>
            <w:tcBorders>
              <w:top w:val="single" w:sz="4" w:space="0" w:color="000000"/>
              <w:bottom w:val="single" w:sz="12" w:space="0" w:color="000000"/>
              <w:right w:val="single" w:sz="24" w:space="0" w:color="FFFFFF"/>
            </w:tcBorders>
            <w:shd w:val="clear" w:color="auto" w:fill="auto"/>
            <w:tcMar>
              <w:top w:w="28" w:type="dxa"/>
              <w:left w:w="28" w:type="dxa"/>
              <w:bottom w:w="28" w:type="dxa"/>
              <w:right w:w="28" w:type="dxa"/>
            </w:tcMar>
            <w:vAlign w:val="bottom"/>
          </w:tcPr>
          <w:p w:rsidR="008F6543" w:rsidRPr="00222917" w:rsidRDefault="006548C0" w:rsidP="00963D8F">
            <w:pPr>
              <w:suppressAutoHyphens w:val="0"/>
              <w:snapToGrid w:val="0"/>
              <w:spacing w:before="80" w:after="80" w:line="180" w:lineRule="exact"/>
              <w:jc w:val="right"/>
              <w:rPr>
                <w:i/>
                <w:sz w:val="14"/>
                <w:szCs w:val="14"/>
                <w:lang w:val="en-US"/>
              </w:rPr>
            </w:pPr>
            <w:r w:rsidRPr="00222917">
              <w:rPr>
                <w:bCs/>
                <w:i/>
                <w:sz w:val="14"/>
                <w:szCs w:val="14"/>
                <w:lang w:val="en-US"/>
              </w:rPr>
              <w:t>Brought</w:t>
            </w:r>
            <w:r w:rsidRPr="00222917">
              <w:rPr>
                <w:bCs/>
                <w:i/>
                <w:sz w:val="14"/>
                <w:szCs w:val="14"/>
                <w:lang w:val="en-US"/>
              </w:rPr>
              <w:br/>
            </w:r>
            <w:r w:rsidR="008F6543" w:rsidRPr="00222917">
              <w:rPr>
                <w:bCs/>
                <w:i/>
                <w:sz w:val="14"/>
                <w:szCs w:val="14"/>
                <w:lang w:val="en-US"/>
              </w:rPr>
              <w:t>to summary prosecution</w:t>
            </w:r>
          </w:p>
        </w:tc>
        <w:tc>
          <w:tcPr>
            <w:tcW w:w="851" w:type="dxa"/>
            <w:tcBorders>
              <w:top w:val="single" w:sz="4" w:space="0" w:color="000000"/>
              <w:left w:val="single" w:sz="24" w:space="0" w:color="FFFFFF"/>
              <w:bottom w:val="single" w:sz="12" w:space="0" w:color="000000"/>
            </w:tcBorders>
            <w:shd w:val="clear" w:color="auto" w:fill="auto"/>
            <w:tcMar>
              <w:top w:w="28" w:type="dxa"/>
              <w:left w:w="28" w:type="dxa"/>
              <w:bottom w:w="28" w:type="dxa"/>
              <w:right w:w="28" w:type="dxa"/>
            </w:tcMar>
            <w:vAlign w:val="bottom"/>
          </w:tcPr>
          <w:p w:rsidR="008F6543" w:rsidRPr="00222917" w:rsidRDefault="008F5F21" w:rsidP="00963D8F">
            <w:pPr>
              <w:suppressAutoHyphens w:val="0"/>
              <w:snapToGrid w:val="0"/>
              <w:spacing w:before="80" w:after="80" w:line="180" w:lineRule="exact"/>
              <w:jc w:val="right"/>
              <w:rPr>
                <w:i/>
                <w:sz w:val="14"/>
                <w:szCs w:val="14"/>
                <w:lang w:val="en-US"/>
              </w:rPr>
            </w:pPr>
            <w:r w:rsidRPr="00222917">
              <w:rPr>
                <w:bCs/>
                <w:i/>
                <w:sz w:val="14"/>
                <w:szCs w:val="14"/>
                <w:lang w:val="en-US"/>
              </w:rPr>
              <w:t>Cleared</w:t>
            </w:r>
            <w:r w:rsidR="00B817ED" w:rsidRPr="00222917">
              <w:rPr>
                <w:bCs/>
                <w:i/>
                <w:sz w:val="14"/>
                <w:szCs w:val="14"/>
                <w:lang w:val="en-US"/>
              </w:rPr>
              <w:t xml:space="preserve"> </w:t>
            </w:r>
            <w:r w:rsidR="006548C0" w:rsidRPr="00222917">
              <w:rPr>
                <w:bCs/>
                <w:i/>
                <w:sz w:val="14"/>
                <w:szCs w:val="14"/>
                <w:lang w:val="en-US"/>
              </w:rPr>
              <w:t>of suspi</w:t>
            </w:r>
            <w:r w:rsidR="008F6543" w:rsidRPr="00222917">
              <w:rPr>
                <w:bCs/>
                <w:i/>
                <w:sz w:val="14"/>
                <w:szCs w:val="14"/>
                <w:lang w:val="en-US"/>
              </w:rPr>
              <w:t>cion</w:t>
            </w:r>
          </w:p>
        </w:tc>
        <w:tc>
          <w:tcPr>
            <w:tcW w:w="964" w:type="dxa"/>
            <w:tcBorders>
              <w:top w:val="single" w:sz="4" w:space="0" w:color="000000"/>
              <w:bottom w:val="single" w:sz="12" w:space="0" w:color="000000"/>
            </w:tcBorders>
            <w:shd w:val="clear" w:color="auto" w:fill="auto"/>
            <w:tcMar>
              <w:top w:w="28" w:type="dxa"/>
              <w:left w:w="28" w:type="dxa"/>
              <w:bottom w:w="28" w:type="dxa"/>
              <w:right w:w="28" w:type="dxa"/>
            </w:tcMar>
            <w:vAlign w:val="bottom"/>
          </w:tcPr>
          <w:p w:rsidR="008F6543" w:rsidRPr="00222917" w:rsidRDefault="008F5F21" w:rsidP="00963D8F">
            <w:pPr>
              <w:suppressAutoHyphens w:val="0"/>
              <w:snapToGrid w:val="0"/>
              <w:spacing w:before="80" w:after="80" w:line="180" w:lineRule="exact"/>
              <w:jc w:val="right"/>
              <w:rPr>
                <w:i/>
                <w:sz w:val="14"/>
                <w:szCs w:val="14"/>
                <w:lang w:val="en-US"/>
              </w:rPr>
            </w:pPr>
            <w:r w:rsidRPr="00222917">
              <w:rPr>
                <w:bCs/>
                <w:i/>
                <w:sz w:val="14"/>
                <w:szCs w:val="14"/>
                <w:lang w:val="en-US"/>
              </w:rPr>
              <w:t>Suspen</w:t>
            </w:r>
            <w:r w:rsidR="00B817ED" w:rsidRPr="00222917">
              <w:rPr>
                <w:bCs/>
                <w:i/>
                <w:sz w:val="14"/>
                <w:szCs w:val="14"/>
                <w:lang w:val="en-US"/>
              </w:rPr>
              <w:t xml:space="preserve">sion </w:t>
            </w:r>
            <w:r w:rsidR="00983C35" w:rsidRPr="00222917">
              <w:rPr>
                <w:bCs/>
                <w:i/>
                <w:sz w:val="14"/>
                <w:szCs w:val="14"/>
                <w:lang w:val="en-US"/>
              </w:rPr>
              <w:t>of prose</w:t>
            </w:r>
            <w:r w:rsidR="008F6543" w:rsidRPr="00222917">
              <w:rPr>
                <w:bCs/>
                <w:i/>
                <w:sz w:val="14"/>
                <w:szCs w:val="14"/>
                <w:lang w:val="en-US"/>
              </w:rPr>
              <w:t>cution</w:t>
            </w:r>
          </w:p>
        </w:tc>
        <w:tc>
          <w:tcPr>
            <w:tcW w:w="851" w:type="dxa"/>
            <w:tcBorders>
              <w:top w:val="single" w:sz="4" w:space="0" w:color="000000"/>
              <w:bottom w:val="single" w:sz="12" w:space="0" w:color="000000"/>
            </w:tcBorders>
            <w:shd w:val="clear" w:color="auto" w:fill="auto"/>
            <w:tcMar>
              <w:top w:w="28" w:type="dxa"/>
              <w:left w:w="28" w:type="dxa"/>
              <w:bottom w:w="28" w:type="dxa"/>
              <w:right w:w="28" w:type="dxa"/>
            </w:tcMar>
            <w:vAlign w:val="bottom"/>
          </w:tcPr>
          <w:p w:rsidR="008F6543" w:rsidRPr="00222917" w:rsidRDefault="008F6543" w:rsidP="00963D8F">
            <w:pPr>
              <w:suppressAutoHyphens w:val="0"/>
              <w:snapToGrid w:val="0"/>
              <w:spacing w:before="80" w:after="80" w:line="180" w:lineRule="exact"/>
              <w:jc w:val="right"/>
              <w:rPr>
                <w:i/>
                <w:sz w:val="14"/>
                <w:szCs w:val="14"/>
                <w:lang w:val="en-US"/>
              </w:rPr>
            </w:pPr>
            <w:r w:rsidRPr="00222917">
              <w:rPr>
                <w:bCs/>
                <w:i/>
                <w:sz w:val="14"/>
                <w:szCs w:val="14"/>
                <w:lang w:val="en-US"/>
              </w:rPr>
              <w:t>Not classifi</w:t>
            </w:r>
            <w:r w:rsidR="008F5F21" w:rsidRPr="00222917">
              <w:rPr>
                <w:bCs/>
                <w:i/>
                <w:sz w:val="14"/>
                <w:szCs w:val="14"/>
                <w:lang w:val="en-US"/>
              </w:rPr>
              <w:t>ed</w:t>
            </w:r>
            <w:r w:rsidR="00B817ED" w:rsidRPr="00222917">
              <w:rPr>
                <w:bCs/>
                <w:i/>
                <w:sz w:val="14"/>
                <w:szCs w:val="14"/>
                <w:lang w:val="en-US"/>
              </w:rPr>
              <w:t xml:space="preserve"> </w:t>
            </w:r>
            <w:r w:rsidRPr="00222917">
              <w:rPr>
                <w:bCs/>
                <w:i/>
                <w:sz w:val="14"/>
                <w:szCs w:val="14"/>
                <w:lang w:val="en-US"/>
              </w:rPr>
              <w:t>as a crime</w:t>
            </w:r>
          </w:p>
        </w:tc>
        <w:tc>
          <w:tcPr>
            <w:tcW w:w="851" w:type="dxa"/>
            <w:tcBorders>
              <w:top w:val="single" w:sz="4" w:space="0" w:color="000000"/>
              <w:bottom w:val="single" w:sz="12" w:space="0" w:color="000000"/>
            </w:tcBorders>
            <w:shd w:val="clear" w:color="auto" w:fill="auto"/>
            <w:tcMar>
              <w:top w:w="28" w:type="dxa"/>
              <w:left w:w="28" w:type="dxa"/>
              <w:bottom w:w="28" w:type="dxa"/>
              <w:right w:w="28" w:type="dxa"/>
            </w:tcMar>
            <w:vAlign w:val="bottom"/>
          </w:tcPr>
          <w:p w:rsidR="008F6543" w:rsidRPr="00222917" w:rsidRDefault="008F6543" w:rsidP="00963D8F">
            <w:pPr>
              <w:suppressAutoHyphens w:val="0"/>
              <w:snapToGrid w:val="0"/>
              <w:spacing w:before="80" w:after="80" w:line="180" w:lineRule="exact"/>
              <w:jc w:val="right"/>
              <w:rPr>
                <w:i/>
                <w:sz w:val="14"/>
                <w:szCs w:val="14"/>
                <w:lang w:val="en-US"/>
              </w:rPr>
            </w:pPr>
            <w:r w:rsidRPr="00222917">
              <w:rPr>
                <w:bCs/>
                <w:i/>
                <w:sz w:val="14"/>
                <w:szCs w:val="14"/>
                <w:lang w:val="en-US"/>
              </w:rPr>
              <w:t>No autho</w:t>
            </w:r>
            <w:r w:rsidR="00B817ED" w:rsidRPr="00222917">
              <w:rPr>
                <w:bCs/>
                <w:i/>
                <w:sz w:val="14"/>
                <w:szCs w:val="14"/>
                <w:lang w:val="en-US"/>
              </w:rPr>
              <w:t>-</w:t>
            </w:r>
            <w:r w:rsidR="00B817ED" w:rsidRPr="00222917">
              <w:rPr>
                <w:bCs/>
                <w:i/>
                <w:sz w:val="14"/>
                <w:szCs w:val="14"/>
                <w:lang w:val="en-US"/>
              </w:rPr>
              <w:br/>
            </w:r>
            <w:r w:rsidRPr="00222917">
              <w:rPr>
                <w:bCs/>
                <w:i/>
                <w:sz w:val="14"/>
                <w:szCs w:val="14"/>
                <w:lang w:val="en-US"/>
              </w:rPr>
              <w:t>rity to file prosecution</w:t>
            </w:r>
          </w:p>
        </w:tc>
        <w:tc>
          <w:tcPr>
            <w:tcW w:w="851" w:type="dxa"/>
            <w:tcBorders>
              <w:top w:val="single" w:sz="4" w:space="0" w:color="000000"/>
              <w:bottom w:val="single" w:sz="12" w:space="0" w:color="000000"/>
            </w:tcBorders>
            <w:shd w:val="clear" w:color="auto" w:fill="auto"/>
            <w:tcMar>
              <w:top w:w="28" w:type="dxa"/>
              <w:left w:w="28" w:type="dxa"/>
              <w:bottom w:w="28" w:type="dxa"/>
              <w:right w:w="28" w:type="dxa"/>
            </w:tcMar>
            <w:vAlign w:val="bottom"/>
          </w:tcPr>
          <w:p w:rsidR="008F6543" w:rsidRPr="00222917" w:rsidRDefault="006548C0" w:rsidP="00963D8F">
            <w:pPr>
              <w:suppressAutoHyphens w:val="0"/>
              <w:snapToGrid w:val="0"/>
              <w:spacing w:before="80" w:after="80" w:line="180" w:lineRule="exact"/>
              <w:jc w:val="right"/>
              <w:rPr>
                <w:i/>
                <w:sz w:val="14"/>
                <w:szCs w:val="14"/>
                <w:lang w:val="en-US"/>
              </w:rPr>
            </w:pPr>
            <w:r w:rsidRPr="00222917">
              <w:rPr>
                <w:bCs/>
                <w:i/>
                <w:sz w:val="14"/>
                <w:szCs w:val="14"/>
                <w:lang w:val="en-US"/>
              </w:rPr>
              <w:t>Dis</w:t>
            </w:r>
            <w:r w:rsidR="008F6543" w:rsidRPr="00222917">
              <w:rPr>
                <w:bCs/>
                <w:i/>
                <w:sz w:val="14"/>
                <w:szCs w:val="14"/>
                <w:lang w:val="en-US"/>
              </w:rPr>
              <w:t>missed</w:t>
            </w:r>
          </w:p>
        </w:tc>
        <w:tc>
          <w:tcPr>
            <w:tcW w:w="964" w:type="dxa"/>
            <w:tcBorders>
              <w:top w:val="single" w:sz="4" w:space="0" w:color="000000"/>
              <w:bottom w:val="single" w:sz="12" w:space="0" w:color="000000"/>
            </w:tcBorders>
            <w:shd w:val="clear" w:color="auto" w:fill="auto"/>
            <w:tcMar>
              <w:top w:w="28" w:type="dxa"/>
              <w:left w:w="28" w:type="dxa"/>
              <w:bottom w:w="28" w:type="dxa"/>
              <w:right w:w="28" w:type="dxa"/>
            </w:tcMar>
            <w:vAlign w:val="bottom"/>
          </w:tcPr>
          <w:p w:rsidR="008F6543" w:rsidRPr="00222917" w:rsidRDefault="006548C0" w:rsidP="00963D8F">
            <w:pPr>
              <w:suppressAutoHyphens w:val="0"/>
              <w:snapToGrid w:val="0"/>
              <w:spacing w:before="80" w:after="80" w:line="180" w:lineRule="exact"/>
              <w:jc w:val="right"/>
              <w:rPr>
                <w:i/>
                <w:sz w:val="14"/>
                <w:szCs w:val="14"/>
                <w:lang w:val="en-US"/>
              </w:rPr>
            </w:pPr>
            <w:r w:rsidRPr="00222917">
              <w:rPr>
                <w:bCs/>
                <w:i/>
                <w:sz w:val="14"/>
                <w:szCs w:val="14"/>
                <w:lang w:val="en-US"/>
              </w:rPr>
              <w:t>Stay</w:t>
            </w:r>
            <w:r w:rsidR="00983C35" w:rsidRPr="00222917">
              <w:rPr>
                <w:bCs/>
                <w:i/>
                <w:sz w:val="14"/>
                <w:szCs w:val="14"/>
                <w:lang w:val="en-US"/>
              </w:rPr>
              <w:t xml:space="preserve"> </w:t>
            </w:r>
            <w:r w:rsidRPr="00222917">
              <w:rPr>
                <w:bCs/>
                <w:i/>
                <w:sz w:val="14"/>
                <w:szCs w:val="14"/>
                <w:lang w:val="en-US"/>
              </w:rPr>
              <w:t>of prose-cution/</w:t>
            </w:r>
            <w:r w:rsidR="008F6543" w:rsidRPr="00222917">
              <w:rPr>
                <w:bCs/>
                <w:i/>
                <w:sz w:val="14"/>
                <w:szCs w:val="14"/>
                <w:lang w:val="en-US"/>
              </w:rPr>
              <w:t>Stay of prose</w:t>
            </w:r>
            <w:r w:rsidRPr="00222917">
              <w:rPr>
                <w:bCs/>
                <w:i/>
                <w:sz w:val="14"/>
                <w:szCs w:val="14"/>
                <w:lang w:val="en-US"/>
              </w:rPr>
              <w:t>cution</w:t>
            </w:r>
            <w:r w:rsidR="00983C35" w:rsidRPr="00222917">
              <w:rPr>
                <w:bCs/>
                <w:i/>
                <w:sz w:val="14"/>
                <w:szCs w:val="14"/>
                <w:lang w:val="en-US"/>
              </w:rPr>
              <w:t xml:space="preserve"> </w:t>
            </w:r>
            <w:r w:rsidR="008F6543" w:rsidRPr="00222917">
              <w:rPr>
                <w:bCs/>
                <w:i/>
                <w:sz w:val="14"/>
                <w:szCs w:val="14"/>
                <w:lang w:val="en-US"/>
              </w:rPr>
              <w:t>due to witnesses</w:t>
            </w:r>
          </w:p>
        </w:tc>
        <w:tc>
          <w:tcPr>
            <w:tcW w:w="737" w:type="dxa"/>
            <w:vMerge/>
            <w:tcBorders>
              <w:bottom w:val="single" w:sz="12" w:space="0" w:color="000000"/>
            </w:tcBorders>
            <w:shd w:val="clear" w:color="auto" w:fill="auto"/>
            <w:vAlign w:val="bottom"/>
          </w:tcPr>
          <w:p w:rsidR="008F6543" w:rsidRPr="00222917" w:rsidRDefault="008F6543" w:rsidP="00963D8F">
            <w:pPr>
              <w:suppressAutoHyphens w:val="0"/>
              <w:spacing w:before="80" w:after="80" w:line="180" w:lineRule="exact"/>
              <w:jc w:val="right"/>
              <w:rPr>
                <w:i/>
                <w:sz w:val="14"/>
                <w:szCs w:val="14"/>
                <w:lang w:val="en-US"/>
              </w:rPr>
            </w:pPr>
          </w:p>
        </w:tc>
        <w:tc>
          <w:tcPr>
            <w:tcW w:w="737" w:type="dxa"/>
            <w:vMerge/>
            <w:tcBorders>
              <w:bottom w:val="single" w:sz="12" w:space="0" w:color="000000"/>
            </w:tcBorders>
            <w:shd w:val="clear" w:color="auto" w:fill="auto"/>
            <w:vAlign w:val="bottom"/>
          </w:tcPr>
          <w:p w:rsidR="008F6543" w:rsidRPr="00222917" w:rsidRDefault="008F6543" w:rsidP="00963D8F">
            <w:pPr>
              <w:suppressAutoHyphens w:val="0"/>
              <w:spacing w:before="80" w:after="80" w:line="180" w:lineRule="exact"/>
              <w:jc w:val="right"/>
              <w:rPr>
                <w:i/>
                <w:sz w:val="14"/>
                <w:szCs w:val="14"/>
                <w:lang w:val="en-US"/>
              </w:rPr>
            </w:pPr>
          </w:p>
        </w:tc>
      </w:tr>
      <w:tr w:rsidR="00B817ED" w:rsidRPr="00222917" w:rsidTr="001C4E4C">
        <w:tc>
          <w:tcPr>
            <w:tcW w:w="454" w:type="dxa"/>
            <w:tcBorders>
              <w:top w:val="single" w:sz="12" w:space="0" w:color="000000"/>
            </w:tcBorders>
            <w:shd w:val="clear" w:color="auto" w:fill="auto"/>
            <w:tcMar>
              <w:top w:w="28" w:type="dxa"/>
              <w:left w:w="28" w:type="dxa"/>
              <w:bottom w:w="28" w:type="dxa"/>
              <w:right w:w="28" w:type="dxa"/>
            </w:tcMar>
          </w:tcPr>
          <w:p w:rsidR="008F6543" w:rsidRPr="00222917" w:rsidRDefault="008F6543" w:rsidP="000E6F57">
            <w:pPr>
              <w:suppressAutoHyphens w:val="0"/>
              <w:snapToGrid w:val="0"/>
              <w:spacing w:before="40" w:after="40" w:line="200" w:lineRule="exact"/>
              <w:rPr>
                <w:sz w:val="16"/>
                <w:szCs w:val="16"/>
                <w:lang w:val="en-US"/>
              </w:rPr>
            </w:pPr>
            <w:r w:rsidRPr="00222917">
              <w:rPr>
                <w:sz w:val="16"/>
                <w:szCs w:val="16"/>
                <w:lang w:val="en-US"/>
              </w:rPr>
              <w:t>2004</w:t>
            </w:r>
          </w:p>
        </w:tc>
        <w:tc>
          <w:tcPr>
            <w:tcW w:w="680" w:type="dxa"/>
            <w:tcBorders>
              <w:top w:val="single" w:sz="12" w:space="0" w:color="000000"/>
            </w:tcBorders>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28</w:t>
            </w:r>
          </w:p>
        </w:tc>
        <w:tc>
          <w:tcPr>
            <w:tcW w:w="851" w:type="dxa"/>
            <w:tcBorders>
              <w:top w:val="single" w:sz="12" w:space="0" w:color="000000"/>
            </w:tcBorders>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0</w:t>
            </w:r>
          </w:p>
        </w:tc>
        <w:tc>
          <w:tcPr>
            <w:tcW w:w="851" w:type="dxa"/>
            <w:tcBorders>
              <w:top w:val="single" w:sz="12" w:space="0" w:color="000000"/>
            </w:tcBorders>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0</w:t>
            </w:r>
          </w:p>
        </w:tc>
        <w:tc>
          <w:tcPr>
            <w:tcW w:w="851" w:type="dxa"/>
            <w:tcBorders>
              <w:top w:val="single" w:sz="12" w:space="0" w:color="000000"/>
            </w:tcBorders>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17</w:t>
            </w:r>
          </w:p>
        </w:tc>
        <w:tc>
          <w:tcPr>
            <w:tcW w:w="964" w:type="dxa"/>
            <w:tcBorders>
              <w:top w:val="single" w:sz="12" w:space="0" w:color="000000"/>
            </w:tcBorders>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0</w:t>
            </w:r>
          </w:p>
        </w:tc>
        <w:tc>
          <w:tcPr>
            <w:tcW w:w="851" w:type="dxa"/>
            <w:tcBorders>
              <w:top w:val="single" w:sz="12" w:space="0" w:color="000000"/>
            </w:tcBorders>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1</w:t>
            </w:r>
          </w:p>
        </w:tc>
        <w:tc>
          <w:tcPr>
            <w:tcW w:w="851" w:type="dxa"/>
            <w:tcBorders>
              <w:top w:val="single" w:sz="12" w:space="0" w:color="000000"/>
            </w:tcBorders>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0</w:t>
            </w:r>
          </w:p>
        </w:tc>
        <w:tc>
          <w:tcPr>
            <w:tcW w:w="851" w:type="dxa"/>
            <w:tcBorders>
              <w:top w:val="single" w:sz="12" w:space="0" w:color="000000"/>
            </w:tcBorders>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0</w:t>
            </w:r>
          </w:p>
        </w:tc>
        <w:tc>
          <w:tcPr>
            <w:tcW w:w="964" w:type="dxa"/>
            <w:tcBorders>
              <w:top w:val="single" w:sz="12" w:space="0" w:color="000000"/>
            </w:tcBorders>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2</w:t>
            </w:r>
          </w:p>
        </w:tc>
        <w:tc>
          <w:tcPr>
            <w:tcW w:w="737" w:type="dxa"/>
            <w:tcBorders>
              <w:top w:val="single" w:sz="12" w:space="0" w:color="000000"/>
            </w:tcBorders>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3</w:t>
            </w:r>
          </w:p>
        </w:tc>
        <w:tc>
          <w:tcPr>
            <w:tcW w:w="737" w:type="dxa"/>
            <w:tcBorders>
              <w:top w:val="single" w:sz="12" w:space="0" w:color="000000"/>
            </w:tcBorders>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5</w:t>
            </w:r>
          </w:p>
        </w:tc>
      </w:tr>
      <w:tr w:rsidR="00B817ED" w:rsidRPr="00222917" w:rsidTr="00B817ED">
        <w:tc>
          <w:tcPr>
            <w:tcW w:w="454" w:type="dxa"/>
            <w:shd w:val="clear" w:color="auto" w:fill="auto"/>
            <w:tcMar>
              <w:top w:w="28" w:type="dxa"/>
              <w:left w:w="28" w:type="dxa"/>
              <w:bottom w:w="28" w:type="dxa"/>
              <w:right w:w="28" w:type="dxa"/>
            </w:tcMar>
          </w:tcPr>
          <w:p w:rsidR="008F6543" w:rsidRPr="00222917" w:rsidRDefault="008F6543" w:rsidP="000E6F57">
            <w:pPr>
              <w:suppressAutoHyphens w:val="0"/>
              <w:snapToGrid w:val="0"/>
              <w:spacing w:before="40" w:after="40" w:line="200" w:lineRule="exact"/>
              <w:rPr>
                <w:sz w:val="16"/>
                <w:szCs w:val="16"/>
                <w:lang w:val="en-US"/>
              </w:rPr>
            </w:pPr>
            <w:r w:rsidRPr="00222917">
              <w:rPr>
                <w:sz w:val="16"/>
                <w:szCs w:val="16"/>
                <w:lang w:val="en-US"/>
              </w:rPr>
              <w:t>2005</w:t>
            </w:r>
          </w:p>
        </w:tc>
        <w:tc>
          <w:tcPr>
            <w:tcW w:w="680" w:type="dxa"/>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17</w:t>
            </w:r>
          </w:p>
        </w:tc>
        <w:tc>
          <w:tcPr>
            <w:tcW w:w="851" w:type="dxa"/>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0</w:t>
            </w:r>
          </w:p>
        </w:tc>
        <w:tc>
          <w:tcPr>
            <w:tcW w:w="851" w:type="dxa"/>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0</w:t>
            </w:r>
          </w:p>
        </w:tc>
        <w:tc>
          <w:tcPr>
            <w:tcW w:w="851" w:type="dxa"/>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5</w:t>
            </w:r>
          </w:p>
        </w:tc>
        <w:tc>
          <w:tcPr>
            <w:tcW w:w="964" w:type="dxa"/>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1</w:t>
            </w:r>
          </w:p>
        </w:tc>
        <w:tc>
          <w:tcPr>
            <w:tcW w:w="851" w:type="dxa"/>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2</w:t>
            </w:r>
          </w:p>
        </w:tc>
        <w:tc>
          <w:tcPr>
            <w:tcW w:w="851" w:type="dxa"/>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0</w:t>
            </w:r>
          </w:p>
        </w:tc>
        <w:tc>
          <w:tcPr>
            <w:tcW w:w="851" w:type="dxa"/>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5</w:t>
            </w:r>
          </w:p>
        </w:tc>
        <w:tc>
          <w:tcPr>
            <w:tcW w:w="964" w:type="dxa"/>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1</w:t>
            </w:r>
          </w:p>
        </w:tc>
        <w:tc>
          <w:tcPr>
            <w:tcW w:w="737" w:type="dxa"/>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2</w:t>
            </w:r>
          </w:p>
        </w:tc>
        <w:tc>
          <w:tcPr>
            <w:tcW w:w="737" w:type="dxa"/>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1</w:t>
            </w:r>
          </w:p>
        </w:tc>
      </w:tr>
      <w:tr w:rsidR="00B817ED" w:rsidRPr="00222917" w:rsidTr="00B817ED">
        <w:tc>
          <w:tcPr>
            <w:tcW w:w="454" w:type="dxa"/>
            <w:shd w:val="clear" w:color="auto" w:fill="auto"/>
            <w:tcMar>
              <w:top w:w="28" w:type="dxa"/>
              <w:left w:w="28" w:type="dxa"/>
              <w:bottom w:w="28" w:type="dxa"/>
              <w:right w:w="28" w:type="dxa"/>
            </w:tcMar>
          </w:tcPr>
          <w:p w:rsidR="008F6543" w:rsidRPr="00222917" w:rsidRDefault="008F6543" w:rsidP="000E6F57">
            <w:pPr>
              <w:suppressAutoHyphens w:val="0"/>
              <w:snapToGrid w:val="0"/>
              <w:spacing w:before="40" w:after="40" w:line="200" w:lineRule="exact"/>
              <w:rPr>
                <w:sz w:val="16"/>
                <w:szCs w:val="16"/>
                <w:lang w:val="en-US"/>
              </w:rPr>
            </w:pPr>
            <w:r w:rsidRPr="00222917">
              <w:rPr>
                <w:sz w:val="16"/>
                <w:szCs w:val="16"/>
                <w:lang w:val="en-US"/>
              </w:rPr>
              <w:t>2006</w:t>
            </w:r>
          </w:p>
        </w:tc>
        <w:tc>
          <w:tcPr>
            <w:tcW w:w="680" w:type="dxa"/>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57</w:t>
            </w:r>
          </w:p>
        </w:tc>
        <w:tc>
          <w:tcPr>
            <w:tcW w:w="851" w:type="dxa"/>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0</w:t>
            </w:r>
          </w:p>
        </w:tc>
        <w:tc>
          <w:tcPr>
            <w:tcW w:w="851" w:type="dxa"/>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0</w:t>
            </w:r>
          </w:p>
        </w:tc>
        <w:tc>
          <w:tcPr>
            <w:tcW w:w="851" w:type="dxa"/>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7</w:t>
            </w:r>
          </w:p>
        </w:tc>
        <w:tc>
          <w:tcPr>
            <w:tcW w:w="964" w:type="dxa"/>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1</w:t>
            </w:r>
          </w:p>
        </w:tc>
        <w:tc>
          <w:tcPr>
            <w:tcW w:w="851" w:type="dxa"/>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0</w:t>
            </w:r>
          </w:p>
        </w:tc>
        <w:tc>
          <w:tcPr>
            <w:tcW w:w="851" w:type="dxa"/>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2</w:t>
            </w:r>
          </w:p>
        </w:tc>
        <w:tc>
          <w:tcPr>
            <w:tcW w:w="851" w:type="dxa"/>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13</w:t>
            </w:r>
          </w:p>
        </w:tc>
        <w:tc>
          <w:tcPr>
            <w:tcW w:w="964" w:type="dxa"/>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0</w:t>
            </w:r>
          </w:p>
        </w:tc>
        <w:tc>
          <w:tcPr>
            <w:tcW w:w="737" w:type="dxa"/>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34</w:t>
            </w:r>
          </w:p>
        </w:tc>
        <w:tc>
          <w:tcPr>
            <w:tcW w:w="737" w:type="dxa"/>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0</w:t>
            </w:r>
          </w:p>
        </w:tc>
      </w:tr>
      <w:tr w:rsidR="00B817ED" w:rsidRPr="00222917" w:rsidTr="00B817ED">
        <w:tc>
          <w:tcPr>
            <w:tcW w:w="454" w:type="dxa"/>
            <w:shd w:val="clear" w:color="auto" w:fill="auto"/>
            <w:tcMar>
              <w:top w:w="28" w:type="dxa"/>
              <w:left w:w="28" w:type="dxa"/>
              <w:bottom w:w="28" w:type="dxa"/>
              <w:right w:w="28" w:type="dxa"/>
            </w:tcMar>
          </w:tcPr>
          <w:p w:rsidR="008F6543" w:rsidRPr="00222917" w:rsidRDefault="008F6543" w:rsidP="000E6F57">
            <w:pPr>
              <w:suppressAutoHyphens w:val="0"/>
              <w:snapToGrid w:val="0"/>
              <w:spacing w:before="40" w:after="40" w:line="200" w:lineRule="exact"/>
              <w:rPr>
                <w:sz w:val="16"/>
                <w:szCs w:val="16"/>
                <w:lang w:val="en-US"/>
              </w:rPr>
            </w:pPr>
            <w:r w:rsidRPr="00222917">
              <w:rPr>
                <w:sz w:val="16"/>
                <w:szCs w:val="16"/>
                <w:lang w:val="en-US"/>
              </w:rPr>
              <w:t>2007</w:t>
            </w:r>
          </w:p>
        </w:tc>
        <w:tc>
          <w:tcPr>
            <w:tcW w:w="680" w:type="dxa"/>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30</w:t>
            </w:r>
          </w:p>
        </w:tc>
        <w:tc>
          <w:tcPr>
            <w:tcW w:w="851" w:type="dxa"/>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0</w:t>
            </w:r>
          </w:p>
        </w:tc>
        <w:tc>
          <w:tcPr>
            <w:tcW w:w="851" w:type="dxa"/>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0</w:t>
            </w:r>
          </w:p>
        </w:tc>
        <w:tc>
          <w:tcPr>
            <w:tcW w:w="851" w:type="dxa"/>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16</w:t>
            </w:r>
          </w:p>
        </w:tc>
        <w:tc>
          <w:tcPr>
            <w:tcW w:w="964" w:type="dxa"/>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2</w:t>
            </w:r>
          </w:p>
        </w:tc>
        <w:tc>
          <w:tcPr>
            <w:tcW w:w="851" w:type="dxa"/>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0</w:t>
            </w:r>
          </w:p>
        </w:tc>
        <w:tc>
          <w:tcPr>
            <w:tcW w:w="851" w:type="dxa"/>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0</w:t>
            </w:r>
          </w:p>
        </w:tc>
        <w:tc>
          <w:tcPr>
            <w:tcW w:w="851" w:type="dxa"/>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8</w:t>
            </w:r>
          </w:p>
        </w:tc>
        <w:tc>
          <w:tcPr>
            <w:tcW w:w="964" w:type="dxa"/>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0</w:t>
            </w:r>
          </w:p>
        </w:tc>
        <w:tc>
          <w:tcPr>
            <w:tcW w:w="737" w:type="dxa"/>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0</w:t>
            </w:r>
          </w:p>
        </w:tc>
        <w:tc>
          <w:tcPr>
            <w:tcW w:w="737" w:type="dxa"/>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4</w:t>
            </w:r>
          </w:p>
        </w:tc>
      </w:tr>
      <w:tr w:rsidR="00B817ED" w:rsidRPr="00222917" w:rsidTr="00B817ED">
        <w:tc>
          <w:tcPr>
            <w:tcW w:w="454" w:type="dxa"/>
            <w:shd w:val="clear" w:color="auto" w:fill="auto"/>
            <w:tcMar>
              <w:top w:w="28" w:type="dxa"/>
              <w:left w:w="28" w:type="dxa"/>
              <w:bottom w:w="28" w:type="dxa"/>
              <w:right w:w="28" w:type="dxa"/>
            </w:tcMar>
          </w:tcPr>
          <w:p w:rsidR="008F6543" w:rsidRPr="00222917" w:rsidRDefault="008F6543" w:rsidP="000E6F57">
            <w:pPr>
              <w:suppressAutoHyphens w:val="0"/>
              <w:snapToGrid w:val="0"/>
              <w:spacing w:before="40" w:after="40" w:line="200" w:lineRule="exact"/>
              <w:rPr>
                <w:sz w:val="16"/>
                <w:szCs w:val="16"/>
                <w:lang w:val="en-US"/>
              </w:rPr>
            </w:pPr>
            <w:r w:rsidRPr="00222917">
              <w:rPr>
                <w:sz w:val="16"/>
                <w:szCs w:val="16"/>
                <w:lang w:val="en-US"/>
              </w:rPr>
              <w:t>2008</w:t>
            </w:r>
          </w:p>
        </w:tc>
        <w:tc>
          <w:tcPr>
            <w:tcW w:w="680" w:type="dxa"/>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8</w:t>
            </w:r>
          </w:p>
        </w:tc>
        <w:tc>
          <w:tcPr>
            <w:tcW w:w="851" w:type="dxa"/>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0</w:t>
            </w:r>
          </w:p>
        </w:tc>
        <w:tc>
          <w:tcPr>
            <w:tcW w:w="851" w:type="dxa"/>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0</w:t>
            </w:r>
          </w:p>
        </w:tc>
        <w:tc>
          <w:tcPr>
            <w:tcW w:w="851" w:type="dxa"/>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4</w:t>
            </w:r>
          </w:p>
        </w:tc>
        <w:tc>
          <w:tcPr>
            <w:tcW w:w="964" w:type="dxa"/>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0</w:t>
            </w:r>
          </w:p>
        </w:tc>
        <w:tc>
          <w:tcPr>
            <w:tcW w:w="851" w:type="dxa"/>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0</w:t>
            </w:r>
          </w:p>
        </w:tc>
        <w:tc>
          <w:tcPr>
            <w:tcW w:w="851" w:type="dxa"/>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0</w:t>
            </w:r>
          </w:p>
        </w:tc>
        <w:tc>
          <w:tcPr>
            <w:tcW w:w="851" w:type="dxa"/>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2</w:t>
            </w:r>
          </w:p>
        </w:tc>
        <w:tc>
          <w:tcPr>
            <w:tcW w:w="964" w:type="dxa"/>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0</w:t>
            </w:r>
          </w:p>
        </w:tc>
        <w:tc>
          <w:tcPr>
            <w:tcW w:w="737" w:type="dxa"/>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2</w:t>
            </w:r>
          </w:p>
        </w:tc>
        <w:tc>
          <w:tcPr>
            <w:tcW w:w="737" w:type="dxa"/>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0</w:t>
            </w:r>
          </w:p>
        </w:tc>
      </w:tr>
      <w:tr w:rsidR="00B817ED" w:rsidRPr="00222917" w:rsidTr="00B817ED">
        <w:tc>
          <w:tcPr>
            <w:tcW w:w="454" w:type="dxa"/>
            <w:shd w:val="clear" w:color="auto" w:fill="auto"/>
            <w:tcMar>
              <w:top w:w="28" w:type="dxa"/>
              <w:left w:w="28" w:type="dxa"/>
              <w:bottom w:w="28" w:type="dxa"/>
              <w:right w:w="28" w:type="dxa"/>
            </w:tcMar>
          </w:tcPr>
          <w:p w:rsidR="008F6543" w:rsidRPr="00222917" w:rsidRDefault="008F6543" w:rsidP="000E6F57">
            <w:pPr>
              <w:suppressAutoHyphens w:val="0"/>
              <w:snapToGrid w:val="0"/>
              <w:spacing w:before="40" w:after="40" w:line="200" w:lineRule="exact"/>
              <w:rPr>
                <w:sz w:val="16"/>
                <w:szCs w:val="16"/>
                <w:lang w:val="en-US"/>
              </w:rPr>
            </w:pPr>
            <w:r w:rsidRPr="00222917">
              <w:rPr>
                <w:sz w:val="16"/>
                <w:szCs w:val="16"/>
                <w:lang w:val="en-US"/>
              </w:rPr>
              <w:t>2009</w:t>
            </w:r>
          </w:p>
        </w:tc>
        <w:tc>
          <w:tcPr>
            <w:tcW w:w="680" w:type="dxa"/>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46</w:t>
            </w:r>
          </w:p>
        </w:tc>
        <w:tc>
          <w:tcPr>
            <w:tcW w:w="851" w:type="dxa"/>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0</w:t>
            </w:r>
          </w:p>
        </w:tc>
        <w:tc>
          <w:tcPr>
            <w:tcW w:w="851" w:type="dxa"/>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0</w:t>
            </w:r>
          </w:p>
        </w:tc>
        <w:tc>
          <w:tcPr>
            <w:tcW w:w="851" w:type="dxa"/>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8</w:t>
            </w:r>
          </w:p>
        </w:tc>
        <w:tc>
          <w:tcPr>
            <w:tcW w:w="964" w:type="dxa"/>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0</w:t>
            </w:r>
          </w:p>
        </w:tc>
        <w:tc>
          <w:tcPr>
            <w:tcW w:w="851" w:type="dxa"/>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12</w:t>
            </w:r>
          </w:p>
        </w:tc>
        <w:tc>
          <w:tcPr>
            <w:tcW w:w="851" w:type="dxa"/>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1</w:t>
            </w:r>
          </w:p>
        </w:tc>
        <w:tc>
          <w:tcPr>
            <w:tcW w:w="851" w:type="dxa"/>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18</w:t>
            </w:r>
          </w:p>
        </w:tc>
        <w:tc>
          <w:tcPr>
            <w:tcW w:w="964" w:type="dxa"/>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0</w:t>
            </w:r>
          </w:p>
        </w:tc>
        <w:tc>
          <w:tcPr>
            <w:tcW w:w="737" w:type="dxa"/>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3</w:t>
            </w:r>
          </w:p>
        </w:tc>
        <w:tc>
          <w:tcPr>
            <w:tcW w:w="737" w:type="dxa"/>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4</w:t>
            </w:r>
          </w:p>
        </w:tc>
      </w:tr>
      <w:tr w:rsidR="00B817ED" w:rsidRPr="00222917" w:rsidTr="00B817ED">
        <w:tc>
          <w:tcPr>
            <w:tcW w:w="454" w:type="dxa"/>
            <w:tcBorders>
              <w:bottom w:val="single" w:sz="12" w:space="0" w:color="auto"/>
            </w:tcBorders>
            <w:shd w:val="clear" w:color="auto" w:fill="auto"/>
            <w:tcMar>
              <w:top w:w="28" w:type="dxa"/>
              <w:left w:w="28" w:type="dxa"/>
              <w:bottom w:w="28" w:type="dxa"/>
              <w:right w:w="28" w:type="dxa"/>
            </w:tcMar>
          </w:tcPr>
          <w:p w:rsidR="008F6543" w:rsidRPr="00222917" w:rsidRDefault="008F6543" w:rsidP="000E6F57">
            <w:pPr>
              <w:suppressAutoHyphens w:val="0"/>
              <w:snapToGrid w:val="0"/>
              <w:spacing w:before="40" w:after="40" w:line="200" w:lineRule="exact"/>
              <w:rPr>
                <w:sz w:val="16"/>
                <w:szCs w:val="16"/>
                <w:lang w:val="en-US"/>
              </w:rPr>
            </w:pPr>
            <w:r w:rsidRPr="00222917">
              <w:rPr>
                <w:sz w:val="16"/>
                <w:szCs w:val="16"/>
                <w:lang w:val="en-US"/>
              </w:rPr>
              <w:t>2010</w:t>
            </w:r>
          </w:p>
        </w:tc>
        <w:tc>
          <w:tcPr>
            <w:tcW w:w="680" w:type="dxa"/>
            <w:tcBorders>
              <w:bottom w:val="single" w:sz="12" w:space="0" w:color="auto"/>
            </w:tcBorders>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10</w:t>
            </w:r>
          </w:p>
        </w:tc>
        <w:tc>
          <w:tcPr>
            <w:tcW w:w="851" w:type="dxa"/>
            <w:tcBorders>
              <w:bottom w:val="single" w:sz="12" w:space="0" w:color="auto"/>
            </w:tcBorders>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0</w:t>
            </w:r>
          </w:p>
        </w:tc>
        <w:tc>
          <w:tcPr>
            <w:tcW w:w="851" w:type="dxa"/>
            <w:tcBorders>
              <w:bottom w:val="single" w:sz="12" w:space="0" w:color="auto"/>
            </w:tcBorders>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0</w:t>
            </w:r>
          </w:p>
        </w:tc>
        <w:tc>
          <w:tcPr>
            <w:tcW w:w="851" w:type="dxa"/>
            <w:tcBorders>
              <w:bottom w:val="single" w:sz="12" w:space="0" w:color="auto"/>
            </w:tcBorders>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15</w:t>
            </w:r>
          </w:p>
        </w:tc>
        <w:tc>
          <w:tcPr>
            <w:tcW w:w="964" w:type="dxa"/>
            <w:tcBorders>
              <w:bottom w:val="single" w:sz="12" w:space="0" w:color="auto"/>
            </w:tcBorders>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0</w:t>
            </w:r>
          </w:p>
        </w:tc>
        <w:tc>
          <w:tcPr>
            <w:tcW w:w="851" w:type="dxa"/>
            <w:tcBorders>
              <w:bottom w:val="single" w:sz="12" w:space="0" w:color="auto"/>
            </w:tcBorders>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3</w:t>
            </w:r>
          </w:p>
        </w:tc>
        <w:tc>
          <w:tcPr>
            <w:tcW w:w="851" w:type="dxa"/>
            <w:tcBorders>
              <w:bottom w:val="single" w:sz="12" w:space="0" w:color="auto"/>
            </w:tcBorders>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1</w:t>
            </w:r>
          </w:p>
        </w:tc>
        <w:tc>
          <w:tcPr>
            <w:tcW w:w="851" w:type="dxa"/>
            <w:tcBorders>
              <w:bottom w:val="single" w:sz="12" w:space="0" w:color="auto"/>
            </w:tcBorders>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13</w:t>
            </w:r>
          </w:p>
        </w:tc>
        <w:tc>
          <w:tcPr>
            <w:tcW w:w="964" w:type="dxa"/>
            <w:tcBorders>
              <w:bottom w:val="single" w:sz="12" w:space="0" w:color="auto"/>
            </w:tcBorders>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3</w:t>
            </w:r>
          </w:p>
        </w:tc>
        <w:tc>
          <w:tcPr>
            <w:tcW w:w="737" w:type="dxa"/>
            <w:tcBorders>
              <w:bottom w:val="single" w:sz="12" w:space="0" w:color="auto"/>
            </w:tcBorders>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2</w:t>
            </w:r>
          </w:p>
        </w:tc>
        <w:tc>
          <w:tcPr>
            <w:tcW w:w="737" w:type="dxa"/>
            <w:tcBorders>
              <w:bottom w:val="single" w:sz="12" w:space="0" w:color="auto"/>
            </w:tcBorders>
            <w:shd w:val="clear" w:color="auto" w:fill="auto"/>
            <w:tcMar>
              <w:top w:w="28" w:type="dxa"/>
              <w:left w:w="28" w:type="dxa"/>
              <w:bottom w:w="28" w:type="dxa"/>
              <w:right w:w="28" w:type="dxa"/>
            </w:tcMar>
            <w:vAlign w:val="bottom"/>
          </w:tcPr>
          <w:p w:rsidR="008F6543" w:rsidRPr="00222917" w:rsidRDefault="008F6543" w:rsidP="000E6F57">
            <w:pPr>
              <w:suppressAutoHyphens w:val="0"/>
              <w:snapToGrid w:val="0"/>
              <w:spacing w:before="40" w:after="40" w:line="200" w:lineRule="exact"/>
              <w:jc w:val="right"/>
              <w:rPr>
                <w:sz w:val="16"/>
                <w:szCs w:val="16"/>
                <w:lang w:val="en-US"/>
              </w:rPr>
            </w:pPr>
            <w:r w:rsidRPr="00222917">
              <w:rPr>
                <w:sz w:val="16"/>
                <w:szCs w:val="16"/>
                <w:lang w:val="en-US"/>
              </w:rPr>
              <w:t>3</w:t>
            </w:r>
          </w:p>
        </w:tc>
      </w:tr>
    </w:tbl>
    <w:p w:rsidR="002D5BB0" w:rsidRPr="00222917" w:rsidRDefault="00794B5A" w:rsidP="00794B5A">
      <w:pPr>
        <w:pStyle w:val="H23G"/>
        <w:rPr>
          <w:lang w:val="en-US"/>
        </w:rPr>
      </w:pPr>
      <w:bookmarkStart w:id="195" w:name="_Toc307504119"/>
      <w:bookmarkStart w:id="196" w:name="_Toc336435891"/>
      <w:r w:rsidRPr="00222917">
        <w:rPr>
          <w:lang w:val="en-US"/>
        </w:rPr>
        <w:tab/>
      </w:r>
      <w:r w:rsidRPr="00222917">
        <w:rPr>
          <w:lang w:val="en-US"/>
        </w:rPr>
        <w:tab/>
      </w:r>
      <w:r w:rsidR="002D5BB0" w:rsidRPr="00222917">
        <w:rPr>
          <w:lang w:val="en-US"/>
        </w:rPr>
        <w:t>Protection of Information on Victims and Witnesses during Investigations</w:t>
      </w:r>
      <w:bookmarkEnd w:id="195"/>
      <w:bookmarkEnd w:id="196"/>
    </w:p>
    <w:p w:rsidR="002D5BB0" w:rsidRPr="00222917" w:rsidRDefault="00547908" w:rsidP="00547908">
      <w:pPr>
        <w:pStyle w:val="SingleTxtG"/>
        <w:rPr>
          <w:lang w:val="en-US"/>
        </w:rPr>
      </w:pPr>
      <w:r w:rsidRPr="00222917">
        <w:rPr>
          <w:lang w:val="en-US"/>
        </w:rPr>
        <w:t>250.</w:t>
      </w:r>
      <w:r w:rsidRPr="00222917">
        <w:rPr>
          <w:lang w:val="en-US"/>
        </w:rPr>
        <w:tab/>
      </w:r>
      <w:r w:rsidR="002D5BB0" w:rsidRPr="00222917">
        <w:rPr>
          <w:lang w:val="en-US"/>
        </w:rPr>
        <w:t>Crime victims are likely to sustain secondary damages due to inappropriate actions such as divulgence of personal information during criminal proceedings including investigations or trials in addition to direct damages due to crimes. For this reason, on 31</w:t>
      </w:r>
      <w:r w:rsidR="00900CB6" w:rsidRPr="00222917">
        <w:rPr>
          <w:lang w:val="en-US"/>
        </w:rPr>
        <w:t> </w:t>
      </w:r>
      <w:r w:rsidR="002D5BB0" w:rsidRPr="00222917">
        <w:rPr>
          <w:lang w:val="en-US"/>
        </w:rPr>
        <w:t xml:space="preserve">August 1999, the </w:t>
      </w:r>
      <w:r w:rsidR="002D5BB0" w:rsidRPr="000850F5">
        <w:rPr>
          <w:iCs/>
          <w:lang w:val="en-US"/>
        </w:rPr>
        <w:t>Act on Protection of Specific Crime Informants, etc</w:t>
      </w:r>
      <w:r w:rsidR="002D5BB0" w:rsidRPr="00222917">
        <w:rPr>
          <w:lang w:val="en-US"/>
        </w:rPr>
        <w:t>. was enacted to protect the reputation and ensure the safety of crime victims, informants, and witnesses. Under the Act, where an investigation agency deems crime informants or their relatives to be at risk of retaliation, relevant documentation may mention the reasons and omit their personal information (</w:t>
      </w:r>
      <w:r w:rsidR="00BF3911" w:rsidRPr="00222917">
        <w:rPr>
          <w:lang w:val="en-US"/>
        </w:rPr>
        <w:t>a</w:t>
      </w:r>
      <w:r w:rsidR="002D5BB0" w:rsidRPr="00222917">
        <w:rPr>
          <w:lang w:val="en-US"/>
        </w:rPr>
        <w:t>rticl</w:t>
      </w:r>
      <w:r w:rsidR="00A94611" w:rsidRPr="00222917">
        <w:rPr>
          <w:lang w:val="en-US"/>
        </w:rPr>
        <w:t>e </w:t>
      </w:r>
      <w:r w:rsidR="002D5BB0" w:rsidRPr="00222917">
        <w:rPr>
          <w:lang w:val="en-US"/>
        </w:rPr>
        <w:t xml:space="preserve">7). Furthermore, the Act prohibits an investigation agency from disclosing, publicly announcing, or reporting any personal information of a crime informant or any fact that may permit identification </w:t>
      </w:r>
      <w:r w:rsidR="00A94611" w:rsidRPr="00222917">
        <w:rPr>
          <w:lang w:val="en-US"/>
        </w:rPr>
        <w:t>of the crime informant (</w:t>
      </w:r>
      <w:r w:rsidR="00BF3911" w:rsidRPr="00222917">
        <w:rPr>
          <w:lang w:val="en-US"/>
        </w:rPr>
        <w:t>a</w:t>
      </w:r>
      <w:r w:rsidR="00A94611" w:rsidRPr="00222917">
        <w:rPr>
          <w:lang w:val="en-US"/>
        </w:rPr>
        <w:t>rticle </w:t>
      </w:r>
      <w:r w:rsidR="002D5BB0" w:rsidRPr="00222917">
        <w:rPr>
          <w:lang w:val="en-US"/>
        </w:rPr>
        <w:t xml:space="preserve">8). </w:t>
      </w:r>
    </w:p>
    <w:p w:rsidR="002D5BB0" w:rsidRPr="00222917" w:rsidRDefault="00547908" w:rsidP="00547908">
      <w:pPr>
        <w:pStyle w:val="SingleTxtG"/>
        <w:rPr>
          <w:lang w:val="en-US"/>
        </w:rPr>
      </w:pPr>
      <w:r w:rsidRPr="00222917">
        <w:rPr>
          <w:lang w:val="en-US"/>
        </w:rPr>
        <w:t>251.</w:t>
      </w:r>
      <w:r w:rsidRPr="00222917">
        <w:rPr>
          <w:lang w:val="en-US"/>
        </w:rPr>
        <w:tab/>
      </w:r>
      <w:r w:rsidR="002D5BB0" w:rsidRPr="00222917">
        <w:rPr>
          <w:lang w:val="en-US"/>
        </w:rPr>
        <w:t xml:space="preserve">In order to prevent the identity and personal information of the victim from being divulged, the </w:t>
      </w:r>
      <w:r w:rsidR="002D5BB0" w:rsidRPr="00222917">
        <w:rPr>
          <w:iCs/>
          <w:lang w:val="en-US"/>
        </w:rPr>
        <w:t>Act on Special Cases concerning the</w:t>
      </w:r>
      <w:r w:rsidR="002D5BB0" w:rsidRPr="00222917">
        <w:rPr>
          <w:i/>
          <w:lang w:val="en-US"/>
        </w:rPr>
        <w:t xml:space="preserve"> </w:t>
      </w:r>
      <w:r w:rsidR="002D5BB0" w:rsidRPr="00222917">
        <w:rPr>
          <w:bCs/>
          <w:lang w:val="en-US"/>
        </w:rPr>
        <w:t>Punishment</w:t>
      </w:r>
      <w:r w:rsidR="002D5BB0" w:rsidRPr="00222917">
        <w:rPr>
          <w:i/>
          <w:lang w:val="en-US"/>
        </w:rPr>
        <w:t>,</w:t>
      </w:r>
      <w:r w:rsidR="002D5BB0" w:rsidRPr="00222917">
        <w:rPr>
          <w:iCs/>
          <w:lang w:val="en-US"/>
        </w:rPr>
        <w:t xml:space="preserve"> etc. of Victims of Sexual Crimes</w:t>
      </w:r>
      <w:r w:rsidR="002D5BB0" w:rsidRPr="00222917">
        <w:rPr>
          <w:lang w:val="en-US"/>
        </w:rPr>
        <w:t xml:space="preserve"> stipulates that any public official who is responsible for or involved in the investigation or trial of a sexual crime should not disclose, or divulge to other persons, the address, name, age, occupation, appearance, photos, or other personal information that may </w:t>
      </w:r>
      <w:r w:rsidR="00A94611" w:rsidRPr="00222917">
        <w:rPr>
          <w:lang w:val="en-US"/>
        </w:rPr>
        <w:t>help identify a victim (</w:t>
      </w:r>
      <w:r w:rsidR="00BF3911" w:rsidRPr="00222917">
        <w:rPr>
          <w:lang w:val="en-US"/>
        </w:rPr>
        <w:t>a</w:t>
      </w:r>
      <w:r w:rsidR="00A94611" w:rsidRPr="00222917">
        <w:rPr>
          <w:lang w:val="en-US"/>
        </w:rPr>
        <w:t>rticle </w:t>
      </w:r>
      <w:r w:rsidR="002D5BB0" w:rsidRPr="00222917">
        <w:rPr>
          <w:lang w:val="en-US"/>
        </w:rPr>
        <w:t xml:space="preserve">22). The </w:t>
      </w:r>
      <w:r w:rsidR="002D5BB0" w:rsidRPr="00222917">
        <w:rPr>
          <w:iCs/>
          <w:lang w:val="en-US"/>
        </w:rPr>
        <w:t xml:space="preserve">Act on the Protection of Children and Juveniles from Sexual Abuse </w:t>
      </w:r>
      <w:r w:rsidR="002D5BB0" w:rsidRPr="00222917">
        <w:rPr>
          <w:lang w:val="en-US"/>
        </w:rPr>
        <w:t>sets fo</w:t>
      </w:r>
      <w:r w:rsidR="00A94611" w:rsidRPr="00222917">
        <w:rPr>
          <w:lang w:val="en-US"/>
        </w:rPr>
        <w:t>rth the same provision (</w:t>
      </w:r>
      <w:r w:rsidR="00BF3911" w:rsidRPr="00222917">
        <w:rPr>
          <w:lang w:val="en-US"/>
        </w:rPr>
        <w:t>a</w:t>
      </w:r>
      <w:r w:rsidR="00A94611" w:rsidRPr="00222917">
        <w:rPr>
          <w:lang w:val="en-US"/>
        </w:rPr>
        <w:t>rticle </w:t>
      </w:r>
      <w:r w:rsidR="002D5BB0" w:rsidRPr="00222917">
        <w:rPr>
          <w:lang w:val="en-US"/>
        </w:rPr>
        <w:t xml:space="preserve">19). </w:t>
      </w:r>
    </w:p>
    <w:p w:rsidR="002D5BB0" w:rsidRPr="00222917" w:rsidRDefault="00794B5A" w:rsidP="00794B5A">
      <w:pPr>
        <w:pStyle w:val="H23G"/>
        <w:rPr>
          <w:lang w:val="en-US"/>
        </w:rPr>
      </w:pPr>
      <w:bookmarkStart w:id="197" w:name="_Toc307504120"/>
      <w:bookmarkStart w:id="198" w:name="_Toc336435892"/>
      <w:r w:rsidRPr="00222917">
        <w:rPr>
          <w:lang w:val="en-US"/>
        </w:rPr>
        <w:tab/>
      </w:r>
      <w:r w:rsidRPr="00222917">
        <w:rPr>
          <w:lang w:val="en-US"/>
        </w:rPr>
        <w:tab/>
      </w:r>
      <w:r w:rsidR="002D5BB0" w:rsidRPr="00222917">
        <w:rPr>
          <w:lang w:val="en-US"/>
        </w:rPr>
        <w:t xml:space="preserve">Enactment and Amendment of the Act on the Protection, Use, </w:t>
      </w:r>
      <w:r w:rsidRPr="00222917">
        <w:rPr>
          <w:lang w:val="en-US"/>
        </w:rPr>
        <w:br/>
      </w:r>
      <w:r w:rsidR="002D5BB0" w:rsidRPr="00222917">
        <w:rPr>
          <w:lang w:val="en-US"/>
        </w:rPr>
        <w:t>etc. of Location Information</w:t>
      </w:r>
      <w:bookmarkEnd w:id="197"/>
      <w:bookmarkEnd w:id="198"/>
    </w:p>
    <w:p w:rsidR="002D5BB0" w:rsidRPr="00222917" w:rsidRDefault="00547908" w:rsidP="00547908">
      <w:pPr>
        <w:pStyle w:val="SingleTxtG"/>
        <w:rPr>
          <w:lang w:val="en-US"/>
        </w:rPr>
      </w:pPr>
      <w:r w:rsidRPr="00222917">
        <w:rPr>
          <w:lang w:val="en-US"/>
        </w:rPr>
        <w:t>252.</w:t>
      </w:r>
      <w:r w:rsidRPr="00222917">
        <w:rPr>
          <w:lang w:val="en-US"/>
        </w:rPr>
        <w:tab/>
      </w:r>
      <w:r w:rsidR="002D5BB0" w:rsidRPr="00222917">
        <w:rPr>
          <w:lang w:val="en-US"/>
        </w:rPr>
        <w:t xml:space="preserve">On 27 January 2005, the </w:t>
      </w:r>
      <w:r w:rsidR="002D5BB0" w:rsidRPr="000850F5">
        <w:rPr>
          <w:iCs/>
          <w:lang w:val="en-US"/>
        </w:rPr>
        <w:t xml:space="preserve">Act on the Protection, Use, etc. of Location Information </w:t>
      </w:r>
      <w:r w:rsidR="002D5BB0" w:rsidRPr="00222917">
        <w:rPr>
          <w:lang w:val="en-US"/>
        </w:rPr>
        <w:t xml:space="preserve">was enacted to protect the right to privacy against leakage, abuse, and misuse of location information and to vitalize the use of location information by creating a safe environment for its use, thereby contributing to the improvement of the quality of life for the people and promotion of general welfare. The Act contains provisions concerning prohibition against the gathering of location information, protective measures thereof, procedures of use and provision of personal location information and restrictions thereon, rights of the principal person of location information, and use of location information for emergency relief, etc. </w:t>
      </w:r>
    </w:p>
    <w:p w:rsidR="002D5BB0" w:rsidRPr="00222917" w:rsidRDefault="00794B5A" w:rsidP="00794B5A">
      <w:pPr>
        <w:pStyle w:val="H23G"/>
        <w:rPr>
          <w:b w:val="0"/>
          <w:sz w:val="16"/>
          <w:szCs w:val="16"/>
          <w:lang w:val="en-US"/>
        </w:rPr>
      </w:pPr>
      <w:r w:rsidRPr="00222917">
        <w:rPr>
          <w:lang w:val="en-US"/>
        </w:rPr>
        <w:tab/>
      </w:r>
      <w:r w:rsidRPr="00222917">
        <w:rPr>
          <w:lang w:val="en-US"/>
        </w:rPr>
        <w:tab/>
      </w:r>
      <w:r w:rsidR="002D5BB0" w:rsidRPr="00222917">
        <w:rPr>
          <w:lang w:val="en-US"/>
        </w:rPr>
        <w:t>Emergency Relief Agency’s Inquiry into Location Information for Relief Efforts</w:t>
      </w:r>
      <w:r w:rsidRPr="00222917">
        <w:rPr>
          <w:lang w:val="en-US"/>
        </w:rPr>
        <w:br/>
      </w:r>
      <w:r w:rsidR="002D5BB0" w:rsidRPr="00222917">
        <w:rPr>
          <w:b w:val="0"/>
          <w:sz w:val="16"/>
          <w:szCs w:val="16"/>
          <w:lang w:val="en-US"/>
        </w:rPr>
        <w:t>(In persons)</w:t>
      </w:r>
    </w:p>
    <w:tbl>
      <w:tblPr>
        <w:tblW w:w="0" w:type="auto"/>
        <w:tblInd w:w="1134" w:type="dxa"/>
        <w:tblBorders>
          <w:top w:val="single" w:sz="4" w:space="0" w:color="auto"/>
        </w:tblBorders>
        <w:tblLayout w:type="fixed"/>
        <w:tblCellMar>
          <w:left w:w="0" w:type="dxa"/>
          <w:right w:w="0" w:type="dxa"/>
        </w:tblCellMar>
        <w:tblLook w:val="00A0"/>
      </w:tblPr>
      <w:tblGrid>
        <w:gridCol w:w="1701"/>
        <w:gridCol w:w="1428"/>
        <w:gridCol w:w="1429"/>
        <w:gridCol w:w="1429"/>
        <w:gridCol w:w="1429"/>
      </w:tblGrid>
      <w:tr w:rsidR="008F6543" w:rsidRPr="00222917" w:rsidTr="00A727C1">
        <w:trPr>
          <w:tblHeader/>
        </w:trPr>
        <w:tc>
          <w:tcPr>
            <w:tcW w:w="1701"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D5BB0" w:rsidRPr="00222917" w:rsidRDefault="002D5BB0" w:rsidP="00900CB6">
            <w:pPr>
              <w:pStyle w:val="SingleTxtG"/>
              <w:suppressAutoHyphens w:val="0"/>
              <w:spacing w:before="80" w:after="80" w:line="200" w:lineRule="exact"/>
              <w:ind w:left="0" w:right="0"/>
              <w:jc w:val="left"/>
              <w:rPr>
                <w:i/>
                <w:sz w:val="16"/>
                <w:lang w:val="en-US"/>
              </w:rPr>
            </w:pPr>
            <w:r w:rsidRPr="00222917">
              <w:rPr>
                <w:bCs/>
                <w:i/>
                <w:sz w:val="16"/>
                <w:lang w:val="en-US"/>
              </w:rPr>
              <w:t>Description</w:t>
            </w:r>
          </w:p>
        </w:tc>
        <w:tc>
          <w:tcPr>
            <w:tcW w:w="142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D5BB0" w:rsidRPr="00222917" w:rsidRDefault="002D5BB0" w:rsidP="00900CB6">
            <w:pPr>
              <w:pStyle w:val="SingleTxtG"/>
              <w:suppressAutoHyphens w:val="0"/>
              <w:spacing w:before="80" w:after="80" w:line="200" w:lineRule="exact"/>
              <w:ind w:left="0" w:right="0"/>
              <w:jc w:val="right"/>
              <w:rPr>
                <w:i/>
                <w:sz w:val="16"/>
                <w:lang w:val="en-US"/>
              </w:rPr>
            </w:pPr>
            <w:r w:rsidRPr="00222917">
              <w:rPr>
                <w:bCs/>
                <w:i/>
                <w:sz w:val="16"/>
                <w:lang w:val="en-US"/>
              </w:rPr>
              <w:t>2007</w:t>
            </w:r>
          </w:p>
        </w:tc>
        <w:tc>
          <w:tcPr>
            <w:tcW w:w="1429"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D5BB0" w:rsidRPr="00222917" w:rsidRDefault="002D5BB0" w:rsidP="00900CB6">
            <w:pPr>
              <w:pStyle w:val="SingleTxtG"/>
              <w:suppressAutoHyphens w:val="0"/>
              <w:spacing w:before="80" w:after="80" w:line="200" w:lineRule="exact"/>
              <w:ind w:left="0" w:right="0"/>
              <w:jc w:val="right"/>
              <w:rPr>
                <w:i/>
                <w:sz w:val="16"/>
                <w:lang w:val="en-US"/>
              </w:rPr>
            </w:pPr>
            <w:r w:rsidRPr="00222917">
              <w:rPr>
                <w:bCs/>
                <w:i/>
                <w:sz w:val="16"/>
                <w:lang w:val="en-US"/>
              </w:rPr>
              <w:t>2008</w:t>
            </w:r>
          </w:p>
        </w:tc>
        <w:tc>
          <w:tcPr>
            <w:tcW w:w="1429"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D5BB0" w:rsidRPr="00222917" w:rsidRDefault="002D5BB0" w:rsidP="00900CB6">
            <w:pPr>
              <w:pStyle w:val="SingleTxtG"/>
              <w:suppressAutoHyphens w:val="0"/>
              <w:spacing w:before="80" w:after="80" w:line="200" w:lineRule="exact"/>
              <w:ind w:left="0" w:right="0"/>
              <w:jc w:val="right"/>
              <w:rPr>
                <w:i/>
                <w:sz w:val="16"/>
                <w:lang w:val="en-US"/>
              </w:rPr>
            </w:pPr>
            <w:r w:rsidRPr="00222917">
              <w:rPr>
                <w:i/>
                <w:sz w:val="16"/>
                <w:lang w:val="en-US"/>
              </w:rPr>
              <w:t>2009</w:t>
            </w:r>
          </w:p>
        </w:tc>
        <w:tc>
          <w:tcPr>
            <w:tcW w:w="1429"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D5BB0" w:rsidRPr="00222917" w:rsidRDefault="002D5BB0" w:rsidP="00900CB6">
            <w:pPr>
              <w:pStyle w:val="SingleTxtG"/>
              <w:suppressAutoHyphens w:val="0"/>
              <w:spacing w:before="80" w:after="80" w:line="200" w:lineRule="exact"/>
              <w:ind w:left="0" w:right="0"/>
              <w:jc w:val="right"/>
              <w:rPr>
                <w:i/>
                <w:sz w:val="16"/>
                <w:lang w:val="en-US"/>
              </w:rPr>
            </w:pPr>
            <w:r w:rsidRPr="00222917">
              <w:rPr>
                <w:i/>
                <w:sz w:val="16"/>
                <w:lang w:val="en-US"/>
              </w:rPr>
              <w:t>2010</w:t>
            </w:r>
          </w:p>
        </w:tc>
      </w:tr>
      <w:tr w:rsidR="008F6543" w:rsidRPr="00222917" w:rsidTr="00A727C1">
        <w:tc>
          <w:tcPr>
            <w:tcW w:w="1701" w:type="dxa"/>
            <w:tcBorders>
              <w:top w:val="single" w:sz="12" w:space="0" w:color="auto"/>
            </w:tcBorders>
            <w:shd w:val="clear" w:color="auto" w:fill="auto"/>
            <w:tcMar>
              <w:top w:w="0" w:type="dxa"/>
              <w:left w:w="0" w:type="dxa"/>
              <w:bottom w:w="0" w:type="dxa"/>
              <w:right w:w="0" w:type="dxa"/>
            </w:tcMar>
          </w:tcPr>
          <w:p w:rsidR="002D5BB0" w:rsidRPr="00222917" w:rsidRDefault="002D5BB0" w:rsidP="00900CB6">
            <w:pPr>
              <w:pStyle w:val="SingleTxtG"/>
              <w:suppressAutoHyphens w:val="0"/>
              <w:spacing w:before="40" w:after="40" w:line="220" w:lineRule="exact"/>
              <w:ind w:left="0" w:right="0"/>
              <w:jc w:val="left"/>
              <w:rPr>
                <w:sz w:val="18"/>
                <w:lang w:val="en-US"/>
              </w:rPr>
            </w:pPr>
            <w:r w:rsidRPr="00222917">
              <w:rPr>
                <w:sz w:val="18"/>
                <w:lang w:val="en-US"/>
              </w:rPr>
              <w:t>National Emergency Management Agency</w:t>
            </w:r>
          </w:p>
        </w:tc>
        <w:tc>
          <w:tcPr>
            <w:tcW w:w="1428" w:type="dxa"/>
            <w:tcBorders>
              <w:top w:val="single" w:sz="12" w:space="0" w:color="auto"/>
            </w:tcBorders>
            <w:shd w:val="clear" w:color="auto" w:fill="auto"/>
            <w:tcMar>
              <w:top w:w="0" w:type="dxa"/>
              <w:left w:w="0" w:type="dxa"/>
              <w:bottom w:w="0" w:type="dxa"/>
              <w:right w:w="0" w:type="dxa"/>
            </w:tcMar>
            <w:vAlign w:val="bottom"/>
          </w:tcPr>
          <w:p w:rsidR="002D5BB0" w:rsidRPr="00222917" w:rsidRDefault="002D5BB0" w:rsidP="00900CB6">
            <w:pPr>
              <w:pStyle w:val="SingleTxtG"/>
              <w:suppressAutoHyphens w:val="0"/>
              <w:spacing w:before="40" w:after="40" w:line="220" w:lineRule="exact"/>
              <w:ind w:left="0" w:right="0"/>
              <w:jc w:val="right"/>
              <w:rPr>
                <w:sz w:val="18"/>
                <w:lang w:val="en-US"/>
              </w:rPr>
            </w:pPr>
            <w:r w:rsidRPr="00222917">
              <w:rPr>
                <w:sz w:val="18"/>
                <w:lang w:val="en-US"/>
              </w:rPr>
              <w:t>3,668,521</w:t>
            </w:r>
          </w:p>
        </w:tc>
        <w:tc>
          <w:tcPr>
            <w:tcW w:w="1429" w:type="dxa"/>
            <w:tcBorders>
              <w:top w:val="single" w:sz="12" w:space="0" w:color="auto"/>
            </w:tcBorders>
            <w:shd w:val="clear" w:color="auto" w:fill="auto"/>
            <w:tcMar>
              <w:top w:w="0" w:type="dxa"/>
              <w:left w:w="0" w:type="dxa"/>
              <w:bottom w:w="0" w:type="dxa"/>
              <w:right w:w="0" w:type="dxa"/>
            </w:tcMar>
            <w:vAlign w:val="bottom"/>
          </w:tcPr>
          <w:p w:rsidR="002D5BB0" w:rsidRPr="00222917" w:rsidRDefault="002D5BB0" w:rsidP="00900CB6">
            <w:pPr>
              <w:pStyle w:val="SingleTxtG"/>
              <w:suppressAutoHyphens w:val="0"/>
              <w:spacing w:before="40" w:after="40" w:line="220" w:lineRule="exact"/>
              <w:ind w:left="0" w:right="0"/>
              <w:jc w:val="right"/>
              <w:rPr>
                <w:sz w:val="18"/>
                <w:lang w:val="en-US"/>
              </w:rPr>
            </w:pPr>
            <w:r w:rsidRPr="00222917">
              <w:rPr>
                <w:sz w:val="18"/>
                <w:lang w:val="en-US"/>
              </w:rPr>
              <w:t>6,843,277</w:t>
            </w:r>
          </w:p>
        </w:tc>
        <w:tc>
          <w:tcPr>
            <w:tcW w:w="1429" w:type="dxa"/>
            <w:tcBorders>
              <w:top w:val="single" w:sz="12" w:space="0" w:color="auto"/>
            </w:tcBorders>
            <w:shd w:val="clear" w:color="auto" w:fill="auto"/>
            <w:tcMar>
              <w:top w:w="0" w:type="dxa"/>
              <w:left w:w="0" w:type="dxa"/>
              <w:bottom w:w="0" w:type="dxa"/>
              <w:right w:w="0" w:type="dxa"/>
            </w:tcMar>
            <w:vAlign w:val="bottom"/>
          </w:tcPr>
          <w:p w:rsidR="002D5BB0" w:rsidRPr="00222917" w:rsidRDefault="002D5BB0" w:rsidP="00900CB6">
            <w:pPr>
              <w:pStyle w:val="SingleTxtG"/>
              <w:suppressAutoHyphens w:val="0"/>
              <w:spacing w:before="40" w:after="40" w:line="220" w:lineRule="exact"/>
              <w:ind w:left="0" w:right="0"/>
              <w:jc w:val="right"/>
              <w:rPr>
                <w:sz w:val="18"/>
                <w:lang w:val="en-US"/>
              </w:rPr>
            </w:pPr>
            <w:r w:rsidRPr="00222917">
              <w:rPr>
                <w:sz w:val="18"/>
                <w:lang w:val="en-US"/>
              </w:rPr>
              <w:t>6,293,527</w:t>
            </w:r>
          </w:p>
        </w:tc>
        <w:tc>
          <w:tcPr>
            <w:tcW w:w="1429" w:type="dxa"/>
            <w:tcBorders>
              <w:top w:val="single" w:sz="12" w:space="0" w:color="auto"/>
            </w:tcBorders>
            <w:shd w:val="clear" w:color="auto" w:fill="auto"/>
            <w:tcMar>
              <w:top w:w="0" w:type="dxa"/>
              <w:left w:w="0" w:type="dxa"/>
              <w:bottom w:w="0" w:type="dxa"/>
              <w:right w:w="0" w:type="dxa"/>
            </w:tcMar>
            <w:vAlign w:val="bottom"/>
          </w:tcPr>
          <w:p w:rsidR="002D5BB0" w:rsidRPr="00222917" w:rsidRDefault="002D5BB0" w:rsidP="00900CB6">
            <w:pPr>
              <w:pStyle w:val="SingleTxtG"/>
              <w:suppressAutoHyphens w:val="0"/>
              <w:spacing w:before="40" w:after="40" w:line="220" w:lineRule="exact"/>
              <w:ind w:left="0" w:right="0"/>
              <w:jc w:val="right"/>
              <w:rPr>
                <w:sz w:val="18"/>
                <w:lang w:val="en-US"/>
              </w:rPr>
            </w:pPr>
            <w:r w:rsidRPr="00222917">
              <w:rPr>
                <w:sz w:val="18"/>
                <w:lang w:val="en-US"/>
              </w:rPr>
              <w:t>7,892,689</w:t>
            </w:r>
          </w:p>
        </w:tc>
      </w:tr>
      <w:tr w:rsidR="008F6543" w:rsidRPr="00222917" w:rsidTr="00A727C1">
        <w:tc>
          <w:tcPr>
            <w:tcW w:w="1701" w:type="dxa"/>
            <w:shd w:val="clear" w:color="auto" w:fill="auto"/>
            <w:tcMar>
              <w:top w:w="0" w:type="dxa"/>
              <w:left w:w="0" w:type="dxa"/>
              <w:bottom w:w="0" w:type="dxa"/>
              <w:right w:w="0" w:type="dxa"/>
            </w:tcMar>
          </w:tcPr>
          <w:p w:rsidR="002D5BB0" w:rsidRPr="00222917" w:rsidRDefault="002D5BB0" w:rsidP="00900CB6">
            <w:pPr>
              <w:pStyle w:val="SingleTxtG"/>
              <w:suppressAutoHyphens w:val="0"/>
              <w:spacing w:before="40" w:after="40" w:line="220" w:lineRule="exact"/>
              <w:ind w:left="0" w:right="0"/>
              <w:jc w:val="left"/>
              <w:rPr>
                <w:sz w:val="18"/>
                <w:lang w:val="en-US"/>
              </w:rPr>
            </w:pPr>
            <w:smartTag w:uri="urn:schemas-microsoft-com:office:smarttags" w:element="place">
              <w:smartTag w:uri="urn:schemas-microsoft-com:office:smarttags" w:element="country-region">
                <w:r w:rsidRPr="00222917">
                  <w:rPr>
                    <w:sz w:val="18"/>
                    <w:lang w:val="en-US"/>
                  </w:rPr>
                  <w:t>Korea</w:t>
                </w:r>
              </w:smartTag>
            </w:smartTag>
            <w:r w:rsidRPr="00222917">
              <w:rPr>
                <w:sz w:val="18"/>
                <w:lang w:val="en-US"/>
              </w:rPr>
              <w:t xml:space="preserve"> Coast Guard</w:t>
            </w:r>
          </w:p>
        </w:tc>
        <w:tc>
          <w:tcPr>
            <w:tcW w:w="1428" w:type="dxa"/>
            <w:shd w:val="clear" w:color="auto" w:fill="auto"/>
            <w:tcMar>
              <w:top w:w="0" w:type="dxa"/>
              <w:left w:w="0" w:type="dxa"/>
              <w:bottom w:w="0" w:type="dxa"/>
              <w:right w:w="0" w:type="dxa"/>
            </w:tcMar>
            <w:vAlign w:val="bottom"/>
          </w:tcPr>
          <w:p w:rsidR="002D5BB0" w:rsidRPr="00222917" w:rsidRDefault="002D5BB0" w:rsidP="00900CB6">
            <w:pPr>
              <w:pStyle w:val="SingleTxtG"/>
              <w:suppressAutoHyphens w:val="0"/>
              <w:spacing w:before="40" w:after="40" w:line="220" w:lineRule="exact"/>
              <w:ind w:left="0" w:right="0"/>
              <w:jc w:val="right"/>
              <w:rPr>
                <w:sz w:val="18"/>
                <w:lang w:val="en-US"/>
              </w:rPr>
            </w:pPr>
            <w:r w:rsidRPr="00222917">
              <w:rPr>
                <w:sz w:val="18"/>
                <w:lang w:val="en-US"/>
              </w:rPr>
              <w:t>4,141</w:t>
            </w:r>
          </w:p>
        </w:tc>
        <w:tc>
          <w:tcPr>
            <w:tcW w:w="1429" w:type="dxa"/>
            <w:shd w:val="clear" w:color="auto" w:fill="auto"/>
            <w:tcMar>
              <w:top w:w="0" w:type="dxa"/>
              <w:left w:w="0" w:type="dxa"/>
              <w:bottom w:w="0" w:type="dxa"/>
              <w:right w:w="0" w:type="dxa"/>
            </w:tcMar>
            <w:vAlign w:val="bottom"/>
          </w:tcPr>
          <w:p w:rsidR="002D5BB0" w:rsidRPr="00222917" w:rsidRDefault="002D5BB0" w:rsidP="00900CB6">
            <w:pPr>
              <w:pStyle w:val="SingleTxtG"/>
              <w:suppressAutoHyphens w:val="0"/>
              <w:spacing w:before="40" w:after="40" w:line="220" w:lineRule="exact"/>
              <w:ind w:left="0" w:right="0"/>
              <w:jc w:val="right"/>
              <w:rPr>
                <w:sz w:val="18"/>
                <w:lang w:val="en-US"/>
              </w:rPr>
            </w:pPr>
            <w:r w:rsidRPr="00222917">
              <w:rPr>
                <w:sz w:val="18"/>
                <w:lang w:val="en-US"/>
              </w:rPr>
              <w:t>3,970</w:t>
            </w:r>
          </w:p>
        </w:tc>
        <w:tc>
          <w:tcPr>
            <w:tcW w:w="1429" w:type="dxa"/>
            <w:shd w:val="clear" w:color="auto" w:fill="auto"/>
            <w:tcMar>
              <w:top w:w="0" w:type="dxa"/>
              <w:left w:w="0" w:type="dxa"/>
              <w:bottom w:w="0" w:type="dxa"/>
              <w:right w:w="0" w:type="dxa"/>
            </w:tcMar>
            <w:vAlign w:val="bottom"/>
          </w:tcPr>
          <w:p w:rsidR="002D5BB0" w:rsidRPr="00222917" w:rsidRDefault="002D5BB0" w:rsidP="00900CB6">
            <w:pPr>
              <w:pStyle w:val="SingleTxtG"/>
              <w:suppressAutoHyphens w:val="0"/>
              <w:spacing w:before="40" w:after="40" w:line="220" w:lineRule="exact"/>
              <w:ind w:left="0" w:right="0"/>
              <w:jc w:val="right"/>
              <w:rPr>
                <w:sz w:val="18"/>
                <w:lang w:val="en-US"/>
              </w:rPr>
            </w:pPr>
            <w:r w:rsidRPr="00222917">
              <w:rPr>
                <w:sz w:val="18"/>
                <w:lang w:val="en-US"/>
              </w:rPr>
              <w:t>1,485</w:t>
            </w:r>
          </w:p>
        </w:tc>
        <w:tc>
          <w:tcPr>
            <w:tcW w:w="1429" w:type="dxa"/>
            <w:shd w:val="clear" w:color="auto" w:fill="auto"/>
            <w:tcMar>
              <w:top w:w="0" w:type="dxa"/>
              <w:left w:w="0" w:type="dxa"/>
              <w:bottom w:w="0" w:type="dxa"/>
              <w:right w:w="0" w:type="dxa"/>
            </w:tcMar>
            <w:vAlign w:val="bottom"/>
          </w:tcPr>
          <w:p w:rsidR="002D5BB0" w:rsidRPr="00222917" w:rsidRDefault="002D5BB0" w:rsidP="00900CB6">
            <w:pPr>
              <w:pStyle w:val="SingleTxtG"/>
              <w:suppressAutoHyphens w:val="0"/>
              <w:spacing w:before="40" w:after="40" w:line="220" w:lineRule="exact"/>
              <w:ind w:left="0" w:right="0"/>
              <w:jc w:val="right"/>
              <w:rPr>
                <w:sz w:val="18"/>
                <w:lang w:val="en-US"/>
              </w:rPr>
            </w:pPr>
            <w:r w:rsidRPr="00222917">
              <w:rPr>
                <w:sz w:val="18"/>
                <w:lang w:val="en-US"/>
              </w:rPr>
              <w:t>866</w:t>
            </w:r>
          </w:p>
        </w:tc>
      </w:tr>
      <w:tr w:rsidR="008F6543" w:rsidRPr="00222917" w:rsidTr="00A727C1">
        <w:tc>
          <w:tcPr>
            <w:tcW w:w="1701" w:type="dxa"/>
            <w:tcBorders>
              <w:bottom w:val="single" w:sz="12" w:space="0" w:color="auto"/>
            </w:tcBorders>
            <w:shd w:val="clear" w:color="auto" w:fill="auto"/>
            <w:tcMar>
              <w:top w:w="0" w:type="dxa"/>
              <w:left w:w="0" w:type="dxa"/>
              <w:bottom w:w="0" w:type="dxa"/>
              <w:right w:w="0" w:type="dxa"/>
            </w:tcMar>
          </w:tcPr>
          <w:p w:rsidR="002D5BB0" w:rsidRPr="00222917" w:rsidRDefault="002D5BB0" w:rsidP="00900CB6">
            <w:pPr>
              <w:pStyle w:val="SingleTxtG"/>
              <w:suppressAutoHyphens w:val="0"/>
              <w:spacing w:before="80" w:after="80" w:line="220" w:lineRule="exact"/>
              <w:ind w:left="284" w:right="0"/>
              <w:jc w:val="left"/>
              <w:rPr>
                <w:b/>
                <w:sz w:val="18"/>
                <w:lang w:val="en-US"/>
              </w:rPr>
            </w:pPr>
            <w:r w:rsidRPr="00222917">
              <w:rPr>
                <w:b/>
                <w:sz w:val="18"/>
                <w:lang w:val="en-US"/>
              </w:rPr>
              <w:t>Total</w:t>
            </w:r>
          </w:p>
        </w:tc>
        <w:tc>
          <w:tcPr>
            <w:tcW w:w="1428" w:type="dxa"/>
            <w:tcBorders>
              <w:bottom w:val="single" w:sz="12" w:space="0" w:color="auto"/>
            </w:tcBorders>
            <w:shd w:val="clear" w:color="auto" w:fill="auto"/>
            <w:tcMar>
              <w:top w:w="0" w:type="dxa"/>
              <w:left w:w="0" w:type="dxa"/>
              <w:bottom w:w="0" w:type="dxa"/>
              <w:right w:w="0" w:type="dxa"/>
            </w:tcMar>
            <w:vAlign w:val="bottom"/>
          </w:tcPr>
          <w:p w:rsidR="002D5BB0" w:rsidRPr="00222917" w:rsidRDefault="002D5BB0" w:rsidP="00900CB6">
            <w:pPr>
              <w:pStyle w:val="SingleTxtG"/>
              <w:suppressAutoHyphens w:val="0"/>
              <w:spacing w:before="80" w:after="80" w:line="220" w:lineRule="exact"/>
              <w:ind w:left="284" w:right="0"/>
              <w:jc w:val="right"/>
              <w:rPr>
                <w:b/>
                <w:sz w:val="18"/>
                <w:lang w:val="en-US"/>
              </w:rPr>
            </w:pPr>
            <w:r w:rsidRPr="00222917">
              <w:rPr>
                <w:b/>
                <w:sz w:val="18"/>
                <w:lang w:val="en-US"/>
              </w:rPr>
              <w:t>3,672,662</w:t>
            </w:r>
          </w:p>
        </w:tc>
        <w:tc>
          <w:tcPr>
            <w:tcW w:w="1429" w:type="dxa"/>
            <w:tcBorders>
              <w:bottom w:val="single" w:sz="12" w:space="0" w:color="auto"/>
            </w:tcBorders>
            <w:shd w:val="clear" w:color="auto" w:fill="auto"/>
            <w:tcMar>
              <w:top w:w="0" w:type="dxa"/>
              <w:left w:w="0" w:type="dxa"/>
              <w:bottom w:w="0" w:type="dxa"/>
              <w:right w:w="0" w:type="dxa"/>
            </w:tcMar>
            <w:vAlign w:val="bottom"/>
          </w:tcPr>
          <w:p w:rsidR="002D5BB0" w:rsidRPr="00222917" w:rsidRDefault="002D5BB0" w:rsidP="00900CB6">
            <w:pPr>
              <w:pStyle w:val="SingleTxtG"/>
              <w:suppressAutoHyphens w:val="0"/>
              <w:spacing w:before="80" w:after="80" w:line="220" w:lineRule="exact"/>
              <w:ind w:left="284" w:right="0"/>
              <w:jc w:val="right"/>
              <w:rPr>
                <w:b/>
                <w:sz w:val="18"/>
                <w:lang w:val="en-US"/>
              </w:rPr>
            </w:pPr>
            <w:r w:rsidRPr="00222917">
              <w:rPr>
                <w:b/>
                <w:sz w:val="18"/>
                <w:lang w:val="en-US"/>
              </w:rPr>
              <w:t>6,847,247</w:t>
            </w:r>
          </w:p>
        </w:tc>
        <w:tc>
          <w:tcPr>
            <w:tcW w:w="1429" w:type="dxa"/>
            <w:tcBorders>
              <w:bottom w:val="single" w:sz="12" w:space="0" w:color="auto"/>
            </w:tcBorders>
            <w:shd w:val="clear" w:color="auto" w:fill="auto"/>
            <w:tcMar>
              <w:top w:w="0" w:type="dxa"/>
              <w:left w:w="0" w:type="dxa"/>
              <w:bottom w:w="0" w:type="dxa"/>
              <w:right w:w="0" w:type="dxa"/>
            </w:tcMar>
            <w:vAlign w:val="bottom"/>
          </w:tcPr>
          <w:p w:rsidR="002D5BB0" w:rsidRPr="00222917" w:rsidRDefault="002D5BB0" w:rsidP="00900CB6">
            <w:pPr>
              <w:pStyle w:val="SingleTxtG"/>
              <w:suppressAutoHyphens w:val="0"/>
              <w:spacing w:before="80" w:after="80" w:line="220" w:lineRule="exact"/>
              <w:ind w:left="284" w:right="0"/>
              <w:jc w:val="right"/>
              <w:rPr>
                <w:b/>
                <w:sz w:val="18"/>
                <w:lang w:val="en-US"/>
              </w:rPr>
            </w:pPr>
            <w:r w:rsidRPr="00222917">
              <w:rPr>
                <w:b/>
                <w:sz w:val="18"/>
                <w:lang w:val="en-US"/>
              </w:rPr>
              <w:t>6,295,012</w:t>
            </w:r>
          </w:p>
        </w:tc>
        <w:tc>
          <w:tcPr>
            <w:tcW w:w="1429" w:type="dxa"/>
            <w:tcBorders>
              <w:bottom w:val="single" w:sz="12" w:space="0" w:color="auto"/>
            </w:tcBorders>
            <w:shd w:val="clear" w:color="auto" w:fill="auto"/>
            <w:tcMar>
              <w:top w:w="0" w:type="dxa"/>
              <w:left w:w="0" w:type="dxa"/>
              <w:bottom w:w="0" w:type="dxa"/>
              <w:right w:w="0" w:type="dxa"/>
            </w:tcMar>
            <w:vAlign w:val="bottom"/>
          </w:tcPr>
          <w:p w:rsidR="002D5BB0" w:rsidRPr="00222917" w:rsidRDefault="002D5BB0" w:rsidP="00900CB6">
            <w:pPr>
              <w:pStyle w:val="SingleTxtG"/>
              <w:suppressAutoHyphens w:val="0"/>
              <w:spacing w:before="80" w:after="80" w:line="220" w:lineRule="exact"/>
              <w:ind w:left="284" w:right="0"/>
              <w:jc w:val="right"/>
              <w:rPr>
                <w:b/>
                <w:sz w:val="18"/>
                <w:lang w:val="en-US"/>
              </w:rPr>
            </w:pPr>
            <w:r w:rsidRPr="00222917">
              <w:rPr>
                <w:b/>
                <w:sz w:val="18"/>
                <w:lang w:val="en-US"/>
              </w:rPr>
              <w:t>7,893,555</w:t>
            </w:r>
          </w:p>
        </w:tc>
      </w:tr>
    </w:tbl>
    <w:p w:rsidR="002D5BB0" w:rsidRPr="00222917" w:rsidRDefault="00547908" w:rsidP="00547908">
      <w:pPr>
        <w:pStyle w:val="SingleTxtG"/>
        <w:spacing w:before="240"/>
        <w:rPr>
          <w:lang w:val="en-US"/>
        </w:rPr>
      </w:pPr>
      <w:r w:rsidRPr="00222917">
        <w:rPr>
          <w:lang w:val="en-US"/>
        </w:rPr>
        <w:t>253.</w:t>
      </w:r>
      <w:r w:rsidRPr="00222917">
        <w:rPr>
          <w:lang w:val="en-US"/>
        </w:rPr>
        <w:tab/>
      </w:r>
      <w:r w:rsidR="002D5BB0" w:rsidRPr="00222917">
        <w:rPr>
          <w:lang w:val="en-US"/>
        </w:rPr>
        <w:t xml:space="preserve">In light of the facts that relief for victims of crimes such as abduction and sexual violence is frequently delayed and such inadequacy of emergency relief system exacerbates damages suffered, a revised bill to allow the police to use location information has been presented to the National Assembly. </w:t>
      </w:r>
    </w:p>
    <w:p w:rsidR="002D5BB0" w:rsidRPr="00222917" w:rsidRDefault="00794B5A" w:rsidP="00794B5A">
      <w:pPr>
        <w:pStyle w:val="H23G"/>
        <w:rPr>
          <w:lang w:val="en-US"/>
        </w:rPr>
      </w:pPr>
      <w:bookmarkStart w:id="199" w:name="_Toc307504121"/>
      <w:bookmarkStart w:id="200" w:name="_Toc336435893"/>
      <w:r w:rsidRPr="00222917">
        <w:rPr>
          <w:lang w:val="en-US"/>
        </w:rPr>
        <w:tab/>
      </w:r>
      <w:r w:rsidRPr="00222917">
        <w:rPr>
          <w:lang w:val="en-US"/>
        </w:rPr>
        <w:tab/>
      </w:r>
      <w:r w:rsidR="002D5BB0" w:rsidRPr="00222917">
        <w:rPr>
          <w:lang w:val="en-US"/>
        </w:rPr>
        <w:t>Strengthening Protection of Personal Information and Remedy against Damages</w:t>
      </w:r>
      <w:bookmarkEnd w:id="199"/>
      <w:bookmarkEnd w:id="200"/>
    </w:p>
    <w:p w:rsidR="002D5BB0" w:rsidRPr="00222917" w:rsidRDefault="00547908" w:rsidP="00547908">
      <w:pPr>
        <w:pStyle w:val="SingleTxtG"/>
        <w:rPr>
          <w:lang w:val="en-US"/>
        </w:rPr>
      </w:pPr>
      <w:r w:rsidRPr="00222917">
        <w:rPr>
          <w:lang w:val="en-US"/>
        </w:rPr>
        <w:t>254.</w:t>
      </w:r>
      <w:r w:rsidRPr="00222917">
        <w:rPr>
          <w:lang w:val="en-US"/>
        </w:rPr>
        <w:tab/>
      </w:r>
      <w:r w:rsidR="002D5BB0" w:rsidRPr="00222917">
        <w:rPr>
          <w:lang w:val="en-US"/>
        </w:rPr>
        <w:t xml:space="preserve">Amid the rapid advancement of information technology, the Government submitted to the National Assembly the </w:t>
      </w:r>
      <w:r w:rsidR="002D5BB0" w:rsidRPr="000850F5">
        <w:rPr>
          <w:iCs/>
          <w:lang w:val="en-US"/>
        </w:rPr>
        <w:t xml:space="preserve">Act on the Protection of Personal Information </w:t>
      </w:r>
      <w:r w:rsidR="002D5BB0" w:rsidRPr="00222917">
        <w:rPr>
          <w:lang w:val="en-US"/>
        </w:rPr>
        <w:t>(draft) on 28</w:t>
      </w:r>
      <w:r w:rsidR="00900CB6" w:rsidRPr="00222917">
        <w:rPr>
          <w:lang w:val="en-US"/>
        </w:rPr>
        <w:t> </w:t>
      </w:r>
      <w:r w:rsidR="002D5BB0" w:rsidRPr="00222917">
        <w:rPr>
          <w:lang w:val="en-US"/>
        </w:rPr>
        <w:t xml:space="preserve">November 2008 in an effort to safely manage personal information. The Act is designed to govern the personal </w:t>
      </w:r>
      <w:r w:rsidR="002D5BB0" w:rsidRPr="00222917">
        <w:rPr>
          <w:bCs/>
          <w:lang w:val="en-US"/>
        </w:rPr>
        <w:t>information</w:t>
      </w:r>
      <w:r w:rsidR="002D5BB0" w:rsidRPr="00222917">
        <w:rPr>
          <w:lang w:val="en-US"/>
        </w:rPr>
        <w:t xml:space="preserve"> handling principles in conformity with global standards and strengthen remedies for personal information infringement. The bill was resolved by the Public Administration and Security Committee and is expected to be presented to the Legislation and Judiciary Committee as of 2010. This bill contains provisions concerning the legal basis for installation and use of image information processing equipment of private closed-circuit television, obligations of public institutions to conduct personal information impact assessment, and collective dispute mediation, etc. The</w:t>
      </w:r>
      <w:r w:rsidR="00900CB6" w:rsidRPr="00222917">
        <w:rPr>
          <w:lang w:val="en-US"/>
        </w:rPr>
        <w:t> </w:t>
      </w:r>
      <w:r w:rsidR="002D5BB0" w:rsidRPr="00222917">
        <w:rPr>
          <w:lang w:val="en-US"/>
        </w:rPr>
        <w:t>Personal Information Protection Committee established under the Act is organized in conformity with the Guidelines Concerning Computerized Personal Data Files. The</w:t>
      </w:r>
      <w:r w:rsidR="00900CB6" w:rsidRPr="00222917">
        <w:rPr>
          <w:lang w:val="en-US"/>
        </w:rPr>
        <w:t> </w:t>
      </w:r>
      <w:r w:rsidR="002D5BB0" w:rsidRPr="00222917">
        <w:rPr>
          <w:lang w:val="en-US"/>
        </w:rPr>
        <w:t>Committee has a total of 15 members, five of whom are elected and appointed by the National Assembly, the Supreme Court, and others, respectively. It has a secretariat to help the Committee independently perform its duties. The Committee has authority to deliberate upon and resolve major policies on personal information protection, and to recommend corrective actions and request submission of documents to public institutions such as constitutional institutions or ministries.</w:t>
      </w:r>
    </w:p>
    <w:p w:rsidR="002D5BB0" w:rsidRPr="00222917" w:rsidRDefault="00547908" w:rsidP="00547908">
      <w:pPr>
        <w:pStyle w:val="SingleTxtG"/>
        <w:rPr>
          <w:lang w:val="en-US"/>
        </w:rPr>
      </w:pPr>
      <w:r w:rsidRPr="00222917">
        <w:rPr>
          <w:lang w:val="en-US"/>
        </w:rPr>
        <w:t>255.</w:t>
      </w:r>
      <w:r w:rsidRPr="00222917">
        <w:rPr>
          <w:lang w:val="en-US"/>
        </w:rPr>
        <w:tab/>
      </w:r>
      <w:r w:rsidR="002D5BB0" w:rsidRPr="00222917">
        <w:rPr>
          <w:lang w:val="en-US"/>
        </w:rPr>
        <w:t xml:space="preserve">The Government endeavors to improve the personal information management system and technological protection measures by distributing the public I-PIN (Internet Personal Identification Number) over the Internet. It is an individual identification number used in lieu of the resident registration number, minimizing the on-line gathering of resident registration numbers. The Government is also striving to raise awareness about personal information </w:t>
      </w:r>
      <w:r w:rsidR="002D5BB0" w:rsidRPr="00222917">
        <w:rPr>
          <w:bCs/>
          <w:lang w:val="en-US"/>
        </w:rPr>
        <w:t>protection</w:t>
      </w:r>
      <w:r w:rsidR="002D5BB0" w:rsidRPr="00222917">
        <w:rPr>
          <w:lang w:val="en-US"/>
        </w:rPr>
        <w:t xml:space="preserve"> and provide remedies against damages by checking whether the public and private sectors manage to prevent resident registration numbers from being leaked, providing more education programs to the public and private sectors, developing and distributing educational materials, taking effective remedial measures through utilization of the Personal Information Infringement Report Center. </w:t>
      </w:r>
    </w:p>
    <w:p w:rsidR="002D5BB0" w:rsidRPr="00222917" w:rsidRDefault="00547908" w:rsidP="00547908">
      <w:pPr>
        <w:pStyle w:val="SingleTxtG"/>
        <w:rPr>
          <w:lang w:val="en-US"/>
        </w:rPr>
      </w:pPr>
      <w:r w:rsidRPr="00222917">
        <w:rPr>
          <w:lang w:val="en-US"/>
        </w:rPr>
        <w:t>256.</w:t>
      </w:r>
      <w:r w:rsidRPr="00222917">
        <w:rPr>
          <w:lang w:val="en-US"/>
        </w:rPr>
        <w:tab/>
      </w:r>
      <w:r w:rsidR="002D5BB0" w:rsidRPr="00222917">
        <w:rPr>
          <w:lang w:val="en-US"/>
        </w:rPr>
        <w:t xml:space="preserve">Subsequent to a case of provision through electronic data storage of a huge number of resident registration numbers in return for favors, which led to widespread public outrage, on 1 April 2009, the Government amended the </w:t>
      </w:r>
      <w:r w:rsidR="002D5BB0" w:rsidRPr="000850F5">
        <w:rPr>
          <w:iCs/>
          <w:lang w:val="en-US"/>
        </w:rPr>
        <w:t>Resident Registration Act</w:t>
      </w:r>
      <w:r w:rsidR="002D5BB0" w:rsidRPr="00222917">
        <w:rPr>
          <w:lang w:val="en-US"/>
        </w:rPr>
        <w:t xml:space="preserve"> to punish any person who provides another person’s resident registration number for a</w:t>
      </w:r>
      <w:r w:rsidR="00A94611" w:rsidRPr="00222917">
        <w:rPr>
          <w:lang w:val="en-US"/>
        </w:rPr>
        <w:t xml:space="preserve"> profit-making purpose (</w:t>
      </w:r>
      <w:r w:rsidR="00BF3911" w:rsidRPr="00222917">
        <w:rPr>
          <w:lang w:val="en-US"/>
        </w:rPr>
        <w:t>a</w:t>
      </w:r>
      <w:r w:rsidR="00A94611" w:rsidRPr="00222917">
        <w:rPr>
          <w:lang w:val="en-US"/>
        </w:rPr>
        <w:t>rticle 37, s</w:t>
      </w:r>
      <w:r w:rsidR="005F5775" w:rsidRPr="00222917">
        <w:rPr>
          <w:lang w:val="en-US"/>
        </w:rPr>
        <w:t>ubparagraph </w:t>
      </w:r>
      <w:r w:rsidR="002D5BB0" w:rsidRPr="00222917">
        <w:rPr>
          <w:lang w:val="en-US"/>
        </w:rPr>
        <w:t xml:space="preserve">9). </w:t>
      </w:r>
    </w:p>
    <w:p w:rsidR="002D5BB0" w:rsidRPr="00222917" w:rsidRDefault="00794B5A" w:rsidP="00794B5A">
      <w:pPr>
        <w:pStyle w:val="H23G"/>
        <w:rPr>
          <w:lang w:val="en-US"/>
        </w:rPr>
      </w:pPr>
      <w:bookmarkStart w:id="201" w:name="_Toc307504122"/>
      <w:bookmarkStart w:id="202" w:name="_Toc336435894"/>
      <w:r w:rsidRPr="00222917">
        <w:rPr>
          <w:lang w:val="en-US"/>
        </w:rPr>
        <w:tab/>
      </w:r>
      <w:r w:rsidRPr="00222917">
        <w:rPr>
          <w:lang w:val="en-US"/>
        </w:rPr>
        <w:tab/>
      </w:r>
      <w:r w:rsidR="002D5BB0" w:rsidRPr="00222917">
        <w:rPr>
          <w:lang w:val="en-US"/>
        </w:rPr>
        <w:t xml:space="preserve">Operation of the National Education Information System (NEIS) </w:t>
      </w:r>
      <w:r w:rsidRPr="00222917">
        <w:rPr>
          <w:lang w:val="en-US"/>
        </w:rPr>
        <w:br/>
      </w:r>
      <w:r w:rsidR="002D5BB0" w:rsidRPr="00222917">
        <w:rPr>
          <w:lang w:val="en-US"/>
        </w:rPr>
        <w:t>and Privacy Infringement</w:t>
      </w:r>
      <w:bookmarkEnd w:id="201"/>
      <w:bookmarkEnd w:id="202"/>
    </w:p>
    <w:p w:rsidR="002D5BB0" w:rsidRPr="00222917" w:rsidRDefault="00547908" w:rsidP="00547908">
      <w:pPr>
        <w:pStyle w:val="SingleTxtG"/>
        <w:rPr>
          <w:lang w:val="en-US"/>
        </w:rPr>
      </w:pPr>
      <w:r w:rsidRPr="00222917">
        <w:rPr>
          <w:lang w:val="en-US"/>
        </w:rPr>
        <w:t>257.</w:t>
      </w:r>
      <w:r w:rsidRPr="00222917">
        <w:rPr>
          <w:lang w:val="en-US"/>
        </w:rPr>
        <w:tab/>
      </w:r>
      <w:r w:rsidR="002D5BB0" w:rsidRPr="00222917">
        <w:rPr>
          <w:lang w:val="en-US"/>
        </w:rPr>
        <w:t xml:space="preserve">The intention and purpose of the National Education Information System (NEIS), its security measures, and plans to </w:t>
      </w:r>
      <w:r w:rsidR="002D5BB0" w:rsidRPr="00222917">
        <w:rPr>
          <w:bCs/>
          <w:lang w:val="en-US"/>
        </w:rPr>
        <w:t>protect</w:t>
      </w:r>
      <w:r w:rsidR="002D5BB0" w:rsidRPr="00222917">
        <w:rPr>
          <w:lang w:val="en-US"/>
        </w:rPr>
        <w:t xml:space="preserve"> human rights, etc. are as stated in the third re</w:t>
      </w:r>
      <w:r w:rsidR="00794B5A" w:rsidRPr="00222917">
        <w:rPr>
          <w:lang w:val="en-US"/>
        </w:rPr>
        <w:t>port (CCPR/C/KOR/2005/3, paras. 259-</w:t>
      </w:r>
      <w:r w:rsidR="002D5BB0" w:rsidRPr="00222917">
        <w:rPr>
          <w:lang w:val="en-US"/>
        </w:rPr>
        <w:t xml:space="preserve">262). </w:t>
      </w:r>
    </w:p>
    <w:p w:rsidR="002D5BB0" w:rsidRPr="00222917" w:rsidRDefault="00547908" w:rsidP="00547908">
      <w:pPr>
        <w:pStyle w:val="SingleTxtG"/>
        <w:rPr>
          <w:lang w:val="en-US"/>
        </w:rPr>
      </w:pPr>
      <w:r w:rsidRPr="00222917">
        <w:rPr>
          <w:lang w:val="en-US"/>
        </w:rPr>
        <w:t>258.</w:t>
      </w:r>
      <w:r w:rsidRPr="00222917">
        <w:rPr>
          <w:lang w:val="en-US"/>
        </w:rPr>
        <w:tab/>
      </w:r>
      <w:r w:rsidR="002D5BB0" w:rsidRPr="00222917">
        <w:rPr>
          <w:lang w:val="en-US"/>
        </w:rPr>
        <w:t xml:space="preserve">On 24 March 2005, the </w:t>
      </w:r>
      <w:r w:rsidR="002D5BB0" w:rsidRPr="000850F5">
        <w:rPr>
          <w:iCs/>
          <w:lang w:val="en-US"/>
        </w:rPr>
        <w:t>Elementary and Secondary Education Act</w:t>
      </w:r>
      <w:r w:rsidR="002D5BB0" w:rsidRPr="00222917">
        <w:rPr>
          <w:lang w:val="en-US"/>
        </w:rPr>
        <w:t xml:space="preserve"> was amended to stipulate the provisions on the restriction, supervision, and oversight of management and provision of data on students in connection with the establishment of the NEIS School Administration System. It also prescribes tougher penalties in the event of violati</w:t>
      </w:r>
      <w:r w:rsidR="00A94611" w:rsidRPr="00222917">
        <w:rPr>
          <w:lang w:val="en-US"/>
        </w:rPr>
        <w:t>ons of the provisions (</w:t>
      </w:r>
      <w:r w:rsidR="00D53C1B" w:rsidRPr="00222917">
        <w:rPr>
          <w:lang w:val="en-US"/>
        </w:rPr>
        <w:t>a</w:t>
      </w:r>
      <w:r w:rsidR="00A94611" w:rsidRPr="00222917">
        <w:rPr>
          <w:lang w:val="en-US"/>
        </w:rPr>
        <w:t>rticles </w:t>
      </w:r>
      <w:r w:rsidR="002D5BB0" w:rsidRPr="00222917">
        <w:rPr>
          <w:lang w:val="en-US"/>
        </w:rPr>
        <w:t xml:space="preserve">30-4 through 30-7). On 4 March 2008, the Rules for Operation of National Education Information </w:t>
      </w:r>
      <w:r w:rsidR="002D5BB0" w:rsidRPr="00222917">
        <w:rPr>
          <w:bCs/>
          <w:lang w:val="en-US"/>
        </w:rPr>
        <w:t>System</w:t>
      </w:r>
      <w:r w:rsidR="002D5BB0" w:rsidRPr="00222917">
        <w:rPr>
          <w:lang w:val="en-US"/>
        </w:rPr>
        <w:t xml:space="preserve">, etc. was amended to provide for necessary matters pertaining to the implementation, operation, and access methods, etc. of the system, reinforcing the information protection scheme. The Rules laid down prohibitions against unauthorized persons’ perusal of and access to student information, and obligations to abide by laws and ordinances on student information. </w:t>
      </w:r>
    </w:p>
    <w:p w:rsidR="002D5BB0" w:rsidRPr="00222917" w:rsidRDefault="00547908" w:rsidP="00547908">
      <w:pPr>
        <w:pStyle w:val="SingleTxtG"/>
        <w:rPr>
          <w:lang w:val="en-US"/>
        </w:rPr>
      </w:pPr>
      <w:r w:rsidRPr="00222917">
        <w:rPr>
          <w:lang w:val="en-US"/>
        </w:rPr>
        <w:t>259.</w:t>
      </w:r>
      <w:r w:rsidRPr="00222917">
        <w:rPr>
          <w:lang w:val="en-US"/>
        </w:rPr>
        <w:tab/>
      </w:r>
      <w:r w:rsidR="002D5BB0" w:rsidRPr="00222917">
        <w:rPr>
          <w:lang w:val="en-US"/>
        </w:rPr>
        <w:t xml:space="preserve">The Government has implemented a variety of policies to address concerns over privacy infringement in relation to the operation of NEIS. In March 2006, in accordance with the recommendation of the Education Information Management Committee, which is an advisory body under the Prime Minister, and government policies, the three databases of academic affairs, admission, </w:t>
      </w:r>
      <w:r w:rsidR="002D5BB0" w:rsidRPr="00222917">
        <w:rPr>
          <w:bCs/>
          <w:lang w:val="en-US"/>
        </w:rPr>
        <w:t>and</w:t>
      </w:r>
      <w:r w:rsidR="002D5BB0" w:rsidRPr="00222917">
        <w:rPr>
          <w:lang w:val="en-US"/>
        </w:rPr>
        <w:t xml:space="preserve"> student health were separated from NEIS; and personal identification data such as name, resident registration number, and class standing of students were encrypted. The School Administration System Operation Evaluation Committee, composed of ten members including representatives of teacher organizations and parent organizations as well as professors, convened from July through October, 2008 to asses</w:t>
      </w:r>
      <w:r w:rsidR="00794B5A" w:rsidRPr="00222917">
        <w:rPr>
          <w:lang w:val="en-US"/>
        </w:rPr>
        <w:t>s the system from four aspects –</w:t>
      </w:r>
      <w:r w:rsidR="002D5BB0" w:rsidRPr="00222917">
        <w:rPr>
          <w:lang w:val="en-US"/>
        </w:rPr>
        <w:t xml:space="preserve"> system quality, security, cost effectiveness, </w:t>
      </w:r>
      <w:r w:rsidR="00794B5A" w:rsidRPr="00222917">
        <w:rPr>
          <w:lang w:val="en-US"/>
        </w:rPr>
        <w:t>and operation and maintenance –</w:t>
      </w:r>
      <w:r w:rsidR="002D5BB0" w:rsidRPr="00222917">
        <w:rPr>
          <w:lang w:val="en-US"/>
        </w:rPr>
        <w:t xml:space="preserve"> and proposed the future direction of server operation. </w:t>
      </w:r>
    </w:p>
    <w:p w:rsidR="002D5BB0" w:rsidRPr="00222917" w:rsidRDefault="00547908" w:rsidP="00547908">
      <w:pPr>
        <w:pStyle w:val="SingleTxtG"/>
        <w:rPr>
          <w:lang w:val="en-US"/>
        </w:rPr>
      </w:pPr>
      <w:r w:rsidRPr="00222917">
        <w:rPr>
          <w:lang w:val="en-US"/>
        </w:rPr>
        <w:t>260.</w:t>
      </w:r>
      <w:r w:rsidRPr="00222917">
        <w:rPr>
          <w:lang w:val="en-US"/>
        </w:rPr>
        <w:tab/>
      </w:r>
      <w:r w:rsidR="002D5BB0" w:rsidRPr="00222917">
        <w:rPr>
          <w:lang w:val="en-US"/>
        </w:rPr>
        <w:t xml:space="preserve">Accepting the </w:t>
      </w:r>
      <w:r w:rsidR="002D5BB0" w:rsidRPr="00222917">
        <w:rPr>
          <w:bCs/>
          <w:lang w:val="en-US"/>
        </w:rPr>
        <w:t>recommendations</w:t>
      </w:r>
      <w:r w:rsidR="002D5BB0" w:rsidRPr="00222917">
        <w:rPr>
          <w:lang w:val="en-US"/>
        </w:rPr>
        <w:t xml:space="preserve"> made by the National Human Rights Commission of Korea, the Government will improve the system to allow students to peruse their own information starting in September 2011 so as to reinforce the protection of their right to personal information privacy. </w:t>
      </w:r>
    </w:p>
    <w:p w:rsidR="002D5BB0" w:rsidRPr="00222917" w:rsidRDefault="00794B5A" w:rsidP="00794B5A">
      <w:pPr>
        <w:pStyle w:val="H23G"/>
        <w:rPr>
          <w:lang w:val="en-US"/>
        </w:rPr>
      </w:pPr>
      <w:bookmarkStart w:id="203" w:name="_Toc307504123"/>
      <w:bookmarkStart w:id="204" w:name="_Toc336435895"/>
      <w:r w:rsidRPr="00222917">
        <w:rPr>
          <w:lang w:val="en-US"/>
        </w:rPr>
        <w:tab/>
      </w:r>
      <w:r w:rsidRPr="00222917">
        <w:rPr>
          <w:lang w:val="en-US"/>
        </w:rPr>
        <w:tab/>
      </w:r>
      <w:r w:rsidR="002D5BB0" w:rsidRPr="00222917">
        <w:rPr>
          <w:lang w:val="en-US"/>
        </w:rPr>
        <w:t>Protection of Personal Information and Privacy of AIDS Patients</w:t>
      </w:r>
      <w:bookmarkEnd w:id="203"/>
      <w:bookmarkEnd w:id="204"/>
    </w:p>
    <w:p w:rsidR="002D5BB0" w:rsidRPr="00222917" w:rsidRDefault="00547908" w:rsidP="00547908">
      <w:pPr>
        <w:pStyle w:val="SingleTxtG"/>
        <w:rPr>
          <w:lang w:val="en-US"/>
        </w:rPr>
      </w:pPr>
      <w:r w:rsidRPr="00222917">
        <w:rPr>
          <w:lang w:val="en-US"/>
        </w:rPr>
        <w:t>261.</w:t>
      </w:r>
      <w:r w:rsidRPr="00222917">
        <w:rPr>
          <w:lang w:val="en-US"/>
        </w:rPr>
        <w:tab/>
      </w:r>
      <w:r w:rsidR="002D5BB0" w:rsidRPr="00222917">
        <w:rPr>
          <w:lang w:val="en-US"/>
        </w:rPr>
        <w:t xml:space="preserve">There are concerns that the real-name report and the establishment and maintenance of the AIDS patient registry under the </w:t>
      </w:r>
      <w:r w:rsidR="002D5BB0" w:rsidRPr="000850F5">
        <w:rPr>
          <w:iCs/>
          <w:lang w:val="en-US"/>
        </w:rPr>
        <w:t xml:space="preserve">Prevention of Acquired Immunodeficiency Syndrome Act </w:t>
      </w:r>
      <w:r w:rsidR="002D5BB0" w:rsidRPr="00222917">
        <w:rPr>
          <w:lang w:val="en-US"/>
        </w:rPr>
        <w:t>may infringe on the personal information and privacy rights of AIDS patients. On</w:t>
      </w:r>
      <w:r w:rsidR="00963D8F" w:rsidRPr="00222917">
        <w:rPr>
          <w:lang w:val="en-US"/>
        </w:rPr>
        <w:t> </w:t>
      </w:r>
      <w:r w:rsidR="002D5BB0" w:rsidRPr="00222917">
        <w:rPr>
          <w:lang w:val="en-US"/>
        </w:rPr>
        <w:t>21</w:t>
      </w:r>
      <w:r w:rsidR="00605700" w:rsidRPr="00222917">
        <w:rPr>
          <w:lang w:val="en-US"/>
        </w:rPr>
        <w:t> </w:t>
      </w:r>
      <w:r w:rsidR="002D5BB0" w:rsidRPr="00222917">
        <w:rPr>
          <w:lang w:val="en-US"/>
        </w:rPr>
        <w:t xml:space="preserve">March 2008, the </w:t>
      </w:r>
      <w:r w:rsidR="002D5BB0" w:rsidRPr="000850F5">
        <w:rPr>
          <w:iCs/>
          <w:lang w:val="en-US"/>
        </w:rPr>
        <w:t xml:space="preserve">Prevention of Acquired Immunodeficiency Syndrome Act </w:t>
      </w:r>
      <w:r w:rsidR="002D5BB0" w:rsidRPr="00222917">
        <w:rPr>
          <w:lang w:val="en-US"/>
        </w:rPr>
        <w:t>was amended to abolish the obligations of the mayor/</w:t>
      </w:r>
      <w:r w:rsidR="002D5BB0" w:rsidRPr="00222917">
        <w:rPr>
          <w:i/>
          <w:lang w:val="en-US"/>
        </w:rPr>
        <w:t>do</w:t>
      </w:r>
      <w:r w:rsidR="002D5BB0" w:rsidRPr="00222917">
        <w:rPr>
          <w:lang w:val="en-US"/>
        </w:rPr>
        <w:t xml:space="preserve"> governor to establish and maintain the AIDS patient registry</w:t>
      </w:r>
      <w:r w:rsidR="00A94611" w:rsidRPr="00222917">
        <w:rPr>
          <w:lang w:val="en-US"/>
        </w:rPr>
        <w:t xml:space="preserve"> (</w:t>
      </w:r>
      <w:r w:rsidR="00D53C1B" w:rsidRPr="00222917">
        <w:rPr>
          <w:lang w:val="en-US"/>
        </w:rPr>
        <w:t>a</w:t>
      </w:r>
      <w:r w:rsidR="00A94611" w:rsidRPr="00222917">
        <w:rPr>
          <w:lang w:val="en-US"/>
        </w:rPr>
        <w:t>rticle </w:t>
      </w:r>
      <w:r w:rsidR="002D5BB0" w:rsidRPr="00222917">
        <w:rPr>
          <w:lang w:val="en-US"/>
        </w:rPr>
        <w:t xml:space="preserve">6), and newly insert provisions on anonymous medical </w:t>
      </w:r>
      <w:r w:rsidR="00A94611" w:rsidRPr="00222917">
        <w:rPr>
          <w:lang w:val="en-US"/>
        </w:rPr>
        <w:t>examination (</w:t>
      </w:r>
      <w:r w:rsidR="00D53C1B" w:rsidRPr="00222917">
        <w:rPr>
          <w:lang w:val="en-US"/>
        </w:rPr>
        <w:t>a</w:t>
      </w:r>
      <w:r w:rsidR="00A94611" w:rsidRPr="00222917">
        <w:rPr>
          <w:lang w:val="en-US"/>
        </w:rPr>
        <w:t>rticle </w:t>
      </w:r>
      <w:r w:rsidR="002D5BB0" w:rsidRPr="00222917">
        <w:rPr>
          <w:lang w:val="en-US"/>
        </w:rPr>
        <w:t>8</w:t>
      </w:r>
      <w:r w:rsidR="00A94611" w:rsidRPr="00222917">
        <w:rPr>
          <w:lang w:val="en-US"/>
        </w:rPr>
        <w:t> </w:t>
      </w:r>
      <w:r w:rsidR="002D5BB0" w:rsidRPr="00222917">
        <w:rPr>
          <w:lang w:val="en-US"/>
        </w:rPr>
        <w:t xml:space="preserve">(4)), thereby inducing medical examination of persons carrying the AIDS virus and minimizing exposure of personal information. </w:t>
      </w:r>
    </w:p>
    <w:p w:rsidR="002D5BB0" w:rsidRPr="00B45184" w:rsidRDefault="00794B5A" w:rsidP="00794B5A">
      <w:pPr>
        <w:pStyle w:val="HChG"/>
        <w:rPr>
          <w:sz w:val="24"/>
          <w:szCs w:val="24"/>
          <w:lang w:val="en-US"/>
        </w:rPr>
      </w:pPr>
      <w:bookmarkStart w:id="205" w:name="_Toc307504124"/>
      <w:bookmarkStart w:id="206" w:name="_Toc336435896"/>
      <w:r w:rsidRPr="00222917">
        <w:rPr>
          <w:lang w:val="en-US"/>
        </w:rPr>
        <w:tab/>
      </w:r>
      <w:r w:rsidRPr="00222917">
        <w:rPr>
          <w:lang w:val="en-US"/>
        </w:rPr>
        <w:tab/>
      </w:r>
      <w:r w:rsidR="002D5BB0" w:rsidRPr="00B45184">
        <w:rPr>
          <w:sz w:val="24"/>
          <w:szCs w:val="24"/>
          <w:lang w:val="en-US"/>
        </w:rPr>
        <w:t>Article 18</w:t>
      </w:r>
      <w:bookmarkEnd w:id="205"/>
      <w:bookmarkEnd w:id="206"/>
    </w:p>
    <w:p w:rsidR="002D5BB0" w:rsidRPr="00222917" w:rsidRDefault="00794B5A" w:rsidP="00794B5A">
      <w:pPr>
        <w:pStyle w:val="H1G"/>
        <w:rPr>
          <w:lang w:val="en-US"/>
        </w:rPr>
      </w:pPr>
      <w:bookmarkStart w:id="207" w:name="_Toc307504125"/>
      <w:bookmarkStart w:id="208" w:name="_Toc336435897"/>
      <w:r w:rsidRPr="00222917">
        <w:rPr>
          <w:lang w:val="en-US"/>
        </w:rPr>
        <w:tab/>
      </w:r>
      <w:r w:rsidRPr="00222917">
        <w:rPr>
          <w:lang w:val="en-US"/>
        </w:rPr>
        <w:tab/>
      </w:r>
      <w:r w:rsidR="002D5BB0" w:rsidRPr="00222917">
        <w:rPr>
          <w:lang w:val="en-US"/>
        </w:rPr>
        <w:t>Paragraphs 1 and 2</w:t>
      </w:r>
      <w:bookmarkEnd w:id="207"/>
      <w:bookmarkEnd w:id="208"/>
    </w:p>
    <w:p w:rsidR="002D5BB0" w:rsidRPr="00222917" w:rsidRDefault="00794B5A" w:rsidP="00794B5A">
      <w:pPr>
        <w:pStyle w:val="H23G"/>
        <w:rPr>
          <w:lang w:val="en-US"/>
        </w:rPr>
      </w:pPr>
      <w:bookmarkStart w:id="209" w:name="_Toc307504126"/>
      <w:bookmarkStart w:id="210" w:name="_Toc336435898"/>
      <w:r w:rsidRPr="00222917">
        <w:rPr>
          <w:lang w:val="en-US"/>
        </w:rPr>
        <w:tab/>
      </w:r>
      <w:r w:rsidRPr="00222917">
        <w:rPr>
          <w:lang w:val="en-US"/>
        </w:rPr>
        <w:tab/>
      </w:r>
      <w:r w:rsidR="002D5BB0" w:rsidRPr="00222917">
        <w:rPr>
          <w:lang w:val="en-US"/>
        </w:rPr>
        <w:t>Guarantee of Freedom of Conscience and Religion</w:t>
      </w:r>
      <w:bookmarkEnd w:id="209"/>
      <w:bookmarkEnd w:id="210"/>
    </w:p>
    <w:p w:rsidR="002D5BB0" w:rsidRPr="00222917" w:rsidRDefault="00547908" w:rsidP="00547908">
      <w:pPr>
        <w:pStyle w:val="SingleTxtG"/>
        <w:rPr>
          <w:lang w:val="en-US"/>
        </w:rPr>
      </w:pPr>
      <w:r w:rsidRPr="00222917">
        <w:rPr>
          <w:lang w:val="en-US"/>
        </w:rPr>
        <w:t>262.</w:t>
      </w:r>
      <w:r w:rsidRPr="00222917">
        <w:rPr>
          <w:lang w:val="en-US"/>
        </w:rPr>
        <w:tab/>
      </w:r>
      <w:r w:rsidR="002D5BB0" w:rsidRPr="00222917">
        <w:rPr>
          <w:lang w:val="en-US"/>
        </w:rPr>
        <w:t xml:space="preserve">The Constitution guarantees the freedom of conscience, and the legal systems in relation thereto are as stated in the first and second reports. As explained in the second </w:t>
      </w:r>
      <w:r w:rsidR="00794B5A" w:rsidRPr="00222917">
        <w:rPr>
          <w:lang w:val="en-US"/>
        </w:rPr>
        <w:t>report (CCPR/C/68/Add.1, paras. </w:t>
      </w:r>
      <w:r w:rsidR="002D5BB0" w:rsidRPr="00222917">
        <w:rPr>
          <w:lang w:val="en-US"/>
        </w:rPr>
        <w:t>22</w:t>
      </w:r>
      <w:r w:rsidR="00794B5A" w:rsidRPr="00222917">
        <w:rPr>
          <w:lang w:val="en-US"/>
        </w:rPr>
        <w:t>9-231; CCPR/C/114/Add.1, paras. 186-</w:t>
      </w:r>
      <w:r w:rsidR="002D5BB0" w:rsidRPr="00222917">
        <w:rPr>
          <w:lang w:val="en-US"/>
        </w:rPr>
        <w:t>193), the freedom of re</w:t>
      </w:r>
      <w:r w:rsidR="00A94611" w:rsidRPr="00222917">
        <w:rPr>
          <w:lang w:val="en-US"/>
        </w:rPr>
        <w:t xml:space="preserve">ligion is guaranteed by </w:t>
      </w:r>
      <w:r w:rsidR="00D53C1B" w:rsidRPr="00222917">
        <w:rPr>
          <w:lang w:val="en-US"/>
        </w:rPr>
        <w:t>a</w:t>
      </w:r>
      <w:r w:rsidR="00A94611" w:rsidRPr="00222917">
        <w:rPr>
          <w:lang w:val="en-US"/>
        </w:rPr>
        <w:t>rticle </w:t>
      </w:r>
      <w:r w:rsidR="002D5BB0" w:rsidRPr="00222917">
        <w:rPr>
          <w:lang w:val="en-US"/>
        </w:rPr>
        <w:t>20 (1) of the Constitution, and denial of state religion, and the separation of religion and</w:t>
      </w:r>
      <w:r w:rsidR="00A94611" w:rsidRPr="00222917">
        <w:rPr>
          <w:lang w:val="en-US"/>
        </w:rPr>
        <w:t xml:space="preserve"> state are set forth in </w:t>
      </w:r>
      <w:r w:rsidR="00D53C1B" w:rsidRPr="00222917">
        <w:rPr>
          <w:lang w:val="en-US"/>
        </w:rPr>
        <w:t>a</w:t>
      </w:r>
      <w:r w:rsidR="00A94611" w:rsidRPr="00222917">
        <w:rPr>
          <w:lang w:val="en-US"/>
        </w:rPr>
        <w:t>rticle </w:t>
      </w:r>
      <w:r w:rsidR="002D5BB0" w:rsidRPr="00222917">
        <w:rPr>
          <w:lang w:val="en-US"/>
        </w:rPr>
        <w:t>20 (2). As stated in the third r</w:t>
      </w:r>
      <w:r w:rsidR="00794B5A" w:rsidRPr="00222917">
        <w:rPr>
          <w:lang w:val="en-US"/>
        </w:rPr>
        <w:t>eport (CCPR/C/KOR/2005/3, para. </w:t>
      </w:r>
      <w:r w:rsidR="002D5BB0" w:rsidRPr="00222917">
        <w:rPr>
          <w:lang w:val="en-US"/>
        </w:rPr>
        <w:t xml:space="preserve">270), the law-abidance oath system was abolished. </w:t>
      </w:r>
    </w:p>
    <w:p w:rsidR="002D5BB0" w:rsidRPr="00222917" w:rsidRDefault="00547908" w:rsidP="00547908">
      <w:pPr>
        <w:pStyle w:val="SingleTxtG"/>
        <w:rPr>
          <w:lang w:val="en-US"/>
        </w:rPr>
      </w:pPr>
      <w:r w:rsidRPr="00222917">
        <w:rPr>
          <w:lang w:val="en-US"/>
        </w:rPr>
        <w:t>263.</w:t>
      </w:r>
      <w:r w:rsidRPr="00222917">
        <w:rPr>
          <w:lang w:val="en-US"/>
        </w:rPr>
        <w:tab/>
      </w:r>
      <w:r w:rsidR="002D5BB0" w:rsidRPr="00222917">
        <w:rPr>
          <w:lang w:val="en-US"/>
        </w:rPr>
        <w:t>As stated in the third re</w:t>
      </w:r>
      <w:r w:rsidR="00794B5A" w:rsidRPr="00222917">
        <w:rPr>
          <w:lang w:val="en-US"/>
        </w:rPr>
        <w:t>port (CCPR/C/KOR/2005/3, paras. 267-</w:t>
      </w:r>
      <w:r w:rsidR="002D5BB0" w:rsidRPr="00222917">
        <w:rPr>
          <w:lang w:val="en-US"/>
        </w:rPr>
        <w:t>269) and paragraph</w:t>
      </w:r>
      <w:r w:rsidR="005F5775" w:rsidRPr="00222917">
        <w:rPr>
          <w:lang w:val="en-US"/>
        </w:rPr>
        <w:t> </w:t>
      </w:r>
      <w:r w:rsidR="002D5BB0" w:rsidRPr="00222917">
        <w:rPr>
          <w:lang w:val="en-US"/>
        </w:rPr>
        <w:t xml:space="preserve">184 above, the freedom of religion can be exercised within correctional facilities. </w:t>
      </w:r>
    </w:p>
    <w:p w:rsidR="002D5BB0" w:rsidRPr="00222917" w:rsidRDefault="00547908" w:rsidP="00547908">
      <w:pPr>
        <w:pStyle w:val="SingleTxtG"/>
        <w:rPr>
          <w:lang w:val="en-US"/>
        </w:rPr>
      </w:pPr>
      <w:r w:rsidRPr="00222917">
        <w:rPr>
          <w:lang w:val="en-US"/>
        </w:rPr>
        <w:t>264.</w:t>
      </w:r>
      <w:r w:rsidRPr="00222917">
        <w:rPr>
          <w:lang w:val="en-US"/>
        </w:rPr>
        <w:tab/>
      </w:r>
      <w:r w:rsidR="002D5BB0" w:rsidRPr="00222917">
        <w:rPr>
          <w:lang w:val="en-US"/>
        </w:rPr>
        <w:t xml:space="preserve">On 22 April 2010, the Supreme Court ruled it to be an illegal act that infringing legal interest of student’s personality as to religion that a religious school, in effect, to force students to attend religious ceremonies by imposing disadvantages if students do not attend, and to offer </w:t>
      </w:r>
      <w:r w:rsidR="002D5BB0" w:rsidRPr="000850F5">
        <w:rPr>
          <w:iCs/>
          <w:lang w:val="en-US"/>
        </w:rPr>
        <w:t>de facto</w:t>
      </w:r>
      <w:r w:rsidR="002D5BB0" w:rsidRPr="00222917">
        <w:rPr>
          <w:lang w:val="en-US"/>
        </w:rPr>
        <w:t xml:space="preserve"> </w:t>
      </w:r>
      <w:r w:rsidR="002D5BB0" w:rsidRPr="00222917">
        <w:rPr>
          <w:bCs/>
          <w:lang w:val="en-US"/>
        </w:rPr>
        <w:t>mandatory</w:t>
      </w:r>
      <w:r w:rsidR="002D5BB0" w:rsidRPr="00222917">
        <w:rPr>
          <w:lang w:val="en-US"/>
        </w:rPr>
        <w:t xml:space="preserve"> religion classes by providing no alternative classes (2008 DA 38288). The Court ruled, under the standardization of high schools where a faith-based school accepts students irrespective of their faith, that if a religious school provides students with religious education in the form of specific denominational education rather than as generic liberal arts classes with religious neutrality, and if such religious education is deemed to have exceeded the acceptable limits in consideration of the contents, continuity, students’ consent, and possibility to choose an alternative class or reject participation in the religious education, such education may be deemed illegal.</w:t>
      </w:r>
      <w:r w:rsidR="00120D8B" w:rsidRPr="00222917">
        <w:rPr>
          <w:lang w:val="en-US"/>
        </w:rPr>
        <w:t xml:space="preserve"> </w:t>
      </w:r>
    </w:p>
    <w:p w:rsidR="002D5BB0" w:rsidRPr="00222917" w:rsidRDefault="00794B5A" w:rsidP="00794B5A">
      <w:pPr>
        <w:pStyle w:val="H1G"/>
        <w:rPr>
          <w:lang w:val="en-US"/>
        </w:rPr>
      </w:pPr>
      <w:bookmarkStart w:id="211" w:name="_Toc307504127"/>
      <w:bookmarkStart w:id="212" w:name="_Toc336435899"/>
      <w:r w:rsidRPr="00222917">
        <w:rPr>
          <w:lang w:val="en-US"/>
        </w:rPr>
        <w:tab/>
      </w:r>
      <w:r w:rsidRPr="00222917">
        <w:rPr>
          <w:lang w:val="en-US"/>
        </w:rPr>
        <w:tab/>
      </w:r>
      <w:r w:rsidR="002D5BB0" w:rsidRPr="00222917">
        <w:rPr>
          <w:lang w:val="en-US"/>
        </w:rPr>
        <w:t>Paragraph 3</w:t>
      </w:r>
      <w:bookmarkEnd w:id="211"/>
      <w:bookmarkEnd w:id="212"/>
    </w:p>
    <w:p w:rsidR="002D5BB0" w:rsidRPr="00222917" w:rsidRDefault="00794B5A" w:rsidP="00794B5A">
      <w:pPr>
        <w:pStyle w:val="H23G"/>
        <w:rPr>
          <w:lang w:val="en-US"/>
        </w:rPr>
      </w:pPr>
      <w:bookmarkStart w:id="213" w:name="_Toc307504128"/>
      <w:bookmarkStart w:id="214" w:name="_Toc336435900"/>
      <w:r w:rsidRPr="00222917">
        <w:rPr>
          <w:lang w:val="en-US"/>
        </w:rPr>
        <w:tab/>
      </w:r>
      <w:r w:rsidRPr="00222917">
        <w:rPr>
          <w:lang w:val="en-US"/>
        </w:rPr>
        <w:tab/>
      </w:r>
      <w:r w:rsidR="002D5BB0" w:rsidRPr="00222917">
        <w:rPr>
          <w:lang w:val="en-US"/>
        </w:rPr>
        <w:t>Conscientious Objectors to Military Service for Religious Reasons, etc.</w:t>
      </w:r>
      <w:bookmarkEnd w:id="213"/>
      <w:bookmarkEnd w:id="214"/>
    </w:p>
    <w:p w:rsidR="002D5BB0" w:rsidRPr="00222917" w:rsidRDefault="00547908" w:rsidP="00547908">
      <w:pPr>
        <w:pStyle w:val="SingleTxtG"/>
        <w:rPr>
          <w:lang w:val="en-US"/>
        </w:rPr>
      </w:pPr>
      <w:r w:rsidRPr="00222917">
        <w:rPr>
          <w:lang w:val="en-US"/>
        </w:rPr>
        <w:t>265.</w:t>
      </w:r>
      <w:r w:rsidRPr="00222917">
        <w:rPr>
          <w:lang w:val="en-US"/>
        </w:rPr>
        <w:tab/>
      </w:r>
      <w:r w:rsidR="002D5BB0" w:rsidRPr="00222917">
        <w:rPr>
          <w:lang w:val="en-US"/>
        </w:rPr>
        <w:t xml:space="preserve">The Committee recommended that the Government take all necessary measures to recognize the rights of </w:t>
      </w:r>
      <w:r w:rsidR="002D5BB0" w:rsidRPr="00222917">
        <w:rPr>
          <w:bCs/>
          <w:lang w:val="en-US"/>
        </w:rPr>
        <w:t>conscientious</w:t>
      </w:r>
      <w:r w:rsidR="002D5BB0" w:rsidRPr="00222917">
        <w:rPr>
          <w:lang w:val="en-US"/>
        </w:rPr>
        <w:t xml:space="preserve"> objectors in order for them to be exempted from military service, and it urged the Government to bring leg</w:t>
      </w:r>
      <w:r w:rsidR="00605700" w:rsidRPr="00222917">
        <w:rPr>
          <w:lang w:val="en-US"/>
        </w:rPr>
        <w:t xml:space="preserve">islation into line with </w:t>
      </w:r>
      <w:r w:rsidR="00D53C1B" w:rsidRPr="00222917">
        <w:rPr>
          <w:lang w:val="en-US"/>
        </w:rPr>
        <w:t>a</w:t>
      </w:r>
      <w:r w:rsidR="00605700" w:rsidRPr="00222917">
        <w:rPr>
          <w:lang w:val="en-US"/>
        </w:rPr>
        <w:t>rticle </w:t>
      </w:r>
      <w:r w:rsidR="002D5BB0" w:rsidRPr="00222917">
        <w:rPr>
          <w:lang w:val="en-US"/>
        </w:rPr>
        <w:t>18 of the Covenan</w:t>
      </w:r>
      <w:r w:rsidR="00794B5A" w:rsidRPr="00222917">
        <w:rPr>
          <w:lang w:val="en-US"/>
        </w:rPr>
        <w:t>t (CCPR/C/KOR/CO/3, para. </w:t>
      </w:r>
      <w:r w:rsidR="002D5BB0" w:rsidRPr="00222917">
        <w:rPr>
          <w:lang w:val="en-US"/>
        </w:rPr>
        <w:t xml:space="preserve">17). </w:t>
      </w:r>
    </w:p>
    <w:p w:rsidR="002D5BB0" w:rsidRPr="00222917" w:rsidRDefault="00547908" w:rsidP="00547908">
      <w:pPr>
        <w:pStyle w:val="SingleTxtG"/>
        <w:rPr>
          <w:lang w:val="en-US"/>
        </w:rPr>
      </w:pPr>
      <w:r w:rsidRPr="00222917">
        <w:rPr>
          <w:lang w:val="en-US"/>
        </w:rPr>
        <w:t>266.</w:t>
      </w:r>
      <w:r w:rsidRPr="00222917">
        <w:rPr>
          <w:lang w:val="en-US"/>
        </w:rPr>
        <w:tab/>
      </w:r>
      <w:r w:rsidR="002D5BB0" w:rsidRPr="00222917">
        <w:rPr>
          <w:lang w:val="en-US"/>
        </w:rPr>
        <w:t xml:space="preserve">The military tension between the </w:t>
      </w:r>
      <w:smartTag w:uri="urn:schemas-microsoft-com:office:smarttags" w:element="PlaceType">
        <w:r w:rsidR="002D5BB0" w:rsidRPr="00222917">
          <w:rPr>
            <w:lang w:val="en-US"/>
          </w:rPr>
          <w:t>Republic</w:t>
        </w:r>
      </w:smartTag>
      <w:r w:rsidR="002D5BB0" w:rsidRPr="00222917">
        <w:rPr>
          <w:lang w:val="en-US"/>
        </w:rPr>
        <w:t xml:space="preserve"> of </w:t>
      </w:r>
      <w:smartTag w:uri="urn:schemas-microsoft-com:office:smarttags" w:element="PlaceName">
        <w:r w:rsidR="002D5BB0" w:rsidRPr="00222917">
          <w:rPr>
            <w:lang w:val="en-US"/>
          </w:rPr>
          <w:t>Korea</w:t>
        </w:r>
      </w:smartTag>
      <w:r w:rsidR="002D5BB0" w:rsidRPr="00222917">
        <w:rPr>
          <w:lang w:val="en-US"/>
        </w:rPr>
        <w:t xml:space="preserve"> and </w:t>
      </w:r>
      <w:smartTag w:uri="urn:schemas-microsoft-com:office:smarttags" w:element="place">
        <w:smartTag w:uri="urn:schemas-microsoft-com:office:smarttags" w:element="country-region">
          <w:r w:rsidR="002D5BB0" w:rsidRPr="00222917">
            <w:rPr>
              <w:lang w:val="en-US"/>
            </w:rPr>
            <w:t>North Korea</w:t>
          </w:r>
        </w:smartTag>
      </w:smartTag>
      <w:r w:rsidR="002D5BB0" w:rsidRPr="00222917">
        <w:rPr>
          <w:lang w:val="en-US"/>
        </w:rPr>
        <w:t>, the issues of recognition of conscientious objectors, and the alternative service system are as stated in the third re</w:t>
      </w:r>
      <w:r w:rsidR="00794B5A" w:rsidRPr="00222917">
        <w:rPr>
          <w:lang w:val="en-US"/>
        </w:rPr>
        <w:t>port (CCPR/C/KOR/2005/3, paras. </w:t>
      </w:r>
      <w:r w:rsidR="002D5BB0" w:rsidRPr="00222917">
        <w:rPr>
          <w:lang w:val="en-US"/>
        </w:rPr>
        <w:t>271</w:t>
      </w:r>
      <w:r w:rsidR="00794B5A" w:rsidRPr="00222917">
        <w:rPr>
          <w:lang w:val="en-US"/>
        </w:rPr>
        <w:t xml:space="preserve"> and </w:t>
      </w:r>
      <w:r w:rsidR="002D5BB0" w:rsidRPr="00222917">
        <w:rPr>
          <w:lang w:val="en-US"/>
        </w:rPr>
        <w:t xml:space="preserve">272). </w:t>
      </w:r>
    </w:p>
    <w:p w:rsidR="002D5BB0" w:rsidRPr="00222917" w:rsidRDefault="00547908" w:rsidP="00547908">
      <w:pPr>
        <w:pStyle w:val="SingleTxtG"/>
        <w:rPr>
          <w:lang w:val="en-US"/>
        </w:rPr>
      </w:pPr>
      <w:r w:rsidRPr="00222917">
        <w:rPr>
          <w:lang w:val="en-US"/>
        </w:rPr>
        <w:t>267.</w:t>
      </w:r>
      <w:r w:rsidRPr="00222917">
        <w:rPr>
          <w:lang w:val="en-US"/>
        </w:rPr>
        <w:tab/>
      </w:r>
      <w:r w:rsidR="002D5BB0" w:rsidRPr="00222917">
        <w:rPr>
          <w:lang w:val="en-US"/>
        </w:rPr>
        <w:t xml:space="preserve">To recognize alternative service in the Republic of Korea, the following is taken into consideration: practical problems with the recognition of objectors based on their conscience or religious faith or the introduction of an alternative service system under the current mandatory military service system, securing social integration and stable pluralism, and difficulties with providing alternative service commensurate with compulsory military service, among other issues. </w:t>
      </w:r>
    </w:p>
    <w:p w:rsidR="002D5BB0" w:rsidRPr="00222917" w:rsidRDefault="00547908" w:rsidP="00547908">
      <w:pPr>
        <w:pStyle w:val="SingleTxtG"/>
        <w:rPr>
          <w:lang w:val="en-US"/>
        </w:rPr>
      </w:pPr>
      <w:r w:rsidRPr="00222917">
        <w:rPr>
          <w:lang w:val="en-US"/>
        </w:rPr>
        <w:t>268.</w:t>
      </w:r>
      <w:r w:rsidRPr="00222917">
        <w:rPr>
          <w:lang w:val="en-US"/>
        </w:rPr>
        <w:tab/>
      </w:r>
      <w:r w:rsidR="002D5BB0" w:rsidRPr="00222917">
        <w:rPr>
          <w:lang w:val="en-US"/>
        </w:rPr>
        <w:t>The Ministry of Defense continues to conduct research in recognition of the difficulties in introducing such alternative service system. Although it ran the Alternative Service System Research Committee (17 members) from April 2006 through April 2007, it</w:t>
      </w:r>
      <w:r w:rsidR="00794B5A" w:rsidRPr="00222917">
        <w:rPr>
          <w:lang w:val="en-US"/>
        </w:rPr>
        <w:t> </w:t>
      </w:r>
      <w:r w:rsidR="002D5BB0" w:rsidRPr="00222917">
        <w:rPr>
          <w:lang w:val="en-US"/>
        </w:rPr>
        <w:t xml:space="preserve">decided to defer its decision thereon after it judged that adequate national consensus had not been reached in consideration of the results of an opinion poll conducted in December 2008 by Research &amp; Research, an external polling company (Against 68.1%; For 28.9%; Do not Know 3%), and the results of public hearings. The Ministry is expected to conduct the poll again in the future. When adequate public consensus is deemed to be reached, the Ministry will actively consider whether to introduce the alternative service system. The poll is expected to be conducted in consultation with polling companies and the National Defense Committee of National Assembly sometime in the latter part of 2011. The public sense of threat to national security in relation to military service has been elevated. According to the 2010 Social Survey performed by the Korea National Statistical Office on 26 October 2010, 28.8% of respondents answered national security (war, North Korean nuclear programs, etc.), 21.1% said crime, 15.4% said economic risk, and 7% said lack of morality is the greatest threat to social safety. Compared to 2008, the number of people who were most concerned about national security increased 18.3%. Maintenance of adequate military manpower to cope with national security threats is an issue that must be taken into account in introducing the alternative service system. </w:t>
      </w:r>
    </w:p>
    <w:p w:rsidR="002D5BB0" w:rsidRPr="00222917" w:rsidRDefault="00547908" w:rsidP="00547908">
      <w:pPr>
        <w:pStyle w:val="SingleTxtG"/>
        <w:rPr>
          <w:lang w:val="en-US"/>
        </w:rPr>
      </w:pPr>
      <w:r w:rsidRPr="00222917">
        <w:rPr>
          <w:lang w:val="en-US"/>
        </w:rPr>
        <w:t>269.</w:t>
      </w:r>
      <w:r w:rsidRPr="00222917">
        <w:rPr>
          <w:lang w:val="en-US"/>
        </w:rPr>
        <w:tab/>
      </w:r>
      <w:r w:rsidR="002D5BB0" w:rsidRPr="00222917">
        <w:rPr>
          <w:lang w:val="en-US"/>
        </w:rPr>
        <w:t xml:space="preserve">On 26 August 2004, the </w:t>
      </w:r>
      <w:smartTag w:uri="urn:schemas-microsoft-com:office:smarttags" w:element="Street">
        <w:smartTag w:uri="urn:schemas-microsoft-com:office:smarttags" w:element="address">
          <w:r w:rsidR="002D5BB0" w:rsidRPr="00222917">
            <w:rPr>
              <w:lang w:val="en-US"/>
            </w:rPr>
            <w:t>Constitutional Court</w:t>
          </w:r>
        </w:smartTag>
      </w:smartTag>
      <w:r w:rsidR="002D5BB0" w:rsidRPr="00222917">
        <w:rPr>
          <w:lang w:val="en-US"/>
        </w:rPr>
        <w:t xml:space="preserve"> ruled that the Government’s not introducing the alternative service system was not a violation of an individual’s freedom of conscience. According to the </w:t>
      </w:r>
      <w:smartTag w:uri="urn:schemas-microsoft-com:office:smarttags" w:element="Street">
        <w:smartTag w:uri="urn:schemas-microsoft-com:office:smarttags" w:element="address">
          <w:r w:rsidR="002D5BB0" w:rsidRPr="00222917">
            <w:rPr>
              <w:lang w:val="en-US"/>
            </w:rPr>
            <w:t>Constitutional Court</w:t>
          </w:r>
        </w:smartTag>
      </w:smartTag>
      <w:r w:rsidR="002D5BB0" w:rsidRPr="00222917">
        <w:rPr>
          <w:lang w:val="en-US"/>
        </w:rPr>
        <w:t xml:space="preserve"> decision, the freedom of conscience is a right to requiring the Government to protect an individual’s conscience but does not allow </w:t>
      </w:r>
      <w:r w:rsidR="002D5BB0" w:rsidRPr="000850F5">
        <w:rPr>
          <w:iCs/>
          <w:lang w:val="en-US"/>
        </w:rPr>
        <w:t>per se</w:t>
      </w:r>
      <w:r w:rsidR="002D5BB0" w:rsidRPr="00222917">
        <w:rPr>
          <w:lang w:val="en-US"/>
        </w:rPr>
        <w:t xml:space="preserve"> an individual to deny other legal obligations or to ask for alternative obligation. The</w:t>
      </w:r>
      <w:r w:rsidR="00605700" w:rsidRPr="00222917">
        <w:rPr>
          <w:lang w:val="en-US"/>
        </w:rPr>
        <w:t> </w:t>
      </w:r>
      <w:r w:rsidR="002D5BB0" w:rsidRPr="00222917">
        <w:rPr>
          <w:lang w:val="en-US"/>
        </w:rPr>
        <w:t xml:space="preserve">Court also ruled that </w:t>
      </w:r>
      <w:r w:rsidR="002D5BB0" w:rsidRPr="00222917">
        <w:rPr>
          <w:bCs/>
          <w:lang w:val="en-US"/>
        </w:rPr>
        <w:t>given</w:t>
      </w:r>
      <w:r w:rsidR="002D5BB0" w:rsidRPr="00222917">
        <w:rPr>
          <w:lang w:val="en-US"/>
        </w:rPr>
        <w:t xml:space="preserve"> the national security situation of </w:t>
      </w:r>
      <w:smartTag w:uri="urn:schemas-microsoft-com:office:smarttags" w:element="place">
        <w:smartTag w:uri="urn:schemas-microsoft-com:office:smarttags" w:element="country-region">
          <w:r w:rsidR="002D5BB0" w:rsidRPr="00222917">
            <w:rPr>
              <w:lang w:val="en-US"/>
            </w:rPr>
            <w:t>Korea</w:t>
          </w:r>
        </w:smartTag>
      </w:smartTag>
      <w:r w:rsidR="002D5BB0" w:rsidRPr="00222917">
        <w:rPr>
          <w:lang w:val="en-US"/>
        </w:rPr>
        <w:t xml:space="preserve">, the public’s demand for equity in conscription, and a wide range of possible restrictive elements concomitant with the adoption of the alternative service system, at the present stage, it was difficult to rule the Government’s not introducing the alternative service system to be unconstitutional. However, the Constitutional Court also ruled that legislators should provide an alternative system that does not counter the public interest or legal order so as to mitigate individual conflicts due to freedom of conscience, and recommended that they establish alternative systems such as the alternative service system (2001 HUN-GA 1). </w:t>
      </w:r>
    </w:p>
    <w:p w:rsidR="002D5BB0" w:rsidRPr="00222917" w:rsidRDefault="00547908" w:rsidP="00547908">
      <w:pPr>
        <w:pStyle w:val="SingleTxtG"/>
        <w:rPr>
          <w:lang w:val="en-US"/>
        </w:rPr>
      </w:pPr>
      <w:r w:rsidRPr="00222917">
        <w:rPr>
          <w:lang w:val="en-US"/>
        </w:rPr>
        <w:t>270.</w:t>
      </w:r>
      <w:r w:rsidRPr="00222917">
        <w:rPr>
          <w:lang w:val="en-US"/>
        </w:rPr>
        <w:tab/>
      </w:r>
      <w:r w:rsidR="002D5BB0" w:rsidRPr="00222917">
        <w:rPr>
          <w:lang w:val="en-US"/>
        </w:rPr>
        <w:t xml:space="preserve">On 15 July 2004, the Supreme Court also ruled that because a military obligation to ensure national </w:t>
      </w:r>
      <w:r w:rsidR="002D5BB0" w:rsidRPr="00222917">
        <w:rPr>
          <w:bCs/>
          <w:lang w:val="en-US"/>
        </w:rPr>
        <w:t>security</w:t>
      </w:r>
      <w:r w:rsidR="002D5BB0" w:rsidRPr="00222917">
        <w:rPr>
          <w:lang w:val="en-US"/>
        </w:rPr>
        <w:t xml:space="preserve"> is to guarantee people’s human dignity and value, it is difficult to declare that individual freedom of conscience supersedes military obligation, which is of constitutional int</w:t>
      </w:r>
      <w:r w:rsidR="00A94611" w:rsidRPr="00222917">
        <w:rPr>
          <w:lang w:val="en-US"/>
        </w:rPr>
        <w:t xml:space="preserve">erest. The provision of </w:t>
      </w:r>
      <w:r w:rsidR="00D53C1B" w:rsidRPr="00222917">
        <w:rPr>
          <w:lang w:val="en-US"/>
        </w:rPr>
        <w:t>a</w:t>
      </w:r>
      <w:r w:rsidR="00A94611" w:rsidRPr="00222917">
        <w:rPr>
          <w:lang w:val="en-US"/>
        </w:rPr>
        <w:t>rticle </w:t>
      </w:r>
      <w:r w:rsidR="002D5BB0" w:rsidRPr="00222917">
        <w:rPr>
          <w:lang w:val="en-US"/>
        </w:rPr>
        <w:t xml:space="preserve">88 (1) of the </w:t>
      </w:r>
      <w:r w:rsidR="002D5BB0" w:rsidRPr="000850F5">
        <w:rPr>
          <w:iCs/>
          <w:lang w:val="en-US"/>
        </w:rPr>
        <w:t>Military Service Act</w:t>
      </w:r>
      <w:r w:rsidR="002D5BB0" w:rsidRPr="00222917">
        <w:rPr>
          <w:lang w:val="en-US"/>
        </w:rPr>
        <w:t xml:space="preserve"> is, therefore, a justifiable limitation under the Constitution (2004 DO 2965). </w:t>
      </w:r>
    </w:p>
    <w:p w:rsidR="002D5BB0" w:rsidRPr="00222917" w:rsidRDefault="00547908" w:rsidP="00547908">
      <w:pPr>
        <w:pStyle w:val="SingleTxtG"/>
        <w:rPr>
          <w:lang w:val="en-US"/>
        </w:rPr>
      </w:pPr>
      <w:r w:rsidRPr="00222917">
        <w:rPr>
          <w:lang w:val="en-US"/>
        </w:rPr>
        <w:t>271.</w:t>
      </w:r>
      <w:r w:rsidRPr="00222917">
        <w:rPr>
          <w:lang w:val="en-US"/>
        </w:rPr>
        <w:tab/>
      </w:r>
      <w:r w:rsidR="002D5BB0" w:rsidRPr="00222917">
        <w:rPr>
          <w:lang w:val="en-US"/>
        </w:rPr>
        <w:t xml:space="preserve">The following table shows the status of punishment and criminal dispositions imposed upon the </w:t>
      </w:r>
      <w:r w:rsidR="002D5BB0" w:rsidRPr="00222917">
        <w:rPr>
          <w:bCs/>
          <w:lang w:val="en-US"/>
        </w:rPr>
        <w:t>persons</w:t>
      </w:r>
      <w:r w:rsidR="002D5BB0" w:rsidRPr="00222917">
        <w:rPr>
          <w:lang w:val="en-US"/>
        </w:rPr>
        <w:t xml:space="preserve"> who refused to enlist and join the manual exercise: </w:t>
      </w:r>
    </w:p>
    <w:p w:rsidR="002D5BB0" w:rsidRPr="00222917" w:rsidRDefault="00794B5A" w:rsidP="00794B5A">
      <w:pPr>
        <w:pStyle w:val="H23G"/>
        <w:rPr>
          <w:lang w:val="en-US"/>
        </w:rPr>
      </w:pPr>
      <w:r w:rsidRPr="00222917">
        <w:rPr>
          <w:lang w:val="en-US"/>
        </w:rPr>
        <w:tab/>
      </w:r>
      <w:r w:rsidRPr="00222917">
        <w:rPr>
          <w:lang w:val="en-US"/>
        </w:rPr>
        <w:tab/>
      </w:r>
      <w:r w:rsidR="002D5BB0" w:rsidRPr="00222917">
        <w:rPr>
          <w:lang w:val="en-US"/>
        </w:rPr>
        <w:t>Punishments against Persons who Refused to Enlist and to Join Manual Exercise</w:t>
      </w:r>
      <w:r w:rsidRPr="00222917">
        <w:rPr>
          <w:lang w:val="en-US"/>
        </w:rPr>
        <w:br/>
      </w:r>
      <w:r w:rsidR="002D5BB0" w:rsidRPr="00222917">
        <w:rPr>
          <w:b w:val="0"/>
          <w:sz w:val="16"/>
          <w:szCs w:val="16"/>
          <w:lang w:val="en-US"/>
        </w:rPr>
        <w:t>(As of December 31, 2010)</w:t>
      </w:r>
    </w:p>
    <w:tbl>
      <w:tblPr>
        <w:tblW w:w="0" w:type="auto"/>
        <w:tblInd w:w="1134" w:type="dxa"/>
        <w:tblBorders>
          <w:top w:val="single" w:sz="4" w:space="0" w:color="auto"/>
        </w:tblBorders>
        <w:tblLayout w:type="fixed"/>
        <w:tblCellMar>
          <w:left w:w="0" w:type="dxa"/>
          <w:right w:w="0" w:type="dxa"/>
        </w:tblCellMar>
        <w:tblLook w:val="00A0"/>
      </w:tblPr>
      <w:tblGrid>
        <w:gridCol w:w="1021"/>
        <w:gridCol w:w="907"/>
        <w:gridCol w:w="907"/>
        <w:gridCol w:w="907"/>
        <w:gridCol w:w="907"/>
        <w:gridCol w:w="907"/>
        <w:gridCol w:w="907"/>
        <w:gridCol w:w="907"/>
      </w:tblGrid>
      <w:tr w:rsidR="008F6543" w:rsidRPr="00222917" w:rsidTr="00605700">
        <w:trPr>
          <w:tblHeader/>
        </w:trPr>
        <w:tc>
          <w:tcPr>
            <w:tcW w:w="1021"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605700">
            <w:pPr>
              <w:pStyle w:val="SingleTxtG"/>
              <w:suppressAutoHyphens w:val="0"/>
              <w:spacing w:before="80" w:after="80" w:line="200" w:lineRule="exact"/>
              <w:ind w:left="0" w:right="0"/>
              <w:jc w:val="left"/>
              <w:rPr>
                <w:i/>
                <w:sz w:val="16"/>
                <w:lang w:val="en-US"/>
              </w:rPr>
            </w:pPr>
            <w:r w:rsidRPr="00222917">
              <w:rPr>
                <w:i/>
                <w:sz w:val="16"/>
                <w:lang w:val="en-US"/>
              </w:rPr>
              <w:t>Description</w:t>
            </w:r>
          </w:p>
        </w:tc>
        <w:tc>
          <w:tcPr>
            <w:tcW w:w="907"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605700">
            <w:pPr>
              <w:pStyle w:val="SingleTxtG"/>
              <w:suppressAutoHyphens w:val="0"/>
              <w:spacing w:before="80" w:after="80" w:line="200" w:lineRule="exact"/>
              <w:ind w:left="0" w:right="0"/>
              <w:jc w:val="right"/>
              <w:rPr>
                <w:b/>
                <w:i/>
                <w:sz w:val="16"/>
                <w:lang w:val="en-US"/>
              </w:rPr>
            </w:pPr>
            <w:r w:rsidRPr="00222917">
              <w:rPr>
                <w:b/>
                <w:i/>
                <w:sz w:val="16"/>
                <w:lang w:val="en-US"/>
              </w:rPr>
              <w:t>Total</w:t>
            </w:r>
          </w:p>
        </w:tc>
        <w:tc>
          <w:tcPr>
            <w:tcW w:w="907"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605700">
            <w:pPr>
              <w:pStyle w:val="SingleTxtG"/>
              <w:suppressAutoHyphens w:val="0"/>
              <w:spacing w:before="80" w:after="80" w:line="200" w:lineRule="exact"/>
              <w:ind w:left="0" w:right="0"/>
              <w:jc w:val="right"/>
              <w:rPr>
                <w:i/>
                <w:sz w:val="16"/>
                <w:lang w:val="en-US"/>
              </w:rPr>
            </w:pPr>
            <w:r w:rsidRPr="00222917">
              <w:rPr>
                <w:i/>
                <w:sz w:val="16"/>
                <w:lang w:val="en-US"/>
              </w:rPr>
              <w:t>2005</w:t>
            </w:r>
          </w:p>
        </w:tc>
        <w:tc>
          <w:tcPr>
            <w:tcW w:w="907"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605700">
            <w:pPr>
              <w:pStyle w:val="SingleTxtG"/>
              <w:suppressAutoHyphens w:val="0"/>
              <w:spacing w:before="80" w:after="80" w:line="200" w:lineRule="exact"/>
              <w:ind w:left="0" w:right="0"/>
              <w:jc w:val="right"/>
              <w:rPr>
                <w:i/>
                <w:sz w:val="16"/>
                <w:lang w:val="en-US"/>
              </w:rPr>
            </w:pPr>
            <w:r w:rsidRPr="00222917">
              <w:rPr>
                <w:i/>
                <w:sz w:val="16"/>
                <w:lang w:val="en-US"/>
              </w:rPr>
              <w:t>2006</w:t>
            </w:r>
          </w:p>
        </w:tc>
        <w:tc>
          <w:tcPr>
            <w:tcW w:w="907"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605700">
            <w:pPr>
              <w:pStyle w:val="SingleTxtG"/>
              <w:suppressAutoHyphens w:val="0"/>
              <w:spacing w:before="80" w:after="80" w:line="200" w:lineRule="exact"/>
              <w:ind w:left="0" w:right="0"/>
              <w:jc w:val="right"/>
              <w:rPr>
                <w:i/>
                <w:sz w:val="16"/>
                <w:lang w:val="en-US"/>
              </w:rPr>
            </w:pPr>
            <w:r w:rsidRPr="00222917">
              <w:rPr>
                <w:i/>
                <w:sz w:val="16"/>
                <w:lang w:val="en-US"/>
              </w:rPr>
              <w:t>2007</w:t>
            </w:r>
          </w:p>
        </w:tc>
        <w:tc>
          <w:tcPr>
            <w:tcW w:w="907"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605700">
            <w:pPr>
              <w:pStyle w:val="SingleTxtG"/>
              <w:suppressAutoHyphens w:val="0"/>
              <w:spacing w:before="80" w:after="80" w:line="200" w:lineRule="exact"/>
              <w:ind w:left="0" w:right="0"/>
              <w:jc w:val="right"/>
              <w:rPr>
                <w:i/>
                <w:sz w:val="16"/>
                <w:lang w:val="en-US"/>
              </w:rPr>
            </w:pPr>
            <w:r w:rsidRPr="00222917">
              <w:rPr>
                <w:i/>
                <w:sz w:val="16"/>
                <w:lang w:val="en-US"/>
              </w:rPr>
              <w:t>2008</w:t>
            </w:r>
          </w:p>
        </w:tc>
        <w:tc>
          <w:tcPr>
            <w:tcW w:w="907"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605700">
            <w:pPr>
              <w:pStyle w:val="SingleTxtG"/>
              <w:suppressAutoHyphens w:val="0"/>
              <w:spacing w:before="80" w:after="80" w:line="200" w:lineRule="exact"/>
              <w:ind w:left="0" w:right="0"/>
              <w:jc w:val="right"/>
              <w:rPr>
                <w:i/>
                <w:sz w:val="16"/>
                <w:lang w:val="en-US"/>
              </w:rPr>
            </w:pPr>
            <w:r w:rsidRPr="00222917">
              <w:rPr>
                <w:i/>
                <w:sz w:val="16"/>
                <w:lang w:val="en-US"/>
              </w:rPr>
              <w:t>2009</w:t>
            </w:r>
          </w:p>
        </w:tc>
        <w:tc>
          <w:tcPr>
            <w:tcW w:w="907"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605700">
            <w:pPr>
              <w:pStyle w:val="SingleTxtG"/>
              <w:suppressAutoHyphens w:val="0"/>
              <w:spacing w:before="80" w:after="80" w:line="200" w:lineRule="exact"/>
              <w:ind w:left="0" w:right="0"/>
              <w:jc w:val="right"/>
              <w:rPr>
                <w:i/>
                <w:sz w:val="16"/>
                <w:lang w:val="en-US"/>
              </w:rPr>
            </w:pPr>
            <w:r w:rsidRPr="00222917">
              <w:rPr>
                <w:i/>
                <w:sz w:val="16"/>
                <w:lang w:val="en-US"/>
              </w:rPr>
              <w:t>2010</w:t>
            </w:r>
          </w:p>
        </w:tc>
      </w:tr>
      <w:tr w:rsidR="008F6543" w:rsidRPr="00222917" w:rsidTr="00605700">
        <w:tc>
          <w:tcPr>
            <w:tcW w:w="1021" w:type="dxa"/>
            <w:tcBorders>
              <w:top w:val="single" w:sz="12" w:space="0" w:color="auto"/>
            </w:tcBorders>
            <w:shd w:val="clear" w:color="auto" w:fill="auto"/>
            <w:tcMar>
              <w:top w:w="28" w:type="dxa"/>
              <w:left w:w="28" w:type="dxa"/>
              <w:bottom w:w="28" w:type="dxa"/>
              <w:right w:w="28" w:type="dxa"/>
            </w:tcMar>
          </w:tcPr>
          <w:p w:rsidR="002D5BB0" w:rsidRPr="00222917" w:rsidRDefault="002D5BB0" w:rsidP="00605700">
            <w:pPr>
              <w:pStyle w:val="SingleTxtG"/>
              <w:suppressAutoHyphens w:val="0"/>
              <w:spacing w:before="40" w:after="40" w:line="220" w:lineRule="exact"/>
              <w:ind w:left="0" w:right="0"/>
              <w:jc w:val="left"/>
              <w:rPr>
                <w:sz w:val="18"/>
                <w:lang w:val="en-US"/>
              </w:rPr>
            </w:pPr>
            <w:r w:rsidRPr="00222917">
              <w:rPr>
                <w:sz w:val="18"/>
                <w:lang w:val="en-US"/>
              </w:rPr>
              <w:t>Persons</w:t>
            </w:r>
          </w:p>
        </w:tc>
        <w:tc>
          <w:tcPr>
            <w:tcW w:w="907" w:type="dxa"/>
            <w:tcBorders>
              <w:top w:val="single" w:sz="12" w:space="0" w:color="auto"/>
            </w:tcBorders>
            <w:shd w:val="clear" w:color="auto" w:fill="auto"/>
            <w:tcMar>
              <w:top w:w="28" w:type="dxa"/>
              <w:left w:w="28" w:type="dxa"/>
              <w:bottom w:w="28" w:type="dxa"/>
              <w:right w:w="28" w:type="dxa"/>
            </w:tcMar>
            <w:vAlign w:val="bottom"/>
          </w:tcPr>
          <w:p w:rsidR="002D5BB0" w:rsidRPr="00222917" w:rsidRDefault="002D5BB0" w:rsidP="00605700">
            <w:pPr>
              <w:pStyle w:val="SingleTxtG"/>
              <w:suppressAutoHyphens w:val="0"/>
              <w:spacing w:before="40" w:after="40" w:line="220" w:lineRule="exact"/>
              <w:ind w:left="0" w:right="0"/>
              <w:jc w:val="right"/>
              <w:rPr>
                <w:b/>
                <w:sz w:val="18"/>
                <w:lang w:val="en-US"/>
              </w:rPr>
            </w:pPr>
            <w:r w:rsidRPr="00222917">
              <w:rPr>
                <w:b/>
                <w:sz w:val="18"/>
                <w:lang w:val="en-US"/>
              </w:rPr>
              <w:t>3,674</w:t>
            </w:r>
          </w:p>
        </w:tc>
        <w:tc>
          <w:tcPr>
            <w:tcW w:w="907" w:type="dxa"/>
            <w:tcBorders>
              <w:top w:val="single" w:sz="12" w:space="0" w:color="auto"/>
            </w:tcBorders>
            <w:shd w:val="clear" w:color="auto" w:fill="auto"/>
            <w:tcMar>
              <w:top w:w="28" w:type="dxa"/>
              <w:left w:w="28" w:type="dxa"/>
              <w:bottom w:w="28" w:type="dxa"/>
              <w:right w:w="28" w:type="dxa"/>
            </w:tcMar>
            <w:vAlign w:val="bottom"/>
          </w:tcPr>
          <w:p w:rsidR="002D5BB0" w:rsidRPr="00222917" w:rsidRDefault="002D5BB0" w:rsidP="00605700">
            <w:pPr>
              <w:pStyle w:val="SingleTxtG"/>
              <w:suppressAutoHyphens w:val="0"/>
              <w:spacing w:before="40" w:after="40" w:line="220" w:lineRule="exact"/>
              <w:ind w:left="0" w:right="0"/>
              <w:jc w:val="right"/>
              <w:rPr>
                <w:sz w:val="18"/>
                <w:lang w:val="en-US"/>
              </w:rPr>
            </w:pPr>
            <w:r w:rsidRPr="00222917">
              <w:rPr>
                <w:sz w:val="18"/>
                <w:lang w:val="en-US"/>
              </w:rPr>
              <w:t>828</w:t>
            </w:r>
          </w:p>
        </w:tc>
        <w:tc>
          <w:tcPr>
            <w:tcW w:w="907" w:type="dxa"/>
            <w:tcBorders>
              <w:top w:val="single" w:sz="12" w:space="0" w:color="auto"/>
            </w:tcBorders>
            <w:shd w:val="clear" w:color="auto" w:fill="auto"/>
            <w:tcMar>
              <w:top w:w="28" w:type="dxa"/>
              <w:left w:w="28" w:type="dxa"/>
              <w:bottom w:w="28" w:type="dxa"/>
              <w:right w:w="28" w:type="dxa"/>
            </w:tcMar>
            <w:vAlign w:val="bottom"/>
          </w:tcPr>
          <w:p w:rsidR="002D5BB0" w:rsidRPr="00222917" w:rsidRDefault="002D5BB0" w:rsidP="00605700">
            <w:pPr>
              <w:pStyle w:val="SingleTxtG"/>
              <w:suppressAutoHyphens w:val="0"/>
              <w:spacing w:before="40" w:after="40" w:line="220" w:lineRule="exact"/>
              <w:ind w:left="0" w:right="0"/>
              <w:jc w:val="right"/>
              <w:rPr>
                <w:sz w:val="18"/>
                <w:lang w:val="en-US"/>
              </w:rPr>
            </w:pPr>
            <w:r w:rsidRPr="00222917">
              <w:rPr>
                <w:sz w:val="18"/>
                <w:lang w:val="en-US"/>
              </w:rPr>
              <w:t>781</w:t>
            </w:r>
          </w:p>
        </w:tc>
        <w:tc>
          <w:tcPr>
            <w:tcW w:w="907" w:type="dxa"/>
            <w:tcBorders>
              <w:top w:val="single" w:sz="12" w:space="0" w:color="auto"/>
            </w:tcBorders>
            <w:shd w:val="clear" w:color="auto" w:fill="auto"/>
            <w:tcMar>
              <w:top w:w="28" w:type="dxa"/>
              <w:left w:w="28" w:type="dxa"/>
              <w:bottom w:w="28" w:type="dxa"/>
              <w:right w:w="28" w:type="dxa"/>
            </w:tcMar>
            <w:vAlign w:val="bottom"/>
          </w:tcPr>
          <w:p w:rsidR="002D5BB0" w:rsidRPr="00222917" w:rsidRDefault="002D5BB0" w:rsidP="00605700">
            <w:pPr>
              <w:pStyle w:val="SingleTxtG"/>
              <w:suppressAutoHyphens w:val="0"/>
              <w:spacing w:before="40" w:after="40" w:line="220" w:lineRule="exact"/>
              <w:ind w:left="0" w:right="0"/>
              <w:jc w:val="right"/>
              <w:rPr>
                <w:sz w:val="18"/>
                <w:lang w:val="en-US"/>
              </w:rPr>
            </w:pPr>
            <w:r w:rsidRPr="00222917">
              <w:rPr>
                <w:sz w:val="18"/>
                <w:lang w:val="en-US"/>
              </w:rPr>
              <w:t>571</w:t>
            </w:r>
          </w:p>
        </w:tc>
        <w:tc>
          <w:tcPr>
            <w:tcW w:w="907" w:type="dxa"/>
            <w:tcBorders>
              <w:top w:val="single" w:sz="12" w:space="0" w:color="auto"/>
            </w:tcBorders>
            <w:shd w:val="clear" w:color="auto" w:fill="auto"/>
            <w:tcMar>
              <w:top w:w="28" w:type="dxa"/>
              <w:left w:w="28" w:type="dxa"/>
              <w:bottom w:w="28" w:type="dxa"/>
              <w:right w:w="28" w:type="dxa"/>
            </w:tcMar>
            <w:vAlign w:val="bottom"/>
          </w:tcPr>
          <w:p w:rsidR="002D5BB0" w:rsidRPr="00222917" w:rsidRDefault="002D5BB0" w:rsidP="00605700">
            <w:pPr>
              <w:pStyle w:val="SingleTxtG"/>
              <w:suppressAutoHyphens w:val="0"/>
              <w:spacing w:before="40" w:after="40" w:line="220" w:lineRule="exact"/>
              <w:ind w:left="0" w:right="0"/>
              <w:jc w:val="right"/>
              <w:rPr>
                <w:sz w:val="18"/>
                <w:lang w:val="en-US"/>
              </w:rPr>
            </w:pPr>
            <w:r w:rsidRPr="00222917">
              <w:rPr>
                <w:sz w:val="18"/>
                <w:lang w:val="en-US"/>
              </w:rPr>
              <w:t>375</w:t>
            </w:r>
          </w:p>
        </w:tc>
        <w:tc>
          <w:tcPr>
            <w:tcW w:w="907" w:type="dxa"/>
            <w:tcBorders>
              <w:top w:val="single" w:sz="12" w:space="0" w:color="auto"/>
            </w:tcBorders>
            <w:shd w:val="clear" w:color="auto" w:fill="auto"/>
            <w:tcMar>
              <w:top w:w="28" w:type="dxa"/>
              <w:left w:w="28" w:type="dxa"/>
              <w:bottom w:w="28" w:type="dxa"/>
              <w:right w:w="28" w:type="dxa"/>
            </w:tcMar>
            <w:vAlign w:val="bottom"/>
          </w:tcPr>
          <w:p w:rsidR="002D5BB0" w:rsidRPr="00222917" w:rsidRDefault="002D5BB0" w:rsidP="00605700">
            <w:pPr>
              <w:pStyle w:val="SingleTxtG"/>
              <w:suppressAutoHyphens w:val="0"/>
              <w:spacing w:before="40" w:after="40" w:line="220" w:lineRule="exact"/>
              <w:ind w:left="0" w:right="0"/>
              <w:jc w:val="right"/>
              <w:rPr>
                <w:sz w:val="18"/>
                <w:lang w:val="en-US"/>
              </w:rPr>
            </w:pPr>
            <w:r w:rsidRPr="00222917">
              <w:rPr>
                <w:sz w:val="18"/>
                <w:lang w:val="en-US"/>
              </w:rPr>
              <w:t>728</w:t>
            </w:r>
          </w:p>
        </w:tc>
        <w:tc>
          <w:tcPr>
            <w:tcW w:w="907" w:type="dxa"/>
            <w:tcBorders>
              <w:top w:val="single" w:sz="12" w:space="0" w:color="auto"/>
            </w:tcBorders>
            <w:shd w:val="clear" w:color="auto" w:fill="auto"/>
            <w:tcMar>
              <w:top w:w="28" w:type="dxa"/>
              <w:left w:w="28" w:type="dxa"/>
              <w:bottom w:w="28" w:type="dxa"/>
              <w:right w:w="28" w:type="dxa"/>
            </w:tcMar>
            <w:vAlign w:val="bottom"/>
          </w:tcPr>
          <w:p w:rsidR="002D5BB0" w:rsidRPr="00222917" w:rsidRDefault="002D5BB0" w:rsidP="00605700">
            <w:pPr>
              <w:pStyle w:val="SingleTxtG"/>
              <w:suppressAutoHyphens w:val="0"/>
              <w:spacing w:before="40" w:after="40" w:line="220" w:lineRule="exact"/>
              <w:ind w:left="0" w:right="0"/>
              <w:jc w:val="right"/>
              <w:rPr>
                <w:sz w:val="18"/>
                <w:lang w:val="en-US"/>
              </w:rPr>
            </w:pPr>
            <w:r w:rsidRPr="00222917">
              <w:rPr>
                <w:sz w:val="18"/>
                <w:lang w:val="en-US"/>
              </w:rPr>
              <w:t>721</w:t>
            </w:r>
          </w:p>
        </w:tc>
      </w:tr>
      <w:tr w:rsidR="008F6543" w:rsidRPr="00222917" w:rsidTr="00680EB5">
        <w:tc>
          <w:tcPr>
            <w:tcW w:w="6463" w:type="dxa"/>
            <w:gridSpan w:val="7"/>
            <w:shd w:val="clear" w:color="auto" w:fill="auto"/>
            <w:tcMar>
              <w:top w:w="28" w:type="dxa"/>
              <w:left w:w="28" w:type="dxa"/>
              <w:bottom w:w="28" w:type="dxa"/>
              <w:right w:w="28" w:type="dxa"/>
            </w:tcMar>
          </w:tcPr>
          <w:p w:rsidR="002D5BB0" w:rsidRPr="00222917" w:rsidRDefault="002D5BB0" w:rsidP="00605700">
            <w:pPr>
              <w:pStyle w:val="SingleTxtG"/>
              <w:suppressAutoHyphens w:val="0"/>
              <w:spacing w:before="40" w:after="40" w:line="220" w:lineRule="exact"/>
              <w:ind w:left="0" w:right="0"/>
              <w:jc w:val="center"/>
              <w:rPr>
                <w:sz w:val="18"/>
                <w:lang w:val="en-US"/>
              </w:rPr>
            </w:pPr>
            <w:r w:rsidRPr="00222917">
              <w:rPr>
                <w:sz w:val="18"/>
                <w:lang w:val="en-US"/>
              </w:rPr>
              <w:pict>
                <v:shape id="_x211012024" o:spid="_x0000_i1026" type="#_x0000_t75" alt="DRW000015282396" style="width:59.25pt;height:12.75pt;visibility:visible">
                  <v:imagedata r:id="rId8" o:title=""/>
                </v:shape>
              </w:pict>
            </w:r>
          </w:p>
        </w:tc>
        <w:tc>
          <w:tcPr>
            <w:tcW w:w="907" w:type="dxa"/>
            <w:shd w:val="clear" w:color="auto" w:fill="auto"/>
            <w:tcMar>
              <w:top w:w="28" w:type="dxa"/>
              <w:left w:w="28" w:type="dxa"/>
              <w:bottom w:w="28" w:type="dxa"/>
              <w:right w:w="28" w:type="dxa"/>
            </w:tcMar>
            <w:vAlign w:val="bottom"/>
          </w:tcPr>
          <w:p w:rsidR="002D5BB0" w:rsidRPr="00222917" w:rsidRDefault="002D5BB0" w:rsidP="00605700">
            <w:pPr>
              <w:pStyle w:val="SingleTxtG"/>
              <w:suppressAutoHyphens w:val="0"/>
              <w:spacing w:before="40" w:after="40" w:line="220" w:lineRule="exact"/>
              <w:ind w:left="0" w:right="0"/>
              <w:jc w:val="right"/>
              <w:rPr>
                <w:sz w:val="18"/>
                <w:lang w:val="en-US"/>
              </w:rPr>
            </w:pPr>
          </w:p>
        </w:tc>
      </w:tr>
      <w:tr w:rsidR="008F6543" w:rsidRPr="00222917" w:rsidTr="00680EB5">
        <w:tc>
          <w:tcPr>
            <w:tcW w:w="1021" w:type="dxa"/>
            <w:shd w:val="clear" w:color="auto" w:fill="auto"/>
            <w:tcMar>
              <w:top w:w="28" w:type="dxa"/>
              <w:left w:w="28" w:type="dxa"/>
              <w:bottom w:w="28" w:type="dxa"/>
              <w:right w:w="28" w:type="dxa"/>
            </w:tcMar>
          </w:tcPr>
          <w:p w:rsidR="002D5BB0" w:rsidRPr="00222917" w:rsidRDefault="002D5BB0" w:rsidP="00605700">
            <w:pPr>
              <w:pStyle w:val="SingleTxtG"/>
              <w:suppressAutoHyphens w:val="0"/>
              <w:spacing w:before="40" w:after="40" w:line="220" w:lineRule="exact"/>
              <w:ind w:left="0" w:right="0"/>
              <w:jc w:val="left"/>
              <w:rPr>
                <w:sz w:val="18"/>
                <w:lang w:val="en-US"/>
              </w:rPr>
            </w:pPr>
            <w:r w:rsidRPr="00222917">
              <w:rPr>
                <w:sz w:val="18"/>
                <w:lang w:val="en-US"/>
              </w:rPr>
              <w:t>Type</w:t>
            </w:r>
          </w:p>
        </w:tc>
        <w:tc>
          <w:tcPr>
            <w:tcW w:w="5442" w:type="dxa"/>
            <w:gridSpan w:val="6"/>
            <w:shd w:val="clear" w:color="auto" w:fill="auto"/>
            <w:tcMar>
              <w:top w:w="28" w:type="dxa"/>
              <w:left w:w="28" w:type="dxa"/>
              <w:bottom w:w="28" w:type="dxa"/>
              <w:right w:w="28" w:type="dxa"/>
            </w:tcMar>
          </w:tcPr>
          <w:p w:rsidR="002D5BB0" w:rsidRPr="00222917" w:rsidRDefault="002D5BB0" w:rsidP="00605700">
            <w:pPr>
              <w:pStyle w:val="SingleTxtG"/>
              <w:suppressAutoHyphens w:val="0"/>
              <w:spacing w:before="40" w:after="40" w:line="220" w:lineRule="exact"/>
              <w:ind w:left="0" w:right="0"/>
              <w:jc w:val="left"/>
              <w:rPr>
                <w:sz w:val="18"/>
                <w:lang w:val="en-US"/>
              </w:rPr>
            </w:pPr>
            <w:r w:rsidRPr="00222917">
              <w:rPr>
                <w:sz w:val="18"/>
                <w:lang w:val="en-US"/>
              </w:rPr>
              <w:t xml:space="preserve">3,755 persons in active service; 249 replacements </w:t>
            </w:r>
          </w:p>
        </w:tc>
        <w:tc>
          <w:tcPr>
            <w:tcW w:w="907" w:type="dxa"/>
            <w:shd w:val="clear" w:color="auto" w:fill="auto"/>
            <w:tcMar>
              <w:top w:w="28" w:type="dxa"/>
              <w:left w:w="28" w:type="dxa"/>
              <w:bottom w:w="28" w:type="dxa"/>
              <w:right w:w="28" w:type="dxa"/>
            </w:tcMar>
            <w:vAlign w:val="bottom"/>
          </w:tcPr>
          <w:p w:rsidR="002D5BB0" w:rsidRPr="00222917" w:rsidRDefault="002D5BB0" w:rsidP="00605700">
            <w:pPr>
              <w:pStyle w:val="SingleTxtG"/>
              <w:suppressAutoHyphens w:val="0"/>
              <w:spacing w:before="40" w:after="40" w:line="220" w:lineRule="exact"/>
              <w:ind w:left="0" w:right="0"/>
              <w:jc w:val="right"/>
              <w:rPr>
                <w:sz w:val="18"/>
                <w:lang w:val="en-US"/>
              </w:rPr>
            </w:pPr>
          </w:p>
        </w:tc>
      </w:tr>
      <w:tr w:rsidR="00680EB5" w:rsidRPr="00222917" w:rsidTr="00680EB5">
        <w:tc>
          <w:tcPr>
            <w:tcW w:w="1021" w:type="dxa"/>
            <w:tcBorders>
              <w:bottom w:val="single" w:sz="12" w:space="0" w:color="auto"/>
            </w:tcBorders>
            <w:shd w:val="clear" w:color="auto" w:fill="auto"/>
            <w:tcMar>
              <w:top w:w="28" w:type="dxa"/>
              <w:left w:w="28" w:type="dxa"/>
              <w:bottom w:w="28" w:type="dxa"/>
              <w:right w:w="28" w:type="dxa"/>
            </w:tcMar>
          </w:tcPr>
          <w:p w:rsidR="00680EB5" w:rsidRPr="00222917" w:rsidRDefault="00680EB5" w:rsidP="00605700">
            <w:pPr>
              <w:pStyle w:val="SingleTxtG"/>
              <w:suppressAutoHyphens w:val="0"/>
              <w:spacing w:before="40" w:after="40" w:line="220" w:lineRule="exact"/>
              <w:ind w:left="0" w:right="0"/>
              <w:jc w:val="left"/>
              <w:rPr>
                <w:sz w:val="18"/>
                <w:lang w:val="en-US"/>
              </w:rPr>
            </w:pPr>
            <w:r w:rsidRPr="00222917">
              <w:rPr>
                <w:sz w:val="18"/>
                <w:lang w:val="en-US"/>
              </w:rPr>
              <w:t>Reason</w:t>
            </w:r>
          </w:p>
        </w:tc>
        <w:tc>
          <w:tcPr>
            <w:tcW w:w="6349" w:type="dxa"/>
            <w:gridSpan w:val="7"/>
            <w:tcBorders>
              <w:bottom w:val="single" w:sz="12" w:space="0" w:color="auto"/>
            </w:tcBorders>
            <w:shd w:val="clear" w:color="auto" w:fill="auto"/>
            <w:tcMar>
              <w:top w:w="28" w:type="dxa"/>
              <w:left w:w="28" w:type="dxa"/>
              <w:bottom w:w="28" w:type="dxa"/>
              <w:right w:w="28" w:type="dxa"/>
            </w:tcMar>
            <w:vAlign w:val="bottom"/>
          </w:tcPr>
          <w:p w:rsidR="00680EB5" w:rsidRPr="00222917" w:rsidRDefault="00680EB5" w:rsidP="00680EB5">
            <w:pPr>
              <w:pStyle w:val="SingleTxtG"/>
              <w:suppressAutoHyphens w:val="0"/>
              <w:spacing w:before="40" w:after="40" w:line="220" w:lineRule="exact"/>
              <w:ind w:left="0" w:right="0"/>
              <w:jc w:val="left"/>
              <w:rPr>
                <w:sz w:val="18"/>
                <w:lang w:val="en-US"/>
              </w:rPr>
            </w:pPr>
            <w:r w:rsidRPr="00222917">
              <w:rPr>
                <w:sz w:val="18"/>
                <w:lang w:val="en-US"/>
              </w:rPr>
              <w:t xml:space="preserve">Religious reasons: 3,975 persons (1 Buddhist; 3,974 Jehovah’s Witnesses) </w:t>
            </w:r>
          </w:p>
          <w:p w:rsidR="00680EB5" w:rsidRPr="00222917" w:rsidRDefault="00680EB5" w:rsidP="00680EB5">
            <w:pPr>
              <w:pStyle w:val="SingleTxtG"/>
              <w:suppressAutoHyphens w:val="0"/>
              <w:spacing w:before="40" w:after="40" w:line="220" w:lineRule="exact"/>
              <w:ind w:left="0" w:right="0"/>
              <w:jc w:val="left"/>
              <w:rPr>
                <w:sz w:val="18"/>
                <w:lang w:val="en-US"/>
              </w:rPr>
            </w:pPr>
            <w:r w:rsidRPr="00222917">
              <w:rPr>
                <w:sz w:val="18"/>
                <w:lang w:val="en-US"/>
              </w:rPr>
              <w:t>Non-religious reasons: 29 persons (based on conviction such as opposition to war, pacifism, Catholic doctrines, etc.)</w:t>
            </w:r>
          </w:p>
        </w:tc>
      </w:tr>
    </w:tbl>
    <w:p w:rsidR="002D5BB0" w:rsidRPr="00222917" w:rsidRDefault="00794B5A" w:rsidP="00A727C1">
      <w:pPr>
        <w:pStyle w:val="H23G"/>
        <w:rPr>
          <w:b w:val="0"/>
          <w:sz w:val="16"/>
          <w:szCs w:val="16"/>
          <w:lang w:val="en-US"/>
        </w:rPr>
      </w:pPr>
      <w:r w:rsidRPr="00222917">
        <w:rPr>
          <w:lang w:val="en-US"/>
        </w:rPr>
        <w:tab/>
      </w:r>
      <w:r w:rsidRPr="00222917">
        <w:rPr>
          <w:lang w:val="en-US"/>
        </w:rPr>
        <w:tab/>
      </w:r>
      <w:r w:rsidR="002D5BB0" w:rsidRPr="00222917">
        <w:rPr>
          <w:lang w:val="en-US"/>
        </w:rPr>
        <w:t>Punishments According to Sentence</w:t>
      </w:r>
      <w:r w:rsidRPr="00222917">
        <w:rPr>
          <w:lang w:val="en-US"/>
        </w:rPr>
        <w:br/>
      </w:r>
      <w:r w:rsidR="002D5BB0" w:rsidRPr="00222917">
        <w:rPr>
          <w:b w:val="0"/>
          <w:sz w:val="16"/>
          <w:szCs w:val="16"/>
          <w:lang w:val="en-US"/>
        </w:rPr>
        <w:t>(As of December 31, 2010)</w:t>
      </w:r>
    </w:p>
    <w:tbl>
      <w:tblPr>
        <w:tblW w:w="8505" w:type="dxa"/>
        <w:tblInd w:w="1134" w:type="dxa"/>
        <w:tblBorders>
          <w:top w:val="single" w:sz="4" w:space="0" w:color="auto"/>
        </w:tblBorders>
        <w:tblLayout w:type="fixed"/>
        <w:tblCellMar>
          <w:left w:w="0" w:type="dxa"/>
          <w:right w:w="0" w:type="dxa"/>
        </w:tblCellMar>
        <w:tblLook w:val="00A0"/>
      </w:tblPr>
      <w:tblGrid>
        <w:gridCol w:w="1418"/>
        <w:gridCol w:w="1418"/>
        <w:gridCol w:w="1418"/>
        <w:gridCol w:w="1417"/>
        <w:gridCol w:w="1417"/>
        <w:gridCol w:w="1417"/>
      </w:tblGrid>
      <w:tr w:rsidR="008F6543" w:rsidRPr="00222917" w:rsidTr="007951CD">
        <w:trPr>
          <w:tblHeader/>
        </w:trPr>
        <w:tc>
          <w:tcPr>
            <w:tcW w:w="1418"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A727C1">
            <w:pPr>
              <w:pStyle w:val="SingleTxtG"/>
              <w:keepNext/>
              <w:keepLines/>
              <w:suppressAutoHyphens w:val="0"/>
              <w:spacing w:before="80" w:after="80" w:line="200" w:lineRule="exact"/>
              <w:ind w:left="0" w:right="0"/>
              <w:jc w:val="left"/>
              <w:rPr>
                <w:i/>
                <w:sz w:val="16"/>
                <w:lang w:val="en-US"/>
              </w:rPr>
            </w:pPr>
            <w:r w:rsidRPr="00222917">
              <w:rPr>
                <w:i/>
                <w:sz w:val="16"/>
                <w:lang w:val="en-US"/>
              </w:rPr>
              <w:t>Description</w:t>
            </w:r>
          </w:p>
        </w:tc>
        <w:tc>
          <w:tcPr>
            <w:tcW w:w="1418"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A727C1">
            <w:pPr>
              <w:pStyle w:val="SingleTxtG"/>
              <w:keepNext/>
              <w:keepLines/>
              <w:suppressAutoHyphens w:val="0"/>
              <w:spacing w:before="80" w:after="80" w:line="200" w:lineRule="exact"/>
              <w:ind w:left="0" w:right="0"/>
              <w:jc w:val="left"/>
              <w:rPr>
                <w:b/>
                <w:i/>
                <w:sz w:val="16"/>
                <w:lang w:val="en-US"/>
              </w:rPr>
            </w:pPr>
            <w:r w:rsidRPr="00222917">
              <w:rPr>
                <w:b/>
                <w:i/>
                <w:sz w:val="16"/>
                <w:lang w:val="en-US"/>
              </w:rPr>
              <w:t>Total</w:t>
            </w:r>
          </w:p>
        </w:tc>
        <w:tc>
          <w:tcPr>
            <w:tcW w:w="1418"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A727C1">
            <w:pPr>
              <w:pStyle w:val="SingleTxtG"/>
              <w:keepNext/>
              <w:keepLines/>
              <w:suppressAutoHyphens w:val="0"/>
              <w:spacing w:before="80" w:after="80" w:line="200" w:lineRule="exact"/>
              <w:ind w:left="0" w:right="0"/>
              <w:jc w:val="left"/>
              <w:rPr>
                <w:i/>
                <w:sz w:val="16"/>
                <w:lang w:val="en-US"/>
              </w:rPr>
            </w:pPr>
            <w:r w:rsidRPr="00222917">
              <w:rPr>
                <w:i/>
                <w:sz w:val="16"/>
                <w:lang w:val="en-US"/>
              </w:rPr>
              <w:t>Imprisonment</w:t>
            </w:r>
          </w:p>
        </w:tc>
        <w:tc>
          <w:tcPr>
            <w:tcW w:w="1418"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A727C1">
            <w:pPr>
              <w:pStyle w:val="SingleTxtG"/>
              <w:keepNext/>
              <w:keepLines/>
              <w:suppressAutoHyphens w:val="0"/>
              <w:spacing w:before="80" w:after="80" w:line="200" w:lineRule="exact"/>
              <w:ind w:left="0" w:right="0"/>
              <w:jc w:val="left"/>
              <w:rPr>
                <w:i/>
                <w:sz w:val="16"/>
                <w:lang w:val="en-US"/>
              </w:rPr>
            </w:pPr>
            <w:r w:rsidRPr="00222917">
              <w:rPr>
                <w:i/>
                <w:sz w:val="16"/>
                <w:lang w:val="en-US"/>
              </w:rPr>
              <w:t>Stay of execution</w:t>
            </w:r>
          </w:p>
        </w:tc>
        <w:tc>
          <w:tcPr>
            <w:tcW w:w="1418"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A727C1">
            <w:pPr>
              <w:pStyle w:val="SingleTxtG"/>
              <w:keepNext/>
              <w:keepLines/>
              <w:suppressAutoHyphens w:val="0"/>
              <w:spacing w:before="80" w:after="80" w:line="200" w:lineRule="exact"/>
              <w:ind w:left="0" w:right="0"/>
              <w:jc w:val="left"/>
              <w:rPr>
                <w:i/>
                <w:sz w:val="16"/>
                <w:lang w:val="en-US"/>
              </w:rPr>
            </w:pPr>
            <w:r w:rsidRPr="00222917">
              <w:rPr>
                <w:i/>
                <w:sz w:val="16"/>
                <w:lang w:val="en-US"/>
              </w:rPr>
              <w:t>On trial</w:t>
            </w:r>
          </w:p>
        </w:tc>
        <w:tc>
          <w:tcPr>
            <w:tcW w:w="1418"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A727C1">
            <w:pPr>
              <w:pStyle w:val="SingleTxtG"/>
              <w:keepNext/>
              <w:keepLines/>
              <w:suppressAutoHyphens w:val="0"/>
              <w:spacing w:before="80" w:after="80" w:line="200" w:lineRule="exact"/>
              <w:ind w:left="0" w:right="0"/>
              <w:jc w:val="left"/>
              <w:rPr>
                <w:i/>
                <w:sz w:val="16"/>
                <w:lang w:val="en-US"/>
              </w:rPr>
            </w:pPr>
            <w:r w:rsidRPr="00222917">
              <w:rPr>
                <w:i/>
                <w:sz w:val="16"/>
                <w:lang w:val="en-US"/>
              </w:rPr>
              <w:t>Other</w:t>
            </w:r>
          </w:p>
        </w:tc>
      </w:tr>
      <w:tr w:rsidR="008F6543" w:rsidRPr="00222917" w:rsidTr="007951CD">
        <w:tc>
          <w:tcPr>
            <w:tcW w:w="1418" w:type="dxa"/>
            <w:tcBorders>
              <w:top w:val="single" w:sz="12" w:space="0" w:color="auto"/>
            </w:tcBorders>
            <w:shd w:val="clear" w:color="auto" w:fill="auto"/>
            <w:tcMar>
              <w:top w:w="28" w:type="dxa"/>
              <w:left w:w="28" w:type="dxa"/>
              <w:bottom w:w="28" w:type="dxa"/>
              <w:right w:w="28" w:type="dxa"/>
            </w:tcMar>
          </w:tcPr>
          <w:p w:rsidR="002D5BB0" w:rsidRPr="00222917" w:rsidRDefault="002D5BB0" w:rsidP="00A727C1">
            <w:pPr>
              <w:pStyle w:val="SingleTxtG"/>
              <w:keepNext/>
              <w:keepLines/>
              <w:suppressAutoHyphens w:val="0"/>
              <w:spacing w:before="40" w:after="40" w:line="220" w:lineRule="exact"/>
              <w:ind w:left="0" w:right="0"/>
              <w:jc w:val="left"/>
              <w:rPr>
                <w:sz w:val="18"/>
                <w:lang w:val="en-US"/>
              </w:rPr>
            </w:pPr>
            <w:r w:rsidRPr="00222917">
              <w:rPr>
                <w:sz w:val="18"/>
                <w:lang w:val="en-US"/>
              </w:rPr>
              <w:t>Persons</w:t>
            </w:r>
          </w:p>
        </w:tc>
        <w:tc>
          <w:tcPr>
            <w:tcW w:w="1418" w:type="dxa"/>
            <w:tcBorders>
              <w:top w:val="single" w:sz="12" w:space="0" w:color="auto"/>
            </w:tcBorders>
            <w:shd w:val="clear" w:color="auto" w:fill="auto"/>
            <w:tcMar>
              <w:top w:w="28" w:type="dxa"/>
              <w:left w:w="28" w:type="dxa"/>
              <w:bottom w:w="28" w:type="dxa"/>
              <w:right w:w="28" w:type="dxa"/>
            </w:tcMar>
            <w:vAlign w:val="bottom"/>
          </w:tcPr>
          <w:p w:rsidR="002D5BB0" w:rsidRPr="00222917" w:rsidRDefault="002D5BB0" w:rsidP="00A727C1">
            <w:pPr>
              <w:pStyle w:val="SingleTxtG"/>
              <w:keepNext/>
              <w:keepLines/>
              <w:suppressAutoHyphens w:val="0"/>
              <w:spacing w:before="40" w:after="40" w:line="220" w:lineRule="exact"/>
              <w:ind w:left="0" w:right="0"/>
              <w:jc w:val="left"/>
              <w:rPr>
                <w:b/>
                <w:sz w:val="18"/>
                <w:lang w:val="en-US"/>
              </w:rPr>
            </w:pPr>
            <w:r w:rsidRPr="00222917">
              <w:rPr>
                <w:b/>
                <w:sz w:val="18"/>
                <w:lang w:val="en-US"/>
              </w:rPr>
              <w:t>4,004 (100%)</w:t>
            </w:r>
          </w:p>
        </w:tc>
        <w:tc>
          <w:tcPr>
            <w:tcW w:w="1418" w:type="dxa"/>
            <w:tcBorders>
              <w:top w:val="single" w:sz="12" w:space="0" w:color="auto"/>
            </w:tcBorders>
            <w:shd w:val="clear" w:color="auto" w:fill="auto"/>
            <w:tcMar>
              <w:top w:w="28" w:type="dxa"/>
              <w:left w:w="28" w:type="dxa"/>
              <w:bottom w:w="28" w:type="dxa"/>
              <w:right w:w="28" w:type="dxa"/>
            </w:tcMar>
            <w:vAlign w:val="bottom"/>
          </w:tcPr>
          <w:p w:rsidR="002D5BB0" w:rsidRPr="00222917" w:rsidRDefault="002D5BB0" w:rsidP="00A727C1">
            <w:pPr>
              <w:pStyle w:val="SingleTxtG"/>
              <w:keepNext/>
              <w:keepLines/>
              <w:suppressAutoHyphens w:val="0"/>
              <w:spacing w:before="40" w:after="40" w:line="220" w:lineRule="exact"/>
              <w:ind w:left="0" w:right="0"/>
              <w:jc w:val="left"/>
              <w:rPr>
                <w:sz w:val="18"/>
                <w:lang w:val="en-US"/>
              </w:rPr>
            </w:pPr>
            <w:r w:rsidRPr="00222917">
              <w:rPr>
                <w:sz w:val="18"/>
                <w:lang w:val="en-US"/>
              </w:rPr>
              <w:t>3,459 (86.4%)</w:t>
            </w:r>
          </w:p>
        </w:tc>
        <w:tc>
          <w:tcPr>
            <w:tcW w:w="1418" w:type="dxa"/>
            <w:tcBorders>
              <w:top w:val="single" w:sz="12" w:space="0" w:color="auto"/>
            </w:tcBorders>
            <w:shd w:val="clear" w:color="auto" w:fill="auto"/>
            <w:tcMar>
              <w:top w:w="28" w:type="dxa"/>
              <w:left w:w="28" w:type="dxa"/>
              <w:bottom w:w="28" w:type="dxa"/>
              <w:right w:w="28" w:type="dxa"/>
            </w:tcMar>
            <w:vAlign w:val="bottom"/>
          </w:tcPr>
          <w:p w:rsidR="002D5BB0" w:rsidRPr="00222917" w:rsidRDefault="002D5BB0" w:rsidP="00A727C1">
            <w:pPr>
              <w:pStyle w:val="SingleTxtG"/>
              <w:keepNext/>
              <w:keepLines/>
              <w:suppressAutoHyphens w:val="0"/>
              <w:spacing w:before="40" w:after="40" w:line="220" w:lineRule="exact"/>
              <w:ind w:left="0" w:right="0"/>
              <w:jc w:val="left"/>
              <w:rPr>
                <w:sz w:val="18"/>
                <w:lang w:val="en-US"/>
              </w:rPr>
            </w:pPr>
            <w:r w:rsidRPr="00222917">
              <w:rPr>
                <w:sz w:val="18"/>
                <w:lang w:val="en-US"/>
              </w:rPr>
              <w:t>12 (0.3%)</w:t>
            </w:r>
          </w:p>
        </w:tc>
        <w:tc>
          <w:tcPr>
            <w:tcW w:w="1418" w:type="dxa"/>
            <w:tcBorders>
              <w:top w:val="single" w:sz="12" w:space="0" w:color="auto"/>
            </w:tcBorders>
            <w:shd w:val="clear" w:color="auto" w:fill="auto"/>
            <w:tcMar>
              <w:top w:w="28" w:type="dxa"/>
              <w:left w:w="28" w:type="dxa"/>
              <w:bottom w:w="28" w:type="dxa"/>
              <w:right w:w="28" w:type="dxa"/>
            </w:tcMar>
            <w:vAlign w:val="bottom"/>
          </w:tcPr>
          <w:p w:rsidR="002D5BB0" w:rsidRPr="00222917" w:rsidRDefault="002D5BB0" w:rsidP="00A727C1">
            <w:pPr>
              <w:pStyle w:val="SingleTxtG"/>
              <w:keepNext/>
              <w:keepLines/>
              <w:suppressAutoHyphens w:val="0"/>
              <w:spacing w:before="40" w:after="40" w:line="220" w:lineRule="exact"/>
              <w:ind w:left="0" w:right="0"/>
              <w:jc w:val="left"/>
              <w:rPr>
                <w:sz w:val="18"/>
                <w:lang w:val="en-US"/>
              </w:rPr>
            </w:pPr>
            <w:r w:rsidRPr="00222917">
              <w:rPr>
                <w:sz w:val="18"/>
                <w:lang w:val="en-US"/>
              </w:rPr>
              <w:t>495 (12.4%)</w:t>
            </w:r>
          </w:p>
        </w:tc>
        <w:tc>
          <w:tcPr>
            <w:tcW w:w="1418" w:type="dxa"/>
            <w:tcBorders>
              <w:top w:val="single" w:sz="12" w:space="0" w:color="auto"/>
            </w:tcBorders>
            <w:shd w:val="clear" w:color="auto" w:fill="auto"/>
            <w:tcMar>
              <w:top w:w="28" w:type="dxa"/>
              <w:left w:w="28" w:type="dxa"/>
              <w:bottom w:w="28" w:type="dxa"/>
              <w:right w:w="28" w:type="dxa"/>
            </w:tcMar>
            <w:vAlign w:val="bottom"/>
          </w:tcPr>
          <w:p w:rsidR="002D5BB0" w:rsidRPr="00222917" w:rsidRDefault="002D5BB0" w:rsidP="00A727C1">
            <w:pPr>
              <w:pStyle w:val="SingleTxtG"/>
              <w:keepNext/>
              <w:keepLines/>
              <w:suppressAutoHyphens w:val="0"/>
              <w:spacing w:before="40" w:after="40" w:line="220" w:lineRule="exact"/>
              <w:ind w:left="0" w:right="0"/>
              <w:jc w:val="left"/>
              <w:rPr>
                <w:sz w:val="18"/>
                <w:lang w:val="en-US"/>
              </w:rPr>
            </w:pPr>
            <w:r w:rsidRPr="00222917">
              <w:rPr>
                <w:sz w:val="18"/>
                <w:lang w:val="en-US"/>
              </w:rPr>
              <w:t>38 (1.0%)</w:t>
            </w:r>
          </w:p>
        </w:tc>
      </w:tr>
      <w:tr w:rsidR="008F6543" w:rsidRPr="00222917" w:rsidTr="007951CD">
        <w:tc>
          <w:tcPr>
            <w:tcW w:w="1418" w:type="dxa"/>
            <w:tcBorders>
              <w:bottom w:val="single" w:sz="12" w:space="0" w:color="auto"/>
            </w:tcBorders>
            <w:shd w:val="clear" w:color="auto" w:fill="auto"/>
            <w:tcMar>
              <w:top w:w="28" w:type="dxa"/>
              <w:left w:w="28" w:type="dxa"/>
              <w:bottom w:w="28" w:type="dxa"/>
              <w:right w:w="28" w:type="dxa"/>
            </w:tcMar>
            <w:vAlign w:val="center"/>
          </w:tcPr>
          <w:p w:rsidR="002D5BB0" w:rsidRPr="00222917" w:rsidRDefault="002D5BB0" w:rsidP="00E213B3">
            <w:pPr>
              <w:pStyle w:val="SingleTxtG"/>
              <w:suppressAutoHyphens w:val="0"/>
              <w:spacing w:before="40" w:after="40" w:line="220" w:lineRule="exact"/>
              <w:ind w:left="0" w:right="0"/>
              <w:jc w:val="left"/>
              <w:rPr>
                <w:sz w:val="18"/>
                <w:lang w:val="en-US"/>
              </w:rPr>
            </w:pPr>
            <w:r w:rsidRPr="00222917">
              <w:rPr>
                <w:sz w:val="18"/>
                <w:lang w:val="en-US"/>
              </w:rPr>
              <w:t>Remarks</w:t>
            </w:r>
          </w:p>
        </w:tc>
        <w:tc>
          <w:tcPr>
            <w:tcW w:w="1418" w:type="dxa"/>
            <w:tcBorders>
              <w:bottom w:val="single" w:sz="12" w:space="0" w:color="auto"/>
            </w:tcBorders>
            <w:shd w:val="clear" w:color="auto" w:fill="auto"/>
            <w:tcMar>
              <w:top w:w="28" w:type="dxa"/>
              <w:left w:w="28" w:type="dxa"/>
              <w:bottom w:w="28" w:type="dxa"/>
              <w:right w:w="28" w:type="dxa"/>
            </w:tcMar>
            <w:vAlign w:val="bottom"/>
          </w:tcPr>
          <w:p w:rsidR="002D5BB0" w:rsidRPr="00222917" w:rsidRDefault="002D5BB0" w:rsidP="00465B4D">
            <w:pPr>
              <w:pStyle w:val="SingleTxtG"/>
              <w:suppressAutoHyphens w:val="0"/>
              <w:spacing w:before="40" w:after="40" w:line="220" w:lineRule="exact"/>
              <w:ind w:left="0" w:right="0"/>
              <w:jc w:val="right"/>
              <w:rPr>
                <w:b/>
                <w:sz w:val="18"/>
                <w:lang w:val="en-US"/>
              </w:rPr>
            </w:pPr>
          </w:p>
        </w:tc>
        <w:tc>
          <w:tcPr>
            <w:tcW w:w="1418" w:type="dxa"/>
            <w:tcBorders>
              <w:bottom w:val="single" w:sz="12" w:space="0" w:color="auto"/>
            </w:tcBorders>
            <w:shd w:val="clear" w:color="auto" w:fill="auto"/>
            <w:tcMar>
              <w:top w:w="28" w:type="dxa"/>
              <w:left w:w="28" w:type="dxa"/>
              <w:bottom w:w="28" w:type="dxa"/>
              <w:right w:w="28" w:type="dxa"/>
            </w:tcMar>
            <w:vAlign w:val="bottom"/>
          </w:tcPr>
          <w:p w:rsidR="002D5BB0" w:rsidRPr="00222917" w:rsidRDefault="00EB5799" w:rsidP="00EB5799">
            <w:pPr>
              <w:pStyle w:val="SingleTxtG"/>
              <w:suppressAutoHyphens w:val="0"/>
              <w:spacing w:before="40" w:after="40" w:line="220" w:lineRule="exact"/>
              <w:ind w:left="0" w:right="0"/>
              <w:jc w:val="left"/>
              <w:rPr>
                <w:sz w:val="18"/>
                <w:lang w:val="en-US"/>
              </w:rPr>
            </w:pPr>
            <w:r w:rsidRPr="00222917">
              <w:rPr>
                <w:rFonts w:eastAsia="MS Mincho"/>
                <w:sz w:val="18"/>
                <w:lang w:val="en-US"/>
              </w:rPr>
              <w:t>M</w:t>
            </w:r>
            <w:r w:rsidR="002D5BB0" w:rsidRPr="00222917">
              <w:rPr>
                <w:sz w:val="18"/>
                <w:lang w:val="en-US"/>
              </w:rPr>
              <w:t>ore than 2</w:t>
            </w:r>
            <w:r w:rsidRPr="00222917">
              <w:rPr>
                <w:sz w:val="18"/>
                <w:lang w:val="en-US"/>
              </w:rPr>
              <w:t> </w:t>
            </w:r>
            <w:r w:rsidR="002D5BB0" w:rsidRPr="00222917">
              <w:rPr>
                <w:sz w:val="18"/>
                <w:lang w:val="en-US"/>
              </w:rPr>
              <w:t>years: 2</w:t>
            </w:r>
            <w:r w:rsidRPr="00222917">
              <w:rPr>
                <w:sz w:val="18"/>
                <w:lang w:val="en-US"/>
              </w:rPr>
              <w:t> </w:t>
            </w:r>
            <w:r w:rsidR="002D5BB0" w:rsidRPr="00222917">
              <w:rPr>
                <w:sz w:val="18"/>
                <w:lang w:val="en-US"/>
              </w:rPr>
              <w:t>persons</w:t>
            </w:r>
          </w:p>
          <w:p w:rsidR="002D5BB0" w:rsidRPr="00222917" w:rsidRDefault="002D5BB0" w:rsidP="00EB5799">
            <w:pPr>
              <w:pStyle w:val="SingleTxtG"/>
              <w:suppressAutoHyphens w:val="0"/>
              <w:spacing w:before="40" w:after="40" w:line="220" w:lineRule="exact"/>
              <w:ind w:left="0" w:right="0"/>
              <w:jc w:val="left"/>
              <w:rPr>
                <w:sz w:val="18"/>
                <w:lang w:val="en-US"/>
              </w:rPr>
            </w:pPr>
            <w:r w:rsidRPr="00222917">
              <w:rPr>
                <w:sz w:val="18"/>
                <w:lang w:val="en-US"/>
              </w:rPr>
              <w:t>1.5 years-2</w:t>
            </w:r>
            <w:r w:rsidR="00EB5799" w:rsidRPr="00222917">
              <w:rPr>
                <w:sz w:val="18"/>
                <w:lang w:val="en-US"/>
              </w:rPr>
              <w:t> </w:t>
            </w:r>
            <w:r w:rsidRPr="00222917">
              <w:rPr>
                <w:sz w:val="18"/>
                <w:lang w:val="en-US"/>
              </w:rPr>
              <w:t>years: 3,452</w:t>
            </w:r>
            <w:r w:rsidR="00EB5799" w:rsidRPr="00222917">
              <w:rPr>
                <w:sz w:val="18"/>
                <w:lang w:val="en-US"/>
              </w:rPr>
              <w:t> </w:t>
            </w:r>
            <w:r w:rsidRPr="00222917">
              <w:rPr>
                <w:sz w:val="18"/>
                <w:lang w:val="en-US"/>
              </w:rPr>
              <w:t>persons</w:t>
            </w:r>
          </w:p>
          <w:p w:rsidR="002D5BB0" w:rsidRPr="00222917" w:rsidRDefault="002D5BB0" w:rsidP="00EB5799">
            <w:pPr>
              <w:pStyle w:val="SingleTxtG"/>
              <w:suppressAutoHyphens w:val="0"/>
              <w:spacing w:before="40" w:after="40" w:line="220" w:lineRule="exact"/>
              <w:ind w:left="0" w:right="0"/>
              <w:jc w:val="left"/>
              <w:rPr>
                <w:sz w:val="18"/>
                <w:lang w:val="en-US"/>
              </w:rPr>
            </w:pPr>
            <w:r w:rsidRPr="00222917">
              <w:rPr>
                <w:sz w:val="18"/>
                <w:lang w:val="en-US"/>
              </w:rPr>
              <w:t>1 year or less: 5</w:t>
            </w:r>
            <w:r w:rsidR="00EB5799" w:rsidRPr="00222917">
              <w:rPr>
                <w:sz w:val="18"/>
                <w:lang w:val="en-US"/>
              </w:rPr>
              <w:t> </w:t>
            </w:r>
            <w:r w:rsidRPr="00222917">
              <w:rPr>
                <w:sz w:val="18"/>
                <w:lang w:val="en-US"/>
              </w:rPr>
              <w:t>persons</w:t>
            </w:r>
          </w:p>
        </w:tc>
        <w:tc>
          <w:tcPr>
            <w:tcW w:w="1418" w:type="dxa"/>
            <w:tcBorders>
              <w:bottom w:val="single" w:sz="12" w:space="0" w:color="auto"/>
            </w:tcBorders>
            <w:shd w:val="clear" w:color="auto" w:fill="auto"/>
            <w:tcMar>
              <w:top w:w="28" w:type="dxa"/>
              <w:left w:w="28" w:type="dxa"/>
              <w:bottom w:w="28" w:type="dxa"/>
              <w:right w:w="28" w:type="dxa"/>
            </w:tcMar>
            <w:vAlign w:val="bottom"/>
          </w:tcPr>
          <w:p w:rsidR="002D5BB0" w:rsidRPr="00222917" w:rsidRDefault="00EB5799" w:rsidP="00EB5799">
            <w:pPr>
              <w:pStyle w:val="SingleTxtG"/>
              <w:suppressAutoHyphens w:val="0"/>
              <w:spacing w:before="40" w:after="40" w:line="220" w:lineRule="exact"/>
              <w:ind w:left="0" w:right="0"/>
              <w:jc w:val="left"/>
              <w:rPr>
                <w:sz w:val="18"/>
                <w:lang w:val="en-US"/>
              </w:rPr>
            </w:pPr>
            <w:r w:rsidRPr="00222917">
              <w:rPr>
                <w:rFonts w:eastAsia="MS Mincho"/>
                <w:sz w:val="18"/>
                <w:lang w:val="en-US"/>
              </w:rPr>
              <w:t>M</w:t>
            </w:r>
            <w:r w:rsidR="002D5BB0" w:rsidRPr="00222917">
              <w:rPr>
                <w:sz w:val="18"/>
                <w:lang w:val="en-US"/>
              </w:rPr>
              <w:t>ore than 2</w:t>
            </w:r>
            <w:r w:rsidRPr="00222917">
              <w:rPr>
                <w:sz w:val="18"/>
                <w:lang w:val="en-US"/>
              </w:rPr>
              <w:t> </w:t>
            </w:r>
            <w:r w:rsidR="002D5BB0" w:rsidRPr="00222917">
              <w:rPr>
                <w:sz w:val="18"/>
                <w:lang w:val="en-US"/>
              </w:rPr>
              <w:t>years: 6</w:t>
            </w:r>
            <w:r w:rsidRPr="00222917">
              <w:rPr>
                <w:sz w:val="18"/>
                <w:lang w:val="en-US"/>
              </w:rPr>
              <w:t> </w:t>
            </w:r>
            <w:r w:rsidR="002D5BB0" w:rsidRPr="00222917">
              <w:rPr>
                <w:sz w:val="18"/>
                <w:lang w:val="en-US"/>
              </w:rPr>
              <w:t>persons</w:t>
            </w:r>
          </w:p>
          <w:p w:rsidR="002D5BB0" w:rsidRPr="00222917" w:rsidRDefault="002D5BB0" w:rsidP="00EB5799">
            <w:pPr>
              <w:pStyle w:val="SingleTxtG"/>
              <w:suppressAutoHyphens w:val="0"/>
              <w:spacing w:before="40" w:after="40" w:line="220" w:lineRule="exact"/>
              <w:ind w:left="0" w:right="0"/>
              <w:jc w:val="left"/>
              <w:rPr>
                <w:sz w:val="18"/>
                <w:lang w:val="en-US"/>
              </w:rPr>
            </w:pPr>
            <w:r w:rsidRPr="00222917">
              <w:rPr>
                <w:sz w:val="18"/>
                <w:lang w:val="en-US"/>
              </w:rPr>
              <w:t>2 years or less:</w:t>
            </w:r>
            <w:r w:rsidR="00120D8B" w:rsidRPr="00222917">
              <w:rPr>
                <w:sz w:val="18"/>
                <w:lang w:val="en-US"/>
              </w:rPr>
              <w:t xml:space="preserve"> </w:t>
            </w:r>
            <w:r w:rsidR="00EB5799" w:rsidRPr="00222917">
              <w:rPr>
                <w:sz w:val="18"/>
                <w:lang w:val="en-US"/>
              </w:rPr>
              <w:t>6 </w:t>
            </w:r>
            <w:r w:rsidRPr="00222917">
              <w:rPr>
                <w:sz w:val="18"/>
                <w:lang w:val="en-US"/>
              </w:rPr>
              <w:t>persons</w:t>
            </w:r>
          </w:p>
        </w:tc>
        <w:tc>
          <w:tcPr>
            <w:tcW w:w="1418" w:type="dxa"/>
            <w:tcBorders>
              <w:bottom w:val="single" w:sz="12" w:space="0" w:color="auto"/>
            </w:tcBorders>
            <w:shd w:val="clear" w:color="auto" w:fill="auto"/>
            <w:tcMar>
              <w:top w:w="28" w:type="dxa"/>
              <w:left w:w="28" w:type="dxa"/>
              <w:bottom w:w="28" w:type="dxa"/>
              <w:right w:w="28" w:type="dxa"/>
            </w:tcMar>
            <w:vAlign w:val="bottom"/>
          </w:tcPr>
          <w:p w:rsidR="002D5BB0" w:rsidRPr="00222917" w:rsidRDefault="002D5BB0" w:rsidP="00EB5799">
            <w:pPr>
              <w:pStyle w:val="SingleTxtG"/>
              <w:suppressAutoHyphens w:val="0"/>
              <w:spacing w:before="40" w:after="40" w:line="220" w:lineRule="exact"/>
              <w:ind w:left="0" w:right="0"/>
              <w:jc w:val="left"/>
              <w:rPr>
                <w:sz w:val="18"/>
                <w:lang w:val="en-US"/>
              </w:rPr>
            </w:pPr>
          </w:p>
        </w:tc>
        <w:tc>
          <w:tcPr>
            <w:tcW w:w="1418" w:type="dxa"/>
            <w:tcBorders>
              <w:bottom w:val="single" w:sz="12" w:space="0" w:color="auto"/>
            </w:tcBorders>
            <w:shd w:val="clear" w:color="auto" w:fill="auto"/>
            <w:tcMar>
              <w:top w:w="28" w:type="dxa"/>
              <w:left w:w="28" w:type="dxa"/>
              <w:bottom w:w="28" w:type="dxa"/>
              <w:right w:w="28" w:type="dxa"/>
            </w:tcMar>
            <w:vAlign w:val="bottom"/>
          </w:tcPr>
          <w:p w:rsidR="002D5BB0" w:rsidRPr="00222917" w:rsidRDefault="002D5BB0" w:rsidP="00EB5799">
            <w:pPr>
              <w:pStyle w:val="SingleTxtG"/>
              <w:suppressAutoHyphens w:val="0"/>
              <w:spacing w:before="40" w:after="40" w:line="220" w:lineRule="exact"/>
              <w:ind w:left="0" w:right="0"/>
              <w:jc w:val="left"/>
              <w:rPr>
                <w:sz w:val="18"/>
                <w:lang w:val="en-US"/>
              </w:rPr>
            </w:pPr>
            <w:r w:rsidRPr="00222917">
              <w:rPr>
                <w:sz w:val="18"/>
                <w:lang w:val="en-US"/>
              </w:rPr>
              <w:t>Freedom from suspicion:</w:t>
            </w:r>
            <w:r w:rsidR="00120D8B" w:rsidRPr="00222917">
              <w:rPr>
                <w:sz w:val="18"/>
                <w:lang w:val="en-US"/>
              </w:rPr>
              <w:t xml:space="preserve"> </w:t>
            </w:r>
            <w:r w:rsidRPr="00222917">
              <w:rPr>
                <w:sz w:val="18"/>
                <w:lang w:val="en-US"/>
              </w:rPr>
              <w:t>34</w:t>
            </w:r>
            <w:r w:rsidR="00EB5799" w:rsidRPr="00222917">
              <w:rPr>
                <w:sz w:val="18"/>
                <w:lang w:val="en-US"/>
              </w:rPr>
              <w:t> </w:t>
            </w:r>
            <w:r w:rsidRPr="00222917">
              <w:rPr>
                <w:sz w:val="18"/>
                <w:lang w:val="en-US"/>
              </w:rPr>
              <w:t>persons</w:t>
            </w:r>
          </w:p>
          <w:p w:rsidR="002D5BB0" w:rsidRPr="00222917" w:rsidRDefault="002D5BB0" w:rsidP="00EB5799">
            <w:pPr>
              <w:pStyle w:val="SingleTxtG"/>
              <w:suppressAutoHyphens w:val="0"/>
              <w:spacing w:before="40" w:after="40" w:line="220" w:lineRule="exact"/>
              <w:ind w:left="0" w:right="0"/>
              <w:jc w:val="left"/>
              <w:rPr>
                <w:sz w:val="18"/>
                <w:lang w:val="en-US"/>
              </w:rPr>
            </w:pPr>
            <w:r w:rsidRPr="00222917">
              <w:rPr>
                <w:sz w:val="18"/>
                <w:lang w:val="en-US"/>
              </w:rPr>
              <w:t>sus</w:t>
            </w:r>
            <w:r w:rsidR="00EB5799" w:rsidRPr="00222917">
              <w:rPr>
                <w:sz w:val="18"/>
                <w:lang w:val="en-US"/>
              </w:rPr>
              <w:t>pension of prosecution, etc.: 4 </w:t>
            </w:r>
            <w:r w:rsidRPr="00222917">
              <w:rPr>
                <w:sz w:val="18"/>
                <w:lang w:val="en-US"/>
              </w:rPr>
              <w:t>persons</w:t>
            </w:r>
          </w:p>
        </w:tc>
      </w:tr>
    </w:tbl>
    <w:p w:rsidR="002D5BB0" w:rsidRPr="00503D92" w:rsidRDefault="00794B5A" w:rsidP="00794B5A">
      <w:pPr>
        <w:pStyle w:val="HChG"/>
        <w:rPr>
          <w:sz w:val="24"/>
          <w:szCs w:val="24"/>
          <w:lang w:val="en-US"/>
        </w:rPr>
      </w:pPr>
      <w:bookmarkStart w:id="215" w:name="_Toc307504129"/>
      <w:bookmarkStart w:id="216" w:name="_Toc336435901"/>
      <w:r w:rsidRPr="00222917">
        <w:rPr>
          <w:lang w:val="en-US"/>
        </w:rPr>
        <w:tab/>
      </w:r>
      <w:r w:rsidRPr="00222917">
        <w:rPr>
          <w:lang w:val="en-US"/>
        </w:rPr>
        <w:tab/>
      </w:r>
      <w:r w:rsidR="002D5BB0" w:rsidRPr="00503D92">
        <w:rPr>
          <w:sz w:val="24"/>
          <w:szCs w:val="24"/>
          <w:lang w:val="en-US"/>
        </w:rPr>
        <w:t>Article 19</w:t>
      </w:r>
      <w:bookmarkEnd w:id="215"/>
      <w:bookmarkEnd w:id="216"/>
    </w:p>
    <w:p w:rsidR="002D5BB0" w:rsidRPr="00222917" w:rsidRDefault="00794B5A" w:rsidP="00794B5A">
      <w:pPr>
        <w:pStyle w:val="H1G"/>
        <w:rPr>
          <w:lang w:val="en-US"/>
        </w:rPr>
      </w:pPr>
      <w:bookmarkStart w:id="217" w:name="_Toc307504130"/>
      <w:bookmarkStart w:id="218" w:name="_Toc336435902"/>
      <w:r w:rsidRPr="00222917">
        <w:rPr>
          <w:lang w:val="en-US"/>
        </w:rPr>
        <w:tab/>
      </w:r>
      <w:r w:rsidRPr="00222917">
        <w:rPr>
          <w:lang w:val="en-US"/>
        </w:rPr>
        <w:tab/>
      </w:r>
      <w:r w:rsidR="002D5BB0" w:rsidRPr="00222917">
        <w:rPr>
          <w:lang w:val="en-US"/>
        </w:rPr>
        <w:t>Paragraph 1</w:t>
      </w:r>
      <w:bookmarkEnd w:id="217"/>
      <w:bookmarkEnd w:id="218"/>
    </w:p>
    <w:p w:rsidR="002D5BB0" w:rsidRPr="00222917" w:rsidRDefault="00547908" w:rsidP="00547908">
      <w:pPr>
        <w:pStyle w:val="SingleTxtG"/>
        <w:rPr>
          <w:lang w:val="en-US"/>
        </w:rPr>
      </w:pPr>
      <w:r w:rsidRPr="00222917">
        <w:rPr>
          <w:lang w:val="en-US"/>
        </w:rPr>
        <w:t>272.</w:t>
      </w:r>
      <w:r w:rsidRPr="00222917">
        <w:rPr>
          <w:lang w:val="en-US"/>
        </w:rPr>
        <w:tab/>
      </w:r>
      <w:r w:rsidR="002D5BB0" w:rsidRPr="00222917">
        <w:rPr>
          <w:lang w:val="en-US"/>
        </w:rPr>
        <w:t xml:space="preserve">As stated in the second report, the rights </w:t>
      </w:r>
      <w:r w:rsidR="00A94611" w:rsidRPr="00222917">
        <w:rPr>
          <w:lang w:val="en-US"/>
        </w:rPr>
        <w:t xml:space="preserve">set forth in </w:t>
      </w:r>
      <w:r w:rsidR="00D53C1B" w:rsidRPr="00222917">
        <w:rPr>
          <w:lang w:val="en-US"/>
        </w:rPr>
        <w:t>a</w:t>
      </w:r>
      <w:r w:rsidR="00A94611" w:rsidRPr="00222917">
        <w:rPr>
          <w:lang w:val="en-US"/>
        </w:rPr>
        <w:t>rticle </w:t>
      </w:r>
      <w:r w:rsidR="002D5BB0" w:rsidRPr="00222917">
        <w:rPr>
          <w:lang w:val="en-US"/>
        </w:rPr>
        <w:t xml:space="preserve">19 of the Covenant are protected by the Constitution, and other applicable laws including the </w:t>
      </w:r>
      <w:r w:rsidR="002D5BB0" w:rsidRPr="00222917">
        <w:rPr>
          <w:iCs/>
          <w:lang w:val="en-US"/>
        </w:rPr>
        <w:t>Broadcasting Act</w:t>
      </w:r>
      <w:r w:rsidR="00794B5A" w:rsidRPr="00222917">
        <w:rPr>
          <w:iCs/>
          <w:lang w:val="en-US"/>
        </w:rPr>
        <w:t xml:space="preserve"> </w:t>
      </w:r>
      <w:r w:rsidR="00794B5A" w:rsidRPr="00222917">
        <w:rPr>
          <w:lang w:val="en-US"/>
        </w:rPr>
        <w:t>(CCPR/C/114/Add.1, para. </w:t>
      </w:r>
      <w:r w:rsidR="002D5BB0" w:rsidRPr="00222917">
        <w:rPr>
          <w:lang w:val="en-US"/>
        </w:rPr>
        <w:t xml:space="preserve">141). </w:t>
      </w:r>
    </w:p>
    <w:p w:rsidR="002D5BB0" w:rsidRPr="00222917" w:rsidRDefault="00794B5A" w:rsidP="00794B5A">
      <w:pPr>
        <w:pStyle w:val="H1G"/>
        <w:rPr>
          <w:lang w:val="en-US"/>
        </w:rPr>
      </w:pPr>
      <w:bookmarkStart w:id="219" w:name="_Toc307504131"/>
      <w:bookmarkStart w:id="220" w:name="_Toc336435903"/>
      <w:r w:rsidRPr="00222917">
        <w:rPr>
          <w:lang w:val="en-US"/>
        </w:rPr>
        <w:tab/>
      </w:r>
      <w:r w:rsidRPr="00222917">
        <w:rPr>
          <w:lang w:val="en-US"/>
        </w:rPr>
        <w:tab/>
      </w:r>
      <w:r w:rsidR="002D5BB0" w:rsidRPr="00222917">
        <w:rPr>
          <w:lang w:val="en-US"/>
        </w:rPr>
        <w:t>Paragraph 2</w:t>
      </w:r>
      <w:bookmarkEnd w:id="219"/>
      <w:bookmarkEnd w:id="220"/>
    </w:p>
    <w:p w:rsidR="002D5BB0" w:rsidRPr="00222917" w:rsidRDefault="00794B5A" w:rsidP="00794B5A">
      <w:pPr>
        <w:pStyle w:val="H23G"/>
        <w:rPr>
          <w:lang w:val="en-US"/>
        </w:rPr>
      </w:pPr>
      <w:bookmarkStart w:id="221" w:name="_Toc307504132"/>
      <w:bookmarkStart w:id="222" w:name="_Toc336435904"/>
      <w:r w:rsidRPr="00222917">
        <w:rPr>
          <w:lang w:val="en-US"/>
        </w:rPr>
        <w:tab/>
      </w:r>
      <w:r w:rsidRPr="00222917">
        <w:rPr>
          <w:lang w:val="en-US"/>
        </w:rPr>
        <w:tab/>
      </w:r>
      <w:r w:rsidR="002D5BB0" w:rsidRPr="00222917">
        <w:rPr>
          <w:lang w:val="en-US"/>
        </w:rPr>
        <w:t xml:space="preserve">Abolition of Prior Deliberation of </w:t>
      </w:r>
      <w:bookmarkEnd w:id="221"/>
      <w:bookmarkEnd w:id="222"/>
      <w:r w:rsidR="002D5BB0" w:rsidRPr="00222917">
        <w:rPr>
          <w:lang w:val="en-US"/>
        </w:rPr>
        <w:t>Broadcasting Advertisement</w:t>
      </w:r>
    </w:p>
    <w:p w:rsidR="002D5BB0" w:rsidRPr="00222917" w:rsidRDefault="00547908" w:rsidP="00547908">
      <w:pPr>
        <w:pStyle w:val="SingleTxtG"/>
        <w:rPr>
          <w:lang w:val="en-US"/>
        </w:rPr>
      </w:pPr>
      <w:r w:rsidRPr="00222917">
        <w:rPr>
          <w:lang w:val="en-US"/>
        </w:rPr>
        <w:t>273.</w:t>
      </w:r>
      <w:r w:rsidRPr="00222917">
        <w:rPr>
          <w:lang w:val="en-US"/>
        </w:rPr>
        <w:tab/>
      </w:r>
      <w:r w:rsidR="002D5BB0" w:rsidRPr="00222917">
        <w:rPr>
          <w:lang w:val="en-US"/>
        </w:rPr>
        <w:t xml:space="preserve">On 26 June 2008, the </w:t>
      </w:r>
      <w:smartTag w:uri="urn:schemas-microsoft-com:office:smarttags" w:element="Street">
        <w:smartTag w:uri="urn:schemas-microsoft-com:office:smarttags" w:element="address">
          <w:r w:rsidR="002D5BB0" w:rsidRPr="00222917">
            <w:rPr>
              <w:lang w:val="en-US"/>
            </w:rPr>
            <w:t>Constitutional Court</w:t>
          </w:r>
        </w:smartTag>
      </w:smartTag>
      <w:r w:rsidR="002D5BB0" w:rsidRPr="00222917">
        <w:rPr>
          <w:lang w:val="en-US"/>
        </w:rPr>
        <w:t xml:space="preserve"> ruled that the Korea Advertising Review Board, which is entrusted by the Korean Broadcasting Commission, is an administrative entity, thus prior deliberation on TV commercials by the Board constitutes censorship, which is prohibited under the Constitution. Therefore,</w:t>
      </w:r>
      <w:r w:rsidR="00A94611" w:rsidRPr="00222917">
        <w:rPr>
          <w:lang w:val="en-US"/>
        </w:rPr>
        <w:t xml:space="preserve"> the Court decided that </w:t>
      </w:r>
      <w:r w:rsidR="00D53C1B" w:rsidRPr="00222917">
        <w:rPr>
          <w:lang w:val="en-US"/>
        </w:rPr>
        <w:t>a</w:t>
      </w:r>
      <w:r w:rsidR="00A94611" w:rsidRPr="00222917">
        <w:rPr>
          <w:lang w:val="en-US"/>
        </w:rPr>
        <w:t>rticle </w:t>
      </w:r>
      <w:r w:rsidR="002D5BB0" w:rsidRPr="00222917">
        <w:rPr>
          <w:lang w:val="en-US"/>
        </w:rPr>
        <w:t>32</w:t>
      </w:r>
      <w:r w:rsidR="00A94611" w:rsidRPr="00222917">
        <w:rPr>
          <w:lang w:val="en-US"/>
        </w:rPr>
        <w:t> </w:t>
      </w:r>
      <w:r w:rsidR="002D5BB0" w:rsidRPr="00222917">
        <w:rPr>
          <w:lang w:val="en-US"/>
        </w:rPr>
        <w:t xml:space="preserve">(3) of the </w:t>
      </w:r>
      <w:r w:rsidR="002D5BB0" w:rsidRPr="00222917">
        <w:rPr>
          <w:iCs/>
          <w:lang w:val="en-US"/>
        </w:rPr>
        <w:t>Broadcasting Act</w:t>
      </w:r>
      <w:r w:rsidR="002D5BB0" w:rsidRPr="00222917">
        <w:rPr>
          <w:lang w:val="en-US"/>
        </w:rPr>
        <w:t>, which sets forth such provisions, is unconditional (2005 HUN-MA</w:t>
      </w:r>
      <w:r w:rsidR="00963D8F" w:rsidRPr="00222917">
        <w:rPr>
          <w:lang w:val="en-US"/>
        </w:rPr>
        <w:t> </w:t>
      </w:r>
      <w:r w:rsidR="002D5BB0" w:rsidRPr="00222917">
        <w:rPr>
          <w:lang w:val="en-US"/>
        </w:rPr>
        <w:t xml:space="preserve">506). </w:t>
      </w:r>
    </w:p>
    <w:p w:rsidR="002D5BB0" w:rsidRPr="00222917" w:rsidRDefault="00547908" w:rsidP="00547908">
      <w:pPr>
        <w:pStyle w:val="SingleTxtG"/>
        <w:rPr>
          <w:lang w:val="en-US"/>
        </w:rPr>
      </w:pPr>
      <w:r w:rsidRPr="00222917">
        <w:rPr>
          <w:lang w:val="en-US"/>
        </w:rPr>
        <w:t>274.</w:t>
      </w:r>
      <w:r w:rsidRPr="00222917">
        <w:rPr>
          <w:lang w:val="en-US"/>
        </w:rPr>
        <w:tab/>
      </w:r>
      <w:r w:rsidR="002D5BB0" w:rsidRPr="00222917">
        <w:rPr>
          <w:lang w:val="en-US"/>
        </w:rPr>
        <w:t xml:space="preserve">As such, on 31 July 2009, the </w:t>
      </w:r>
      <w:r w:rsidR="002D5BB0" w:rsidRPr="00222917">
        <w:rPr>
          <w:iCs/>
          <w:lang w:val="en-US"/>
        </w:rPr>
        <w:t>Broadcasting Act</w:t>
      </w:r>
      <w:r w:rsidR="002D5BB0" w:rsidRPr="00222917">
        <w:rPr>
          <w:lang w:val="en-US"/>
        </w:rPr>
        <w:t xml:space="preserve"> was amended to delete the provision on prior deliberation on TV commercials and insert the legal basis for voluntary review by broadcast</w:t>
      </w:r>
      <w:r w:rsidR="00A94611" w:rsidRPr="00222917">
        <w:rPr>
          <w:lang w:val="en-US"/>
        </w:rPr>
        <w:t>ing business operators (</w:t>
      </w:r>
      <w:r w:rsidR="00D53C1B" w:rsidRPr="00222917">
        <w:rPr>
          <w:lang w:val="en-US"/>
        </w:rPr>
        <w:t>a</w:t>
      </w:r>
      <w:r w:rsidR="00A94611" w:rsidRPr="00222917">
        <w:rPr>
          <w:lang w:val="en-US"/>
        </w:rPr>
        <w:t>rticle 86 </w:t>
      </w:r>
      <w:r w:rsidR="002D5BB0" w:rsidRPr="00222917">
        <w:rPr>
          <w:lang w:val="en-US"/>
        </w:rPr>
        <w:t>(3)). As prior deliberation on TV commercials is now conducted through autonomous regulations of broadcasting service providers instead of the government regulations, the freedom of expression guaranteed by the Constitution is more effectively protected.</w:t>
      </w:r>
    </w:p>
    <w:p w:rsidR="002D5BB0" w:rsidRPr="00222917" w:rsidRDefault="00794B5A" w:rsidP="00794B5A">
      <w:pPr>
        <w:pStyle w:val="H23G"/>
        <w:rPr>
          <w:lang w:val="en-US"/>
        </w:rPr>
      </w:pPr>
      <w:bookmarkStart w:id="223" w:name="_Toc307504133"/>
      <w:bookmarkStart w:id="224" w:name="_Toc336435905"/>
      <w:r w:rsidRPr="00222917">
        <w:rPr>
          <w:lang w:val="en-US"/>
        </w:rPr>
        <w:tab/>
      </w:r>
      <w:r w:rsidRPr="00222917">
        <w:rPr>
          <w:lang w:val="en-US"/>
        </w:rPr>
        <w:tab/>
      </w:r>
      <w:r w:rsidR="002D5BB0" w:rsidRPr="00222917">
        <w:rPr>
          <w:lang w:val="en-US"/>
        </w:rPr>
        <w:t>Deregulation for Entry into Broadcasting Industry</w:t>
      </w:r>
      <w:bookmarkEnd w:id="223"/>
      <w:bookmarkEnd w:id="224"/>
    </w:p>
    <w:p w:rsidR="002D5BB0" w:rsidRPr="00222917" w:rsidRDefault="00547908" w:rsidP="00547908">
      <w:pPr>
        <w:pStyle w:val="SingleTxtG"/>
        <w:rPr>
          <w:lang w:val="en-US"/>
        </w:rPr>
      </w:pPr>
      <w:r w:rsidRPr="00222917">
        <w:rPr>
          <w:lang w:val="en-US"/>
        </w:rPr>
        <w:t>275.</w:t>
      </w:r>
      <w:r w:rsidRPr="00222917">
        <w:rPr>
          <w:lang w:val="en-US"/>
        </w:rPr>
        <w:tab/>
      </w:r>
      <w:r w:rsidR="002D5BB0" w:rsidRPr="00222917">
        <w:rPr>
          <w:lang w:val="en-US"/>
        </w:rPr>
        <w:t xml:space="preserve">Broadcast services vary in terms of their media and channels, and the Internet is rapidly becoming more prevalent. This reduces the need for rigorous regulation over ownership of broadcast business. On 31 July 2009, the Government, therefore, revised the </w:t>
      </w:r>
      <w:r w:rsidR="002D5BB0" w:rsidRPr="000850F5">
        <w:rPr>
          <w:iCs/>
          <w:lang w:val="en-US"/>
        </w:rPr>
        <w:t>Broadcasting Act</w:t>
      </w:r>
      <w:r w:rsidR="002D5BB0" w:rsidRPr="00222917">
        <w:rPr>
          <w:lang w:val="en-US"/>
        </w:rPr>
        <w:t xml:space="preserve"> to deregulate entry into the broadcasting industry. For a terrestrial broadcasting business operator and a program provider (PP) engaging in general programming or specialized programming of news reports, the upper limit on equity interest of one person was raised from 30</w:t>
      </w:r>
      <w:r w:rsidR="00E92293" w:rsidRPr="00222917">
        <w:rPr>
          <w:lang w:val="en-US"/>
        </w:rPr>
        <w:t>%</w:t>
      </w:r>
      <w:r w:rsidR="002D5BB0" w:rsidRPr="00222917">
        <w:rPr>
          <w:lang w:val="en-US"/>
        </w:rPr>
        <w:t xml:space="preserve"> </w:t>
      </w:r>
      <w:r w:rsidR="00E92293" w:rsidRPr="00222917">
        <w:rPr>
          <w:lang w:val="en-US"/>
        </w:rPr>
        <w:t>to 40%</w:t>
      </w:r>
      <w:r w:rsidR="002D5BB0" w:rsidRPr="00222917">
        <w:rPr>
          <w:lang w:val="en-US"/>
        </w:rPr>
        <w:t>; equity interest of a newspaper or a large company in the terrestrial broadcasting business, previously prohibited, was permitted at up to 10</w:t>
      </w:r>
      <w:r w:rsidR="006903AC" w:rsidRPr="00222917">
        <w:rPr>
          <w:lang w:val="en-US"/>
        </w:rPr>
        <w:t>%</w:t>
      </w:r>
      <w:r w:rsidR="002D5BB0" w:rsidRPr="00222917">
        <w:rPr>
          <w:lang w:val="en-US"/>
        </w:rPr>
        <w:t>; and equity interest of a newspaper or a large company in the program providing business engaging in general programming or specialized programming of news reports, also previously prohibited, was permitt</w:t>
      </w:r>
      <w:r w:rsidR="006903AC" w:rsidRPr="00222917">
        <w:rPr>
          <w:lang w:val="en-US"/>
        </w:rPr>
        <w:t xml:space="preserve">ed at up to 30% </w:t>
      </w:r>
      <w:r w:rsidR="00A94611" w:rsidRPr="00222917">
        <w:rPr>
          <w:lang w:val="en-US"/>
        </w:rPr>
        <w:t>(</w:t>
      </w:r>
      <w:r w:rsidR="00D53C1B" w:rsidRPr="00222917">
        <w:rPr>
          <w:lang w:val="en-US"/>
        </w:rPr>
        <w:t>a</w:t>
      </w:r>
      <w:r w:rsidR="00A94611" w:rsidRPr="00222917">
        <w:rPr>
          <w:lang w:val="en-US"/>
        </w:rPr>
        <w:t>rticle </w:t>
      </w:r>
      <w:r w:rsidR="002D5BB0" w:rsidRPr="00222917">
        <w:rPr>
          <w:lang w:val="en-US"/>
        </w:rPr>
        <w:t xml:space="preserve">8). </w:t>
      </w:r>
    </w:p>
    <w:p w:rsidR="002D5BB0" w:rsidRPr="00222917" w:rsidRDefault="00794B5A" w:rsidP="00794B5A">
      <w:pPr>
        <w:pStyle w:val="H23G"/>
        <w:rPr>
          <w:lang w:val="en-US"/>
        </w:rPr>
      </w:pPr>
      <w:r w:rsidRPr="00222917">
        <w:rPr>
          <w:lang w:val="en-US"/>
        </w:rPr>
        <w:tab/>
      </w:r>
      <w:r w:rsidRPr="00222917">
        <w:rPr>
          <w:lang w:val="en-US"/>
        </w:rPr>
        <w:tab/>
      </w:r>
      <w:r w:rsidR="002D5BB0" w:rsidRPr="00222917">
        <w:rPr>
          <w:lang w:val="en-US"/>
        </w:rPr>
        <w:t xml:space="preserve">Revised Provisions on Equity Interest under the </w:t>
      </w:r>
      <w:r w:rsidR="002D5BB0" w:rsidRPr="00222917">
        <w:rPr>
          <w:i/>
          <w:lang w:val="en-US"/>
        </w:rPr>
        <w:t>Broadcasting Act</w:t>
      </w:r>
    </w:p>
    <w:tbl>
      <w:tblPr>
        <w:tblW w:w="0" w:type="auto"/>
        <w:tblInd w:w="1134" w:type="dxa"/>
        <w:tblBorders>
          <w:top w:val="single" w:sz="4" w:space="0" w:color="auto"/>
        </w:tblBorders>
        <w:tblLayout w:type="fixed"/>
        <w:tblCellMar>
          <w:left w:w="0" w:type="dxa"/>
          <w:right w:w="0" w:type="dxa"/>
        </w:tblCellMar>
        <w:tblLook w:val="00A0"/>
      </w:tblPr>
      <w:tblGrid>
        <w:gridCol w:w="2268"/>
        <w:gridCol w:w="851"/>
        <w:gridCol w:w="851"/>
        <w:gridCol w:w="851"/>
        <w:gridCol w:w="851"/>
        <w:gridCol w:w="851"/>
        <w:gridCol w:w="851"/>
      </w:tblGrid>
      <w:tr w:rsidR="008F6543" w:rsidRPr="00222917" w:rsidTr="001C4E4C">
        <w:trPr>
          <w:tblHeader/>
        </w:trPr>
        <w:tc>
          <w:tcPr>
            <w:tcW w:w="2268" w:type="dxa"/>
            <w:vMerge w:val="restart"/>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963D8F">
            <w:pPr>
              <w:pStyle w:val="SingleTxtG"/>
              <w:suppressAutoHyphens w:val="0"/>
              <w:spacing w:before="80" w:after="80" w:line="200" w:lineRule="exact"/>
              <w:ind w:left="0" w:right="0"/>
              <w:jc w:val="left"/>
              <w:rPr>
                <w:i/>
                <w:sz w:val="16"/>
                <w:szCs w:val="16"/>
                <w:lang w:val="en-US"/>
              </w:rPr>
            </w:pPr>
            <w:r w:rsidRPr="00222917">
              <w:rPr>
                <w:bCs/>
                <w:i/>
                <w:sz w:val="16"/>
                <w:szCs w:val="16"/>
                <w:lang w:val="en-US"/>
              </w:rPr>
              <w:t>Ownership entity</w:t>
            </w:r>
            <w:r w:rsidR="00963D8F" w:rsidRPr="00222917">
              <w:rPr>
                <w:bCs/>
                <w:i/>
                <w:sz w:val="16"/>
                <w:szCs w:val="16"/>
                <w:lang w:val="en-US"/>
              </w:rPr>
              <w:br/>
            </w:r>
            <w:r w:rsidRPr="00222917">
              <w:rPr>
                <w:bCs/>
                <w:i/>
                <w:sz w:val="16"/>
                <w:szCs w:val="16"/>
                <w:lang w:val="en-US"/>
              </w:rPr>
              <w:t>Objects owned</w:t>
            </w:r>
          </w:p>
        </w:tc>
        <w:tc>
          <w:tcPr>
            <w:tcW w:w="851" w:type="dxa"/>
            <w:gridSpan w:val="2"/>
            <w:tcBorders>
              <w:top w:val="single" w:sz="4" w:space="0" w:color="auto"/>
              <w:bottom w:val="single" w:sz="4" w:space="0" w:color="000000"/>
              <w:right w:val="single" w:sz="24" w:space="0" w:color="FFFFFF"/>
            </w:tcBorders>
            <w:shd w:val="clear" w:color="auto" w:fill="auto"/>
            <w:tcMar>
              <w:top w:w="28" w:type="dxa"/>
              <w:left w:w="28" w:type="dxa"/>
              <w:bottom w:w="28" w:type="dxa"/>
              <w:right w:w="28" w:type="dxa"/>
            </w:tcMar>
            <w:vAlign w:val="bottom"/>
          </w:tcPr>
          <w:p w:rsidR="002D5BB0" w:rsidRPr="00222917" w:rsidRDefault="002D5BB0" w:rsidP="00963D8F">
            <w:pPr>
              <w:pStyle w:val="SingleTxtG"/>
              <w:suppressAutoHyphens w:val="0"/>
              <w:spacing w:before="80" w:after="80" w:line="200" w:lineRule="exact"/>
              <w:ind w:left="0" w:right="0"/>
              <w:jc w:val="center"/>
              <w:rPr>
                <w:i/>
                <w:sz w:val="16"/>
                <w:szCs w:val="16"/>
                <w:lang w:val="en-US"/>
              </w:rPr>
            </w:pPr>
            <w:r w:rsidRPr="00222917">
              <w:rPr>
                <w:bCs/>
                <w:i/>
                <w:sz w:val="16"/>
                <w:szCs w:val="16"/>
                <w:lang w:val="en-US"/>
              </w:rPr>
              <w:t>One person</w:t>
            </w:r>
          </w:p>
        </w:tc>
        <w:tc>
          <w:tcPr>
            <w:tcW w:w="851" w:type="dxa"/>
            <w:gridSpan w:val="2"/>
            <w:tcBorders>
              <w:top w:val="single" w:sz="4" w:space="0" w:color="auto"/>
              <w:left w:val="single" w:sz="24" w:space="0" w:color="FFFFFF"/>
              <w:bottom w:val="single" w:sz="4" w:space="0" w:color="000000"/>
              <w:right w:val="single" w:sz="24" w:space="0" w:color="FFFFFF"/>
            </w:tcBorders>
            <w:shd w:val="clear" w:color="auto" w:fill="auto"/>
            <w:tcMar>
              <w:top w:w="28" w:type="dxa"/>
              <w:left w:w="28" w:type="dxa"/>
              <w:bottom w:w="28" w:type="dxa"/>
              <w:right w:w="28" w:type="dxa"/>
            </w:tcMar>
            <w:vAlign w:val="bottom"/>
          </w:tcPr>
          <w:p w:rsidR="002D5BB0" w:rsidRPr="00222917" w:rsidRDefault="002D5BB0" w:rsidP="00963D8F">
            <w:pPr>
              <w:pStyle w:val="SingleTxtG"/>
              <w:suppressAutoHyphens w:val="0"/>
              <w:spacing w:before="80" w:after="80" w:line="200" w:lineRule="exact"/>
              <w:ind w:left="0" w:right="0"/>
              <w:jc w:val="center"/>
              <w:rPr>
                <w:i/>
                <w:sz w:val="16"/>
                <w:szCs w:val="16"/>
                <w:lang w:val="en-US"/>
              </w:rPr>
            </w:pPr>
            <w:r w:rsidRPr="00222917">
              <w:rPr>
                <w:bCs/>
                <w:i/>
                <w:sz w:val="16"/>
                <w:szCs w:val="16"/>
                <w:lang w:val="en-US"/>
              </w:rPr>
              <w:t xml:space="preserve">Daily paper; </w:t>
            </w:r>
            <w:r w:rsidR="00963D8F" w:rsidRPr="00222917">
              <w:rPr>
                <w:bCs/>
                <w:i/>
                <w:sz w:val="16"/>
                <w:szCs w:val="16"/>
                <w:lang w:val="en-US"/>
              </w:rPr>
              <w:br/>
            </w:r>
            <w:r w:rsidRPr="00222917">
              <w:rPr>
                <w:bCs/>
                <w:i/>
                <w:sz w:val="16"/>
                <w:szCs w:val="16"/>
                <w:lang w:val="en-US"/>
              </w:rPr>
              <w:t>Press agency</w:t>
            </w:r>
          </w:p>
        </w:tc>
        <w:tc>
          <w:tcPr>
            <w:tcW w:w="851" w:type="dxa"/>
            <w:gridSpan w:val="2"/>
            <w:tcBorders>
              <w:top w:val="single" w:sz="4" w:space="0" w:color="auto"/>
              <w:left w:val="single" w:sz="24" w:space="0" w:color="FFFFFF"/>
              <w:bottom w:val="single" w:sz="4" w:space="0" w:color="000000"/>
            </w:tcBorders>
            <w:shd w:val="clear" w:color="auto" w:fill="auto"/>
            <w:tcMar>
              <w:top w:w="28" w:type="dxa"/>
              <w:left w:w="28" w:type="dxa"/>
              <w:bottom w:w="28" w:type="dxa"/>
              <w:right w:w="28" w:type="dxa"/>
            </w:tcMar>
            <w:vAlign w:val="bottom"/>
          </w:tcPr>
          <w:p w:rsidR="002D5BB0" w:rsidRPr="00222917" w:rsidRDefault="002D5BB0" w:rsidP="00963D8F">
            <w:pPr>
              <w:pStyle w:val="SingleTxtG"/>
              <w:suppressAutoHyphens w:val="0"/>
              <w:spacing w:before="80" w:after="80" w:line="200" w:lineRule="exact"/>
              <w:ind w:left="0" w:right="0"/>
              <w:jc w:val="center"/>
              <w:rPr>
                <w:i/>
                <w:sz w:val="16"/>
                <w:szCs w:val="16"/>
                <w:lang w:val="en-US"/>
              </w:rPr>
            </w:pPr>
            <w:r w:rsidRPr="00222917">
              <w:rPr>
                <w:bCs/>
                <w:i/>
                <w:sz w:val="16"/>
                <w:szCs w:val="16"/>
                <w:lang w:val="en-US"/>
              </w:rPr>
              <w:t>Large company (more than KRW 10 trillion)</w:t>
            </w:r>
          </w:p>
        </w:tc>
      </w:tr>
      <w:tr w:rsidR="008F6543" w:rsidRPr="00222917" w:rsidTr="001C4E4C">
        <w:trPr>
          <w:tblHeader/>
        </w:trPr>
        <w:tc>
          <w:tcPr>
            <w:tcW w:w="2268" w:type="dxa"/>
            <w:vMerge/>
            <w:tcBorders>
              <w:top w:val="single" w:sz="12" w:space="0" w:color="auto"/>
              <w:bottom w:val="single" w:sz="12" w:space="0" w:color="000000"/>
            </w:tcBorders>
            <w:shd w:val="clear" w:color="auto" w:fill="auto"/>
            <w:vAlign w:val="bottom"/>
          </w:tcPr>
          <w:p w:rsidR="002D5BB0" w:rsidRPr="00222917" w:rsidRDefault="002D5BB0" w:rsidP="00963D8F">
            <w:pPr>
              <w:pStyle w:val="SingleTxtG"/>
              <w:suppressAutoHyphens w:val="0"/>
              <w:spacing w:before="80" w:after="80" w:line="200" w:lineRule="exact"/>
              <w:ind w:left="0" w:right="0"/>
              <w:jc w:val="left"/>
              <w:rPr>
                <w:i/>
                <w:sz w:val="16"/>
                <w:szCs w:val="16"/>
                <w:lang w:val="en-US"/>
              </w:rPr>
            </w:pPr>
          </w:p>
        </w:tc>
        <w:tc>
          <w:tcPr>
            <w:tcW w:w="851" w:type="dxa"/>
            <w:tcBorders>
              <w:top w:val="single" w:sz="4" w:space="0" w:color="000000"/>
              <w:bottom w:val="single" w:sz="12" w:space="0" w:color="000000"/>
            </w:tcBorders>
            <w:shd w:val="clear" w:color="auto" w:fill="auto"/>
            <w:tcMar>
              <w:top w:w="28" w:type="dxa"/>
              <w:left w:w="28" w:type="dxa"/>
              <w:bottom w:w="28" w:type="dxa"/>
              <w:right w:w="28" w:type="dxa"/>
            </w:tcMar>
            <w:vAlign w:val="bottom"/>
          </w:tcPr>
          <w:p w:rsidR="002D5BB0" w:rsidRPr="00222917" w:rsidRDefault="002D5BB0" w:rsidP="00963D8F">
            <w:pPr>
              <w:pStyle w:val="SingleTxtG"/>
              <w:suppressAutoHyphens w:val="0"/>
              <w:spacing w:before="80" w:after="80" w:line="200" w:lineRule="exact"/>
              <w:ind w:left="0" w:right="0"/>
              <w:jc w:val="right"/>
              <w:rPr>
                <w:i/>
                <w:sz w:val="16"/>
                <w:szCs w:val="16"/>
                <w:lang w:val="en-US"/>
              </w:rPr>
            </w:pPr>
            <w:r w:rsidRPr="00222917">
              <w:rPr>
                <w:bCs/>
                <w:i/>
                <w:sz w:val="16"/>
                <w:szCs w:val="16"/>
                <w:lang w:val="en-US"/>
              </w:rPr>
              <w:t>Previous</w:t>
            </w:r>
          </w:p>
        </w:tc>
        <w:tc>
          <w:tcPr>
            <w:tcW w:w="851" w:type="dxa"/>
            <w:tcBorders>
              <w:top w:val="single" w:sz="4" w:space="0" w:color="000000"/>
              <w:bottom w:val="single" w:sz="12" w:space="0" w:color="000000"/>
              <w:right w:val="single" w:sz="24" w:space="0" w:color="FFFFFF"/>
            </w:tcBorders>
            <w:shd w:val="clear" w:color="auto" w:fill="auto"/>
            <w:tcMar>
              <w:top w:w="28" w:type="dxa"/>
              <w:left w:w="28" w:type="dxa"/>
              <w:bottom w:w="28" w:type="dxa"/>
              <w:right w:w="28" w:type="dxa"/>
            </w:tcMar>
            <w:vAlign w:val="bottom"/>
          </w:tcPr>
          <w:p w:rsidR="002D5BB0" w:rsidRPr="00222917" w:rsidRDefault="002D5BB0" w:rsidP="00963D8F">
            <w:pPr>
              <w:pStyle w:val="SingleTxtG"/>
              <w:suppressAutoHyphens w:val="0"/>
              <w:spacing w:before="80" w:after="80" w:line="200" w:lineRule="exact"/>
              <w:ind w:left="0" w:right="0"/>
              <w:jc w:val="right"/>
              <w:rPr>
                <w:i/>
                <w:sz w:val="16"/>
                <w:szCs w:val="16"/>
                <w:lang w:val="en-US"/>
              </w:rPr>
            </w:pPr>
            <w:r w:rsidRPr="00222917">
              <w:rPr>
                <w:bCs/>
                <w:i/>
                <w:sz w:val="16"/>
                <w:szCs w:val="16"/>
                <w:lang w:val="en-US"/>
              </w:rPr>
              <w:t>Revised</w:t>
            </w:r>
          </w:p>
        </w:tc>
        <w:tc>
          <w:tcPr>
            <w:tcW w:w="851" w:type="dxa"/>
            <w:tcBorders>
              <w:top w:val="single" w:sz="4" w:space="0" w:color="000000"/>
              <w:left w:val="single" w:sz="24" w:space="0" w:color="FFFFFF"/>
              <w:bottom w:val="single" w:sz="12" w:space="0" w:color="000000"/>
            </w:tcBorders>
            <w:shd w:val="clear" w:color="auto" w:fill="auto"/>
            <w:tcMar>
              <w:top w:w="28" w:type="dxa"/>
              <w:left w:w="28" w:type="dxa"/>
              <w:bottom w:w="28" w:type="dxa"/>
              <w:right w:w="28" w:type="dxa"/>
            </w:tcMar>
            <w:vAlign w:val="bottom"/>
          </w:tcPr>
          <w:p w:rsidR="002D5BB0" w:rsidRPr="00222917" w:rsidRDefault="002D5BB0" w:rsidP="00963D8F">
            <w:pPr>
              <w:pStyle w:val="SingleTxtG"/>
              <w:suppressAutoHyphens w:val="0"/>
              <w:spacing w:before="80" w:after="80" w:line="200" w:lineRule="exact"/>
              <w:ind w:left="0" w:right="0"/>
              <w:jc w:val="right"/>
              <w:rPr>
                <w:i/>
                <w:sz w:val="16"/>
                <w:szCs w:val="16"/>
                <w:lang w:val="en-US"/>
              </w:rPr>
            </w:pPr>
            <w:r w:rsidRPr="00222917">
              <w:rPr>
                <w:bCs/>
                <w:i/>
                <w:sz w:val="16"/>
                <w:szCs w:val="16"/>
                <w:lang w:val="en-US"/>
              </w:rPr>
              <w:t>Previous</w:t>
            </w:r>
          </w:p>
        </w:tc>
        <w:tc>
          <w:tcPr>
            <w:tcW w:w="851" w:type="dxa"/>
            <w:tcBorders>
              <w:top w:val="single" w:sz="4" w:space="0" w:color="000000"/>
              <w:bottom w:val="single" w:sz="12" w:space="0" w:color="000000"/>
              <w:right w:val="single" w:sz="24" w:space="0" w:color="FFFFFF"/>
            </w:tcBorders>
            <w:shd w:val="clear" w:color="auto" w:fill="auto"/>
            <w:tcMar>
              <w:top w:w="28" w:type="dxa"/>
              <w:left w:w="28" w:type="dxa"/>
              <w:bottom w:w="28" w:type="dxa"/>
              <w:right w:w="28" w:type="dxa"/>
            </w:tcMar>
            <w:vAlign w:val="bottom"/>
          </w:tcPr>
          <w:p w:rsidR="002D5BB0" w:rsidRPr="00222917" w:rsidRDefault="002D5BB0" w:rsidP="00963D8F">
            <w:pPr>
              <w:pStyle w:val="SingleTxtG"/>
              <w:suppressAutoHyphens w:val="0"/>
              <w:spacing w:before="80" w:after="80" w:line="200" w:lineRule="exact"/>
              <w:ind w:left="0" w:right="0"/>
              <w:jc w:val="right"/>
              <w:rPr>
                <w:i/>
                <w:sz w:val="16"/>
                <w:szCs w:val="16"/>
                <w:lang w:val="en-US"/>
              </w:rPr>
            </w:pPr>
            <w:r w:rsidRPr="00222917">
              <w:rPr>
                <w:bCs/>
                <w:i/>
                <w:sz w:val="16"/>
                <w:szCs w:val="16"/>
                <w:lang w:val="en-US"/>
              </w:rPr>
              <w:t>Revised</w:t>
            </w:r>
          </w:p>
        </w:tc>
        <w:tc>
          <w:tcPr>
            <w:tcW w:w="851" w:type="dxa"/>
            <w:tcBorders>
              <w:top w:val="single" w:sz="4" w:space="0" w:color="000000"/>
              <w:left w:val="single" w:sz="24" w:space="0" w:color="FFFFFF"/>
              <w:bottom w:val="single" w:sz="12" w:space="0" w:color="000000"/>
            </w:tcBorders>
            <w:shd w:val="clear" w:color="auto" w:fill="auto"/>
            <w:tcMar>
              <w:top w:w="28" w:type="dxa"/>
              <w:left w:w="28" w:type="dxa"/>
              <w:bottom w:w="28" w:type="dxa"/>
              <w:right w:w="28" w:type="dxa"/>
            </w:tcMar>
            <w:vAlign w:val="bottom"/>
          </w:tcPr>
          <w:p w:rsidR="002D5BB0" w:rsidRPr="00222917" w:rsidRDefault="002D5BB0" w:rsidP="00963D8F">
            <w:pPr>
              <w:pStyle w:val="SingleTxtG"/>
              <w:suppressAutoHyphens w:val="0"/>
              <w:spacing w:before="80" w:after="80" w:line="200" w:lineRule="exact"/>
              <w:ind w:left="0" w:right="0"/>
              <w:jc w:val="right"/>
              <w:rPr>
                <w:i/>
                <w:sz w:val="16"/>
                <w:szCs w:val="16"/>
                <w:lang w:val="en-US"/>
              </w:rPr>
            </w:pPr>
            <w:r w:rsidRPr="00222917">
              <w:rPr>
                <w:bCs/>
                <w:i/>
                <w:sz w:val="16"/>
                <w:szCs w:val="16"/>
                <w:lang w:val="en-US"/>
              </w:rPr>
              <w:t>Previous</w:t>
            </w:r>
          </w:p>
        </w:tc>
        <w:tc>
          <w:tcPr>
            <w:tcW w:w="851" w:type="dxa"/>
            <w:tcBorders>
              <w:top w:val="single" w:sz="4" w:space="0" w:color="000000"/>
              <w:bottom w:val="single" w:sz="12" w:space="0" w:color="000000"/>
            </w:tcBorders>
            <w:shd w:val="clear" w:color="auto" w:fill="auto"/>
            <w:tcMar>
              <w:top w:w="28" w:type="dxa"/>
              <w:left w:w="28" w:type="dxa"/>
              <w:bottom w:w="28" w:type="dxa"/>
              <w:right w:w="28" w:type="dxa"/>
            </w:tcMar>
            <w:vAlign w:val="bottom"/>
          </w:tcPr>
          <w:p w:rsidR="002D5BB0" w:rsidRPr="00222917" w:rsidRDefault="002D5BB0" w:rsidP="00963D8F">
            <w:pPr>
              <w:pStyle w:val="SingleTxtG"/>
              <w:suppressAutoHyphens w:val="0"/>
              <w:spacing w:before="80" w:after="80" w:line="200" w:lineRule="exact"/>
              <w:ind w:left="0" w:right="0"/>
              <w:jc w:val="right"/>
              <w:rPr>
                <w:i/>
                <w:sz w:val="16"/>
                <w:szCs w:val="16"/>
                <w:lang w:val="en-US"/>
              </w:rPr>
            </w:pPr>
            <w:r w:rsidRPr="00222917">
              <w:rPr>
                <w:bCs/>
                <w:i/>
                <w:sz w:val="16"/>
                <w:szCs w:val="16"/>
                <w:lang w:val="en-US"/>
              </w:rPr>
              <w:t>Revised</w:t>
            </w:r>
          </w:p>
        </w:tc>
      </w:tr>
      <w:tr w:rsidR="008F6543" w:rsidRPr="00222917" w:rsidTr="001C4E4C">
        <w:tc>
          <w:tcPr>
            <w:tcW w:w="2268" w:type="dxa"/>
            <w:tcBorders>
              <w:top w:val="single" w:sz="12" w:space="0" w:color="000000"/>
            </w:tcBorders>
            <w:shd w:val="clear" w:color="auto" w:fill="auto"/>
            <w:tcMar>
              <w:top w:w="28" w:type="dxa"/>
              <w:left w:w="28" w:type="dxa"/>
              <w:bottom w:w="28" w:type="dxa"/>
              <w:right w:w="28" w:type="dxa"/>
            </w:tcMar>
          </w:tcPr>
          <w:p w:rsidR="002D5BB0" w:rsidRPr="00222917" w:rsidRDefault="002D5BB0" w:rsidP="00963D8F">
            <w:pPr>
              <w:pStyle w:val="SingleTxtG"/>
              <w:suppressAutoHyphens w:val="0"/>
              <w:spacing w:before="40" w:after="40" w:line="220" w:lineRule="exact"/>
              <w:ind w:left="0" w:right="0"/>
              <w:jc w:val="left"/>
              <w:rPr>
                <w:sz w:val="18"/>
                <w:lang w:val="en-US"/>
              </w:rPr>
            </w:pPr>
            <w:r w:rsidRPr="00222917">
              <w:rPr>
                <w:sz w:val="18"/>
                <w:lang w:val="en-US"/>
              </w:rPr>
              <w:t>Terrestrial broadcasting business</w:t>
            </w:r>
          </w:p>
        </w:tc>
        <w:tc>
          <w:tcPr>
            <w:tcW w:w="851" w:type="dxa"/>
            <w:tcBorders>
              <w:top w:val="single" w:sz="12" w:space="0" w:color="000000"/>
            </w:tcBorders>
            <w:shd w:val="clear" w:color="auto" w:fill="auto"/>
            <w:tcMar>
              <w:top w:w="28" w:type="dxa"/>
              <w:left w:w="28" w:type="dxa"/>
              <w:bottom w:w="28" w:type="dxa"/>
              <w:right w:w="28" w:type="dxa"/>
            </w:tcMar>
            <w:vAlign w:val="bottom"/>
          </w:tcPr>
          <w:p w:rsidR="002D5BB0" w:rsidRPr="00222917" w:rsidRDefault="002D5BB0" w:rsidP="00AE2635">
            <w:pPr>
              <w:pStyle w:val="SingleTxtG"/>
              <w:suppressAutoHyphens w:val="0"/>
              <w:spacing w:before="40" w:after="40" w:line="220" w:lineRule="exact"/>
              <w:ind w:left="0" w:right="0"/>
              <w:jc w:val="center"/>
              <w:rPr>
                <w:sz w:val="18"/>
                <w:lang w:val="en-US"/>
              </w:rPr>
            </w:pPr>
            <w:r w:rsidRPr="00222917">
              <w:rPr>
                <w:sz w:val="18"/>
                <w:lang w:val="en-US"/>
              </w:rPr>
              <w:t>30%</w:t>
            </w:r>
          </w:p>
        </w:tc>
        <w:tc>
          <w:tcPr>
            <w:tcW w:w="851" w:type="dxa"/>
            <w:tcBorders>
              <w:top w:val="single" w:sz="12" w:space="0" w:color="000000"/>
            </w:tcBorders>
            <w:shd w:val="clear" w:color="auto" w:fill="auto"/>
            <w:tcMar>
              <w:top w:w="28" w:type="dxa"/>
              <w:left w:w="28" w:type="dxa"/>
              <w:bottom w:w="28" w:type="dxa"/>
              <w:right w:w="28" w:type="dxa"/>
            </w:tcMar>
            <w:vAlign w:val="bottom"/>
          </w:tcPr>
          <w:p w:rsidR="002D5BB0" w:rsidRPr="00222917" w:rsidRDefault="002D5BB0" w:rsidP="00AE2635">
            <w:pPr>
              <w:pStyle w:val="SingleTxtG"/>
              <w:suppressAutoHyphens w:val="0"/>
              <w:spacing w:before="40" w:after="40" w:line="220" w:lineRule="exact"/>
              <w:ind w:left="0" w:right="0"/>
              <w:jc w:val="center"/>
              <w:rPr>
                <w:sz w:val="18"/>
                <w:lang w:val="en-US"/>
              </w:rPr>
            </w:pPr>
            <w:r w:rsidRPr="00222917">
              <w:rPr>
                <w:bCs/>
                <w:sz w:val="18"/>
                <w:lang w:val="en-US"/>
              </w:rPr>
              <w:t>40%</w:t>
            </w:r>
          </w:p>
        </w:tc>
        <w:tc>
          <w:tcPr>
            <w:tcW w:w="851" w:type="dxa"/>
            <w:tcBorders>
              <w:top w:val="single" w:sz="12" w:space="0" w:color="000000"/>
            </w:tcBorders>
            <w:shd w:val="clear" w:color="auto" w:fill="auto"/>
            <w:tcMar>
              <w:top w:w="28" w:type="dxa"/>
              <w:left w:w="28" w:type="dxa"/>
              <w:bottom w:w="28" w:type="dxa"/>
              <w:right w:w="28" w:type="dxa"/>
            </w:tcMar>
            <w:vAlign w:val="bottom"/>
          </w:tcPr>
          <w:p w:rsidR="002D5BB0" w:rsidRPr="00222917" w:rsidRDefault="002D5BB0" w:rsidP="00AE2635">
            <w:pPr>
              <w:pStyle w:val="SingleTxtG"/>
              <w:suppressAutoHyphens w:val="0"/>
              <w:spacing w:before="40" w:after="40" w:line="220" w:lineRule="exact"/>
              <w:ind w:left="0" w:right="0"/>
              <w:jc w:val="center"/>
              <w:rPr>
                <w:sz w:val="18"/>
                <w:lang w:val="en-US"/>
              </w:rPr>
            </w:pPr>
            <w:r w:rsidRPr="00222917">
              <w:rPr>
                <w:sz w:val="18"/>
                <w:lang w:val="en-US"/>
              </w:rPr>
              <w:t>Prohibited</w:t>
            </w:r>
          </w:p>
        </w:tc>
        <w:tc>
          <w:tcPr>
            <w:tcW w:w="851" w:type="dxa"/>
            <w:tcBorders>
              <w:top w:val="single" w:sz="12" w:space="0" w:color="000000"/>
            </w:tcBorders>
            <w:shd w:val="clear" w:color="auto" w:fill="auto"/>
            <w:tcMar>
              <w:top w:w="28" w:type="dxa"/>
              <w:left w:w="28" w:type="dxa"/>
              <w:bottom w:w="28" w:type="dxa"/>
              <w:right w:w="28" w:type="dxa"/>
            </w:tcMar>
            <w:vAlign w:val="bottom"/>
          </w:tcPr>
          <w:p w:rsidR="002D5BB0" w:rsidRPr="00222917" w:rsidRDefault="002D5BB0" w:rsidP="00AE2635">
            <w:pPr>
              <w:pStyle w:val="SingleTxtG"/>
              <w:suppressAutoHyphens w:val="0"/>
              <w:spacing w:before="40" w:after="40" w:line="220" w:lineRule="exact"/>
              <w:ind w:left="0" w:right="0"/>
              <w:jc w:val="center"/>
              <w:rPr>
                <w:sz w:val="18"/>
                <w:lang w:val="en-US"/>
              </w:rPr>
            </w:pPr>
            <w:r w:rsidRPr="00222917">
              <w:rPr>
                <w:bCs/>
                <w:sz w:val="18"/>
                <w:lang w:val="en-US"/>
              </w:rPr>
              <w:t>10%</w:t>
            </w:r>
          </w:p>
        </w:tc>
        <w:tc>
          <w:tcPr>
            <w:tcW w:w="851" w:type="dxa"/>
            <w:tcBorders>
              <w:top w:val="single" w:sz="12" w:space="0" w:color="000000"/>
            </w:tcBorders>
            <w:shd w:val="clear" w:color="auto" w:fill="auto"/>
            <w:tcMar>
              <w:top w:w="28" w:type="dxa"/>
              <w:left w:w="28" w:type="dxa"/>
              <w:bottom w:w="28" w:type="dxa"/>
              <w:right w:w="28" w:type="dxa"/>
            </w:tcMar>
            <w:vAlign w:val="bottom"/>
          </w:tcPr>
          <w:p w:rsidR="002D5BB0" w:rsidRPr="00222917" w:rsidRDefault="002D5BB0" w:rsidP="00AE2635">
            <w:pPr>
              <w:pStyle w:val="SingleTxtG"/>
              <w:suppressAutoHyphens w:val="0"/>
              <w:spacing w:before="40" w:after="40" w:line="220" w:lineRule="exact"/>
              <w:ind w:left="0" w:right="0"/>
              <w:jc w:val="center"/>
              <w:rPr>
                <w:sz w:val="18"/>
                <w:lang w:val="en-US"/>
              </w:rPr>
            </w:pPr>
            <w:r w:rsidRPr="00222917">
              <w:rPr>
                <w:sz w:val="18"/>
                <w:lang w:val="en-US"/>
              </w:rPr>
              <w:t>Prohibited</w:t>
            </w:r>
          </w:p>
        </w:tc>
        <w:tc>
          <w:tcPr>
            <w:tcW w:w="851" w:type="dxa"/>
            <w:tcBorders>
              <w:top w:val="single" w:sz="12" w:space="0" w:color="000000"/>
            </w:tcBorders>
            <w:shd w:val="clear" w:color="auto" w:fill="auto"/>
            <w:tcMar>
              <w:top w:w="28" w:type="dxa"/>
              <w:left w:w="28" w:type="dxa"/>
              <w:bottom w:w="28" w:type="dxa"/>
              <w:right w:w="28" w:type="dxa"/>
            </w:tcMar>
            <w:vAlign w:val="bottom"/>
          </w:tcPr>
          <w:p w:rsidR="002D5BB0" w:rsidRPr="00222917" w:rsidRDefault="002D5BB0" w:rsidP="00AE2635">
            <w:pPr>
              <w:pStyle w:val="SingleTxtG"/>
              <w:suppressAutoHyphens w:val="0"/>
              <w:spacing w:before="40" w:after="40" w:line="220" w:lineRule="exact"/>
              <w:ind w:left="0" w:right="0"/>
              <w:jc w:val="center"/>
              <w:rPr>
                <w:sz w:val="18"/>
                <w:lang w:val="en-US"/>
              </w:rPr>
            </w:pPr>
            <w:r w:rsidRPr="00222917">
              <w:rPr>
                <w:bCs/>
                <w:sz w:val="18"/>
                <w:lang w:val="en-US"/>
              </w:rPr>
              <w:t>10%</w:t>
            </w:r>
          </w:p>
        </w:tc>
      </w:tr>
      <w:tr w:rsidR="008F6543" w:rsidRPr="00222917" w:rsidTr="00AE2635">
        <w:tc>
          <w:tcPr>
            <w:tcW w:w="2268" w:type="dxa"/>
            <w:shd w:val="clear" w:color="auto" w:fill="auto"/>
            <w:tcMar>
              <w:top w:w="28" w:type="dxa"/>
              <w:left w:w="28" w:type="dxa"/>
              <w:bottom w:w="28" w:type="dxa"/>
              <w:right w:w="28" w:type="dxa"/>
            </w:tcMar>
          </w:tcPr>
          <w:p w:rsidR="002D5BB0" w:rsidRPr="00222917" w:rsidRDefault="002D5BB0" w:rsidP="00963D8F">
            <w:pPr>
              <w:pStyle w:val="SingleTxtG"/>
              <w:suppressAutoHyphens w:val="0"/>
              <w:spacing w:before="40" w:after="40" w:line="220" w:lineRule="exact"/>
              <w:ind w:left="0" w:right="0"/>
              <w:jc w:val="left"/>
              <w:rPr>
                <w:sz w:val="18"/>
                <w:lang w:val="en-US"/>
              </w:rPr>
            </w:pPr>
            <w:r w:rsidRPr="00222917">
              <w:rPr>
                <w:sz w:val="18"/>
                <w:lang w:val="en-US"/>
              </w:rPr>
              <w:t>General programming PP</w:t>
            </w:r>
          </w:p>
        </w:tc>
        <w:tc>
          <w:tcPr>
            <w:tcW w:w="851" w:type="dxa"/>
            <w:shd w:val="clear" w:color="auto" w:fill="auto"/>
            <w:tcMar>
              <w:top w:w="28" w:type="dxa"/>
              <w:left w:w="28" w:type="dxa"/>
              <w:bottom w:w="28" w:type="dxa"/>
              <w:right w:w="28" w:type="dxa"/>
            </w:tcMar>
            <w:vAlign w:val="bottom"/>
          </w:tcPr>
          <w:p w:rsidR="002D5BB0" w:rsidRPr="00222917" w:rsidRDefault="002D5BB0" w:rsidP="00AE2635">
            <w:pPr>
              <w:pStyle w:val="SingleTxtG"/>
              <w:suppressAutoHyphens w:val="0"/>
              <w:spacing w:before="40" w:after="40" w:line="220" w:lineRule="exact"/>
              <w:ind w:left="0" w:right="0"/>
              <w:jc w:val="center"/>
              <w:rPr>
                <w:sz w:val="18"/>
                <w:lang w:val="en-US"/>
              </w:rPr>
            </w:pPr>
            <w:r w:rsidRPr="00222917">
              <w:rPr>
                <w:sz w:val="18"/>
                <w:lang w:val="en-US"/>
              </w:rPr>
              <w:t>30%</w:t>
            </w:r>
          </w:p>
        </w:tc>
        <w:tc>
          <w:tcPr>
            <w:tcW w:w="851" w:type="dxa"/>
            <w:shd w:val="clear" w:color="auto" w:fill="auto"/>
            <w:tcMar>
              <w:top w:w="28" w:type="dxa"/>
              <w:left w:w="28" w:type="dxa"/>
              <w:bottom w:w="28" w:type="dxa"/>
              <w:right w:w="28" w:type="dxa"/>
            </w:tcMar>
            <w:vAlign w:val="bottom"/>
          </w:tcPr>
          <w:p w:rsidR="002D5BB0" w:rsidRPr="00222917" w:rsidRDefault="002D5BB0" w:rsidP="00AE2635">
            <w:pPr>
              <w:pStyle w:val="SingleTxtG"/>
              <w:suppressAutoHyphens w:val="0"/>
              <w:spacing w:before="40" w:after="40" w:line="220" w:lineRule="exact"/>
              <w:ind w:left="0" w:right="0"/>
              <w:jc w:val="center"/>
              <w:rPr>
                <w:sz w:val="18"/>
                <w:lang w:val="en-US"/>
              </w:rPr>
            </w:pPr>
            <w:r w:rsidRPr="00222917">
              <w:rPr>
                <w:bCs/>
                <w:sz w:val="18"/>
                <w:lang w:val="en-US"/>
              </w:rPr>
              <w:t>40%</w:t>
            </w:r>
          </w:p>
        </w:tc>
        <w:tc>
          <w:tcPr>
            <w:tcW w:w="851" w:type="dxa"/>
            <w:shd w:val="clear" w:color="auto" w:fill="auto"/>
            <w:tcMar>
              <w:top w:w="28" w:type="dxa"/>
              <w:left w:w="28" w:type="dxa"/>
              <w:bottom w:w="28" w:type="dxa"/>
              <w:right w:w="28" w:type="dxa"/>
            </w:tcMar>
            <w:vAlign w:val="bottom"/>
          </w:tcPr>
          <w:p w:rsidR="002D5BB0" w:rsidRPr="00222917" w:rsidRDefault="002D5BB0" w:rsidP="00AE2635">
            <w:pPr>
              <w:pStyle w:val="SingleTxtG"/>
              <w:suppressAutoHyphens w:val="0"/>
              <w:spacing w:before="40" w:after="40" w:line="220" w:lineRule="exact"/>
              <w:ind w:left="0" w:right="0"/>
              <w:jc w:val="center"/>
              <w:rPr>
                <w:sz w:val="18"/>
                <w:lang w:val="en-US"/>
              </w:rPr>
            </w:pPr>
            <w:r w:rsidRPr="00222917">
              <w:rPr>
                <w:sz w:val="18"/>
                <w:lang w:val="en-US"/>
              </w:rPr>
              <w:t>Prohibited</w:t>
            </w:r>
          </w:p>
        </w:tc>
        <w:tc>
          <w:tcPr>
            <w:tcW w:w="851" w:type="dxa"/>
            <w:shd w:val="clear" w:color="auto" w:fill="auto"/>
            <w:tcMar>
              <w:top w:w="28" w:type="dxa"/>
              <w:left w:w="28" w:type="dxa"/>
              <w:bottom w:w="28" w:type="dxa"/>
              <w:right w:w="28" w:type="dxa"/>
            </w:tcMar>
            <w:vAlign w:val="bottom"/>
          </w:tcPr>
          <w:p w:rsidR="002D5BB0" w:rsidRPr="00222917" w:rsidRDefault="002D5BB0" w:rsidP="00AE2635">
            <w:pPr>
              <w:pStyle w:val="SingleTxtG"/>
              <w:suppressAutoHyphens w:val="0"/>
              <w:spacing w:before="40" w:after="40" w:line="220" w:lineRule="exact"/>
              <w:ind w:left="0" w:right="0"/>
              <w:jc w:val="center"/>
              <w:rPr>
                <w:sz w:val="18"/>
                <w:lang w:val="en-US"/>
              </w:rPr>
            </w:pPr>
            <w:r w:rsidRPr="00222917">
              <w:rPr>
                <w:bCs/>
                <w:sz w:val="18"/>
                <w:lang w:val="en-US"/>
              </w:rPr>
              <w:t>30%</w:t>
            </w:r>
          </w:p>
        </w:tc>
        <w:tc>
          <w:tcPr>
            <w:tcW w:w="851" w:type="dxa"/>
            <w:shd w:val="clear" w:color="auto" w:fill="auto"/>
            <w:tcMar>
              <w:top w:w="28" w:type="dxa"/>
              <w:left w:w="28" w:type="dxa"/>
              <w:bottom w:w="28" w:type="dxa"/>
              <w:right w:w="28" w:type="dxa"/>
            </w:tcMar>
            <w:vAlign w:val="bottom"/>
          </w:tcPr>
          <w:p w:rsidR="002D5BB0" w:rsidRPr="00222917" w:rsidRDefault="002D5BB0" w:rsidP="00AE2635">
            <w:pPr>
              <w:pStyle w:val="SingleTxtG"/>
              <w:suppressAutoHyphens w:val="0"/>
              <w:spacing w:before="40" w:after="40" w:line="220" w:lineRule="exact"/>
              <w:ind w:left="0" w:right="0"/>
              <w:jc w:val="center"/>
              <w:rPr>
                <w:sz w:val="18"/>
                <w:lang w:val="en-US"/>
              </w:rPr>
            </w:pPr>
            <w:r w:rsidRPr="00222917">
              <w:rPr>
                <w:sz w:val="18"/>
                <w:lang w:val="en-US"/>
              </w:rPr>
              <w:t>Prohibited</w:t>
            </w:r>
          </w:p>
        </w:tc>
        <w:tc>
          <w:tcPr>
            <w:tcW w:w="851" w:type="dxa"/>
            <w:shd w:val="clear" w:color="auto" w:fill="auto"/>
            <w:tcMar>
              <w:top w:w="28" w:type="dxa"/>
              <w:left w:w="28" w:type="dxa"/>
              <w:bottom w:w="28" w:type="dxa"/>
              <w:right w:w="28" w:type="dxa"/>
            </w:tcMar>
            <w:vAlign w:val="bottom"/>
          </w:tcPr>
          <w:p w:rsidR="002D5BB0" w:rsidRPr="00222917" w:rsidRDefault="002D5BB0" w:rsidP="00AE2635">
            <w:pPr>
              <w:pStyle w:val="SingleTxtG"/>
              <w:suppressAutoHyphens w:val="0"/>
              <w:spacing w:before="40" w:after="40" w:line="220" w:lineRule="exact"/>
              <w:ind w:left="0" w:right="0"/>
              <w:jc w:val="center"/>
              <w:rPr>
                <w:sz w:val="18"/>
                <w:lang w:val="en-US"/>
              </w:rPr>
            </w:pPr>
            <w:r w:rsidRPr="00222917">
              <w:rPr>
                <w:bCs/>
                <w:sz w:val="18"/>
                <w:lang w:val="en-US"/>
              </w:rPr>
              <w:t>30%</w:t>
            </w:r>
          </w:p>
        </w:tc>
      </w:tr>
      <w:tr w:rsidR="008F6543" w:rsidRPr="00222917" w:rsidTr="00AE2635">
        <w:tc>
          <w:tcPr>
            <w:tcW w:w="2268" w:type="dxa"/>
            <w:shd w:val="clear" w:color="auto" w:fill="auto"/>
            <w:tcMar>
              <w:top w:w="28" w:type="dxa"/>
              <w:left w:w="28" w:type="dxa"/>
              <w:bottom w:w="28" w:type="dxa"/>
              <w:right w:w="28" w:type="dxa"/>
            </w:tcMar>
          </w:tcPr>
          <w:p w:rsidR="002D5BB0" w:rsidRPr="00222917" w:rsidRDefault="002D5BB0" w:rsidP="00963D8F">
            <w:pPr>
              <w:pStyle w:val="SingleTxtG"/>
              <w:suppressAutoHyphens w:val="0"/>
              <w:spacing w:before="40" w:after="40" w:line="220" w:lineRule="exact"/>
              <w:ind w:left="0" w:right="0"/>
              <w:jc w:val="left"/>
              <w:rPr>
                <w:sz w:val="18"/>
                <w:lang w:val="en-US"/>
              </w:rPr>
            </w:pPr>
            <w:r w:rsidRPr="00222917">
              <w:rPr>
                <w:sz w:val="18"/>
                <w:lang w:val="en-US"/>
              </w:rPr>
              <w:t>News report PP</w:t>
            </w:r>
          </w:p>
        </w:tc>
        <w:tc>
          <w:tcPr>
            <w:tcW w:w="851" w:type="dxa"/>
            <w:shd w:val="clear" w:color="auto" w:fill="auto"/>
            <w:tcMar>
              <w:top w:w="28" w:type="dxa"/>
              <w:left w:w="28" w:type="dxa"/>
              <w:bottom w:w="28" w:type="dxa"/>
              <w:right w:w="28" w:type="dxa"/>
            </w:tcMar>
            <w:vAlign w:val="bottom"/>
          </w:tcPr>
          <w:p w:rsidR="002D5BB0" w:rsidRPr="00222917" w:rsidRDefault="002D5BB0" w:rsidP="00AE2635">
            <w:pPr>
              <w:pStyle w:val="SingleTxtG"/>
              <w:suppressAutoHyphens w:val="0"/>
              <w:spacing w:before="40" w:after="40" w:line="220" w:lineRule="exact"/>
              <w:ind w:left="0" w:right="0"/>
              <w:jc w:val="center"/>
              <w:rPr>
                <w:sz w:val="18"/>
                <w:lang w:val="en-US"/>
              </w:rPr>
            </w:pPr>
            <w:r w:rsidRPr="00222917">
              <w:rPr>
                <w:sz w:val="18"/>
                <w:lang w:val="en-US"/>
              </w:rPr>
              <w:t>30%</w:t>
            </w:r>
          </w:p>
        </w:tc>
        <w:tc>
          <w:tcPr>
            <w:tcW w:w="851" w:type="dxa"/>
            <w:shd w:val="clear" w:color="auto" w:fill="auto"/>
            <w:tcMar>
              <w:top w:w="28" w:type="dxa"/>
              <w:left w:w="28" w:type="dxa"/>
              <w:bottom w:w="28" w:type="dxa"/>
              <w:right w:w="28" w:type="dxa"/>
            </w:tcMar>
            <w:vAlign w:val="bottom"/>
          </w:tcPr>
          <w:p w:rsidR="002D5BB0" w:rsidRPr="00222917" w:rsidRDefault="002D5BB0" w:rsidP="00AE2635">
            <w:pPr>
              <w:pStyle w:val="SingleTxtG"/>
              <w:suppressAutoHyphens w:val="0"/>
              <w:spacing w:before="40" w:after="40" w:line="220" w:lineRule="exact"/>
              <w:ind w:left="0" w:right="0"/>
              <w:jc w:val="center"/>
              <w:rPr>
                <w:sz w:val="18"/>
                <w:lang w:val="en-US"/>
              </w:rPr>
            </w:pPr>
            <w:r w:rsidRPr="00222917">
              <w:rPr>
                <w:bCs/>
                <w:sz w:val="18"/>
                <w:lang w:val="en-US"/>
              </w:rPr>
              <w:t>40%</w:t>
            </w:r>
          </w:p>
        </w:tc>
        <w:tc>
          <w:tcPr>
            <w:tcW w:w="851" w:type="dxa"/>
            <w:shd w:val="clear" w:color="auto" w:fill="auto"/>
            <w:tcMar>
              <w:top w:w="28" w:type="dxa"/>
              <w:left w:w="28" w:type="dxa"/>
              <w:bottom w:w="28" w:type="dxa"/>
              <w:right w:w="28" w:type="dxa"/>
            </w:tcMar>
            <w:vAlign w:val="bottom"/>
          </w:tcPr>
          <w:p w:rsidR="002D5BB0" w:rsidRPr="00222917" w:rsidRDefault="002D5BB0" w:rsidP="00AE2635">
            <w:pPr>
              <w:pStyle w:val="SingleTxtG"/>
              <w:suppressAutoHyphens w:val="0"/>
              <w:spacing w:before="40" w:after="40" w:line="220" w:lineRule="exact"/>
              <w:ind w:left="0" w:right="0"/>
              <w:jc w:val="center"/>
              <w:rPr>
                <w:sz w:val="18"/>
                <w:lang w:val="en-US"/>
              </w:rPr>
            </w:pPr>
            <w:r w:rsidRPr="00222917">
              <w:rPr>
                <w:sz w:val="18"/>
                <w:lang w:val="en-US"/>
              </w:rPr>
              <w:t>Prohibited</w:t>
            </w:r>
          </w:p>
        </w:tc>
        <w:tc>
          <w:tcPr>
            <w:tcW w:w="851" w:type="dxa"/>
            <w:shd w:val="clear" w:color="auto" w:fill="auto"/>
            <w:tcMar>
              <w:top w:w="28" w:type="dxa"/>
              <w:left w:w="28" w:type="dxa"/>
              <w:bottom w:w="28" w:type="dxa"/>
              <w:right w:w="28" w:type="dxa"/>
            </w:tcMar>
            <w:vAlign w:val="bottom"/>
          </w:tcPr>
          <w:p w:rsidR="002D5BB0" w:rsidRPr="00222917" w:rsidRDefault="002D5BB0" w:rsidP="00AE2635">
            <w:pPr>
              <w:pStyle w:val="SingleTxtG"/>
              <w:suppressAutoHyphens w:val="0"/>
              <w:spacing w:before="40" w:after="40" w:line="220" w:lineRule="exact"/>
              <w:ind w:left="0" w:right="0"/>
              <w:jc w:val="center"/>
              <w:rPr>
                <w:sz w:val="18"/>
                <w:lang w:val="en-US"/>
              </w:rPr>
            </w:pPr>
            <w:r w:rsidRPr="00222917">
              <w:rPr>
                <w:bCs/>
                <w:sz w:val="18"/>
                <w:lang w:val="en-US"/>
              </w:rPr>
              <w:t>30%</w:t>
            </w:r>
          </w:p>
        </w:tc>
        <w:tc>
          <w:tcPr>
            <w:tcW w:w="851" w:type="dxa"/>
            <w:shd w:val="clear" w:color="auto" w:fill="auto"/>
            <w:tcMar>
              <w:top w:w="28" w:type="dxa"/>
              <w:left w:w="28" w:type="dxa"/>
              <w:bottom w:w="28" w:type="dxa"/>
              <w:right w:w="28" w:type="dxa"/>
            </w:tcMar>
            <w:vAlign w:val="bottom"/>
          </w:tcPr>
          <w:p w:rsidR="002D5BB0" w:rsidRPr="00222917" w:rsidRDefault="002D5BB0" w:rsidP="00AE2635">
            <w:pPr>
              <w:pStyle w:val="SingleTxtG"/>
              <w:suppressAutoHyphens w:val="0"/>
              <w:spacing w:before="40" w:after="40" w:line="220" w:lineRule="exact"/>
              <w:ind w:left="0" w:right="0"/>
              <w:jc w:val="center"/>
              <w:rPr>
                <w:sz w:val="18"/>
                <w:lang w:val="en-US"/>
              </w:rPr>
            </w:pPr>
            <w:r w:rsidRPr="00222917">
              <w:rPr>
                <w:sz w:val="18"/>
                <w:lang w:val="en-US"/>
              </w:rPr>
              <w:t>Prohibited</w:t>
            </w:r>
          </w:p>
        </w:tc>
        <w:tc>
          <w:tcPr>
            <w:tcW w:w="851" w:type="dxa"/>
            <w:shd w:val="clear" w:color="auto" w:fill="auto"/>
            <w:tcMar>
              <w:top w:w="28" w:type="dxa"/>
              <w:left w:w="28" w:type="dxa"/>
              <w:bottom w:w="28" w:type="dxa"/>
              <w:right w:w="28" w:type="dxa"/>
            </w:tcMar>
            <w:vAlign w:val="bottom"/>
          </w:tcPr>
          <w:p w:rsidR="002D5BB0" w:rsidRPr="00222917" w:rsidRDefault="002D5BB0" w:rsidP="00AE2635">
            <w:pPr>
              <w:pStyle w:val="SingleTxtG"/>
              <w:suppressAutoHyphens w:val="0"/>
              <w:spacing w:before="40" w:after="40" w:line="220" w:lineRule="exact"/>
              <w:ind w:left="0" w:right="0"/>
              <w:jc w:val="center"/>
              <w:rPr>
                <w:sz w:val="18"/>
                <w:lang w:val="en-US"/>
              </w:rPr>
            </w:pPr>
            <w:r w:rsidRPr="00222917">
              <w:rPr>
                <w:bCs/>
                <w:sz w:val="18"/>
                <w:lang w:val="en-US"/>
              </w:rPr>
              <w:t>30%</w:t>
            </w:r>
          </w:p>
        </w:tc>
      </w:tr>
      <w:tr w:rsidR="008F6543" w:rsidRPr="00222917" w:rsidTr="00AE2635">
        <w:tc>
          <w:tcPr>
            <w:tcW w:w="2268" w:type="dxa"/>
            <w:shd w:val="clear" w:color="auto" w:fill="auto"/>
            <w:tcMar>
              <w:top w:w="28" w:type="dxa"/>
              <w:left w:w="28" w:type="dxa"/>
              <w:bottom w:w="28" w:type="dxa"/>
              <w:right w:w="28" w:type="dxa"/>
            </w:tcMar>
          </w:tcPr>
          <w:p w:rsidR="002D5BB0" w:rsidRPr="00222917" w:rsidRDefault="002D5BB0" w:rsidP="00963D8F">
            <w:pPr>
              <w:pStyle w:val="SingleTxtG"/>
              <w:suppressAutoHyphens w:val="0"/>
              <w:spacing w:before="40" w:after="40" w:line="220" w:lineRule="exact"/>
              <w:ind w:left="0" w:right="0"/>
              <w:jc w:val="left"/>
              <w:rPr>
                <w:sz w:val="18"/>
                <w:lang w:val="en-US"/>
              </w:rPr>
            </w:pPr>
            <w:r w:rsidRPr="00222917">
              <w:rPr>
                <w:sz w:val="18"/>
                <w:lang w:val="en-US"/>
              </w:rPr>
              <w:t>Composite cable broadcasting service provider</w:t>
            </w:r>
          </w:p>
        </w:tc>
        <w:tc>
          <w:tcPr>
            <w:tcW w:w="851" w:type="dxa"/>
            <w:shd w:val="clear" w:color="auto" w:fill="auto"/>
            <w:tcMar>
              <w:top w:w="28" w:type="dxa"/>
              <w:left w:w="28" w:type="dxa"/>
              <w:bottom w:w="28" w:type="dxa"/>
              <w:right w:w="28" w:type="dxa"/>
            </w:tcMar>
            <w:vAlign w:val="bottom"/>
          </w:tcPr>
          <w:p w:rsidR="002D5BB0" w:rsidRPr="00222917" w:rsidRDefault="002D5BB0" w:rsidP="00AE2635">
            <w:pPr>
              <w:pStyle w:val="SingleTxtG"/>
              <w:suppressAutoHyphens w:val="0"/>
              <w:spacing w:before="40" w:after="40" w:line="220" w:lineRule="exact"/>
              <w:ind w:left="0" w:right="0"/>
              <w:jc w:val="center"/>
              <w:rPr>
                <w:sz w:val="18"/>
                <w:lang w:val="en-US"/>
              </w:rPr>
            </w:pPr>
            <w:r w:rsidRPr="00222917">
              <w:rPr>
                <w:sz w:val="18"/>
                <w:lang w:val="en-US"/>
              </w:rPr>
              <w:t>-</w:t>
            </w:r>
          </w:p>
        </w:tc>
        <w:tc>
          <w:tcPr>
            <w:tcW w:w="851" w:type="dxa"/>
            <w:shd w:val="clear" w:color="auto" w:fill="auto"/>
            <w:tcMar>
              <w:top w:w="28" w:type="dxa"/>
              <w:left w:w="28" w:type="dxa"/>
              <w:bottom w:w="28" w:type="dxa"/>
              <w:right w:w="28" w:type="dxa"/>
            </w:tcMar>
            <w:vAlign w:val="bottom"/>
          </w:tcPr>
          <w:p w:rsidR="002D5BB0" w:rsidRPr="00222917" w:rsidRDefault="002D5BB0" w:rsidP="00AE2635">
            <w:pPr>
              <w:pStyle w:val="SingleTxtG"/>
              <w:suppressAutoHyphens w:val="0"/>
              <w:spacing w:before="40" w:after="40" w:line="220" w:lineRule="exact"/>
              <w:ind w:left="0" w:right="0"/>
              <w:jc w:val="center"/>
              <w:rPr>
                <w:sz w:val="18"/>
                <w:lang w:val="en-US"/>
              </w:rPr>
            </w:pPr>
            <w:r w:rsidRPr="00222917">
              <w:rPr>
                <w:bCs/>
                <w:sz w:val="18"/>
                <w:lang w:val="en-US"/>
              </w:rPr>
              <w:t>-</w:t>
            </w:r>
          </w:p>
        </w:tc>
        <w:tc>
          <w:tcPr>
            <w:tcW w:w="851" w:type="dxa"/>
            <w:shd w:val="clear" w:color="auto" w:fill="auto"/>
            <w:tcMar>
              <w:top w:w="28" w:type="dxa"/>
              <w:left w:w="28" w:type="dxa"/>
              <w:bottom w:w="28" w:type="dxa"/>
              <w:right w:w="28" w:type="dxa"/>
            </w:tcMar>
            <w:vAlign w:val="bottom"/>
          </w:tcPr>
          <w:p w:rsidR="002D5BB0" w:rsidRPr="00222917" w:rsidRDefault="002D5BB0" w:rsidP="00AE2635">
            <w:pPr>
              <w:pStyle w:val="SingleTxtG"/>
              <w:suppressAutoHyphens w:val="0"/>
              <w:spacing w:before="40" w:after="40" w:line="220" w:lineRule="exact"/>
              <w:ind w:left="0" w:right="0"/>
              <w:jc w:val="center"/>
              <w:rPr>
                <w:sz w:val="18"/>
                <w:lang w:val="en-US"/>
              </w:rPr>
            </w:pPr>
            <w:r w:rsidRPr="00222917">
              <w:rPr>
                <w:sz w:val="18"/>
                <w:lang w:val="en-US"/>
              </w:rPr>
              <w:t>33%</w:t>
            </w:r>
          </w:p>
        </w:tc>
        <w:tc>
          <w:tcPr>
            <w:tcW w:w="851" w:type="dxa"/>
            <w:shd w:val="clear" w:color="auto" w:fill="auto"/>
            <w:tcMar>
              <w:top w:w="28" w:type="dxa"/>
              <w:left w:w="28" w:type="dxa"/>
              <w:bottom w:w="28" w:type="dxa"/>
              <w:right w:w="28" w:type="dxa"/>
            </w:tcMar>
            <w:vAlign w:val="bottom"/>
          </w:tcPr>
          <w:p w:rsidR="002D5BB0" w:rsidRPr="00222917" w:rsidRDefault="002D5BB0" w:rsidP="00AE2635">
            <w:pPr>
              <w:pStyle w:val="SingleTxtG"/>
              <w:suppressAutoHyphens w:val="0"/>
              <w:spacing w:before="40" w:after="40" w:line="220" w:lineRule="exact"/>
              <w:ind w:left="0" w:right="0"/>
              <w:jc w:val="center"/>
              <w:rPr>
                <w:sz w:val="18"/>
                <w:lang w:val="en-US"/>
              </w:rPr>
            </w:pPr>
            <w:r w:rsidRPr="00222917">
              <w:rPr>
                <w:bCs/>
                <w:sz w:val="18"/>
                <w:lang w:val="en-US"/>
              </w:rPr>
              <w:t>49%</w:t>
            </w:r>
          </w:p>
        </w:tc>
        <w:tc>
          <w:tcPr>
            <w:tcW w:w="851" w:type="dxa"/>
            <w:shd w:val="clear" w:color="auto" w:fill="auto"/>
            <w:tcMar>
              <w:top w:w="28" w:type="dxa"/>
              <w:left w:w="28" w:type="dxa"/>
              <w:bottom w:w="28" w:type="dxa"/>
              <w:right w:w="28" w:type="dxa"/>
            </w:tcMar>
            <w:vAlign w:val="bottom"/>
          </w:tcPr>
          <w:p w:rsidR="002D5BB0" w:rsidRPr="00222917" w:rsidRDefault="002D5BB0" w:rsidP="00AE2635">
            <w:pPr>
              <w:pStyle w:val="SingleTxtG"/>
              <w:suppressAutoHyphens w:val="0"/>
              <w:spacing w:before="40" w:after="40" w:line="220" w:lineRule="exact"/>
              <w:ind w:left="0" w:right="0"/>
              <w:jc w:val="center"/>
              <w:rPr>
                <w:sz w:val="18"/>
                <w:lang w:val="en-US"/>
              </w:rPr>
            </w:pPr>
            <w:r w:rsidRPr="00222917">
              <w:rPr>
                <w:sz w:val="18"/>
                <w:lang w:val="en-US"/>
              </w:rPr>
              <w:t>-</w:t>
            </w:r>
          </w:p>
        </w:tc>
        <w:tc>
          <w:tcPr>
            <w:tcW w:w="851" w:type="dxa"/>
            <w:shd w:val="clear" w:color="auto" w:fill="auto"/>
            <w:tcMar>
              <w:top w:w="28" w:type="dxa"/>
              <w:left w:w="28" w:type="dxa"/>
              <w:bottom w:w="28" w:type="dxa"/>
              <w:right w:w="28" w:type="dxa"/>
            </w:tcMar>
            <w:vAlign w:val="bottom"/>
          </w:tcPr>
          <w:p w:rsidR="002D5BB0" w:rsidRPr="00222917" w:rsidRDefault="002D5BB0" w:rsidP="00AE2635">
            <w:pPr>
              <w:pStyle w:val="SingleTxtG"/>
              <w:suppressAutoHyphens w:val="0"/>
              <w:spacing w:before="40" w:after="40" w:line="220" w:lineRule="exact"/>
              <w:ind w:left="0" w:right="0"/>
              <w:jc w:val="center"/>
              <w:rPr>
                <w:sz w:val="18"/>
                <w:lang w:val="en-US"/>
              </w:rPr>
            </w:pPr>
            <w:r w:rsidRPr="00222917">
              <w:rPr>
                <w:bCs/>
                <w:sz w:val="18"/>
                <w:lang w:val="en-US"/>
              </w:rPr>
              <w:t>-</w:t>
            </w:r>
          </w:p>
        </w:tc>
      </w:tr>
      <w:tr w:rsidR="008F6543" w:rsidRPr="00222917" w:rsidTr="00AE2635">
        <w:tc>
          <w:tcPr>
            <w:tcW w:w="2268" w:type="dxa"/>
            <w:tcBorders>
              <w:bottom w:val="single" w:sz="12" w:space="0" w:color="auto"/>
            </w:tcBorders>
            <w:shd w:val="clear" w:color="auto" w:fill="auto"/>
            <w:tcMar>
              <w:top w:w="28" w:type="dxa"/>
              <w:left w:w="28" w:type="dxa"/>
              <w:bottom w:w="28" w:type="dxa"/>
              <w:right w:w="28" w:type="dxa"/>
            </w:tcMar>
          </w:tcPr>
          <w:p w:rsidR="002D5BB0" w:rsidRPr="00222917" w:rsidRDefault="002D5BB0" w:rsidP="00963D8F">
            <w:pPr>
              <w:pStyle w:val="SingleTxtG"/>
              <w:suppressAutoHyphens w:val="0"/>
              <w:spacing w:before="40" w:after="40" w:line="220" w:lineRule="exact"/>
              <w:ind w:left="0" w:right="0"/>
              <w:jc w:val="left"/>
              <w:rPr>
                <w:sz w:val="18"/>
                <w:lang w:val="en-US"/>
              </w:rPr>
            </w:pPr>
            <w:r w:rsidRPr="00222917">
              <w:rPr>
                <w:sz w:val="18"/>
                <w:lang w:val="en-US"/>
              </w:rPr>
              <w:t xml:space="preserve">Satellite broadcasting </w:t>
            </w:r>
            <w:r w:rsidR="00BC7A16" w:rsidRPr="00222917">
              <w:rPr>
                <w:sz w:val="18"/>
                <w:lang w:val="en-US"/>
              </w:rPr>
              <w:br/>
            </w:r>
            <w:r w:rsidRPr="00222917">
              <w:rPr>
                <w:sz w:val="18"/>
                <w:lang w:val="en-US"/>
              </w:rPr>
              <w:t>service provider</w:t>
            </w:r>
          </w:p>
        </w:tc>
        <w:tc>
          <w:tcPr>
            <w:tcW w:w="851" w:type="dxa"/>
            <w:tcBorders>
              <w:bottom w:val="single" w:sz="12" w:space="0" w:color="auto"/>
            </w:tcBorders>
            <w:shd w:val="clear" w:color="auto" w:fill="auto"/>
            <w:tcMar>
              <w:top w:w="28" w:type="dxa"/>
              <w:left w:w="28" w:type="dxa"/>
              <w:bottom w:w="28" w:type="dxa"/>
              <w:right w:w="28" w:type="dxa"/>
            </w:tcMar>
            <w:vAlign w:val="bottom"/>
          </w:tcPr>
          <w:p w:rsidR="002D5BB0" w:rsidRPr="00222917" w:rsidRDefault="002D5BB0" w:rsidP="00AE2635">
            <w:pPr>
              <w:pStyle w:val="SingleTxtG"/>
              <w:suppressAutoHyphens w:val="0"/>
              <w:spacing w:before="40" w:after="40" w:line="220" w:lineRule="exact"/>
              <w:ind w:left="0" w:right="0"/>
              <w:jc w:val="center"/>
              <w:rPr>
                <w:sz w:val="18"/>
                <w:lang w:val="en-US"/>
              </w:rPr>
            </w:pPr>
            <w:r w:rsidRPr="00222917">
              <w:rPr>
                <w:sz w:val="18"/>
                <w:lang w:val="en-US"/>
              </w:rPr>
              <w:t>-</w:t>
            </w:r>
          </w:p>
        </w:tc>
        <w:tc>
          <w:tcPr>
            <w:tcW w:w="851" w:type="dxa"/>
            <w:tcBorders>
              <w:bottom w:val="single" w:sz="12" w:space="0" w:color="auto"/>
            </w:tcBorders>
            <w:shd w:val="clear" w:color="auto" w:fill="auto"/>
            <w:tcMar>
              <w:top w:w="28" w:type="dxa"/>
              <w:left w:w="28" w:type="dxa"/>
              <w:bottom w:w="28" w:type="dxa"/>
              <w:right w:w="28" w:type="dxa"/>
            </w:tcMar>
            <w:vAlign w:val="bottom"/>
          </w:tcPr>
          <w:p w:rsidR="002D5BB0" w:rsidRPr="00222917" w:rsidRDefault="002D5BB0" w:rsidP="00AE2635">
            <w:pPr>
              <w:pStyle w:val="SingleTxtG"/>
              <w:suppressAutoHyphens w:val="0"/>
              <w:spacing w:before="40" w:after="40" w:line="220" w:lineRule="exact"/>
              <w:ind w:left="0" w:right="0"/>
              <w:jc w:val="center"/>
              <w:rPr>
                <w:sz w:val="18"/>
                <w:lang w:val="en-US"/>
              </w:rPr>
            </w:pPr>
            <w:r w:rsidRPr="00222917">
              <w:rPr>
                <w:bCs/>
                <w:sz w:val="18"/>
                <w:lang w:val="en-US"/>
              </w:rPr>
              <w:t>-</w:t>
            </w:r>
          </w:p>
        </w:tc>
        <w:tc>
          <w:tcPr>
            <w:tcW w:w="851" w:type="dxa"/>
            <w:tcBorders>
              <w:bottom w:val="single" w:sz="12" w:space="0" w:color="auto"/>
            </w:tcBorders>
            <w:shd w:val="clear" w:color="auto" w:fill="auto"/>
            <w:tcMar>
              <w:top w:w="28" w:type="dxa"/>
              <w:left w:w="28" w:type="dxa"/>
              <w:bottom w:w="28" w:type="dxa"/>
              <w:right w:w="28" w:type="dxa"/>
            </w:tcMar>
            <w:vAlign w:val="bottom"/>
          </w:tcPr>
          <w:p w:rsidR="002D5BB0" w:rsidRPr="00222917" w:rsidRDefault="002D5BB0" w:rsidP="00AE2635">
            <w:pPr>
              <w:pStyle w:val="SingleTxtG"/>
              <w:suppressAutoHyphens w:val="0"/>
              <w:spacing w:before="40" w:after="40" w:line="220" w:lineRule="exact"/>
              <w:ind w:left="0" w:right="0"/>
              <w:jc w:val="center"/>
              <w:rPr>
                <w:sz w:val="18"/>
                <w:lang w:val="en-US"/>
              </w:rPr>
            </w:pPr>
            <w:r w:rsidRPr="00222917">
              <w:rPr>
                <w:sz w:val="18"/>
                <w:lang w:val="en-US"/>
              </w:rPr>
              <w:t>33%</w:t>
            </w:r>
          </w:p>
        </w:tc>
        <w:tc>
          <w:tcPr>
            <w:tcW w:w="851" w:type="dxa"/>
            <w:tcBorders>
              <w:bottom w:val="single" w:sz="12" w:space="0" w:color="auto"/>
            </w:tcBorders>
            <w:shd w:val="clear" w:color="auto" w:fill="auto"/>
            <w:tcMar>
              <w:top w:w="28" w:type="dxa"/>
              <w:left w:w="28" w:type="dxa"/>
              <w:bottom w:w="28" w:type="dxa"/>
              <w:right w:w="28" w:type="dxa"/>
            </w:tcMar>
            <w:vAlign w:val="bottom"/>
          </w:tcPr>
          <w:p w:rsidR="002D5BB0" w:rsidRPr="00222917" w:rsidRDefault="002D5BB0" w:rsidP="00AE2635">
            <w:pPr>
              <w:pStyle w:val="SingleTxtG"/>
              <w:suppressAutoHyphens w:val="0"/>
              <w:spacing w:before="40" w:after="40" w:line="220" w:lineRule="exact"/>
              <w:ind w:left="0" w:right="0"/>
              <w:jc w:val="center"/>
              <w:rPr>
                <w:sz w:val="18"/>
                <w:lang w:val="en-US"/>
              </w:rPr>
            </w:pPr>
            <w:r w:rsidRPr="00222917">
              <w:rPr>
                <w:bCs/>
                <w:sz w:val="18"/>
                <w:lang w:val="en-US"/>
              </w:rPr>
              <w:t>49%</w:t>
            </w:r>
          </w:p>
        </w:tc>
        <w:tc>
          <w:tcPr>
            <w:tcW w:w="851" w:type="dxa"/>
            <w:tcBorders>
              <w:bottom w:val="single" w:sz="12" w:space="0" w:color="auto"/>
            </w:tcBorders>
            <w:shd w:val="clear" w:color="auto" w:fill="auto"/>
            <w:tcMar>
              <w:top w:w="28" w:type="dxa"/>
              <w:left w:w="28" w:type="dxa"/>
              <w:bottom w:w="28" w:type="dxa"/>
              <w:right w:w="28" w:type="dxa"/>
            </w:tcMar>
            <w:vAlign w:val="bottom"/>
          </w:tcPr>
          <w:p w:rsidR="002D5BB0" w:rsidRPr="00222917" w:rsidRDefault="002D5BB0" w:rsidP="00AE2635">
            <w:pPr>
              <w:pStyle w:val="SingleTxtG"/>
              <w:suppressAutoHyphens w:val="0"/>
              <w:spacing w:before="40" w:after="40" w:line="220" w:lineRule="exact"/>
              <w:ind w:left="0" w:right="0"/>
              <w:jc w:val="center"/>
              <w:rPr>
                <w:sz w:val="18"/>
                <w:lang w:val="en-US"/>
              </w:rPr>
            </w:pPr>
            <w:r w:rsidRPr="00222917">
              <w:rPr>
                <w:sz w:val="18"/>
                <w:lang w:val="en-US"/>
              </w:rPr>
              <w:t>49%</w:t>
            </w:r>
          </w:p>
        </w:tc>
        <w:tc>
          <w:tcPr>
            <w:tcW w:w="851" w:type="dxa"/>
            <w:tcBorders>
              <w:bottom w:val="single" w:sz="12" w:space="0" w:color="auto"/>
            </w:tcBorders>
            <w:shd w:val="clear" w:color="auto" w:fill="auto"/>
            <w:tcMar>
              <w:top w:w="28" w:type="dxa"/>
              <w:left w:w="28" w:type="dxa"/>
              <w:bottom w:w="28" w:type="dxa"/>
              <w:right w:w="28" w:type="dxa"/>
            </w:tcMar>
            <w:vAlign w:val="bottom"/>
          </w:tcPr>
          <w:p w:rsidR="002D5BB0" w:rsidRPr="00222917" w:rsidRDefault="002D5BB0" w:rsidP="00AE2635">
            <w:pPr>
              <w:pStyle w:val="SingleTxtG"/>
              <w:suppressAutoHyphens w:val="0"/>
              <w:spacing w:before="40" w:after="40" w:line="220" w:lineRule="exact"/>
              <w:ind w:left="0" w:right="0"/>
              <w:jc w:val="center"/>
              <w:rPr>
                <w:sz w:val="18"/>
                <w:lang w:val="en-US"/>
              </w:rPr>
            </w:pPr>
            <w:r w:rsidRPr="00222917">
              <w:rPr>
                <w:bCs/>
                <w:sz w:val="18"/>
                <w:lang w:val="en-US"/>
              </w:rPr>
              <w:t>-</w:t>
            </w:r>
          </w:p>
        </w:tc>
      </w:tr>
    </w:tbl>
    <w:p w:rsidR="002D5BB0" w:rsidRPr="00222917" w:rsidRDefault="00794B5A" w:rsidP="00794B5A">
      <w:pPr>
        <w:pStyle w:val="H23G"/>
        <w:rPr>
          <w:lang w:val="en-US"/>
        </w:rPr>
      </w:pPr>
      <w:bookmarkStart w:id="225" w:name="_Toc307504134"/>
      <w:bookmarkStart w:id="226" w:name="_Toc336435906"/>
      <w:r w:rsidRPr="00222917">
        <w:rPr>
          <w:lang w:val="en-US"/>
        </w:rPr>
        <w:tab/>
      </w:r>
      <w:r w:rsidRPr="00222917">
        <w:rPr>
          <w:lang w:val="en-US"/>
        </w:rPr>
        <w:tab/>
      </w:r>
      <w:r w:rsidR="002D5BB0" w:rsidRPr="00222917">
        <w:rPr>
          <w:lang w:val="en-US"/>
        </w:rPr>
        <w:t xml:space="preserve">Improvement of Deliberations on Expression, and Unreasonable Regulations </w:t>
      </w:r>
      <w:r w:rsidRPr="00222917">
        <w:rPr>
          <w:lang w:val="en-US"/>
        </w:rPr>
        <w:br/>
      </w:r>
      <w:r w:rsidR="002D5BB0" w:rsidRPr="00222917">
        <w:rPr>
          <w:lang w:val="en-US"/>
        </w:rPr>
        <w:t>on Motion Pictures and Video Product</w:t>
      </w:r>
      <w:bookmarkEnd w:id="225"/>
      <w:bookmarkEnd w:id="226"/>
      <w:r w:rsidR="002D5BB0" w:rsidRPr="00222917">
        <w:rPr>
          <w:lang w:val="en-US"/>
        </w:rPr>
        <w:t xml:space="preserve"> </w:t>
      </w:r>
    </w:p>
    <w:p w:rsidR="002D5BB0" w:rsidRPr="00222917" w:rsidRDefault="00547908" w:rsidP="00547908">
      <w:pPr>
        <w:pStyle w:val="SingleTxtG"/>
        <w:rPr>
          <w:lang w:val="en-US"/>
        </w:rPr>
      </w:pPr>
      <w:r w:rsidRPr="00222917">
        <w:rPr>
          <w:lang w:val="en-US"/>
        </w:rPr>
        <w:t>276.</w:t>
      </w:r>
      <w:r w:rsidRPr="00222917">
        <w:rPr>
          <w:lang w:val="en-US"/>
        </w:rPr>
        <w:tab/>
      </w:r>
      <w:r w:rsidR="002D5BB0" w:rsidRPr="00222917">
        <w:rPr>
          <w:lang w:val="en-US"/>
        </w:rPr>
        <w:t xml:space="preserve">On 28 April 2006, the Government enacted the </w:t>
      </w:r>
      <w:r w:rsidR="002D5BB0" w:rsidRPr="000850F5">
        <w:rPr>
          <w:iCs/>
          <w:lang w:val="en-US"/>
        </w:rPr>
        <w:t>Promotion of the Motion Pictures and Video Products Act</w:t>
      </w:r>
      <w:r w:rsidR="002D5BB0" w:rsidRPr="00222917">
        <w:rPr>
          <w:lang w:val="en-US"/>
        </w:rPr>
        <w:t xml:space="preserve"> to improve the quality of motion pictures and video products and promote the film industry, thereby enhancing people’s cultural life. The Act stipulates provisions on the development and implementation of master plans to promote motion pictures, rating and classification of the motion pictures and video products, restrictions on advertising and commercials, and the Korea Media Rating Board. </w:t>
      </w:r>
    </w:p>
    <w:p w:rsidR="002D5BB0" w:rsidRPr="00222917" w:rsidRDefault="00547908" w:rsidP="00547908">
      <w:pPr>
        <w:pStyle w:val="SingleTxtG"/>
        <w:rPr>
          <w:lang w:val="en-US"/>
        </w:rPr>
      </w:pPr>
      <w:r w:rsidRPr="00222917">
        <w:rPr>
          <w:lang w:val="en-US"/>
        </w:rPr>
        <w:t>277.</w:t>
      </w:r>
      <w:r w:rsidRPr="00222917">
        <w:rPr>
          <w:lang w:val="en-US"/>
        </w:rPr>
        <w:tab/>
      </w:r>
      <w:r w:rsidR="002D5BB0" w:rsidRPr="00222917">
        <w:rPr>
          <w:lang w:val="en-US"/>
        </w:rPr>
        <w:t xml:space="preserve">On 8 May 2009, the Government amended the </w:t>
      </w:r>
      <w:r w:rsidR="002D5BB0" w:rsidRPr="000850F5">
        <w:rPr>
          <w:iCs/>
          <w:lang w:val="en-US"/>
        </w:rPr>
        <w:t>Promotion of the Motion Pictures and Video Products Act</w:t>
      </w:r>
      <w:r w:rsidR="002D5BB0" w:rsidRPr="00222917">
        <w:rPr>
          <w:lang w:val="en-US"/>
        </w:rPr>
        <w:t xml:space="preserve"> to specify contents of films to be rated as r</w:t>
      </w:r>
      <w:r w:rsidR="00A94611" w:rsidRPr="00222917">
        <w:rPr>
          <w:lang w:val="en-US"/>
        </w:rPr>
        <w:t>estricted screening (</w:t>
      </w:r>
      <w:r w:rsidR="00D53C1B" w:rsidRPr="00222917">
        <w:rPr>
          <w:lang w:val="en-US"/>
        </w:rPr>
        <w:t>a</w:t>
      </w:r>
      <w:r w:rsidR="00A94611" w:rsidRPr="00222917">
        <w:rPr>
          <w:lang w:val="en-US"/>
        </w:rPr>
        <w:t>rticle </w:t>
      </w:r>
      <w:r w:rsidR="00BC7A16" w:rsidRPr="00222917">
        <w:rPr>
          <w:lang w:val="en-US"/>
        </w:rPr>
        <w:t>29 </w:t>
      </w:r>
      <w:r w:rsidR="002D5BB0" w:rsidRPr="00222917">
        <w:rPr>
          <w:lang w:val="en-US"/>
        </w:rPr>
        <w:t>(2) 5, and (7)), delete the video product rating pending system, and newly establish a restricted viewing rating</w:t>
      </w:r>
      <w:r w:rsidR="00A94611" w:rsidRPr="00222917">
        <w:rPr>
          <w:lang w:val="en-US"/>
        </w:rPr>
        <w:t xml:space="preserve"> for video products (</w:t>
      </w:r>
      <w:r w:rsidR="00D53C1B" w:rsidRPr="00222917">
        <w:rPr>
          <w:lang w:val="en-US"/>
        </w:rPr>
        <w:t>a</w:t>
      </w:r>
      <w:r w:rsidR="00A94611" w:rsidRPr="00222917">
        <w:rPr>
          <w:lang w:val="en-US"/>
        </w:rPr>
        <w:t>rticle </w:t>
      </w:r>
      <w:r w:rsidR="00BC7A16" w:rsidRPr="00222917">
        <w:rPr>
          <w:lang w:val="en-US"/>
        </w:rPr>
        <w:t>50 (3) </w:t>
      </w:r>
      <w:r w:rsidR="00A94611" w:rsidRPr="00222917">
        <w:rPr>
          <w:lang w:val="en-US"/>
        </w:rPr>
        <w:t xml:space="preserve">5, </w:t>
      </w:r>
      <w:r w:rsidR="00D53C1B" w:rsidRPr="00222917">
        <w:rPr>
          <w:lang w:val="en-US"/>
        </w:rPr>
        <w:t>a</w:t>
      </w:r>
      <w:r w:rsidR="00A94611" w:rsidRPr="00222917">
        <w:rPr>
          <w:lang w:val="en-US"/>
        </w:rPr>
        <w:t>rticle </w:t>
      </w:r>
      <w:r w:rsidR="002D5BB0" w:rsidRPr="00222917">
        <w:rPr>
          <w:lang w:val="en-US"/>
        </w:rPr>
        <w:t xml:space="preserve">53-2, </w:t>
      </w:r>
      <w:r w:rsidR="00D53C1B" w:rsidRPr="00222917">
        <w:rPr>
          <w:lang w:val="en-US"/>
        </w:rPr>
        <w:t>a</w:t>
      </w:r>
      <w:r w:rsidR="002D5BB0" w:rsidRPr="00222917">
        <w:rPr>
          <w:lang w:val="en-US"/>
        </w:rPr>
        <w:t>rticle</w:t>
      </w:r>
      <w:r w:rsidR="00BC7A16" w:rsidRPr="00222917">
        <w:rPr>
          <w:lang w:val="en-US"/>
        </w:rPr>
        <w:t> </w:t>
      </w:r>
      <w:r w:rsidR="00A94611" w:rsidRPr="00222917">
        <w:rPr>
          <w:lang w:val="en-US"/>
        </w:rPr>
        <w:t>62, subparagraph </w:t>
      </w:r>
      <w:r w:rsidR="002D5BB0" w:rsidRPr="00222917">
        <w:rPr>
          <w:lang w:val="en-US"/>
        </w:rPr>
        <w:t>4) so as to address controversies over infringement on the freedom of expression and fundamental rights.</w:t>
      </w:r>
    </w:p>
    <w:p w:rsidR="002D5BB0" w:rsidRPr="00222917" w:rsidRDefault="00547908" w:rsidP="00547908">
      <w:pPr>
        <w:pStyle w:val="SingleTxtG"/>
        <w:rPr>
          <w:lang w:val="en-US"/>
        </w:rPr>
      </w:pPr>
      <w:r w:rsidRPr="00222917">
        <w:rPr>
          <w:lang w:val="en-US"/>
        </w:rPr>
        <w:t>278.</w:t>
      </w:r>
      <w:r w:rsidRPr="00222917">
        <w:rPr>
          <w:lang w:val="en-US"/>
        </w:rPr>
        <w:tab/>
      </w:r>
      <w:r w:rsidR="002D5BB0" w:rsidRPr="00222917">
        <w:rPr>
          <w:lang w:val="en-US"/>
        </w:rPr>
        <w:t xml:space="preserve">As such, motion pictures and video products are no longer subject to prior deliberations by the Korea Public Performance Ethics Committee, which had been a problem. They only receive ratings by age based on their content from the Korea Media Rating Board, whose members are all private citizens, and which is a self-regulating and independent agency. The Act expressly stipulated provisions on the once uncertain and ambiguous restricted screening rating system, thereby preventing a rating agency from arbitrary interpretation and application and protecting the freedom of expression for creative works. </w:t>
      </w:r>
    </w:p>
    <w:p w:rsidR="002D5BB0" w:rsidRPr="00222917" w:rsidRDefault="00547908" w:rsidP="00547908">
      <w:pPr>
        <w:pStyle w:val="SingleTxtG"/>
        <w:rPr>
          <w:lang w:val="en-US"/>
        </w:rPr>
      </w:pPr>
      <w:r w:rsidRPr="00222917">
        <w:rPr>
          <w:lang w:val="en-US"/>
        </w:rPr>
        <w:t>279.</w:t>
      </w:r>
      <w:r w:rsidRPr="00222917">
        <w:rPr>
          <w:lang w:val="en-US"/>
        </w:rPr>
        <w:tab/>
      </w:r>
      <w:r w:rsidR="002D5BB0" w:rsidRPr="00222917">
        <w:rPr>
          <w:lang w:val="en-US"/>
        </w:rPr>
        <w:t>In the case of video products, like films, the rating pending system has been abolished, eliminating unconstitutional aspects. Instead, the complete rating system is implemented to offer five ratings: General Audiences, 12+, 15+, Teenager Restricted, and Restricted Viewing. Such a rating system respects the freedom of creation and expression, thereby addressing controversies over prior censorship arising from video product rating. The rating status under the video rating pending system, and the rating status before 9</w:t>
      </w:r>
      <w:r w:rsidR="00957B55" w:rsidRPr="00222917">
        <w:rPr>
          <w:lang w:val="en-US"/>
        </w:rPr>
        <w:t> </w:t>
      </w:r>
      <w:r w:rsidR="002D5BB0" w:rsidRPr="00222917">
        <w:rPr>
          <w:lang w:val="en-US"/>
        </w:rPr>
        <w:t xml:space="preserve">November 2009 when the video rating pending system was abolished and the restricted viewing rating was newly established are as in the following table. There are no data on the rating pending system since it was abolished on 9 November 2009. </w:t>
      </w:r>
    </w:p>
    <w:p w:rsidR="002D5BB0" w:rsidRPr="00222917" w:rsidRDefault="007E6F46" w:rsidP="007E6F46">
      <w:pPr>
        <w:pStyle w:val="H23G"/>
        <w:rPr>
          <w:b w:val="0"/>
          <w:sz w:val="16"/>
          <w:szCs w:val="16"/>
          <w:lang w:val="en-US"/>
        </w:rPr>
      </w:pPr>
      <w:r w:rsidRPr="00222917">
        <w:rPr>
          <w:lang w:val="en-US"/>
        </w:rPr>
        <w:tab/>
      </w:r>
      <w:r w:rsidRPr="00222917">
        <w:rPr>
          <w:lang w:val="en-US"/>
        </w:rPr>
        <w:tab/>
      </w:r>
      <w:r w:rsidR="002D5BB0" w:rsidRPr="00222917">
        <w:rPr>
          <w:lang w:val="en-US"/>
        </w:rPr>
        <w:t>Video Product Rating and Rating Pending</w:t>
      </w:r>
      <w:r w:rsidRPr="00222917">
        <w:rPr>
          <w:lang w:val="en-US"/>
        </w:rPr>
        <w:br/>
      </w:r>
      <w:r w:rsidR="002D5BB0" w:rsidRPr="00222917">
        <w:rPr>
          <w:b w:val="0"/>
          <w:sz w:val="16"/>
          <w:szCs w:val="16"/>
          <w:lang w:val="en-US"/>
        </w:rPr>
        <w:t>(As of 2007 – November 8, 2009; number of works)</w:t>
      </w:r>
    </w:p>
    <w:tbl>
      <w:tblPr>
        <w:tblW w:w="7371" w:type="dxa"/>
        <w:tblInd w:w="1134" w:type="dxa"/>
        <w:tblBorders>
          <w:top w:val="single" w:sz="4" w:space="0" w:color="auto"/>
        </w:tblBorders>
        <w:tblLayout w:type="fixed"/>
        <w:tblCellMar>
          <w:left w:w="0" w:type="dxa"/>
          <w:right w:w="0" w:type="dxa"/>
        </w:tblCellMar>
        <w:tblLook w:val="00A0"/>
      </w:tblPr>
      <w:tblGrid>
        <w:gridCol w:w="1249"/>
        <w:gridCol w:w="681"/>
        <w:gridCol w:w="681"/>
        <w:gridCol w:w="680"/>
        <w:gridCol w:w="680"/>
        <w:gridCol w:w="680"/>
        <w:gridCol w:w="680"/>
        <w:gridCol w:w="680"/>
        <w:gridCol w:w="680"/>
        <w:gridCol w:w="680"/>
      </w:tblGrid>
      <w:tr w:rsidR="008F6543" w:rsidRPr="00222917" w:rsidTr="001C4E4C">
        <w:trPr>
          <w:trHeight w:val="240"/>
          <w:tblHeader/>
        </w:trPr>
        <w:tc>
          <w:tcPr>
            <w:tcW w:w="1247" w:type="dxa"/>
            <w:vMerge w:val="restart"/>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762317">
            <w:pPr>
              <w:pStyle w:val="SingleTxtG"/>
              <w:suppressAutoHyphens w:val="0"/>
              <w:spacing w:before="80" w:after="80" w:line="200" w:lineRule="exact"/>
              <w:ind w:left="0" w:right="0"/>
              <w:jc w:val="left"/>
              <w:rPr>
                <w:i/>
                <w:sz w:val="16"/>
                <w:szCs w:val="16"/>
                <w:lang w:val="en-US"/>
              </w:rPr>
            </w:pPr>
            <w:r w:rsidRPr="00222917">
              <w:rPr>
                <w:bCs/>
                <w:i/>
                <w:sz w:val="16"/>
                <w:szCs w:val="16"/>
                <w:lang w:val="en-US"/>
              </w:rPr>
              <w:t>Description</w:t>
            </w:r>
          </w:p>
        </w:tc>
        <w:tc>
          <w:tcPr>
            <w:tcW w:w="680" w:type="dxa"/>
            <w:gridSpan w:val="3"/>
            <w:tcBorders>
              <w:top w:val="single" w:sz="4" w:space="0" w:color="auto"/>
              <w:bottom w:val="single" w:sz="4" w:space="0" w:color="000000"/>
            </w:tcBorders>
            <w:shd w:val="clear" w:color="auto" w:fill="auto"/>
            <w:tcMar>
              <w:top w:w="28" w:type="dxa"/>
              <w:left w:w="28" w:type="dxa"/>
              <w:bottom w:w="28" w:type="dxa"/>
              <w:right w:w="28" w:type="dxa"/>
            </w:tcMar>
            <w:vAlign w:val="bottom"/>
          </w:tcPr>
          <w:p w:rsidR="002D5BB0" w:rsidRPr="00222917" w:rsidRDefault="002D5BB0" w:rsidP="00762317">
            <w:pPr>
              <w:pStyle w:val="SingleTxtG"/>
              <w:suppressAutoHyphens w:val="0"/>
              <w:spacing w:before="80" w:after="80" w:line="200" w:lineRule="exact"/>
              <w:ind w:left="0" w:right="0"/>
              <w:jc w:val="center"/>
              <w:rPr>
                <w:i/>
                <w:sz w:val="16"/>
                <w:szCs w:val="16"/>
                <w:lang w:val="en-US"/>
              </w:rPr>
            </w:pPr>
            <w:r w:rsidRPr="00222917">
              <w:rPr>
                <w:bCs/>
                <w:i/>
                <w:sz w:val="16"/>
                <w:szCs w:val="16"/>
                <w:lang w:val="en-US"/>
              </w:rPr>
              <w:t>Number of films rated</w:t>
            </w:r>
          </w:p>
        </w:tc>
        <w:tc>
          <w:tcPr>
            <w:tcW w:w="680" w:type="dxa"/>
            <w:gridSpan w:val="6"/>
            <w:tcBorders>
              <w:top w:val="single" w:sz="4" w:space="0" w:color="auto"/>
              <w:bottom w:val="single" w:sz="4" w:space="0" w:color="000000"/>
            </w:tcBorders>
            <w:shd w:val="clear" w:color="auto" w:fill="auto"/>
            <w:tcMar>
              <w:top w:w="28" w:type="dxa"/>
              <w:left w:w="28" w:type="dxa"/>
              <w:bottom w:w="28" w:type="dxa"/>
              <w:right w:w="28" w:type="dxa"/>
            </w:tcMar>
            <w:vAlign w:val="bottom"/>
          </w:tcPr>
          <w:p w:rsidR="002D5BB0" w:rsidRPr="00222917" w:rsidRDefault="002D5BB0" w:rsidP="00762317">
            <w:pPr>
              <w:pStyle w:val="SingleTxtG"/>
              <w:suppressAutoHyphens w:val="0"/>
              <w:spacing w:before="80" w:after="80" w:line="200" w:lineRule="exact"/>
              <w:ind w:left="0" w:right="0"/>
              <w:jc w:val="center"/>
              <w:rPr>
                <w:i/>
                <w:sz w:val="16"/>
                <w:szCs w:val="16"/>
                <w:lang w:val="en-US"/>
              </w:rPr>
            </w:pPr>
            <w:r w:rsidRPr="00222917">
              <w:rPr>
                <w:bCs/>
                <w:i/>
                <w:sz w:val="16"/>
                <w:szCs w:val="16"/>
                <w:lang w:val="en-US"/>
              </w:rPr>
              <w:t>Number of films whose reviews are pending</w:t>
            </w:r>
          </w:p>
        </w:tc>
      </w:tr>
      <w:tr w:rsidR="008F6543" w:rsidRPr="00222917" w:rsidTr="001C4E4C">
        <w:trPr>
          <w:trHeight w:val="240"/>
          <w:tblHeader/>
        </w:trPr>
        <w:tc>
          <w:tcPr>
            <w:tcW w:w="1247" w:type="dxa"/>
            <w:vMerge/>
            <w:tcBorders>
              <w:top w:val="single" w:sz="12" w:space="0" w:color="auto"/>
            </w:tcBorders>
            <w:shd w:val="clear" w:color="auto" w:fill="auto"/>
            <w:vAlign w:val="bottom"/>
          </w:tcPr>
          <w:p w:rsidR="002D5BB0" w:rsidRPr="00222917" w:rsidRDefault="002D5BB0" w:rsidP="00762317">
            <w:pPr>
              <w:pStyle w:val="SingleTxtG"/>
              <w:suppressAutoHyphens w:val="0"/>
              <w:spacing w:before="80" w:after="80" w:line="200" w:lineRule="exact"/>
              <w:ind w:left="0" w:right="0"/>
              <w:jc w:val="left"/>
              <w:rPr>
                <w:i/>
                <w:sz w:val="16"/>
                <w:szCs w:val="16"/>
                <w:lang w:val="en-US"/>
              </w:rPr>
            </w:pPr>
          </w:p>
        </w:tc>
        <w:tc>
          <w:tcPr>
            <w:tcW w:w="680" w:type="dxa"/>
            <w:vMerge w:val="restart"/>
            <w:tcBorders>
              <w:top w:val="single" w:sz="4" w:space="0" w:color="000000"/>
            </w:tcBorders>
            <w:shd w:val="clear" w:color="auto" w:fill="auto"/>
            <w:tcMar>
              <w:top w:w="28" w:type="dxa"/>
              <w:left w:w="28" w:type="dxa"/>
              <w:bottom w:w="28" w:type="dxa"/>
              <w:right w:w="28" w:type="dxa"/>
            </w:tcMar>
            <w:vAlign w:val="bottom"/>
          </w:tcPr>
          <w:p w:rsidR="002D5BB0" w:rsidRPr="00222917" w:rsidRDefault="002D5BB0" w:rsidP="00762317">
            <w:pPr>
              <w:pStyle w:val="SingleTxtG"/>
              <w:suppressAutoHyphens w:val="0"/>
              <w:spacing w:before="80" w:after="80" w:line="200" w:lineRule="exact"/>
              <w:ind w:left="0" w:right="0"/>
              <w:jc w:val="right"/>
              <w:rPr>
                <w:i/>
                <w:sz w:val="16"/>
                <w:szCs w:val="16"/>
                <w:lang w:val="en-US"/>
              </w:rPr>
            </w:pPr>
            <w:r w:rsidRPr="00222917">
              <w:rPr>
                <w:bCs/>
                <w:i/>
                <w:sz w:val="16"/>
                <w:szCs w:val="16"/>
                <w:lang w:val="en-US"/>
              </w:rPr>
              <w:t>Domestic</w:t>
            </w:r>
          </w:p>
        </w:tc>
        <w:tc>
          <w:tcPr>
            <w:tcW w:w="680" w:type="dxa"/>
            <w:vMerge w:val="restart"/>
            <w:tcBorders>
              <w:top w:val="single" w:sz="4" w:space="0" w:color="000000"/>
            </w:tcBorders>
            <w:shd w:val="clear" w:color="auto" w:fill="auto"/>
            <w:tcMar>
              <w:top w:w="28" w:type="dxa"/>
              <w:left w:w="28" w:type="dxa"/>
              <w:bottom w:w="28" w:type="dxa"/>
              <w:right w:w="28" w:type="dxa"/>
            </w:tcMar>
            <w:vAlign w:val="bottom"/>
          </w:tcPr>
          <w:p w:rsidR="002D5BB0" w:rsidRPr="00222917" w:rsidRDefault="002D5BB0" w:rsidP="00762317">
            <w:pPr>
              <w:pStyle w:val="SingleTxtG"/>
              <w:suppressAutoHyphens w:val="0"/>
              <w:spacing w:before="80" w:after="80" w:line="200" w:lineRule="exact"/>
              <w:ind w:left="0" w:right="0"/>
              <w:jc w:val="right"/>
              <w:rPr>
                <w:i/>
                <w:sz w:val="16"/>
                <w:szCs w:val="16"/>
                <w:lang w:val="en-US"/>
              </w:rPr>
            </w:pPr>
            <w:r w:rsidRPr="00222917">
              <w:rPr>
                <w:bCs/>
                <w:i/>
                <w:sz w:val="16"/>
                <w:szCs w:val="16"/>
                <w:lang w:val="en-US"/>
              </w:rPr>
              <w:t>Foreign</w:t>
            </w:r>
          </w:p>
        </w:tc>
        <w:tc>
          <w:tcPr>
            <w:tcW w:w="680" w:type="dxa"/>
            <w:vMerge w:val="restart"/>
            <w:tcBorders>
              <w:top w:val="single" w:sz="4" w:space="0" w:color="000000"/>
            </w:tcBorders>
            <w:shd w:val="clear" w:color="auto" w:fill="auto"/>
            <w:tcMar>
              <w:top w:w="28" w:type="dxa"/>
              <w:left w:w="28" w:type="dxa"/>
              <w:bottom w:w="28" w:type="dxa"/>
              <w:right w:w="28" w:type="dxa"/>
            </w:tcMar>
            <w:vAlign w:val="bottom"/>
          </w:tcPr>
          <w:p w:rsidR="002D5BB0" w:rsidRPr="00222917" w:rsidRDefault="002D5BB0" w:rsidP="00762317">
            <w:pPr>
              <w:pStyle w:val="SingleTxtG"/>
              <w:suppressAutoHyphens w:val="0"/>
              <w:spacing w:before="80" w:after="80" w:line="200" w:lineRule="exact"/>
              <w:ind w:left="0" w:right="0"/>
              <w:jc w:val="right"/>
              <w:rPr>
                <w:b/>
                <w:i/>
                <w:sz w:val="16"/>
                <w:szCs w:val="16"/>
                <w:lang w:val="en-US"/>
              </w:rPr>
            </w:pPr>
            <w:r w:rsidRPr="00222917">
              <w:rPr>
                <w:b/>
                <w:bCs/>
                <w:i/>
                <w:sz w:val="16"/>
                <w:szCs w:val="16"/>
                <w:lang w:val="en-US"/>
              </w:rPr>
              <w:t>Total</w:t>
            </w:r>
          </w:p>
        </w:tc>
        <w:tc>
          <w:tcPr>
            <w:tcW w:w="680" w:type="dxa"/>
            <w:gridSpan w:val="2"/>
            <w:tcBorders>
              <w:top w:val="single" w:sz="4" w:space="0" w:color="000000"/>
              <w:bottom w:val="single" w:sz="4" w:space="0" w:color="000000"/>
              <w:right w:val="single" w:sz="24" w:space="0" w:color="FFFFFF"/>
            </w:tcBorders>
            <w:shd w:val="clear" w:color="auto" w:fill="auto"/>
            <w:tcMar>
              <w:top w:w="28" w:type="dxa"/>
              <w:left w:w="28" w:type="dxa"/>
              <w:bottom w:w="28" w:type="dxa"/>
              <w:right w:w="28" w:type="dxa"/>
            </w:tcMar>
            <w:vAlign w:val="bottom"/>
          </w:tcPr>
          <w:p w:rsidR="002D5BB0" w:rsidRPr="00222917" w:rsidRDefault="002D5BB0" w:rsidP="00762317">
            <w:pPr>
              <w:pStyle w:val="SingleTxtG"/>
              <w:suppressAutoHyphens w:val="0"/>
              <w:spacing w:before="80" w:after="80" w:line="200" w:lineRule="exact"/>
              <w:ind w:left="0" w:right="0"/>
              <w:jc w:val="center"/>
              <w:rPr>
                <w:i/>
                <w:sz w:val="16"/>
                <w:szCs w:val="16"/>
                <w:lang w:val="en-US"/>
              </w:rPr>
            </w:pPr>
            <w:r w:rsidRPr="00222917">
              <w:rPr>
                <w:bCs/>
                <w:i/>
                <w:sz w:val="16"/>
                <w:szCs w:val="16"/>
                <w:lang w:val="en-US"/>
              </w:rPr>
              <w:t>Domestic</w:t>
            </w:r>
          </w:p>
        </w:tc>
        <w:tc>
          <w:tcPr>
            <w:tcW w:w="680" w:type="dxa"/>
            <w:gridSpan w:val="2"/>
            <w:tcBorders>
              <w:top w:val="single" w:sz="4" w:space="0" w:color="000000"/>
              <w:left w:val="single" w:sz="24" w:space="0" w:color="FFFFFF"/>
              <w:bottom w:val="single" w:sz="4" w:space="0" w:color="000000"/>
              <w:right w:val="single" w:sz="24" w:space="0" w:color="FFFFFF"/>
            </w:tcBorders>
            <w:shd w:val="clear" w:color="auto" w:fill="auto"/>
            <w:tcMar>
              <w:top w:w="28" w:type="dxa"/>
              <w:left w:w="28" w:type="dxa"/>
              <w:bottom w:w="28" w:type="dxa"/>
              <w:right w:w="28" w:type="dxa"/>
            </w:tcMar>
            <w:vAlign w:val="bottom"/>
          </w:tcPr>
          <w:p w:rsidR="002D5BB0" w:rsidRPr="00222917" w:rsidRDefault="002D5BB0" w:rsidP="00762317">
            <w:pPr>
              <w:pStyle w:val="SingleTxtG"/>
              <w:suppressAutoHyphens w:val="0"/>
              <w:spacing w:before="80" w:after="80" w:line="200" w:lineRule="exact"/>
              <w:ind w:left="0" w:right="0"/>
              <w:jc w:val="center"/>
              <w:rPr>
                <w:i/>
                <w:sz w:val="16"/>
                <w:szCs w:val="16"/>
                <w:lang w:val="en-US"/>
              </w:rPr>
            </w:pPr>
            <w:r w:rsidRPr="00222917">
              <w:rPr>
                <w:bCs/>
                <w:i/>
                <w:sz w:val="16"/>
                <w:szCs w:val="16"/>
                <w:lang w:val="en-US"/>
              </w:rPr>
              <w:t>Foreign</w:t>
            </w:r>
          </w:p>
        </w:tc>
        <w:tc>
          <w:tcPr>
            <w:tcW w:w="680" w:type="dxa"/>
            <w:gridSpan w:val="2"/>
            <w:tcBorders>
              <w:top w:val="single" w:sz="4" w:space="0" w:color="000000"/>
              <w:left w:val="single" w:sz="24" w:space="0" w:color="FFFFFF"/>
              <w:bottom w:val="single" w:sz="4" w:space="0" w:color="000000"/>
            </w:tcBorders>
            <w:shd w:val="clear" w:color="auto" w:fill="auto"/>
            <w:tcMar>
              <w:top w:w="28" w:type="dxa"/>
              <w:left w:w="28" w:type="dxa"/>
              <w:bottom w:w="28" w:type="dxa"/>
              <w:right w:w="28" w:type="dxa"/>
            </w:tcMar>
            <w:vAlign w:val="bottom"/>
          </w:tcPr>
          <w:p w:rsidR="002D5BB0" w:rsidRPr="00222917" w:rsidRDefault="002D5BB0" w:rsidP="00762317">
            <w:pPr>
              <w:pStyle w:val="SingleTxtG"/>
              <w:suppressAutoHyphens w:val="0"/>
              <w:spacing w:before="80" w:after="80" w:line="200" w:lineRule="exact"/>
              <w:ind w:left="0" w:right="0"/>
              <w:jc w:val="center"/>
              <w:rPr>
                <w:b/>
                <w:i/>
                <w:sz w:val="16"/>
                <w:szCs w:val="16"/>
                <w:lang w:val="en-US"/>
              </w:rPr>
            </w:pPr>
            <w:r w:rsidRPr="00222917">
              <w:rPr>
                <w:b/>
                <w:bCs/>
                <w:i/>
                <w:sz w:val="16"/>
                <w:szCs w:val="16"/>
                <w:lang w:val="en-US"/>
              </w:rPr>
              <w:t>Total</w:t>
            </w:r>
          </w:p>
        </w:tc>
      </w:tr>
      <w:tr w:rsidR="008F6543" w:rsidRPr="00222917" w:rsidTr="001C4E4C">
        <w:trPr>
          <w:trHeight w:val="240"/>
          <w:tblHeader/>
        </w:trPr>
        <w:tc>
          <w:tcPr>
            <w:tcW w:w="1247" w:type="dxa"/>
            <w:vMerge/>
            <w:tcBorders>
              <w:bottom w:val="single" w:sz="12" w:space="0" w:color="000000"/>
            </w:tcBorders>
            <w:shd w:val="clear" w:color="auto" w:fill="auto"/>
            <w:vAlign w:val="bottom"/>
          </w:tcPr>
          <w:p w:rsidR="002D5BB0" w:rsidRPr="00222917" w:rsidRDefault="002D5BB0" w:rsidP="00762317">
            <w:pPr>
              <w:pStyle w:val="SingleTxtG"/>
              <w:suppressAutoHyphens w:val="0"/>
              <w:spacing w:before="80" w:after="80" w:line="200" w:lineRule="exact"/>
              <w:ind w:left="0" w:right="0"/>
              <w:jc w:val="left"/>
              <w:rPr>
                <w:i/>
                <w:sz w:val="16"/>
                <w:szCs w:val="16"/>
                <w:lang w:val="en-US"/>
              </w:rPr>
            </w:pPr>
          </w:p>
        </w:tc>
        <w:tc>
          <w:tcPr>
            <w:tcW w:w="680" w:type="dxa"/>
            <w:vMerge/>
            <w:tcBorders>
              <w:top w:val="nil"/>
              <w:bottom w:val="single" w:sz="12" w:space="0" w:color="000000"/>
            </w:tcBorders>
            <w:shd w:val="clear" w:color="auto" w:fill="auto"/>
            <w:vAlign w:val="bottom"/>
          </w:tcPr>
          <w:p w:rsidR="002D5BB0" w:rsidRPr="00222917" w:rsidRDefault="002D5BB0" w:rsidP="00762317">
            <w:pPr>
              <w:pStyle w:val="SingleTxtG"/>
              <w:suppressAutoHyphens w:val="0"/>
              <w:spacing w:before="80" w:after="80" w:line="200" w:lineRule="exact"/>
              <w:ind w:left="0" w:right="0"/>
              <w:jc w:val="right"/>
              <w:rPr>
                <w:i/>
                <w:sz w:val="16"/>
                <w:szCs w:val="16"/>
                <w:lang w:val="en-US"/>
              </w:rPr>
            </w:pPr>
          </w:p>
        </w:tc>
        <w:tc>
          <w:tcPr>
            <w:tcW w:w="680" w:type="dxa"/>
            <w:vMerge/>
            <w:tcBorders>
              <w:top w:val="nil"/>
              <w:bottom w:val="single" w:sz="12" w:space="0" w:color="000000"/>
            </w:tcBorders>
            <w:shd w:val="clear" w:color="auto" w:fill="auto"/>
            <w:vAlign w:val="bottom"/>
          </w:tcPr>
          <w:p w:rsidR="002D5BB0" w:rsidRPr="00222917" w:rsidRDefault="002D5BB0" w:rsidP="00762317">
            <w:pPr>
              <w:pStyle w:val="SingleTxtG"/>
              <w:suppressAutoHyphens w:val="0"/>
              <w:spacing w:before="80" w:after="80" w:line="200" w:lineRule="exact"/>
              <w:ind w:left="0" w:right="0"/>
              <w:jc w:val="right"/>
              <w:rPr>
                <w:i/>
                <w:sz w:val="16"/>
                <w:szCs w:val="16"/>
                <w:lang w:val="en-US"/>
              </w:rPr>
            </w:pPr>
          </w:p>
        </w:tc>
        <w:tc>
          <w:tcPr>
            <w:tcW w:w="680" w:type="dxa"/>
            <w:vMerge/>
            <w:tcBorders>
              <w:top w:val="nil"/>
              <w:bottom w:val="single" w:sz="12" w:space="0" w:color="000000"/>
            </w:tcBorders>
            <w:shd w:val="clear" w:color="auto" w:fill="auto"/>
            <w:vAlign w:val="bottom"/>
          </w:tcPr>
          <w:p w:rsidR="002D5BB0" w:rsidRPr="00222917" w:rsidRDefault="002D5BB0" w:rsidP="00762317">
            <w:pPr>
              <w:pStyle w:val="SingleTxtG"/>
              <w:suppressAutoHyphens w:val="0"/>
              <w:spacing w:before="80" w:after="80" w:line="200" w:lineRule="exact"/>
              <w:ind w:left="0" w:right="0"/>
              <w:jc w:val="right"/>
              <w:rPr>
                <w:b/>
                <w:i/>
                <w:sz w:val="16"/>
                <w:szCs w:val="16"/>
                <w:lang w:val="en-US"/>
              </w:rPr>
            </w:pPr>
          </w:p>
        </w:tc>
        <w:tc>
          <w:tcPr>
            <w:tcW w:w="680" w:type="dxa"/>
            <w:tcBorders>
              <w:top w:val="single" w:sz="4" w:space="0" w:color="000000"/>
              <w:bottom w:val="single" w:sz="12" w:space="0" w:color="000000"/>
            </w:tcBorders>
            <w:shd w:val="clear" w:color="auto" w:fill="auto"/>
            <w:tcMar>
              <w:top w:w="28" w:type="dxa"/>
              <w:left w:w="28" w:type="dxa"/>
              <w:bottom w:w="28" w:type="dxa"/>
              <w:right w:w="28" w:type="dxa"/>
            </w:tcMar>
            <w:vAlign w:val="bottom"/>
          </w:tcPr>
          <w:p w:rsidR="002D5BB0" w:rsidRPr="00222917" w:rsidRDefault="009F2154" w:rsidP="00360CFA">
            <w:pPr>
              <w:pStyle w:val="SingleTxtG"/>
              <w:suppressAutoHyphens w:val="0"/>
              <w:spacing w:before="80" w:after="80" w:line="200" w:lineRule="exact"/>
              <w:ind w:left="0" w:right="0"/>
              <w:jc w:val="right"/>
              <w:rPr>
                <w:i/>
                <w:sz w:val="16"/>
                <w:szCs w:val="16"/>
                <w:lang w:val="en-US"/>
              </w:rPr>
            </w:pPr>
            <w:r w:rsidRPr="00222917">
              <w:rPr>
                <w:bCs/>
                <w:i/>
                <w:sz w:val="16"/>
                <w:szCs w:val="16"/>
                <w:lang w:val="en-US"/>
              </w:rPr>
              <w:t>Number</w:t>
            </w:r>
            <w:r w:rsidRPr="00222917">
              <w:rPr>
                <w:bCs/>
                <w:i/>
                <w:sz w:val="16"/>
                <w:szCs w:val="16"/>
                <w:lang w:val="en-US"/>
              </w:rPr>
              <w:br/>
            </w:r>
            <w:r w:rsidR="002D5BB0" w:rsidRPr="00222917">
              <w:rPr>
                <w:bCs/>
                <w:i/>
                <w:sz w:val="16"/>
                <w:szCs w:val="16"/>
                <w:lang w:val="en-US"/>
              </w:rPr>
              <w:t>of works</w:t>
            </w:r>
          </w:p>
        </w:tc>
        <w:tc>
          <w:tcPr>
            <w:tcW w:w="680" w:type="dxa"/>
            <w:tcBorders>
              <w:top w:val="single" w:sz="4" w:space="0" w:color="000000"/>
              <w:bottom w:val="single" w:sz="12" w:space="0" w:color="000000"/>
              <w:right w:val="single" w:sz="24" w:space="0" w:color="FFFFFF"/>
            </w:tcBorders>
            <w:shd w:val="clear" w:color="auto" w:fill="auto"/>
            <w:tcMar>
              <w:top w:w="28" w:type="dxa"/>
              <w:left w:w="28" w:type="dxa"/>
              <w:bottom w:w="28" w:type="dxa"/>
              <w:right w:w="28" w:type="dxa"/>
            </w:tcMar>
            <w:vAlign w:val="bottom"/>
          </w:tcPr>
          <w:p w:rsidR="002D5BB0" w:rsidRPr="00222917" w:rsidRDefault="002D5BB0" w:rsidP="00360CFA">
            <w:pPr>
              <w:pStyle w:val="SingleTxtG"/>
              <w:suppressAutoHyphens w:val="0"/>
              <w:spacing w:before="80" w:after="80" w:line="200" w:lineRule="exact"/>
              <w:ind w:left="0" w:right="0"/>
              <w:jc w:val="right"/>
              <w:rPr>
                <w:i/>
                <w:sz w:val="16"/>
                <w:szCs w:val="16"/>
                <w:lang w:val="en-US"/>
              </w:rPr>
            </w:pPr>
            <w:r w:rsidRPr="00222917">
              <w:rPr>
                <w:bCs/>
                <w:i/>
                <w:sz w:val="16"/>
                <w:szCs w:val="16"/>
                <w:lang w:val="en-US"/>
              </w:rPr>
              <w:t>Ratio</w:t>
            </w:r>
          </w:p>
        </w:tc>
        <w:tc>
          <w:tcPr>
            <w:tcW w:w="680" w:type="dxa"/>
            <w:tcBorders>
              <w:top w:val="single" w:sz="4" w:space="0" w:color="000000"/>
              <w:left w:val="single" w:sz="24" w:space="0" w:color="FFFFFF"/>
              <w:bottom w:val="single" w:sz="12" w:space="0" w:color="000000"/>
            </w:tcBorders>
            <w:shd w:val="clear" w:color="auto" w:fill="auto"/>
            <w:tcMar>
              <w:top w:w="28" w:type="dxa"/>
              <w:left w:w="28" w:type="dxa"/>
              <w:bottom w:w="28" w:type="dxa"/>
              <w:right w:w="28" w:type="dxa"/>
            </w:tcMar>
            <w:vAlign w:val="bottom"/>
          </w:tcPr>
          <w:p w:rsidR="002D5BB0" w:rsidRPr="00222917" w:rsidRDefault="009F2154" w:rsidP="00762317">
            <w:pPr>
              <w:pStyle w:val="SingleTxtG"/>
              <w:suppressAutoHyphens w:val="0"/>
              <w:spacing w:before="80" w:after="80" w:line="200" w:lineRule="exact"/>
              <w:ind w:left="0" w:right="0"/>
              <w:jc w:val="right"/>
              <w:rPr>
                <w:i/>
                <w:sz w:val="16"/>
                <w:szCs w:val="16"/>
                <w:lang w:val="en-US"/>
              </w:rPr>
            </w:pPr>
            <w:r w:rsidRPr="00222917">
              <w:rPr>
                <w:bCs/>
                <w:i/>
                <w:sz w:val="16"/>
                <w:szCs w:val="16"/>
                <w:lang w:val="en-US"/>
              </w:rPr>
              <w:t>Number</w:t>
            </w:r>
            <w:r w:rsidRPr="00222917">
              <w:rPr>
                <w:bCs/>
                <w:i/>
                <w:sz w:val="16"/>
                <w:szCs w:val="16"/>
                <w:lang w:val="en-US"/>
              </w:rPr>
              <w:br/>
            </w:r>
            <w:r w:rsidR="002D5BB0" w:rsidRPr="00222917">
              <w:rPr>
                <w:bCs/>
                <w:i/>
                <w:sz w:val="16"/>
                <w:szCs w:val="16"/>
                <w:lang w:val="en-US"/>
              </w:rPr>
              <w:t>of works</w:t>
            </w:r>
          </w:p>
        </w:tc>
        <w:tc>
          <w:tcPr>
            <w:tcW w:w="680" w:type="dxa"/>
            <w:tcBorders>
              <w:top w:val="single" w:sz="4" w:space="0" w:color="000000"/>
              <w:bottom w:val="single" w:sz="12" w:space="0" w:color="000000"/>
              <w:right w:val="single" w:sz="24" w:space="0" w:color="FFFFFF"/>
            </w:tcBorders>
            <w:shd w:val="clear" w:color="auto" w:fill="auto"/>
            <w:tcMar>
              <w:top w:w="28" w:type="dxa"/>
              <w:left w:w="28" w:type="dxa"/>
              <w:bottom w:w="28" w:type="dxa"/>
              <w:right w:w="28" w:type="dxa"/>
            </w:tcMar>
            <w:vAlign w:val="bottom"/>
          </w:tcPr>
          <w:p w:rsidR="002D5BB0" w:rsidRPr="00222917" w:rsidRDefault="002D5BB0" w:rsidP="00762317">
            <w:pPr>
              <w:pStyle w:val="SingleTxtG"/>
              <w:suppressAutoHyphens w:val="0"/>
              <w:spacing w:before="80" w:after="80" w:line="200" w:lineRule="exact"/>
              <w:ind w:left="0" w:right="0"/>
              <w:jc w:val="right"/>
              <w:rPr>
                <w:i/>
                <w:sz w:val="16"/>
                <w:szCs w:val="16"/>
                <w:lang w:val="en-US"/>
              </w:rPr>
            </w:pPr>
            <w:r w:rsidRPr="00222917">
              <w:rPr>
                <w:bCs/>
                <w:i/>
                <w:sz w:val="16"/>
                <w:szCs w:val="16"/>
                <w:lang w:val="en-US"/>
              </w:rPr>
              <w:t>Ratio</w:t>
            </w:r>
          </w:p>
        </w:tc>
        <w:tc>
          <w:tcPr>
            <w:tcW w:w="680" w:type="dxa"/>
            <w:tcBorders>
              <w:top w:val="single" w:sz="4" w:space="0" w:color="000000"/>
              <w:left w:val="single" w:sz="24" w:space="0" w:color="FFFFFF"/>
              <w:bottom w:val="single" w:sz="12" w:space="0" w:color="000000"/>
            </w:tcBorders>
            <w:shd w:val="clear" w:color="auto" w:fill="auto"/>
            <w:tcMar>
              <w:top w:w="28" w:type="dxa"/>
              <w:left w:w="28" w:type="dxa"/>
              <w:bottom w:w="28" w:type="dxa"/>
              <w:right w:w="28" w:type="dxa"/>
            </w:tcMar>
            <w:vAlign w:val="bottom"/>
          </w:tcPr>
          <w:p w:rsidR="002D5BB0" w:rsidRPr="00222917" w:rsidRDefault="002D5BB0" w:rsidP="00762317">
            <w:pPr>
              <w:pStyle w:val="SingleTxtG"/>
              <w:suppressAutoHyphens w:val="0"/>
              <w:spacing w:before="80" w:after="80" w:line="200" w:lineRule="exact"/>
              <w:ind w:left="0" w:right="0"/>
              <w:jc w:val="right"/>
              <w:rPr>
                <w:b/>
                <w:i/>
                <w:sz w:val="16"/>
                <w:szCs w:val="16"/>
                <w:lang w:val="en-US"/>
              </w:rPr>
            </w:pPr>
            <w:r w:rsidRPr="00222917">
              <w:rPr>
                <w:b/>
                <w:bCs/>
                <w:i/>
                <w:sz w:val="16"/>
                <w:szCs w:val="16"/>
                <w:lang w:val="en-US"/>
              </w:rPr>
              <w:t>Total</w:t>
            </w:r>
          </w:p>
        </w:tc>
        <w:tc>
          <w:tcPr>
            <w:tcW w:w="680" w:type="dxa"/>
            <w:tcBorders>
              <w:top w:val="single" w:sz="4" w:space="0" w:color="000000"/>
              <w:bottom w:val="single" w:sz="12" w:space="0" w:color="000000"/>
            </w:tcBorders>
            <w:shd w:val="clear" w:color="auto" w:fill="auto"/>
            <w:tcMar>
              <w:top w:w="28" w:type="dxa"/>
              <w:left w:w="28" w:type="dxa"/>
              <w:bottom w:w="28" w:type="dxa"/>
              <w:right w:w="28" w:type="dxa"/>
            </w:tcMar>
            <w:vAlign w:val="bottom"/>
          </w:tcPr>
          <w:p w:rsidR="002D5BB0" w:rsidRPr="00222917" w:rsidRDefault="002D5BB0" w:rsidP="00762317">
            <w:pPr>
              <w:pStyle w:val="SingleTxtG"/>
              <w:suppressAutoHyphens w:val="0"/>
              <w:spacing w:before="80" w:after="80" w:line="200" w:lineRule="exact"/>
              <w:ind w:left="0" w:right="0"/>
              <w:jc w:val="right"/>
              <w:rPr>
                <w:b/>
                <w:i/>
                <w:sz w:val="16"/>
                <w:szCs w:val="16"/>
                <w:lang w:val="en-US"/>
              </w:rPr>
            </w:pPr>
            <w:r w:rsidRPr="00222917">
              <w:rPr>
                <w:b/>
                <w:bCs/>
                <w:i/>
                <w:sz w:val="16"/>
                <w:szCs w:val="16"/>
                <w:lang w:val="en-US"/>
              </w:rPr>
              <w:t>Ratio</w:t>
            </w:r>
          </w:p>
        </w:tc>
      </w:tr>
      <w:tr w:rsidR="008F6543" w:rsidRPr="00222917" w:rsidTr="001C4E4C">
        <w:trPr>
          <w:trHeight w:val="240"/>
        </w:trPr>
        <w:tc>
          <w:tcPr>
            <w:tcW w:w="1247" w:type="dxa"/>
            <w:tcBorders>
              <w:top w:val="single" w:sz="12" w:space="0" w:color="000000"/>
              <w:bottom w:val="single" w:sz="12" w:space="0" w:color="auto"/>
            </w:tcBorders>
            <w:shd w:val="clear" w:color="auto" w:fill="auto"/>
            <w:tcMar>
              <w:top w:w="28" w:type="dxa"/>
              <w:left w:w="28" w:type="dxa"/>
              <w:bottom w:w="28" w:type="dxa"/>
              <w:right w:w="28" w:type="dxa"/>
            </w:tcMar>
          </w:tcPr>
          <w:p w:rsidR="002D5BB0" w:rsidRPr="00222917" w:rsidRDefault="002D5BB0" w:rsidP="00762317">
            <w:pPr>
              <w:pStyle w:val="SingleTxtG"/>
              <w:suppressAutoHyphens w:val="0"/>
              <w:spacing w:before="40" w:after="40" w:line="220" w:lineRule="exact"/>
              <w:ind w:left="0" w:right="0"/>
              <w:jc w:val="left"/>
              <w:rPr>
                <w:sz w:val="18"/>
                <w:lang w:val="en-US"/>
              </w:rPr>
            </w:pPr>
            <w:r w:rsidRPr="00222917">
              <w:rPr>
                <w:sz w:val="18"/>
                <w:lang w:val="en-US"/>
              </w:rPr>
              <w:t>Number of works and ratio</w:t>
            </w:r>
          </w:p>
        </w:tc>
        <w:tc>
          <w:tcPr>
            <w:tcW w:w="680" w:type="dxa"/>
            <w:tcBorders>
              <w:top w:val="single" w:sz="12" w:space="0" w:color="000000"/>
              <w:bottom w:val="single" w:sz="12" w:space="0" w:color="auto"/>
            </w:tcBorders>
            <w:shd w:val="clear" w:color="auto" w:fill="auto"/>
            <w:tcMar>
              <w:top w:w="28" w:type="dxa"/>
              <w:left w:w="28" w:type="dxa"/>
              <w:bottom w:w="28" w:type="dxa"/>
              <w:right w:w="28" w:type="dxa"/>
            </w:tcMar>
            <w:vAlign w:val="bottom"/>
          </w:tcPr>
          <w:p w:rsidR="002D5BB0" w:rsidRPr="00222917" w:rsidRDefault="002D5BB0" w:rsidP="00762317">
            <w:pPr>
              <w:pStyle w:val="SingleTxtG"/>
              <w:suppressAutoHyphens w:val="0"/>
              <w:spacing w:before="40" w:after="40" w:line="220" w:lineRule="exact"/>
              <w:ind w:left="0" w:right="0"/>
              <w:jc w:val="right"/>
              <w:rPr>
                <w:sz w:val="18"/>
                <w:lang w:val="en-US"/>
              </w:rPr>
            </w:pPr>
            <w:r w:rsidRPr="00222917">
              <w:rPr>
                <w:sz w:val="18"/>
                <w:lang w:val="en-US"/>
              </w:rPr>
              <w:t>9</w:t>
            </w:r>
            <w:r w:rsidR="009F2154" w:rsidRPr="00222917">
              <w:rPr>
                <w:sz w:val="18"/>
                <w:lang w:val="en-US"/>
              </w:rPr>
              <w:t>,</w:t>
            </w:r>
            <w:r w:rsidRPr="00222917">
              <w:rPr>
                <w:sz w:val="18"/>
                <w:lang w:val="en-US"/>
              </w:rPr>
              <w:t>623</w:t>
            </w:r>
          </w:p>
        </w:tc>
        <w:tc>
          <w:tcPr>
            <w:tcW w:w="680" w:type="dxa"/>
            <w:tcBorders>
              <w:top w:val="single" w:sz="12" w:space="0" w:color="000000"/>
              <w:bottom w:val="single" w:sz="12" w:space="0" w:color="auto"/>
            </w:tcBorders>
            <w:shd w:val="clear" w:color="auto" w:fill="auto"/>
            <w:tcMar>
              <w:top w:w="28" w:type="dxa"/>
              <w:left w:w="28" w:type="dxa"/>
              <w:bottom w:w="28" w:type="dxa"/>
              <w:right w:w="28" w:type="dxa"/>
            </w:tcMar>
            <w:vAlign w:val="bottom"/>
          </w:tcPr>
          <w:p w:rsidR="002D5BB0" w:rsidRPr="00222917" w:rsidRDefault="002D5BB0" w:rsidP="00762317">
            <w:pPr>
              <w:pStyle w:val="SingleTxtG"/>
              <w:suppressAutoHyphens w:val="0"/>
              <w:spacing w:before="40" w:after="40" w:line="220" w:lineRule="exact"/>
              <w:ind w:left="0" w:right="0"/>
              <w:jc w:val="right"/>
              <w:rPr>
                <w:sz w:val="18"/>
                <w:lang w:val="en-US"/>
              </w:rPr>
            </w:pPr>
            <w:r w:rsidRPr="00222917">
              <w:rPr>
                <w:sz w:val="18"/>
                <w:lang w:val="en-US"/>
              </w:rPr>
              <w:t>1</w:t>
            </w:r>
            <w:r w:rsidR="009F2154" w:rsidRPr="00222917">
              <w:rPr>
                <w:sz w:val="18"/>
                <w:lang w:val="en-US"/>
              </w:rPr>
              <w:t>,</w:t>
            </w:r>
            <w:r w:rsidRPr="00222917">
              <w:rPr>
                <w:sz w:val="18"/>
                <w:lang w:val="en-US"/>
              </w:rPr>
              <w:t>259</w:t>
            </w:r>
          </w:p>
        </w:tc>
        <w:tc>
          <w:tcPr>
            <w:tcW w:w="680" w:type="dxa"/>
            <w:tcBorders>
              <w:top w:val="single" w:sz="12" w:space="0" w:color="000000"/>
              <w:bottom w:val="single" w:sz="12" w:space="0" w:color="auto"/>
            </w:tcBorders>
            <w:shd w:val="clear" w:color="auto" w:fill="auto"/>
            <w:tcMar>
              <w:top w:w="28" w:type="dxa"/>
              <w:left w:w="28" w:type="dxa"/>
              <w:bottom w:w="28" w:type="dxa"/>
              <w:right w:w="28" w:type="dxa"/>
            </w:tcMar>
            <w:vAlign w:val="bottom"/>
          </w:tcPr>
          <w:p w:rsidR="002D5BB0" w:rsidRPr="00222917" w:rsidRDefault="002D5BB0" w:rsidP="00762317">
            <w:pPr>
              <w:pStyle w:val="SingleTxtG"/>
              <w:suppressAutoHyphens w:val="0"/>
              <w:spacing w:before="40" w:after="40" w:line="220" w:lineRule="exact"/>
              <w:ind w:left="0" w:right="0"/>
              <w:jc w:val="right"/>
              <w:rPr>
                <w:b/>
                <w:sz w:val="18"/>
                <w:lang w:val="en-US"/>
              </w:rPr>
            </w:pPr>
            <w:r w:rsidRPr="00222917">
              <w:rPr>
                <w:b/>
                <w:sz w:val="18"/>
                <w:lang w:val="en-US"/>
              </w:rPr>
              <w:t>10,882</w:t>
            </w:r>
          </w:p>
        </w:tc>
        <w:tc>
          <w:tcPr>
            <w:tcW w:w="680" w:type="dxa"/>
            <w:tcBorders>
              <w:top w:val="single" w:sz="12" w:space="0" w:color="000000"/>
              <w:bottom w:val="single" w:sz="12" w:space="0" w:color="auto"/>
            </w:tcBorders>
            <w:shd w:val="clear" w:color="auto" w:fill="auto"/>
            <w:tcMar>
              <w:top w:w="28" w:type="dxa"/>
              <w:left w:w="28" w:type="dxa"/>
              <w:bottom w:w="28" w:type="dxa"/>
              <w:right w:w="28" w:type="dxa"/>
            </w:tcMar>
            <w:vAlign w:val="bottom"/>
          </w:tcPr>
          <w:p w:rsidR="002D5BB0" w:rsidRPr="00222917" w:rsidRDefault="002D5BB0" w:rsidP="00762317">
            <w:pPr>
              <w:pStyle w:val="SingleTxtG"/>
              <w:suppressAutoHyphens w:val="0"/>
              <w:spacing w:before="40" w:after="40" w:line="220" w:lineRule="exact"/>
              <w:ind w:left="0" w:right="0"/>
              <w:jc w:val="right"/>
              <w:rPr>
                <w:sz w:val="18"/>
                <w:lang w:val="en-US"/>
              </w:rPr>
            </w:pPr>
            <w:r w:rsidRPr="00222917">
              <w:rPr>
                <w:sz w:val="18"/>
                <w:lang w:val="en-US"/>
              </w:rPr>
              <w:t>2</w:t>
            </w:r>
            <w:r w:rsidR="009F2154" w:rsidRPr="00222917">
              <w:rPr>
                <w:sz w:val="18"/>
                <w:lang w:val="en-US"/>
              </w:rPr>
              <w:t>,</w:t>
            </w:r>
            <w:r w:rsidRPr="00222917">
              <w:rPr>
                <w:sz w:val="18"/>
                <w:lang w:val="en-US"/>
              </w:rPr>
              <w:t>553</w:t>
            </w:r>
          </w:p>
        </w:tc>
        <w:tc>
          <w:tcPr>
            <w:tcW w:w="680" w:type="dxa"/>
            <w:tcBorders>
              <w:top w:val="single" w:sz="12" w:space="0" w:color="000000"/>
              <w:bottom w:val="single" w:sz="12" w:space="0" w:color="auto"/>
            </w:tcBorders>
            <w:shd w:val="clear" w:color="auto" w:fill="auto"/>
            <w:tcMar>
              <w:top w:w="28" w:type="dxa"/>
              <w:left w:w="28" w:type="dxa"/>
              <w:bottom w:w="28" w:type="dxa"/>
              <w:right w:w="28" w:type="dxa"/>
            </w:tcMar>
            <w:vAlign w:val="bottom"/>
          </w:tcPr>
          <w:p w:rsidR="002D5BB0" w:rsidRPr="00222917" w:rsidRDefault="002D5BB0" w:rsidP="00762317">
            <w:pPr>
              <w:pStyle w:val="SingleTxtG"/>
              <w:suppressAutoHyphens w:val="0"/>
              <w:spacing w:before="40" w:after="40" w:line="220" w:lineRule="exact"/>
              <w:ind w:left="0" w:right="0"/>
              <w:jc w:val="right"/>
              <w:rPr>
                <w:sz w:val="18"/>
                <w:lang w:val="en-US"/>
              </w:rPr>
            </w:pPr>
            <w:r w:rsidRPr="00222917">
              <w:rPr>
                <w:sz w:val="18"/>
                <w:lang w:val="en-US"/>
              </w:rPr>
              <w:t>99%</w:t>
            </w:r>
          </w:p>
        </w:tc>
        <w:tc>
          <w:tcPr>
            <w:tcW w:w="680" w:type="dxa"/>
            <w:tcBorders>
              <w:top w:val="single" w:sz="12" w:space="0" w:color="000000"/>
              <w:bottom w:val="single" w:sz="12" w:space="0" w:color="auto"/>
            </w:tcBorders>
            <w:shd w:val="clear" w:color="auto" w:fill="auto"/>
            <w:tcMar>
              <w:top w:w="28" w:type="dxa"/>
              <w:left w:w="28" w:type="dxa"/>
              <w:bottom w:w="28" w:type="dxa"/>
              <w:right w:w="28" w:type="dxa"/>
            </w:tcMar>
            <w:vAlign w:val="bottom"/>
          </w:tcPr>
          <w:p w:rsidR="002D5BB0" w:rsidRPr="00222917" w:rsidRDefault="002D5BB0" w:rsidP="00762317">
            <w:pPr>
              <w:pStyle w:val="SingleTxtG"/>
              <w:suppressAutoHyphens w:val="0"/>
              <w:spacing w:before="40" w:after="40" w:line="220" w:lineRule="exact"/>
              <w:ind w:left="0" w:right="0"/>
              <w:jc w:val="right"/>
              <w:rPr>
                <w:sz w:val="18"/>
                <w:lang w:val="en-US"/>
              </w:rPr>
            </w:pPr>
            <w:r w:rsidRPr="00222917">
              <w:rPr>
                <w:sz w:val="18"/>
                <w:lang w:val="en-US"/>
              </w:rPr>
              <w:t>28</w:t>
            </w:r>
          </w:p>
        </w:tc>
        <w:tc>
          <w:tcPr>
            <w:tcW w:w="680" w:type="dxa"/>
            <w:tcBorders>
              <w:top w:val="single" w:sz="12" w:space="0" w:color="000000"/>
              <w:bottom w:val="single" w:sz="12" w:space="0" w:color="auto"/>
            </w:tcBorders>
            <w:shd w:val="clear" w:color="auto" w:fill="auto"/>
            <w:tcMar>
              <w:top w:w="28" w:type="dxa"/>
              <w:left w:w="28" w:type="dxa"/>
              <w:bottom w:w="28" w:type="dxa"/>
              <w:right w:w="28" w:type="dxa"/>
            </w:tcMar>
            <w:vAlign w:val="bottom"/>
          </w:tcPr>
          <w:p w:rsidR="002D5BB0" w:rsidRPr="00222917" w:rsidRDefault="002D5BB0" w:rsidP="00762317">
            <w:pPr>
              <w:pStyle w:val="SingleTxtG"/>
              <w:suppressAutoHyphens w:val="0"/>
              <w:spacing w:before="40" w:after="40" w:line="220" w:lineRule="exact"/>
              <w:ind w:left="0" w:right="0"/>
              <w:jc w:val="right"/>
              <w:rPr>
                <w:sz w:val="18"/>
                <w:lang w:val="en-US"/>
              </w:rPr>
            </w:pPr>
            <w:r w:rsidRPr="00222917">
              <w:rPr>
                <w:sz w:val="18"/>
                <w:lang w:val="en-US"/>
              </w:rPr>
              <w:t>1%</w:t>
            </w:r>
          </w:p>
        </w:tc>
        <w:tc>
          <w:tcPr>
            <w:tcW w:w="680" w:type="dxa"/>
            <w:tcBorders>
              <w:top w:val="single" w:sz="12" w:space="0" w:color="000000"/>
              <w:bottom w:val="single" w:sz="12" w:space="0" w:color="auto"/>
            </w:tcBorders>
            <w:shd w:val="clear" w:color="auto" w:fill="auto"/>
            <w:tcMar>
              <w:top w:w="28" w:type="dxa"/>
              <w:left w:w="28" w:type="dxa"/>
              <w:bottom w:w="28" w:type="dxa"/>
              <w:right w:w="28" w:type="dxa"/>
            </w:tcMar>
            <w:vAlign w:val="bottom"/>
          </w:tcPr>
          <w:p w:rsidR="002D5BB0" w:rsidRPr="00222917" w:rsidRDefault="002D5BB0" w:rsidP="00762317">
            <w:pPr>
              <w:pStyle w:val="SingleTxtG"/>
              <w:suppressAutoHyphens w:val="0"/>
              <w:spacing w:before="40" w:after="40" w:line="220" w:lineRule="exact"/>
              <w:ind w:left="0" w:right="0"/>
              <w:jc w:val="right"/>
              <w:rPr>
                <w:b/>
                <w:sz w:val="18"/>
                <w:lang w:val="en-US"/>
              </w:rPr>
            </w:pPr>
            <w:r w:rsidRPr="00222917">
              <w:rPr>
                <w:b/>
                <w:sz w:val="18"/>
                <w:lang w:val="en-US"/>
              </w:rPr>
              <w:t>2</w:t>
            </w:r>
            <w:r w:rsidR="009F2154" w:rsidRPr="00222917">
              <w:rPr>
                <w:b/>
                <w:sz w:val="18"/>
                <w:lang w:val="en-US"/>
              </w:rPr>
              <w:t>,</w:t>
            </w:r>
            <w:r w:rsidRPr="00222917">
              <w:rPr>
                <w:b/>
                <w:sz w:val="18"/>
                <w:lang w:val="en-US"/>
              </w:rPr>
              <w:t>581</w:t>
            </w:r>
          </w:p>
        </w:tc>
        <w:tc>
          <w:tcPr>
            <w:tcW w:w="680" w:type="dxa"/>
            <w:tcBorders>
              <w:top w:val="single" w:sz="12" w:space="0" w:color="000000"/>
              <w:bottom w:val="single" w:sz="12" w:space="0" w:color="auto"/>
            </w:tcBorders>
            <w:shd w:val="clear" w:color="auto" w:fill="auto"/>
            <w:tcMar>
              <w:top w:w="28" w:type="dxa"/>
              <w:left w:w="28" w:type="dxa"/>
              <w:bottom w:w="28" w:type="dxa"/>
              <w:right w:w="28" w:type="dxa"/>
            </w:tcMar>
            <w:vAlign w:val="bottom"/>
          </w:tcPr>
          <w:p w:rsidR="002D5BB0" w:rsidRPr="00222917" w:rsidRDefault="002D5BB0" w:rsidP="00762317">
            <w:pPr>
              <w:pStyle w:val="SingleTxtG"/>
              <w:suppressAutoHyphens w:val="0"/>
              <w:spacing w:before="40" w:after="40" w:line="220" w:lineRule="exact"/>
              <w:ind w:left="0" w:right="0"/>
              <w:jc w:val="right"/>
              <w:rPr>
                <w:b/>
                <w:sz w:val="18"/>
                <w:lang w:val="en-US"/>
              </w:rPr>
            </w:pPr>
            <w:r w:rsidRPr="00222917">
              <w:rPr>
                <w:b/>
                <w:sz w:val="18"/>
                <w:lang w:val="en-US"/>
              </w:rPr>
              <w:t>100%</w:t>
            </w:r>
          </w:p>
        </w:tc>
      </w:tr>
    </w:tbl>
    <w:p w:rsidR="002D5BB0" w:rsidRPr="00222917" w:rsidRDefault="00547908" w:rsidP="00547908">
      <w:pPr>
        <w:pStyle w:val="SingleTxtG"/>
        <w:spacing w:before="240"/>
        <w:rPr>
          <w:lang w:val="en-US"/>
        </w:rPr>
      </w:pPr>
      <w:r w:rsidRPr="00222917">
        <w:rPr>
          <w:lang w:val="en-US"/>
        </w:rPr>
        <w:t>280.</w:t>
      </w:r>
      <w:r w:rsidRPr="00222917">
        <w:rPr>
          <w:lang w:val="en-US"/>
        </w:rPr>
        <w:tab/>
      </w:r>
      <w:r w:rsidR="002D5BB0" w:rsidRPr="00222917">
        <w:rPr>
          <w:lang w:val="en-US"/>
        </w:rPr>
        <w:t>On 30 October 2008, the Constitutional Court ruled that the Korea M</w:t>
      </w:r>
      <w:r w:rsidR="00A94611" w:rsidRPr="00222917">
        <w:rPr>
          <w:lang w:val="en-US"/>
        </w:rPr>
        <w:t xml:space="preserve">edia Rating Board under </w:t>
      </w:r>
      <w:r w:rsidR="00D53C1B" w:rsidRPr="00222917">
        <w:rPr>
          <w:lang w:val="en-US"/>
        </w:rPr>
        <w:t>a</w:t>
      </w:r>
      <w:r w:rsidR="00A94611" w:rsidRPr="00222917">
        <w:rPr>
          <w:lang w:val="en-US"/>
        </w:rPr>
        <w:t>rticle </w:t>
      </w:r>
      <w:r w:rsidR="002D5BB0" w:rsidRPr="00222917">
        <w:rPr>
          <w:lang w:val="en-US"/>
        </w:rPr>
        <w:t>20</w:t>
      </w:r>
      <w:r w:rsidR="00A94611" w:rsidRPr="00222917">
        <w:rPr>
          <w:lang w:val="en-US"/>
        </w:rPr>
        <w:t> </w:t>
      </w:r>
      <w:r w:rsidR="002D5BB0" w:rsidRPr="00222917">
        <w:rPr>
          <w:lang w:val="en-US"/>
        </w:rPr>
        <w:t xml:space="preserve">(4) of the former </w:t>
      </w:r>
      <w:r w:rsidR="002D5BB0" w:rsidRPr="00222917">
        <w:rPr>
          <w:iCs/>
          <w:lang w:val="en-US"/>
        </w:rPr>
        <w:t>Sound Records, Video Products, and Game Software Act</w:t>
      </w:r>
      <w:r w:rsidR="002D5BB0" w:rsidRPr="00222917">
        <w:rPr>
          <w:lang w:val="en-US"/>
        </w:rPr>
        <w:t xml:space="preserve"> providing for the video product rating pending system was a censorship institution, which is an administrative agency, and that rating pending thereby was deemed to be censorship. The rating pending system was designed to prohibit any video product from being released based on reviews made prior to distribution thereof, so it was in violation of the Constitution </w:t>
      </w:r>
      <w:r w:rsidR="00A94611" w:rsidRPr="00222917">
        <w:rPr>
          <w:lang w:val="en-US"/>
        </w:rPr>
        <w:t>(2004 HUN-GA 18). However, on 4 </w:t>
      </w:r>
      <w:r w:rsidR="002D5BB0" w:rsidRPr="00222917">
        <w:rPr>
          <w:lang w:val="en-US"/>
        </w:rPr>
        <w:t>October 2007, the Constitutional Court decided that the audiovisual material rating system was a minimum procedure to make age-based classification to guarantee the freedom of expression and, at the same time, to protect youths from hazardous audiovisual materials, and prevent any violation of the law, so that it did not constitute prior censorship under the Constitution (2004 HUN-BA 36).</w:t>
      </w:r>
    </w:p>
    <w:p w:rsidR="002D5BB0" w:rsidRPr="00222917" w:rsidRDefault="00547908" w:rsidP="00547908">
      <w:pPr>
        <w:pStyle w:val="SingleTxtG"/>
        <w:rPr>
          <w:lang w:val="en-US"/>
        </w:rPr>
      </w:pPr>
      <w:r w:rsidRPr="00222917">
        <w:rPr>
          <w:lang w:val="en-US"/>
        </w:rPr>
        <w:t>281.</w:t>
      </w:r>
      <w:r w:rsidRPr="00222917">
        <w:rPr>
          <w:lang w:val="en-US"/>
        </w:rPr>
        <w:tab/>
      </w:r>
      <w:r w:rsidR="002D5BB0" w:rsidRPr="00222917">
        <w:rPr>
          <w:lang w:val="en-US"/>
        </w:rPr>
        <w:t xml:space="preserve">Regarding phonograms, with the enactment of the </w:t>
      </w:r>
      <w:r w:rsidR="002D5BB0" w:rsidRPr="000850F5">
        <w:rPr>
          <w:iCs/>
          <w:lang w:val="en-US"/>
        </w:rPr>
        <w:t>Music Industry Promotion Act</w:t>
      </w:r>
      <w:r w:rsidR="002D5BB0" w:rsidRPr="00222917">
        <w:rPr>
          <w:lang w:val="en-US"/>
        </w:rPr>
        <w:t xml:space="preserve"> in October 2006, the foreign phonogram recommendation system and the system for determination of phonograms harmful to youth by the Korea Media Rating Board were repealed. However, while the latter system was abolished, phonograms with excessively suggestive and/or violent contents are required to be handled after circulation pursuant to the </w:t>
      </w:r>
      <w:r w:rsidR="002D5BB0" w:rsidRPr="00222917">
        <w:rPr>
          <w:iCs/>
          <w:lang w:val="en-US"/>
        </w:rPr>
        <w:t>Juvenile Protection Act</w:t>
      </w:r>
      <w:r w:rsidR="002D5BB0" w:rsidRPr="00222917">
        <w:rPr>
          <w:lang w:val="en-US"/>
        </w:rPr>
        <w:t xml:space="preserve"> (Chapter 2). </w:t>
      </w:r>
    </w:p>
    <w:p w:rsidR="002D5BB0" w:rsidRPr="00222917" w:rsidRDefault="007E6F46" w:rsidP="007E6F46">
      <w:pPr>
        <w:pStyle w:val="H23G"/>
        <w:rPr>
          <w:lang w:val="en-US"/>
        </w:rPr>
      </w:pPr>
      <w:bookmarkStart w:id="227" w:name="_Toc307504135"/>
      <w:bookmarkStart w:id="228" w:name="_Toc336435907"/>
      <w:r w:rsidRPr="00222917">
        <w:rPr>
          <w:lang w:val="en-US"/>
        </w:rPr>
        <w:tab/>
      </w:r>
      <w:r w:rsidRPr="00222917">
        <w:rPr>
          <w:lang w:val="en-US"/>
        </w:rPr>
        <w:tab/>
      </w:r>
      <w:r w:rsidR="002D5BB0" w:rsidRPr="00222917">
        <w:rPr>
          <w:lang w:val="en-US"/>
        </w:rPr>
        <w:t>Registration of Periodicals</w:t>
      </w:r>
      <w:bookmarkEnd w:id="227"/>
      <w:bookmarkEnd w:id="228"/>
    </w:p>
    <w:p w:rsidR="002D5BB0" w:rsidRPr="00222917" w:rsidRDefault="00547908" w:rsidP="00547908">
      <w:pPr>
        <w:pStyle w:val="SingleTxtG"/>
        <w:rPr>
          <w:lang w:val="en-US"/>
        </w:rPr>
      </w:pPr>
      <w:r w:rsidRPr="00222917">
        <w:rPr>
          <w:lang w:val="en-US"/>
        </w:rPr>
        <w:t>282.</w:t>
      </w:r>
      <w:r w:rsidRPr="00222917">
        <w:rPr>
          <w:lang w:val="en-US"/>
        </w:rPr>
        <w:tab/>
      </w:r>
      <w:r w:rsidR="002D5BB0" w:rsidRPr="00222917">
        <w:rPr>
          <w:lang w:val="en-US"/>
        </w:rPr>
        <w:t xml:space="preserve">On 5 June 2008, the Government wholly amended the </w:t>
      </w:r>
      <w:r w:rsidR="002D5BB0" w:rsidRPr="000850F5">
        <w:rPr>
          <w:iCs/>
          <w:lang w:val="en-US"/>
        </w:rPr>
        <w:t>Registration, etc. of Periodicals Act</w:t>
      </w:r>
      <w:r w:rsidR="002D5BB0" w:rsidRPr="00222917">
        <w:rPr>
          <w:i/>
          <w:lang w:val="en-US"/>
        </w:rPr>
        <w:t xml:space="preserve"> </w:t>
      </w:r>
      <w:r w:rsidR="002D5BB0" w:rsidRPr="00222917">
        <w:rPr>
          <w:lang w:val="en-US"/>
        </w:rPr>
        <w:t xml:space="preserve">and renamed it the </w:t>
      </w:r>
      <w:r w:rsidR="002D5BB0" w:rsidRPr="000850F5">
        <w:rPr>
          <w:iCs/>
          <w:lang w:val="en-US"/>
        </w:rPr>
        <w:t xml:space="preserve">Act on Promotion of Periodicals, Including Magazines </w:t>
      </w:r>
      <w:r w:rsidR="002D5BB0" w:rsidRPr="00222917">
        <w:rPr>
          <w:lang w:val="en-US"/>
        </w:rPr>
        <w:t>to promote the voicing of a variety of public opinions and sound advancement of periodicals by providing for matters concerning publication of periodicals such as magazines and their development. The delivery system for periodicals as mentioned in the third repor</w:t>
      </w:r>
      <w:r w:rsidR="005F5775" w:rsidRPr="00222917">
        <w:rPr>
          <w:lang w:val="en-US"/>
        </w:rPr>
        <w:t>t (CCPR/C/KOR/2005/3, paragraph </w:t>
      </w:r>
      <w:r w:rsidR="002D5BB0" w:rsidRPr="00222917">
        <w:rPr>
          <w:lang w:val="en-US"/>
        </w:rPr>
        <w:t>279) was changed in a manner that periodicals are registered with mayor/</w:t>
      </w:r>
      <w:r w:rsidR="002D5BB0" w:rsidRPr="00222917">
        <w:rPr>
          <w:i/>
          <w:lang w:val="en-US"/>
        </w:rPr>
        <w:t>do</w:t>
      </w:r>
      <w:r w:rsidR="002D5BB0" w:rsidRPr="00222917">
        <w:rPr>
          <w:lang w:val="en-US"/>
        </w:rPr>
        <w:t xml:space="preserve"> governor. The Act prescribes modernization of publishing facilities and distribution of periodicals, support for periodicals including development of experts, and registration and report for periodicals, among other provisions. </w:t>
      </w:r>
    </w:p>
    <w:p w:rsidR="002D5BB0" w:rsidRPr="00222917" w:rsidRDefault="007E6F46" w:rsidP="007E6F46">
      <w:pPr>
        <w:pStyle w:val="H23G"/>
        <w:rPr>
          <w:b w:val="0"/>
          <w:sz w:val="16"/>
          <w:szCs w:val="16"/>
          <w:lang w:val="en-US"/>
        </w:rPr>
      </w:pPr>
      <w:r w:rsidRPr="00222917">
        <w:rPr>
          <w:lang w:val="en-US"/>
        </w:rPr>
        <w:tab/>
      </w:r>
      <w:r w:rsidRPr="00222917">
        <w:rPr>
          <w:lang w:val="en-US"/>
        </w:rPr>
        <w:tab/>
      </w:r>
      <w:r w:rsidR="002D5BB0" w:rsidRPr="00222917">
        <w:rPr>
          <w:lang w:val="en-US"/>
        </w:rPr>
        <w:t>Publication of Periodicals</w:t>
      </w:r>
      <w:r w:rsidRPr="00222917">
        <w:rPr>
          <w:lang w:val="en-US"/>
        </w:rPr>
        <w:br/>
      </w:r>
      <w:r w:rsidR="002D5BB0" w:rsidRPr="00222917">
        <w:rPr>
          <w:b w:val="0"/>
          <w:sz w:val="16"/>
          <w:szCs w:val="16"/>
          <w:lang w:val="en-US"/>
        </w:rPr>
        <w:t>(As of the end of 2010; number of periodicals)</w:t>
      </w:r>
    </w:p>
    <w:tbl>
      <w:tblPr>
        <w:tblW w:w="0" w:type="auto"/>
        <w:tblInd w:w="1134" w:type="dxa"/>
        <w:tblBorders>
          <w:top w:val="single" w:sz="4" w:space="0" w:color="auto"/>
          <w:bottom w:val="single" w:sz="12" w:space="0" w:color="auto"/>
          <w:insideH w:val="single" w:sz="12" w:space="0" w:color="auto"/>
        </w:tblBorders>
        <w:tblLayout w:type="fixed"/>
        <w:tblCellMar>
          <w:left w:w="0" w:type="dxa"/>
          <w:right w:w="0" w:type="dxa"/>
        </w:tblCellMar>
        <w:tblLook w:val="00A0"/>
      </w:tblPr>
      <w:tblGrid>
        <w:gridCol w:w="737"/>
        <w:gridCol w:w="567"/>
        <w:gridCol w:w="907"/>
        <w:gridCol w:w="737"/>
        <w:gridCol w:w="737"/>
        <w:gridCol w:w="737"/>
        <w:gridCol w:w="737"/>
        <w:gridCol w:w="737"/>
        <w:gridCol w:w="737"/>
        <w:gridCol w:w="737"/>
      </w:tblGrid>
      <w:tr w:rsidR="008F6543" w:rsidRPr="00222917" w:rsidTr="00FA326B">
        <w:trPr>
          <w:tblHeader/>
        </w:trPr>
        <w:tc>
          <w:tcPr>
            <w:tcW w:w="737" w:type="dxa"/>
            <w:shd w:val="clear" w:color="auto" w:fill="auto"/>
            <w:tcMar>
              <w:top w:w="28" w:type="dxa"/>
              <w:left w:w="28" w:type="dxa"/>
              <w:bottom w:w="28" w:type="dxa"/>
              <w:right w:w="28" w:type="dxa"/>
            </w:tcMar>
            <w:vAlign w:val="bottom"/>
          </w:tcPr>
          <w:p w:rsidR="008F6543" w:rsidRPr="00222917" w:rsidRDefault="008F6543" w:rsidP="00FA326B">
            <w:pPr>
              <w:suppressAutoHyphens w:val="0"/>
              <w:snapToGrid w:val="0"/>
              <w:spacing w:before="80" w:after="80" w:line="200" w:lineRule="exact"/>
              <w:rPr>
                <w:i/>
                <w:sz w:val="16"/>
                <w:lang w:val="en-US"/>
              </w:rPr>
            </w:pPr>
            <w:r w:rsidRPr="00222917">
              <w:rPr>
                <w:bCs/>
                <w:i/>
                <w:sz w:val="16"/>
                <w:lang w:val="en-US"/>
              </w:rPr>
              <w:t>Type</w:t>
            </w:r>
          </w:p>
        </w:tc>
        <w:tc>
          <w:tcPr>
            <w:tcW w:w="567" w:type="dxa"/>
            <w:shd w:val="clear" w:color="auto" w:fill="auto"/>
            <w:tcMar>
              <w:top w:w="28" w:type="dxa"/>
              <w:left w:w="28" w:type="dxa"/>
              <w:bottom w:w="28" w:type="dxa"/>
              <w:right w:w="28" w:type="dxa"/>
            </w:tcMar>
            <w:vAlign w:val="bottom"/>
          </w:tcPr>
          <w:p w:rsidR="008F6543" w:rsidRPr="00222917" w:rsidRDefault="008F6543" w:rsidP="00FA326B">
            <w:pPr>
              <w:suppressAutoHyphens w:val="0"/>
              <w:snapToGrid w:val="0"/>
              <w:spacing w:before="80" w:after="80" w:line="200" w:lineRule="exact"/>
              <w:jc w:val="right"/>
              <w:rPr>
                <w:i/>
                <w:sz w:val="16"/>
                <w:lang w:val="en-US"/>
              </w:rPr>
            </w:pPr>
            <w:r w:rsidRPr="00222917">
              <w:rPr>
                <w:bCs/>
                <w:i/>
                <w:sz w:val="16"/>
                <w:lang w:val="en-US"/>
              </w:rPr>
              <w:t>Daily</w:t>
            </w:r>
          </w:p>
        </w:tc>
        <w:tc>
          <w:tcPr>
            <w:tcW w:w="907" w:type="dxa"/>
            <w:shd w:val="clear" w:color="auto" w:fill="auto"/>
            <w:tcMar>
              <w:top w:w="28" w:type="dxa"/>
              <w:left w:w="28" w:type="dxa"/>
              <w:bottom w:w="28" w:type="dxa"/>
              <w:right w:w="28" w:type="dxa"/>
            </w:tcMar>
            <w:vAlign w:val="bottom"/>
          </w:tcPr>
          <w:p w:rsidR="008F6543" w:rsidRPr="00222917" w:rsidRDefault="008F6543" w:rsidP="00FA326B">
            <w:pPr>
              <w:suppressAutoHyphens w:val="0"/>
              <w:snapToGrid w:val="0"/>
              <w:spacing w:before="80" w:after="80" w:line="200" w:lineRule="exact"/>
              <w:jc w:val="right"/>
              <w:rPr>
                <w:i/>
                <w:sz w:val="16"/>
                <w:lang w:val="en-US"/>
              </w:rPr>
            </w:pPr>
            <w:r w:rsidRPr="00222917">
              <w:rPr>
                <w:bCs/>
                <w:i/>
                <w:sz w:val="16"/>
                <w:lang w:val="en-US"/>
              </w:rPr>
              <w:t>Corres</w:t>
            </w:r>
            <w:r w:rsidR="00FA326B" w:rsidRPr="00222917">
              <w:rPr>
                <w:bCs/>
                <w:i/>
                <w:sz w:val="16"/>
                <w:lang w:val="en-US"/>
              </w:rPr>
              <w:t>-</w:t>
            </w:r>
            <w:r w:rsidR="00FA326B" w:rsidRPr="00222917">
              <w:rPr>
                <w:bCs/>
                <w:i/>
                <w:sz w:val="16"/>
                <w:lang w:val="en-US"/>
              </w:rPr>
              <w:br/>
            </w:r>
            <w:r w:rsidRPr="00222917">
              <w:rPr>
                <w:bCs/>
                <w:i/>
                <w:sz w:val="16"/>
                <w:lang w:val="en-US"/>
              </w:rPr>
              <w:t>pondence/</w:t>
            </w:r>
            <w:r w:rsidR="00FA326B" w:rsidRPr="00222917">
              <w:rPr>
                <w:bCs/>
                <w:i/>
                <w:sz w:val="16"/>
                <w:lang w:val="en-US"/>
              </w:rPr>
              <w:br/>
            </w:r>
            <w:r w:rsidRPr="00222917">
              <w:rPr>
                <w:bCs/>
                <w:i/>
                <w:sz w:val="16"/>
                <w:lang w:val="en-US"/>
              </w:rPr>
              <w:t>Other dailies</w:t>
            </w:r>
          </w:p>
        </w:tc>
        <w:tc>
          <w:tcPr>
            <w:tcW w:w="737" w:type="dxa"/>
            <w:shd w:val="clear" w:color="auto" w:fill="auto"/>
            <w:tcMar>
              <w:top w:w="28" w:type="dxa"/>
              <w:left w:w="28" w:type="dxa"/>
              <w:bottom w:w="28" w:type="dxa"/>
              <w:right w:w="28" w:type="dxa"/>
            </w:tcMar>
            <w:vAlign w:val="bottom"/>
          </w:tcPr>
          <w:p w:rsidR="008F6543" w:rsidRPr="00222917" w:rsidRDefault="008F6543" w:rsidP="00FA326B">
            <w:pPr>
              <w:suppressAutoHyphens w:val="0"/>
              <w:snapToGrid w:val="0"/>
              <w:spacing w:before="80" w:after="80" w:line="200" w:lineRule="exact"/>
              <w:jc w:val="right"/>
              <w:rPr>
                <w:i/>
                <w:sz w:val="16"/>
                <w:lang w:val="en-US"/>
              </w:rPr>
            </w:pPr>
            <w:r w:rsidRPr="00222917">
              <w:rPr>
                <w:bCs/>
                <w:i/>
                <w:sz w:val="16"/>
                <w:lang w:val="en-US"/>
              </w:rPr>
              <w:t>Weekly</w:t>
            </w:r>
          </w:p>
        </w:tc>
        <w:tc>
          <w:tcPr>
            <w:tcW w:w="737" w:type="dxa"/>
            <w:shd w:val="clear" w:color="auto" w:fill="auto"/>
            <w:tcMar>
              <w:top w:w="28" w:type="dxa"/>
              <w:left w:w="28" w:type="dxa"/>
              <w:bottom w:w="28" w:type="dxa"/>
              <w:right w:w="28" w:type="dxa"/>
            </w:tcMar>
            <w:vAlign w:val="bottom"/>
          </w:tcPr>
          <w:p w:rsidR="008F6543" w:rsidRPr="00222917" w:rsidRDefault="008F6543" w:rsidP="00FA326B">
            <w:pPr>
              <w:suppressAutoHyphens w:val="0"/>
              <w:snapToGrid w:val="0"/>
              <w:spacing w:before="80" w:after="80" w:line="200" w:lineRule="exact"/>
              <w:jc w:val="right"/>
              <w:rPr>
                <w:i/>
                <w:sz w:val="16"/>
                <w:lang w:val="en-US"/>
              </w:rPr>
            </w:pPr>
            <w:r w:rsidRPr="00222917">
              <w:rPr>
                <w:bCs/>
                <w:i/>
                <w:sz w:val="16"/>
                <w:lang w:val="en-US"/>
              </w:rPr>
              <w:t>Monthly</w:t>
            </w:r>
          </w:p>
        </w:tc>
        <w:tc>
          <w:tcPr>
            <w:tcW w:w="737" w:type="dxa"/>
            <w:shd w:val="clear" w:color="auto" w:fill="auto"/>
            <w:tcMar>
              <w:top w:w="28" w:type="dxa"/>
              <w:left w:w="28" w:type="dxa"/>
              <w:bottom w:w="28" w:type="dxa"/>
              <w:right w:w="28" w:type="dxa"/>
            </w:tcMar>
            <w:vAlign w:val="bottom"/>
          </w:tcPr>
          <w:p w:rsidR="008F6543" w:rsidRPr="00222917" w:rsidRDefault="008F6543" w:rsidP="00FA326B">
            <w:pPr>
              <w:suppressAutoHyphens w:val="0"/>
              <w:snapToGrid w:val="0"/>
              <w:spacing w:before="80" w:after="80" w:line="200" w:lineRule="exact"/>
              <w:jc w:val="right"/>
              <w:rPr>
                <w:i/>
                <w:sz w:val="16"/>
                <w:lang w:val="en-US"/>
              </w:rPr>
            </w:pPr>
            <w:r w:rsidRPr="00222917">
              <w:rPr>
                <w:bCs/>
                <w:i/>
                <w:sz w:val="16"/>
                <w:lang w:val="en-US"/>
              </w:rPr>
              <w:t>Bimonthly</w:t>
            </w:r>
          </w:p>
        </w:tc>
        <w:tc>
          <w:tcPr>
            <w:tcW w:w="737" w:type="dxa"/>
            <w:shd w:val="clear" w:color="auto" w:fill="auto"/>
            <w:tcMar>
              <w:top w:w="28" w:type="dxa"/>
              <w:left w:w="28" w:type="dxa"/>
              <w:bottom w:w="28" w:type="dxa"/>
              <w:right w:w="28" w:type="dxa"/>
            </w:tcMar>
            <w:vAlign w:val="bottom"/>
          </w:tcPr>
          <w:p w:rsidR="008F6543" w:rsidRPr="00222917" w:rsidRDefault="008F6543" w:rsidP="00FA326B">
            <w:pPr>
              <w:suppressAutoHyphens w:val="0"/>
              <w:snapToGrid w:val="0"/>
              <w:spacing w:before="80" w:after="80" w:line="200" w:lineRule="exact"/>
              <w:jc w:val="right"/>
              <w:rPr>
                <w:i/>
                <w:sz w:val="16"/>
                <w:lang w:val="en-US"/>
              </w:rPr>
            </w:pPr>
            <w:r w:rsidRPr="00222917">
              <w:rPr>
                <w:bCs/>
                <w:i/>
                <w:sz w:val="16"/>
                <w:lang w:val="en-US"/>
              </w:rPr>
              <w:t>Quarterly</w:t>
            </w:r>
          </w:p>
        </w:tc>
        <w:tc>
          <w:tcPr>
            <w:tcW w:w="737" w:type="dxa"/>
            <w:shd w:val="clear" w:color="auto" w:fill="auto"/>
            <w:tcMar>
              <w:top w:w="28" w:type="dxa"/>
              <w:left w:w="28" w:type="dxa"/>
              <w:bottom w:w="28" w:type="dxa"/>
              <w:right w:w="28" w:type="dxa"/>
            </w:tcMar>
            <w:vAlign w:val="bottom"/>
          </w:tcPr>
          <w:p w:rsidR="008F6543" w:rsidRPr="00222917" w:rsidRDefault="008F6543" w:rsidP="00FA326B">
            <w:pPr>
              <w:suppressAutoHyphens w:val="0"/>
              <w:snapToGrid w:val="0"/>
              <w:spacing w:before="80" w:after="80" w:line="200" w:lineRule="exact"/>
              <w:jc w:val="right"/>
              <w:rPr>
                <w:i/>
                <w:sz w:val="16"/>
                <w:lang w:val="en-US"/>
              </w:rPr>
            </w:pPr>
            <w:r w:rsidRPr="00222917">
              <w:rPr>
                <w:bCs/>
                <w:i/>
                <w:sz w:val="16"/>
                <w:lang w:val="en-US"/>
              </w:rPr>
              <w:t>Semi</w:t>
            </w:r>
            <w:r w:rsidR="00FA326B" w:rsidRPr="00222917">
              <w:rPr>
                <w:bCs/>
                <w:i/>
                <w:sz w:val="16"/>
                <w:lang w:val="en-US"/>
              </w:rPr>
              <w:t>-</w:t>
            </w:r>
            <w:r w:rsidR="00FA326B" w:rsidRPr="00222917">
              <w:rPr>
                <w:bCs/>
                <w:i/>
                <w:sz w:val="16"/>
                <w:lang w:val="en-US"/>
              </w:rPr>
              <w:br/>
            </w:r>
            <w:r w:rsidRPr="00222917">
              <w:rPr>
                <w:bCs/>
                <w:i/>
                <w:sz w:val="16"/>
                <w:lang w:val="en-US"/>
              </w:rPr>
              <w:t>annual</w:t>
            </w:r>
          </w:p>
        </w:tc>
        <w:tc>
          <w:tcPr>
            <w:tcW w:w="737" w:type="dxa"/>
            <w:shd w:val="clear" w:color="auto" w:fill="auto"/>
            <w:tcMar>
              <w:top w:w="28" w:type="dxa"/>
              <w:left w:w="28" w:type="dxa"/>
              <w:bottom w:w="28" w:type="dxa"/>
              <w:right w:w="28" w:type="dxa"/>
            </w:tcMar>
            <w:vAlign w:val="bottom"/>
          </w:tcPr>
          <w:p w:rsidR="008F6543" w:rsidRPr="00222917" w:rsidRDefault="008F6543" w:rsidP="00FA326B">
            <w:pPr>
              <w:suppressAutoHyphens w:val="0"/>
              <w:snapToGrid w:val="0"/>
              <w:spacing w:before="80" w:after="80" w:line="200" w:lineRule="exact"/>
              <w:jc w:val="right"/>
              <w:rPr>
                <w:i/>
                <w:sz w:val="16"/>
                <w:lang w:val="en-US"/>
              </w:rPr>
            </w:pPr>
            <w:r w:rsidRPr="00222917">
              <w:rPr>
                <w:bCs/>
                <w:i/>
                <w:sz w:val="16"/>
                <w:lang w:val="en-US"/>
              </w:rPr>
              <w:t>Internet</w:t>
            </w:r>
          </w:p>
        </w:tc>
        <w:tc>
          <w:tcPr>
            <w:tcW w:w="737" w:type="dxa"/>
            <w:shd w:val="clear" w:color="auto" w:fill="auto"/>
            <w:tcMar>
              <w:top w:w="28" w:type="dxa"/>
              <w:left w:w="28" w:type="dxa"/>
              <w:bottom w:w="28" w:type="dxa"/>
              <w:right w:w="28" w:type="dxa"/>
            </w:tcMar>
            <w:vAlign w:val="bottom"/>
          </w:tcPr>
          <w:p w:rsidR="008F6543" w:rsidRPr="00222917" w:rsidRDefault="008F6543" w:rsidP="00FA326B">
            <w:pPr>
              <w:suppressAutoHyphens w:val="0"/>
              <w:snapToGrid w:val="0"/>
              <w:spacing w:before="80" w:after="80" w:line="200" w:lineRule="exact"/>
              <w:jc w:val="right"/>
              <w:rPr>
                <w:b/>
                <w:i/>
                <w:sz w:val="16"/>
                <w:lang w:val="en-US"/>
              </w:rPr>
            </w:pPr>
            <w:r w:rsidRPr="00222917">
              <w:rPr>
                <w:b/>
                <w:bCs/>
                <w:i/>
                <w:sz w:val="16"/>
                <w:lang w:val="en-US"/>
              </w:rPr>
              <w:t>Total</w:t>
            </w:r>
          </w:p>
        </w:tc>
      </w:tr>
      <w:tr w:rsidR="008F6543" w:rsidRPr="00222917" w:rsidTr="00FA326B">
        <w:tc>
          <w:tcPr>
            <w:tcW w:w="737" w:type="dxa"/>
            <w:shd w:val="clear" w:color="auto" w:fill="auto"/>
            <w:tcMar>
              <w:top w:w="28" w:type="dxa"/>
              <w:left w:w="28" w:type="dxa"/>
              <w:bottom w:w="28" w:type="dxa"/>
              <w:right w:w="28" w:type="dxa"/>
            </w:tcMar>
          </w:tcPr>
          <w:p w:rsidR="008F6543" w:rsidRPr="00222917" w:rsidRDefault="008F6543" w:rsidP="00FA326B">
            <w:pPr>
              <w:suppressAutoHyphens w:val="0"/>
              <w:snapToGrid w:val="0"/>
              <w:spacing w:before="40" w:after="40" w:line="220" w:lineRule="exact"/>
              <w:rPr>
                <w:sz w:val="18"/>
                <w:szCs w:val="22"/>
                <w:lang w:val="en-US"/>
              </w:rPr>
            </w:pPr>
            <w:r w:rsidRPr="00222917">
              <w:rPr>
                <w:sz w:val="18"/>
                <w:szCs w:val="22"/>
                <w:lang w:val="en-US"/>
              </w:rPr>
              <w:t>Number</w:t>
            </w:r>
          </w:p>
        </w:tc>
        <w:tc>
          <w:tcPr>
            <w:tcW w:w="567" w:type="dxa"/>
            <w:shd w:val="clear" w:color="auto" w:fill="auto"/>
            <w:tcMar>
              <w:top w:w="28" w:type="dxa"/>
              <w:left w:w="28" w:type="dxa"/>
              <w:bottom w:w="28" w:type="dxa"/>
              <w:right w:w="28" w:type="dxa"/>
            </w:tcMar>
            <w:vAlign w:val="bottom"/>
          </w:tcPr>
          <w:p w:rsidR="008F6543" w:rsidRPr="00222917" w:rsidRDefault="008F6543" w:rsidP="00FA326B">
            <w:pPr>
              <w:suppressAutoHyphens w:val="0"/>
              <w:snapToGrid w:val="0"/>
              <w:spacing w:before="40" w:after="40" w:line="220" w:lineRule="exact"/>
              <w:jc w:val="right"/>
              <w:rPr>
                <w:sz w:val="18"/>
                <w:szCs w:val="22"/>
                <w:lang w:val="en-US"/>
              </w:rPr>
            </w:pPr>
            <w:r w:rsidRPr="00222917">
              <w:rPr>
                <w:sz w:val="18"/>
                <w:szCs w:val="22"/>
                <w:lang w:val="en-US"/>
              </w:rPr>
              <w:t>673</w:t>
            </w:r>
          </w:p>
        </w:tc>
        <w:tc>
          <w:tcPr>
            <w:tcW w:w="907" w:type="dxa"/>
            <w:shd w:val="clear" w:color="auto" w:fill="auto"/>
            <w:tcMar>
              <w:top w:w="28" w:type="dxa"/>
              <w:left w:w="28" w:type="dxa"/>
              <w:bottom w:w="28" w:type="dxa"/>
              <w:right w:w="28" w:type="dxa"/>
            </w:tcMar>
            <w:vAlign w:val="bottom"/>
          </w:tcPr>
          <w:p w:rsidR="008F6543" w:rsidRPr="00222917" w:rsidRDefault="008F6543" w:rsidP="00FA326B">
            <w:pPr>
              <w:suppressAutoHyphens w:val="0"/>
              <w:snapToGrid w:val="0"/>
              <w:spacing w:before="40" w:after="40" w:line="220" w:lineRule="exact"/>
              <w:jc w:val="right"/>
              <w:rPr>
                <w:sz w:val="18"/>
                <w:szCs w:val="22"/>
                <w:lang w:val="en-US"/>
              </w:rPr>
            </w:pPr>
            <w:r w:rsidRPr="00222917">
              <w:rPr>
                <w:sz w:val="18"/>
                <w:szCs w:val="22"/>
                <w:lang w:val="en-US"/>
              </w:rPr>
              <w:t>9</w:t>
            </w:r>
          </w:p>
        </w:tc>
        <w:tc>
          <w:tcPr>
            <w:tcW w:w="737" w:type="dxa"/>
            <w:shd w:val="clear" w:color="auto" w:fill="auto"/>
            <w:tcMar>
              <w:top w:w="28" w:type="dxa"/>
              <w:left w:w="28" w:type="dxa"/>
              <w:bottom w:w="28" w:type="dxa"/>
              <w:right w:w="28" w:type="dxa"/>
            </w:tcMar>
            <w:vAlign w:val="bottom"/>
          </w:tcPr>
          <w:p w:rsidR="008F6543" w:rsidRPr="00222917" w:rsidRDefault="008F6543" w:rsidP="00FA326B">
            <w:pPr>
              <w:suppressAutoHyphens w:val="0"/>
              <w:snapToGrid w:val="0"/>
              <w:spacing w:before="40" w:after="40" w:line="220" w:lineRule="exact"/>
              <w:jc w:val="right"/>
              <w:rPr>
                <w:sz w:val="18"/>
                <w:szCs w:val="22"/>
                <w:lang w:val="en-US"/>
              </w:rPr>
            </w:pPr>
            <w:r w:rsidRPr="00222917">
              <w:rPr>
                <w:sz w:val="18"/>
                <w:szCs w:val="22"/>
                <w:lang w:val="en-US"/>
              </w:rPr>
              <w:t>2,868</w:t>
            </w:r>
          </w:p>
        </w:tc>
        <w:tc>
          <w:tcPr>
            <w:tcW w:w="737" w:type="dxa"/>
            <w:shd w:val="clear" w:color="auto" w:fill="auto"/>
            <w:tcMar>
              <w:top w:w="28" w:type="dxa"/>
              <w:left w:w="28" w:type="dxa"/>
              <w:bottom w:w="28" w:type="dxa"/>
              <w:right w:w="28" w:type="dxa"/>
            </w:tcMar>
            <w:vAlign w:val="bottom"/>
          </w:tcPr>
          <w:p w:rsidR="008F6543" w:rsidRPr="00222917" w:rsidRDefault="008F6543" w:rsidP="00FA326B">
            <w:pPr>
              <w:suppressAutoHyphens w:val="0"/>
              <w:snapToGrid w:val="0"/>
              <w:spacing w:before="40" w:after="40" w:line="220" w:lineRule="exact"/>
              <w:jc w:val="right"/>
              <w:rPr>
                <w:sz w:val="18"/>
                <w:szCs w:val="22"/>
                <w:lang w:val="en-US"/>
              </w:rPr>
            </w:pPr>
            <w:r w:rsidRPr="00222917">
              <w:rPr>
                <w:sz w:val="18"/>
                <w:szCs w:val="22"/>
                <w:lang w:val="en-US"/>
              </w:rPr>
              <w:t>3,936</w:t>
            </w:r>
          </w:p>
        </w:tc>
        <w:tc>
          <w:tcPr>
            <w:tcW w:w="737" w:type="dxa"/>
            <w:shd w:val="clear" w:color="auto" w:fill="auto"/>
            <w:tcMar>
              <w:top w:w="28" w:type="dxa"/>
              <w:left w:w="28" w:type="dxa"/>
              <w:bottom w:w="28" w:type="dxa"/>
              <w:right w:w="28" w:type="dxa"/>
            </w:tcMar>
            <w:vAlign w:val="bottom"/>
          </w:tcPr>
          <w:p w:rsidR="008F6543" w:rsidRPr="00222917" w:rsidRDefault="008F6543" w:rsidP="00FA326B">
            <w:pPr>
              <w:suppressAutoHyphens w:val="0"/>
              <w:snapToGrid w:val="0"/>
              <w:spacing w:before="40" w:after="40" w:line="220" w:lineRule="exact"/>
              <w:jc w:val="right"/>
              <w:rPr>
                <w:sz w:val="18"/>
                <w:szCs w:val="22"/>
                <w:lang w:val="en-US"/>
              </w:rPr>
            </w:pPr>
            <w:r w:rsidRPr="00222917">
              <w:rPr>
                <w:sz w:val="18"/>
                <w:szCs w:val="22"/>
                <w:lang w:val="en-US"/>
              </w:rPr>
              <w:t>542</w:t>
            </w:r>
          </w:p>
        </w:tc>
        <w:tc>
          <w:tcPr>
            <w:tcW w:w="737" w:type="dxa"/>
            <w:shd w:val="clear" w:color="auto" w:fill="auto"/>
            <w:tcMar>
              <w:top w:w="28" w:type="dxa"/>
              <w:left w:w="28" w:type="dxa"/>
              <w:bottom w:w="28" w:type="dxa"/>
              <w:right w:w="28" w:type="dxa"/>
            </w:tcMar>
            <w:vAlign w:val="bottom"/>
          </w:tcPr>
          <w:p w:rsidR="008F6543" w:rsidRPr="00222917" w:rsidRDefault="008F6543" w:rsidP="00FA326B">
            <w:pPr>
              <w:suppressAutoHyphens w:val="0"/>
              <w:snapToGrid w:val="0"/>
              <w:spacing w:before="40" w:after="40" w:line="220" w:lineRule="exact"/>
              <w:jc w:val="right"/>
              <w:rPr>
                <w:sz w:val="18"/>
                <w:szCs w:val="22"/>
                <w:lang w:val="en-US"/>
              </w:rPr>
            </w:pPr>
            <w:r w:rsidRPr="00222917">
              <w:rPr>
                <w:sz w:val="18"/>
                <w:szCs w:val="22"/>
                <w:lang w:val="en-US"/>
              </w:rPr>
              <w:t>1,161</w:t>
            </w:r>
          </w:p>
        </w:tc>
        <w:tc>
          <w:tcPr>
            <w:tcW w:w="737" w:type="dxa"/>
            <w:shd w:val="clear" w:color="auto" w:fill="auto"/>
            <w:tcMar>
              <w:top w:w="28" w:type="dxa"/>
              <w:left w:w="28" w:type="dxa"/>
              <w:bottom w:w="28" w:type="dxa"/>
              <w:right w:w="28" w:type="dxa"/>
            </w:tcMar>
            <w:vAlign w:val="bottom"/>
          </w:tcPr>
          <w:p w:rsidR="008F6543" w:rsidRPr="00222917" w:rsidRDefault="008F6543" w:rsidP="00FA326B">
            <w:pPr>
              <w:suppressAutoHyphens w:val="0"/>
              <w:snapToGrid w:val="0"/>
              <w:spacing w:before="40" w:after="40" w:line="220" w:lineRule="exact"/>
              <w:jc w:val="right"/>
              <w:rPr>
                <w:sz w:val="18"/>
                <w:szCs w:val="22"/>
                <w:lang w:val="en-US"/>
              </w:rPr>
            </w:pPr>
            <w:r w:rsidRPr="00222917">
              <w:rPr>
                <w:sz w:val="18"/>
                <w:szCs w:val="22"/>
                <w:lang w:val="en-US"/>
              </w:rPr>
              <w:t>408</w:t>
            </w:r>
          </w:p>
        </w:tc>
        <w:tc>
          <w:tcPr>
            <w:tcW w:w="737" w:type="dxa"/>
            <w:shd w:val="clear" w:color="auto" w:fill="auto"/>
            <w:tcMar>
              <w:top w:w="28" w:type="dxa"/>
              <w:left w:w="28" w:type="dxa"/>
              <w:bottom w:w="28" w:type="dxa"/>
              <w:right w:w="28" w:type="dxa"/>
            </w:tcMar>
            <w:vAlign w:val="bottom"/>
          </w:tcPr>
          <w:p w:rsidR="008F6543" w:rsidRPr="00222917" w:rsidRDefault="008F6543" w:rsidP="00FA326B">
            <w:pPr>
              <w:suppressAutoHyphens w:val="0"/>
              <w:snapToGrid w:val="0"/>
              <w:spacing w:before="40" w:after="40" w:line="220" w:lineRule="exact"/>
              <w:jc w:val="right"/>
              <w:rPr>
                <w:sz w:val="18"/>
                <w:szCs w:val="22"/>
                <w:lang w:val="en-US"/>
              </w:rPr>
            </w:pPr>
            <w:r w:rsidRPr="00222917">
              <w:rPr>
                <w:sz w:val="18"/>
                <w:szCs w:val="22"/>
                <w:lang w:val="en-US"/>
              </w:rPr>
              <w:t>2,484</w:t>
            </w:r>
          </w:p>
        </w:tc>
        <w:tc>
          <w:tcPr>
            <w:tcW w:w="737" w:type="dxa"/>
            <w:shd w:val="clear" w:color="auto" w:fill="auto"/>
            <w:tcMar>
              <w:top w:w="28" w:type="dxa"/>
              <w:left w:w="28" w:type="dxa"/>
              <w:bottom w:w="28" w:type="dxa"/>
              <w:right w:w="28" w:type="dxa"/>
            </w:tcMar>
            <w:vAlign w:val="bottom"/>
          </w:tcPr>
          <w:p w:rsidR="008F6543" w:rsidRPr="00222917" w:rsidRDefault="008F6543" w:rsidP="00FA326B">
            <w:pPr>
              <w:suppressAutoHyphens w:val="0"/>
              <w:snapToGrid w:val="0"/>
              <w:spacing w:before="40" w:after="40" w:line="220" w:lineRule="exact"/>
              <w:jc w:val="right"/>
              <w:rPr>
                <w:b/>
                <w:sz w:val="18"/>
                <w:szCs w:val="22"/>
                <w:lang w:val="en-US"/>
              </w:rPr>
            </w:pPr>
            <w:r w:rsidRPr="00222917">
              <w:rPr>
                <w:b/>
                <w:sz w:val="18"/>
                <w:szCs w:val="22"/>
                <w:lang w:val="en-US"/>
              </w:rPr>
              <w:t>12,081</w:t>
            </w:r>
          </w:p>
        </w:tc>
      </w:tr>
    </w:tbl>
    <w:p w:rsidR="002D5BB0" w:rsidRPr="00222917" w:rsidRDefault="00547908" w:rsidP="00547908">
      <w:pPr>
        <w:pStyle w:val="SingleTxtG"/>
        <w:spacing w:before="240"/>
        <w:rPr>
          <w:lang w:val="en-US"/>
        </w:rPr>
      </w:pPr>
      <w:r w:rsidRPr="00222917">
        <w:rPr>
          <w:lang w:val="en-US"/>
        </w:rPr>
        <w:t>283.</w:t>
      </w:r>
      <w:r w:rsidRPr="00222917">
        <w:rPr>
          <w:lang w:val="en-US"/>
        </w:rPr>
        <w:tab/>
      </w:r>
      <w:r w:rsidR="00A94611" w:rsidRPr="00222917">
        <w:rPr>
          <w:lang w:val="en-US"/>
        </w:rPr>
        <w:t xml:space="preserve">On 27 January 2005, </w:t>
      </w:r>
      <w:r w:rsidR="00D53C1B" w:rsidRPr="00222917">
        <w:rPr>
          <w:lang w:val="en-US"/>
        </w:rPr>
        <w:t>a</w:t>
      </w:r>
      <w:r w:rsidR="00A94611" w:rsidRPr="00222917">
        <w:rPr>
          <w:lang w:val="en-US"/>
        </w:rPr>
        <w:t>rticle </w:t>
      </w:r>
      <w:r w:rsidR="002D5BB0" w:rsidRPr="00222917">
        <w:rPr>
          <w:lang w:val="en-US"/>
        </w:rPr>
        <w:t xml:space="preserve">16 of the </w:t>
      </w:r>
      <w:r w:rsidR="002D5BB0" w:rsidRPr="00222917">
        <w:rPr>
          <w:iCs/>
          <w:lang w:val="en-US"/>
        </w:rPr>
        <w:t xml:space="preserve">Registration, etc. of Periodicals Act </w:t>
      </w:r>
      <w:r w:rsidR="002D5BB0" w:rsidRPr="00222917">
        <w:rPr>
          <w:lang w:val="en-US"/>
        </w:rPr>
        <w:t xml:space="preserve">was separated and enacted as a new law named the </w:t>
      </w:r>
      <w:r w:rsidR="002D5BB0" w:rsidRPr="00222917">
        <w:rPr>
          <w:iCs/>
          <w:lang w:val="en-US"/>
        </w:rPr>
        <w:t>Act on Press Arbitration and Remedies, etc. for Damage Caused by Press Reports.</w:t>
      </w:r>
      <w:r w:rsidR="002D5BB0" w:rsidRPr="00222917">
        <w:rPr>
          <w:lang w:val="en-US"/>
        </w:rPr>
        <w:t xml:space="preserve"> This Act prescribes provisions for requests for the news of counter-argument, requirements for and procedures to exercise correction reports, compensation for damages, and recommendation for remedies. </w:t>
      </w:r>
    </w:p>
    <w:p w:rsidR="002D5BB0" w:rsidRPr="00222917" w:rsidRDefault="007E6F46" w:rsidP="007E6F46">
      <w:pPr>
        <w:pStyle w:val="H1G"/>
        <w:rPr>
          <w:lang w:val="en-US"/>
        </w:rPr>
      </w:pPr>
      <w:bookmarkStart w:id="229" w:name="_Toc307504136"/>
      <w:bookmarkStart w:id="230" w:name="_Toc336435908"/>
      <w:r w:rsidRPr="00222917">
        <w:rPr>
          <w:lang w:val="en-US"/>
        </w:rPr>
        <w:tab/>
      </w:r>
      <w:r w:rsidRPr="00222917">
        <w:rPr>
          <w:lang w:val="en-US"/>
        </w:rPr>
        <w:tab/>
      </w:r>
      <w:r w:rsidR="002D5BB0" w:rsidRPr="00222917">
        <w:rPr>
          <w:lang w:val="en-US"/>
        </w:rPr>
        <w:t>Paragraph 3</w:t>
      </w:r>
      <w:bookmarkEnd w:id="229"/>
      <w:bookmarkEnd w:id="230"/>
    </w:p>
    <w:p w:rsidR="002D5BB0" w:rsidRPr="00222917" w:rsidRDefault="00547908" w:rsidP="00547908">
      <w:pPr>
        <w:pStyle w:val="SingleTxtG"/>
        <w:rPr>
          <w:lang w:val="en-US"/>
        </w:rPr>
      </w:pPr>
      <w:r w:rsidRPr="00222917">
        <w:rPr>
          <w:lang w:val="en-US"/>
        </w:rPr>
        <w:t>284.</w:t>
      </w:r>
      <w:r w:rsidRPr="00222917">
        <w:rPr>
          <w:lang w:val="en-US"/>
        </w:rPr>
        <w:tab/>
      </w:r>
      <w:r w:rsidR="002D5BB0" w:rsidRPr="00222917">
        <w:rPr>
          <w:lang w:val="en-US"/>
        </w:rPr>
        <w:t xml:space="preserve">Under the </w:t>
      </w:r>
      <w:r w:rsidR="002D5BB0" w:rsidRPr="0043215C">
        <w:rPr>
          <w:iCs/>
          <w:lang w:val="en-US"/>
        </w:rPr>
        <w:t>Juvenile Protection Act</w:t>
      </w:r>
      <w:r w:rsidR="002D5BB0" w:rsidRPr="00222917">
        <w:rPr>
          <w:lang w:val="en-US"/>
        </w:rPr>
        <w:t xml:space="preserve">, the system for media materials harmful to youth is introduced to protect juveniles and guarantee freedom of expression. Matters pertaining to deletion of the provisions related to homosexuality from the </w:t>
      </w:r>
      <w:r w:rsidR="002D5BB0" w:rsidRPr="000850F5">
        <w:rPr>
          <w:iCs/>
          <w:lang w:val="en-US"/>
        </w:rPr>
        <w:t>Enforcement Decree</w:t>
      </w:r>
      <w:r w:rsidR="002D5BB0" w:rsidRPr="00222917">
        <w:rPr>
          <w:lang w:val="en-US"/>
        </w:rPr>
        <w:t xml:space="preserve"> of the Act are as stated in the third report (CCP</w:t>
      </w:r>
      <w:r w:rsidR="007E6F46" w:rsidRPr="00222917">
        <w:rPr>
          <w:lang w:val="en-US"/>
        </w:rPr>
        <w:t>R/C/KOR/2005/3, paras. 298-</w:t>
      </w:r>
      <w:r w:rsidR="002D5BB0" w:rsidRPr="00222917">
        <w:rPr>
          <w:lang w:val="en-US"/>
        </w:rPr>
        <w:t>301).</w:t>
      </w:r>
    </w:p>
    <w:p w:rsidR="002D5BB0" w:rsidRPr="00222917" w:rsidRDefault="007E6F46" w:rsidP="007E6F46">
      <w:pPr>
        <w:pStyle w:val="H23G"/>
        <w:rPr>
          <w:lang w:val="en-US"/>
        </w:rPr>
      </w:pPr>
      <w:bookmarkStart w:id="231" w:name="_Toc307504137"/>
      <w:bookmarkStart w:id="232" w:name="_Toc336435909"/>
      <w:r w:rsidRPr="00222917">
        <w:rPr>
          <w:lang w:val="en-US"/>
        </w:rPr>
        <w:tab/>
      </w:r>
      <w:r w:rsidRPr="00222917">
        <w:rPr>
          <w:lang w:val="en-US"/>
        </w:rPr>
        <w:tab/>
      </w:r>
      <w:r w:rsidR="002D5BB0" w:rsidRPr="00222917">
        <w:rPr>
          <w:lang w:val="en-US"/>
        </w:rPr>
        <w:t>National Security Act and Restrictions on the Freedom of Expression</w:t>
      </w:r>
      <w:bookmarkEnd w:id="231"/>
      <w:bookmarkEnd w:id="232"/>
    </w:p>
    <w:p w:rsidR="002D5BB0" w:rsidRPr="00222917" w:rsidRDefault="00547908" w:rsidP="00547908">
      <w:pPr>
        <w:pStyle w:val="SingleTxtG"/>
        <w:rPr>
          <w:lang w:val="en-US"/>
        </w:rPr>
      </w:pPr>
      <w:r w:rsidRPr="00222917">
        <w:rPr>
          <w:lang w:val="en-US"/>
        </w:rPr>
        <w:t>285.</w:t>
      </w:r>
      <w:r w:rsidRPr="00222917">
        <w:rPr>
          <w:lang w:val="en-US"/>
        </w:rPr>
        <w:tab/>
      </w:r>
      <w:r w:rsidR="002D5BB0" w:rsidRPr="00222917">
        <w:rPr>
          <w:lang w:val="en-US"/>
        </w:rPr>
        <w:t>The Committee expressed concerns over the conti</w:t>
      </w:r>
      <w:r w:rsidR="00A94611" w:rsidRPr="00222917">
        <w:rPr>
          <w:lang w:val="en-US"/>
        </w:rPr>
        <w:t xml:space="preserve">nued prosecutions under </w:t>
      </w:r>
      <w:r w:rsidR="00D53C1B" w:rsidRPr="00222917">
        <w:rPr>
          <w:lang w:val="en-US"/>
        </w:rPr>
        <w:t>a</w:t>
      </w:r>
      <w:r w:rsidR="00A94611" w:rsidRPr="00222917">
        <w:rPr>
          <w:lang w:val="en-US"/>
        </w:rPr>
        <w:t>rticle </w:t>
      </w:r>
      <w:r w:rsidR="002D5BB0" w:rsidRPr="00222917">
        <w:rPr>
          <w:lang w:val="en-US"/>
        </w:rPr>
        <w:t xml:space="preserve">7 of the </w:t>
      </w:r>
      <w:r w:rsidR="002D5BB0" w:rsidRPr="00222917">
        <w:rPr>
          <w:iCs/>
          <w:lang w:val="en-US"/>
        </w:rPr>
        <w:t>National Security Act</w:t>
      </w:r>
      <w:r w:rsidR="002D5BB0" w:rsidRPr="00222917">
        <w:rPr>
          <w:lang w:val="en-US"/>
        </w:rPr>
        <w:t xml:space="preserve">, and recommended as a matter of urgency that the restrictions placed on the freedom of expression and punishment in relation thereto under </w:t>
      </w:r>
      <w:r w:rsidR="00D53C1B" w:rsidRPr="00222917">
        <w:rPr>
          <w:lang w:val="en-US"/>
        </w:rPr>
        <w:t>a</w:t>
      </w:r>
      <w:r w:rsidR="002D5BB0" w:rsidRPr="00222917">
        <w:rPr>
          <w:lang w:val="en-US"/>
        </w:rPr>
        <w:t xml:space="preserve">rticle 7 of the </w:t>
      </w:r>
      <w:r w:rsidR="002D5BB0" w:rsidRPr="00222917">
        <w:rPr>
          <w:iCs/>
          <w:lang w:val="en-US"/>
        </w:rPr>
        <w:t xml:space="preserve">National Security Act </w:t>
      </w:r>
      <w:r w:rsidR="002D5BB0" w:rsidRPr="00222917">
        <w:rPr>
          <w:lang w:val="en-US"/>
        </w:rPr>
        <w:t>be compatible w</w:t>
      </w:r>
      <w:r w:rsidR="00A94611" w:rsidRPr="00222917">
        <w:rPr>
          <w:lang w:val="en-US"/>
        </w:rPr>
        <w:t xml:space="preserve">ith the requirements of </w:t>
      </w:r>
      <w:r w:rsidR="00D53C1B" w:rsidRPr="00222917">
        <w:rPr>
          <w:lang w:val="en-US"/>
        </w:rPr>
        <w:t>a</w:t>
      </w:r>
      <w:r w:rsidR="00A94611" w:rsidRPr="00222917">
        <w:rPr>
          <w:lang w:val="en-US"/>
        </w:rPr>
        <w:t>rticle </w:t>
      </w:r>
      <w:r w:rsidR="002D5BB0" w:rsidRPr="00222917">
        <w:rPr>
          <w:lang w:val="en-US"/>
        </w:rPr>
        <w:t>19</w:t>
      </w:r>
      <w:r w:rsidR="00B65D59">
        <w:rPr>
          <w:lang w:val="en-US"/>
        </w:rPr>
        <w:t>, paragraph</w:t>
      </w:r>
      <w:r w:rsidR="00D53C1B" w:rsidRPr="00222917">
        <w:rPr>
          <w:lang w:val="en-US"/>
        </w:rPr>
        <w:t xml:space="preserve"> </w:t>
      </w:r>
      <w:r w:rsidR="002D5BB0" w:rsidRPr="00222917">
        <w:rPr>
          <w:lang w:val="en-US"/>
        </w:rPr>
        <w:t>3</w:t>
      </w:r>
      <w:r w:rsidR="00B65D59">
        <w:rPr>
          <w:lang w:val="en-US"/>
        </w:rPr>
        <w:t>,</w:t>
      </w:r>
      <w:r w:rsidR="002D5BB0" w:rsidRPr="00222917">
        <w:rPr>
          <w:lang w:val="en-US"/>
        </w:rPr>
        <w:t xml:space="preserve"> of the Covenan</w:t>
      </w:r>
      <w:r w:rsidR="007E6F46" w:rsidRPr="00222917">
        <w:rPr>
          <w:lang w:val="en-US"/>
        </w:rPr>
        <w:t>t (CCPR/C/KOR/CO/3, para. </w:t>
      </w:r>
      <w:r w:rsidR="002D5BB0" w:rsidRPr="00222917">
        <w:rPr>
          <w:lang w:val="en-US"/>
        </w:rPr>
        <w:t xml:space="preserve">18). </w:t>
      </w:r>
    </w:p>
    <w:p w:rsidR="002D5BB0" w:rsidRPr="00222917" w:rsidRDefault="00547908" w:rsidP="00547908">
      <w:pPr>
        <w:pStyle w:val="SingleTxtG"/>
        <w:rPr>
          <w:lang w:val="en-US"/>
        </w:rPr>
      </w:pPr>
      <w:r w:rsidRPr="00222917">
        <w:rPr>
          <w:lang w:val="en-US"/>
        </w:rPr>
        <w:t>286.</w:t>
      </w:r>
      <w:r w:rsidRPr="00222917">
        <w:rPr>
          <w:lang w:val="en-US"/>
        </w:rPr>
        <w:tab/>
      </w:r>
      <w:r w:rsidR="002D5BB0" w:rsidRPr="00222917">
        <w:rPr>
          <w:lang w:val="en-US"/>
        </w:rPr>
        <w:t>As stated in the third re</w:t>
      </w:r>
      <w:r w:rsidR="007E6F46" w:rsidRPr="00222917">
        <w:rPr>
          <w:lang w:val="en-US"/>
        </w:rPr>
        <w:t>port (CCPR/C/KOR/2005/3, paras. </w:t>
      </w:r>
      <w:r w:rsidR="002D5BB0" w:rsidRPr="00222917">
        <w:rPr>
          <w:lang w:val="en-US"/>
        </w:rPr>
        <w:t>290</w:t>
      </w:r>
      <w:r w:rsidR="007E6F46" w:rsidRPr="00222917">
        <w:rPr>
          <w:lang w:val="en-US"/>
        </w:rPr>
        <w:t xml:space="preserve"> and 291, 294-</w:t>
      </w:r>
      <w:r w:rsidR="002D5BB0" w:rsidRPr="00222917">
        <w:rPr>
          <w:lang w:val="en-US"/>
        </w:rPr>
        <w:t xml:space="preserve">296), the </w:t>
      </w:r>
      <w:r w:rsidR="002D5BB0" w:rsidRPr="00222917">
        <w:rPr>
          <w:iCs/>
          <w:lang w:val="en-US"/>
        </w:rPr>
        <w:t xml:space="preserve">National Security Act </w:t>
      </w:r>
      <w:r w:rsidR="002D5BB0" w:rsidRPr="00222917">
        <w:rPr>
          <w:lang w:val="en-US"/>
        </w:rPr>
        <w:t xml:space="preserve">is applied in accordance with the strict criteria for interpretation thereof by the </w:t>
      </w:r>
      <w:smartTag w:uri="urn:schemas-microsoft-com:office:smarttags" w:element="Street">
        <w:smartTag w:uri="urn:schemas-microsoft-com:office:smarttags" w:element="address">
          <w:r w:rsidR="002D5BB0" w:rsidRPr="00222917">
            <w:rPr>
              <w:lang w:val="en-US"/>
            </w:rPr>
            <w:t>Constitutional Court</w:t>
          </w:r>
        </w:smartTag>
      </w:smartTag>
      <w:r w:rsidR="002D5BB0" w:rsidRPr="00222917">
        <w:rPr>
          <w:lang w:val="en-US"/>
        </w:rPr>
        <w:t xml:space="preserve">. </w:t>
      </w:r>
    </w:p>
    <w:p w:rsidR="002D5BB0" w:rsidRPr="00222917" w:rsidRDefault="002E76E8" w:rsidP="002E76E8">
      <w:pPr>
        <w:pStyle w:val="H23G"/>
        <w:rPr>
          <w:b w:val="0"/>
          <w:sz w:val="16"/>
          <w:szCs w:val="16"/>
          <w:lang w:val="en-US"/>
        </w:rPr>
      </w:pPr>
      <w:r w:rsidRPr="00222917">
        <w:rPr>
          <w:lang w:val="en-US"/>
        </w:rPr>
        <w:tab/>
      </w:r>
      <w:r w:rsidRPr="00222917">
        <w:rPr>
          <w:lang w:val="en-US"/>
        </w:rPr>
        <w:tab/>
      </w:r>
      <w:r w:rsidR="002D5BB0" w:rsidRPr="00222917">
        <w:rPr>
          <w:lang w:val="en-US"/>
        </w:rPr>
        <w:t xml:space="preserve">Results of Cases under the </w:t>
      </w:r>
      <w:r w:rsidR="002D5BB0" w:rsidRPr="00222917">
        <w:rPr>
          <w:i/>
          <w:lang w:val="en-US"/>
        </w:rPr>
        <w:t>National Security Act</w:t>
      </w:r>
      <w:r w:rsidRPr="00222917">
        <w:rPr>
          <w:i/>
          <w:lang w:val="en-US"/>
        </w:rPr>
        <w:br/>
      </w:r>
      <w:r w:rsidR="002D5BB0" w:rsidRPr="00222917">
        <w:rPr>
          <w:b w:val="0"/>
          <w:sz w:val="16"/>
          <w:szCs w:val="16"/>
          <w:lang w:val="en-US"/>
        </w:rPr>
        <w:t>(In persons)</w:t>
      </w:r>
    </w:p>
    <w:tbl>
      <w:tblPr>
        <w:tblW w:w="0" w:type="auto"/>
        <w:tblInd w:w="1134" w:type="dxa"/>
        <w:tblBorders>
          <w:top w:val="single" w:sz="4" w:space="0" w:color="auto"/>
        </w:tblBorders>
        <w:tblLayout w:type="fixed"/>
        <w:tblCellMar>
          <w:left w:w="0" w:type="dxa"/>
          <w:right w:w="0" w:type="dxa"/>
        </w:tblCellMar>
        <w:tblLook w:val="00A0"/>
      </w:tblPr>
      <w:tblGrid>
        <w:gridCol w:w="1247"/>
        <w:gridCol w:w="1021"/>
        <w:gridCol w:w="1021"/>
        <w:gridCol w:w="1021"/>
        <w:gridCol w:w="1021"/>
        <w:gridCol w:w="1021"/>
        <w:gridCol w:w="1021"/>
      </w:tblGrid>
      <w:tr w:rsidR="008F6543" w:rsidRPr="00222917" w:rsidTr="0033610E">
        <w:trPr>
          <w:tblHeader/>
        </w:trPr>
        <w:tc>
          <w:tcPr>
            <w:tcW w:w="1247"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33610E">
            <w:pPr>
              <w:pStyle w:val="SingleTxtG"/>
              <w:suppressAutoHyphens w:val="0"/>
              <w:spacing w:before="80" w:after="80" w:line="200" w:lineRule="exact"/>
              <w:ind w:left="0" w:right="0"/>
              <w:jc w:val="left"/>
              <w:rPr>
                <w:i/>
                <w:sz w:val="16"/>
                <w:lang w:val="en-US"/>
              </w:rPr>
            </w:pPr>
            <w:r w:rsidRPr="00222917">
              <w:rPr>
                <w:i/>
                <w:sz w:val="16"/>
                <w:lang w:val="en-US"/>
              </w:rPr>
              <w:t>Year</w:t>
            </w:r>
          </w:p>
        </w:tc>
        <w:tc>
          <w:tcPr>
            <w:tcW w:w="1021"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33610E">
            <w:pPr>
              <w:pStyle w:val="SingleTxtG"/>
              <w:suppressAutoHyphens w:val="0"/>
              <w:spacing w:before="80" w:after="80" w:line="200" w:lineRule="exact"/>
              <w:ind w:left="0" w:right="0"/>
              <w:jc w:val="right"/>
              <w:rPr>
                <w:i/>
                <w:sz w:val="16"/>
                <w:lang w:val="en-US"/>
              </w:rPr>
            </w:pPr>
            <w:r w:rsidRPr="00222917">
              <w:rPr>
                <w:bCs/>
                <w:i/>
                <w:sz w:val="16"/>
                <w:lang w:val="en-US"/>
              </w:rPr>
              <w:t>2005</w:t>
            </w:r>
          </w:p>
        </w:tc>
        <w:tc>
          <w:tcPr>
            <w:tcW w:w="1021"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33610E">
            <w:pPr>
              <w:pStyle w:val="SingleTxtG"/>
              <w:suppressAutoHyphens w:val="0"/>
              <w:spacing w:before="80" w:after="80" w:line="200" w:lineRule="exact"/>
              <w:ind w:left="0" w:right="0"/>
              <w:jc w:val="right"/>
              <w:rPr>
                <w:i/>
                <w:sz w:val="16"/>
                <w:lang w:val="en-US"/>
              </w:rPr>
            </w:pPr>
            <w:r w:rsidRPr="00222917">
              <w:rPr>
                <w:bCs/>
                <w:i/>
                <w:sz w:val="16"/>
                <w:lang w:val="en-US"/>
              </w:rPr>
              <w:t>2006</w:t>
            </w:r>
          </w:p>
        </w:tc>
        <w:tc>
          <w:tcPr>
            <w:tcW w:w="1021"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33610E">
            <w:pPr>
              <w:pStyle w:val="SingleTxtG"/>
              <w:suppressAutoHyphens w:val="0"/>
              <w:spacing w:before="80" w:after="80" w:line="200" w:lineRule="exact"/>
              <w:ind w:left="0" w:right="0"/>
              <w:jc w:val="right"/>
              <w:rPr>
                <w:i/>
                <w:sz w:val="16"/>
                <w:lang w:val="en-US"/>
              </w:rPr>
            </w:pPr>
            <w:r w:rsidRPr="00222917">
              <w:rPr>
                <w:bCs/>
                <w:i/>
                <w:sz w:val="16"/>
                <w:lang w:val="en-US"/>
              </w:rPr>
              <w:t>2007</w:t>
            </w:r>
          </w:p>
        </w:tc>
        <w:tc>
          <w:tcPr>
            <w:tcW w:w="1021"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33610E">
            <w:pPr>
              <w:pStyle w:val="SingleTxtG"/>
              <w:suppressAutoHyphens w:val="0"/>
              <w:spacing w:before="80" w:after="80" w:line="200" w:lineRule="exact"/>
              <w:ind w:left="0" w:right="0"/>
              <w:jc w:val="right"/>
              <w:rPr>
                <w:i/>
                <w:sz w:val="16"/>
                <w:lang w:val="en-US"/>
              </w:rPr>
            </w:pPr>
            <w:r w:rsidRPr="00222917">
              <w:rPr>
                <w:bCs/>
                <w:i/>
                <w:sz w:val="16"/>
                <w:lang w:val="en-US"/>
              </w:rPr>
              <w:t>2008</w:t>
            </w:r>
          </w:p>
        </w:tc>
        <w:tc>
          <w:tcPr>
            <w:tcW w:w="1021"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33610E">
            <w:pPr>
              <w:pStyle w:val="SingleTxtG"/>
              <w:suppressAutoHyphens w:val="0"/>
              <w:spacing w:before="80" w:after="80" w:line="200" w:lineRule="exact"/>
              <w:ind w:left="0" w:right="0"/>
              <w:jc w:val="right"/>
              <w:rPr>
                <w:i/>
                <w:sz w:val="16"/>
                <w:lang w:val="en-US"/>
              </w:rPr>
            </w:pPr>
            <w:r w:rsidRPr="00222917">
              <w:rPr>
                <w:bCs/>
                <w:i/>
                <w:sz w:val="16"/>
                <w:lang w:val="en-US"/>
              </w:rPr>
              <w:t>2009</w:t>
            </w:r>
          </w:p>
        </w:tc>
        <w:tc>
          <w:tcPr>
            <w:tcW w:w="1021"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33610E">
            <w:pPr>
              <w:pStyle w:val="SingleTxtG"/>
              <w:suppressAutoHyphens w:val="0"/>
              <w:spacing w:before="80" w:after="80" w:line="200" w:lineRule="exact"/>
              <w:ind w:left="0" w:right="0"/>
              <w:jc w:val="right"/>
              <w:rPr>
                <w:i/>
                <w:sz w:val="16"/>
                <w:lang w:val="en-US"/>
              </w:rPr>
            </w:pPr>
            <w:r w:rsidRPr="00222917">
              <w:rPr>
                <w:bCs/>
                <w:i/>
                <w:sz w:val="16"/>
                <w:lang w:val="en-US"/>
              </w:rPr>
              <w:t>2010</w:t>
            </w:r>
          </w:p>
        </w:tc>
      </w:tr>
      <w:tr w:rsidR="008F6543" w:rsidRPr="00222917" w:rsidTr="00332D79">
        <w:tc>
          <w:tcPr>
            <w:tcW w:w="1247" w:type="dxa"/>
            <w:tcBorders>
              <w:top w:val="single" w:sz="12" w:space="0" w:color="auto"/>
            </w:tcBorders>
            <w:shd w:val="clear" w:color="auto" w:fill="auto"/>
            <w:tcMar>
              <w:top w:w="0" w:type="dxa"/>
              <w:left w:w="0" w:type="dxa"/>
              <w:bottom w:w="0" w:type="dxa"/>
              <w:right w:w="0" w:type="dxa"/>
            </w:tcMar>
          </w:tcPr>
          <w:p w:rsidR="002D5BB0" w:rsidRPr="00222917" w:rsidRDefault="002D5BB0" w:rsidP="0033610E">
            <w:pPr>
              <w:pStyle w:val="SingleTxtG"/>
              <w:suppressAutoHyphens w:val="0"/>
              <w:spacing w:before="40" w:after="40" w:line="220" w:lineRule="exact"/>
              <w:ind w:left="0" w:right="0"/>
              <w:jc w:val="left"/>
              <w:rPr>
                <w:sz w:val="18"/>
                <w:lang w:val="en-US"/>
              </w:rPr>
            </w:pPr>
            <w:r w:rsidRPr="00222917">
              <w:rPr>
                <w:sz w:val="18"/>
                <w:lang w:val="en-US"/>
              </w:rPr>
              <w:t>Booked</w:t>
            </w:r>
          </w:p>
        </w:tc>
        <w:tc>
          <w:tcPr>
            <w:tcW w:w="1021" w:type="dxa"/>
            <w:tcBorders>
              <w:top w:val="single" w:sz="12" w:space="0" w:color="auto"/>
            </w:tcBorders>
            <w:shd w:val="clear" w:color="auto" w:fill="auto"/>
            <w:tcMar>
              <w:top w:w="0" w:type="dxa"/>
              <w:left w:w="0" w:type="dxa"/>
              <w:bottom w:w="0" w:type="dxa"/>
              <w:right w:w="0" w:type="dxa"/>
            </w:tcMar>
            <w:vAlign w:val="bottom"/>
          </w:tcPr>
          <w:p w:rsidR="002D5BB0" w:rsidRPr="00222917" w:rsidRDefault="002D5BB0" w:rsidP="0033610E">
            <w:pPr>
              <w:pStyle w:val="SingleTxtG"/>
              <w:suppressAutoHyphens w:val="0"/>
              <w:spacing w:before="40" w:after="40" w:line="220" w:lineRule="exact"/>
              <w:ind w:left="0" w:right="0"/>
              <w:jc w:val="right"/>
              <w:rPr>
                <w:sz w:val="18"/>
                <w:lang w:val="en-US"/>
              </w:rPr>
            </w:pPr>
            <w:r w:rsidRPr="00222917">
              <w:rPr>
                <w:sz w:val="18"/>
                <w:lang w:val="en-US"/>
              </w:rPr>
              <w:t>64</w:t>
            </w:r>
          </w:p>
        </w:tc>
        <w:tc>
          <w:tcPr>
            <w:tcW w:w="1021" w:type="dxa"/>
            <w:tcBorders>
              <w:top w:val="single" w:sz="12" w:space="0" w:color="auto"/>
            </w:tcBorders>
            <w:shd w:val="clear" w:color="auto" w:fill="auto"/>
            <w:tcMar>
              <w:top w:w="0" w:type="dxa"/>
              <w:left w:w="0" w:type="dxa"/>
              <w:bottom w:w="0" w:type="dxa"/>
              <w:right w:w="0" w:type="dxa"/>
            </w:tcMar>
            <w:vAlign w:val="bottom"/>
          </w:tcPr>
          <w:p w:rsidR="002D5BB0" w:rsidRPr="00222917" w:rsidRDefault="002D5BB0" w:rsidP="0033610E">
            <w:pPr>
              <w:pStyle w:val="SingleTxtG"/>
              <w:suppressAutoHyphens w:val="0"/>
              <w:spacing w:before="40" w:after="40" w:line="220" w:lineRule="exact"/>
              <w:ind w:left="0" w:right="0"/>
              <w:jc w:val="right"/>
              <w:rPr>
                <w:sz w:val="18"/>
                <w:lang w:val="en-US"/>
              </w:rPr>
            </w:pPr>
            <w:r w:rsidRPr="00222917">
              <w:rPr>
                <w:sz w:val="18"/>
                <w:lang w:val="en-US"/>
              </w:rPr>
              <w:t>62</w:t>
            </w:r>
          </w:p>
        </w:tc>
        <w:tc>
          <w:tcPr>
            <w:tcW w:w="1021" w:type="dxa"/>
            <w:tcBorders>
              <w:top w:val="single" w:sz="12" w:space="0" w:color="auto"/>
            </w:tcBorders>
            <w:shd w:val="clear" w:color="auto" w:fill="auto"/>
            <w:tcMar>
              <w:top w:w="0" w:type="dxa"/>
              <w:left w:w="0" w:type="dxa"/>
              <w:bottom w:w="0" w:type="dxa"/>
              <w:right w:w="0" w:type="dxa"/>
            </w:tcMar>
            <w:vAlign w:val="bottom"/>
          </w:tcPr>
          <w:p w:rsidR="002D5BB0" w:rsidRPr="00222917" w:rsidRDefault="002D5BB0" w:rsidP="0033610E">
            <w:pPr>
              <w:pStyle w:val="SingleTxtG"/>
              <w:suppressAutoHyphens w:val="0"/>
              <w:spacing w:before="40" w:after="40" w:line="220" w:lineRule="exact"/>
              <w:ind w:left="0" w:right="0"/>
              <w:jc w:val="right"/>
              <w:rPr>
                <w:sz w:val="18"/>
                <w:lang w:val="en-US"/>
              </w:rPr>
            </w:pPr>
            <w:r w:rsidRPr="00222917">
              <w:rPr>
                <w:sz w:val="18"/>
                <w:lang w:val="en-US"/>
              </w:rPr>
              <w:t>64</w:t>
            </w:r>
          </w:p>
        </w:tc>
        <w:tc>
          <w:tcPr>
            <w:tcW w:w="1021" w:type="dxa"/>
            <w:tcBorders>
              <w:top w:val="single" w:sz="12" w:space="0" w:color="auto"/>
            </w:tcBorders>
            <w:shd w:val="clear" w:color="auto" w:fill="auto"/>
            <w:tcMar>
              <w:top w:w="0" w:type="dxa"/>
              <w:left w:w="0" w:type="dxa"/>
              <w:bottom w:w="0" w:type="dxa"/>
              <w:right w:w="0" w:type="dxa"/>
            </w:tcMar>
            <w:vAlign w:val="bottom"/>
          </w:tcPr>
          <w:p w:rsidR="002D5BB0" w:rsidRPr="00222917" w:rsidRDefault="002D5BB0" w:rsidP="0033610E">
            <w:pPr>
              <w:pStyle w:val="SingleTxtG"/>
              <w:suppressAutoHyphens w:val="0"/>
              <w:spacing w:before="40" w:after="40" w:line="220" w:lineRule="exact"/>
              <w:ind w:left="0" w:right="0"/>
              <w:jc w:val="right"/>
              <w:rPr>
                <w:sz w:val="18"/>
                <w:lang w:val="en-US"/>
              </w:rPr>
            </w:pPr>
            <w:r w:rsidRPr="00222917">
              <w:rPr>
                <w:sz w:val="18"/>
                <w:lang w:val="en-US"/>
              </w:rPr>
              <w:t>46</w:t>
            </w:r>
          </w:p>
        </w:tc>
        <w:tc>
          <w:tcPr>
            <w:tcW w:w="1021" w:type="dxa"/>
            <w:tcBorders>
              <w:top w:val="single" w:sz="12" w:space="0" w:color="auto"/>
            </w:tcBorders>
            <w:shd w:val="clear" w:color="auto" w:fill="auto"/>
            <w:tcMar>
              <w:top w:w="0" w:type="dxa"/>
              <w:left w:w="0" w:type="dxa"/>
              <w:bottom w:w="0" w:type="dxa"/>
              <w:right w:w="0" w:type="dxa"/>
            </w:tcMar>
            <w:vAlign w:val="bottom"/>
          </w:tcPr>
          <w:p w:rsidR="002D5BB0" w:rsidRPr="00222917" w:rsidRDefault="002D5BB0" w:rsidP="0033610E">
            <w:pPr>
              <w:pStyle w:val="SingleTxtG"/>
              <w:suppressAutoHyphens w:val="0"/>
              <w:spacing w:before="40" w:after="40" w:line="220" w:lineRule="exact"/>
              <w:ind w:left="0" w:right="0"/>
              <w:jc w:val="right"/>
              <w:rPr>
                <w:sz w:val="18"/>
                <w:lang w:val="en-US"/>
              </w:rPr>
            </w:pPr>
            <w:r w:rsidRPr="00222917">
              <w:rPr>
                <w:sz w:val="18"/>
                <w:lang w:val="en-US"/>
              </w:rPr>
              <w:t>57</w:t>
            </w:r>
          </w:p>
        </w:tc>
        <w:tc>
          <w:tcPr>
            <w:tcW w:w="1021" w:type="dxa"/>
            <w:tcBorders>
              <w:top w:val="single" w:sz="12" w:space="0" w:color="auto"/>
            </w:tcBorders>
            <w:shd w:val="clear" w:color="auto" w:fill="auto"/>
            <w:tcMar>
              <w:top w:w="0" w:type="dxa"/>
              <w:left w:w="0" w:type="dxa"/>
              <w:bottom w:w="0" w:type="dxa"/>
              <w:right w:w="0" w:type="dxa"/>
            </w:tcMar>
            <w:vAlign w:val="bottom"/>
          </w:tcPr>
          <w:p w:rsidR="002D5BB0" w:rsidRPr="00222917" w:rsidRDefault="002D5BB0" w:rsidP="0033610E">
            <w:pPr>
              <w:pStyle w:val="SingleTxtG"/>
              <w:suppressAutoHyphens w:val="0"/>
              <w:spacing w:before="40" w:after="40" w:line="220" w:lineRule="exact"/>
              <w:ind w:left="0" w:right="0"/>
              <w:jc w:val="right"/>
              <w:rPr>
                <w:sz w:val="18"/>
                <w:lang w:val="en-US"/>
              </w:rPr>
            </w:pPr>
            <w:r w:rsidRPr="00222917">
              <w:rPr>
                <w:sz w:val="18"/>
                <w:lang w:val="en-US"/>
              </w:rPr>
              <w:t>97</w:t>
            </w:r>
          </w:p>
        </w:tc>
      </w:tr>
      <w:tr w:rsidR="008F6543" w:rsidRPr="00222917" w:rsidTr="00332D79">
        <w:tc>
          <w:tcPr>
            <w:tcW w:w="1247" w:type="dxa"/>
            <w:shd w:val="clear" w:color="auto" w:fill="auto"/>
            <w:tcMar>
              <w:top w:w="0" w:type="dxa"/>
              <w:left w:w="0" w:type="dxa"/>
              <w:bottom w:w="0" w:type="dxa"/>
              <w:right w:w="0" w:type="dxa"/>
            </w:tcMar>
          </w:tcPr>
          <w:p w:rsidR="002D5BB0" w:rsidRPr="00222917" w:rsidRDefault="002D5BB0" w:rsidP="0033610E">
            <w:pPr>
              <w:pStyle w:val="SingleTxtG"/>
              <w:suppressAutoHyphens w:val="0"/>
              <w:spacing w:before="40" w:after="40" w:line="220" w:lineRule="exact"/>
              <w:ind w:left="0" w:right="0"/>
              <w:jc w:val="left"/>
              <w:rPr>
                <w:sz w:val="18"/>
                <w:lang w:val="en-US"/>
              </w:rPr>
            </w:pPr>
            <w:r w:rsidRPr="00222917">
              <w:rPr>
                <w:sz w:val="18"/>
                <w:lang w:val="en-US"/>
              </w:rPr>
              <w:t>Imprisoned</w:t>
            </w:r>
          </w:p>
        </w:tc>
        <w:tc>
          <w:tcPr>
            <w:tcW w:w="1021" w:type="dxa"/>
            <w:shd w:val="clear" w:color="auto" w:fill="auto"/>
            <w:tcMar>
              <w:top w:w="0" w:type="dxa"/>
              <w:left w:w="0" w:type="dxa"/>
              <w:bottom w:w="0" w:type="dxa"/>
              <w:right w:w="0" w:type="dxa"/>
            </w:tcMar>
            <w:vAlign w:val="bottom"/>
          </w:tcPr>
          <w:p w:rsidR="002D5BB0" w:rsidRPr="00222917" w:rsidRDefault="002D5BB0" w:rsidP="0033610E">
            <w:pPr>
              <w:pStyle w:val="SingleTxtG"/>
              <w:suppressAutoHyphens w:val="0"/>
              <w:spacing w:before="40" w:after="40" w:line="220" w:lineRule="exact"/>
              <w:ind w:left="0" w:right="0"/>
              <w:jc w:val="right"/>
              <w:rPr>
                <w:sz w:val="18"/>
                <w:lang w:val="en-US"/>
              </w:rPr>
            </w:pPr>
            <w:r w:rsidRPr="00222917">
              <w:rPr>
                <w:sz w:val="18"/>
                <w:lang w:val="en-US"/>
              </w:rPr>
              <w:t>18</w:t>
            </w:r>
          </w:p>
        </w:tc>
        <w:tc>
          <w:tcPr>
            <w:tcW w:w="1021" w:type="dxa"/>
            <w:shd w:val="clear" w:color="auto" w:fill="auto"/>
            <w:tcMar>
              <w:top w:w="0" w:type="dxa"/>
              <w:left w:w="0" w:type="dxa"/>
              <w:bottom w:w="0" w:type="dxa"/>
              <w:right w:w="0" w:type="dxa"/>
            </w:tcMar>
            <w:vAlign w:val="bottom"/>
          </w:tcPr>
          <w:p w:rsidR="002D5BB0" w:rsidRPr="00222917" w:rsidRDefault="002D5BB0" w:rsidP="0033610E">
            <w:pPr>
              <w:pStyle w:val="SingleTxtG"/>
              <w:suppressAutoHyphens w:val="0"/>
              <w:spacing w:before="40" w:after="40" w:line="220" w:lineRule="exact"/>
              <w:ind w:left="0" w:right="0"/>
              <w:jc w:val="right"/>
              <w:rPr>
                <w:sz w:val="18"/>
                <w:lang w:val="en-US"/>
              </w:rPr>
            </w:pPr>
            <w:r w:rsidRPr="00222917">
              <w:rPr>
                <w:sz w:val="18"/>
                <w:lang w:val="en-US"/>
              </w:rPr>
              <w:t>22</w:t>
            </w:r>
          </w:p>
        </w:tc>
        <w:tc>
          <w:tcPr>
            <w:tcW w:w="1021" w:type="dxa"/>
            <w:shd w:val="clear" w:color="auto" w:fill="auto"/>
            <w:tcMar>
              <w:top w:w="0" w:type="dxa"/>
              <w:left w:w="0" w:type="dxa"/>
              <w:bottom w:w="0" w:type="dxa"/>
              <w:right w:w="0" w:type="dxa"/>
            </w:tcMar>
            <w:vAlign w:val="bottom"/>
          </w:tcPr>
          <w:p w:rsidR="002D5BB0" w:rsidRPr="00222917" w:rsidRDefault="002D5BB0" w:rsidP="0033610E">
            <w:pPr>
              <w:pStyle w:val="SingleTxtG"/>
              <w:suppressAutoHyphens w:val="0"/>
              <w:spacing w:before="40" w:after="40" w:line="220" w:lineRule="exact"/>
              <w:ind w:left="0" w:right="0"/>
              <w:jc w:val="right"/>
              <w:rPr>
                <w:sz w:val="18"/>
                <w:lang w:val="en-US"/>
              </w:rPr>
            </w:pPr>
            <w:r w:rsidRPr="00222917">
              <w:rPr>
                <w:sz w:val="18"/>
                <w:lang w:val="en-US"/>
              </w:rPr>
              <w:t>17</w:t>
            </w:r>
          </w:p>
        </w:tc>
        <w:tc>
          <w:tcPr>
            <w:tcW w:w="1021" w:type="dxa"/>
            <w:shd w:val="clear" w:color="auto" w:fill="auto"/>
            <w:tcMar>
              <w:top w:w="0" w:type="dxa"/>
              <w:left w:w="0" w:type="dxa"/>
              <w:bottom w:w="0" w:type="dxa"/>
              <w:right w:w="0" w:type="dxa"/>
            </w:tcMar>
            <w:vAlign w:val="bottom"/>
          </w:tcPr>
          <w:p w:rsidR="002D5BB0" w:rsidRPr="00222917" w:rsidRDefault="002D5BB0" w:rsidP="0033610E">
            <w:pPr>
              <w:pStyle w:val="SingleTxtG"/>
              <w:suppressAutoHyphens w:val="0"/>
              <w:spacing w:before="40" w:after="40" w:line="220" w:lineRule="exact"/>
              <w:ind w:left="0" w:right="0"/>
              <w:jc w:val="right"/>
              <w:rPr>
                <w:sz w:val="18"/>
                <w:lang w:val="en-US"/>
              </w:rPr>
            </w:pPr>
            <w:r w:rsidRPr="00222917">
              <w:rPr>
                <w:sz w:val="18"/>
                <w:lang w:val="en-US"/>
              </w:rPr>
              <w:t>16</w:t>
            </w:r>
          </w:p>
        </w:tc>
        <w:tc>
          <w:tcPr>
            <w:tcW w:w="1021" w:type="dxa"/>
            <w:shd w:val="clear" w:color="auto" w:fill="auto"/>
            <w:tcMar>
              <w:top w:w="0" w:type="dxa"/>
              <w:left w:w="0" w:type="dxa"/>
              <w:bottom w:w="0" w:type="dxa"/>
              <w:right w:w="0" w:type="dxa"/>
            </w:tcMar>
            <w:vAlign w:val="bottom"/>
          </w:tcPr>
          <w:p w:rsidR="002D5BB0" w:rsidRPr="00222917" w:rsidRDefault="002D5BB0" w:rsidP="0033610E">
            <w:pPr>
              <w:pStyle w:val="SingleTxtG"/>
              <w:suppressAutoHyphens w:val="0"/>
              <w:spacing w:before="40" w:after="40" w:line="220" w:lineRule="exact"/>
              <w:ind w:left="0" w:right="0"/>
              <w:jc w:val="right"/>
              <w:rPr>
                <w:sz w:val="18"/>
                <w:lang w:val="en-US"/>
              </w:rPr>
            </w:pPr>
            <w:r w:rsidRPr="00222917">
              <w:rPr>
                <w:sz w:val="18"/>
                <w:lang w:val="en-US"/>
              </w:rPr>
              <w:t>18</w:t>
            </w:r>
          </w:p>
        </w:tc>
        <w:tc>
          <w:tcPr>
            <w:tcW w:w="1021" w:type="dxa"/>
            <w:shd w:val="clear" w:color="auto" w:fill="auto"/>
            <w:tcMar>
              <w:top w:w="0" w:type="dxa"/>
              <w:left w:w="0" w:type="dxa"/>
              <w:bottom w:w="0" w:type="dxa"/>
              <w:right w:w="0" w:type="dxa"/>
            </w:tcMar>
            <w:vAlign w:val="bottom"/>
          </w:tcPr>
          <w:p w:rsidR="002D5BB0" w:rsidRPr="00222917" w:rsidRDefault="002D5BB0" w:rsidP="0033610E">
            <w:pPr>
              <w:pStyle w:val="SingleTxtG"/>
              <w:suppressAutoHyphens w:val="0"/>
              <w:spacing w:before="40" w:after="40" w:line="220" w:lineRule="exact"/>
              <w:ind w:left="0" w:right="0"/>
              <w:jc w:val="right"/>
              <w:rPr>
                <w:sz w:val="18"/>
                <w:lang w:val="en-US"/>
              </w:rPr>
            </w:pPr>
            <w:r w:rsidRPr="00222917">
              <w:rPr>
                <w:sz w:val="18"/>
                <w:lang w:val="en-US"/>
              </w:rPr>
              <w:t>32</w:t>
            </w:r>
          </w:p>
        </w:tc>
      </w:tr>
      <w:tr w:rsidR="008F6543" w:rsidRPr="00222917" w:rsidTr="00332D79">
        <w:tc>
          <w:tcPr>
            <w:tcW w:w="1247" w:type="dxa"/>
            <w:shd w:val="clear" w:color="auto" w:fill="auto"/>
            <w:tcMar>
              <w:top w:w="0" w:type="dxa"/>
              <w:left w:w="0" w:type="dxa"/>
              <w:bottom w:w="0" w:type="dxa"/>
              <w:right w:w="0" w:type="dxa"/>
            </w:tcMar>
          </w:tcPr>
          <w:p w:rsidR="002D5BB0" w:rsidRPr="00222917" w:rsidRDefault="002D5BB0" w:rsidP="0033610E">
            <w:pPr>
              <w:pStyle w:val="SingleTxtG"/>
              <w:suppressAutoHyphens w:val="0"/>
              <w:spacing w:before="40" w:after="40" w:line="220" w:lineRule="exact"/>
              <w:ind w:left="0" w:right="0"/>
              <w:jc w:val="left"/>
              <w:rPr>
                <w:sz w:val="18"/>
                <w:lang w:val="en-US"/>
              </w:rPr>
            </w:pPr>
            <w:r w:rsidRPr="00222917">
              <w:rPr>
                <w:sz w:val="18"/>
                <w:lang w:val="en-US"/>
              </w:rPr>
              <w:t>Prosecuted</w:t>
            </w:r>
          </w:p>
        </w:tc>
        <w:tc>
          <w:tcPr>
            <w:tcW w:w="1021" w:type="dxa"/>
            <w:shd w:val="clear" w:color="auto" w:fill="auto"/>
            <w:tcMar>
              <w:top w:w="0" w:type="dxa"/>
              <w:left w:w="0" w:type="dxa"/>
              <w:bottom w:w="0" w:type="dxa"/>
              <w:right w:w="0" w:type="dxa"/>
            </w:tcMar>
            <w:vAlign w:val="bottom"/>
          </w:tcPr>
          <w:p w:rsidR="002D5BB0" w:rsidRPr="00222917" w:rsidRDefault="002D5BB0" w:rsidP="0033610E">
            <w:pPr>
              <w:pStyle w:val="SingleTxtG"/>
              <w:suppressAutoHyphens w:val="0"/>
              <w:spacing w:before="40" w:after="40" w:line="220" w:lineRule="exact"/>
              <w:ind w:left="0" w:right="0"/>
              <w:jc w:val="right"/>
              <w:rPr>
                <w:sz w:val="18"/>
                <w:lang w:val="en-US"/>
              </w:rPr>
            </w:pPr>
            <w:r w:rsidRPr="00222917">
              <w:rPr>
                <w:sz w:val="18"/>
                <w:lang w:val="en-US"/>
              </w:rPr>
              <w:t>47</w:t>
            </w:r>
          </w:p>
        </w:tc>
        <w:tc>
          <w:tcPr>
            <w:tcW w:w="1021" w:type="dxa"/>
            <w:shd w:val="clear" w:color="auto" w:fill="auto"/>
            <w:tcMar>
              <w:top w:w="0" w:type="dxa"/>
              <w:left w:w="0" w:type="dxa"/>
              <w:bottom w:w="0" w:type="dxa"/>
              <w:right w:w="0" w:type="dxa"/>
            </w:tcMar>
            <w:vAlign w:val="bottom"/>
          </w:tcPr>
          <w:p w:rsidR="002D5BB0" w:rsidRPr="00222917" w:rsidRDefault="002D5BB0" w:rsidP="0033610E">
            <w:pPr>
              <w:pStyle w:val="SingleTxtG"/>
              <w:suppressAutoHyphens w:val="0"/>
              <w:spacing w:before="40" w:after="40" w:line="220" w:lineRule="exact"/>
              <w:ind w:left="0" w:right="0"/>
              <w:jc w:val="right"/>
              <w:rPr>
                <w:sz w:val="18"/>
                <w:lang w:val="en-US"/>
              </w:rPr>
            </w:pPr>
            <w:r w:rsidRPr="00222917">
              <w:rPr>
                <w:sz w:val="18"/>
                <w:lang w:val="en-US"/>
              </w:rPr>
              <w:t>38</w:t>
            </w:r>
          </w:p>
        </w:tc>
        <w:tc>
          <w:tcPr>
            <w:tcW w:w="1021" w:type="dxa"/>
            <w:shd w:val="clear" w:color="auto" w:fill="auto"/>
            <w:tcMar>
              <w:top w:w="0" w:type="dxa"/>
              <w:left w:w="0" w:type="dxa"/>
              <w:bottom w:w="0" w:type="dxa"/>
              <w:right w:w="0" w:type="dxa"/>
            </w:tcMar>
            <w:vAlign w:val="bottom"/>
          </w:tcPr>
          <w:p w:rsidR="002D5BB0" w:rsidRPr="00222917" w:rsidRDefault="002D5BB0" w:rsidP="0033610E">
            <w:pPr>
              <w:pStyle w:val="SingleTxtG"/>
              <w:suppressAutoHyphens w:val="0"/>
              <w:spacing w:before="40" w:after="40" w:line="220" w:lineRule="exact"/>
              <w:ind w:left="0" w:right="0"/>
              <w:jc w:val="right"/>
              <w:rPr>
                <w:sz w:val="18"/>
                <w:lang w:val="en-US"/>
              </w:rPr>
            </w:pPr>
            <w:r w:rsidRPr="00222917">
              <w:rPr>
                <w:sz w:val="18"/>
                <w:lang w:val="en-US"/>
              </w:rPr>
              <w:t>40</w:t>
            </w:r>
          </w:p>
        </w:tc>
        <w:tc>
          <w:tcPr>
            <w:tcW w:w="1021" w:type="dxa"/>
            <w:shd w:val="clear" w:color="auto" w:fill="auto"/>
            <w:tcMar>
              <w:top w:w="0" w:type="dxa"/>
              <w:left w:w="0" w:type="dxa"/>
              <w:bottom w:w="0" w:type="dxa"/>
              <w:right w:w="0" w:type="dxa"/>
            </w:tcMar>
            <w:vAlign w:val="bottom"/>
          </w:tcPr>
          <w:p w:rsidR="002D5BB0" w:rsidRPr="00222917" w:rsidRDefault="002D5BB0" w:rsidP="0033610E">
            <w:pPr>
              <w:pStyle w:val="SingleTxtG"/>
              <w:suppressAutoHyphens w:val="0"/>
              <w:spacing w:before="40" w:after="40" w:line="220" w:lineRule="exact"/>
              <w:ind w:left="0" w:right="0"/>
              <w:jc w:val="right"/>
              <w:rPr>
                <w:sz w:val="18"/>
                <w:lang w:val="en-US"/>
              </w:rPr>
            </w:pPr>
            <w:r w:rsidRPr="00222917">
              <w:rPr>
                <w:sz w:val="18"/>
                <w:lang w:val="en-US"/>
              </w:rPr>
              <w:t>32</w:t>
            </w:r>
          </w:p>
        </w:tc>
        <w:tc>
          <w:tcPr>
            <w:tcW w:w="1021" w:type="dxa"/>
            <w:shd w:val="clear" w:color="auto" w:fill="auto"/>
            <w:tcMar>
              <w:top w:w="0" w:type="dxa"/>
              <w:left w:w="0" w:type="dxa"/>
              <w:bottom w:w="0" w:type="dxa"/>
              <w:right w:w="0" w:type="dxa"/>
            </w:tcMar>
            <w:vAlign w:val="bottom"/>
          </w:tcPr>
          <w:p w:rsidR="002D5BB0" w:rsidRPr="00222917" w:rsidRDefault="002D5BB0" w:rsidP="0033610E">
            <w:pPr>
              <w:pStyle w:val="SingleTxtG"/>
              <w:suppressAutoHyphens w:val="0"/>
              <w:spacing w:before="40" w:after="40" w:line="220" w:lineRule="exact"/>
              <w:ind w:left="0" w:right="0"/>
              <w:jc w:val="right"/>
              <w:rPr>
                <w:sz w:val="18"/>
                <w:lang w:val="en-US"/>
              </w:rPr>
            </w:pPr>
            <w:r w:rsidRPr="00222917">
              <w:rPr>
                <w:sz w:val="18"/>
                <w:lang w:val="en-US"/>
              </w:rPr>
              <w:t>43</w:t>
            </w:r>
          </w:p>
        </w:tc>
        <w:tc>
          <w:tcPr>
            <w:tcW w:w="1021" w:type="dxa"/>
            <w:shd w:val="clear" w:color="auto" w:fill="auto"/>
            <w:tcMar>
              <w:top w:w="0" w:type="dxa"/>
              <w:left w:w="0" w:type="dxa"/>
              <w:bottom w:w="0" w:type="dxa"/>
              <w:right w:w="0" w:type="dxa"/>
            </w:tcMar>
            <w:vAlign w:val="bottom"/>
          </w:tcPr>
          <w:p w:rsidR="002D5BB0" w:rsidRPr="00222917" w:rsidRDefault="002D5BB0" w:rsidP="0033610E">
            <w:pPr>
              <w:pStyle w:val="SingleTxtG"/>
              <w:suppressAutoHyphens w:val="0"/>
              <w:spacing w:before="40" w:after="40" w:line="220" w:lineRule="exact"/>
              <w:ind w:left="0" w:right="0"/>
              <w:jc w:val="right"/>
              <w:rPr>
                <w:sz w:val="18"/>
                <w:lang w:val="en-US"/>
              </w:rPr>
            </w:pPr>
            <w:r w:rsidRPr="00222917">
              <w:rPr>
                <w:sz w:val="18"/>
                <w:lang w:val="en-US"/>
              </w:rPr>
              <w:t>52</w:t>
            </w:r>
          </w:p>
        </w:tc>
      </w:tr>
      <w:tr w:rsidR="008F6543" w:rsidRPr="00222917" w:rsidTr="00332D79">
        <w:tc>
          <w:tcPr>
            <w:tcW w:w="1247" w:type="dxa"/>
            <w:shd w:val="clear" w:color="auto" w:fill="auto"/>
            <w:tcMar>
              <w:top w:w="0" w:type="dxa"/>
              <w:left w:w="0" w:type="dxa"/>
              <w:bottom w:w="0" w:type="dxa"/>
              <w:right w:w="0" w:type="dxa"/>
            </w:tcMar>
          </w:tcPr>
          <w:p w:rsidR="002D5BB0" w:rsidRPr="00222917" w:rsidRDefault="002D5BB0" w:rsidP="0033610E">
            <w:pPr>
              <w:pStyle w:val="SingleTxtG"/>
              <w:suppressAutoHyphens w:val="0"/>
              <w:spacing w:before="40" w:after="40" w:line="220" w:lineRule="exact"/>
              <w:ind w:left="0" w:right="0"/>
              <w:jc w:val="left"/>
              <w:rPr>
                <w:sz w:val="18"/>
                <w:lang w:val="en-US"/>
              </w:rPr>
            </w:pPr>
            <w:r w:rsidRPr="00222917">
              <w:rPr>
                <w:sz w:val="18"/>
                <w:lang w:val="en-US"/>
              </w:rPr>
              <w:t>Not prosecuted</w:t>
            </w:r>
          </w:p>
        </w:tc>
        <w:tc>
          <w:tcPr>
            <w:tcW w:w="1021" w:type="dxa"/>
            <w:shd w:val="clear" w:color="auto" w:fill="auto"/>
            <w:tcMar>
              <w:top w:w="0" w:type="dxa"/>
              <w:left w:w="0" w:type="dxa"/>
              <w:bottom w:w="0" w:type="dxa"/>
              <w:right w:w="0" w:type="dxa"/>
            </w:tcMar>
            <w:vAlign w:val="bottom"/>
          </w:tcPr>
          <w:p w:rsidR="002D5BB0" w:rsidRPr="00222917" w:rsidRDefault="002D5BB0" w:rsidP="0033610E">
            <w:pPr>
              <w:pStyle w:val="SingleTxtG"/>
              <w:suppressAutoHyphens w:val="0"/>
              <w:spacing w:before="40" w:after="40" w:line="220" w:lineRule="exact"/>
              <w:ind w:left="0" w:right="0"/>
              <w:jc w:val="right"/>
              <w:rPr>
                <w:sz w:val="18"/>
                <w:lang w:val="en-US"/>
              </w:rPr>
            </w:pPr>
            <w:r w:rsidRPr="00222917">
              <w:rPr>
                <w:sz w:val="18"/>
                <w:lang w:val="en-US"/>
              </w:rPr>
              <w:t>28</w:t>
            </w:r>
          </w:p>
        </w:tc>
        <w:tc>
          <w:tcPr>
            <w:tcW w:w="1021" w:type="dxa"/>
            <w:shd w:val="clear" w:color="auto" w:fill="auto"/>
            <w:tcMar>
              <w:top w:w="0" w:type="dxa"/>
              <w:left w:w="0" w:type="dxa"/>
              <w:bottom w:w="0" w:type="dxa"/>
              <w:right w:w="0" w:type="dxa"/>
            </w:tcMar>
            <w:vAlign w:val="bottom"/>
          </w:tcPr>
          <w:p w:rsidR="002D5BB0" w:rsidRPr="00222917" w:rsidRDefault="002D5BB0" w:rsidP="0033610E">
            <w:pPr>
              <w:pStyle w:val="SingleTxtG"/>
              <w:suppressAutoHyphens w:val="0"/>
              <w:spacing w:before="40" w:after="40" w:line="220" w:lineRule="exact"/>
              <w:ind w:left="0" w:right="0"/>
              <w:jc w:val="right"/>
              <w:rPr>
                <w:sz w:val="18"/>
                <w:lang w:val="en-US"/>
              </w:rPr>
            </w:pPr>
            <w:r w:rsidRPr="00222917">
              <w:rPr>
                <w:sz w:val="18"/>
                <w:lang w:val="en-US"/>
              </w:rPr>
              <w:t>28</w:t>
            </w:r>
          </w:p>
        </w:tc>
        <w:tc>
          <w:tcPr>
            <w:tcW w:w="1021" w:type="dxa"/>
            <w:shd w:val="clear" w:color="auto" w:fill="auto"/>
            <w:tcMar>
              <w:top w:w="0" w:type="dxa"/>
              <w:left w:w="0" w:type="dxa"/>
              <w:bottom w:w="0" w:type="dxa"/>
              <w:right w:w="0" w:type="dxa"/>
            </w:tcMar>
            <w:vAlign w:val="bottom"/>
          </w:tcPr>
          <w:p w:rsidR="002D5BB0" w:rsidRPr="00222917" w:rsidRDefault="002D5BB0" w:rsidP="0033610E">
            <w:pPr>
              <w:pStyle w:val="SingleTxtG"/>
              <w:suppressAutoHyphens w:val="0"/>
              <w:spacing w:before="40" w:after="40" w:line="220" w:lineRule="exact"/>
              <w:ind w:left="0" w:right="0"/>
              <w:jc w:val="right"/>
              <w:rPr>
                <w:sz w:val="18"/>
                <w:lang w:val="en-US"/>
              </w:rPr>
            </w:pPr>
            <w:r w:rsidRPr="00222917">
              <w:rPr>
                <w:sz w:val="18"/>
                <w:lang w:val="en-US"/>
              </w:rPr>
              <w:t>35</w:t>
            </w:r>
          </w:p>
        </w:tc>
        <w:tc>
          <w:tcPr>
            <w:tcW w:w="1021" w:type="dxa"/>
            <w:shd w:val="clear" w:color="auto" w:fill="auto"/>
            <w:tcMar>
              <w:top w:w="0" w:type="dxa"/>
              <w:left w:w="0" w:type="dxa"/>
              <w:bottom w:w="0" w:type="dxa"/>
              <w:right w:w="0" w:type="dxa"/>
            </w:tcMar>
            <w:vAlign w:val="bottom"/>
          </w:tcPr>
          <w:p w:rsidR="002D5BB0" w:rsidRPr="00222917" w:rsidRDefault="002D5BB0" w:rsidP="0033610E">
            <w:pPr>
              <w:pStyle w:val="SingleTxtG"/>
              <w:suppressAutoHyphens w:val="0"/>
              <w:spacing w:before="40" w:after="40" w:line="220" w:lineRule="exact"/>
              <w:ind w:left="0" w:right="0"/>
              <w:jc w:val="right"/>
              <w:rPr>
                <w:sz w:val="18"/>
                <w:lang w:val="en-US"/>
              </w:rPr>
            </w:pPr>
            <w:r w:rsidRPr="00222917">
              <w:rPr>
                <w:sz w:val="18"/>
                <w:lang w:val="en-US"/>
              </w:rPr>
              <w:t>12</w:t>
            </w:r>
          </w:p>
        </w:tc>
        <w:tc>
          <w:tcPr>
            <w:tcW w:w="1021" w:type="dxa"/>
            <w:shd w:val="clear" w:color="auto" w:fill="auto"/>
            <w:tcMar>
              <w:top w:w="0" w:type="dxa"/>
              <w:left w:w="0" w:type="dxa"/>
              <w:bottom w:w="0" w:type="dxa"/>
              <w:right w:w="0" w:type="dxa"/>
            </w:tcMar>
            <w:vAlign w:val="bottom"/>
          </w:tcPr>
          <w:p w:rsidR="002D5BB0" w:rsidRPr="00222917" w:rsidRDefault="002D5BB0" w:rsidP="0033610E">
            <w:pPr>
              <w:pStyle w:val="SingleTxtG"/>
              <w:suppressAutoHyphens w:val="0"/>
              <w:spacing w:before="40" w:after="40" w:line="220" w:lineRule="exact"/>
              <w:ind w:left="0" w:right="0"/>
              <w:jc w:val="right"/>
              <w:rPr>
                <w:sz w:val="18"/>
                <w:lang w:val="en-US"/>
              </w:rPr>
            </w:pPr>
            <w:r w:rsidRPr="00222917">
              <w:rPr>
                <w:sz w:val="18"/>
                <w:lang w:val="en-US"/>
              </w:rPr>
              <w:t>13</w:t>
            </w:r>
          </w:p>
        </w:tc>
        <w:tc>
          <w:tcPr>
            <w:tcW w:w="1021" w:type="dxa"/>
            <w:shd w:val="clear" w:color="auto" w:fill="auto"/>
            <w:tcMar>
              <w:top w:w="0" w:type="dxa"/>
              <w:left w:w="0" w:type="dxa"/>
              <w:bottom w:w="0" w:type="dxa"/>
              <w:right w:w="0" w:type="dxa"/>
            </w:tcMar>
            <w:vAlign w:val="bottom"/>
          </w:tcPr>
          <w:p w:rsidR="002D5BB0" w:rsidRPr="00222917" w:rsidRDefault="002D5BB0" w:rsidP="0033610E">
            <w:pPr>
              <w:pStyle w:val="SingleTxtG"/>
              <w:suppressAutoHyphens w:val="0"/>
              <w:spacing w:before="40" w:after="40" w:line="220" w:lineRule="exact"/>
              <w:ind w:left="0" w:right="0"/>
              <w:jc w:val="right"/>
              <w:rPr>
                <w:sz w:val="18"/>
                <w:lang w:val="en-US"/>
              </w:rPr>
            </w:pPr>
            <w:r w:rsidRPr="00222917">
              <w:rPr>
                <w:sz w:val="18"/>
                <w:lang w:val="en-US"/>
              </w:rPr>
              <w:t>21</w:t>
            </w:r>
          </w:p>
        </w:tc>
      </w:tr>
      <w:tr w:rsidR="008F6543" w:rsidRPr="00222917" w:rsidTr="00332D79">
        <w:tc>
          <w:tcPr>
            <w:tcW w:w="1247" w:type="dxa"/>
            <w:tcBorders>
              <w:bottom w:val="single" w:sz="12" w:space="0" w:color="auto"/>
            </w:tcBorders>
            <w:shd w:val="clear" w:color="auto" w:fill="auto"/>
            <w:tcMar>
              <w:top w:w="0" w:type="dxa"/>
              <w:left w:w="0" w:type="dxa"/>
              <w:bottom w:w="0" w:type="dxa"/>
              <w:right w:w="0" w:type="dxa"/>
            </w:tcMar>
          </w:tcPr>
          <w:p w:rsidR="002D5BB0" w:rsidRPr="00222917" w:rsidRDefault="002D5BB0" w:rsidP="0033610E">
            <w:pPr>
              <w:pStyle w:val="SingleTxtG"/>
              <w:suppressAutoHyphens w:val="0"/>
              <w:spacing w:before="40" w:after="40" w:line="220" w:lineRule="exact"/>
              <w:ind w:left="0" w:right="0"/>
              <w:jc w:val="left"/>
              <w:rPr>
                <w:sz w:val="18"/>
                <w:lang w:val="en-US"/>
              </w:rPr>
            </w:pPr>
            <w:r w:rsidRPr="00222917">
              <w:rPr>
                <w:sz w:val="18"/>
                <w:lang w:val="en-US"/>
              </w:rPr>
              <w:t>Unresolved</w:t>
            </w:r>
          </w:p>
        </w:tc>
        <w:tc>
          <w:tcPr>
            <w:tcW w:w="1021" w:type="dxa"/>
            <w:tcBorders>
              <w:bottom w:val="single" w:sz="12" w:space="0" w:color="auto"/>
            </w:tcBorders>
            <w:shd w:val="clear" w:color="auto" w:fill="auto"/>
            <w:tcMar>
              <w:top w:w="0" w:type="dxa"/>
              <w:left w:w="0" w:type="dxa"/>
              <w:bottom w:w="0" w:type="dxa"/>
              <w:right w:w="0" w:type="dxa"/>
            </w:tcMar>
            <w:vAlign w:val="bottom"/>
          </w:tcPr>
          <w:p w:rsidR="002D5BB0" w:rsidRPr="00222917" w:rsidRDefault="002D5BB0" w:rsidP="0033610E">
            <w:pPr>
              <w:pStyle w:val="SingleTxtG"/>
              <w:suppressAutoHyphens w:val="0"/>
              <w:spacing w:before="40" w:after="40" w:line="220" w:lineRule="exact"/>
              <w:ind w:left="0" w:right="0"/>
              <w:jc w:val="right"/>
              <w:rPr>
                <w:sz w:val="18"/>
                <w:lang w:val="en-US"/>
              </w:rPr>
            </w:pPr>
            <w:r w:rsidRPr="00222917">
              <w:rPr>
                <w:sz w:val="18"/>
                <w:lang w:val="en-US"/>
              </w:rPr>
              <w:t>25</w:t>
            </w:r>
          </w:p>
        </w:tc>
        <w:tc>
          <w:tcPr>
            <w:tcW w:w="1021" w:type="dxa"/>
            <w:tcBorders>
              <w:bottom w:val="single" w:sz="12" w:space="0" w:color="auto"/>
            </w:tcBorders>
            <w:shd w:val="clear" w:color="auto" w:fill="auto"/>
            <w:tcMar>
              <w:top w:w="0" w:type="dxa"/>
              <w:left w:w="0" w:type="dxa"/>
              <w:bottom w:w="0" w:type="dxa"/>
              <w:right w:w="0" w:type="dxa"/>
            </w:tcMar>
            <w:vAlign w:val="bottom"/>
          </w:tcPr>
          <w:p w:rsidR="002D5BB0" w:rsidRPr="00222917" w:rsidRDefault="002D5BB0" w:rsidP="0033610E">
            <w:pPr>
              <w:pStyle w:val="SingleTxtG"/>
              <w:suppressAutoHyphens w:val="0"/>
              <w:spacing w:before="40" w:after="40" w:line="220" w:lineRule="exact"/>
              <w:ind w:left="0" w:right="0"/>
              <w:jc w:val="right"/>
              <w:rPr>
                <w:sz w:val="18"/>
                <w:lang w:val="en-US"/>
              </w:rPr>
            </w:pPr>
            <w:r w:rsidRPr="00222917">
              <w:rPr>
                <w:sz w:val="18"/>
                <w:lang w:val="en-US"/>
              </w:rPr>
              <w:t>21</w:t>
            </w:r>
          </w:p>
        </w:tc>
        <w:tc>
          <w:tcPr>
            <w:tcW w:w="1021" w:type="dxa"/>
            <w:tcBorders>
              <w:bottom w:val="single" w:sz="12" w:space="0" w:color="auto"/>
            </w:tcBorders>
            <w:shd w:val="clear" w:color="auto" w:fill="auto"/>
            <w:tcMar>
              <w:top w:w="0" w:type="dxa"/>
              <w:left w:w="0" w:type="dxa"/>
              <w:bottom w:w="0" w:type="dxa"/>
              <w:right w:w="0" w:type="dxa"/>
            </w:tcMar>
            <w:vAlign w:val="bottom"/>
          </w:tcPr>
          <w:p w:rsidR="002D5BB0" w:rsidRPr="00222917" w:rsidRDefault="002D5BB0" w:rsidP="0033610E">
            <w:pPr>
              <w:pStyle w:val="SingleTxtG"/>
              <w:suppressAutoHyphens w:val="0"/>
              <w:spacing w:before="40" w:after="40" w:line="220" w:lineRule="exact"/>
              <w:ind w:left="0" w:right="0"/>
              <w:jc w:val="right"/>
              <w:rPr>
                <w:sz w:val="18"/>
                <w:lang w:val="en-US"/>
              </w:rPr>
            </w:pPr>
            <w:r w:rsidRPr="00222917">
              <w:rPr>
                <w:sz w:val="18"/>
                <w:lang w:val="en-US"/>
              </w:rPr>
              <w:t>10</w:t>
            </w:r>
          </w:p>
        </w:tc>
        <w:tc>
          <w:tcPr>
            <w:tcW w:w="1021" w:type="dxa"/>
            <w:tcBorders>
              <w:bottom w:val="single" w:sz="12" w:space="0" w:color="auto"/>
            </w:tcBorders>
            <w:shd w:val="clear" w:color="auto" w:fill="auto"/>
            <w:tcMar>
              <w:top w:w="0" w:type="dxa"/>
              <w:left w:w="0" w:type="dxa"/>
              <w:bottom w:w="0" w:type="dxa"/>
              <w:right w:w="0" w:type="dxa"/>
            </w:tcMar>
            <w:vAlign w:val="bottom"/>
          </w:tcPr>
          <w:p w:rsidR="002D5BB0" w:rsidRPr="00222917" w:rsidRDefault="002D5BB0" w:rsidP="0033610E">
            <w:pPr>
              <w:pStyle w:val="SingleTxtG"/>
              <w:suppressAutoHyphens w:val="0"/>
              <w:spacing w:before="40" w:after="40" w:line="220" w:lineRule="exact"/>
              <w:ind w:left="0" w:right="0"/>
              <w:jc w:val="right"/>
              <w:rPr>
                <w:sz w:val="18"/>
                <w:lang w:val="en-US"/>
              </w:rPr>
            </w:pPr>
            <w:r w:rsidRPr="00222917">
              <w:rPr>
                <w:sz w:val="18"/>
                <w:lang w:val="en-US"/>
              </w:rPr>
              <w:t>12</w:t>
            </w:r>
          </w:p>
        </w:tc>
        <w:tc>
          <w:tcPr>
            <w:tcW w:w="1021" w:type="dxa"/>
            <w:tcBorders>
              <w:bottom w:val="single" w:sz="12" w:space="0" w:color="auto"/>
            </w:tcBorders>
            <w:shd w:val="clear" w:color="auto" w:fill="auto"/>
            <w:tcMar>
              <w:top w:w="0" w:type="dxa"/>
              <w:left w:w="0" w:type="dxa"/>
              <w:bottom w:w="0" w:type="dxa"/>
              <w:right w:w="0" w:type="dxa"/>
            </w:tcMar>
            <w:vAlign w:val="bottom"/>
          </w:tcPr>
          <w:p w:rsidR="002D5BB0" w:rsidRPr="00222917" w:rsidRDefault="002D5BB0" w:rsidP="0033610E">
            <w:pPr>
              <w:pStyle w:val="SingleTxtG"/>
              <w:suppressAutoHyphens w:val="0"/>
              <w:spacing w:before="40" w:after="40" w:line="220" w:lineRule="exact"/>
              <w:ind w:left="0" w:right="0"/>
              <w:jc w:val="right"/>
              <w:rPr>
                <w:sz w:val="18"/>
                <w:lang w:val="en-US"/>
              </w:rPr>
            </w:pPr>
            <w:r w:rsidRPr="00222917">
              <w:rPr>
                <w:sz w:val="18"/>
                <w:lang w:val="en-US"/>
              </w:rPr>
              <w:t>13</w:t>
            </w:r>
          </w:p>
        </w:tc>
        <w:tc>
          <w:tcPr>
            <w:tcW w:w="1021" w:type="dxa"/>
            <w:tcBorders>
              <w:bottom w:val="single" w:sz="12" w:space="0" w:color="auto"/>
            </w:tcBorders>
            <w:shd w:val="clear" w:color="auto" w:fill="auto"/>
            <w:tcMar>
              <w:top w:w="0" w:type="dxa"/>
              <w:left w:w="0" w:type="dxa"/>
              <w:bottom w:w="0" w:type="dxa"/>
              <w:right w:w="0" w:type="dxa"/>
            </w:tcMar>
            <w:vAlign w:val="bottom"/>
          </w:tcPr>
          <w:p w:rsidR="002D5BB0" w:rsidRPr="00222917" w:rsidRDefault="002D5BB0" w:rsidP="0033610E">
            <w:pPr>
              <w:pStyle w:val="SingleTxtG"/>
              <w:suppressAutoHyphens w:val="0"/>
              <w:spacing w:before="40" w:after="40" w:line="220" w:lineRule="exact"/>
              <w:ind w:left="0" w:right="0"/>
              <w:jc w:val="right"/>
              <w:rPr>
                <w:sz w:val="18"/>
                <w:lang w:val="en-US"/>
              </w:rPr>
            </w:pPr>
            <w:r w:rsidRPr="00222917">
              <w:rPr>
                <w:sz w:val="18"/>
                <w:lang w:val="en-US"/>
              </w:rPr>
              <w:t>36</w:t>
            </w:r>
          </w:p>
        </w:tc>
      </w:tr>
    </w:tbl>
    <w:p w:rsidR="002D5BB0" w:rsidRPr="00222917" w:rsidRDefault="002E76E8" w:rsidP="00D53C1B">
      <w:pPr>
        <w:pStyle w:val="H23G"/>
        <w:rPr>
          <w:lang w:val="en-US"/>
        </w:rPr>
      </w:pPr>
      <w:bookmarkStart w:id="233" w:name="_Toc307504138"/>
      <w:bookmarkStart w:id="234" w:name="_Toc336435910"/>
      <w:r w:rsidRPr="00222917">
        <w:rPr>
          <w:lang w:val="en-US"/>
        </w:rPr>
        <w:tab/>
      </w:r>
      <w:r w:rsidRPr="00222917">
        <w:rPr>
          <w:lang w:val="en-US"/>
        </w:rPr>
        <w:tab/>
      </w:r>
      <w:r w:rsidR="002D5BB0" w:rsidRPr="00222917">
        <w:rPr>
          <w:lang w:val="en-US"/>
        </w:rPr>
        <w:t>Jurisprudence o</w:t>
      </w:r>
      <w:r w:rsidR="00A94611" w:rsidRPr="00222917">
        <w:rPr>
          <w:lang w:val="en-US"/>
        </w:rPr>
        <w:t xml:space="preserve">n the Interpretation of </w:t>
      </w:r>
      <w:r w:rsidR="00D53C1B" w:rsidRPr="00222917">
        <w:rPr>
          <w:lang w:val="en-US"/>
        </w:rPr>
        <w:t>a</w:t>
      </w:r>
      <w:r w:rsidR="00A94611" w:rsidRPr="00222917">
        <w:rPr>
          <w:lang w:val="en-US"/>
        </w:rPr>
        <w:t>rticle </w:t>
      </w:r>
      <w:r w:rsidR="002D5BB0" w:rsidRPr="00222917">
        <w:rPr>
          <w:lang w:val="en-US"/>
        </w:rPr>
        <w:t>7 of the National Security Act</w:t>
      </w:r>
      <w:bookmarkEnd w:id="233"/>
      <w:bookmarkEnd w:id="234"/>
      <w:r w:rsidR="002D5BB0" w:rsidRPr="00222917">
        <w:rPr>
          <w:lang w:val="en-US"/>
        </w:rPr>
        <w:t xml:space="preserve"> </w:t>
      </w:r>
    </w:p>
    <w:p w:rsidR="002D5BB0" w:rsidRPr="00222917" w:rsidRDefault="00547908" w:rsidP="00547908">
      <w:pPr>
        <w:pStyle w:val="SingleTxtG"/>
        <w:rPr>
          <w:lang w:val="en-US"/>
        </w:rPr>
      </w:pPr>
      <w:r w:rsidRPr="00222917">
        <w:rPr>
          <w:lang w:val="en-US"/>
        </w:rPr>
        <w:t>287.</w:t>
      </w:r>
      <w:r w:rsidRPr="00222917">
        <w:rPr>
          <w:lang w:val="en-US"/>
        </w:rPr>
        <w:tab/>
      </w:r>
      <w:r w:rsidR="002D5BB0" w:rsidRPr="00222917">
        <w:rPr>
          <w:lang w:val="en-US"/>
        </w:rPr>
        <w:t xml:space="preserve">On 26 August 2004, the Constitutional Court ruled that the risk of a broad interpretation of the </w:t>
      </w:r>
      <w:r w:rsidR="002D5BB0" w:rsidRPr="00222917">
        <w:rPr>
          <w:iCs/>
          <w:lang w:val="en-US"/>
        </w:rPr>
        <w:t xml:space="preserve">National Security Act </w:t>
      </w:r>
      <w:r w:rsidR="002D5BB0" w:rsidRPr="00222917">
        <w:rPr>
          <w:lang w:val="en-US"/>
        </w:rPr>
        <w:t>that deviates from the legislative spirit of the Act has been almost completely avoided sin</w:t>
      </w:r>
      <w:r w:rsidR="00A94611" w:rsidRPr="00222917">
        <w:rPr>
          <w:lang w:val="en-US"/>
        </w:rPr>
        <w:t xml:space="preserve">ce, unlike the old law, </w:t>
      </w:r>
      <w:r w:rsidR="00D53C1B" w:rsidRPr="00222917">
        <w:rPr>
          <w:lang w:val="en-US"/>
        </w:rPr>
        <w:t>a</w:t>
      </w:r>
      <w:r w:rsidR="00A94611" w:rsidRPr="00222917">
        <w:rPr>
          <w:lang w:val="en-US"/>
        </w:rPr>
        <w:t>rticle </w:t>
      </w:r>
      <w:r w:rsidR="002D5BB0" w:rsidRPr="00222917">
        <w:rPr>
          <w:lang w:val="en-US"/>
        </w:rPr>
        <w:t>7</w:t>
      </w:r>
      <w:r w:rsidR="00A94611" w:rsidRPr="00222917">
        <w:rPr>
          <w:lang w:val="en-US"/>
        </w:rPr>
        <w:t> </w:t>
      </w:r>
      <w:r w:rsidR="002D5BB0" w:rsidRPr="00222917">
        <w:rPr>
          <w:lang w:val="en-US"/>
        </w:rPr>
        <w:t xml:space="preserve">(1) of the current </w:t>
      </w:r>
      <w:r w:rsidR="002D5BB0" w:rsidRPr="00222917">
        <w:rPr>
          <w:iCs/>
          <w:lang w:val="en-US"/>
        </w:rPr>
        <w:t>National Security Ac</w:t>
      </w:r>
      <w:r w:rsidR="002D5BB0" w:rsidRPr="00222917">
        <w:rPr>
          <w:i/>
          <w:lang w:val="en-US"/>
        </w:rPr>
        <w:t>t</w:t>
      </w:r>
      <w:r w:rsidR="002D5BB0" w:rsidRPr="00222917">
        <w:rPr>
          <w:lang w:val="en-US"/>
        </w:rPr>
        <w:t xml:space="preserve"> includes a subjective element: “with the knowledge of the fact that it may endanger the existence and security of the State or democratic fundamental order.” As</w:t>
      </w:r>
      <w:r w:rsidR="002E76E8" w:rsidRPr="00222917">
        <w:rPr>
          <w:lang w:val="en-US"/>
        </w:rPr>
        <w:t> </w:t>
      </w:r>
      <w:r w:rsidR="002D5BB0" w:rsidRPr="00222917">
        <w:rPr>
          <w:lang w:val="en-US"/>
        </w:rPr>
        <w:t xml:space="preserve">the concepts used in </w:t>
      </w:r>
      <w:r w:rsidR="00D53C1B" w:rsidRPr="00222917">
        <w:rPr>
          <w:lang w:val="en-US"/>
        </w:rPr>
        <w:t>a</w:t>
      </w:r>
      <w:r w:rsidR="002D5BB0" w:rsidRPr="00222917">
        <w:rPr>
          <w:lang w:val="en-US"/>
        </w:rPr>
        <w:t>rticl</w:t>
      </w:r>
      <w:r w:rsidR="00202EC3" w:rsidRPr="00222917">
        <w:rPr>
          <w:lang w:val="en-US"/>
        </w:rPr>
        <w:t>e 7 </w:t>
      </w:r>
      <w:r w:rsidR="002D5BB0" w:rsidRPr="00222917">
        <w:rPr>
          <w:lang w:val="en-US"/>
        </w:rPr>
        <w:t xml:space="preserve">(1) of the current </w:t>
      </w:r>
      <w:r w:rsidR="002D5BB0" w:rsidRPr="00222917">
        <w:rPr>
          <w:iCs/>
          <w:lang w:val="en-US"/>
        </w:rPr>
        <w:t>National Security Act</w:t>
      </w:r>
      <w:r w:rsidR="002D5BB0" w:rsidRPr="00222917">
        <w:rPr>
          <w:lang w:val="en-US"/>
        </w:rPr>
        <w:t xml:space="preserve"> such as “a</w:t>
      </w:r>
      <w:r w:rsidR="00AC00BC" w:rsidRPr="00222917">
        <w:rPr>
          <w:lang w:val="en-US"/>
        </w:rPr>
        <w:t> </w:t>
      </w:r>
      <w:r w:rsidR="002D5BB0" w:rsidRPr="00222917">
        <w:rPr>
          <w:lang w:val="en-US"/>
        </w:rPr>
        <w:t>member,” “acts,” “in concert with,” or “any person who propagates or instigates a rebellion against the State” also constitute said element, the possibility of equivocality of such concepts and broadness of the scope of application have been eliminated. The</w:t>
      </w:r>
      <w:r w:rsidR="00AC00BC" w:rsidRPr="00222917">
        <w:rPr>
          <w:lang w:val="en-US"/>
        </w:rPr>
        <w:t> </w:t>
      </w:r>
      <w:r w:rsidR="002D5BB0" w:rsidRPr="00222917">
        <w:rPr>
          <w:lang w:val="en-US"/>
        </w:rPr>
        <w:t>punishment for possession of expression materials benefiting the e</w:t>
      </w:r>
      <w:r w:rsidR="00202EC3" w:rsidRPr="00222917">
        <w:rPr>
          <w:lang w:val="en-US"/>
        </w:rPr>
        <w:t xml:space="preserve">nemy of the State under </w:t>
      </w:r>
      <w:r w:rsidR="00D53C1B" w:rsidRPr="00222917">
        <w:rPr>
          <w:lang w:val="en-US"/>
        </w:rPr>
        <w:t>a</w:t>
      </w:r>
      <w:r w:rsidR="00202EC3" w:rsidRPr="00222917">
        <w:rPr>
          <w:lang w:val="en-US"/>
        </w:rPr>
        <w:t>rticle </w:t>
      </w:r>
      <w:r w:rsidR="002D5BB0" w:rsidRPr="00222917">
        <w:rPr>
          <w:lang w:val="en-US"/>
        </w:rPr>
        <w:t>7</w:t>
      </w:r>
      <w:r w:rsidR="00202EC3" w:rsidRPr="00222917">
        <w:rPr>
          <w:lang w:val="en-US"/>
        </w:rPr>
        <w:t> </w:t>
      </w:r>
      <w:r w:rsidR="002D5BB0" w:rsidRPr="00222917">
        <w:rPr>
          <w:lang w:val="en-US"/>
        </w:rPr>
        <w:t xml:space="preserve">(5) of the </w:t>
      </w:r>
      <w:r w:rsidR="002D5BB0" w:rsidRPr="00222917">
        <w:rPr>
          <w:iCs/>
          <w:lang w:val="en-US"/>
        </w:rPr>
        <w:t xml:space="preserve">National Security Act </w:t>
      </w:r>
      <w:r w:rsidR="002D5BB0" w:rsidRPr="00222917">
        <w:rPr>
          <w:lang w:val="en-US"/>
        </w:rPr>
        <w:t>is restricted to the cases where such possession is for the purpose of endangering the existence and security of the State or disrupting democratic fundamental order. The Constitutional Court also decided that the case where one possesses expression materials benefiting the enemy for the purpose of mere academic research or simple artistic activities without any danger mentioned above s</w:t>
      </w:r>
      <w:r w:rsidR="00A94611" w:rsidRPr="00222917">
        <w:rPr>
          <w:lang w:val="en-US"/>
        </w:rPr>
        <w:t xml:space="preserve">hould not be subject to </w:t>
      </w:r>
      <w:r w:rsidR="00D53C1B" w:rsidRPr="00222917">
        <w:rPr>
          <w:lang w:val="en-US"/>
        </w:rPr>
        <w:t>a</w:t>
      </w:r>
      <w:r w:rsidR="00A94611" w:rsidRPr="00222917">
        <w:rPr>
          <w:lang w:val="en-US"/>
        </w:rPr>
        <w:t>rticle 7 </w:t>
      </w:r>
      <w:r w:rsidR="002D5BB0" w:rsidRPr="00222917">
        <w:rPr>
          <w:lang w:val="en-US"/>
        </w:rPr>
        <w:t xml:space="preserve">(5) of the </w:t>
      </w:r>
      <w:r w:rsidR="002D5BB0" w:rsidRPr="00222917">
        <w:rPr>
          <w:iCs/>
          <w:lang w:val="en-US"/>
        </w:rPr>
        <w:t>National Security Act</w:t>
      </w:r>
      <w:r w:rsidR="002D5BB0" w:rsidRPr="00222917">
        <w:rPr>
          <w:lang w:val="en-US"/>
        </w:rPr>
        <w:t>.</w:t>
      </w:r>
    </w:p>
    <w:p w:rsidR="002D5BB0" w:rsidRPr="00222917" w:rsidRDefault="00547908" w:rsidP="00547908">
      <w:pPr>
        <w:pStyle w:val="SingleTxtG"/>
        <w:rPr>
          <w:lang w:val="en-US"/>
        </w:rPr>
      </w:pPr>
      <w:r w:rsidRPr="00222917">
        <w:rPr>
          <w:lang w:val="en-US"/>
        </w:rPr>
        <w:t>288.</w:t>
      </w:r>
      <w:r w:rsidRPr="00222917">
        <w:rPr>
          <w:lang w:val="en-US"/>
        </w:rPr>
        <w:tab/>
      </w:r>
      <w:r w:rsidR="002D5BB0" w:rsidRPr="00222917">
        <w:rPr>
          <w:lang w:val="en-US"/>
        </w:rPr>
        <w:t>On 24 May 2009, the Supreme Court ruled that a personal memo recorded in one’s personal notebook, even if the content thereof actively sympathizes with activities of an antinational organization, should not be regarded as expression material that one is prohibite</w:t>
      </w:r>
      <w:r w:rsidR="00E623EE" w:rsidRPr="00222917">
        <w:rPr>
          <w:lang w:val="en-US"/>
        </w:rPr>
        <w:t xml:space="preserve">d from possessing under </w:t>
      </w:r>
      <w:r w:rsidR="00D53C1B" w:rsidRPr="00222917">
        <w:rPr>
          <w:lang w:val="en-US"/>
        </w:rPr>
        <w:t>a</w:t>
      </w:r>
      <w:r w:rsidR="00E623EE" w:rsidRPr="00222917">
        <w:rPr>
          <w:lang w:val="en-US"/>
        </w:rPr>
        <w:t>rticle </w:t>
      </w:r>
      <w:r w:rsidR="002D5BB0" w:rsidRPr="00222917">
        <w:rPr>
          <w:lang w:val="en-US"/>
        </w:rPr>
        <w:t>7</w:t>
      </w:r>
      <w:r w:rsidR="00E623EE" w:rsidRPr="00222917">
        <w:rPr>
          <w:lang w:val="en-US"/>
        </w:rPr>
        <w:t> </w:t>
      </w:r>
      <w:r w:rsidR="002D5BB0" w:rsidRPr="00222917">
        <w:rPr>
          <w:lang w:val="en-US"/>
        </w:rPr>
        <w:t xml:space="preserve">(5) of the </w:t>
      </w:r>
      <w:r w:rsidR="002D5BB0" w:rsidRPr="00222917">
        <w:rPr>
          <w:iCs/>
          <w:lang w:val="en-US"/>
        </w:rPr>
        <w:t>National Security Act</w:t>
      </w:r>
      <w:r w:rsidR="002D5BB0" w:rsidRPr="00222917">
        <w:rPr>
          <w:i/>
          <w:lang w:val="en-US"/>
        </w:rPr>
        <w:t xml:space="preserve"> </w:t>
      </w:r>
      <w:r w:rsidR="002D5BB0" w:rsidRPr="00222917">
        <w:rPr>
          <w:lang w:val="en-US"/>
        </w:rPr>
        <w:t xml:space="preserve">on grounds that the personal notebook is not deemed to have been fixed in a form of documentation, and the person who possesses the notebook is not deemed to have had intentions of making it available to any third person for perusal (2009 DO 329). </w:t>
      </w:r>
    </w:p>
    <w:p w:rsidR="002D5BB0" w:rsidRPr="00222917" w:rsidRDefault="00AC00BC" w:rsidP="00AC00BC">
      <w:pPr>
        <w:pStyle w:val="H23G"/>
        <w:rPr>
          <w:lang w:val="en-US"/>
        </w:rPr>
      </w:pPr>
      <w:bookmarkStart w:id="235" w:name="_Toc307504139"/>
      <w:bookmarkStart w:id="236" w:name="_Toc336435911"/>
      <w:r w:rsidRPr="00222917">
        <w:rPr>
          <w:lang w:val="en-US"/>
        </w:rPr>
        <w:tab/>
      </w:r>
      <w:r w:rsidRPr="00222917">
        <w:rPr>
          <w:lang w:val="en-US"/>
        </w:rPr>
        <w:tab/>
      </w:r>
      <w:r w:rsidR="002D5BB0" w:rsidRPr="00222917">
        <w:rPr>
          <w:lang w:val="en-US"/>
        </w:rPr>
        <w:t>Verification of Identity of Users over the Internet</w:t>
      </w:r>
      <w:bookmarkEnd w:id="235"/>
      <w:bookmarkEnd w:id="236"/>
    </w:p>
    <w:p w:rsidR="002D5BB0" w:rsidRPr="00222917" w:rsidRDefault="00547908" w:rsidP="00547908">
      <w:pPr>
        <w:pStyle w:val="SingleTxtG"/>
        <w:rPr>
          <w:lang w:val="en-US"/>
        </w:rPr>
      </w:pPr>
      <w:r w:rsidRPr="00222917">
        <w:rPr>
          <w:lang w:val="en-US"/>
        </w:rPr>
        <w:t>289.</w:t>
      </w:r>
      <w:r w:rsidRPr="00222917">
        <w:rPr>
          <w:lang w:val="en-US"/>
        </w:rPr>
        <w:tab/>
      </w:r>
      <w:r w:rsidR="002D5BB0" w:rsidRPr="00222917">
        <w:rPr>
          <w:lang w:val="en-US"/>
        </w:rPr>
        <w:t>Anonymity originally encouraged greater use of the Internet, but it has since 2002 increasingly given rise to adverse developments, including especially a rising tide of on-line crimes and violence. Minimizing the harmful effects of anonymity on the Internet has raised the need to hold users accountable for the opinions they post on the Internet and to provide remedial measures against damages. In January 2007, after collecting opinions from and conducting a series of discussions with experts, the Government amended the</w:t>
      </w:r>
      <w:r w:rsidR="002D5BB0" w:rsidRPr="00222917">
        <w:rPr>
          <w:iCs/>
          <w:lang w:val="en-US"/>
        </w:rPr>
        <w:t xml:space="preserve"> Act on Promotion of Information and Communications Network Utilization and Information Protection, etc</w:t>
      </w:r>
      <w:r w:rsidR="002D5BB0" w:rsidRPr="00222917">
        <w:rPr>
          <w:i/>
          <w:lang w:val="en-US"/>
        </w:rPr>
        <w:t>.</w:t>
      </w:r>
      <w:r w:rsidR="002D5BB0" w:rsidRPr="00222917">
        <w:rPr>
          <w:lang w:val="en-US"/>
        </w:rPr>
        <w:t xml:space="preserve"> to establish provisions on verification of identity of message board users (</w:t>
      </w:r>
      <w:r w:rsidR="00D53C1B" w:rsidRPr="00222917">
        <w:rPr>
          <w:lang w:val="en-US"/>
        </w:rPr>
        <w:t>a</w:t>
      </w:r>
      <w:r w:rsidR="002D5BB0" w:rsidRPr="00222917">
        <w:rPr>
          <w:lang w:val="en-US"/>
        </w:rPr>
        <w:t xml:space="preserve">rticle 44-5). </w:t>
      </w:r>
    </w:p>
    <w:p w:rsidR="002D5BB0" w:rsidRPr="00222917" w:rsidRDefault="00547908" w:rsidP="00547908">
      <w:pPr>
        <w:pStyle w:val="SingleTxtG"/>
        <w:rPr>
          <w:lang w:val="en-US"/>
        </w:rPr>
      </w:pPr>
      <w:r w:rsidRPr="00222917">
        <w:rPr>
          <w:lang w:val="en-US"/>
        </w:rPr>
        <w:t>290.</w:t>
      </w:r>
      <w:r w:rsidRPr="00222917">
        <w:rPr>
          <w:lang w:val="en-US"/>
        </w:rPr>
        <w:tab/>
      </w:r>
      <w:r w:rsidR="002D5BB0" w:rsidRPr="00222917">
        <w:rPr>
          <w:lang w:val="en-US"/>
        </w:rPr>
        <w:t xml:space="preserve">Even though some domestic NGOs assert that the user identity verification system is in violation of </w:t>
      </w:r>
      <w:r w:rsidR="00AE0F13" w:rsidRPr="00222917">
        <w:rPr>
          <w:lang w:val="en-US"/>
        </w:rPr>
        <w:t>a</w:t>
      </w:r>
      <w:r w:rsidR="002D5BB0" w:rsidRPr="00222917">
        <w:rPr>
          <w:lang w:val="en-US"/>
        </w:rPr>
        <w:t>rti</w:t>
      </w:r>
      <w:r w:rsidR="00E623EE" w:rsidRPr="00222917">
        <w:rPr>
          <w:lang w:val="en-US"/>
        </w:rPr>
        <w:t xml:space="preserve">cle 19 of the ICCPR and </w:t>
      </w:r>
      <w:r w:rsidR="00AE0F13" w:rsidRPr="00222917">
        <w:rPr>
          <w:lang w:val="en-US"/>
        </w:rPr>
        <w:t>a</w:t>
      </w:r>
      <w:r w:rsidR="00E623EE" w:rsidRPr="00222917">
        <w:rPr>
          <w:lang w:val="en-US"/>
        </w:rPr>
        <w:t>rticle </w:t>
      </w:r>
      <w:r w:rsidR="002D5BB0" w:rsidRPr="00222917">
        <w:rPr>
          <w:lang w:val="en-US"/>
        </w:rPr>
        <w:t xml:space="preserve">21 (Freedom of Expression) of the Constitution, it was found that through the system, the incidence of vicious comments characterized by defamation, insults, abusive language, </w:t>
      </w:r>
      <w:r w:rsidR="006903AC" w:rsidRPr="00222917">
        <w:rPr>
          <w:lang w:val="en-US"/>
        </w:rPr>
        <w:t xml:space="preserve">and the like had fallen 12.1% by August 2007, 22.2% by February 2008, and 17.7% </w:t>
      </w:r>
      <w:r w:rsidR="002D5BB0" w:rsidRPr="00222917">
        <w:rPr>
          <w:lang w:val="en-US"/>
        </w:rPr>
        <w:t xml:space="preserve">by August 2008. Freedom of expression is not an absolute freedom. The user identity verification system over the Internet was introduced in consideration of the need to strike a balance between the legal interests of Internet users and other persons: that is, the freedom of expression of Internet users vs. protection of the right to privacy and personal rights of others. According </w:t>
      </w:r>
      <w:r w:rsidR="00E623EE" w:rsidRPr="00222917">
        <w:rPr>
          <w:lang w:val="en-US"/>
        </w:rPr>
        <w:t>to a perception survey of 2,500 </w:t>
      </w:r>
      <w:r w:rsidR="002D5BB0" w:rsidRPr="00222917">
        <w:rPr>
          <w:lang w:val="en-US"/>
        </w:rPr>
        <w:t xml:space="preserve">persons on the identity verification system for Internet message board users in December 2009 and 2010, the respondents agreed to positive impact of the user identity verification system on the self-regulation and decline of vicious comments. </w:t>
      </w:r>
    </w:p>
    <w:p w:rsidR="002D5BB0" w:rsidRPr="00222917" w:rsidRDefault="00AC00BC" w:rsidP="00AC00BC">
      <w:pPr>
        <w:pStyle w:val="H23G"/>
        <w:rPr>
          <w:b w:val="0"/>
          <w:sz w:val="16"/>
          <w:szCs w:val="16"/>
          <w:lang w:val="en-US"/>
        </w:rPr>
      </w:pPr>
      <w:r w:rsidRPr="00222917">
        <w:rPr>
          <w:lang w:val="en-US"/>
        </w:rPr>
        <w:tab/>
      </w:r>
      <w:r w:rsidRPr="00222917">
        <w:rPr>
          <w:lang w:val="en-US"/>
        </w:rPr>
        <w:tab/>
      </w:r>
      <w:r w:rsidR="002D5BB0" w:rsidRPr="00222917">
        <w:rPr>
          <w:lang w:val="en-US"/>
        </w:rPr>
        <w:t>Effectiveness Analysis for 2008: Changes in (Vicious) Comments before/</w:t>
      </w:r>
      <w:r w:rsidRPr="00222917">
        <w:rPr>
          <w:lang w:val="en-US"/>
        </w:rPr>
        <w:br/>
      </w:r>
      <w:r w:rsidR="002D5BB0" w:rsidRPr="00222917">
        <w:rPr>
          <w:lang w:val="en-US"/>
        </w:rPr>
        <w:t>after the Implementation of the User Identity Verification System</w:t>
      </w:r>
      <w:r w:rsidRPr="00222917">
        <w:rPr>
          <w:lang w:val="en-US"/>
        </w:rPr>
        <w:br/>
      </w:r>
      <w:r w:rsidR="002D5BB0" w:rsidRPr="00222917">
        <w:rPr>
          <w:b w:val="0"/>
          <w:sz w:val="16"/>
          <w:szCs w:val="16"/>
          <w:lang w:val="en-US"/>
        </w:rPr>
        <w:t>(Number of comments; percentage (%))</w:t>
      </w:r>
    </w:p>
    <w:tbl>
      <w:tblPr>
        <w:tblW w:w="0" w:type="auto"/>
        <w:tblInd w:w="1134" w:type="dxa"/>
        <w:tblBorders>
          <w:top w:val="single" w:sz="4" w:space="0" w:color="auto"/>
        </w:tblBorders>
        <w:tblLayout w:type="fixed"/>
        <w:tblCellMar>
          <w:left w:w="0" w:type="dxa"/>
          <w:right w:w="0" w:type="dxa"/>
        </w:tblCellMar>
        <w:tblLook w:val="00A0"/>
      </w:tblPr>
      <w:tblGrid>
        <w:gridCol w:w="1538"/>
        <w:gridCol w:w="6"/>
        <w:gridCol w:w="1806"/>
        <w:gridCol w:w="1340"/>
        <w:gridCol w:w="1340"/>
        <w:gridCol w:w="1340"/>
      </w:tblGrid>
      <w:tr w:rsidR="008F6543" w:rsidRPr="00222917" w:rsidTr="001C4E4C">
        <w:trPr>
          <w:tblHeader/>
        </w:trPr>
        <w:tc>
          <w:tcPr>
            <w:tcW w:w="1538" w:type="dxa"/>
            <w:tcBorders>
              <w:top w:val="single" w:sz="4" w:space="0" w:color="auto"/>
              <w:bottom w:val="nil"/>
            </w:tcBorders>
            <w:shd w:val="clear" w:color="auto" w:fill="auto"/>
            <w:tcMar>
              <w:top w:w="28" w:type="dxa"/>
              <w:left w:w="28" w:type="dxa"/>
              <w:bottom w:w="28" w:type="dxa"/>
              <w:right w:w="28" w:type="dxa"/>
            </w:tcMar>
            <w:vAlign w:val="bottom"/>
          </w:tcPr>
          <w:p w:rsidR="002D5BB0" w:rsidRPr="00222917" w:rsidRDefault="002D5BB0" w:rsidP="00202EC3">
            <w:pPr>
              <w:pStyle w:val="SingleTxtG"/>
              <w:suppressAutoHyphens w:val="0"/>
              <w:spacing w:before="80" w:after="80" w:line="200" w:lineRule="exact"/>
              <w:ind w:left="0" w:right="0"/>
              <w:jc w:val="left"/>
              <w:rPr>
                <w:i/>
                <w:sz w:val="16"/>
                <w:lang w:val="en-US"/>
              </w:rPr>
            </w:pPr>
          </w:p>
        </w:tc>
        <w:tc>
          <w:tcPr>
            <w:tcW w:w="1812" w:type="dxa"/>
            <w:gridSpan w:val="2"/>
            <w:tcBorders>
              <w:top w:val="single" w:sz="4" w:space="0" w:color="auto"/>
              <w:bottom w:val="single" w:sz="4" w:space="0" w:color="000000"/>
              <w:right w:val="single" w:sz="24" w:space="0" w:color="FFFFFF"/>
            </w:tcBorders>
            <w:shd w:val="clear" w:color="auto" w:fill="auto"/>
            <w:tcMar>
              <w:top w:w="28" w:type="dxa"/>
              <w:left w:w="28" w:type="dxa"/>
              <w:bottom w:w="28" w:type="dxa"/>
              <w:right w:w="28" w:type="dxa"/>
            </w:tcMar>
            <w:vAlign w:val="bottom"/>
          </w:tcPr>
          <w:p w:rsidR="002D5BB0" w:rsidRPr="00222917" w:rsidRDefault="002D5BB0" w:rsidP="00905F4F">
            <w:pPr>
              <w:pStyle w:val="SingleTxtG"/>
              <w:suppressAutoHyphens w:val="0"/>
              <w:spacing w:before="80" w:after="80" w:line="200" w:lineRule="exact"/>
              <w:ind w:left="0" w:right="0"/>
              <w:jc w:val="right"/>
              <w:rPr>
                <w:i/>
                <w:sz w:val="16"/>
                <w:lang w:val="en-US"/>
              </w:rPr>
            </w:pPr>
            <w:r w:rsidRPr="00222917">
              <w:rPr>
                <w:bCs/>
                <w:i/>
                <w:sz w:val="16"/>
                <w:lang w:val="en-US"/>
              </w:rPr>
              <w:t>Before implementation</w:t>
            </w:r>
          </w:p>
        </w:tc>
        <w:tc>
          <w:tcPr>
            <w:tcW w:w="4020" w:type="dxa"/>
            <w:gridSpan w:val="3"/>
            <w:tcBorders>
              <w:top w:val="single" w:sz="4" w:space="0" w:color="auto"/>
              <w:left w:val="single" w:sz="24" w:space="0" w:color="FFFFFF"/>
              <w:bottom w:val="single" w:sz="4" w:space="0" w:color="000000"/>
            </w:tcBorders>
            <w:shd w:val="clear" w:color="auto" w:fill="auto"/>
            <w:tcMar>
              <w:top w:w="28" w:type="dxa"/>
              <w:left w:w="28" w:type="dxa"/>
              <w:bottom w:w="28" w:type="dxa"/>
              <w:right w:w="28" w:type="dxa"/>
            </w:tcMar>
            <w:vAlign w:val="bottom"/>
          </w:tcPr>
          <w:p w:rsidR="002D5BB0" w:rsidRPr="00222917" w:rsidRDefault="002D5BB0" w:rsidP="00202EC3">
            <w:pPr>
              <w:pStyle w:val="SingleTxtG"/>
              <w:suppressAutoHyphens w:val="0"/>
              <w:spacing w:before="80" w:after="80" w:line="200" w:lineRule="exact"/>
              <w:ind w:left="0" w:right="0"/>
              <w:jc w:val="center"/>
              <w:rPr>
                <w:i/>
                <w:sz w:val="16"/>
                <w:lang w:val="en-US"/>
              </w:rPr>
            </w:pPr>
            <w:r w:rsidRPr="00222917">
              <w:rPr>
                <w:bCs/>
                <w:i/>
                <w:sz w:val="16"/>
                <w:lang w:val="en-US"/>
              </w:rPr>
              <w:t>After</w:t>
            </w:r>
            <w:r w:rsidRPr="00222917">
              <w:rPr>
                <w:i/>
                <w:sz w:val="16"/>
                <w:lang w:val="en-US"/>
              </w:rPr>
              <w:t xml:space="preserve"> implementation</w:t>
            </w:r>
          </w:p>
        </w:tc>
      </w:tr>
      <w:tr w:rsidR="008F6543" w:rsidRPr="00222917" w:rsidTr="001C4E4C">
        <w:tc>
          <w:tcPr>
            <w:tcW w:w="1544" w:type="dxa"/>
            <w:gridSpan w:val="2"/>
            <w:vMerge w:val="restart"/>
            <w:tcBorders>
              <w:top w:val="nil"/>
              <w:bottom w:val="nil"/>
            </w:tcBorders>
            <w:shd w:val="clear" w:color="auto" w:fill="auto"/>
            <w:vAlign w:val="bottom"/>
          </w:tcPr>
          <w:p w:rsidR="002D5BB0" w:rsidRPr="00222917" w:rsidRDefault="00202EC3" w:rsidP="00202EC3">
            <w:pPr>
              <w:pStyle w:val="SingleTxtG"/>
              <w:suppressAutoHyphens w:val="0"/>
              <w:spacing w:before="80" w:after="80" w:line="200" w:lineRule="exact"/>
              <w:ind w:left="0" w:right="0"/>
              <w:jc w:val="left"/>
              <w:rPr>
                <w:bCs/>
                <w:i/>
                <w:sz w:val="16"/>
                <w:lang w:val="en-US"/>
              </w:rPr>
            </w:pPr>
            <w:r w:rsidRPr="00222917">
              <w:rPr>
                <w:i/>
                <w:sz w:val="16"/>
                <w:lang w:val="en-US"/>
              </w:rPr>
              <w:t>Description</w:t>
            </w:r>
          </w:p>
        </w:tc>
        <w:tc>
          <w:tcPr>
            <w:tcW w:w="1806" w:type="dxa"/>
            <w:tcBorders>
              <w:top w:val="nil"/>
              <w:bottom w:val="single" w:sz="4" w:space="0" w:color="000000"/>
              <w:right w:val="single" w:sz="24" w:space="0" w:color="FFFFFF"/>
            </w:tcBorders>
            <w:shd w:val="clear" w:color="auto" w:fill="auto"/>
            <w:tcMar>
              <w:top w:w="0" w:type="dxa"/>
              <w:left w:w="0" w:type="dxa"/>
              <w:bottom w:w="0" w:type="dxa"/>
              <w:right w:w="0" w:type="dxa"/>
            </w:tcMar>
            <w:vAlign w:val="bottom"/>
          </w:tcPr>
          <w:p w:rsidR="002D5BB0" w:rsidRPr="00222917" w:rsidRDefault="002D5BB0" w:rsidP="00905F4F">
            <w:pPr>
              <w:pStyle w:val="SingleTxtG"/>
              <w:suppressAutoHyphens w:val="0"/>
              <w:spacing w:before="80" w:after="80" w:line="200" w:lineRule="exact"/>
              <w:ind w:left="0" w:right="0"/>
              <w:jc w:val="center"/>
              <w:rPr>
                <w:bCs/>
                <w:i/>
                <w:sz w:val="16"/>
                <w:lang w:val="en-US"/>
              </w:rPr>
            </w:pPr>
            <w:r w:rsidRPr="00222917">
              <w:rPr>
                <w:bCs/>
                <w:i/>
                <w:sz w:val="16"/>
                <w:lang w:val="en-US"/>
              </w:rPr>
              <w:t>May 2007</w:t>
            </w:r>
          </w:p>
        </w:tc>
        <w:tc>
          <w:tcPr>
            <w:tcW w:w="1340" w:type="dxa"/>
            <w:tcBorders>
              <w:top w:val="nil"/>
              <w:left w:val="single" w:sz="24" w:space="0" w:color="FFFFFF"/>
              <w:bottom w:val="single" w:sz="4" w:space="0" w:color="000000"/>
            </w:tcBorders>
            <w:shd w:val="clear" w:color="auto" w:fill="auto"/>
            <w:tcMar>
              <w:top w:w="0" w:type="dxa"/>
              <w:left w:w="0" w:type="dxa"/>
              <w:bottom w:w="0" w:type="dxa"/>
              <w:right w:w="0" w:type="dxa"/>
            </w:tcMar>
            <w:vAlign w:val="bottom"/>
          </w:tcPr>
          <w:p w:rsidR="002D5BB0" w:rsidRPr="00222917" w:rsidRDefault="002D5BB0" w:rsidP="00905F4F">
            <w:pPr>
              <w:pStyle w:val="SingleTxtG"/>
              <w:suppressAutoHyphens w:val="0"/>
              <w:spacing w:before="80" w:after="80" w:line="200" w:lineRule="exact"/>
              <w:ind w:left="0" w:right="0"/>
              <w:jc w:val="center"/>
              <w:rPr>
                <w:bCs/>
                <w:i/>
                <w:sz w:val="16"/>
                <w:lang w:val="en-US"/>
              </w:rPr>
            </w:pPr>
            <w:r w:rsidRPr="00222917">
              <w:rPr>
                <w:bCs/>
                <w:i/>
                <w:sz w:val="16"/>
                <w:lang w:val="en-US"/>
              </w:rPr>
              <w:t>Aug 2007</w:t>
            </w:r>
          </w:p>
        </w:tc>
        <w:tc>
          <w:tcPr>
            <w:tcW w:w="1340" w:type="dxa"/>
            <w:tcBorders>
              <w:top w:val="nil"/>
              <w:bottom w:val="single" w:sz="4" w:space="0" w:color="000000"/>
            </w:tcBorders>
            <w:shd w:val="clear" w:color="auto" w:fill="auto"/>
            <w:tcMar>
              <w:top w:w="0" w:type="dxa"/>
              <w:left w:w="0" w:type="dxa"/>
              <w:bottom w:w="0" w:type="dxa"/>
              <w:right w:w="0" w:type="dxa"/>
            </w:tcMar>
            <w:vAlign w:val="bottom"/>
          </w:tcPr>
          <w:p w:rsidR="002D5BB0" w:rsidRPr="00222917" w:rsidRDefault="002D5BB0" w:rsidP="00905F4F">
            <w:pPr>
              <w:pStyle w:val="SingleTxtG"/>
              <w:suppressAutoHyphens w:val="0"/>
              <w:spacing w:before="80" w:after="80" w:line="200" w:lineRule="exact"/>
              <w:ind w:left="0" w:right="0"/>
              <w:jc w:val="center"/>
              <w:rPr>
                <w:bCs/>
                <w:i/>
                <w:sz w:val="16"/>
                <w:lang w:val="en-US"/>
              </w:rPr>
            </w:pPr>
            <w:r w:rsidRPr="00222917">
              <w:rPr>
                <w:bCs/>
                <w:i/>
                <w:sz w:val="16"/>
                <w:lang w:val="en-US"/>
              </w:rPr>
              <w:t>Feb 2008</w:t>
            </w:r>
          </w:p>
        </w:tc>
        <w:tc>
          <w:tcPr>
            <w:tcW w:w="1340" w:type="dxa"/>
            <w:tcBorders>
              <w:top w:val="nil"/>
              <w:bottom w:val="single" w:sz="4" w:space="0" w:color="000000"/>
            </w:tcBorders>
            <w:shd w:val="clear" w:color="auto" w:fill="auto"/>
            <w:tcMar>
              <w:top w:w="0" w:type="dxa"/>
              <w:left w:w="0" w:type="dxa"/>
              <w:bottom w:w="0" w:type="dxa"/>
              <w:right w:w="0" w:type="dxa"/>
            </w:tcMar>
            <w:vAlign w:val="bottom"/>
          </w:tcPr>
          <w:p w:rsidR="002D5BB0" w:rsidRPr="00222917" w:rsidRDefault="002D5BB0" w:rsidP="00905F4F">
            <w:pPr>
              <w:pStyle w:val="SingleTxtG"/>
              <w:suppressAutoHyphens w:val="0"/>
              <w:spacing w:before="80" w:after="80" w:line="200" w:lineRule="exact"/>
              <w:ind w:left="0" w:right="0"/>
              <w:jc w:val="center"/>
              <w:rPr>
                <w:bCs/>
                <w:i/>
                <w:sz w:val="16"/>
                <w:lang w:val="en-US"/>
              </w:rPr>
            </w:pPr>
            <w:r w:rsidRPr="00222917">
              <w:rPr>
                <w:bCs/>
                <w:i/>
                <w:sz w:val="16"/>
                <w:lang w:val="en-US"/>
              </w:rPr>
              <w:t>Aug 2008</w:t>
            </w:r>
          </w:p>
        </w:tc>
      </w:tr>
      <w:tr w:rsidR="008F6543" w:rsidRPr="00222917" w:rsidTr="001C4E4C">
        <w:tc>
          <w:tcPr>
            <w:tcW w:w="1544" w:type="dxa"/>
            <w:gridSpan w:val="2"/>
            <w:vMerge/>
            <w:tcBorders>
              <w:top w:val="nil"/>
              <w:bottom w:val="nil"/>
            </w:tcBorders>
            <w:shd w:val="clear" w:color="auto" w:fill="auto"/>
          </w:tcPr>
          <w:p w:rsidR="002D5BB0" w:rsidRPr="00222917" w:rsidRDefault="002D5BB0" w:rsidP="00202EC3">
            <w:pPr>
              <w:pStyle w:val="SingleTxtG"/>
              <w:suppressAutoHyphens w:val="0"/>
              <w:spacing w:before="80" w:after="80" w:line="200" w:lineRule="exact"/>
              <w:ind w:left="0" w:right="0"/>
              <w:jc w:val="left"/>
              <w:rPr>
                <w:bCs/>
                <w:i/>
                <w:sz w:val="16"/>
                <w:lang w:val="en-US"/>
              </w:rPr>
            </w:pPr>
          </w:p>
        </w:tc>
        <w:tc>
          <w:tcPr>
            <w:tcW w:w="1806" w:type="dxa"/>
            <w:tcBorders>
              <w:top w:val="single" w:sz="4" w:space="0" w:color="000000"/>
              <w:bottom w:val="single" w:sz="12" w:space="0" w:color="000000"/>
              <w:right w:val="single" w:sz="24" w:space="0" w:color="FFFFFF"/>
            </w:tcBorders>
            <w:shd w:val="clear" w:color="auto" w:fill="auto"/>
            <w:tcMar>
              <w:top w:w="0" w:type="dxa"/>
              <w:left w:w="0" w:type="dxa"/>
              <w:bottom w:w="0" w:type="dxa"/>
              <w:right w:w="0" w:type="dxa"/>
            </w:tcMar>
            <w:vAlign w:val="bottom"/>
          </w:tcPr>
          <w:p w:rsidR="002D5BB0" w:rsidRPr="00222917" w:rsidRDefault="002D5BB0" w:rsidP="00284EE8">
            <w:pPr>
              <w:pStyle w:val="SingleTxtG"/>
              <w:suppressAutoHyphens w:val="0"/>
              <w:spacing w:before="80" w:after="80" w:line="200" w:lineRule="exact"/>
              <w:ind w:left="0" w:right="0"/>
              <w:jc w:val="center"/>
              <w:rPr>
                <w:bCs/>
                <w:i/>
                <w:sz w:val="16"/>
                <w:lang w:val="en-US"/>
              </w:rPr>
            </w:pPr>
            <w:r w:rsidRPr="00222917">
              <w:rPr>
                <w:bCs/>
                <w:i/>
                <w:sz w:val="16"/>
                <w:lang w:val="en-US"/>
              </w:rPr>
              <w:t>Number (%)</w:t>
            </w:r>
          </w:p>
        </w:tc>
        <w:tc>
          <w:tcPr>
            <w:tcW w:w="1340" w:type="dxa"/>
            <w:tcBorders>
              <w:top w:val="single" w:sz="4" w:space="0" w:color="000000"/>
              <w:left w:val="single" w:sz="24" w:space="0" w:color="FFFFFF"/>
              <w:bottom w:val="single" w:sz="12" w:space="0" w:color="000000"/>
            </w:tcBorders>
            <w:shd w:val="clear" w:color="auto" w:fill="auto"/>
            <w:tcMar>
              <w:top w:w="0" w:type="dxa"/>
              <w:left w:w="0" w:type="dxa"/>
              <w:bottom w:w="0" w:type="dxa"/>
              <w:right w:w="0" w:type="dxa"/>
            </w:tcMar>
            <w:vAlign w:val="bottom"/>
          </w:tcPr>
          <w:p w:rsidR="002D5BB0" w:rsidRPr="00222917" w:rsidRDefault="002D5BB0" w:rsidP="00284EE8">
            <w:pPr>
              <w:pStyle w:val="SingleTxtG"/>
              <w:suppressAutoHyphens w:val="0"/>
              <w:spacing w:before="80" w:after="80" w:line="200" w:lineRule="exact"/>
              <w:ind w:left="0" w:right="0"/>
              <w:jc w:val="center"/>
              <w:rPr>
                <w:bCs/>
                <w:i/>
                <w:sz w:val="16"/>
                <w:lang w:val="en-US"/>
              </w:rPr>
            </w:pPr>
            <w:r w:rsidRPr="00222917">
              <w:rPr>
                <w:bCs/>
                <w:i/>
                <w:sz w:val="16"/>
                <w:lang w:val="en-US"/>
              </w:rPr>
              <w:t>Number (%)</w:t>
            </w:r>
          </w:p>
        </w:tc>
        <w:tc>
          <w:tcPr>
            <w:tcW w:w="1340" w:type="dxa"/>
            <w:tcBorders>
              <w:top w:val="single" w:sz="4" w:space="0" w:color="000000"/>
              <w:bottom w:val="single" w:sz="12" w:space="0" w:color="000000"/>
            </w:tcBorders>
            <w:shd w:val="clear" w:color="auto" w:fill="auto"/>
            <w:tcMar>
              <w:top w:w="0" w:type="dxa"/>
              <w:left w:w="0" w:type="dxa"/>
              <w:bottom w:w="0" w:type="dxa"/>
              <w:right w:w="0" w:type="dxa"/>
            </w:tcMar>
            <w:vAlign w:val="bottom"/>
          </w:tcPr>
          <w:p w:rsidR="002D5BB0" w:rsidRPr="00222917" w:rsidRDefault="002D5BB0" w:rsidP="00284EE8">
            <w:pPr>
              <w:pStyle w:val="SingleTxtG"/>
              <w:suppressAutoHyphens w:val="0"/>
              <w:spacing w:before="80" w:after="80" w:line="200" w:lineRule="exact"/>
              <w:ind w:left="0" w:right="0"/>
              <w:jc w:val="center"/>
              <w:rPr>
                <w:bCs/>
                <w:i/>
                <w:sz w:val="16"/>
                <w:lang w:val="en-US"/>
              </w:rPr>
            </w:pPr>
            <w:r w:rsidRPr="00222917">
              <w:rPr>
                <w:bCs/>
                <w:i/>
                <w:sz w:val="16"/>
                <w:lang w:val="en-US"/>
              </w:rPr>
              <w:t>Number (%)</w:t>
            </w:r>
          </w:p>
        </w:tc>
        <w:tc>
          <w:tcPr>
            <w:tcW w:w="1340" w:type="dxa"/>
            <w:tcBorders>
              <w:top w:val="single" w:sz="4" w:space="0" w:color="000000"/>
              <w:bottom w:val="single" w:sz="12" w:space="0" w:color="000000"/>
            </w:tcBorders>
            <w:shd w:val="clear" w:color="auto" w:fill="auto"/>
            <w:tcMar>
              <w:top w:w="0" w:type="dxa"/>
              <w:left w:w="0" w:type="dxa"/>
              <w:bottom w:w="0" w:type="dxa"/>
              <w:right w:w="0" w:type="dxa"/>
            </w:tcMar>
            <w:vAlign w:val="bottom"/>
          </w:tcPr>
          <w:p w:rsidR="002D5BB0" w:rsidRPr="00222917" w:rsidRDefault="002D5BB0" w:rsidP="00284EE8">
            <w:pPr>
              <w:pStyle w:val="SingleTxtG"/>
              <w:suppressAutoHyphens w:val="0"/>
              <w:spacing w:before="80" w:after="80" w:line="200" w:lineRule="exact"/>
              <w:ind w:left="0" w:right="0"/>
              <w:jc w:val="center"/>
              <w:rPr>
                <w:bCs/>
                <w:i/>
                <w:sz w:val="16"/>
                <w:lang w:val="en-US"/>
              </w:rPr>
            </w:pPr>
            <w:r w:rsidRPr="00222917">
              <w:rPr>
                <w:bCs/>
                <w:i/>
                <w:sz w:val="16"/>
                <w:lang w:val="en-US"/>
              </w:rPr>
              <w:t>Number (%)</w:t>
            </w:r>
          </w:p>
        </w:tc>
      </w:tr>
      <w:tr w:rsidR="008F6543" w:rsidRPr="00222917" w:rsidTr="001C4E4C">
        <w:tc>
          <w:tcPr>
            <w:tcW w:w="1538" w:type="dxa"/>
            <w:tcBorders>
              <w:top w:val="single" w:sz="12" w:space="0" w:color="000000"/>
            </w:tcBorders>
            <w:shd w:val="clear" w:color="auto" w:fill="auto"/>
            <w:tcMar>
              <w:top w:w="0" w:type="dxa"/>
              <w:left w:w="0" w:type="dxa"/>
              <w:bottom w:w="0" w:type="dxa"/>
              <w:right w:w="0" w:type="dxa"/>
            </w:tcMar>
          </w:tcPr>
          <w:p w:rsidR="002D5BB0" w:rsidRPr="00222917" w:rsidRDefault="002D5BB0" w:rsidP="00202EC3">
            <w:pPr>
              <w:pStyle w:val="SingleTxtG"/>
              <w:suppressAutoHyphens w:val="0"/>
              <w:spacing w:before="40" w:after="40" w:line="220" w:lineRule="exact"/>
              <w:ind w:left="0" w:right="0"/>
              <w:jc w:val="left"/>
              <w:rPr>
                <w:sz w:val="18"/>
                <w:lang w:val="en-US"/>
              </w:rPr>
            </w:pPr>
            <w:r w:rsidRPr="00222917">
              <w:rPr>
                <w:sz w:val="18"/>
                <w:lang w:val="en-US"/>
              </w:rPr>
              <w:t>Total</w:t>
            </w:r>
          </w:p>
        </w:tc>
        <w:tc>
          <w:tcPr>
            <w:tcW w:w="1812" w:type="dxa"/>
            <w:gridSpan w:val="2"/>
            <w:tcBorders>
              <w:top w:val="single" w:sz="12" w:space="0" w:color="000000"/>
            </w:tcBorders>
            <w:shd w:val="clear" w:color="auto" w:fill="auto"/>
            <w:tcMar>
              <w:top w:w="0" w:type="dxa"/>
              <w:left w:w="0" w:type="dxa"/>
              <w:bottom w:w="0" w:type="dxa"/>
              <w:right w:w="0" w:type="dxa"/>
            </w:tcMar>
            <w:vAlign w:val="bottom"/>
          </w:tcPr>
          <w:p w:rsidR="002D5BB0" w:rsidRPr="00222917" w:rsidRDefault="002D5BB0" w:rsidP="00284EE8">
            <w:pPr>
              <w:pStyle w:val="SingleTxtG"/>
              <w:suppressAutoHyphens w:val="0"/>
              <w:spacing w:before="40" w:after="40" w:line="220" w:lineRule="exact"/>
              <w:ind w:left="0" w:right="0"/>
              <w:jc w:val="center"/>
              <w:rPr>
                <w:sz w:val="18"/>
                <w:lang w:val="en-US"/>
              </w:rPr>
            </w:pPr>
            <w:r w:rsidRPr="00222917">
              <w:rPr>
                <w:sz w:val="18"/>
                <w:lang w:val="en-US"/>
              </w:rPr>
              <w:t>10,924 (100)</w:t>
            </w:r>
          </w:p>
        </w:tc>
        <w:tc>
          <w:tcPr>
            <w:tcW w:w="1340" w:type="dxa"/>
            <w:tcBorders>
              <w:top w:val="single" w:sz="12" w:space="0" w:color="000000"/>
            </w:tcBorders>
            <w:shd w:val="clear" w:color="auto" w:fill="auto"/>
            <w:tcMar>
              <w:top w:w="0" w:type="dxa"/>
              <w:left w:w="0" w:type="dxa"/>
              <w:bottom w:w="0" w:type="dxa"/>
              <w:right w:w="0" w:type="dxa"/>
            </w:tcMar>
            <w:vAlign w:val="bottom"/>
          </w:tcPr>
          <w:p w:rsidR="002D5BB0" w:rsidRPr="00222917" w:rsidRDefault="002D5BB0" w:rsidP="00284EE8">
            <w:pPr>
              <w:pStyle w:val="SingleTxtG"/>
              <w:suppressAutoHyphens w:val="0"/>
              <w:spacing w:before="40" w:after="40" w:line="220" w:lineRule="exact"/>
              <w:ind w:left="0" w:right="0"/>
              <w:jc w:val="center"/>
              <w:rPr>
                <w:sz w:val="18"/>
                <w:lang w:val="en-US"/>
              </w:rPr>
            </w:pPr>
            <w:r w:rsidRPr="00222917">
              <w:rPr>
                <w:sz w:val="18"/>
                <w:lang w:val="en-US"/>
              </w:rPr>
              <w:t>13,472 (100)</w:t>
            </w:r>
          </w:p>
        </w:tc>
        <w:tc>
          <w:tcPr>
            <w:tcW w:w="1340" w:type="dxa"/>
            <w:tcBorders>
              <w:top w:val="single" w:sz="12" w:space="0" w:color="000000"/>
            </w:tcBorders>
            <w:shd w:val="clear" w:color="auto" w:fill="auto"/>
            <w:tcMar>
              <w:top w:w="0" w:type="dxa"/>
              <w:left w:w="0" w:type="dxa"/>
              <w:bottom w:w="0" w:type="dxa"/>
              <w:right w:w="0" w:type="dxa"/>
            </w:tcMar>
            <w:vAlign w:val="bottom"/>
          </w:tcPr>
          <w:p w:rsidR="002D5BB0" w:rsidRPr="00222917" w:rsidRDefault="002D5BB0" w:rsidP="00284EE8">
            <w:pPr>
              <w:pStyle w:val="SingleTxtG"/>
              <w:suppressAutoHyphens w:val="0"/>
              <w:spacing w:before="40" w:after="40" w:line="220" w:lineRule="exact"/>
              <w:ind w:left="0" w:right="0"/>
              <w:jc w:val="center"/>
              <w:rPr>
                <w:sz w:val="18"/>
                <w:lang w:val="en-US"/>
              </w:rPr>
            </w:pPr>
            <w:r w:rsidRPr="00222917">
              <w:rPr>
                <w:sz w:val="18"/>
                <w:lang w:val="en-US"/>
              </w:rPr>
              <w:t>11,587 (100)</w:t>
            </w:r>
          </w:p>
        </w:tc>
        <w:tc>
          <w:tcPr>
            <w:tcW w:w="1340" w:type="dxa"/>
            <w:tcBorders>
              <w:top w:val="single" w:sz="12" w:space="0" w:color="000000"/>
            </w:tcBorders>
            <w:shd w:val="clear" w:color="auto" w:fill="auto"/>
            <w:tcMar>
              <w:top w:w="0" w:type="dxa"/>
              <w:left w:w="0" w:type="dxa"/>
              <w:bottom w:w="0" w:type="dxa"/>
              <w:right w:w="0" w:type="dxa"/>
            </w:tcMar>
            <w:vAlign w:val="bottom"/>
          </w:tcPr>
          <w:p w:rsidR="002D5BB0" w:rsidRPr="00222917" w:rsidRDefault="002D5BB0" w:rsidP="00284EE8">
            <w:pPr>
              <w:pStyle w:val="SingleTxtG"/>
              <w:suppressAutoHyphens w:val="0"/>
              <w:spacing w:before="40" w:after="40" w:line="220" w:lineRule="exact"/>
              <w:ind w:left="0" w:right="0"/>
              <w:jc w:val="center"/>
              <w:rPr>
                <w:sz w:val="18"/>
                <w:lang w:val="en-US"/>
              </w:rPr>
            </w:pPr>
            <w:r w:rsidRPr="00222917">
              <w:rPr>
                <w:sz w:val="18"/>
                <w:lang w:val="en-US"/>
              </w:rPr>
              <w:t>8,380 (100)</w:t>
            </w:r>
          </w:p>
        </w:tc>
      </w:tr>
      <w:tr w:rsidR="008F6543" w:rsidRPr="00222917" w:rsidTr="00AE7531">
        <w:tc>
          <w:tcPr>
            <w:tcW w:w="1538" w:type="dxa"/>
            <w:shd w:val="clear" w:color="auto" w:fill="auto"/>
            <w:tcMar>
              <w:top w:w="0" w:type="dxa"/>
              <w:left w:w="0" w:type="dxa"/>
              <w:bottom w:w="0" w:type="dxa"/>
              <w:right w:w="0" w:type="dxa"/>
            </w:tcMar>
          </w:tcPr>
          <w:p w:rsidR="002D5BB0" w:rsidRPr="00222917" w:rsidRDefault="002D5BB0" w:rsidP="00202EC3">
            <w:pPr>
              <w:pStyle w:val="SingleTxtG"/>
              <w:suppressAutoHyphens w:val="0"/>
              <w:spacing w:before="40" w:after="40" w:line="220" w:lineRule="exact"/>
              <w:ind w:left="0" w:right="0"/>
              <w:jc w:val="left"/>
              <w:rPr>
                <w:sz w:val="18"/>
                <w:lang w:val="en-US"/>
              </w:rPr>
            </w:pPr>
            <w:r w:rsidRPr="00222917">
              <w:rPr>
                <w:sz w:val="18"/>
                <w:lang w:val="en-US"/>
              </w:rPr>
              <w:t>Vicious comments</w:t>
            </w:r>
          </w:p>
        </w:tc>
        <w:tc>
          <w:tcPr>
            <w:tcW w:w="1812" w:type="dxa"/>
            <w:gridSpan w:val="2"/>
            <w:shd w:val="clear" w:color="auto" w:fill="auto"/>
            <w:tcMar>
              <w:top w:w="0" w:type="dxa"/>
              <w:left w:w="0" w:type="dxa"/>
              <w:bottom w:w="0" w:type="dxa"/>
              <w:right w:w="0" w:type="dxa"/>
            </w:tcMar>
            <w:vAlign w:val="bottom"/>
          </w:tcPr>
          <w:p w:rsidR="002D5BB0" w:rsidRPr="00222917" w:rsidRDefault="002D5BB0" w:rsidP="00284EE8">
            <w:pPr>
              <w:pStyle w:val="SingleTxtG"/>
              <w:suppressAutoHyphens w:val="0"/>
              <w:spacing w:before="40" w:after="40" w:line="220" w:lineRule="exact"/>
              <w:ind w:left="0" w:right="0"/>
              <w:jc w:val="center"/>
              <w:rPr>
                <w:sz w:val="18"/>
                <w:lang w:val="en-US"/>
              </w:rPr>
            </w:pPr>
            <w:r w:rsidRPr="00222917">
              <w:rPr>
                <w:sz w:val="18"/>
                <w:lang w:val="en-US"/>
              </w:rPr>
              <w:t>1,722 (15.8)</w:t>
            </w:r>
          </w:p>
        </w:tc>
        <w:tc>
          <w:tcPr>
            <w:tcW w:w="1340" w:type="dxa"/>
            <w:shd w:val="clear" w:color="auto" w:fill="auto"/>
            <w:tcMar>
              <w:top w:w="0" w:type="dxa"/>
              <w:left w:w="0" w:type="dxa"/>
              <w:bottom w:w="0" w:type="dxa"/>
              <w:right w:w="0" w:type="dxa"/>
            </w:tcMar>
            <w:vAlign w:val="bottom"/>
          </w:tcPr>
          <w:p w:rsidR="002D5BB0" w:rsidRPr="00222917" w:rsidRDefault="002D5BB0" w:rsidP="00284EE8">
            <w:pPr>
              <w:pStyle w:val="SingleTxtG"/>
              <w:suppressAutoHyphens w:val="0"/>
              <w:spacing w:before="40" w:after="40" w:line="220" w:lineRule="exact"/>
              <w:ind w:left="0" w:right="0"/>
              <w:jc w:val="center"/>
              <w:rPr>
                <w:sz w:val="18"/>
                <w:lang w:val="en-US"/>
              </w:rPr>
            </w:pPr>
            <w:r w:rsidRPr="00222917">
              <w:rPr>
                <w:sz w:val="18"/>
                <w:lang w:val="en-US"/>
              </w:rPr>
              <w:t>1,867 (13.9)</w:t>
            </w:r>
          </w:p>
        </w:tc>
        <w:tc>
          <w:tcPr>
            <w:tcW w:w="1340" w:type="dxa"/>
            <w:shd w:val="clear" w:color="auto" w:fill="auto"/>
            <w:tcMar>
              <w:top w:w="0" w:type="dxa"/>
              <w:left w:w="0" w:type="dxa"/>
              <w:bottom w:w="0" w:type="dxa"/>
              <w:right w:w="0" w:type="dxa"/>
            </w:tcMar>
            <w:vAlign w:val="bottom"/>
          </w:tcPr>
          <w:p w:rsidR="002D5BB0" w:rsidRPr="00222917" w:rsidRDefault="002D5BB0" w:rsidP="00284EE8">
            <w:pPr>
              <w:pStyle w:val="SingleTxtG"/>
              <w:suppressAutoHyphens w:val="0"/>
              <w:spacing w:before="40" w:after="40" w:line="220" w:lineRule="exact"/>
              <w:ind w:left="0" w:right="0"/>
              <w:jc w:val="center"/>
              <w:rPr>
                <w:sz w:val="18"/>
                <w:lang w:val="en-US"/>
              </w:rPr>
            </w:pPr>
            <w:r w:rsidRPr="00222917">
              <w:rPr>
                <w:sz w:val="18"/>
                <w:lang w:val="en-US"/>
              </w:rPr>
              <w:t>1,203 (10.4)</w:t>
            </w:r>
          </w:p>
        </w:tc>
        <w:tc>
          <w:tcPr>
            <w:tcW w:w="1340" w:type="dxa"/>
            <w:shd w:val="clear" w:color="auto" w:fill="auto"/>
            <w:tcMar>
              <w:top w:w="0" w:type="dxa"/>
              <w:left w:w="0" w:type="dxa"/>
              <w:bottom w:w="0" w:type="dxa"/>
              <w:right w:w="0" w:type="dxa"/>
            </w:tcMar>
            <w:vAlign w:val="bottom"/>
          </w:tcPr>
          <w:p w:rsidR="002D5BB0" w:rsidRPr="00222917" w:rsidRDefault="002D5BB0" w:rsidP="00284EE8">
            <w:pPr>
              <w:pStyle w:val="SingleTxtG"/>
              <w:suppressAutoHyphens w:val="0"/>
              <w:spacing w:before="40" w:after="40" w:line="220" w:lineRule="exact"/>
              <w:ind w:left="0" w:right="0"/>
              <w:jc w:val="center"/>
              <w:rPr>
                <w:sz w:val="18"/>
                <w:lang w:val="en-US"/>
              </w:rPr>
            </w:pPr>
            <w:r w:rsidRPr="00222917">
              <w:rPr>
                <w:sz w:val="18"/>
                <w:lang w:val="en-US"/>
              </w:rPr>
              <w:t>1,086 (13.0)</w:t>
            </w:r>
          </w:p>
        </w:tc>
      </w:tr>
      <w:tr w:rsidR="008F6543" w:rsidRPr="00222917" w:rsidTr="00AE7531">
        <w:tc>
          <w:tcPr>
            <w:tcW w:w="1538" w:type="dxa"/>
            <w:tcBorders>
              <w:bottom w:val="single" w:sz="12" w:space="0" w:color="auto"/>
            </w:tcBorders>
            <w:shd w:val="clear" w:color="auto" w:fill="auto"/>
            <w:tcMar>
              <w:top w:w="0" w:type="dxa"/>
              <w:left w:w="0" w:type="dxa"/>
              <w:bottom w:w="0" w:type="dxa"/>
              <w:right w:w="0" w:type="dxa"/>
            </w:tcMar>
          </w:tcPr>
          <w:p w:rsidR="002D5BB0" w:rsidRPr="00222917" w:rsidRDefault="002D5BB0" w:rsidP="00202EC3">
            <w:pPr>
              <w:pStyle w:val="SingleTxtG"/>
              <w:suppressAutoHyphens w:val="0"/>
              <w:spacing w:before="40" w:after="40" w:line="220" w:lineRule="exact"/>
              <w:ind w:left="0" w:right="0"/>
              <w:jc w:val="left"/>
              <w:rPr>
                <w:sz w:val="18"/>
                <w:lang w:val="en-US"/>
              </w:rPr>
            </w:pPr>
            <w:r w:rsidRPr="00222917">
              <w:rPr>
                <w:sz w:val="18"/>
                <w:lang w:val="en-US"/>
              </w:rPr>
              <w:t>Normal comments</w:t>
            </w:r>
          </w:p>
        </w:tc>
        <w:tc>
          <w:tcPr>
            <w:tcW w:w="1812" w:type="dxa"/>
            <w:gridSpan w:val="2"/>
            <w:tcBorders>
              <w:bottom w:val="single" w:sz="12" w:space="0" w:color="auto"/>
            </w:tcBorders>
            <w:shd w:val="clear" w:color="auto" w:fill="auto"/>
            <w:tcMar>
              <w:top w:w="0" w:type="dxa"/>
              <w:left w:w="0" w:type="dxa"/>
              <w:bottom w:w="0" w:type="dxa"/>
              <w:right w:w="0" w:type="dxa"/>
            </w:tcMar>
            <w:vAlign w:val="bottom"/>
          </w:tcPr>
          <w:p w:rsidR="002D5BB0" w:rsidRPr="00222917" w:rsidRDefault="002D5BB0" w:rsidP="00284EE8">
            <w:pPr>
              <w:pStyle w:val="SingleTxtG"/>
              <w:suppressAutoHyphens w:val="0"/>
              <w:spacing w:before="40" w:after="40" w:line="220" w:lineRule="exact"/>
              <w:ind w:left="0" w:right="0"/>
              <w:jc w:val="center"/>
              <w:rPr>
                <w:sz w:val="18"/>
                <w:lang w:val="en-US"/>
              </w:rPr>
            </w:pPr>
            <w:r w:rsidRPr="00222917">
              <w:rPr>
                <w:sz w:val="18"/>
                <w:lang w:val="en-US"/>
              </w:rPr>
              <w:t>9,202 (84.2)</w:t>
            </w:r>
          </w:p>
        </w:tc>
        <w:tc>
          <w:tcPr>
            <w:tcW w:w="1340" w:type="dxa"/>
            <w:tcBorders>
              <w:bottom w:val="single" w:sz="12" w:space="0" w:color="auto"/>
            </w:tcBorders>
            <w:shd w:val="clear" w:color="auto" w:fill="auto"/>
            <w:tcMar>
              <w:top w:w="0" w:type="dxa"/>
              <w:left w:w="0" w:type="dxa"/>
              <w:bottom w:w="0" w:type="dxa"/>
              <w:right w:w="0" w:type="dxa"/>
            </w:tcMar>
            <w:vAlign w:val="bottom"/>
          </w:tcPr>
          <w:p w:rsidR="002D5BB0" w:rsidRPr="00222917" w:rsidRDefault="002D5BB0" w:rsidP="00284EE8">
            <w:pPr>
              <w:pStyle w:val="SingleTxtG"/>
              <w:suppressAutoHyphens w:val="0"/>
              <w:spacing w:before="40" w:after="40" w:line="220" w:lineRule="exact"/>
              <w:ind w:left="0" w:right="0"/>
              <w:jc w:val="center"/>
              <w:rPr>
                <w:sz w:val="18"/>
                <w:lang w:val="en-US"/>
              </w:rPr>
            </w:pPr>
            <w:r w:rsidRPr="00222917">
              <w:rPr>
                <w:sz w:val="18"/>
                <w:lang w:val="en-US"/>
              </w:rPr>
              <w:t>11,605 (86.1)</w:t>
            </w:r>
          </w:p>
        </w:tc>
        <w:tc>
          <w:tcPr>
            <w:tcW w:w="1340" w:type="dxa"/>
            <w:tcBorders>
              <w:bottom w:val="single" w:sz="12" w:space="0" w:color="auto"/>
            </w:tcBorders>
            <w:shd w:val="clear" w:color="auto" w:fill="auto"/>
            <w:tcMar>
              <w:top w:w="0" w:type="dxa"/>
              <w:left w:w="0" w:type="dxa"/>
              <w:bottom w:w="0" w:type="dxa"/>
              <w:right w:w="0" w:type="dxa"/>
            </w:tcMar>
            <w:vAlign w:val="bottom"/>
          </w:tcPr>
          <w:p w:rsidR="002D5BB0" w:rsidRPr="00222917" w:rsidRDefault="002D5BB0" w:rsidP="00284EE8">
            <w:pPr>
              <w:pStyle w:val="SingleTxtG"/>
              <w:suppressAutoHyphens w:val="0"/>
              <w:spacing w:before="40" w:after="40" w:line="220" w:lineRule="exact"/>
              <w:ind w:left="0" w:right="0"/>
              <w:jc w:val="center"/>
              <w:rPr>
                <w:sz w:val="18"/>
                <w:lang w:val="en-US"/>
              </w:rPr>
            </w:pPr>
            <w:r w:rsidRPr="00222917">
              <w:rPr>
                <w:sz w:val="18"/>
                <w:lang w:val="en-US"/>
              </w:rPr>
              <w:t>10,384 (89.6)</w:t>
            </w:r>
          </w:p>
        </w:tc>
        <w:tc>
          <w:tcPr>
            <w:tcW w:w="1340" w:type="dxa"/>
            <w:tcBorders>
              <w:bottom w:val="single" w:sz="12" w:space="0" w:color="auto"/>
            </w:tcBorders>
            <w:shd w:val="clear" w:color="auto" w:fill="auto"/>
            <w:tcMar>
              <w:top w:w="0" w:type="dxa"/>
              <w:left w:w="0" w:type="dxa"/>
              <w:bottom w:w="0" w:type="dxa"/>
              <w:right w:w="0" w:type="dxa"/>
            </w:tcMar>
            <w:vAlign w:val="bottom"/>
          </w:tcPr>
          <w:p w:rsidR="002D5BB0" w:rsidRPr="00222917" w:rsidRDefault="002D5BB0" w:rsidP="00284EE8">
            <w:pPr>
              <w:pStyle w:val="SingleTxtG"/>
              <w:suppressAutoHyphens w:val="0"/>
              <w:spacing w:before="40" w:after="40" w:line="220" w:lineRule="exact"/>
              <w:ind w:left="0" w:right="0"/>
              <w:jc w:val="center"/>
              <w:rPr>
                <w:sz w:val="18"/>
                <w:lang w:val="en-US"/>
              </w:rPr>
            </w:pPr>
            <w:r w:rsidRPr="00222917">
              <w:rPr>
                <w:sz w:val="18"/>
                <w:lang w:val="en-US"/>
              </w:rPr>
              <w:t>7,294 (87.0)</w:t>
            </w:r>
          </w:p>
        </w:tc>
      </w:tr>
    </w:tbl>
    <w:p w:rsidR="002D5BB0" w:rsidRPr="00222917" w:rsidRDefault="00B226C8" w:rsidP="00284EE8">
      <w:pPr>
        <w:pStyle w:val="H23G"/>
        <w:rPr>
          <w:lang w:val="en-US"/>
        </w:rPr>
      </w:pPr>
      <w:r w:rsidRPr="00222917">
        <w:rPr>
          <w:lang w:val="en-US"/>
        </w:rPr>
        <w:tab/>
      </w:r>
      <w:r w:rsidRPr="00222917">
        <w:rPr>
          <w:lang w:val="en-US"/>
        </w:rPr>
        <w:tab/>
      </w:r>
      <w:r w:rsidR="002D5BB0" w:rsidRPr="00222917">
        <w:rPr>
          <w:lang w:val="en-US"/>
        </w:rPr>
        <w:t>Result of the Perception Survey on the User Identity Verification System</w:t>
      </w:r>
    </w:p>
    <w:tbl>
      <w:tblPr>
        <w:tblW w:w="0" w:type="auto"/>
        <w:tblInd w:w="1134" w:type="dxa"/>
        <w:tblBorders>
          <w:top w:val="single" w:sz="4" w:space="0" w:color="auto"/>
        </w:tblBorders>
        <w:tblLayout w:type="fixed"/>
        <w:tblCellMar>
          <w:left w:w="0" w:type="dxa"/>
          <w:right w:w="0" w:type="dxa"/>
        </w:tblCellMar>
        <w:tblLook w:val="00A0"/>
      </w:tblPr>
      <w:tblGrid>
        <w:gridCol w:w="2268"/>
        <w:gridCol w:w="2552"/>
        <w:gridCol w:w="2552"/>
      </w:tblGrid>
      <w:tr w:rsidR="008F6543" w:rsidRPr="00222917" w:rsidTr="001C4E4C">
        <w:trPr>
          <w:tblHeader/>
        </w:trPr>
        <w:tc>
          <w:tcPr>
            <w:tcW w:w="2268" w:type="dxa"/>
            <w:vMerge w:val="restart"/>
            <w:tcBorders>
              <w:top w:val="single" w:sz="4" w:space="0" w:color="auto"/>
              <w:bottom w:val="single" w:sz="12" w:space="0" w:color="auto"/>
            </w:tcBorders>
            <w:shd w:val="clear" w:color="auto" w:fill="auto"/>
            <w:vAlign w:val="bottom"/>
          </w:tcPr>
          <w:p w:rsidR="002D5BB0" w:rsidRPr="00222917" w:rsidRDefault="002D5BB0" w:rsidP="00284EE8">
            <w:pPr>
              <w:pStyle w:val="SingleTxtG"/>
              <w:keepNext/>
              <w:keepLines/>
              <w:suppressAutoHyphens w:val="0"/>
              <w:spacing w:before="80" w:after="80" w:line="200" w:lineRule="exact"/>
              <w:ind w:left="0" w:right="0"/>
              <w:jc w:val="left"/>
              <w:rPr>
                <w:i/>
                <w:sz w:val="16"/>
                <w:szCs w:val="16"/>
                <w:lang w:val="en-US"/>
              </w:rPr>
            </w:pPr>
            <w:r w:rsidRPr="00222917">
              <w:rPr>
                <w:i/>
                <w:sz w:val="16"/>
                <w:szCs w:val="16"/>
                <w:lang w:val="en-US"/>
              </w:rPr>
              <w:t>Questions</w:t>
            </w:r>
          </w:p>
        </w:tc>
        <w:tc>
          <w:tcPr>
            <w:tcW w:w="2552" w:type="dxa"/>
            <w:gridSpan w:val="2"/>
            <w:tcBorders>
              <w:top w:val="single" w:sz="4" w:space="0" w:color="auto"/>
              <w:bottom w:val="single" w:sz="4" w:space="0" w:color="000000"/>
            </w:tcBorders>
            <w:shd w:val="clear" w:color="auto" w:fill="auto"/>
            <w:vAlign w:val="bottom"/>
          </w:tcPr>
          <w:p w:rsidR="002D5BB0" w:rsidRPr="00222917" w:rsidRDefault="002D5BB0" w:rsidP="00284EE8">
            <w:pPr>
              <w:pStyle w:val="SingleTxtG"/>
              <w:keepNext/>
              <w:keepLines/>
              <w:suppressAutoHyphens w:val="0"/>
              <w:spacing w:before="80" w:after="80" w:line="200" w:lineRule="exact"/>
              <w:ind w:left="0" w:right="0"/>
              <w:jc w:val="center"/>
              <w:rPr>
                <w:i/>
                <w:sz w:val="16"/>
                <w:szCs w:val="16"/>
                <w:lang w:val="en-US"/>
              </w:rPr>
            </w:pPr>
            <w:r w:rsidRPr="00222917">
              <w:rPr>
                <w:i/>
                <w:sz w:val="16"/>
                <w:szCs w:val="16"/>
                <w:lang w:val="en-US"/>
              </w:rPr>
              <w:t>Results</w:t>
            </w:r>
          </w:p>
        </w:tc>
      </w:tr>
      <w:tr w:rsidR="008F6543" w:rsidRPr="00222917" w:rsidTr="001C4E4C">
        <w:trPr>
          <w:tblHeader/>
        </w:trPr>
        <w:tc>
          <w:tcPr>
            <w:tcW w:w="2268" w:type="dxa"/>
            <w:vMerge/>
            <w:tcBorders>
              <w:top w:val="single" w:sz="12" w:space="0" w:color="auto"/>
              <w:bottom w:val="single" w:sz="12" w:space="0" w:color="000000"/>
            </w:tcBorders>
            <w:shd w:val="clear" w:color="auto" w:fill="auto"/>
            <w:vAlign w:val="bottom"/>
          </w:tcPr>
          <w:p w:rsidR="002D5BB0" w:rsidRPr="00222917" w:rsidRDefault="002D5BB0" w:rsidP="00284EE8">
            <w:pPr>
              <w:pStyle w:val="SingleTxtG"/>
              <w:keepNext/>
              <w:keepLines/>
              <w:suppressAutoHyphens w:val="0"/>
              <w:spacing w:before="80" w:after="80" w:line="200" w:lineRule="exact"/>
              <w:ind w:left="0" w:right="0"/>
              <w:jc w:val="left"/>
              <w:rPr>
                <w:i/>
                <w:sz w:val="16"/>
                <w:szCs w:val="16"/>
                <w:lang w:val="en-US"/>
              </w:rPr>
            </w:pPr>
          </w:p>
        </w:tc>
        <w:tc>
          <w:tcPr>
            <w:tcW w:w="2552" w:type="dxa"/>
            <w:tcBorders>
              <w:top w:val="single" w:sz="4" w:space="0" w:color="000000"/>
              <w:bottom w:val="single" w:sz="12" w:space="0" w:color="000000"/>
            </w:tcBorders>
            <w:shd w:val="clear" w:color="auto" w:fill="auto"/>
            <w:vAlign w:val="bottom"/>
          </w:tcPr>
          <w:p w:rsidR="002D5BB0" w:rsidRPr="00222917" w:rsidRDefault="002D5BB0" w:rsidP="00105EEC">
            <w:pPr>
              <w:pStyle w:val="SingleTxtG"/>
              <w:keepNext/>
              <w:keepLines/>
              <w:suppressAutoHyphens w:val="0"/>
              <w:spacing w:before="80" w:after="80" w:line="200" w:lineRule="exact"/>
              <w:ind w:left="0" w:right="0"/>
              <w:jc w:val="left"/>
              <w:rPr>
                <w:i/>
                <w:sz w:val="16"/>
                <w:szCs w:val="16"/>
                <w:lang w:val="en-US"/>
              </w:rPr>
            </w:pPr>
            <w:r w:rsidRPr="00222917">
              <w:rPr>
                <w:i/>
                <w:sz w:val="16"/>
                <w:szCs w:val="16"/>
                <w:lang w:val="en-US"/>
              </w:rPr>
              <w:t>2009</w:t>
            </w:r>
          </w:p>
        </w:tc>
        <w:tc>
          <w:tcPr>
            <w:tcW w:w="2552" w:type="dxa"/>
            <w:tcBorders>
              <w:top w:val="single" w:sz="4" w:space="0" w:color="000000"/>
              <w:bottom w:val="single" w:sz="12" w:space="0" w:color="000000"/>
            </w:tcBorders>
            <w:shd w:val="clear" w:color="auto" w:fill="auto"/>
            <w:vAlign w:val="bottom"/>
          </w:tcPr>
          <w:p w:rsidR="002D5BB0" w:rsidRPr="00222917" w:rsidRDefault="002D5BB0" w:rsidP="00105EEC">
            <w:pPr>
              <w:pStyle w:val="SingleTxtG"/>
              <w:keepNext/>
              <w:keepLines/>
              <w:suppressAutoHyphens w:val="0"/>
              <w:spacing w:before="80" w:after="80" w:line="200" w:lineRule="exact"/>
              <w:ind w:left="0" w:right="0"/>
              <w:jc w:val="left"/>
              <w:rPr>
                <w:i/>
                <w:sz w:val="16"/>
                <w:szCs w:val="16"/>
                <w:lang w:val="en-US"/>
              </w:rPr>
            </w:pPr>
            <w:r w:rsidRPr="00222917">
              <w:rPr>
                <w:i/>
                <w:sz w:val="16"/>
                <w:szCs w:val="16"/>
                <w:lang w:val="en-US"/>
              </w:rPr>
              <w:t>2010</w:t>
            </w:r>
          </w:p>
        </w:tc>
      </w:tr>
      <w:tr w:rsidR="008F6543" w:rsidRPr="00222917" w:rsidTr="001C4E4C">
        <w:tc>
          <w:tcPr>
            <w:tcW w:w="2268" w:type="dxa"/>
            <w:tcBorders>
              <w:top w:val="single" w:sz="12" w:space="0" w:color="000000"/>
            </w:tcBorders>
            <w:shd w:val="clear" w:color="auto" w:fill="auto"/>
          </w:tcPr>
          <w:p w:rsidR="002D5BB0" w:rsidRPr="00222917" w:rsidRDefault="002D5BB0" w:rsidP="00284EE8">
            <w:pPr>
              <w:pStyle w:val="SingleTxtG"/>
              <w:keepNext/>
              <w:keepLines/>
              <w:suppressAutoHyphens w:val="0"/>
              <w:spacing w:before="40" w:after="40" w:line="220" w:lineRule="exact"/>
              <w:ind w:left="0" w:right="0"/>
              <w:jc w:val="left"/>
              <w:rPr>
                <w:sz w:val="18"/>
                <w:lang w:val="en-US"/>
              </w:rPr>
            </w:pPr>
            <w:r w:rsidRPr="00222917">
              <w:rPr>
                <w:sz w:val="18"/>
                <w:lang w:val="en-US"/>
              </w:rPr>
              <w:t>Impact of the System</w:t>
            </w:r>
          </w:p>
        </w:tc>
        <w:tc>
          <w:tcPr>
            <w:tcW w:w="2552" w:type="dxa"/>
            <w:tcBorders>
              <w:top w:val="single" w:sz="12" w:space="0" w:color="000000"/>
            </w:tcBorders>
            <w:shd w:val="clear" w:color="auto" w:fill="auto"/>
            <w:vAlign w:val="bottom"/>
          </w:tcPr>
          <w:p w:rsidR="002D5BB0" w:rsidRPr="00222917" w:rsidRDefault="002D5BB0" w:rsidP="00105EEC">
            <w:pPr>
              <w:pStyle w:val="SingleTxtG"/>
              <w:keepNext/>
              <w:keepLines/>
              <w:suppressAutoHyphens w:val="0"/>
              <w:spacing w:before="40" w:after="40" w:line="220" w:lineRule="exact"/>
              <w:ind w:left="0" w:right="0"/>
              <w:jc w:val="left"/>
              <w:rPr>
                <w:sz w:val="18"/>
                <w:lang w:val="en-US"/>
              </w:rPr>
            </w:pPr>
            <w:r w:rsidRPr="00222917">
              <w:rPr>
                <w:sz w:val="18"/>
                <w:lang w:val="en-US"/>
              </w:rPr>
              <w:t>Self regulation (71.2%)</w:t>
            </w:r>
          </w:p>
          <w:p w:rsidR="002D5BB0" w:rsidRPr="00222917" w:rsidRDefault="002D5BB0" w:rsidP="00105EEC">
            <w:pPr>
              <w:pStyle w:val="SingleTxtG"/>
              <w:keepNext/>
              <w:keepLines/>
              <w:suppressAutoHyphens w:val="0"/>
              <w:spacing w:before="40" w:after="40" w:line="220" w:lineRule="exact"/>
              <w:ind w:left="0" w:right="0"/>
              <w:jc w:val="left"/>
              <w:rPr>
                <w:sz w:val="18"/>
                <w:lang w:val="en-US"/>
              </w:rPr>
            </w:pPr>
            <w:r w:rsidRPr="00222917">
              <w:rPr>
                <w:sz w:val="18"/>
                <w:lang w:val="en-US"/>
              </w:rPr>
              <w:t xml:space="preserve">Increase of credibility </w:t>
            </w:r>
            <w:r w:rsidR="000D60EE" w:rsidRPr="00222917">
              <w:rPr>
                <w:sz w:val="18"/>
                <w:lang w:val="en-US"/>
              </w:rPr>
              <w:br/>
            </w:r>
            <w:r w:rsidRPr="00222917">
              <w:rPr>
                <w:sz w:val="18"/>
                <w:lang w:val="en-US"/>
              </w:rPr>
              <w:t>of postings (17.3%)</w:t>
            </w:r>
          </w:p>
        </w:tc>
        <w:tc>
          <w:tcPr>
            <w:tcW w:w="2552" w:type="dxa"/>
            <w:tcBorders>
              <w:top w:val="single" w:sz="12" w:space="0" w:color="000000"/>
            </w:tcBorders>
            <w:shd w:val="clear" w:color="auto" w:fill="auto"/>
            <w:vAlign w:val="bottom"/>
          </w:tcPr>
          <w:p w:rsidR="002D5BB0" w:rsidRPr="00222917" w:rsidRDefault="002D5BB0" w:rsidP="00105EEC">
            <w:pPr>
              <w:pStyle w:val="SingleTxtG"/>
              <w:keepNext/>
              <w:keepLines/>
              <w:suppressAutoHyphens w:val="0"/>
              <w:spacing w:before="40" w:after="40" w:line="220" w:lineRule="exact"/>
              <w:ind w:left="0" w:right="0"/>
              <w:jc w:val="left"/>
              <w:rPr>
                <w:sz w:val="18"/>
                <w:lang w:val="en-US"/>
              </w:rPr>
            </w:pPr>
            <w:r w:rsidRPr="00222917">
              <w:rPr>
                <w:sz w:val="18"/>
                <w:lang w:val="en-US"/>
              </w:rPr>
              <w:t>Self regulation (67.0%)</w:t>
            </w:r>
          </w:p>
          <w:p w:rsidR="002D5BB0" w:rsidRPr="00222917" w:rsidRDefault="002D5BB0" w:rsidP="00105EEC">
            <w:pPr>
              <w:pStyle w:val="SingleTxtG"/>
              <w:keepNext/>
              <w:keepLines/>
              <w:suppressAutoHyphens w:val="0"/>
              <w:spacing w:before="40" w:after="40" w:line="220" w:lineRule="exact"/>
              <w:ind w:left="0" w:right="0"/>
              <w:jc w:val="left"/>
              <w:rPr>
                <w:sz w:val="18"/>
                <w:lang w:val="en-US"/>
              </w:rPr>
            </w:pPr>
            <w:r w:rsidRPr="00222917">
              <w:rPr>
                <w:sz w:val="18"/>
                <w:lang w:val="en-US"/>
              </w:rPr>
              <w:t xml:space="preserve">Increase of credibility </w:t>
            </w:r>
            <w:r w:rsidR="000D60EE" w:rsidRPr="00222917">
              <w:rPr>
                <w:sz w:val="18"/>
                <w:lang w:val="en-US"/>
              </w:rPr>
              <w:br/>
            </w:r>
            <w:r w:rsidRPr="00222917">
              <w:rPr>
                <w:sz w:val="18"/>
                <w:lang w:val="en-US"/>
              </w:rPr>
              <w:t>of postings (15.8%)</w:t>
            </w:r>
          </w:p>
        </w:tc>
      </w:tr>
      <w:tr w:rsidR="008F6543" w:rsidRPr="00222917" w:rsidTr="00105EEC">
        <w:tc>
          <w:tcPr>
            <w:tcW w:w="2268" w:type="dxa"/>
            <w:tcBorders>
              <w:bottom w:val="single" w:sz="12" w:space="0" w:color="auto"/>
            </w:tcBorders>
            <w:shd w:val="clear" w:color="auto" w:fill="auto"/>
          </w:tcPr>
          <w:p w:rsidR="002D5BB0" w:rsidRPr="00222917" w:rsidRDefault="002D5BB0" w:rsidP="00284EE8">
            <w:pPr>
              <w:pStyle w:val="SingleTxtG"/>
              <w:suppressAutoHyphens w:val="0"/>
              <w:spacing w:before="40" w:after="40" w:line="220" w:lineRule="exact"/>
              <w:ind w:left="0" w:right="0"/>
              <w:jc w:val="left"/>
              <w:rPr>
                <w:sz w:val="18"/>
                <w:lang w:val="en-US"/>
              </w:rPr>
            </w:pPr>
            <w:r w:rsidRPr="00222917">
              <w:rPr>
                <w:sz w:val="18"/>
                <w:lang w:val="en-US"/>
              </w:rPr>
              <w:t xml:space="preserve">Decline </w:t>
            </w:r>
            <w:r w:rsidR="00105EEC" w:rsidRPr="00222917">
              <w:rPr>
                <w:sz w:val="18"/>
                <w:lang w:val="en-US"/>
              </w:rPr>
              <w:br/>
            </w:r>
            <w:r w:rsidRPr="00222917">
              <w:rPr>
                <w:sz w:val="18"/>
                <w:lang w:val="en-US"/>
              </w:rPr>
              <w:t xml:space="preserve">of vicious comments </w:t>
            </w:r>
          </w:p>
        </w:tc>
        <w:tc>
          <w:tcPr>
            <w:tcW w:w="2552" w:type="dxa"/>
            <w:tcBorders>
              <w:bottom w:val="single" w:sz="12" w:space="0" w:color="auto"/>
            </w:tcBorders>
            <w:shd w:val="clear" w:color="auto" w:fill="auto"/>
            <w:vAlign w:val="bottom"/>
          </w:tcPr>
          <w:p w:rsidR="002D5BB0" w:rsidRPr="00222917" w:rsidRDefault="002D5BB0" w:rsidP="00105EEC">
            <w:pPr>
              <w:pStyle w:val="SingleTxtG"/>
              <w:suppressAutoHyphens w:val="0"/>
              <w:spacing w:before="40" w:after="40" w:line="220" w:lineRule="exact"/>
              <w:ind w:left="0" w:right="0"/>
              <w:jc w:val="left"/>
              <w:rPr>
                <w:sz w:val="18"/>
                <w:lang w:val="en-US"/>
              </w:rPr>
            </w:pPr>
            <w:r w:rsidRPr="00222917">
              <w:rPr>
                <w:sz w:val="18"/>
                <w:lang w:val="en-US"/>
              </w:rPr>
              <w:t xml:space="preserve">The system help decline of </w:t>
            </w:r>
            <w:r w:rsidR="00105EEC" w:rsidRPr="00222917">
              <w:rPr>
                <w:sz w:val="18"/>
                <w:lang w:val="en-US"/>
              </w:rPr>
              <w:br/>
            </w:r>
            <w:r w:rsidRPr="00222917">
              <w:rPr>
                <w:sz w:val="18"/>
                <w:lang w:val="en-US"/>
              </w:rPr>
              <w:t>vicious comments and creating sound Internet use (84.5%)</w:t>
            </w:r>
          </w:p>
        </w:tc>
        <w:tc>
          <w:tcPr>
            <w:tcW w:w="2552" w:type="dxa"/>
            <w:tcBorders>
              <w:bottom w:val="single" w:sz="12" w:space="0" w:color="auto"/>
            </w:tcBorders>
            <w:shd w:val="clear" w:color="auto" w:fill="auto"/>
            <w:vAlign w:val="bottom"/>
          </w:tcPr>
          <w:p w:rsidR="002D5BB0" w:rsidRPr="00222917" w:rsidRDefault="002D5BB0" w:rsidP="00105EEC">
            <w:pPr>
              <w:pStyle w:val="SingleTxtG"/>
              <w:suppressAutoHyphens w:val="0"/>
              <w:spacing w:before="40" w:after="40" w:line="220" w:lineRule="exact"/>
              <w:ind w:left="0" w:right="0"/>
              <w:jc w:val="left"/>
              <w:rPr>
                <w:sz w:val="18"/>
                <w:lang w:val="en-US"/>
              </w:rPr>
            </w:pPr>
            <w:r w:rsidRPr="00222917">
              <w:rPr>
                <w:sz w:val="18"/>
                <w:lang w:val="en-US"/>
              </w:rPr>
              <w:t xml:space="preserve">The system help decline of </w:t>
            </w:r>
            <w:r w:rsidR="00105EEC" w:rsidRPr="00222917">
              <w:rPr>
                <w:sz w:val="18"/>
                <w:lang w:val="en-US"/>
              </w:rPr>
              <w:br/>
            </w:r>
            <w:r w:rsidRPr="00222917">
              <w:rPr>
                <w:sz w:val="18"/>
                <w:lang w:val="en-US"/>
              </w:rPr>
              <w:t>vicious comments and creating sound Internet use (75.3%)</w:t>
            </w:r>
          </w:p>
        </w:tc>
      </w:tr>
    </w:tbl>
    <w:p w:rsidR="002D5BB0" w:rsidRPr="00222917" w:rsidRDefault="00547908" w:rsidP="00547908">
      <w:pPr>
        <w:pStyle w:val="SingleTxtG"/>
        <w:spacing w:before="240"/>
        <w:rPr>
          <w:lang w:val="en-US"/>
        </w:rPr>
      </w:pPr>
      <w:r w:rsidRPr="00222917">
        <w:rPr>
          <w:lang w:val="en-US"/>
        </w:rPr>
        <w:t>291.</w:t>
      </w:r>
      <w:r w:rsidRPr="00222917">
        <w:rPr>
          <w:lang w:val="en-US"/>
        </w:rPr>
        <w:tab/>
      </w:r>
      <w:r w:rsidR="002D5BB0" w:rsidRPr="00222917">
        <w:rPr>
          <w:lang w:val="en-US"/>
        </w:rPr>
        <w:t>A constitutional comp</w:t>
      </w:r>
      <w:r w:rsidR="00E623EE" w:rsidRPr="00222917">
        <w:rPr>
          <w:lang w:val="en-US"/>
        </w:rPr>
        <w:t xml:space="preserve">laint was filed against </w:t>
      </w:r>
      <w:r w:rsidR="00AE0F13" w:rsidRPr="00222917">
        <w:rPr>
          <w:lang w:val="en-US"/>
        </w:rPr>
        <w:t>a</w:t>
      </w:r>
      <w:r w:rsidR="00E623EE" w:rsidRPr="00222917">
        <w:rPr>
          <w:lang w:val="en-US"/>
        </w:rPr>
        <w:t>rticle </w:t>
      </w:r>
      <w:r w:rsidR="002D5BB0" w:rsidRPr="00222917">
        <w:rPr>
          <w:lang w:val="en-US"/>
        </w:rPr>
        <w:t xml:space="preserve">82-6 (Identification of Real Names on Message Boards, or Chat Rooms, etc. of Internet Press Agency) of the </w:t>
      </w:r>
      <w:r w:rsidR="002D5BB0" w:rsidRPr="00222917">
        <w:rPr>
          <w:iCs/>
          <w:lang w:val="en-US"/>
        </w:rPr>
        <w:t xml:space="preserve">Public Official Election Act </w:t>
      </w:r>
      <w:r w:rsidR="002D5BB0" w:rsidRPr="00222917">
        <w:rPr>
          <w:lang w:val="en-US"/>
        </w:rPr>
        <w:t xml:space="preserve">on grounds of its restrictions on freedom of anonymous expression. However, on February 25, 2010, the Constitutional Court ruled that </w:t>
      </w:r>
      <w:r w:rsidR="00643545" w:rsidRPr="00222917">
        <w:rPr>
          <w:lang w:val="en-US"/>
        </w:rPr>
        <w:t>a</w:t>
      </w:r>
      <w:r w:rsidR="002D5BB0" w:rsidRPr="00222917">
        <w:rPr>
          <w:lang w:val="en-US"/>
        </w:rPr>
        <w:t>rticle</w:t>
      </w:r>
      <w:r w:rsidR="00E623EE" w:rsidRPr="00222917">
        <w:rPr>
          <w:lang w:val="en-US"/>
        </w:rPr>
        <w:t> </w:t>
      </w:r>
      <w:r w:rsidR="002D5BB0" w:rsidRPr="00222917">
        <w:rPr>
          <w:lang w:val="en-US"/>
        </w:rPr>
        <w:t xml:space="preserve">82-6 (1), (6), and (7) of the former </w:t>
      </w:r>
      <w:r w:rsidR="002D5BB0" w:rsidRPr="00222917">
        <w:rPr>
          <w:iCs/>
          <w:lang w:val="en-US"/>
        </w:rPr>
        <w:t>Public Official Election Act</w:t>
      </w:r>
      <w:r w:rsidR="002D5BB0" w:rsidRPr="00222917">
        <w:rPr>
          <w:lang w:val="en-US"/>
        </w:rPr>
        <w:t>, which obliged Internet press agencies to verify the real names of users when they post comments that oppose or support a certain political party or candidate on message boards, forums, or chat rooms of their websites during electoral campaigns, were not in violation of the freedom of expression, etc. on grounds that the scope of the Internet press agencies was specified; the Internet Election News Review Committee determined and posted such scope; damages from false information could not be remedied during the short period of an electoral campaign; and whether real name was verified or not was only indicated (2008 HUN-MA 324). Another constitut</w:t>
      </w:r>
      <w:r w:rsidR="00E623EE" w:rsidRPr="00222917">
        <w:rPr>
          <w:lang w:val="en-US"/>
        </w:rPr>
        <w:t xml:space="preserve">ional complaint against </w:t>
      </w:r>
      <w:r w:rsidR="00AE0F13" w:rsidRPr="00222917">
        <w:rPr>
          <w:lang w:val="en-US"/>
        </w:rPr>
        <w:t>a</w:t>
      </w:r>
      <w:r w:rsidR="00E623EE" w:rsidRPr="00222917">
        <w:rPr>
          <w:lang w:val="en-US"/>
        </w:rPr>
        <w:t>rticle </w:t>
      </w:r>
      <w:r w:rsidR="002D5BB0" w:rsidRPr="00222917">
        <w:rPr>
          <w:lang w:val="en-US"/>
        </w:rPr>
        <w:t xml:space="preserve">44-5 (Verification of Identity of Message Board Users) of the </w:t>
      </w:r>
      <w:r w:rsidR="002D5BB0" w:rsidRPr="00222917">
        <w:rPr>
          <w:iCs/>
          <w:lang w:val="en-US"/>
        </w:rPr>
        <w:t>Act on Promotion of Information and Communications Network Utilization and Information Protection, etc</w:t>
      </w:r>
      <w:r w:rsidR="002D5BB0" w:rsidRPr="00222917">
        <w:rPr>
          <w:i/>
          <w:lang w:val="en-US"/>
        </w:rPr>
        <w:t>.</w:t>
      </w:r>
      <w:r w:rsidR="002D5BB0" w:rsidRPr="00222917">
        <w:rPr>
          <w:lang w:val="en-US"/>
        </w:rPr>
        <w:t xml:space="preserve"> is under deliberation on grounds of restrictions on freedom of anonymous expression (2010 HUN-MA 47, 2010 HUN-MA 252). </w:t>
      </w:r>
    </w:p>
    <w:p w:rsidR="002D5BB0" w:rsidRPr="00222917" w:rsidRDefault="00B226C8" w:rsidP="00B226C8">
      <w:pPr>
        <w:pStyle w:val="H23G"/>
        <w:rPr>
          <w:lang w:val="en-US"/>
        </w:rPr>
      </w:pPr>
      <w:bookmarkStart w:id="237" w:name="_Toc307504140"/>
      <w:bookmarkStart w:id="238" w:name="_Toc336435912"/>
      <w:r w:rsidRPr="00222917">
        <w:rPr>
          <w:lang w:val="en-US"/>
        </w:rPr>
        <w:tab/>
      </w:r>
      <w:r w:rsidRPr="00222917">
        <w:rPr>
          <w:lang w:val="en-US"/>
        </w:rPr>
        <w:tab/>
      </w:r>
      <w:r w:rsidR="002D5BB0" w:rsidRPr="00222917">
        <w:rPr>
          <w:lang w:val="en-US"/>
        </w:rPr>
        <w:t>Provision of Framework Act on Telecommunications Ruled Unconstitutional</w:t>
      </w:r>
      <w:bookmarkEnd w:id="237"/>
      <w:bookmarkEnd w:id="238"/>
    </w:p>
    <w:p w:rsidR="002D5BB0" w:rsidRPr="00222917" w:rsidRDefault="00547908" w:rsidP="00547908">
      <w:pPr>
        <w:pStyle w:val="SingleTxtG"/>
        <w:rPr>
          <w:lang w:val="en-US"/>
        </w:rPr>
      </w:pPr>
      <w:r w:rsidRPr="00222917">
        <w:rPr>
          <w:lang w:val="en-US"/>
        </w:rPr>
        <w:t>292.</w:t>
      </w:r>
      <w:r w:rsidRPr="00222917">
        <w:rPr>
          <w:lang w:val="en-US"/>
        </w:rPr>
        <w:tab/>
      </w:r>
      <w:r w:rsidR="00E623EE" w:rsidRPr="00222917">
        <w:rPr>
          <w:lang w:val="en-US"/>
        </w:rPr>
        <w:t>Article </w:t>
      </w:r>
      <w:r w:rsidR="002D5BB0" w:rsidRPr="00222917">
        <w:rPr>
          <w:lang w:val="en-US"/>
        </w:rPr>
        <w:t xml:space="preserve">47(1) of the </w:t>
      </w:r>
      <w:r w:rsidR="002D5BB0" w:rsidRPr="00222917">
        <w:rPr>
          <w:iCs/>
          <w:lang w:val="en-US"/>
        </w:rPr>
        <w:t xml:space="preserve">Framework Act on Telecommunications </w:t>
      </w:r>
      <w:r w:rsidR="002D5BB0" w:rsidRPr="00222917">
        <w:rPr>
          <w:lang w:val="en-US"/>
        </w:rPr>
        <w:t xml:space="preserve">included a provision to punish “a crime of communicating false information via telecommunications facilities for the purpose of harming the public interest.” On 18 December 2010, the Constitutional Court ruled said </w:t>
      </w:r>
      <w:r w:rsidR="00AE0F13" w:rsidRPr="00222917">
        <w:rPr>
          <w:lang w:val="en-US"/>
        </w:rPr>
        <w:t>a</w:t>
      </w:r>
      <w:r w:rsidR="002D5BB0" w:rsidRPr="00222917">
        <w:rPr>
          <w:lang w:val="en-US"/>
        </w:rPr>
        <w:t>rticle</w:t>
      </w:r>
      <w:r w:rsidR="00E623EE" w:rsidRPr="00222917">
        <w:rPr>
          <w:lang w:val="en-US"/>
        </w:rPr>
        <w:t> </w:t>
      </w:r>
      <w:r w:rsidR="002D5BB0" w:rsidRPr="00222917">
        <w:rPr>
          <w:lang w:val="en-US"/>
        </w:rPr>
        <w:t>47</w:t>
      </w:r>
      <w:r w:rsidR="00643545" w:rsidRPr="00222917">
        <w:rPr>
          <w:lang w:val="en-US"/>
        </w:rPr>
        <w:t xml:space="preserve"> </w:t>
      </w:r>
      <w:r w:rsidR="002D5BB0" w:rsidRPr="00222917">
        <w:rPr>
          <w:lang w:val="en-US"/>
        </w:rPr>
        <w:t xml:space="preserve">(1) unconstitutional on grounds that “regulating an act of expression and imposing penalties by making an </w:t>
      </w:r>
      <w:r w:rsidR="00AE0F13" w:rsidRPr="00222917">
        <w:rPr>
          <w:lang w:val="en-US"/>
        </w:rPr>
        <w:t>i</w:t>
      </w:r>
      <w:r w:rsidR="002D5BB0" w:rsidRPr="00222917">
        <w:rPr>
          <w:lang w:val="en-US"/>
        </w:rPr>
        <w:t xml:space="preserve">ndefinable and ambiguous concept of the public interest a constituent of a crime are in violation of the rule of clarity and the principle of legality, which are required in protecting the freedom of expression.” This ruling was delivered in the so-called “Minerva” case where the party in the case (pen-named Minerva) who posted allegedly false information on </w:t>
      </w:r>
      <w:r w:rsidR="0005151A">
        <w:rPr>
          <w:lang w:val="en-US"/>
        </w:rPr>
        <w:t>g</w:t>
      </w:r>
      <w:r w:rsidR="002D5BB0" w:rsidRPr="00222917">
        <w:rPr>
          <w:lang w:val="en-US"/>
        </w:rPr>
        <w:t xml:space="preserve">overnment measures on the financial crisis in 2008 requested adjudication on constitutional petition with the </w:t>
      </w:r>
      <w:smartTag w:uri="urn:schemas-microsoft-com:office:smarttags" w:element="Street">
        <w:smartTag w:uri="urn:schemas-microsoft-com:office:smarttags" w:element="address">
          <w:r w:rsidR="002D5BB0" w:rsidRPr="00222917">
            <w:rPr>
              <w:lang w:val="en-US"/>
            </w:rPr>
            <w:t>Constitutional Court</w:t>
          </w:r>
        </w:smartTag>
      </w:smartTag>
      <w:r w:rsidR="002D5BB0" w:rsidRPr="00222917">
        <w:rPr>
          <w:lang w:val="en-US"/>
        </w:rPr>
        <w:t xml:space="preserve"> while he was in an appellate trial on 14 May 2009. According to this ruling, for a case under a trial, a judgment of acquittal or dismissal of a public action is given; and even for a case where a judgment of guilty is already determined, a retrial can be requested.</w:t>
      </w:r>
      <w:r w:rsidR="00120D8B" w:rsidRPr="00222917">
        <w:rPr>
          <w:lang w:val="en-US"/>
        </w:rPr>
        <w:t xml:space="preserve"> </w:t>
      </w:r>
    </w:p>
    <w:p w:rsidR="002D5BB0" w:rsidRPr="007C12D2" w:rsidRDefault="00B226C8" w:rsidP="00B226C8">
      <w:pPr>
        <w:pStyle w:val="HChG"/>
        <w:rPr>
          <w:sz w:val="24"/>
          <w:szCs w:val="24"/>
          <w:lang w:val="en-US"/>
        </w:rPr>
      </w:pPr>
      <w:bookmarkStart w:id="239" w:name="_Toc307504141"/>
      <w:bookmarkStart w:id="240" w:name="_Toc336435913"/>
      <w:r w:rsidRPr="00222917">
        <w:rPr>
          <w:lang w:val="en-US"/>
        </w:rPr>
        <w:tab/>
      </w:r>
      <w:r w:rsidRPr="00222917">
        <w:rPr>
          <w:lang w:val="en-US"/>
        </w:rPr>
        <w:tab/>
      </w:r>
      <w:r w:rsidR="002D5BB0" w:rsidRPr="007C12D2">
        <w:rPr>
          <w:sz w:val="24"/>
          <w:szCs w:val="24"/>
          <w:lang w:val="en-US"/>
        </w:rPr>
        <w:t>Article 20</w:t>
      </w:r>
      <w:bookmarkEnd w:id="239"/>
      <w:bookmarkEnd w:id="240"/>
    </w:p>
    <w:p w:rsidR="002D5BB0" w:rsidRPr="00222917" w:rsidRDefault="00B226C8" w:rsidP="00B226C8">
      <w:pPr>
        <w:pStyle w:val="H1G"/>
        <w:rPr>
          <w:lang w:val="en-US"/>
        </w:rPr>
      </w:pPr>
      <w:bookmarkStart w:id="241" w:name="_Toc307504142"/>
      <w:bookmarkStart w:id="242" w:name="_Toc336435914"/>
      <w:r w:rsidRPr="00222917">
        <w:rPr>
          <w:lang w:val="en-US"/>
        </w:rPr>
        <w:tab/>
      </w:r>
      <w:r w:rsidRPr="00222917">
        <w:rPr>
          <w:lang w:val="en-US"/>
        </w:rPr>
        <w:tab/>
      </w:r>
      <w:r w:rsidR="002D5BB0" w:rsidRPr="00222917">
        <w:rPr>
          <w:lang w:val="en-US"/>
        </w:rPr>
        <w:t>Paragraph 1</w:t>
      </w:r>
      <w:bookmarkEnd w:id="241"/>
      <w:bookmarkEnd w:id="242"/>
    </w:p>
    <w:p w:rsidR="002D5BB0" w:rsidRPr="00222917" w:rsidRDefault="00B226C8" w:rsidP="00B226C8">
      <w:pPr>
        <w:pStyle w:val="H23G"/>
        <w:rPr>
          <w:lang w:val="en-US"/>
        </w:rPr>
      </w:pPr>
      <w:bookmarkStart w:id="243" w:name="_Toc307504143"/>
      <w:bookmarkStart w:id="244" w:name="_Toc336435915"/>
      <w:r w:rsidRPr="00222917">
        <w:rPr>
          <w:lang w:val="en-US"/>
        </w:rPr>
        <w:tab/>
      </w:r>
      <w:r w:rsidRPr="00222917">
        <w:rPr>
          <w:lang w:val="en-US"/>
        </w:rPr>
        <w:tab/>
      </w:r>
      <w:r w:rsidR="002D5BB0" w:rsidRPr="00222917">
        <w:rPr>
          <w:lang w:val="en-US"/>
        </w:rPr>
        <w:t>Efforts for Peaceful Unification</w:t>
      </w:r>
      <w:bookmarkEnd w:id="243"/>
      <w:bookmarkEnd w:id="244"/>
    </w:p>
    <w:p w:rsidR="002D5BB0" w:rsidRPr="00222917" w:rsidRDefault="00547908" w:rsidP="00547908">
      <w:pPr>
        <w:pStyle w:val="SingleTxtG"/>
        <w:rPr>
          <w:lang w:val="en-US"/>
        </w:rPr>
      </w:pPr>
      <w:r w:rsidRPr="00222917">
        <w:rPr>
          <w:lang w:val="en-US"/>
        </w:rPr>
        <w:t>293.</w:t>
      </w:r>
      <w:r w:rsidRPr="00222917">
        <w:rPr>
          <w:lang w:val="en-US"/>
        </w:rPr>
        <w:tab/>
      </w:r>
      <w:r w:rsidR="002D5BB0" w:rsidRPr="00222917">
        <w:rPr>
          <w:lang w:val="en-US"/>
        </w:rPr>
        <w:t xml:space="preserve">The division of the country, pursuit of the principle of peaceful unification, and adoption of the Joint Statement of North and </w:t>
      </w:r>
      <w:smartTag w:uri="urn:schemas-microsoft-com:office:smarttags" w:element="place">
        <w:smartTag w:uri="urn:schemas-microsoft-com:office:smarttags" w:element="country-region">
          <w:r w:rsidR="002D5BB0" w:rsidRPr="00222917">
            <w:rPr>
              <w:lang w:val="en-US"/>
            </w:rPr>
            <w:t>South Korea</w:t>
          </w:r>
        </w:smartTag>
      </w:smartTag>
      <w:r w:rsidR="002D5BB0" w:rsidRPr="00222917">
        <w:rPr>
          <w:lang w:val="en-US"/>
        </w:rPr>
        <w:t xml:space="preserve"> are as stated in the third re</w:t>
      </w:r>
      <w:r w:rsidR="00B226C8" w:rsidRPr="00222917">
        <w:rPr>
          <w:lang w:val="en-US"/>
        </w:rPr>
        <w:t xml:space="preserve">port (CCPR/C/KOR/2005/3, paras. 306 and </w:t>
      </w:r>
      <w:r w:rsidR="002D5BB0" w:rsidRPr="00222917">
        <w:rPr>
          <w:lang w:val="en-US"/>
        </w:rPr>
        <w:t>307).</w:t>
      </w:r>
    </w:p>
    <w:p w:rsidR="002D5BB0" w:rsidRPr="00222917" w:rsidRDefault="00547908" w:rsidP="00547908">
      <w:pPr>
        <w:pStyle w:val="SingleTxtG"/>
        <w:rPr>
          <w:lang w:val="en-US"/>
        </w:rPr>
      </w:pPr>
      <w:r w:rsidRPr="00222917">
        <w:rPr>
          <w:lang w:val="en-US"/>
        </w:rPr>
        <w:t>294.</w:t>
      </w:r>
      <w:r w:rsidRPr="00222917">
        <w:rPr>
          <w:lang w:val="en-US"/>
        </w:rPr>
        <w:tab/>
      </w:r>
      <w:r w:rsidR="002D5BB0" w:rsidRPr="00222917">
        <w:rPr>
          <w:lang w:val="en-US"/>
        </w:rPr>
        <w:t xml:space="preserve">The Korean Government has strived to peacefully resolve the North Korean nuclear issues in order to realize permanent peace on the Korean peninsula. In response to the sinking of the </w:t>
      </w:r>
      <w:r w:rsidR="002D5BB0" w:rsidRPr="00222917">
        <w:rPr>
          <w:i/>
          <w:lang w:val="en-US"/>
        </w:rPr>
        <w:t>Cheonan</w:t>
      </w:r>
      <w:r w:rsidR="002D5BB0" w:rsidRPr="00222917">
        <w:rPr>
          <w:lang w:val="en-US"/>
        </w:rPr>
        <w:t>, a South Korean naval corvette, the Government has urged the North to act responsibly and engage in substantial dialogue based on mutual respect. The</w:t>
      </w:r>
      <w:r w:rsidR="00221361" w:rsidRPr="00222917">
        <w:rPr>
          <w:lang w:val="en-US"/>
        </w:rPr>
        <w:t> </w:t>
      </w:r>
      <w:r w:rsidR="002D5BB0" w:rsidRPr="00222917">
        <w:rPr>
          <w:lang w:val="en-US"/>
        </w:rPr>
        <w:t xml:space="preserve">Government has, accordingly, supported the on-going development of businesses in the </w:t>
      </w:r>
      <w:r w:rsidR="002D5BB0" w:rsidRPr="00222917">
        <w:rPr>
          <w:i/>
          <w:lang w:val="en-US"/>
        </w:rPr>
        <w:t>Kaesong</w:t>
      </w:r>
      <w:r w:rsidR="002D5BB0" w:rsidRPr="00222917">
        <w:rPr>
          <w:lang w:val="en-US"/>
        </w:rPr>
        <w:t xml:space="preserve"> Industrial Complex to facilitate the peaceful unification of the Korean peninsula, and continued to provide humanitarian support for the underprivileged of the North, including especially infants, children, and pregnant women, stressing close adherence to the policy that the efforts to resolve humanitarian issues should continue irrespective of political situation. These policies are ultimately intended to establish a peaceful, prosperous and national community.</w:t>
      </w:r>
    </w:p>
    <w:p w:rsidR="002D5BB0" w:rsidRPr="00222917" w:rsidRDefault="00547908" w:rsidP="00547908">
      <w:pPr>
        <w:pStyle w:val="SingleTxtG"/>
        <w:rPr>
          <w:lang w:val="en-US"/>
        </w:rPr>
      </w:pPr>
      <w:r w:rsidRPr="00222917">
        <w:rPr>
          <w:lang w:val="en-US"/>
        </w:rPr>
        <w:t>295.</w:t>
      </w:r>
      <w:r w:rsidRPr="00222917">
        <w:rPr>
          <w:lang w:val="en-US"/>
        </w:rPr>
        <w:tab/>
      </w:r>
      <w:r w:rsidR="002D5BB0" w:rsidRPr="00222917">
        <w:rPr>
          <w:lang w:val="en-US"/>
        </w:rPr>
        <w:t xml:space="preserve">On 15 August 2009, the Korean Government announced the new initiative for peace on the Korean peninsula to realize genuine peace and reconciliation on the peninsula through denuclearization of the North and arms reduction in both </w:t>
      </w:r>
      <w:smartTag w:uri="urn:schemas-microsoft-com:office:smarttags" w:element="place">
        <w:smartTag w:uri="urn:schemas-microsoft-com:office:smarttags" w:element="country-region">
          <w:r w:rsidR="002D5BB0" w:rsidRPr="00222917">
            <w:rPr>
              <w:lang w:val="en-US"/>
            </w:rPr>
            <w:t>Koreas</w:t>
          </w:r>
        </w:smartTag>
      </w:smartTag>
      <w:r w:rsidR="002D5BB0" w:rsidRPr="00222917">
        <w:rPr>
          <w:lang w:val="en-US"/>
        </w:rPr>
        <w:t xml:space="preserve">, etc. and urged the North to respond to it appropriately. </w:t>
      </w:r>
    </w:p>
    <w:p w:rsidR="002D5BB0" w:rsidRPr="00222917" w:rsidRDefault="008C2CA1" w:rsidP="008C2CA1">
      <w:pPr>
        <w:pStyle w:val="H1G"/>
        <w:rPr>
          <w:lang w:val="en-US"/>
        </w:rPr>
      </w:pPr>
      <w:bookmarkStart w:id="245" w:name="_Toc307504144"/>
      <w:bookmarkStart w:id="246" w:name="_Toc336435916"/>
      <w:r w:rsidRPr="00222917">
        <w:rPr>
          <w:lang w:val="en-US"/>
        </w:rPr>
        <w:tab/>
      </w:r>
      <w:r w:rsidRPr="00222917">
        <w:rPr>
          <w:lang w:val="en-US"/>
        </w:rPr>
        <w:tab/>
      </w:r>
      <w:r w:rsidR="002D5BB0" w:rsidRPr="00222917">
        <w:rPr>
          <w:lang w:val="en-US"/>
        </w:rPr>
        <w:t>Paragraph 2</w:t>
      </w:r>
      <w:bookmarkEnd w:id="245"/>
      <w:bookmarkEnd w:id="246"/>
    </w:p>
    <w:p w:rsidR="002D5BB0" w:rsidRPr="00222917" w:rsidRDefault="008C2CA1" w:rsidP="008C2CA1">
      <w:pPr>
        <w:pStyle w:val="H23G"/>
        <w:rPr>
          <w:lang w:val="en-US"/>
        </w:rPr>
      </w:pPr>
      <w:bookmarkStart w:id="247" w:name="_Toc307504145"/>
      <w:bookmarkStart w:id="248" w:name="_Toc336435917"/>
      <w:r w:rsidRPr="00222917">
        <w:rPr>
          <w:lang w:val="en-US"/>
        </w:rPr>
        <w:tab/>
      </w:r>
      <w:r w:rsidRPr="00222917">
        <w:rPr>
          <w:lang w:val="en-US"/>
        </w:rPr>
        <w:tab/>
      </w:r>
      <w:r w:rsidR="002D5BB0" w:rsidRPr="00222917">
        <w:rPr>
          <w:lang w:val="en-US"/>
        </w:rPr>
        <w:t xml:space="preserve">Enactment of Legislation to Implement the </w:t>
      </w:r>
      <w:smartTag w:uri="urn:schemas-microsoft-com:office:smarttags" w:element="place">
        <w:smartTag w:uri="urn:schemas-microsoft-com:office:smarttags" w:element="City">
          <w:r w:rsidR="002D5BB0" w:rsidRPr="00222917">
            <w:rPr>
              <w:lang w:val="en-US"/>
            </w:rPr>
            <w:t>Rome</w:t>
          </w:r>
        </w:smartTag>
      </w:smartTag>
      <w:r w:rsidR="002D5BB0" w:rsidRPr="00222917">
        <w:rPr>
          <w:lang w:val="en-US"/>
        </w:rPr>
        <w:t xml:space="preserve"> Statute </w:t>
      </w:r>
      <w:r w:rsidRPr="00222917">
        <w:rPr>
          <w:lang w:val="en-US"/>
        </w:rPr>
        <w:br/>
      </w:r>
      <w:r w:rsidR="002D5BB0" w:rsidRPr="00222917">
        <w:rPr>
          <w:lang w:val="en-US"/>
        </w:rPr>
        <w:t>of the International Criminal Court</w:t>
      </w:r>
      <w:bookmarkEnd w:id="247"/>
      <w:bookmarkEnd w:id="248"/>
    </w:p>
    <w:p w:rsidR="002D5BB0" w:rsidRPr="00222917" w:rsidRDefault="00547908" w:rsidP="00547908">
      <w:pPr>
        <w:pStyle w:val="SingleTxtG"/>
        <w:rPr>
          <w:lang w:val="en-US"/>
        </w:rPr>
      </w:pPr>
      <w:r w:rsidRPr="00222917">
        <w:rPr>
          <w:lang w:val="en-US"/>
        </w:rPr>
        <w:t>296.</w:t>
      </w:r>
      <w:r w:rsidRPr="00222917">
        <w:rPr>
          <w:lang w:val="en-US"/>
        </w:rPr>
        <w:tab/>
      </w:r>
      <w:r w:rsidR="002D5BB0" w:rsidRPr="00222917">
        <w:rPr>
          <w:lang w:val="en-US"/>
        </w:rPr>
        <w:t>As stated in the third r</w:t>
      </w:r>
      <w:r w:rsidR="008C2CA1" w:rsidRPr="00222917">
        <w:rPr>
          <w:lang w:val="en-US"/>
        </w:rPr>
        <w:t>eport (CCPR/C/KOR/2005/3, para. </w:t>
      </w:r>
      <w:r w:rsidR="002D5BB0" w:rsidRPr="00222917">
        <w:rPr>
          <w:lang w:val="en-US"/>
        </w:rPr>
        <w:t>304), the Korean Government signed and ratified the Rome Statute of the International Criminal Court. To</w:t>
      </w:r>
      <w:r w:rsidR="008C2CA1" w:rsidRPr="00222917">
        <w:rPr>
          <w:lang w:val="en-US"/>
        </w:rPr>
        <w:t> </w:t>
      </w:r>
      <w:r w:rsidR="002D5BB0" w:rsidRPr="00222917">
        <w:rPr>
          <w:lang w:val="en-US"/>
        </w:rPr>
        <w:t xml:space="preserve">faithfully implement the Rome Statute, the Government, on 21 December 2007, enacted the </w:t>
      </w:r>
      <w:r w:rsidR="002D5BB0" w:rsidRPr="000850F5">
        <w:rPr>
          <w:iCs/>
          <w:lang w:val="en-US"/>
        </w:rPr>
        <w:t xml:space="preserve">Act on Punishment, etc. of Crimes under Jurisdiction of the International Criminal Court </w:t>
      </w:r>
      <w:r w:rsidR="002D5BB0" w:rsidRPr="00222917">
        <w:rPr>
          <w:lang w:val="en-US"/>
        </w:rPr>
        <w:t xml:space="preserve">to punish crimes under the jurisdiction of the International Criminal Court and set forth the scope and procedures of cooperation between the </w:t>
      </w:r>
      <w:smartTag w:uri="urn:schemas-microsoft-com:office:smarttags" w:element="place">
        <w:smartTag w:uri="urn:schemas-microsoft-com:office:smarttags" w:element="PlaceType">
          <w:r w:rsidR="002D5BB0" w:rsidRPr="00222917">
            <w:rPr>
              <w:lang w:val="en-US"/>
            </w:rPr>
            <w:t>Republic</w:t>
          </w:r>
        </w:smartTag>
        <w:r w:rsidR="002D5BB0" w:rsidRPr="00222917">
          <w:rPr>
            <w:lang w:val="en-US"/>
          </w:rPr>
          <w:t xml:space="preserve"> of </w:t>
        </w:r>
        <w:smartTag w:uri="urn:schemas-microsoft-com:office:smarttags" w:element="PlaceName">
          <w:r w:rsidR="002D5BB0" w:rsidRPr="00222917">
            <w:rPr>
              <w:lang w:val="en-US"/>
            </w:rPr>
            <w:t>Korea</w:t>
          </w:r>
        </w:smartTag>
      </w:smartTag>
      <w:r w:rsidR="002D5BB0" w:rsidRPr="00222917">
        <w:rPr>
          <w:lang w:val="en-US"/>
        </w:rPr>
        <w:t xml:space="preserve"> and the International Criminal Court. </w:t>
      </w:r>
    </w:p>
    <w:p w:rsidR="002D5BB0" w:rsidRPr="007C12D2" w:rsidRDefault="008C2CA1" w:rsidP="008C2CA1">
      <w:pPr>
        <w:pStyle w:val="HChG"/>
        <w:rPr>
          <w:sz w:val="24"/>
          <w:szCs w:val="24"/>
          <w:lang w:val="en-US"/>
        </w:rPr>
      </w:pPr>
      <w:bookmarkStart w:id="249" w:name="_Toc307504146"/>
      <w:bookmarkStart w:id="250" w:name="_Toc336435918"/>
      <w:r w:rsidRPr="00222917">
        <w:rPr>
          <w:lang w:val="en-US"/>
        </w:rPr>
        <w:tab/>
      </w:r>
      <w:r w:rsidRPr="00222917">
        <w:rPr>
          <w:lang w:val="en-US"/>
        </w:rPr>
        <w:tab/>
      </w:r>
      <w:r w:rsidR="002D5BB0" w:rsidRPr="007C12D2">
        <w:rPr>
          <w:sz w:val="24"/>
          <w:szCs w:val="24"/>
          <w:lang w:val="en-US"/>
        </w:rPr>
        <w:t>Article 21</w:t>
      </w:r>
      <w:bookmarkEnd w:id="249"/>
      <w:bookmarkEnd w:id="250"/>
    </w:p>
    <w:p w:rsidR="002D5BB0" w:rsidRPr="00222917" w:rsidRDefault="00547908" w:rsidP="00547908">
      <w:pPr>
        <w:pStyle w:val="SingleTxtG"/>
        <w:rPr>
          <w:lang w:val="en-US"/>
        </w:rPr>
      </w:pPr>
      <w:r w:rsidRPr="00222917">
        <w:rPr>
          <w:lang w:val="en-US"/>
        </w:rPr>
        <w:t>297.</w:t>
      </w:r>
      <w:r w:rsidRPr="00222917">
        <w:rPr>
          <w:lang w:val="en-US"/>
        </w:rPr>
        <w:tab/>
      </w:r>
      <w:r w:rsidR="002D5BB0" w:rsidRPr="00222917">
        <w:rPr>
          <w:lang w:val="en-US"/>
        </w:rPr>
        <w:t xml:space="preserve">Details of </w:t>
      </w:r>
      <w:r w:rsidR="002D5BB0" w:rsidRPr="00222917">
        <w:rPr>
          <w:bCs/>
          <w:lang w:val="en-US"/>
        </w:rPr>
        <w:t xml:space="preserve">the </w:t>
      </w:r>
      <w:r w:rsidR="002D5BB0" w:rsidRPr="000850F5">
        <w:rPr>
          <w:bCs/>
          <w:iCs/>
          <w:lang w:val="en-US"/>
        </w:rPr>
        <w:t>Act</w:t>
      </w:r>
      <w:r w:rsidR="002D5BB0" w:rsidRPr="00222917">
        <w:rPr>
          <w:bCs/>
          <w:i/>
          <w:lang w:val="en-US"/>
        </w:rPr>
        <w:t xml:space="preserve"> </w:t>
      </w:r>
      <w:r w:rsidR="002D5BB0" w:rsidRPr="00222917">
        <w:rPr>
          <w:lang w:val="en-US"/>
        </w:rPr>
        <w:t>Concerning</w:t>
      </w:r>
      <w:r w:rsidR="002D5BB0" w:rsidRPr="000850F5">
        <w:rPr>
          <w:bCs/>
          <w:iCs/>
          <w:lang w:val="en-US"/>
        </w:rPr>
        <w:t xml:space="preserve"> Assembly and Demonstration</w:t>
      </w:r>
      <w:r w:rsidR="002D5BB0" w:rsidRPr="00222917">
        <w:rPr>
          <w:lang w:val="en-US"/>
        </w:rPr>
        <w:t xml:space="preserve"> such as obligations to report open-air assemblies, prohibiting assemblies or demonstrations if they are illegal and violent, prohibition against open-air assemblies in certain places, requiring certain conditions to maintain traffic order during assembly, etc. are as stated in the third re</w:t>
      </w:r>
      <w:r w:rsidR="008C2CA1" w:rsidRPr="00222917">
        <w:rPr>
          <w:lang w:val="en-US"/>
        </w:rPr>
        <w:t>port (CCPR/C/KOR/2005/3, paras. </w:t>
      </w:r>
      <w:r w:rsidR="002D5BB0" w:rsidRPr="00222917">
        <w:rPr>
          <w:lang w:val="en-US"/>
        </w:rPr>
        <w:t>309</w:t>
      </w:r>
      <w:r w:rsidR="008C2CA1" w:rsidRPr="00222917">
        <w:rPr>
          <w:lang w:val="en-US"/>
        </w:rPr>
        <w:t>-</w:t>
      </w:r>
      <w:r w:rsidR="002D5BB0" w:rsidRPr="00222917">
        <w:rPr>
          <w:lang w:val="en-US"/>
        </w:rPr>
        <w:t xml:space="preserve">311). </w:t>
      </w:r>
    </w:p>
    <w:p w:rsidR="002D5BB0" w:rsidRPr="00222917" w:rsidRDefault="00547908" w:rsidP="00547908">
      <w:pPr>
        <w:pStyle w:val="SingleTxtG"/>
        <w:rPr>
          <w:lang w:val="en-US"/>
        </w:rPr>
      </w:pPr>
      <w:r w:rsidRPr="00222917">
        <w:rPr>
          <w:lang w:val="en-US"/>
        </w:rPr>
        <w:t>298.</w:t>
      </w:r>
      <w:r w:rsidRPr="00222917">
        <w:rPr>
          <w:lang w:val="en-US"/>
        </w:rPr>
        <w:tab/>
      </w:r>
      <w:r w:rsidR="002D5BB0" w:rsidRPr="00222917">
        <w:rPr>
          <w:lang w:val="en-US"/>
        </w:rPr>
        <w:t>The Korean Government strives to guarantee legal assemblies to the maximum possible extent so as to protect the people’s fundamental rights. However, the Government consistently responds to illegal and violent assemblies in accordance with applicable laws and principles and imposes legal liabilities on those who commit any illegal act. The</w:t>
      </w:r>
      <w:r w:rsidR="008C2CA1" w:rsidRPr="00222917">
        <w:rPr>
          <w:lang w:val="en-US"/>
        </w:rPr>
        <w:t> </w:t>
      </w:r>
      <w:r w:rsidR="002D5BB0" w:rsidRPr="00222917">
        <w:rPr>
          <w:lang w:val="en-US"/>
        </w:rPr>
        <w:t>Government imposes financial punitive measures on persons or organizations that hold illegal protests including claims for injuries or damage inflicted on the police or their equipment, apart from judicial measures. As a result of such efforts, the number of rallies or demonstrations over the last five years has increased every year, while the number of illegal and violent protests was declined by 26.7% in 2010 from the previous year. The numbers of police officers injured and unreported illegal rallies decreased 96.5% and 45.9% respectively.</w:t>
      </w:r>
    </w:p>
    <w:p w:rsidR="002D5BB0" w:rsidRPr="00222917" w:rsidRDefault="008C2CA1" w:rsidP="008C2CA1">
      <w:pPr>
        <w:pStyle w:val="H23G"/>
        <w:rPr>
          <w:lang w:val="en-US"/>
        </w:rPr>
      </w:pPr>
      <w:r w:rsidRPr="00222917">
        <w:rPr>
          <w:lang w:val="en-US"/>
        </w:rPr>
        <w:tab/>
      </w:r>
      <w:r w:rsidRPr="00222917">
        <w:rPr>
          <w:lang w:val="en-US"/>
        </w:rPr>
        <w:tab/>
      </w:r>
      <w:r w:rsidR="002D5BB0" w:rsidRPr="00222917">
        <w:rPr>
          <w:lang w:val="en-US"/>
        </w:rPr>
        <w:t>Rallies and Protests</w:t>
      </w:r>
    </w:p>
    <w:tbl>
      <w:tblPr>
        <w:tblW w:w="0" w:type="auto"/>
        <w:tblInd w:w="1134" w:type="dxa"/>
        <w:tblBorders>
          <w:top w:val="single" w:sz="4" w:space="0" w:color="auto"/>
        </w:tblBorders>
        <w:tblLayout w:type="fixed"/>
        <w:tblCellMar>
          <w:left w:w="0" w:type="dxa"/>
          <w:right w:w="0" w:type="dxa"/>
        </w:tblCellMar>
        <w:tblLook w:val="00A0"/>
      </w:tblPr>
      <w:tblGrid>
        <w:gridCol w:w="1588"/>
        <w:gridCol w:w="964"/>
        <w:gridCol w:w="964"/>
        <w:gridCol w:w="964"/>
        <w:gridCol w:w="964"/>
        <w:gridCol w:w="964"/>
        <w:gridCol w:w="964"/>
      </w:tblGrid>
      <w:tr w:rsidR="008F6543" w:rsidRPr="00222917" w:rsidTr="00221361">
        <w:trPr>
          <w:tblHeader/>
        </w:trPr>
        <w:tc>
          <w:tcPr>
            <w:tcW w:w="1588" w:type="dxa"/>
            <w:tcBorders>
              <w:top w:val="single" w:sz="4" w:space="0" w:color="auto"/>
              <w:bottom w:val="single" w:sz="12" w:space="0" w:color="auto"/>
            </w:tcBorders>
            <w:shd w:val="clear" w:color="auto" w:fill="auto"/>
            <w:tcMar>
              <w:top w:w="28" w:type="dxa"/>
              <w:left w:w="102" w:type="dxa"/>
              <w:bottom w:w="28" w:type="dxa"/>
              <w:right w:w="102" w:type="dxa"/>
            </w:tcMar>
            <w:vAlign w:val="bottom"/>
          </w:tcPr>
          <w:p w:rsidR="002D5BB0" w:rsidRPr="00222917" w:rsidRDefault="002D5BB0" w:rsidP="00221361">
            <w:pPr>
              <w:pStyle w:val="SingleTxtG"/>
              <w:suppressAutoHyphens w:val="0"/>
              <w:spacing w:before="80" w:after="80" w:line="200" w:lineRule="exact"/>
              <w:ind w:left="0" w:right="0"/>
              <w:jc w:val="left"/>
              <w:rPr>
                <w:i/>
                <w:sz w:val="16"/>
                <w:lang w:val="en-US"/>
              </w:rPr>
            </w:pPr>
            <w:r w:rsidRPr="00222917">
              <w:rPr>
                <w:bCs/>
                <w:i/>
                <w:sz w:val="16"/>
                <w:lang w:val="en-US"/>
              </w:rPr>
              <w:t>Year</w:t>
            </w:r>
          </w:p>
        </w:tc>
        <w:tc>
          <w:tcPr>
            <w:tcW w:w="964" w:type="dxa"/>
            <w:tcBorders>
              <w:top w:val="single" w:sz="4" w:space="0" w:color="auto"/>
              <w:bottom w:val="single" w:sz="12" w:space="0" w:color="auto"/>
            </w:tcBorders>
            <w:shd w:val="clear" w:color="auto" w:fill="auto"/>
            <w:tcMar>
              <w:top w:w="28" w:type="dxa"/>
              <w:left w:w="102" w:type="dxa"/>
              <w:bottom w:w="28" w:type="dxa"/>
              <w:right w:w="102" w:type="dxa"/>
            </w:tcMar>
            <w:vAlign w:val="bottom"/>
          </w:tcPr>
          <w:p w:rsidR="002D5BB0" w:rsidRPr="00222917" w:rsidRDefault="002D5BB0" w:rsidP="00221361">
            <w:pPr>
              <w:pStyle w:val="SingleTxtG"/>
              <w:suppressAutoHyphens w:val="0"/>
              <w:spacing w:before="80" w:after="80" w:line="200" w:lineRule="exact"/>
              <w:ind w:left="0" w:right="0"/>
              <w:jc w:val="right"/>
              <w:rPr>
                <w:i/>
                <w:sz w:val="16"/>
                <w:lang w:val="en-US"/>
              </w:rPr>
            </w:pPr>
            <w:r w:rsidRPr="00222917">
              <w:rPr>
                <w:bCs/>
                <w:i/>
                <w:sz w:val="16"/>
                <w:lang w:val="en-US"/>
              </w:rPr>
              <w:t>2005</w:t>
            </w:r>
          </w:p>
        </w:tc>
        <w:tc>
          <w:tcPr>
            <w:tcW w:w="964" w:type="dxa"/>
            <w:tcBorders>
              <w:top w:val="single" w:sz="4" w:space="0" w:color="auto"/>
              <w:bottom w:val="single" w:sz="12" w:space="0" w:color="auto"/>
            </w:tcBorders>
            <w:shd w:val="clear" w:color="auto" w:fill="auto"/>
            <w:tcMar>
              <w:top w:w="28" w:type="dxa"/>
              <w:left w:w="102" w:type="dxa"/>
              <w:bottom w:w="28" w:type="dxa"/>
              <w:right w:w="102" w:type="dxa"/>
            </w:tcMar>
            <w:vAlign w:val="bottom"/>
          </w:tcPr>
          <w:p w:rsidR="002D5BB0" w:rsidRPr="00222917" w:rsidRDefault="002D5BB0" w:rsidP="00221361">
            <w:pPr>
              <w:pStyle w:val="SingleTxtG"/>
              <w:suppressAutoHyphens w:val="0"/>
              <w:spacing w:before="80" w:after="80" w:line="200" w:lineRule="exact"/>
              <w:ind w:left="0" w:right="0"/>
              <w:jc w:val="right"/>
              <w:rPr>
                <w:i/>
                <w:sz w:val="16"/>
                <w:lang w:val="en-US"/>
              </w:rPr>
            </w:pPr>
            <w:r w:rsidRPr="00222917">
              <w:rPr>
                <w:bCs/>
                <w:i/>
                <w:sz w:val="16"/>
                <w:lang w:val="en-US"/>
              </w:rPr>
              <w:t>2006</w:t>
            </w:r>
          </w:p>
        </w:tc>
        <w:tc>
          <w:tcPr>
            <w:tcW w:w="964" w:type="dxa"/>
            <w:tcBorders>
              <w:top w:val="single" w:sz="4" w:space="0" w:color="auto"/>
              <w:bottom w:val="single" w:sz="12" w:space="0" w:color="auto"/>
            </w:tcBorders>
            <w:shd w:val="clear" w:color="auto" w:fill="auto"/>
            <w:tcMar>
              <w:top w:w="28" w:type="dxa"/>
              <w:left w:w="102" w:type="dxa"/>
              <w:bottom w:w="28" w:type="dxa"/>
              <w:right w:w="102" w:type="dxa"/>
            </w:tcMar>
            <w:vAlign w:val="bottom"/>
          </w:tcPr>
          <w:p w:rsidR="002D5BB0" w:rsidRPr="00222917" w:rsidRDefault="002D5BB0" w:rsidP="00221361">
            <w:pPr>
              <w:pStyle w:val="SingleTxtG"/>
              <w:suppressAutoHyphens w:val="0"/>
              <w:spacing w:before="80" w:after="80" w:line="200" w:lineRule="exact"/>
              <w:ind w:left="0" w:right="0"/>
              <w:jc w:val="right"/>
              <w:rPr>
                <w:i/>
                <w:sz w:val="16"/>
                <w:lang w:val="en-US"/>
              </w:rPr>
            </w:pPr>
            <w:r w:rsidRPr="00222917">
              <w:rPr>
                <w:bCs/>
                <w:i/>
                <w:sz w:val="16"/>
                <w:lang w:val="en-US"/>
              </w:rPr>
              <w:t>2007</w:t>
            </w:r>
          </w:p>
        </w:tc>
        <w:tc>
          <w:tcPr>
            <w:tcW w:w="964" w:type="dxa"/>
            <w:tcBorders>
              <w:top w:val="single" w:sz="4" w:space="0" w:color="auto"/>
              <w:bottom w:val="single" w:sz="12" w:space="0" w:color="auto"/>
            </w:tcBorders>
            <w:shd w:val="clear" w:color="auto" w:fill="auto"/>
            <w:tcMar>
              <w:top w:w="28" w:type="dxa"/>
              <w:left w:w="102" w:type="dxa"/>
              <w:bottom w:w="28" w:type="dxa"/>
              <w:right w:w="102" w:type="dxa"/>
            </w:tcMar>
            <w:vAlign w:val="bottom"/>
          </w:tcPr>
          <w:p w:rsidR="002D5BB0" w:rsidRPr="00222917" w:rsidRDefault="002D5BB0" w:rsidP="00221361">
            <w:pPr>
              <w:pStyle w:val="SingleTxtG"/>
              <w:suppressAutoHyphens w:val="0"/>
              <w:spacing w:before="80" w:after="80" w:line="200" w:lineRule="exact"/>
              <w:ind w:left="0" w:right="0"/>
              <w:jc w:val="right"/>
              <w:rPr>
                <w:i/>
                <w:sz w:val="16"/>
                <w:lang w:val="en-US"/>
              </w:rPr>
            </w:pPr>
            <w:r w:rsidRPr="00222917">
              <w:rPr>
                <w:bCs/>
                <w:i/>
                <w:sz w:val="16"/>
                <w:lang w:val="en-US"/>
              </w:rPr>
              <w:t>2008</w:t>
            </w:r>
          </w:p>
        </w:tc>
        <w:tc>
          <w:tcPr>
            <w:tcW w:w="964" w:type="dxa"/>
            <w:tcBorders>
              <w:top w:val="single" w:sz="4" w:space="0" w:color="auto"/>
              <w:bottom w:val="single" w:sz="12" w:space="0" w:color="auto"/>
            </w:tcBorders>
            <w:shd w:val="clear" w:color="auto" w:fill="auto"/>
            <w:tcMar>
              <w:top w:w="28" w:type="dxa"/>
              <w:left w:w="102" w:type="dxa"/>
              <w:bottom w:w="28" w:type="dxa"/>
              <w:right w:w="102" w:type="dxa"/>
            </w:tcMar>
            <w:vAlign w:val="bottom"/>
          </w:tcPr>
          <w:p w:rsidR="002D5BB0" w:rsidRPr="00222917" w:rsidRDefault="002D5BB0" w:rsidP="00221361">
            <w:pPr>
              <w:pStyle w:val="SingleTxtG"/>
              <w:suppressAutoHyphens w:val="0"/>
              <w:spacing w:before="80" w:after="80" w:line="200" w:lineRule="exact"/>
              <w:ind w:left="0" w:right="0"/>
              <w:jc w:val="right"/>
              <w:rPr>
                <w:i/>
                <w:sz w:val="16"/>
                <w:lang w:val="en-US"/>
              </w:rPr>
            </w:pPr>
            <w:r w:rsidRPr="00222917">
              <w:rPr>
                <w:bCs/>
                <w:i/>
                <w:sz w:val="16"/>
                <w:lang w:val="en-US"/>
              </w:rPr>
              <w:t>2009</w:t>
            </w:r>
          </w:p>
        </w:tc>
        <w:tc>
          <w:tcPr>
            <w:tcW w:w="964" w:type="dxa"/>
            <w:tcBorders>
              <w:top w:val="single" w:sz="4" w:space="0" w:color="auto"/>
              <w:bottom w:val="single" w:sz="12" w:space="0" w:color="auto"/>
            </w:tcBorders>
            <w:shd w:val="clear" w:color="auto" w:fill="auto"/>
            <w:vAlign w:val="bottom"/>
          </w:tcPr>
          <w:p w:rsidR="002D5BB0" w:rsidRPr="00222917" w:rsidRDefault="002D5BB0" w:rsidP="00221361">
            <w:pPr>
              <w:pStyle w:val="SingleTxtG"/>
              <w:suppressAutoHyphens w:val="0"/>
              <w:spacing w:before="80" w:after="80" w:line="200" w:lineRule="exact"/>
              <w:ind w:left="0" w:right="0"/>
              <w:jc w:val="right"/>
              <w:rPr>
                <w:bCs/>
                <w:i/>
                <w:sz w:val="16"/>
                <w:lang w:val="en-US"/>
              </w:rPr>
            </w:pPr>
            <w:r w:rsidRPr="00222917">
              <w:rPr>
                <w:bCs/>
                <w:i/>
                <w:sz w:val="16"/>
                <w:lang w:val="en-US"/>
              </w:rPr>
              <w:t>2010</w:t>
            </w:r>
          </w:p>
        </w:tc>
      </w:tr>
      <w:tr w:rsidR="008F6543" w:rsidRPr="00222917" w:rsidTr="00221361">
        <w:tc>
          <w:tcPr>
            <w:tcW w:w="1588" w:type="dxa"/>
            <w:tcBorders>
              <w:top w:val="single" w:sz="12" w:space="0" w:color="auto"/>
            </w:tcBorders>
            <w:shd w:val="clear" w:color="auto" w:fill="auto"/>
            <w:tcMar>
              <w:top w:w="28" w:type="dxa"/>
              <w:left w:w="102" w:type="dxa"/>
              <w:bottom w:w="28" w:type="dxa"/>
              <w:right w:w="102" w:type="dxa"/>
            </w:tcMar>
          </w:tcPr>
          <w:p w:rsidR="002D5BB0" w:rsidRPr="00222917" w:rsidRDefault="002D5BB0" w:rsidP="00221361">
            <w:pPr>
              <w:pStyle w:val="SingleTxtG"/>
              <w:suppressAutoHyphens w:val="0"/>
              <w:spacing w:before="40" w:after="40" w:line="220" w:lineRule="exact"/>
              <w:ind w:left="0" w:right="0"/>
              <w:jc w:val="left"/>
              <w:rPr>
                <w:sz w:val="18"/>
                <w:lang w:val="en-US"/>
              </w:rPr>
            </w:pPr>
            <w:r w:rsidRPr="00222917">
              <w:rPr>
                <w:sz w:val="18"/>
                <w:lang w:val="en-US"/>
              </w:rPr>
              <w:t>Incidents</w:t>
            </w:r>
          </w:p>
        </w:tc>
        <w:tc>
          <w:tcPr>
            <w:tcW w:w="964" w:type="dxa"/>
            <w:tcBorders>
              <w:top w:val="single" w:sz="12" w:space="0" w:color="auto"/>
            </w:tcBorders>
            <w:shd w:val="clear" w:color="auto" w:fill="auto"/>
            <w:tcMar>
              <w:top w:w="28" w:type="dxa"/>
              <w:left w:w="102" w:type="dxa"/>
              <w:bottom w:w="28" w:type="dxa"/>
              <w:right w:w="102" w:type="dxa"/>
            </w:tcMar>
            <w:vAlign w:val="bottom"/>
          </w:tcPr>
          <w:p w:rsidR="002D5BB0" w:rsidRPr="00222917" w:rsidRDefault="002D5BB0" w:rsidP="00221361">
            <w:pPr>
              <w:pStyle w:val="SingleTxtG"/>
              <w:suppressAutoHyphens w:val="0"/>
              <w:spacing w:before="40" w:after="40" w:line="220" w:lineRule="exact"/>
              <w:ind w:left="0" w:right="0"/>
              <w:jc w:val="right"/>
              <w:rPr>
                <w:sz w:val="18"/>
                <w:lang w:val="en-US"/>
              </w:rPr>
            </w:pPr>
            <w:r w:rsidRPr="00222917">
              <w:rPr>
                <w:sz w:val="18"/>
                <w:lang w:val="en-US"/>
              </w:rPr>
              <w:t>11,036</w:t>
            </w:r>
          </w:p>
        </w:tc>
        <w:tc>
          <w:tcPr>
            <w:tcW w:w="964" w:type="dxa"/>
            <w:tcBorders>
              <w:top w:val="single" w:sz="12" w:space="0" w:color="auto"/>
            </w:tcBorders>
            <w:shd w:val="clear" w:color="auto" w:fill="auto"/>
            <w:tcMar>
              <w:top w:w="28" w:type="dxa"/>
              <w:left w:w="102" w:type="dxa"/>
              <w:bottom w:w="28" w:type="dxa"/>
              <w:right w:w="102" w:type="dxa"/>
            </w:tcMar>
            <w:vAlign w:val="bottom"/>
          </w:tcPr>
          <w:p w:rsidR="002D5BB0" w:rsidRPr="00222917" w:rsidRDefault="002D5BB0" w:rsidP="00221361">
            <w:pPr>
              <w:pStyle w:val="SingleTxtG"/>
              <w:suppressAutoHyphens w:val="0"/>
              <w:spacing w:before="40" w:after="40" w:line="220" w:lineRule="exact"/>
              <w:ind w:left="0" w:right="0"/>
              <w:jc w:val="right"/>
              <w:rPr>
                <w:sz w:val="18"/>
                <w:lang w:val="en-US"/>
              </w:rPr>
            </w:pPr>
            <w:r w:rsidRPr="00222917">
              <w:rPr>
                <w:sz w:val="18"/>
                <w:lang w:val="en-US"/>
              </w:rPr>
              <w:t>10,368</w:t>
            </w:r>
          </w:p>
        </w:tc>
        <w:tc>
          <w:tcPr>
            <w:tcW w:w="964" w:type="dxa"/>
            <w:tcBorders>
              <w:top w:val="single" w:sz="12" w:space="0" w:color="auto"/>
            </w:tcBorders>
            <w:shd w:val="clear" w:color="auto" w:fill="auto"/>
            <w:tcMar>
              <w:top w:w="28" w:type="dxa"/>
              <w:left w:w="102" w:type="dxa"/>
              <w:bottom w:w="28" w:type="dxa"/>
              <w:right w:w="102" w:type="dxa"/>
            </w:tcMar>
            <w:vAlign w:val="bottom"/>
          </w:tcPr>
          <w:p w:rsidR="002D5BB0" w:rsidRPr="00222917" w:rsidRDefault="002D5BB0" w:rsidP="00221361">
            <w:pPr>
              <w:pStyle w:val="SingleTxtG"/>
              <w:suppressAutoHyphens w:val="0"/>
              <w:spacing w:before="40" w:after="40" w:line="220" w:lineRule="exact"/>
              <w:ind w:left="0" w:right="0"/>
              <w:jc w:val="right"/>
              <w:rPr>
                <w:sz w:val="18"/>
                <w:lang w:val="en-US"/>
              </w:rPr>
            </w:pPr>
            <w:r w:rsidRPr="00222917">
              <w:rPr>
                <w:sz w:val="18"/>
                <w:lang w:val="en-US"/>
              </w:rPr>
              <w:t>11,904</w:t>
            </w:r>
          </w:p>
        </w:tc>
        <w:tc>
          <w:tcPr>
            <w:tcW w:w="964" w:type="dxa"/>
            <w:tcBorders>
              <w:top w:val="single" w:sz="12" w:space="0" w:color="auto"/>
            </w:tcBorders>
            <w:shd w:val="clear" w:color="auto" w:fill="auto"/>
            <w:tcMar>
              <w:top w:w="28" w:type="dxa"/>
              <w:left w:w="102" w:type="dxa"/>
              <w:bottom w:w="28" w:type="dxa"/>
              <w:right w:w="102" w:type="dxa"/>
            </w:tcMar>
            <w:vAlign w:val="bottom"/>
          </w:tcPr>
          <w:p w:rsidR="002D5BB0" w:rsidRPr="00222917" w:rsidRDefault="002D5BB0" w:rsidP="00221361">
            <w:pPr>
              <w:pStyle w:val="SingleTxtG"/>
              <w:suppressAutoHyphens w:val="0"/>
              <w:spacing w:before="40" w:after="40" w:line="220" w:lineRule="exact"/>
              <w:ind w:left="0" w:right="0"/>
              <w:jc w:val="right"/>
              <w:rPr>
                <w:sz w:val="18"/>
                <w:lang w:val="en-US"/>
              </w:rPr>
            </w:pPr>
            <w:r w:rsidRPr="00222917">
              <w:rPr>
                <w:sz w:val="18"/>
                <w:lang w:val="en-US"/>
              </w:rPr>
              <w:t>13,406</w:t>
            </w:r>
          </w:p>
        </w:tc>
        <w:tc>
          <w:tcPr>
            <w:tcW w:w="964" w:type="dxa"/>
            <w:tcBorders>
              <w:top w:val="single" w:sz="12" w:space="0" w:color="auto"/>
            </w:tcBorders>
            <w:shd w:val="clear" w:color="auto" w:fill="auto"/>
            <w:tcMar>
              <w:top w:w="28" w:type="dxa"/>
              <w:left w:w="102" w:type="dxa"/>
              <w:bottom w:w="28" w:type="dxa"/>
              <w:right w:w="102" w:type="dxa"/>
            </w:tcMar>
            <w:vAlign w:val="bottom"/>
          </w:tcPr>
          <w:p w:rsidR="002D5BB0" w:rsidRPr="00222917" w:rsidRDefault="002D5BB0" w:rsidP="00221361">
            <w:pPr>
              <w:pStyle w:val="SingleTxtG"/>
              <w:suppressAutoHyphens w:val="0"/>
              <w:spacing w:before="40" w:after="40" w:line="220" w:lineRule="exact"/>
              <w:ind w:left="0" w:right="0"/>
              <w:jc w:val="right"/>
              <w:rPr>
                <w:sz w:val="18"/>
                <w:lang w:val="en-US"/>
              </w:rPr>
            </w:pPr>
            <w:r w:rsidRPr="00222917">
              <w:rPr>
                <w:sz w:val="18"/>
                <w:lang w:val="en-US"/>
              </w:rPr>
              <w:t>14,384</w:t>
            </w:r>
          </w:p>
        </w:tc>
        <w:tc>
          <w:tcPr>
            <w:tcW w:w="964" w:type="dxa"/>
            <w:tcBorders>
              <w:top w:val="single" w:sz="12" w:space="0" w:color="auto"/>
            </w:tcBorders>
            <w:shd w:val="clear" w:color="auto" w:fill="auto"/>
            <w:vAlign w:val="bottom"/>
          </w:tcPr>
          <w:p w:rsidR="002D5BB0" w:rsidRPr="00222917" w:rsidRDefault="002D5BB0" w:rsidP="00221361">
            <w:pPr>
              <w:pStyle w:val="SingleTxtG"/>
              <w:suppressAutoHyphens w:val="0"/>
              <w:spacing w:before="40" w:after="40" w:line="220" w:lineRule="exact"/>
              <w:ind w:left="0" w:right="0"/>
              <w:jc w:val="right"/>
              <w:rPr>
                <w:sz w:val="18"/>
                <w:lang w:val="en-US"/>
              </w:rPr>
            </w:pPr>
            <w:r w:rsidRPr="00222917">
              <w:rPr>
                <w:sz w:val="18"/>
                <w:lang w:val="en-US"/>
              </w:rPr>
              <w:t>8,811</w:t>
            </w:r>
          </w:p>
        </w:tc>
      </w:tr>
      <w:tr w:rsidR="008F6543" w:rsidRPr="00222917" w:rsidTr="00221361">
        <w:tc>
          <w:tcPr>
            <w:tcW w:w="1588" w:type="dxa"/>
            <w:shd w:val="clear" w:color="auto" w:fill="auto"/>
            <w:tcMar>
              <w:top w:w="28" w:type="dxa"/>
              <w:left w:w="102" w:type="dxa"/>
              <w:bottom w:w="28" w:type="dxa"/>
              <w:right w:w="102" w:type="dxa"/>
            </w:tcMar>
          </w:tcPr>
          <w:p w:rsidR="002D5BB0" w:rsidRPr="00222917" w:rsidRDefault="002D5BB0" w:rsidP="00221361">
            <w:pPr>
              <w:pStyle w:val="SingleTxtG"/>
              <w:suppressAutoHyphens w:val="0"/>
              <w:spacing w:before="40" w:after="40" w:line="220" w:lineRule="exact"/>
              <w:ind w:left="0" w:right="0"/>
              <w:jc w:val="left"/>
              <w:rPr>
                <w:sz w:val="18"/>
                <w:lang w:val="en-US"/>
              </w:rPr>
            </w:pPr>
            <w:r w:rsidRPr="00222917">
              <w:rPr>
                <w:sz w:val="18"/>
                <w:lang w:val="en-US"/>
              </w:rPr>
              <w:t>Participants</w:t>
            </w:r>
          </w:p>
        </w:tc>
        <w:tc>
          <w:tcPr>
            <w:tcW w:w="964" w:type="dxa"/>
            <w:shd w:val="clear" w:color="auto" w:fill="auto"/>
            <w:tcMar>
              <w:top w:w="28" w:type="dxa"/>
              <w:left w:w="102" w:type="dxa"/>
              <w:bottom w:w="28" w:type="dxa"/>
              <w:right w:w="102" w:type="dxa"/>
            </w:tcMar>
            <w:vAlign w:val="bottom"/>
          </w:tcPr>
          <w:p w:rsidR="002D5BB0" w:rsidRPr="00222917" w:rsidRDefault="002D5BB0" w:rsidP="00221361">
            <w:pPr>
              <w:pStyle w:val="SingleTxtG"/>
              <w:suppressAutoHyphens w:val="0"/>
              <w:spacing w:before="40" w:after="40" w:line="220" w:lineRule="exact"/>
              <w:ind w:left="0" w:right="0"/>
              <w:jc w:val="right"/>
              <w:rPr>
                <w:sz w:val="18"/>
                <w:lang w:val="en-US"/>
              </w:rPr>
            </w:pPr>
            <w:r w:rsidRPr="00222917">
              <w:rPr>
                <w:sz w:val="18"/>
                <w:lang w:val="en-US"/>
              </w:rPr>
              <w:t>2,928,483</w:t>
            </w:r>
          </w:p>
        </w:tc>
        <w:tc>
          <w:tcPr>
            <w:tcW w:w="964" w:type="dxa"/>
            <w:shd w:val="clear" w:color="auto" w:fill="auto"/>
            <w:tcMar>
              <w:top w:w="28" w:type="dxa"/>
              <w:left w:w="102" w:type="dxa"/>
              <w:bottom w:w="28" w:type="dxa"/>
              <w:right w:w="102" w:type="dxa"/>
            </w:tcMar>
            <w:vAlign w:val="bottom"/>
          </w:tcPr>
          <w:p w:rsidR="002D5BB0" w:rsidRPr="00222917" w:rsidRDefault="002D5BB0" w:rsidP="00221361">
            <w:pPr>
              <w:pStyle w:val="SingleTxtG"/>
              <w:suppressAutoHyphens w:val="0"/>
              <w:spacing w:before="40" w:after="40" w:line="220" w:lineRule="exact"/>
              <w:ind w:left="0" w:right="0"/>
              <w:jc w:val="right"/>
              <w:rPr>
                <w:sz w:val="18"/>
                <w:lang w:val="en-US"/>
              </w:rPr>
            </w:pPr>
            <w:r w:rsidRPr="00222917">
              <w:rPr>
                <w:sz w:val="18"/>
                <w:lang w:val="en-US"/>
              </w:rPr>
              <w:t>2,617,893</w:t>
            </w:r>
          </w:p>
        </w:tc>
        <w:tc>
          <w:tcPr>
            <w:tcW w:w="964" w:type="dxa"/>
            <w:shd w:val="clear" w:color="auto" w:fill="auto"/>
            <w:tcMar>
              <w:top w:w="28" w:type="dxa"/>
              <w:left w:w="102" w:type="dxa"/>
              <w:bottom w:w="28" w:type="dxa"/>
              <w:right w:w="102" w:type="dxa"/>
            </w:tcMar>
            <w:vAlign w:val="bottom"/>
          </w:tcPr>
          <w:p w:rsidR="002D5BB0" w:rsidRPr="00222917" w:rsidRDefault="002D5BB0" w:rsidP="00221361">
            <w:pPr>
              <w:pStyle w:val="SingleTxtG"/>
              <w:suppressAutoHyphens w:val="0"/>
              <w:spacing w:before="40" w:after="40" w:line="220" w:lineRule="exact"/>
              <w:ind w:left="0" w:right="0"/>
              <w:jc w:val="right"/>
              <w:rPr>
                <w:sz w:val="18"/>
                <w:lang w:val="en-US"/>
              </w:rPr>
            </w:pPr>
            <w:r w:rsidRPr="00222917">
              <w:rPr>
                <w:sz w:val="18"/>
                <w:lang w:val="en-US"/>
              </w:rPr>
              <w:t>2,327,608</w:t>
            </w:r>
          </w:p>
        </w:tc>
        <w:tc>
          <w:tcPr>
            <w:tcW w:w="964" w:type="dxa"/>
            <w:shd w:val="clear" w:color="auto" w:fill="auto"/>
            <w:tcMar>
              <w:top w:w="28" w:type="dxa"/>
              <w:left w:w="102" w:type="dxa"/>
              <w:bottom w:w="28" w:type="dxa"/>
              <w:right w:w="102" w:type="dxa"/>
            </w:tcMar>
            <w:vAlign w:val="bottom"/>
          </w:tcPr>
          <w:p w:rsidR="002D5BB0" w:rsidRPr="00222917" w:rsidRDefault="002D5BB0" w:rsidP="00221361">
            <w:pPr>
              <w:pStyle w:val="SingleTxtG"/>
              <w:suppressAutoHyphens w:val="0"/>
              <w:spacing w:before="40" w:after="40" w:line="220" w:lineRule="exact"/>
              <w:ind w:left="0" w:right="0"/>
              <w:jc w:val="right"/>
              <w:rPr>
                <w:sz w:val="18"/>
                <w:lang w:val="en-US"/>
              </w:rPr>
            </w:pPr>
            <w:r w:rsidRPr="00222917">
              <w:rPr>
                <w:sz w:val="18"/>
                <w:lang w:val="en-US"/>
              </w:rPr>
              <w:t>3,082,069</w:t>
            </w:r>
          </w:p>
        </w:tc>
        <w:tc>
          <w:tcPr>
            <w:tcW w:w="964" w:type="dxa"/>
            <w:shd w:val="clear" w:color="auto" w:fill="auto"/>
            <w:tcMar>
              <w:top w:w="28" w:type="dxa"/>
              <w:left w:w="102" w:type="dxa"/>
              <w:bottom w:w="28" w:type="dxa"/>
              <w:right w:w="102" w:type="dxa"/>
            </w:tcMar>
            <w:vAlign w:val="bottom"/>
          </w:tcPr>
          <w:p w:rsidR="002D5BB0" w:rsidRPr="00222917" w:rsidRDefault="002D5BB0" w:rsidP="00221361">
            <w:pPr>
              <w:pStyle w:val="SingleTxtG"/>
              <w:suppressAutoHyphens w:val="0"/>
              <w:spacing w:before="40" w:after="40" w:line="220" w:lineRule="exact"/>
              <w:ind w:left="0" w:right="0"/>
              <w:jc w:val="right"/>
              <w:rPr>
                <w:sz w:val="18"/>
                <w:lang w:val="en-US"/>
              </w:rPr>
            </w:pPr>
            <w:r w:rsidRPr="00222917">
              <w:rPr>
                <w:sz w:val="18"/>
                <w:lang w:val="en-US"/>
              </w:rPr>
              <w:t>3,092,668</w:t>
            </w:r>
          </w:p>
        </w:tc>
        <w:tc>
          <w:tcPr>
            <w:tcW w:w="964" w:type="dxa"/>
            <w:shd w:val="clear" w:color="auto" w:fill="auto"/>
            <w:vAlign w:val="bottom"/>
          </w:tcPr>
          <w:p w:rsidR="002D5BB0" w:rsidRPr="00222917" w:rsidRDefault="002D5BB0" w:rsidP="00221361">
            <w:pPr>
              <w:pStyle w:val="SingleTxtG"/>
              <w:suppressAutoHyphens w:val="0"/>
              <w:spacing w:before="40" w:after="40" w:line="220" w:lineRule="exact"/>
              <w:ind w:left="0" w:right="0"/>
              <w:jc w:val="right"/>
              <w:rPr>
                <w:sz w:val="18"/>
                <w:lang w:val="en-US"/>
              </w:rPr>
            </w:pPr>
            <w:r w:rsidRPr="00222917">
              <w:rPr>
                <w:sz w:val="18"/>
                <w:lang w:val="en-US"/>
              </w:rPr>
              <w:t>1,462,894</w:t>
            </w:r>
          </w:p>
        </w:tc>
      </w:tr>
      <w:tr w:rsidR="008F6543" w:rsidRPr="00222917" w:rsidTr="00221361">
        <w:tc>
          <w:tcPr>
            <w:tcW w:w="1588" w:type="dxa"/>
            <w:shd w:val="clear" w:color="auto" w:fill="auto"/>
            <w:tcMar>
              <w:top w:w="28" w:type="dxa"/>
              <w:left w:w="102" w:type="dxa"/>
              <w:bottom w:w="28" w:type="dxa"/>
              <w:right w:w="102" w:type="dxa"/>
            </w:tcMar>
          </w:tcPr>
          <w:p w:rsidR="002D5BB0" w:rsidRPr="00222917" w:rsidRDefault="002D5BB0" w:rsidP="00224E03">
            <w:pPr>
              <w:pStyle w:val="SingleTxtG"/>
              <w:suppressAutoHyphens w:val="0"/>
              <w:spacing w:before="40" w:after="40" w:line="220" w:lineRule="exact"/>
              <w:ind w:left="0" w:right="0"/>
              <w:jc w:val="left"/>
              <w:rPr>
                <w:sz w:val="18"/>
                <w:lang w:val="en-US"/>
              </w:rPr>
            </w:pPr>
            <w:r w:rsidRPr="00222917">
              <w:rPr>
                <w:sz w:val="18"/>
                <w:lang w:val="en-US"/>
              </w:rPr>
              <w:t>Unreported</w:t>
            </w:r>
            <w:r w:rsidR="00224E03" w:rsidRPr="00222917">
              <w:rPr>
                <w:sz w:val="18"/>
                <w:lang w:val="en-US"/>
              </w:rPr>
              <w:br/>
            </w:r>
            <w:r w:rsidRPr="00222917">
              <w:rPr>
                <w:sz w:val="18"/>
                <w:lang w:val="en-US"/>
              </w:rPr>
              <w:t>illegal rallies</w:t>
            </w:r>
          </w:p>
        </w:tc>
        <w:tc>
          <w:tcPr>
            <w:tcW w:w="964" w:type="dxa"/>
            <w:shd w:val="clear" w:color="auto" w:fill="auto"/>
            <w:tcMar>
              <w:top w:w="28" w:type="dxa"/>
              <w:left w:w="102" w:type="dxa"/>
              <w:bottom w:w="28" w:type="dxa"/>
              <w:right w:w="102" w:type="dxa"/>
            </w:tcMar>
            <w:vAlign w:val="bottom"/>
          </w:tcPr>
          <w:p w:rsidR="002D5BB0" w:rsidRPr="00222917" w:rsidRDefault="002D5BB0" w:rsidP="00221361">
            <w:pPr>
              <w:pStyle w:val="SingleTxtG"/>
              <w:suppressAutoHyphens w:val="0"/>
              <w:spacing w:before="40" w:after="40" w:line="220" w:lineRule="exact"/>
              <w:ind w:left="0" w:right="0"/>
              <w:jc w:val="right"/>
              <w:rPr>
                <w:sz w:val="18"/>
                <w:lang w:val="en-US"/>
              </w:rPr>
            </w:pPr>
            <w:r w:rsidRPr="00222917">
              <w:rPr>
                <w:sz w:val="18"/>
                <w:lang w:val="en-US"/>
              </w:rPr>
              <w:t>1,001</w:t>
            </w:r>
          </w:p>
        </w:tc>
        <w:tc>
          <w:tcPr>
            <w:tcW w:w="964" w:type="dxa"/>
            <w:shd w:val="clear" w:color="auto" w:fill="auto"/>
            <w:tcMar>
              <w:top w:w="28" w:type="dxa"/>
              <w:left w:w="102" w:type="dxa"/>
              <w:bottom w:w="28" w:type="dxa"/>
              <w:right w:w="102" w:type="dxa"/>
            </w:tcMar>
            <w:vAlign w:val="bottom"/>
          </w:tcPr>
          <w:p w:rsidR="002D5BB0" w:rsidRPr="00222917" w:rsidRDefault="002D5BB0" w:rsidP="00221361">
            <w:pPr>
              <w:pStyle w:val="SingleTxtG"/>
              <w:suppressAutoHyphens w:val="0"/>
              <w:spacing w:before="40" w:after="40" w:line="220" w:lineRule="exact"/>
              <w:ind w:left="0" w:right="0"/>
              <w:jc w:val="right"/>
              <w:rPr>
                <w:sz w:val="18"/>
                <w:lang w:val="en-US"/>
              </w:rPr>
            </w:pPr>
            <w:r w:rsidRPr="00222917">
              <w:rPr>
                <w:sz w:val="18"/>
                <w:lang w:val="en-US"/>
              </w:rPr>
              <w:t>826</w:t>
            </w:r>
          </w:p>
        </w:tc>
        <w:tc>
          <w:tcPr>
            <w:tcW w:w="964" w:type="dxa"/>
            <w:shd w:val="clear" w:color="auto" w:fill="auto"/>
            <w:tcMar>
              <w:top w:w="28" w:type="dxa"/>
              <w:left w:w="102" w:type="dxa"/>
              <w:bottom w:w="28" w:type="dxa"/>
              <w:right w:w="102" w:type="dxa"/>
            </w:tcMar>
            <w:vAlign w:val="bottom"/>
          </w:tcPr>
          <w:p w:rsidR="002D5BB0" w:rsidRPr="00222917" w:rsidRDefault="002D5BB0" w:rsidP="00221361">
            <w:pPr>
              <w:pStyle w:val="SingleTxtG"/>
              <w:suppressAutoHyphens w:val="0"/>
              <w:spacing w:before="40" w:after="40" w:line="220" w:lineRule="exact"/>
              <w:ind w:left="0" w:right="0"/>
              <w:jc w:val="right"/>
              <w:rPr>
                <w:sz w:val="18"/>
                <w:lang w:val="en-US"/>
              </w:rPr>
            </w:pPr>
            <w:r w:rsidRPr="00222917">
              <w:rPr>
                <w:sz w:val="18"/>
                <w:lang w:val="en-US"/>
              </w:rPr>
              <w:t>588</w:t>
            </w:r>
          </w:p>
        </w:tc>
        <w:tc>
          <w:tcPr>
            <w:tcW w:w="964" w:type="dxa"/>
            <w:shd w:val="clear" w:color="auto" w:fill="auto"/>
            <w:tcMar>
              <w:top w:w="28" w:type="dxa"/>
              <w:left w:w="102" w:type="dxa"/>
              <w:bottom w:w="28" w:type="dxa"/>
              <w:right w:w="102" w:type="dxa"/>
            </w:tcMar>
            <w:vAlign w:val="bottom"/>
          </w:tcPr>
          <w:p w:rsidR="002D5BB0" w:rsidRPr="00222917" w:rsidRDefault="002D5BB0" w:rsidP="00221361">
            <w:pPr>
              <w:pStyle w:val="SingleTxtG"/>
              <w:suppressAutoHyphens w:val="0"/>
              <w:spacing w:before="40" w:after="40" w:line="220" w:lineRule="exact"/>
              <w:ind w:left="0" w:right="0"/>
              <w:jc w:val="right"/>
              <w:rPr>
                <w:sz w:val="18"/>
                <w:lang w:val="en-US"/>
              </w:rPr>
            </w:pPr>
            <w:r w:rsidRPr="00222917">
              <w:rPr>
                <w:sz w:val="18"/>
                <w:lang w:val="en-US"/>
              </w:rPr>
              <w:t>3,155</w:t>
            </w:r>
          </w:p>
        </w:tc>
        <w:tc>
          <w:tcPr>
            <w:tcW w:w="964" w:type="dxa"/>
            <w:shd w:val="clear" w:color="auto" w:fill="auto"/>
            <w:tcMar>
              <w:top w:w="28" w:type="dxa"/>
              <w:left w:w="102" w:type="dxa"/>
              <w:bottom w:w="28" w:type="dxa"/>
              <w:right w:w="102" w:type="dxa"/>
            </w:tcMar>
            <w:vAlign w:val="bottom"/>
          </w:tcPr>
          <w:p w:rsidR="002D5BB0" w:rsidRPr="00222917" w:rsidRDefault="002D5BB0" w:rsidP="00221361">
            <w:pPr>
              <w:pStyle w:val="SingleTxtG"/>
              <w:suppressAutoHyphens w:val="0"/>
              <w:spacing w:before="40" w:after="40" w:line="220" w:lineRule="exact"/>
              <w:ind w:left="0" w:right="0"/>
              <w:jc w:val="right"/>
              <w:rPr>
                <w:sz w:val="18"/>
                <w:lang w:val="en-US"/>
              </w:rPr>
            </w:pPr>
            <w:r w:rsidRPr="00222917">
              <w:rPr>
                <w:sz w:val="18"/>
                <w:lang w:val="en-US"/>
              </w:rPr>
              <w:t>980</w:t>
            </w:r>
          </w:p>
        </w:tc>
        <w:tc>
          <w:tcPr>
            <w:tcW w:w="964" w:type="dxa"/>
            <w:shd w:val="clear" w:color="auto" w:fill="auto"/>
            <w:vAlign w:val="bottom"/>
          </w:tcPr>
          <w:p w:rsidR="002D5BB0" w:rsidRPr="00222917" w:rsidRDefault="002D5BB0" w:rsidP="00221361">
            <w:pPr>
              <w:pStyle w:val="SingleTxtG"/>
              <w:suppressAutoHyphens w:val="0"/>
              <w:spacing w:before="40" w:after="40" w:line="220" w:lineRule="exact"/>
              <w:ind w:left="0" w:right="0"/>
              <w:jc w:val="right"/>
              <w:rPr>
                <w:sz w:val="18"/>
                <w:lang w:val="en-US"/>
              </w:rPr>
            </w:pPr>
            <w:r w:rsidRPr="00222917">
              <w:rPr>
                <w:sz w:val="18"/>
                <w:lang w:val="en-US"/>
              </w:rPr>
              <w:t>530</w:t>
            </w:r>
          </w:p>
        </w:tc>
      </w:tr>
      <w:tr w:rsidR="008F6543" w:rsidRPr="00222917" w:rsidTr="00221361">
        <w:tc>
          <w:tcPr>
            <w:tcW w:w="1588" w:type="dxa"/>
            <w:shd w:val="clear" w:color="auto" w:fill="auto"/>
            <w:tcMar>
              <w:top w:w="28" w:type="dxa"/>
              <w:left w:w="102" w:type="dxa"/>
              <w:bottom w:w="28" w:type="dxa"/>
              <w:right w:w="102" w:type="dxa"/>
            </w:tcMar>
          </w:tcPr>
          <w:p w:rsidR="002D5BB0" w:rsidRPr="00222917" w:rsidRDefault="002D5BB0" w:rsidP="00221361">
            <w:pPr>
              <w:pStyle w:val="SingleTxtG"/>
              <w:suppressAutoHyphens w:val="0"/>
              <w:spacing w:before="40" w:after="40" w:line="220" w:lineRule="exact"/>
              <w:ind w:left="0" w:right="0"/>
              <w:jc w:val="left"/>
              <w:rPr>
                <w:sz w:val="18"/>
                <w:lang w:val="en-US"/>
              </w:rPr>
            </w:pPr>
            <w:r w:rsidRPr="00222917">
              <w:rPr>
                <w:sz w:val="18"/>
                <w:lang w:val="en-US"/>
              </w:rPr>
              <w:t>Illegal and violent protests</w:t>
            </w:r>
          </w:p>
        </w:tc>
        <w:tc>
          <w:tcPr>
            <w:tcW w:w="964" w:type="dxa"/>
            <w:shd w:val="clear" w:color="auto" w:fill="auto"/>
            <w:tcMar>
              <w:top w:w="28" w:type="dxa"/>
              <w:left w:w="102" w:type="dxa"/>
              <w:bottom w:w="28" w:type="dxa"/>
              <w:right w:w="102" w:type="dxa"/>
            </w:tcMar>
            <w:vAlign w:val="bottom"/>
          </w:tcPr>
          <w:p w:rsidR="002D5BB0" w:rsidRPr="00222917" w:rsidRDefault="002D5BB0" w:rsidP="00221361">
            <w:pPr>
              <w:pStyle w:val="SingleTxtG"/>
              <w:suppressAutoHyphens w:val="0"/>
              <w:spacing w:before="40" w:after="40" w:line="220" w:lineRule="exact"/>
              <w:ind w:left="0" w:right="0"/>
              <w:jc w:val="right"/>
              <w:rPr>
                <w:sz w:val="18"/>
                <w:lang w:val="en-US"/>
              </w:rPr>
            </w:pPr>
            <w:r w:rsidRPr="00222917">
              <w:rPr>
                <w:sz w:val="18"/>
                <w:lang w:val="en-US"/>
              </w:rPr>
              <w:t>77</w:t>
            </w:r>
          </w:p>
        </w:tc>
        <w:tc>
          <w:tcPr>
            <w:tcW w:w="964" w:type="dxa"/>
            <w:shd w:val="clear" w:color="auto" w:fill="auto"/>
            <w:tcMar>
              <w:top w:w="28" w:type="dxa"/>
              <w:left w:w="102" w:type="dxa"/>
              <w:bottom w:w="28" w:type="dxa"/>
              <w:right w:w="102" w:type="dxa"/>
            </w:tcMar>
            <w:vAlign w:val="bottom"/>
          </w:tcPr>
          <w:p w:rsidR="002D5BB0" w:rsidRPr="00222917" w:rsidRDefault="002D5BB0" w:rsidP="00221361">
            <w:pPr>
              <w:pStyle w:val="SingleTxtG"/>
              <w:suppressAutoHyphens w:val="0"/>
              <w:spacing w:before="40" w:after="40" w:line="220" w:lineRule="exact"/>
              <w:ind w:left="0" w:right="0"/>
              <w:jc w:val="right"/>
              <w:rPr>
                <w:sz w:val="18"/>
                <w:lang w:val="en-US"/>
              </w:rPr>
            </w:pPr>
            <w:r w:rsidRPr="00222917">
              <w:rPr>
                <w:sz w:val="18"/>
                <w:lang w:val="en-US"/>
              </w:rPr>
              <w:t>62</w:t>
            </w:r>
          </w:p>
        </w:tc>
        <w:tc>
          <w:tcPr>
            <w:tcW w:w="964" w:type="dxa"/>
            <w:shd w:val="clear" w:color="auto" w:fill="auto"/>
            <w:tcMar>
              <w:top w:w="28" w:type="dxa"/>
              <w:left w:w="102" w:type="dxa"/>
              <w:bottom w:w="28" w:type="dxa"/>
              <w:right w:w="102" w:type="dxa"/>
            </w:tcMar>
            <w:vAlign w:val="bottom"/>
          </w:tcPr>
          <w:p w:rsidR="002D5BB0" w:rsidRPr="00222917" w:rsidRDefault="002D5BB0" w:rsidP="00221361">
            <w:pPr>
              <w:pStyle w:val="SingleTxtG"/>
              <w:suppressAutoHyphens w:val="0"/>
              <w:spacing w:before="40" w:after="40" w:line="220" w:lineRule="exact"/>
              <w:ind w:left="0" w:right="0"/>
              <w:jc w:val="right"/>
              <w:rPr>
                <w:sz w:val="18"/>
                <w:lang w:val="en-US"/>
              </w:rPr>
            </w:pPr>
            <w:r w:rsidRPr="00222917">
              <w:rPr>
                <w:sz w:val="18"/>
                <w:lang w:val="en-US"/>
              </w:rPr>
              <w:t>64</w:t>
            </w:r>
          </w:p>
        </w:tc>
        <w:tc>
          <w:tcPr>
            <w:tcW w:w="964" w:type="dxa"/>
            <w:shd w:val="clear" w:color="auto" w:fill="auto"/>
            <w:tcMar>
              <w:top w:w="28" w:type="dxa"/>
              <w:left w:w="102" w:type="dxa"/>
              <w:bottom w:w="28" w:type="dxa"/>
              <w:right w:w="102" w:type="dxa"/>
            </w:tcMar>
            <w:vAlign w:val="bottom"/>
          </w:tcPr>
          <w:p w:rsidR="002D5BB0" w:rsidRPr="00222917" w:rsidRDefault="002D5BB0" w:rsidP="00221361">
            <w:pPr>
              <w:pStyle w:val="SingleTxtG"/>
              <w:suppressAutoHyphens w:val="0"/>
              <w:spacing w:before="40" w:after="40" w:line="220" w:lineRule="exact"/>
              <w:ind w:left="0" w:right="0"/>
              <w:jc w:val="right"/>
              <w:rPr>
                <w:sz w:val="18"/>
                <w:lang w:val="en-US"/>
              </w:rPr>
            </w:pPr>
            <w:r w:rsidRPr="00222917">
              <w:rPr>
                <w:sz w:val="18"/>
                <w:lang w:val="en-US"/>
              </w:rPr>
              <w:t>89</w:t>
            </w:r>
          </w:p>
        </w:tc>
        <w:tc>
          <w:tcPr>
            <w:tcW w:w="964" w:type="dxa"/>
            <w:shd w:val="clear" w:color="auto" w:fill="auto"/>
            <w:tcMar>
              <w:top w:w="28" w:type="dxa"/>
              <w:left w:w="102" w:type="dxa"/>
              <w:bottom w:w="28" w:type="dxa"/>
              <w:right w:w="102" w:type="dxa"/>
            </w:tcMar>
            <w:vAlign w:val="bottom"/>
          </w:tcPr>
          <w:p w:rsidR="002D5BB0" w:rsidRPr="00222917" w:rsidRDefault="002D5BB0" w:rsidP="00221361">
            <w:pPr>
              <w:pStyle w:val="SingleTxtG"/>
              <w:suppressAutoHyphens w:val="0"/>
              <w:spacing w:before="40" w:after="40" w:line="220" w:lineRule="exact"/>
              <w:ind w:left="0" w:right="0"/>
              <w:jc w:val="right"/>
              <w:rPr>
                <w:sz w:val="18"/>
                <w:lang w:val="en-US"/>
              </w:rPr>
            </w:pPr>
            <w:r w:rsidRPr="00222917">
              <w:rPr>
                <w:sz w:val="18"/>
                <w:lang w:val="en-US"/>
              </w:rPr>
              <w:t>45</w:t>
            </w:r>
          </w:p>
        </w:tc>
        <w:tc>
          <w:tcPr>
            <w:tcW w:w="964" w:type="dxa"/>
            <w:shd w:val="clear" w:color="auto" w:fill="auto"/>
            <w:vAlign w:val="bottom"/>
          </w:tcPr>
          <w:p w:rsidR="002D5BB0" w:rsidRPr="00222917" w:rsidRDefault="002D5BB0" w:rsidP="00221361">
            <w:pPr>
              <w:pStyle w:val="SingleTxtG"/>
              <w:suppressAutoHyphens w:val="0"/>
              <w:spacing w:before="40" w:after="40" w:line="220" w:lineRule="exact"/>
              <w:ind w:left="0" w:right="0"/>
              <w:jc w:val="right"/>
              <w:rPr>
                <w:sz w:val="18"/>
                <w:lang w:val="en-US"/>
              </w:rPr>
            </w:pPr>
            <w:r w:rsidRPr="00222917">
              <w:rPr>
                <w:sz w:val="18"/>
                <w:lang w:val="en-US"/>
              </w:rPr>
              <w:t>33</w:t>
            </w:r>
          </w:p>
        </w:tc>
      </w:tr>
      <w:tr w:rsidR="008F6543" w:rsidRPr="00222917" w:rsidTr="00221361">
        <w:tc>
          <w:tcPr>
            <w:tcW w:w="1588" w:type="dxa"/>
            <w:tcBorders>
              <w:bottom w:val="single" w:sz="12" w:space="0" w:color="auto"/>
            </w:tcBorders>
            <w:shd w:val="clear" w:color="auto" w:fill="auto"/>
            <w:tcMar>
              <w:top w:w="28" w:type="dxa"/>
              <w:left w:w="102" w:type="dxa"/>
              <w:bottom w:w="28" w:type="dxa"/>
              <w:right w:w="102" w:type="dxa"/>
            </w:tcMar>
          </w:tcPr>
          <w:p w:rsidR="002D5BB0" w:rsidRPr="00222917" w:rsidRDefault="002D5BB0" w:rsidP="00221361">
            <w:pPr>
              <w:pStyle w:val="SingleTxtG"/>
              <w:suppressAutoHyphens w:val="0"/>
              <w:spacing w:before="40" w:after="40" w:line="220" w:lineRule="exact"/>
              <w:ind w:left="0" w:right="0"/>
              <w:jc w:val="left"/>
              <w:rPr>
                <w:sz w:val="18"/>
                <w:lang w:val="en-US"/>
              </w:rPr>
            </w:pPr>
            <w:r w:rsidRPr="00222917">
              <w:rPr>
                <w:sz w:val="18"/>
                <w:lang w:val="en-US"/>
              </w:rPr>
              <w:t>Police officers injured</w:t>
            </w:r>
          </w:p>
        </w:tc>
        <w:tc>
          <w:tcPr>
            <w:tcW w:w="964" w:type="dxa"/>
            <w:tcBorders>
              <w:bottom w:val="single" w:sz="12" w:space="0" w:color="auto"/>
            </w:tcBorders>
            <w:shd w:val="clear" w:color="auto" w:fill="auto"/>
            <w:tcMar>
              <w:top w:w="28" w:type="dxa"/>
              <w:left w:w="102" w:type="dxa"/>
              <w:bottom w:w="28" w:type="dxa"/>
              <w:right w:w="102" w:type="dxa"/>
            </w:tcMar>
            <w:vAlign w:val="bottom"/>
          </w:tcPr>
          <w:p w:rsidR="002D5BB0" w:rsidRPr="00222917" w:rsidRDefault="002D5BB0" w:rsidP="00221361">
            <w:pPr>
              <w:pStyle w:val="SingleTxtG"/>
              <w:suppressAutoHyphens w:val="0"/>
              <w:spacing w:before="40" w:after="40" w:line="220" w:lineRule="exact"/>
              <w:ind w:left="0" w:right="0"/>
              <w:jc w:val="right"/>
              <w:rPr>
                <w:sz w:val="18"/>
                <w:lang w:val="en-US"/>
              </w:rPr>
            </w:pPr>
            <w:r w:rsidRPr="00222917">
              <w:rPr>
                <w:sz w:val="18"/>
                <w:lang w:val="en-US"/>
              </w:rPr>
              <w:t>893</w:t>
            </w:r>
          </w:p>
        </w:tc>
        <w:tc>
          <w:tcPr>
            <w:tcW w:w="964" w:type="dxa"/>
            <w:tcBorders>
              <w:bottom w:val="single" w:sz="12" w:space="0" w:color="auto"/>
            </w:tcBorders>
            <w:shd w:val="clear" w:color="auto" w:fill="auto"/>
            <w:tcMar>
              <w:top w:w="28" w:type="dxa"/>
              <w:left w:w="102" w:type="dxa"/>
              <w:bottom w:w="28" w:type="dxa"/>
              <w:right w:w="102" w:type="dxa"/>
            </w:tcMar>
            <w:vAlign w:val="bottom"/>
          </w:tcPr>
          <w:p w:rsidR="002D5BB0" w:rsidRPr="00222917" w:rsidRDefault="002D5BB0" w:rsidP="00221361">
            <w:pPr>
              <w:pStyle w:val="SingleTxtG"/>
              <w:suppressAutoHyphens w:val="0"/>
              <w:spacing w:before="40" w:after="40" w:line="220" w:lineRule="exact"/>
              <w:ind w:left="0" w:right="0"/>
              <w:jc w:val="right"/>
              <w:rPr>
                <w:sz w:val="18"/>
                <w:lang w:val="en-US"/>
              </w:rPr>
            </w:pPr>
            <w:r w:rsidRPr="00222917">
              <w:rPr>
                <w:sz w:val="18"/>
                <w:lang w:val="en-US"/>
              </w:rPr>
              <w:t>817</w:t>
            </w:r>
          </w:p>
        </w:tc>
        <w:tc>
          <w:tcPr>
            <w:tcW w:w="964" w:type="dxa"/>
            <w:tcBorders>
              <w:bottom w:val="single" w:sz="12" w:space="0" w:color="auto"/>
            </w:tcBorders>
            <w:shd w:val="clear" w:color="auto" w:fill="auto"/>
            <w:tcMar>
              <w:top w:w="28" w:type="dxa"/>
              <w:left w:w="102" w:type="dxa"/>
              <w:bottom w:w="28" w:type="dxa"/>
              <w:right w:w="102" w:type="dxa"/>
            </w:tcMar>
            <w:vAlign w:val="bottom"/>
          </w:tcPr>
          <w:p w:rsidR="002D5BB0" w:rsidRPr="00222917" w:rsidRDefault="002D5BB0" w:rsidP="00221361">
            <w:pPr>
              <w:pStyle w:val="SingleTxtG"/>
              <w:suppressAutoHyphens w:val="0"/>
              <w:spacing w:before="40" w:after="40" w:line="220" w:lineRule="exact"/>
              <w:ind w:left="0" w:right="0"/>
              <w:jc w:val="right"/>
              <w:rPr>
                <w:sz w:val="18"/>
                <w:lang w:val="en-US"/>
              </w:rPr>
            </w:pPr>
            <w:r w:rsidRPr="00222917">
              <w:rPr>
                <w:sz w:val="18"/>
                <w:lang w:val="en-US"/>
              </w:rPr>
              <w:t>202</w:t>
            </w:r>
          </w:p>
        </w:tc>
        <w:tc>
          <w:tcPr>
            <w:tcW w:w="964" w:type="dxa"/>
            <w:tcBorders>
              <w:bottom w:val="single" w:sz="12" w:space="0" w:color="auto"/>
            </w:tcBorders>
            <w:shd w:val="clear" w:color="auto" w:fill="auto"/>
            <w:tcMar>
              <w:top w:w="28" w:type="dxa"/>
              <w:left w:w="102" w:type="dxa"/>
              <w:bottom w:w="28" w:type="dxa"/>
              <w:right w:w="102" w:type="dxa"/>
            </w:tcMar>
            <w:vAlign w:val="bottom"/>
          </w:tcPr>
          <w:p w:rsidR="002D5BB0" w:rsidRPr="00222917" w:rsidRDefault="002D5BB0" w:rsidP="00221361">
            <w:pPr>
              <w:pStyle w:val="SingleTxtG"/>
              <w:suppressAutoHyphens w:val="0"/>
              <w:spacing w:before="40" w:after="40" w:line="220" w:lineRule="exact"/>
              <w:ind w:left="0" w:right="0"/>
              <w:jc w:val="right"/>
              <w:rPr>
                <w:sz w:val="18"/>
                <w:lang w:val="en-US"/>
              </w:rPr>
            </w:pPr>
            <w:r w:rsidRPr="00222917">
              <w:rPr>
                <w:sz w:val="18"/>
                <w:lang w:val="en-US"/>
              </w:rPr>
              <w:t>577</w:t>
            </w:r>
          </w:p>
        </w:tc>
        <w:tc>
          <w:tcPr>
            <w:tcW w:w="964" w:type="dxa"/>
            <w:tcBorders>
              <w:bottom w:val="single" w:sz="12" w:space="0" w:color="auto"/>
            </w:tcBorders>
            <w:shd w:val="clear" w:color="auto" w:fill="auto"/>
            <w:tcMar>
              <w:top w:w="28" w:type="dxa"/>
              <w:left w:w="102" w:type="dxa"/>
              <w:bottom w:w="28" w:type="dxa"/>
              <w:right w:w="102" w:type="dxa"/>
            </w:tcMar>
            <w:vAlign w:val="bottom"/>
          </w:tcPr>
          <w:p w:rsidR="002D5BB0" w:rsidRPr="00222917" w:rsidRDefault="002D5BB0" w:rsidP="00221361">
            <w:pPr>
              <w:pStyle w:val="SingleTxtG"/>
              <w:suppressAutoHyphens w:val="0"/>
              <w:spacing w:before="40" w:after="40" w:line="220" w:lineRule="exact"/>
              <w:ind w:left="0" w:right="0"/>
              <w:jc w:val="right"/>
              <w:rPr>
                <w:sz w:val="18"/>
                <w:lang w:val="en-US"/>
              </w:rPr>
            </w:pPr>
            <w:r w:rsidRPr="00222917">
              <w:rPr>
                <w:sz w:val="18"/>
                <w:lang w:val="en-US"/>
              </w:rPr>
              <w:t>510</w:t>
            </w:r>
          </w:p>
        </w:tc>
        <w:tc>
          <w:tcPr>
            <w:tcW w:w="964" w:type="dxa"/>
            <w:tcBorders>
              <w:bottom w:val="single" w:sz="12" w:space="0" w:color="auto"/>
            </w:tcBorders>
            <w:shd w:val="clear" w:color="auto" w:fill="auto"/>
            <w:vAlign w:val="bottom"/>
          </w:tcPr>
          <w:p w:rsidR="002D5BB0" w:rsidRPr="00222917" w:rsidRDefault="002D5BB0" w:rsidP="00221361">
            <w:pPr>
              <w:pStyle w:val="SingleTxtG"/>
              <w:suppressAutoHyphens w:val="0"/>
              <w:spacing w:before="40" w:after="40" w:line="220" w:lineRule="exact"/>
              <w:ind w:left="0" w:right="0"/>
              <w:jc w:val="right"/>
              <w:rPr>
                <w:sz w:val="18"/>
                <w:lang w:val="en-US"/>
              </w:rPr>
            </w:pPr>
            <w:r w:rsidRPr="00222917">
              <w:rPr>
                <w:sz w:val="18"/>
                <w:lang w:val="en-US"/>
              </w:rPr>
              <w:t>18</w:t>
            </w:r>
          </w:p>
        </w:tc>
      </w:tr>
    </w:tbl>
    <w:p w:rsidR="002D5BB0" w:rsidRPr="00222917" w:rsidRDefault="008C2CA1" w:rsidP="008C2CA1">
      <w:pPr>
        <w:pStyle w:val="H23G"/>
        <w:rPr>
          <w:lang w:val="en-US"/>
        </w:rPr>
      </w:pPr>
      <w:r w:rsidRPr="00222917">
        <w:rPr>
          <w:lang w:val="en-US"/>
        </w:rPr>
        <w:tab/>
      </w:r>
      <w:r w:rsidRPr="00222917">
        <w:rPr>
          <w:lang w:val="en-US"/>
        </w:rPr>
        <w:tab/>
      </w:r>
      <w:r w:rsidR="002D5BB0" w:rsidRPr="00222917">
        <w:rPr>
          <w:lang w:val="en-US"/>
        </w:rPr>
        <w:t>Judicial Handlings</w:t>
      </w:r>
    </w:p>
    <w:tbl>
      <w:tblPr>
        <w:tblW w:w="0" w:type="auto"/>
        <w:tblInd w:w="1134" w:type="dxa"/>
        <w:tblBorders>
          <w:top w:val="single" w:sz="4" w:space="0" w:color="auto"/>
        </w:tblBorders>
        <w:tblLayout w:type="fixed"/>
        <w:tblCellMar>
          <w:left w:w="0" w:type="dxa"/>
          <w:right w:w="0" w:type="dxa"/>
        </w:tblCellMar>
        <w:tblLook w:val="00A0"/>
      </w:tblPr>
      <w:tblGrid>
        <w:gridCol w:w="1134"/>
        <w:gridCol w:w="1134"/>
        <w:gridCol w:w="851"/>
        <w:gridCol w:w="851"/>
        <w:gridCol w:w="851"/>
        <w:gridCol w:w="851"/>
        <w:gridCol w:w="851"/>
        <w:gridCol w:w="851"/>
      </w:tblGrid>
      <w:tr w:rsidR="008F6543" w:rsidRPr="00222917" w:rsidTr="00224E03">
        <w:trPr>
          <w:tblHeader/>
        </w:trPr>
        <w:tc>
          <w:tcPr>
            <w:tcW w:w="1134" w:type="dxa"/>
            <w:gridSpan w:val="2"/>
            <w:tcBorders>
              <w:top w:val="single" w:sz="4" w:space="0" w:color="auto"/>
              <w:bottom w:val="single" w:sz="12" w:space="0" w:color="auto"/>
            </w:tcBorders>
            <w:shd w:val="clear" w:color="auto" w:fill="auto"/>
            <w:tcMar>
              <w:top w:w="28" w:type="dxa"/>
              <w:left w:w="102" w:type="dxa"/>
              <w:bottom w:w="28" w:type="dxa"/>
              <w:right w:w="102" w:type="dxa"/>
            </w:tcMar>
            <w:vAlign w:val="bottom"/>
          </w:tcPr>
          <w:p w:rsidR="002D5BB0" w:rsidRPr="00222917" w:rsidRDefault="002D5BB0" w:rsidP="00224E03">
            <w:pPr>
              <w:pStyle w:val="SingleTxtG"/>
              <w:suppressAutoHyphens w:val="0"/>
              <w:spacing w:before="80" w:after="80" w:line="200" w:lineRule="exact"/>
              <w:ind w:left="0" w:right="0"/>
              <w:jc w:val="left"/>
              <w:rPr>
                <w:i/>
                <w:sz w:val="16"/>
                <w:lang w:val="en-US"/>
              </w:rPr>
            </w:pPr>
            <w:r w:rsidRPr="00222917">
              <w:rPr>
                <w:bCs/>
                <w:i/>
                <w:sz w:val="16"/>
                <w:lang w:val="en-US"/>
              </w:rPr>
              <w:t>Year</w:t>
            </w:r>
          </w:p>
        </w:tc>
        <w:tc>
          <w:tcPr>
            <w:tcW w:w="851" w:type="dxa"/>
            <w:tcBorders>
              <w:top w:val="single" w:sz="4" w:space="0" w:color="auto"/>
              <w:bottom w:val="single" w:sz="12" w:space="0" w:color="auto"/>
            </w:tcBorders>
            <w:shd w:val="clear" w:color="auto" w:fill="auto"/>
            <w:tcMar>
              <w:top w:w="28" w:type="dxa"/>
              <w:left w:w="102" w:type="dxa"/>
              <w:bottom w:w="28" w:type="dxa"/>
              <w:right w:w="102" w:type="dxa"/>
            </w:tcMar>
            <w:vAlign w:val="bottom"/>
          </w:tcPr>
          <w:p w:rsidR="002D5BB0" w:rsidRPr="00222917" w:rsidRDefault="002D5BB0" w:rsidP="00224E03">
            <w:pPr>
              <w:pStyle w:val="SingleTxtG"/>
              <w:suppressAutoHyphens w:val="0"/>
              <w:spacing w:before="80" w:after="80" w:line="200" w:lineRule="exact"/>
              <w:ind w:left="0" w:right="0"/>
              <w:jc w:val="right"/>
              <w:rPr>
                <w:i/>
                <w:sz w:val="16"/>
                <w:lang w:val="en-US"/>
              </w:rPr>
            </w:pPr>
            <w:r w:rsidRPr="00222917">
              <w:rPr>
                <w:bCs/>
                <w:i/>
                <w:sz w:val="16"/>
                <w:lang w:val="en-US"/>
              </w:rPr>
              <w:t>2005</w:t>
            </w:r>
          </w:p>
        </w:tc>
        <w:tc>
          <w:tcPr>
            <w:tcW w:w="851" w:type="dxa"/>
            <w:tcBorders>
              <w:top w:val="single" w:sz="4" w:space="0" w:color="auto"/>
              <w:bottom w:val="single" w:sz="12" w:space="0" w:color="auto"/>
            </w:tcBorders>
            <w:shd w:val="clear" w:color="auto" w:fill="auto"/>
            <w:tcMar>
              <w:top w:w="28" w:type="dxa"/>
              <w:left w:w="102" w:type="dxa"/>
              <w:bottom w:w="28" w:type="dxa"/>
              <w:right w:w="102" w:type="dxa"/>
            </w:tcMar>
            <w:vAlign w:val="bottom"/>
          </w:tcPr>
          <w:p w:rsidR="002D5BB0" w:rsidRPr="00222917" w:rsidRDefault="002D5BB0" w:rsidP="00224E03">
            <w:pPr>
              <w:pStyle w:val="SingleTxtG"/>
              <w:suppressAutoHyphens w:val="0"/>
              <w:spacing w:before="80" w:after="80" w:line="200" w:lineRule="exact"/>
              <w:ind w:left="0" w:right="0"/>
              <w:jc w:val="right"/>
              <w:rPr>
                <w:i/>
                <w:sz w:val="16"/>
                <w:lang w:val="en-US"/>
              </w:rPr>
            </w:pPr>
            <w:r w:rsidRPr="00222917">
              <w:rPr>
                <w:bCs/>
                <w:i/>
                <w:sz w:val="16"/>
                <w:lang w:val="en-US"/>
              </w:rPr>
              <w:t>2006</w:t>
            </w:r>
          </w:p>
        </w:tc>
        <w:tc>
          <w:tcPr>
            <w:tcW w:w="851" w:type="dxa"/>
            <w:tcBorders>
              <w:top w:val="single" w:sz="4" w:space="0" w:color="auto"/>
              <w:bottom w:val="single" w:sz="12" w:space="0" w:color="auto"/>
            </w:tcBorders>
            <w:shd w:val="clear" w:color="auto" w:fill="auto"/>
            <w:tcMar>
              <w:top w:w="28" w:type="dxa"/>
              <w:left w:w="102" w:type="dxa"/>
              <w:bottom w:w="28" w:type="dxa"/>
              <w:right w:w="102" w:type="dxa"/>
            </w:tcMar>
            <w:vAlign w:val="bottom"/>
          </w:tcPr>
          <w:p w:rsidR="002D5BB0" w:rsidRPr="00222917" w:rsidRDefault="002D5BB0" w:rsidP="00224E03">
            <w:pPr>
              <w:pStyle w:val="SingleTxtG"/>
              <w:suppressAutoHyphens w:val="0"/>
              <w:spacing w:before="80" w:after="80" w:line="200" w:lineRule="exact"/>
              <w:ind w:left="0" w:right="0"/>
              <w:jc w:val="right"/>
              <w:rPr>
                <w:i/>
                <w:sz w:val="16"/>
                <w:lang w:val="en-US"/>
              </w:rPr>
            </w:pPr>
            <w:r w:rsidRPr="00222917">
              <w:rPr>
                <w:bCs/>
                <w:i/>
                <w:sz w:val="16"/>
                <w:lang w:val="en-US"/>
              </w:rPr>
              <w:t>2007</w:t>
            </w:r>
          </w:p>
        </w:tc>
        <w:tc>
          <w:tcPr>
            <w:tcW w:w="851" w:type="dxa"/>
            <w:tcBorders>
              <w:top w:val="single" w:sz="4" w:space="0" w:color="auto"/>
              <w:bottom w:val="single" w:sz="12" w:space="0" w:color="auto"/>
            </w:tcBorders>
            <w:shd w:val="clear" w:color="auto" w:fill="auto"/>
            <w:tcMar>
              <w:top w:w="28" w:type="dxa"/>
              <w:left w:w="102" w:type="dxa"/>
              <w:bottom w:w="28" w:type="dxa"/>
              <w:right w:w="102" w:type="dxa"/>
            </w:tcMar>
            <w:vAlign w:val="bottom"/>
          </w:tcPr>
          <w:p w:rsidR="002D5BB0" w:rsidRPr="00222917" w:rsidRDefault="002D5BB0" w:rsidP="00224E03">
            <w:pPr>
              <w:pStyle w:val="SingleTxtG"/>
              <w:suppressAutoHyphens w:val="0"/>
              <w:spacing w:before="80" w:after="80" w:line="200" w:lineRule="exact"/>
              <w:ind w:left="0" w:right="0"/>
              <w:jc w:val="right"/>
              <w:rPr>
                <w:i/>
                <w:sz w:val="16"/>
                <w:lang w:val="en-US"/>
              </w:rPr>
            </w:pPr>
            <w:r w:rsidRPr="00222917">
              <w:rPr>
                <w:bCs/>
                <w:i/>
                <w:sz w:val="16"/>
                <w:lang w:val="en-US"/>
              </w:rPr>
              <w:t>2008</w:t>
            </w:r>
          </w:p>
        </w:tc>
        <w:tc>
          <w:tcPr>
            <w:tcW w:w="851" w:type="dxa"/>
            <w:tcBorders>
              <w:top w:val="single" w:sz="4" w:space="0" w:color="auto"/>
              <w:bottom w:val="single" w:sz="12" w:space="0" w:color="auto"/>
            </w:tcBorders>
            <w:shd w:val="clear" w:color="auto" w:fill="auto"/>
            <w:tcMar>
              <w:top w:w="28" w:type="dxa"/>
              <w:left w:w="102" w:type="dxa"/>
              <w:bottom w:w="28" w:type="dxa"/>
              <w:right w:w="102" w:type="dxa"/>
            </w:tcMar>
            <w:vAlign w:val="bottom"/>
          </w:tcPr>
          <w:p w:rsidR="002D5BB0" w:rsidRPr="00222917" w:rsidRDefault="002D5BB0" w:rsidP="00224E03">
            <w:pPr>
              <w:pStyle w:val="SingleTxtG"/>
              <w:suppressAutoHyphens w:val="0"/>
              <w:spacing w:before="80" w:after="80" w:line="200" w:lineRule="exact"/>
              <w:ind w:left="0" w:right="0"/>
              <w:jc w:val="right"/>
              <w:rPr>
                <w:i/>
                <w:sz w:val="16"/>
                <w:lang w:val="en-US"/>
              </w:rPr>
            </w:pPr>
            <w:r w:rsidRPr="00222917">
              <w:rPr>
                <w:bCs/>
                <w:i/>
                <w:sz w:val="16"/>
                <w:lang w:val="en-US"/>
              </w:rPr>
              <w:t>2009</w:t>
            </w:r>
          </w:p>
        </w:tc>
        <w:tc>
          <w:tcPr>
            <w:tcW w:w="851" w:type="dxa"/>
            <w:tcBorders>
              <w:top w:val="single" w:sz="4" w:space="0" w:color="auto"/>
              <w:bottom w:val="single" w:sz="12" w:space="0" w:color="auto"/>
            </w:tcBorders>
            <w:shd w:val="clear" w:color="auto" w:fill="auto"/>
            <w:vAlign w:val="bottom"/>
          </w:tcPr>
          <w:p w:rsidR="002D5BB0" w:rsidRPr="00222917" w:rsidRDefault="002D5BB0" w:rsidP="00224E03">
            <w:pPr>
              <w:pStyle w:val="SingleTxtG"/>
              <w:suppressAutoHyphens w:val="0"/>
              <w:spacing w:before="80" w:after="80" w:line="200" w:lineRule="exact"/>
              <w:ind w:left="0" w:right="0"/>
              <w:jc w:val="right"/>
              <w:rPr>
                <w:bCs/>
                <w:i/>
                <w:sz w:val="16"/>
                <w:lang w:val="en-US"/>
              </w:rPr>
            </w:pPr>
            <w:r w:rsidRPr="00222917">
              <w:rPr>
                <w:bCs/>
                <w:i/>
                <w:sz w:val="16"/>
                <w:lang w:val="en-US"/>
              </w:rPr>
              <w:t>2010</w:t>
            </w:r>
          </w:p>
        </w:tc>
      </w:tr>
      <w:tr w:rsidR="008F6543" w:rsidRPr="00222917" w:rsidTr="00D10A89">
        <w:tc>
          <w:tcPr>
            <w:tcW w:w="1134" w:type="dxa"/>
            <w:vMerge w:val="restart"/>
            <w:tcBorders>
              <w:top w:val="single" w:sz="12" w:space="0" w:color="auto"/>
            </w:tcBorders>
            <w:shd w:val="clear" w:color="auto" w:fill="auto"/>
            <w:tcMar>
              <w:top w:w="28" w:type="dxa"/>
              <w:left w:w="102" w:type="dxa"/>
              <w:bottom w:w="28" w:type="dxa"/>
              <w:right w:w="102" w:type="dxa"/>
            </w:tcMar>
            <w:vAlign w:val="center"/>
          </w:tcPr>
          <w:p w:rsidR="002D5BB0" w:rsidRPr="00222917" w:rsidRDefault="002D5BB0" w:rsidP="00D10A89">
            <w:pPr>
              <w:pStyle w:val="SingleTxtG"/>
              <w:suppressAutoHyphens w:val="0"/>
              <w:spacing w:before="40" w:after="40" w:line="220" w:lineRule="exact"/>
              <w:ind w:left="0" w:right="0"/>
              <w:jc w:val="left"/>
              <w:rPr>
                <w:sz w:val="18"/>
                <w:lang w:val="en-US"/>
              </w:rPr>
            </w:pPr>
            <w:r w:rsidRPr="00222917">
              <w:rPr>
                <w:sz w:val="18"/>
                <w:lang w:val="en-US"/>
              </w:rPr>
              <w:t>Judicial handling</w:t>
            </w:r>
          </w:p>
        </w:tc>
        <w:tc>
          <w:tcPr>
            <w:tcW w:w="1134" w:type="dxa"/>
            <w:tcBorders>
              <w:top w:val="single" w:sz="12" w:space="0" w:color="auto"/>
            </w:tcBorders>
            <w:shd w:val="clear" w:color="auto" w:fill="auto"/>
            <w:tcMar>
              <w:top w:w="28" w:type="dxa"/>
              <w:left w:w="102" w:type="dxa"/>
              <w:bottom w:w="28" w:type="dxa"/>
              <w:right w:w="102" w:type="dxa"/>
            </w:tcMar>
          </w:tcPr>
          <w:p w:rsidR="002D5BB0" w:rsidRPr="00222917" w:rsidRDefault="002D5BB0" w:rsidP="00224E03">
            <w:pPr>
              <w:pStyle w:val="SingleTxtG"/>
              <w:suppressAutoHyphens w:val="0"/>
              <w:spacing w:before="40" w:after="40" w:line="220" w:lineRule="exact"/>
              <w:ind w:left="0" w:right="0"/>
              <w:jc w:val="left"/>
              <w:rPr>
                <w:sz w:val="18"/>
                <w:lang w:val="en-US"/>
              </w:rPr>
            </w:pPr>
            <w:r w:rsidRPr="00222917">
              <w:rPr>
                <w:sz w:val="18"/>
                <w:lang w:val="en-US"/>
              </w:rPr>
              <w:t>Detained</w:t>
            </w:r>
          </w:p>
        </w:tc>
        <w:tc>
          <w:tcPr>
            <w:tcW w:w="851" w:type="dxa"/>
            <w:tcBorders>
              <w:top w:val="single" w:sz="12" w:space="0" w:color="auto"/>
            </w:tcBorders>
            <w:shd w:val="clear" w:color="auto" w:fill="auto"/>
            <w:tcMar>
              <w:top w:w="28" w:type="dxa"/>
              <w:left w:w="102" w:type="dxa"/>
              <w:bottom w:w="28" w:type="dxa"/>
              <w:right w:w="102" w:type="dxa"/>
            </w:tcMar>
            <w:vAlign w:val="bottom"/>
          </w:tcPr>
          <w:p w:rsidR="002D5BB0" w:rsidRPr="00222917" w:rsidRDefault="002D5BB0" w:rsidP="00224E03">
            <w:pPr>
              <w:pStyle w:val="SingleTxtG"/>
              <w:suppressAutoHyphens w:val="0"/>
              <w:spacing w:before="40" w:after="40" w:line="220" w:lineRule="exact"/>
              <w:ind w:left="0" w:right="0"/>
              <w:jc w:val="right"/>
              <w:rPr>
                <w:sz w:val="18"/>
                <w:lang w:val="en-US"/>
              </w:rPr>
            </w:pPr>
            <w:r w:rsidRPr="00222917">
              <w:rPr>
                <w:sz w:val="18"/>
                <w:lang w:val="en-US"/>
              </w:rPr>
              <w:t>200</w:t>
            </w:r>
          </w:p>
        </w:tc>
        <w:tc>
          <w:tcPr>
            <w:tcW w:w="851" w:type="dxa"/>
            <w:tcBorders>
              <w:top w:val="single" w:sz="12" w:space="0" w:color="auto"/>
            </w:tcBorders>
            <w:shd w:val="clear" w:color="auto" w:fill="auto"/>
            <w:tcMar>
              <w:top w:w="28" w:type="dxa"/>
              <w:left w:w="102" w:type="dxa"/>
              <w:bottom w:w="28" w:type="dxa"/>
              <w:right w:w="102" w:type="dxa"/>
            </w:tcMar>
            <w:vAlign w:val="bottom"/>
          </w:tcPr>
          <w:p w:rsidR="002D5BB0" w:rsidRPr="00222917" w:rsidRDefault="002D5BB0" w:rsidP="00224E03">
            <w:pPr>
              <w:pStyle w:val="SingleTxtG"/>
              <w:suppressAutoHyphens w:val="0"/>
              <w:spacing w:before="40" w:after="40" w:line="220" w:lineRule="exact"/>
              <w:ind w:left="0" w:right="0"/>
              <w:jc w:val="right"/>
              <w:rPr>
                <w:sz w:val="18"/>
                <w:lang w:val="en-US"/>
              </w:rPr>
            </w:pPr>
            <w:r w:rsidRPr="00222917">
              <w:rPr>
                <w:sz w:val="18"/>
                <w:lang w:val="en-US"/>
              </w:rPr>
              <w:t>305</w:t>
            </w:r>
          </w:p>
        </w:tc>
        <w:tc>
          <w:tcPr>
            <w:tcW w:w="851" w:type="dxa"/>
            <w:tcBorders>
              <w:top w:val="single" w:sz="12" w:space="0" w:color="auto"/>
            </w:tcBorders>
            <w:shd w:val="clear" w:color="auto" w:fill="auto"/>
            <w:tcMar>
              <w:top w:w="28" w:type="dxa"/>
              <w:left w:w="102" w:type="dxa"/>
              <w:bottom w:w="28" w:type="dxa"/>
              <w:right w:w="102" w:type="dxa"/>
            </w:tcMar>
            <w:vAlign w:val="bottom"/>
          </w:tcPr>
          <w:p w:rsidR="002D5BB0" w:rsidRPr="00222917" w:rsidRDefault="002D5BB0" w:rsidP="00224E03">
            <w:pPr>
              <w:pStyle w:val="SingleTxtG"/>
              <w:suppressAutoHyphens w:val="0"/>
              <w:spacing w:before="40" w:after="40" w:line="220" w:lineRule="exact"/>
              <w:ind w:left="0" w:right="0"/>
              <w:jc w:val="right"/>
              <w:rPr>
                <w:sz w:val="18"/>
                <w:lang w:val="en-US"/>
              </w:rPr>
            </w:pPr>
            <w:r w:rsidRPr="00222917">
              <w:rPr>
                <w:sz w:val="18"/>
                <w:lang w:val="en-US"/>
              </w:rPr>
              <w:t>176</w:t>
            </w:r>
          </w:p>
        </w:tc>
        <w:tc>
          <w:tcPr>
            <w:tcW w:w="851" w:type="dxa"/>
            <w:tcBorders>
              <w:top w:val="single" w:sz="12" w:space="0" w:color="auto"/>
            </w:tcBorders>
            <w:shd w:val="clear" w:color="auto" w:fill="auto"/>
            <w:tcMar>
              <w:top w:w="28" w:type="dxa"/>
              <w:left w:w="102" w:type="dxa"/>
              <w:bottom w:w="28" w:type="dxa"/>
              <w:right w:w="102" w:type="dxa"/>
            </w:tcMar>
            <w:vAlign w:val="bottom"/>
          </w:tcPr>
          <w:p w:rsidR="002D5BB0" w:rsidRPr="00222917" w:rsidRDefault="002D5BB0" w:rsidP="00224E03">
            <w:pPr>
              <w:pStyle w:val="SingleTxtG"/>
              <w:suppressAutoHyphens w:val="0"/>
              <w:spacing w:before="40" w:after="40" w:line="220" w:lineRule="exact"/>
              <w:ind w:left="0" w:right="0"/>
              <w:jc w:val="right"/>
              <w:rPr>
                <w:sz w:val="18"/>
                <w:lang w:val="en-US"/>
              </w:rPr>
            </w:pPr>
            <w:r w:rsidRPr="00222917">
              <w:rPr>
                <w:sz w:val="18"/>
                <w:lang w:val="en-US"/>
              </w:rPr>
              <w:t>148</w:t>
            </w:r>
          </w:p>
        </w:tc>
        <w:tc>
          <w:tcPr>
            <w:tcW w:w="851" w:type="dxa"/>
            <w:tcBorders>
              <w:top w:val="single" w:sz="12" w:space="0" w:color="auto"/>
            </w:tcBorders>
            <w:shd w:val="clear" w:color="auto" w:fill="auto"/>
            <w:tcMar>
              <w:top w:w="28" w:type="dxa"/>
              <w:left w:w="102" w:type="dxa"/>
              <w:bottom w:w="28" w:type="dxa"/>
              <w:right w:w="102" w:type="dxa"/>
            </w:tcMar>
            <w:vAlign w:val="bottom"/>
          </w:tcPr>
          <w:p w:rsidR="002D5BB0" w:rsidRPr="00222917" w:rsidRDefault="002D5BB0" w:rsidP="00224E03">
            <w:pPr>
              <w:pStyle w:val="SingleTxtG"/>
              <w:suppressAutoHyphens w:val="0"/>
              <w:spacing w:before="40" w:after="40" w:line="220" w:lineRule="exact"/>
              <w:ind w:left="0" w:right="0"/>
              <w:jc w:val="right"/>
              <w:rPr>
                <w:sz w:val="18"/>
                <w:lang w:val="en-US"/>
              </w:rPr>
            </w:pPr>
            <w:r w:rsidRPr="00222917">
              <w:rPr>
                <w:sz w:val="18"/>
                <w:lang w:val="en-US"/>
              </w:rPr>
              <w:t>220</w:t>
            </w:r>
          </w:p>
        </w:tc>
        <w:tc>
          <w:tcPr>
            <w:tcW w:w="851" w:type="dxa"/>
            <w:tcBorders>
              <w:top w:val="single" w:sz="12" w:space="0" w:color="auto"/>
            </w:tcBorders>
            <w:shd w:val="clear" w:color="auto" w:fill="auto"/>
            <w:vAlign w:val="bottom"/>
          </w:tcPr>
          <w:p w:rsidR="002D5BB0" w:rsidRPr="00222917" w:rsidRDefault="002D5BB0" w:rsidP="00224E03">
            <w:pPr>
              <w:pStyle w:val="SingleTxtG"/>
              <w:suppressAutoHyphens w:val="0"/>
              <w:spacing w:before="40" w:after="40" w:line="220" w:lineRule="exact"/>
              <w:ind w:left="0" w:right="0"/>
              <w:jc w:val="right"/>
              <w:rPr>
                <w:sz w:val="18"/>
                <w:lang w:val="en-US"/>
              </w:rPr>
            </w:pPr>
            <w:r w:rsidRPr="00222917">
              <w:rPr>
                <w:sz w:val="18"/>
                <w:lang w:val="en-US"/>
              </w:rPr>
              <w:t>34</w:t>
            </w:r>
          </w:p>
        </w:tc>
      </w:tr>
      <w:tr w:rsidR="008F6543" w:rsidRPr="00222917" w:rsidTr="00224E03">
        <w:tc>
          <w:tcPr>
            <w:tcW w:w="1134" w:type="dxa"/>
            <w:vMerge/>
            <w:shd w:val="clear" w:color="auto" w:fill="auto"/>
          </w:tcPr>
          <w:p w:rsidR="002D5BB0" w:rsidRPr="00222917" w:rsidRDefault="002D5BB0" w:rsidP="00224E03">
            <w:pPr>
              <w:pStyle w:val="SingleTxtG"/>
              <w:suppressAutoHyphens w:val="0"/>
              <w:spacing w:before="40" w:after="40" w:line="220" w:lineRule="exact"/>
              <w:ind w:left="0" w:right="0"/>
              <w:jc w:val="left"/>
              <w:rPr>
                <w:sz w:val="18"/>
                <w:lang w:val="en-US"/>
              </w:rPr>
            </w:pPr>
          </w:p>
        </w:tc>
        <w:tc>
          <w:tcPr>
            <w:tcW w:w="1134" w:type="dxa"/>
            <w:shd w:val="clear" w:color="auto" w:fill="auto"/>
            <w:tcMar>
              <w:top w:w="28" w:type="dxa"/>
              <w:left w:w="102" w:type="dxa"/>
              <w:bottom w:w="28" w:type="dxa"/>
              <w:right w:w="102" w:type="dxa"/>
            </w:tcMar>
          </w:tcPr>
          <w:p w:rsidR="002D5BB0" w:rsidRPr="00222917" w:rsidRDefault="002D5BB0" w:rsidP="00224E03">
            <w:pPr>
              <w:pStyle w:val="SingleTxtG"/>
              <w:suppressAutoHyphens w:val="0"/>
              <w:spacing w:before="40" w:after="40" w:line="220" w:lineRule="exact"/>
              <w:ind w:left="0" w:right="0"/>
              <w:jc w:val="left"/>
              <w:rPr>
                <w:sz w:val="18"/>
                <w:lang w:val="en-US"/>
              </w:rPr>
            </w:pPr>
            <w:r w:rsidRPr="00222917">
              <w:rPr>
                <w:sz w:val="18"/>
                <w:lang w:val="en-US"/>
              </w:rPr>
              <w:t>Not detained</w:t>
            </w:r>
          </w:p>
        </w:tc>
        <w:tc>
          <w:tcPr>
            <w:tcW w:w="851" w:type="dxa"/>
            <w:shd w:val="clear" w:color="auto" w:fill="auto"/>
            <w:tcMar>
              <w:top w:w="28" w:type="dxa"/>
              <w:left w:w="102" w:type="dxa"/>
              <w:bottom w:w="28" w:type="dxa"/>
              <w:right w:w="102" w:type="dxa"/>
            </w:tcMar>
            <w:vAlign w:val="bottom"/>
          </w:tcPr>
          <w:p w:rsidR="002D5BB0" w:rsidRPr="00222917" w:rsidRDefault="002D5BB0" w:rsidP="00224E03">
            <w:pPr>
              <w:pStyle w:val="SingleTxtG"/>
              <w:suppressAutoHyphens w:val="0"/>
              <w:spacing w:before="40" w:after="40" w:line="220" w:lineRule="exact"/>
              <w:ind w:left="0" w:right="0"/>
              <w:jc w:val="right"/>
              <w:rPr>
                <w:sz w:val="18"/>
                <w:lang w:val="en-US"/>
              </w:rPr>
            </w:pPr>
            <w:r w:rsidRPr="00222917">
              <w:rPr>
                <w:sz w:val="18"/>
                <w:lang w:val="en-US"/>
              </w:rPr>
              <w:t>4,127</w:t>
            </w:r>
          </w:p>
        </w:tc>
        <w:tc>
          <w:tcPr>
            <w:tcW w:w="851" w:type="dxa"/>
            <w:shd w:val="clear" w:color="auto" w:fill="auto"/>
            <w:tcMar>
              <w:top w:w="28" w:type="dxa"/>
              <w:left w:w="102" w:type="dxa"/>
              <w:bottom w:w="28" w:type="dxa"/>
              <w:right w:w="102" w:type="dxa"/>
            </w:tcMar>
            <w:vAlign w:val="bottom"/>
          </w:tcPr>
          <w:p w:rsidR="002D5BB0" w:rsidRPr="00222917" w:rsidRDefault="002D5BB0" w:rsidP="00224E03">
            <w:pPr>
              <w:pStyle w:val="SingleTxtG"/>
              <w:suppressAutoHyphens w:val="0"/>
              <w:spacing w:before="40" w:after="40" w:line="220" w:lineRule="exact"/>
              <w:ind w:left="0" w:right="0"/>
              <w:jc w:val="right"/>
              <w:rPr>
                <w:sz w:val="18"/>
                <w:lang w:val="en-US"/>
              </w:rPr>
            </w:pPr>
            <w:r w:rsidRPr="00222917">
              <w:rPr>
                <w:sz w:val="18"/>
                <w:lang w:val="en-US"/>
              </w:rPr>
              <w:t>5,534</w:t>
            </w:r>
          </w:p>
        </w:tc>
        <w:tc>
          <w:tcPr>
            <w:tcW w:w="851" w:type="dxa"/>
            <w:shd w:val="clear" w:color="auto" w:fill="auto"/>
            <w:tcMar>
              <w:top w:w="28" w:type="dxa"/>
              <w:left w:w="102" w:type="dxa"/>
              <w:bottom w:w="28" w:type="dxa"/>
              <w:right w:w="102" w:type="dxa"/>
            </w:tcMar>
            <w:vAlign w:val="bottom"/>
          </w:tcPr>
          <w:p w:rsidR="002D5BB0" w:rsidRPr="00222917" w:rsidRDefault="002D5BB0" w:rsidP="00224E03">
            <w:pPr>
              <w:pStyle w:val="SingleTxtG"/>
              <w:suppressAutoHyphens w:val="0"/>
              <w:spacing w:before="40" w:after="40" w:line="220" w:lineRule="exact"/>
              <w:ind w:left="0" w:right="0"/>
              <w:jc w:val="right"/>
              <w:rPr>
                <w:sz w:val="18"/>
                <w:lang w:val="en-US"/>
              </w:rPr>
            </w:pPr>
            <w:r w:rsidRPr="00222917">
              <w:rPr>
                <w:sz w:val="18"/>
                <w:lang w:val="en-US"/>
              </w:rPr>
              <w:t>5,140</w:t>
            </w:r>
          </w:p>
        </w:tc>
        <w:tc>
          <w:tcPr>
            <w:tcW w:w="851" w:type="dxa"/>
            <w:shd w:val="clear" w:color="auto" w:fill="auto"/>
            <w:tcMar>
              <w:top w:w="28" w:type="dxa"/>
              <w:left w:w="102" w:type="dxa"/>
              <w:bottom w:w="28" w:type="dxa"/>
              <w:right w:w="102" w:type="dxa"/>
            </w:tcMar>
            <w:vAlign w:val="bottom"/>
          </w:tcPr>
          <w:p w:rsidR="002D5BB0" w:rsidRPr="00222917" w:rsidRDefault="002D5BB0" w:rsidP="00224E03">
            <w:pPr>
              <w:pStyle w:val="SingleTxtG"/>
              <w:suppressAutoHyphens w:val="0"/>
              <w:spacing w:before="40" w:after="40" w:line="220" w:lineRule="exact"/>
              <w:ind w:left="0" w:right="0"/>
              <w:jc w:val="right"/>
              <w:rPr>
                <w:sz w:val="18"/>
                <w:lang w:val="en-US"/>
              </w:rPr>
            </w:pPr>
            <w:r w:rsidRPr="00222917">
              <w:rPr>
                <w:sz w:val="18"/>
                <w:lang w:val="en-US"/>
              </w:rPr>
              <w:t>4,277</w:t>
            </w:r>
          </w:p>
        </w:tc>
        <w:tc>
          <w:tcPr>
            <w:tcW w:w="851" w:type="dxa"/>
            <w:shd w:val="clear" w:color="auto" w:fill="auto"/>
            <w:tcMar>
              <w:top w:w="28" w:type="dxa"/>
              <w:left w:w="102" w:type="dxa"/>
              <w:bottom w:w="28" w:type="dxa"/>
              <w:right w:w="102" w:type="dxa"/>
            </w:tcMar>
            <w:vAlign w:val="bottom"/>
          </w:tcPr>
          <w:p w:rsidR="002D5BB0" w:rsidRPr="00222917" w:rsidRDefault="002D5BB0" w:rsidP="00224E03">
            <w:pPr>
              <w:pStyle w:val="SingleTxtG"/>
              <w:suppressAutoHyphens w:val="0"/>
              <w:spacing w:before="40" w:after="40" w:line="220" w:lineRule="exact"/>
              <w:ind w:left="0" w:right="0"/>
              <w:jc w:val="right"/>
              <w:rPr>
                <w:sz w:val="18"/>
                <w:lang w:val="en-US"/>
              </w:rPr>
            </w:pPr>
            <w:r w:rsidRPr="00222917">
              <w:rPr>
                <w:sz w:val="18"/>
                <w:lang w:val="en-US"/>
              </w:rPr>
              <w:t>3,995</w:t>
            </w:r>
          </w:p>
        </w:tc>
        <w:tc>
          <w:tcPr>
            <w:tcW w:w="851" w:type="dxa"/>
            <w:shd w:val="clear" w:color="auto" w:fill="auto"/>
            <w:vAlign w:val="bottom"/>
          </w:tcPr>
          <w:p w:rsidR="002D5BB0" w:rsidRPr="00222917" w:rsidRDefault="002D5BB0" w:rsidP="00224E03">
            <w:pPr>
              <w:pStyle w:val="SingleTxtG"/>
              <w:suppressAutoHyphens w:val="0"/>
              <w:spacing w:before="40" w:after="40" w:line="220" w:lineRule="exact"/>
              <w:ind w:left="0" w:right="0"/>
              <w:jc w:val="right"/>
              <w:rPr>
                <w:sz w:val="18"/>
                <w:lang w:val="en-US"/>
              </w:rPr>
            </w:pPr>
            <w:r w:rsidRPr="00222917">
              <w:rPr>
                <w:sz w:val="18"/>
                <w:lang w:val="en-US"/>
              </w:rPr>
              <w:t>2,899</w:t>
            </w:r>
          </w:p>
        </w:tc>
      </w:tr>
      <w:tr w:rsidR="008F6543" w:rsidRPr="00222917" w:rsidTr="00224E03">
        <w:tc>
          <w:tcPr>
            <w:tcW w:w="1134" w:type="dxa"/>
            <w:vMerge/>
            <w:shd w:val="clear" w:color="auto" w:fill="auto"/>
          </w:tcPr>
          <w:p w:rsidR="002D5BB0" w:rsidRPr="00222917" w:rsidRDefault="002D5BB0" w:rsidP="00224E03">
            <w:pPr>
              <w:pStyle w:val="SingleTxtG"/>
              <w:suppressAutoHyphens w:val="0"/>
              <w:spacing w:before="40" w:after="40" w:line="220" w:lineRule="exact"/>
              <w:ind w:left="0" w:right="0"/>
              <w:jc w:val="left"/>
              <w:rPr>
                <w:sz w:val="18"/>
                <w:lang w:val="en-US"/>
              </w:rPr>
            </w:pPr>
          </w:p>
        </w:tc>
        <w:tc>
          <w:tcPr>
            <w:tcW w:w="1134" w:type="dxa"/>
            <w:shd w:val="clear" w:color="auto" w:fill="auto"/>
            <w:tcMar>
              <w:top w:w="28" w:type="dxa"/>
              <w:left w:w="102" w:type="dxa"/>
              <w:bottom w:w="28" w:type="dxa"/>
              <w:right w:w="102" w:type="dxa"/>
            </w:tcMar>
          </w:tcPr>
          <w:p w:rsidR="002D5BB0" w:rsidRPr="00222917" w:rsidRDefault="002D5BB0" w:rsidP="00224E03">
            <w:pPr>
              <w:pStyle w:val="SingleTxtG"/>
              <w:suppressAutoHyphens w:val="0"/>
              <w:spacing w:before="40" w:after="40" w:line="220" w:lineRule="exact"/>
              <w:ind w:left="0" w:right="0"/>
              <w:jc w:val="left"/>
              <w:rPr>
                <w:sz w:val="18"/>
                <w:lang w:val="en-US"/>
              </w:rPr>
            </w:pPr>
            <w:r w:rsidRPr="00222917">
              <w:rPr>
                <w:sz w:val="18"/>
                <w:lang w:val="en-US"/>
              </w:rPr>
              <w:t>Subtotal</w:t>
            </w:r>
          </w:p>
        </w:tc>
        <w:tc>
          <w:tcPr>
            <w:tcW w:w="851" w:type="dxa"/>
            <w:shd w:val="clear" w:color="auto" w:fill="auto"/>
            <w:tcMar>
              <w:top w:w="28" w:type="dxa"/>
              <w:left w:w="102" w:type="dxa"/>
              <w:bottom w:w="28" w:type="dxa"/>
              <w:right w:w="102" w:type="dxa"/>
            </w:tcMar>
            <w:vAlign w:val="bottom"/>
          </w:tcPr>
          <w:p w:rsidR="002D5BB0" w:rsidRPr="00222917" w:rsidRDefault="002D5BB0" w:rsidP="00224E03">
            <w:pPr>
              <w:pStyle w:val="SingleTxtG"/>
              <w:suppressAutoHyphens w:val="0"/>
              <w:spacing w:before="40" w:after="40" w:line="220" w:lineRule="exact"/>
              <w:ind w:left="0" w:right="0"/>
              <w:jc w:val="right"/>
              <w:rPr>
                <w:sz w:val="18"/>
                <w:lang w:val="en-US"/>
              </w:rPr>
            </w:pPr>
            <w:r w:rsidRPr="00222917">
              <w:rPr>
                <w:sz w:val="18"/>
                <w:lang w:val="en-US"/>
              </w:rPr>
              <w:t>4,338</w:t>
            </w:r>
          </w:p>
        </w:tc>
        <w:tc>
          <w:tcPr>
            <w:tcW w:w="851" w:type="dxa"/>
            <w:shd w:val="clear" w:color="auto" w:fill="auto"/>
            <w:tcMar>
              <w:top w:w="28" w:type="dxa"/>
              <w:left w:w="102" w:type="dxa"/>
              <w:bottom w:w="28" w:type="dxa"/>
              <w:right w:w="102" w:type="dxa"/>
            </w:tcMar>
            <w:vAlign w:val="bottom"/>
          </w:tcPr>
          <w:p w:rsidR="002D5BB0" w:rsidRPr="00222917" w:rsidRDefault="002D5BB0" w:rsidP="00224E03">
            <w:pPr>
              <w:pStyle w:val="SingleTxtG"/>
              <w:suppressAutoHyphens w:val="0"/>
              <w:spacing w:before="40" w:after="40" w:line="220" w:lineRule="exact"/>
              <w:ind w:left="0" w:right="0"/>
              <w:jc w:val="right"/>
              <w:rPr>
                <w:sz w:val="18"/>
                <w:lang w:val="en-US"/>
              </w:rPr>
            </w:pPr>
            <w:r w:rsidRPr="00222917">
              <w:rPr>
                <w:sz w:val="18"/>
                <w:lang w:val="en-US"/>
              </w:rPr>
              <w:t>5,839</w:t>
            </w:r>
          </w:p>
        </w:tc>
        <w:tc>
          <w:tcPr>
            <w:tcW w:w="851" w:type="dxa"/>
            <w:shd w:val="clear" w:color="auto" w:fill="auto"/>
            <w:tcMar>
              <w:top w:w="28" w:type="dxa"/>
              <w:left w:w="102" w:type="dxa"/>
              <w:bottom w:w="28" w:type="dxa"/>
              <w:right w:w="102" w:type="dxa"/>
            </w:tcMar>
            <w:vAlign w:val="bottom"/>
          </w:tcPr>
          <w:p w:rsidR="002D5BB0" w:rsidRPr="00222917" w:rsidRDefault="002D5BB0" w:rsidP="00224E03">
            <w:pPr>
              <w:pStyle w:val="SingleTxtG"/>
              <w:suppressAutoHyphens w:val="0"/>
              <w:spacing w:before="40" w:after="40" w:line="220" w:lineRule="exact"/>
              <w:ind w:left="0" w:right="0"/>
              <w:jc w:val="right"/>
              <w:rPr>
                <w:sz w:val="18"/>
                <w:lang w:val="en-US"/>
              </w:rPr>
            </w:pPr>
            <w:r w:rsidRPr="00222917">
              <w:rPr>
                <w:sz w:val="18"/>
                <w:lang w:val="en-US"/>
              </w:rPr>
              <w:t>5,316</w:t>
            </w:r>
          </w:p>
        </w:tc>
        <w:tc>
          <w:tcPr>
            <w:tcW w:w="851" w:type="dxa"/>
            <w:shd w:val="clear" w:color="auto" w:fill="auto"/>
            <w:tcMar>
              <w:top w:w="28" w:type="dxa"/>
              <w:left w:w="102" w:type="dxa"/>
              <w:bottom w:w="28" w:type="dxa"/>
              <w:right w:w="102" w:type="dxa"/>
            </w:tcMar>
            <w:vAlign w:val="bottom"/>
          </w:tcPr>
          <w:p w:rsidR="002D5BB0" w:rsidRPr="00222917" w:rsidRDefault="002D5BB0" w:rsidP="00224E03">
            <w:pPr>
              <w:pStyle w:val="SingleTxtG"/>
              <w:suppressAutoHyphens w:val="0"/>
              <w:spacing w:before="40" w:after="40" w:line="220" w:lineRule="exact"/>
              <w:ind w:left="0" w:right="0"/>
              <w:jc w:val="right"/>
              <w:rPr>
                <w:sz w:val="18"/>
                <w:lang w:val="en-US"/>
              </w:rPr>
            </w:pPr>
            <w:r w:rsidRPr="00222917">
              <w:rPr>
                <w:sz w:val="18"/>
                <w:lang w:val="en-US"/>
              </w:rPr>
              <w:t>4,425</w:t>
            </w:r>
          </w:p>
        </w:tc>
        <w:tc>
          <w:tcPr>
            <w:tcW w:w="851" w:type="dxa"/>
            <w:shd w:val="clear" w:color="auto" w:fill="auto"/>
            <w:tcMar>
              <w:top w:w="28" w:type="dxa"/>
              <w:left w:w="102" w:type="dxa"/>
              <w:bottom w:w="28" w:type="dxa"/>
              <w:right w:w="102" w:type="dxa"/>
            </w:tcMar>
            <w:vAlign w:val="bottom"/>
          </w:tcPr>
          <w:p w:rsidR="002D5BB0" w:rsidRPr="00222917" w:rsidRDefault="002D5BB0" w:rsidP="00224E03">
            <w:pPr>
              <w:pStyle w:val="SingleTxtG"/>
              <w:suppressAutoHyphens w:val="0"/>
              <w:spacing w:before="40" w:after="40" w:line="220" w:lineRule="exact"/>
              <w:ind w:left="0" w:right="0"/>
              <w:jc w:val="right"/>
              <w:rPr>
                <w:sz w:val="18"/>
                <w:lang w:val="en-US"/>
              </w:rPr>
            </w:pPr>
            <w:r w:rsidRPr="00222917">
              <w:rPr>
                <w:sz w:val="18"/>
                <w:lang w:val="en-US"/>
              </w:rPr>
              <w:t>4,215</w:t>
            </w:r>
          </w:p>
        </w:tc>
        <w:tc>
          <w:tcPr>
            <w:tcW w:w="851" w:type="dxa"/>
            <w:shd w:val="clear" w:color="auto" w:fill="auto"/>
            <w:vAlign w:val="bottom"/>
          </w:tcPr>
          <w:p w:rsidR="002D5BB0" w:rsidRPr="00222917" w:rsidRDefault="002D5BB0" w:rsidP="00224E03">
            <w:pPr>
              <w:pStyle w:val="SingleTxtG"/>
              <w:suppressAutoHyphens w:val="0"/>
              <w:spacing w:before="40" w:after="40" w:line="220" w:lineRule="exact"/>
              <w:ind w:left="0" w:right="0"/>
              <w:jc w:val="right"/>
              <w:rPr>
                <w:sz w:val="18"/>
                <w:lang w:val="en-US"/>
              </w:rPr>
            </w:pPr>
            <w:r w:rsidRPr="00222917">
              <w:rPr>
                <w:sz w:val="18"/>
                <w:lang w:val="en-US"/>
              </w:rPr>
              <w:t>2.933</w:t>
            </w:r>
          </w:p>
        </w:tc>
      </w:tr>
      <w:tr w:rsidR="008F6543" w:rsidRPr="00222917" w:rsidTr="001C4E4C">
        <w:tc>
          <w:tcPr>
            <w:tcW w:w="1134" w:type="dxa"/>
            <w:gridSpan w:val="2"/>
            <w:tcBorders>
              <w:bottom w:val="single" w:sz="4" w:space="0" w:color="000000"/>
            </w:tcBorders>
            <w:shd w:val="clear" w:color="auto" w:fill="auto"/>
            <w:tcMar>
              <w:top w:w="28" w:type="dxa"/>
              <w:left w:w="102" w:type="dxa"/>
              <w:bottom w:w="28" w:type="dxa"/>
              <w:right w:w="102" w:type="dxa"/>
            </w:tcMar>
          </w:tcPr>
          <w:p w:rsidR="002D5BB0" w:rsidRPr="00222917" w:rsidRDefault="002D5BB0" w:rsidP="00224E03">
            <w:pPr>
              <w:pStyle w:val="SingleTxtG"/>
              <w:suppressAutoHyphens w:val="0"/>
              <w:spacing w:before="40" w:after="40" w:line="220" w:lineRule="exact"/>
              <w:ind w:left="0" w:right="0"/>
              <w:jc w:val="left"/>
              <w:rPr>
                <w:sz w:val="18"/>
                <w:lang w:val="en-US"/>
              </w:rPr>
            </w:pPr>
            <w:r w:rsidRPr="00222917">
              <w:rPr>
                <w:sz w:val="18"/>
                <w:lang w:val="en-US"/>
              </w:rPr>
              <w:t>Other (summary trial, dismissal with a caution, etc.)</w:t>
            </w:r>
          </w:p>
        </w:tc>
        <w:tc>
          <w:tcPr>
            <w:tcW w:w="851" w:type="dxa"/>
            <w:tcBorders>
              <w:bottom w:val="single" w:sz="4" w:space="0" w:color="000000"/>
            </w:tcBorders>
            <w:shd w:val="clear" w:color="auto" w:fill="auto"/>
            <w:tcMar>
              <w:top w:w="28" w:type="dxa"/>
              <w:left w:w="102" w:type="dxa"/>
              <w:bottom w:w="28" w:type="dxa"/>
              <w:right w:w="102" w:type="dxa"/>
            </w:tcMar>
            <w:vAlign w:val="bottom"/>
          </w:tcPr>
          <w:p w:rsidR="002D5BB0" w:rsidRPr="00222917" w:rsidRDefault="002D5BB0" w:rsidP="00224E03">
            <w:pPr>
              <w:pStyle w:val="SingleTxtG"/>
              <w:suppressAutoHyphens w:val="0"/>
              <w:spacing w:before="40" w:after="40" w:line="220" w:lineRule="exact"/>
              <w:ind w:left="0" w:right="0"/>
              <w:jc w:val="right"/>
              <w:rPr>
                <w:sz w:val="18"/>
                <w:lang w:val="en-US"/>
              </w:rPr>
            </w:pPr>
            <w:r w:rsidRPr="00222917">
              <w:rPr>
                <w:sz w:val="18"/>
                <w:lang w:val="en-US"/>
              </w:rPr>
              <w:t>2,855</w:t>
            </w:r>
          </w:p>
        </w:tc>
        <w:tc>
          <w:tcPr>
            <w:tcW w:w="851" w:type="dxa"/>
            <w:tcBorders>
              <w:bottom w:val="single" w:sz="4" w:space="0" w:color="000000"/>
            </w:tcBorders>
            <w:shd w:val="clear" w:color="auto" w:fill="auto"/>
            <w:tcMar>
              <w:top w:w="28" w:type="dxa"/>
              <w:left w:w="102" w:type="dxa"/>
              <w:bottom w:w="28" w:type="dxa"/>
              <w:right w:w="102" w:type="dxa"/>
            </w:tcMar>
            <w:vAlign w:val="bottom"/>
          </w:tcPr>
          <w:p w:rsidR="002D5BB0" w:rsidRPr="00222917" w:rsidRDefault="002D5BB0" w:rsidP="00224E03">
            <w:pPr>
              <w:pStyle w:val="SingleTxtG"/>
              <w:suppressAutoHyphens w:val="0"/>
              <w:spacing w:before="40" w:after="40" w:line="220" w:lineRule="exact"/>
              <w:ind w:left="0" w:right="0"/>
              <w:jc w:val="right"/>
              <w:rPr>
                <w:sz w:val="18"/>
                <w:lang w:val="en-US"/>
              </w:rPr>
            </w:pPr>
            <w:r w:rsidRPr="00222917">
              <w:rPr>
                <w:sz w:val="18"/>
                <w:lang w:val="en-US"/>
              </w:rPr>
              <w:t>3,627</w:t>
            </w:r>
          </w:p>
        </w:tc>
        <w:tc>
          <w:tcPr>
            <w:tcW w:w="851" w:type="dxa"/>
            <w:tcBorders>
              <w:bottom w:val="single" w:sz="4" w:space="0" w:color="000000"/>
            </w:tcBorders>
            <w:shd w:val="clear" w:color="auto" w:fill="auto"/>
            <w:tcMar>
              <w:top w:w="28" w:type="dxa"/>
              <w:left w:w="102" w:type="dxa"/>
              <w:bottom w:w="28" w:type="dxa"/>
              <w:right w:w="102" w:type="dxa"/>
            </w:tcMar>
            <w:vAlign w:val="bottom"/>
          </w:tcPr>
          <w:p w:rsidR="002D5BB0" w:rsidRPr="00222917" w:rsidRDefault="002D5BB0" w:rsidP="00224E03">
            <w:pPr>
              <w:pStyle w:val="SingleTxtG"/>
              <w:suppressAutoHyphens w:val="0"/>
              <w:spacing w:before="40" w:after="40" w:line="220" w:lineRule="exact"/>
              <w:ind w:left="0" w:right="0"/>
              <w:jc w:val="right"/>
              <w:rPr>
                <w:sz w:val="18"/>
                <w:lang w:val="en-US"/>
              </w:rPr>
            </w:pPr>
            <w:r w:rsidRPr="00222917">
              <w:rPr>
                <w:sz w:val="18"/>
                <w:lang w:val="en-US"/>
              </w:rPr>
              <w:t>949</w:t>
            </w:r>
          </w:p>
        </w:tc>
        <w:tc>
          <w:tcPr>
            <w:tcW w:w="851" w:type="dxa"/>
            <w:tcBorders>
              <w:bottom w:val="single" w:sz="4" w:space="0" w:color="000000"/>
            </w:tcBorders>
            <w:shd w:val="clear" w:color="auto" w:fill="auto"/>
            <w:tcMar>
              <w:top w:w="28" w:type="dxa"/>
              <w:left w:w="102" w:type="dxa"/>
              <w:bottom w:w="28" w:type="dxa"/>
              <w:right w:w="102" w:type="dxa"/>
            </w:tcMar>
            <w:vAlign w:val="bottom"/>
          </w:tcPr>
          <w:p w:rsidR="002D5BB0" w:rsidRPr="00222917" w:rsidRDefault="002D5BB0" w:rsidP="00224E03">
            <w:pPr>
              <w:pStyle w:val="SingleTxtG"/>
              <w:suppressAutoHyphens w:val="0"/>
              <w:spacing w:before="40" w:after="40" w:line="220" w:lineRule="exact"/>
              <w:ind w:left="0" w:right="0"/>
              <w:jc w:val="right"/>
              <w:rPr>
                <w:sz w:val="18"/>
                <w:lang w:val="en-US"/>
              </w:rPr>
            </w:pPr>
            <w:r w:rsidRPr="00222917">
              <w:rPr>
                <w:sz w:val="18"/>
                <w:lang w:val="en-US"/>
              </w:rPr>
              <w:t>508</w:t>
            </w:r>
          </w:p>
        </w:tc>
        <w:tc>
          <w:tcPr>
            <w:tcW w:w="851" w:type="dxa"/>
            <w:tcBorders>
              <w:bottom w:val="single" w:sz="4" w:space="0" w:color="000000"/>
            </w:tcBorders>
            <w:shd w:val="clear" w:color="auto" w:fill="auto"/>
            <w:tcMar>
              <w:top w:w="28" w:type="dxa"/>
              <w:left w:w="102" w:type="dxa"/>
              <w:bottom w:w="28" w:type="dxa"/>
              <w:right w:w="102" w:type="dxa"/>
            </w:tcMar>
            <w:vAlign w:val="bottom"/>
          </w:tcPr>
          <w:p w:rsidR="002D5BB0" w:rsidRPr="00222917" w:rsidRDefault="002D5BB0" w:rsidP="00224E03">
            <w:pPr>
              <w:pStyle w:val="SingleTxtG"/>
              <w:suppressAutoHyphens w:val="0"/>
              <w:spacing w:before="40" w:after="40" w:line="220" w:lineRule="exact"/>
              <w:ind w:left="0" w:right="0"/>
              <w:jc w:val="right"/>
              <w:rPr>
                <w:sz w:val="18"/>
                <w:lang w:val="en-US"/>
              </w:rPr>
            </w:pPr>
            <w:r w:rsidRPr="00222917">
              <w:rPr>
                <w:sz w:val="18"/>
                <w:lang w:val="en-US"/>
              </w:rPr>
              <w:t>1132</w:t>
            </w:r>
          </w:p>
        </w:tc>
        <w:tc>
          <w:tcPr>
            <w:tcW w:w="851" w:type="dxa"/>
            <w:tcBorders>
              <w:bottom w:val="single" w:sz="4" w:space="0" w:color="000000"/>
            </w:tcBorders>
            <w:shd w:val="clear" w:color="auto" w:fill="auto"/>
            <w:vAlign w:val="bottom"/>
          </w:tcPr>
          <w:p w:rsidR="002D5BB0" w:rsidRPr="00222917" w:rsidRDefault="002D5BB0" w:rsidP="00224E03">
            <w:pPr>
              <w:pStyle w:val="SingleTxtG"/>
              <w:suppressAutoHyphens w:val="0"/>
              <w:spacing w:before="40" w:after="40" w:line="220" w:lineRule="exact"/>
              <w:ind w:left="0" w:right="0"/>
              <w:jc w:val="right"/>
              <w:rPr>
                <w:sz w:val="18"/>
                <w:lang w:val="en-US"/>
              </w:rPr>
            </w:pPr>
            <w:r w:rsidRPr="00222917">
              <w:rPr>
                <w:sz w:val="18"/>
                <w:lang w:val="en-US"/>
              </w:rPr>
              <w:t>1,287</w:t>
            </w:r>
          </w:p>
        </w:tc>
      </w:tr>
      <w:tr w:rsidR="008F6543" w:rsidRPr="00222917" w:rsidTr="001C4E4C">
        <w:tc>
          <w:tcPr>
            <w:tcW w:w="1134" w:type="dxa"/>
            <w:gridSpan w:val="2"/>
            <w:tcBorders>
              <w:top w:val="single" w:sz="4" w:space="0" w:color="000000"/>
              <w:bottom w:val="single" w:sz="12" w:space="0" w:color="auto"/>
            </w:tcBorders>
            <w:shd w:val="clear" w:color="auto" w:fill="auto"/>
            <w:tcMar>
              <w:top w:w="28" w:type="dxa"/>
              <w:left w:w="102" w:type="dxa"/>
              <w:bottom w:w="28" w:type="dxa"/>
              <w:right w:w="102" w:type="dxa"/>
            </w:tcMar>
          </w:tcPr>
          <w:p w:rsidR="002D5BB0" w:rsidRPr="00222917" w:rsidRDefault="002D5BB0" w:rsidP="00224E03">
            <w:pPr>
              <w:pStyle w:val="SingleTxtG"/>
              <w:suppressAutoHyphens w:val="0"/>
              <w:spacing w:before="80" w:after="80" w:line="220" w:lineRule="exact"/>
              <w:ind w:left="284" w:right="0"/>
              <w:jc w:val="left"/>
              <w:rPr>
                <w:b/>
                <w:sz w:val="18"/>
                <w:lang w:val="en-US"/>
              </w:rPr>
            </w:pPr>
            <w:r w:rsidRPr="00222917">
              <w:rPr>
                <w:b/>
                <w:sz w:val="18"/>
                <w:lang w:val="en-US"/>
              </w:rPr>
              <w:t>Total</w:t>
            </w:r>
          </w:p>
        </w:tc>
        <w:tc>
          <w:tcPr>
            <w:tcW w:w="851" w:type="dxa"/>
            <w:tcBorders>
              <w:top w:val="single" w:sz="4" w:space="0" w:color="000000"/>
              <w:bottom w:val="single" w:sz="12" w:space="0" w:color="auto"/>
            </w:tcBorders>
            <w:shd w:val="clear" w:color="auto" w:fill="auto"/>
            <w:tcMar>
              <w:top w:w="28" w:type="dxa"/>
              <w:left w:w="102" w:type="dxa"/>
              <w:bottom w:w="28" w:type="dxa"/>
              <w:right w:w="102" w:type="dxa"/>
            </w:tcMar>
            <w:vAlign w:val="bottom"/>
          </w:tcPr>
          <w:p w:rsidR="002D5BB0" w:rsidRPr="00222917" w:rsidRDefault="002D5BB0" w:rsidP="00224E03">
            <w:pPr>
              <w:pStyle w:val="SingleTxtG"/>
              <w:suppressAutoHyphens w:val="0"/>
              <w:spacing w:before="80" w:after="80" w:line="220" w:lineRule="exact"/>
              <w:ind w:left="0" w:right="0"/>
              <w:jc w:val="right"/>
              <w:rPr>
                <w:b/>
                <w:sz w:val="18"/>
                <w:lang w:val="en-US"/>
              </w:rPr>
            </w:pPr>
            <w:r w:rsidRPr="00222917">
              <w:rPr>
                <w:b/>
                <w:sz w:val="18"/>
                <w:lang w:val="en-US"/>
              </w:rPr>
              <w:t>7,193</w:t>
            </w:r>
          </w:p>
        </w:tc>
        <w:tc>
          <w:tcPr>
            <w:tcW w:w="851" w:type="dxa"/>
            <w:tcBorders>
              <w:top w:val="single" w:sz="4" w:space="0" w:color="000000"/>
              <w:bottom w:val="single" w:sz="12" w:space="0" w:color="auto"/>
            </w:tcBorders>
            <w:shd w:val="clear" w:color="auto" w:fill="auto"/>
            <w:tcMar>
              <w:top w:w="28" w:type="dxa"/>
              <w:left w:w="102" w:type="dxa"/>
              <w:bottom w:w="28" w:type="dxa"/>
              <w:right w:w="102" w:type="dxa"/>
            </w:tcMar>
            <w:vAlign w:val="bottom"/>
          </w:tcPr>
          <w:p w:rsidR="002D5BB0" w:rsidRPr="00222917" w:rsidRDefault="002D5BB0" w:rsidP="00224E03">
            <w:pPr>
              <w:pStyle w:val="SingleTxtG"/>
              <w:suppressAutoHyphens w:val="0"/>
              <w:spacing w:before="80" w:after="80" w:line="220" w:lineRule="exact"/>
              <w:ind w:left="0" w:right="0"/>
              <w:jc w:val="right"/>
              <w:rPr>
                <w:b/>
                <w:sz w:val="18"/>
                <w:lang w:val="en-US"/>
              </w:rPr>
            </w:pPr>
            <w:r w:rsidRPr="00222917">
              <w:rPr>
                <w:b/>
                <w:sz w:val="18"/>
                <w:lang w:val="en-US"/>
              </w:rPr>
              <w:t>9,466</w:t>
            </w:r>
          </w:p>
        </w:tc>
        <w:tc>
          <w:tcPr>
            <w:tcW w:w="851" w:type="dxa"/>
            <w:tcBorders>
              <w:top w:val="single" w:sz="4" w:space="0" w:color="000000"/>
              <w:bottom w:val="single" w:sz="12" w:space="0" w:color="auto"/>
            </w:tcBorders>
            <w:shd w:val="clear" w:color="auto" w:fill="auto"/>
            <w:tcMar>
              <w:top w:w="28" w:type="dxa"/>
              <w:left w:w="102" w:type="dxa"/>
              <w:bottom w:w="28" w:type="dxa"/>
              <w:right w:w="102" w:type="dxa"/>
            </w:tcMar>
            <w:vAlign w:val="bottom"/>
          </w:tcPr>
          <w:p w:rsidR="002D5BB0" w:rsidRPr="00222917" w:rsidRDefault="002D5BB0" w:rsidP="00224E03">
            <w:pPr>
              <w:pStyle w:val="SingleTxtG"/>
              <w:suppressAutoHyphens w:val="0"/>
              <w:spacing w:before="80" w:after="80" w:line="220" w:lineRule="exact"/>
              <w:ind w:left="0" w:right="0"/>
              <w:jc w:val="right"/>
              <w:rPr>
                <w:b/>
                <w:sz w:val="18"/>
                <w:lang w:val="en-US"/>
              </w:rPr>
            </w:pPr>
            <w:r w:rsidRPr="00222917">
              <w:rPr>
                <w:b/>
                <w:sz w:val="18"/>
                <w:lang w:val="en-US"/>
              </w:rPr>
              <w:t>6,265</w:t>
            </w:r>
          </w:p>
        </w:tc>
        <w:tc>
          <w:tcPr>
            <w:tcW w:w="851" w:type="dxa"/>
            <w:tcBorders>
              <w:top w:val="single" w:sz="4" w:space="0" w:color="000000"/>
              <w:bottom w:val="single" w:sz="12" w:space="0" w:color="auto"/>
            </w:tcBorders>
            <w:shd w:val="clear" w:color="auto" w:fill="auto"/>
            <w:tcMar>
              <w:top w:w="28" w:type="dxa"/>
              <w:left w:w="102" w:type="dxa"/>
              <w:bottom w:w="28" w:type="dxa"/>
              <w:right w:w="102" w:type="dxa"/>
            </w:tcMar>
            <w:vAlign w:val="bottom"/>
          </w:tcPr>
          <w:p w:rsidR="002D5BB0" w:rsidRPr="00222917" w:rsidRDefault="002D5BB0" w:rsidP="00224E03">
            <w:pPr>
              <w:pStyle w:val="SingleTxtG"/>
              <w:suppressAutoHyphens w:val="0"/>
              <w:spacing w:before="80" w:after="80" w:line="220" w:lineRule="exact"/>
              <w:ind w:left="0" w:right="0"/>
              <w:jc w:val="right"/>
              <w:rPr>
                <w:b/>
                <w:sz w:val="18"/>
                <w:lang w:val="en-US"/>
              </w:rPr>
            </w:pPr>
            <w:r w:rsidRPr="00222917">
              <w:rPr>
                <w:b/>
                <w:sz w:val="18"/>
                <w:lang w:val="en-US"/>
              </w:rPr>
              <w:t>4,933</w:t>
            </w:r>
          </w:p>
        </w:tc>
        <w:tc>
          <w:tcPr>
            <w:tcW w:w="851" w:type="dxa"/>
            <w:tcBorders>
              <w:top w:val="single" w:sz="4" w:space="0" w:color="000000"/>
              <w:bottom w:val="single" w:sz="12" w:space="0" w:color="auto"/>
            </w:tcBorders>
            <w:shd w:val="clear" w:color="auto" w:fill="auto"/>
            <w:tcMar>
              <w:top w:w="28" w:type="dxa"/>
              <w:left w:w="102" w:type="dxa"/>
              <w:bottom w:w="28" w:type="dxa"/>
              <w:right w:w="102" w:type="dxa"/>
            </w:tcMar>
            <w:vAlign w:val="bottom"/>
          </w:tcPr>
          <w:p w:rsidR="002D5BB0" w:rsidRPr="00222917" w:rsidRDefault="002D5BB0" w:rsidP="00224E03">
            <w:pPr>
              <w:pStyle w:val="SingleTxtG"/>
              <w:suppressAutoHyphens w:val="0"/>
              <w:spacing w:before="80" w:after="80" w:line="220" w:lineRule="exact"/>
              <w:ind w:left="0" w:right="0"/>
              <w:jc w:val="right"/>
              <w:rPr>
                <w:b/>
                <w:sz w:val="18"/>
                <w:lang w:val="en-US"/>
              </w:rPr>
            </w:pPr>
            <w:r w:rsidRPr="00222917">
              <w:rPr>
                <w:b/>
                <w:sz w:val="18"/>
                <w:lang w:val="en-US"/>
              </w:rPr>
              <w:t>5,347</w:t>
            </w:r>
          </w:p>
        </w:tc>
        <w:tc>
          <w:tcPr>
            <w:tcW w:w="851" w:type="dxa"/>
            <w:tcBorders>
              <w:top w:val="single" w:sz="4" w:space="0" w:color="000000"/>
              <w:bottom w:val="single" w:sz="12" w:space="0" w:color="auto"/>
            </w:tcBorders>
            <w:shd w:val="clear" w:color="auto" w:fill="auto"/>
            <w:vAlign w:val="bottom"/>
          </w:tcPr>
          <w:p w:rsidR="002D5BB0" w:rsidRPr="00222917" w:rsidRDefault="002D5BB0" w:rsidP="00224E03">
            <w:pPr>
              <w:pStyle w:val="SingleTxtG"/>
              <w:suppressAutoHyphens w:val="0"/>
              <w:spacing w:before="80" w:after="80" w:line="220" w:lineRule="exact"/>
              <w:ind w:left="0" w:right="0"/>
              <w:jc w:val="right"/>
              <w:rPr>
                <w:b/>
                <w:sz w:val="18"/>
                <w:lang w:val="en-US"/>
              </w:rPr>
            </w:pPr>
            <w:r w:rsidRPr="00222917">
              <w:rPr>
                <w:b/>
                <w:sz w:val="18"/>
                <w:lang w:val="en-US"/>
              </w:rPr>
              <w:t>4,220</w:t>
            </w:r>
          </w:p>
        </w:tc>
      </w:tr>
    </w:tbl>
    <w:p w:rsidR="002D5BB0" w:rsidRPr="00222917" w:rsidRDefault="008C2CA1" w:rsidP="008C2CA1">
      <w:pPr>
        <w:pStyle w:val="H23G"/>
        <w:rPr>
          <w:lang w:val="en-US"/>
        </w:rPr>
      </w:pPr>
      <w:bookmarkStart w:id="251" w:name="_Toc307504147"/>
      <w:bookmarkStart w:id="252" w:name="_Toc336435919"/>
      <w:r w:rsidRPr="00222917">
        <w:rPr>
          <w:lang w:val="en-US"/>
        </w:rPr>
        <w:tab/>
      </w:r>
      <w:r w:rsidRPr="00222917">
        <w:rPr>
          <w:lang w:val="en-US"/>
        </w:rPr>
        <w:tab/>
      </w:r>
      <w:r w:rsidR="002D5BB0" w:rsidRPr="00222917">
        <w:rPr>
          <w:lang w:val="en-US"/>
        </w:rPr>
        <w:t>Constitutional Court Rulings Regarding the Assembly and Demonstration Act</w:t>
      </w:r>
      <w:bookmarkEnd w:id="251"/>
      <w:bookmarkEnd w:id="252"/>
    </w:p>
    <w:p w:rsidR="002D5BB0" w:rsidRPr="00222917" w:rsidRDefault="00547908" w:rsidP="00547908">
      <w:pPr>
        <w:pStyle w:val="SingleTxtG"/>
        <w:rPr>
          <w:lang w:val="en-US"/>
        </w:rPr>
      </w:pPr>
      <w:r w:rsidRPr="00222917">
        <w:rPr>
          <w:lang w:val="en-US"/>
        </w:rPr>
        <w:t>299.</w:t>
      </w:r>
      <w:r w:rsidRPr="00222917">
        <w:rPr>
          <w:lang w:val="en-US"/>
        </w:rPr>
        <w:tab/>
      </w:r>
      <w:r w:rsidR="002D5BB0" w:rsidRPr="00222917">
        <w:rPr>
          <w:lang w:val="en-US"/>
        </w:rPr>
        <w:t xml:space="preserve">On 24 September 2009, the Constitutional Court ruled </w:t>
      </w:r>
      <w:r w:rsidR="00E623EE" w:rsidRPr="00222917">
        <w:rPr>
          <w:lang w:val="en-US"/>
        </w:rPr>
        <w:t xml:space="preserve">that the main clause of </w:t>
      </w:r>
      <w:r w:rsidR="00AE0F13" w:rsidRPr="00222917">
        <w:rPr>
          <w:lang w:val="en-US"/>
        </w:rPr>
        <w:t>a</w:t>
      </w:r>
      <w:r w:rsidR="00E623EE" w:rsidRPr="00222917">
        <w:rPr>
          <w:lang w:val="en-US"/>
        </w:rPr>
        <w:t>rticle </w:t>
      </w:r>
      <w:r w:rsidR="002D5BB0" w:rsidRPr="00222917">
        <w:rPr>
          <w:lang w:val="en-US"/>
        </w:rPr>
        <w:t xml:space="preserve">10 of the </w:t>
      </w:r>
      <w:r w:rsidR="002D5BB0" w:rsidRPr="00222917">
        <w:rPr>
          <w:iCs/>
          <w:lang w:val="en-US"/>
        </w:rPr>
        <w:t xml:space="preserve">Act Concerning Assembly and Demonstration </w:t>
      </w:r>
      <w:r w:rsidR="002D5BB0" w:rsidRPr="00222917">
        <w:rPr>
          <w:lang w:val="en-US"/>
        </w:rPr>
        <w:t xml:space="preserve">was in violation of </w:t>
      </w:r>
      <w:r w:rsidR="00AE0F13" w:rsidRPr="00222917">
        <w:rPr>
          <w:lang w:val="en-US"/>
        </w:rPr>
        <w:t>a</w:t>
      </w:r>
      <w:r w:rsidR="002D5BB0" w:rsidRPr="00222917">
        <w:rPr>
          <w:lang w:val="en-US"/>
        </w:rPr>
        <w:t>rticle</w:t>
      </w:r>
      <w:r w:rsidR="00D10A89" w:rsidRPr="00222917">
        <w:rPr>
          <w:lang w:val="en-US"/>
        </w:rPr>
        <w:t> </w:t>
      </w:r>
      <w:r w:rsidR="002D5BB0" w:rsidRPr="00222917">
        <w:rPr>
          <w:lang w:val="en-US"/>
        </w:rPr>
        <w:t xml:space="preserve">21 (2) of the Constitution on grounds that the provision prohibits open-air rallies at night in general under the proviso that the chief of a competent police station, who is an administrative authority, performs prior examination to ascertain the nature and scale of the assembly, etc. and determines whether the assembly can be held; therefore, the provision is deemed to stipulate permission of open-air rallies at night. However, the Court decided that in consideration of social disruption that may arise from sudden abolition of that provision, the effect thereof is tentatively recognized, and the National Assembly should amend it by 30 June 2010 (2008 HUN-GA 25). Following this ruling of the </w:t>
      </w:r>
      <w:smartTag w:uri="urn:schemas-microsoft-com:office:smarttags" w:element="Street">
        <w:smartTag w:uri="urn:schemas-microsoft-com:office:smarttags" w:element="address">
          <w:r w:rsidR="002D5BB0" w:rsidRPr="00222917">
            <w:rPr>
              <w:lang w:val="en-US"/>
            </w:rPr>
            <w:t>Constitutional Court</w:t>
          </w:r>
        </w:smartTag>
      </w:smartTag>
      <w:r w:rsidR="002D5BB0" w:rsidRPr="00222917">
        <w:rPr>
          <w:lang w:val="en-US"/>
        </w:rPr>
        <w:t xml:space="preserve">, the National Assembly has discussed a variety of bills, and for the time being, open-air rallies at night are permitted due to invalidation of the provision. </w:t>
      </w:r>
    </w:p>
    <w:p w:rsidR="002D5BB0" w:rsidRPr="00222917" w:rsidRDefault="008C2CA1" w:rsidP="008C2CA1">
      <w:pPr>
        <w:pStyle w:val="H23G"/>
        <w:rPr>
          <w:lang w:val="en-US"/>
        </w:rPr>
      </w:pPr>
      <w:bookmarkStart w:id="253" w:name="_Toc307504148"/>
      <w:bookmarkStart w:id="254" w:name="_Toc336435920"/>
      <w:r w:rsidRPr="00222917">
        <w:rPr>
          <w:lang w:val="en-US"/>
        </w:rPr>
        <w:tab/>
      </w:r>
      <w:r w:rsidRPr="00222917">
        <w:rPr>
          <w:lang w:val="en-US"/>
        </w:rPr>
        <w:tab/>
      </w:r>
      <w:r w:rsidR="002D5BB0" w:rsidRPr="00222917">
        <w:rPr>
          <w:lang w:val="en-US"/>
        </w:rPr>
        <w:t>Cases Related to the Right to Assembly</w:t>
      </w:r>
      <w:bookmarkEnd w:id="253"/>
      <w:bookmarkEnd w:id="254"/>
    </w:p>
    <w:p w:rsidR="002D5BB0" w:rsidRPr="00222917" w:rsidRDefault="008C2CA1" w:rsidP="008C2CA1">
      <w:pPr>
        <w:pStyle w:val="H4G"/>
        <w:rPr>
          <w:lang w:val="en-US"/>
        </w:rPr>
      </w:pPr>
      <w:bookmarkStart w:id="255" w:name="_Toc307504149"/>
      <w:bookmarkStart w:id="256" w:name="_Toc336435921"/>
      <w:r w:rsidRPr="00222917">
        <w:rPr>
          <w:lang w:val="en-US"/>
        </w:rPr>
        <w:tab/>
        <w:t xml:space="preserve"> </w:t>
      </w:r>
      <w:r w:rsidRPr="00222917">
        <w:rPr>
          <w:lang w:val="en-US"/>
        </w:rPr>
        <w:tab/>
      </w:r>
      <w:r w:rsidR="002D5BB0" w:rsidRPr="00222917">
        <w:rPr>
          <w:lang w:val="en-US"/>
        </w:rPr>
        <w:t>Candle-light Demonstration</w:t>
      </w:r>
      <w:bookmarkEnd w:id="255"/>
      <w:bookmarkEnd w:id="256"/>
      <w:r w:rsidR="002D5BB0" w:rsidRPr="00222917">
        <w:rPr>
          <w:lang w:val="en-US"/>
        </w:rPr>
        <w:t xml:space="preserve"> </w:t>
      </w:r>
    </w:p>
    <w:p w:rsidR="002D5BB0" w:rsidRPr="00222917" w:rsidRDefault="00547908" w:rsidP="00547908">
      <w:pPr>
        <w:pStyle w:val="SingleTxtG"/>
        <w:rPr>
          <w:lang w:val="en-US"/>
        </w:rPr>
      </w:pPr>
      <w:r w:rsidRPr="00222917">
        <w:rPr>
          <w:lang w:val="en-US"/>
        </w:rPr>
        <w:t>300.</w:t>
      </w:r>
      <w:r w:rsidRPr="00222917">
        <w:rPr>
          <w:lang w:val="en-US"/>
        </w:rPr>
        <w:tab/>
      </w:r>
      <w:r w:rsidR="002D5BB0" w:rsidRPr="00222917">
        <w:rPr>
          <w:lang w:val="en-US"/>
        </w:rPr>
        <w:t xml:space="preserve">When the Government decided to resume </w:t>
      </w:r>
      <w:smartTag w:uri="urn:schemas-microsoft-com:office:smarttags" w:element="place">
        <w:smartTag w:uri="urn:schemas-microsoft-com:office:smarttags" w:element="country-region">
          <w:r w:rsidR="002D5BB0" w:rsidRPr="00222917">
            <w:rPr>
              <w:lang w:val="en-US"/>
            </w:rPr>
            <w:t>US</w:t>
          </w:r>
        </w:smartTag>
      </w:smartTag>
      <w:r w:rsidR="002D5BB0" w:rsidRPr="00222917">
        <w:rPr>
          <w:lang w:val="en-US"/>
        </w:rPr>
        <w:t xml:space="preserve"> beef imports on 17 April 2008, groundless anxiety among the public was greatly amplified due to some press reports questioning the safety of US beef. Candle-light demonstrations started to be held on 2 May 2008 in response to the rapid spread of false information over the Internet including unfounded stories about mad cow disease. Civic groups including the Korea Alliance for Progressive Movement harnessed the public sentiment and established the People’s Meetings on Countermeasures against Imports of US Beef with Mad Cow Disease (“People’s Meetings on Countermeasures”) on 6 May 2008.</w:t>
      </w:r>
    </w:p>
    <w:p w:rsidR="002D5BB0" w:rsidRPr="00222917" w:rsidRDefault="00547908" w:rsidP="00547908">
      <w:pPr>
        <w:pStyle w:val="SingleTxtG"/>
        <w:rPr>
          <w:lang w:val="en-US"/>
        </w:rPr>
      </w:pPr>
      <w:r w:rsidRPr="00222917">
        <w:rPr>
          <w:lang w:val="en-US"/>
        </w:rPr>
        <w:t>301.</w:t>
      </w:r>
      <w:r w:rsidRPr="00222917">
        <w:rPr>
          <w:lang w:val="en-US"/>
        </w:rPr>
        <w:tab/>
      </w:r>
      <w:r w:rsidR="002D5BB0" w:rsidRPr="00222917">
        <w:rPr>
          <w:lang w:val="en-US"/>
        </w:rPr>
        <w:t xml:space="preserve">The candle-light demonstration was originally intended to be a peaceful assembly, but became systematically organized and turned into an illegal and violent protest. Demonstrators occupied roads, used weapons such as iron pipes, assaulted law enforcement officers, damaged police buses, and started fires. The People’s Meetings on Countermeasures eventually led a march toward </w:t>
      </w:r>
      <w:r w:rsidR="002D5BB0" w:rsidRPr="00222917">
        <w:rPr>
          <w:i/>
          <w:lang w:val="en-US"/>
        </w:rPr>
        <w:t>Cheongwadae</w:t>
      </w:r>
      <w:r w:rsidR="002D5BB0" w:rsidRPr="00222917">
        <w:rPr>
          <w:lang w:val="en-US"/>
        </w:rPr>
        <w:t xml:space="preserve"> (the Korean presidential residence) on 23 May 2008, causing a prolonged traffic jam downtown as well as a number of injuries and substantial property damage. The protests lasted three months, until 15</w:t>
      </w:r>
      <w:r w:rsidR="008C2CA1" w:rsidRPr="00222917">
        <w:rPr>
          <w:lang w:val="en-US"/>
        </w:rPr>
        <w:t> </w:t>
      </w:r>
      <w:r w:rsidR="002D5BB0" w:rsidRPr="00222917">
        <w:rPr>
          <w:lang w:val="en-US"/>
        </w:rPr>
        <w:t>August, and caused damages of about KRW 1.1 billion including injuries to 501 police officers (100 severely injured; 401 slightly injured), severe injuries to 88 citizens, and 2,275</w:t>
      </w:r>
      <w:r w:rsidR="00D10A89" w:rsidRPr="00222917">
        <w:rPr>
          <w:lang w:val="en-US"/>
        </w:rPr>
        <w:t> </w:t>
      </w:r>
      <w:r w:rsidR="002D5BB0" w:rsidRPr="00222917">
        <w:rPr>
          <w:lang w:val="en-US"/>
        </w:rPr>
        <w:t xml:space="preserve">cases of damage to police vehicles and equipments. </w:t>
      </w:r>
    </w:p>
    <w:p w:rsidR="002D5BB0" w:rsidRPr="00222917" w:rsidRDefault="00547908" w:rsidP="00547908">
      <w:pPr>
        <w:pStyle w:val="SingleTxtG"/>
        <w:rPr>
          <w:lang w:val="en-US"/>
        </w:rPr>
      </w:pPr>
      <w:r w:rsidRPr="00222917">
        <w:rPr>
          <w:lang w:val="en-US"/>
        </w:rPr>
        <w:t>302.</w:t>
      </w:r>
      <w:r w:rsidRPr="00222917">
        <w:rPr>
          <w:lang w:val="en-US"/>
        </w:rPr>
        <w:tab/>
      </w:r>
      <w:r w:rsidR="002D5BB0" w:rsidRPr="00222917">
        <w:rPr>
          <w:lang w:val="en-US"/>
        </w:rPr>
        <w:t>As of 2010, cases are under investigation in accordance with applicable laws. The</w:t>
      </w:r>
      <w:r w:rsidR="00D10A89" w:rsidRPr="00222917">
        <w:rPr>
          <w:lang w:val="en-US"/>
        </w:rPr>
        <w:t> </w:t>
      </w:r>
      <w:r w:rsidR="002D5BB0" w:rsidRPr="00222917">
        <w:rPr>
          <w:lang w:val="en-US"/>
        </w:rPr>
        <w:t xml:space="preserve">National Human Rights Commission of Korea recommended eight items to the Commissioner General, who accepted some of them. Since most of complaints or accusations of assault by the police are lodged against police officers whose names are not reported, it is difficult to specify and identify the accused, which in turn has prolonged the investigations. </w:t>
      </w:r>
    </w:p>
    <w:p w:rsidR="002D5BB0" w:rsidRPr="00222917" w:rsidRDefault="008C2CA1" w:rsidP="008C2CA1">
      <w:pPr>
        <w:pStyle w:val="H4G"/>
        <w:rPr>
          <w:lang w:val="en-US"/>
        </w:rPr>
      </w:pPr>
      <w:bookmarkStart w:id="257" w:name="_Toc307504150"/>
      <w:bookmarkStart w:id="258" w:name="_Toc336435922"/>
      <w:r w:rsidRPr="00222917">
        <w:rPr>
          <w:lang w:val="en-US"/>
        </w:rPr>
        <w:tab/>
      </w:r>
      <w:r w:rsidRPr="00222917">
        <w:rPr>
          <w:lang w:val="en-US"/>
        </w:rPr>
        <w:tab/>
      </w:r>
      <w:r w:rsidR="002D5BB0" w:rsidRPr="00222917">
        <w:rPr>
          <w:lang w:val="en-US"/>
        </w:rPr>
        <w:t>Yongsan Fire Incident</w:t>
      </w:r>
      <w:bookmarkEnd w:id="257"/>
      <w:bookmarkEnd w:id="258"/>
    </w:p>
    <w:p w:rsidR="002D5BB0" w:rsidRPr="00222917" w:rsidRDefault="00547908" w:rsidP="00547908">
      <w:pPr>
        <w:pStyle w:val="SingleTxtG"/>
        <w:rPr>
          <w:lang w:val="en-US"/>
        </w:rPr>
      </w:pPr>
      <w:r w:rsidRPr="00222917">
        <w:rPr>
          <w:lang w:val="en-US"/>
        </w:rPr>
        <w:t>303.</w:t>
      </w:r>
      <w:r w:rsidRPr="00222917">
        <w:rPr>
          <w:lang w:val="en-US"/>
        </w:rPr>
        <w:tab/>
      </w:r>
      <w:r w:rsidR="002D5BB0" w:rsidRPr="00222917">
        <w:rPr>
          <w:lang w:val="en-US"/>
        </w:rPr>
        <w:t xml:space="preserve">On 19 January 2009, 32 persons including tenants of commercial buildings who protested against compensation criteria of the urban environment improvement project broke into a building at the center of </w:t>
      </w:r>
      <w:r w:rsidR="002D5BB0" w:rsidRPr="00222917">
        <w:rPr>
          <w:i/>
          <w:lang w:val="en-US"/>
        </w:rPr>
        <w:t>Yongsan</w:t>
      </w:r>
      <w:r w:rsidR="002D5BB0" w:rsidRPr="000850F5">
        <w:rPr>
          <w:i/>
          <w:iCs/>
          <w:lang w:val="en-US"/>
        </w:rPr>
        <w:t>-gu</w:t>
      </w:r>
      <w:r w:rsidR="002D5BB0" w:rsidRPr="00222917">
        <w:rPr>
          <w:lang w:val="en-US"/>
        </w:rPr>
        <w:t xml:space="preserve">, </w:t>
      </w:r>
      <w:smartTag w:uri="urn:schemas-microsoft-com:office:smarttags" w:element="place">
        <w:smartTag w:uri="urn:schemas-microsoft-com:office:smarttags" w:element="City">
          <w:r w:rsidR="002D5BB0" w:rsidRPr="00222917">
            <w:rPr>
              <w:lang w:val="en-US"/>
            </w:rPr>
            <w:t>Seoul</w:t>
          </w:r>
        </w:smartTag>
      </w:smartTag>
      <w:r w:rsidR="002D5BB0" w:rsidRPr="00222917">
        <w:rPr>
          <w:lang w:val="en-US"/>
        </w:rPr>
        <w:t>, and waged a sit-in protest. They</w:t>
      </w:r>
      <w:r w:rsidR="008119E3" w:rsidRPr="00222917">
        <w:rPr>
          <w:lang w:val="en-US"/>
        </w:rPr>
        <w:t> </w:t>
      </w:r>
      <w:r w:rsidR="002D5BB0" w:rsidRPr="00222917">
        <w:rPr>
          <w:lang w:val="en-US"/>
        </w:rPr>
        <w:t xml:space="preserve">set up a lookout and dropped petrol bombs. The police and SWAT started suppression operations on 20 January, and the protesters responded by throwing petrol bombs. In the process, a fire broke out at the lookout. Five protesters and one law enforcer died, and six protesters and 16 law enforcers sustained severe or minor injuries. </w:t>
      </w:r>
    </w:p>
    <w:p w:rsidR="002D5BB0" w:rsidRPr="00222917" w:rsidRDefault="00547908" w:rsidP="00547908">
      <w:pPr>
        <w:pStyle w:val="SingleTxtG"/>
        <w:rPr>
          <w:lang w:val="en-US"/>
        </w:rPr>
      </w:pPr>
      <w:r w:rsidRPr="00222917">
        <w:rPr>
          <w:lang w:val="en-US"/>
        </w:rPr>
        <w:t>304.</w:t>
      </w:r>
      <w:r w:rsidRPr="00222917">
        <w:rPr>
          <w:lang w:val="en-US"/>
        </w:rPr>
        <w:tab/>
      </w:r>
      <w:r w:rsidR="002D5BB0" w:rsidRPr="00222917">
        <w:rPr>
          <w:lang w:val="en-US"/>
        </w:rPr>
        <w:t>Since protesters posed a danger to public safety by unlawfully occupying the building, setting up the lookout, and throwing petrol bombs down on the street, the police had to put an end to their actions immediately. The police and the security company asked them several times to withdraw voluntarily, but they refused and continued to throw petrol bombs at the police. In the last resort, the police tried to overpower them by force.</w:t>
      </w:r>
    </w:p>
    <w:p w:rsidR="002D5BB0" w:rsidRPr="00222917" w:rsidRDefault="00547908" w:rsidP="00547908">
      <w:pPr>
        <w:pStyle w:val="SingleTxtG"/>
        <w:rPr>
          <w:lang w:val="en-US"/>
        </w:rPr>
      </w:pPr>
      <w:r w:rsidRPr="00222917">
        <w:rPr>
          <w:lang w:val="en-US"/>
        </w:rPr>
        <w:t>305.</w:t>
      </w:r>
      <w:r w:rsidRPr="00222917">
        <w:rPr>
          <w:lang w:val="en-US"/>
        </w:rPr>
        <w:tab/>
      </w:r>
      <w:r w:rsidR="002D5BB0" w:rsidRPr="00222917">
        <w:rPr>
          <w:lang w:val="en-US"/>
        </w:rPr>
        <w:t xml:space="preserve">The police put fire trucks, water tanks, and ambulances on standby before quelling the protest to minimize damage and prevent accidents. Nevertheless, a fire broke out in an instant following the throwing of petrol bombs and explosions and resulted in the death of several protesters and a police officer. The Prosecutors’ Office conducted thorough investigations into possible illegal acts by the police and employees of the security company and found no illegal act by the police but some illegal acts by the security company. Seven security guards were prosecuted. On 11 November 2010, the Supreme Court ruled that the suppression operation of the police was performed in consideration of the possibility of serious infringement upon public stability and order and, therefore, could not be deemed an illegal performance of duties (2010 Do 7621). </w:t>
      </w:r>
    </w:p>
    <w:p w:rsidR="002D5BB0" w:rsidRPr="006A45BB" w:rsidRDefault="008C2CA1" w:rsidP="008C2CA1">
      <w:pPr>
        <w:pStyle w:val="HChG"/>
        <w:rPr>
          <w:sz w:val="22"/>
          <w:szCs w:val="22"/>
          <w:lang w:val="en-US"/>
        </w:rPr>
      </w:pPr>
      <w:bookmarkStart w:id="259" w:name="_Toc307504151"/>
      <w:bookmarkStart w:id="260" w:name="_Toc336435923"/>
      <w:r w:rsidRPr="00222917">
        <w:rPr>
          <w:lang w:val="en-US"/>
        </w:rPr>
        <w:tab/>
      </w:r>
      <w:r w:rsidRPr="00222917">
        <w:rPr>
          <w:lang w:val="en-US"/>
        </w:rPr>
        <w:tab/>
      </w:r>
      <w:r w:rsidR="002D5BB0" w:rsidRPr="006A45BB">
        <w:rPr>
          <w:sz w:val="22"/>
          <w:szCs w:val="22"/>
          <w:lang w:val="en-US"/>
        </w:rPr>
        <w:t>Article 22</w:t>
      </w:r>
      <w:bookmarkEnd w:id="259"/>
      <w:bookmarkEnd w:id="260"/>
    </w:p>
    <w:p w:rsidR="002D5BB0" w:rsidRPr="00222917" w:rsidRDefault="00547908" w:rsidP="00547908">
      <w:pPr>
        <w:pStyle w:val="SingleTxtG"/>
        <w:rPr>
          <w:lang w:val="en-US"/>
        </w:rPr>
      </w:pPr>
      <w:r w:rsidRPr="00222917">
        <w:rPr>
          <w:lang w:val="en-US"/>
        </w:rPr>
        <w:t>306.</w:t>
      </w:r>
      <w:r w:rsidRPr="00222917">
        <w:rPr>
          <w:lang w:val="en-US"/>
        </w:rPr>
        <w:tab/>
      </w:r>
      <w:r w:rsidR="002D5BB0" w:rsidRPr="00222917">
        <w:rPr>
          <w:lang w:val="en-US"/>
        </w:rPr>
        <w:t>In April 1990, the Korean Government joined the International Covenant on Civil and Political Right</w:t>
      </w:r>
      <w:r w:rsidR="00E623EE" w:rsidRPr="00222917">
        <w:rPr>
          <w:lang w:val="en-US"/>
        </w:rPr>
        <w:t xml:space="preserve">s with a reservation to </w:t>
      </w:r>
      <w:r w:rsidR="00AE0F13" w:rsidRPr="00222917">
        <w:rPr>
          <w:lang w:val="en-US"/>
        </w:rPr>
        <w:t>a</w:t>
      </w:r>
      <w:r w:rsidR="00E623EE" w:rsidRPr="00222917">
        <w:rPr>
          <w:lang w:val="en-US"/>
        </w:rPr>
        <w:t>rticle </w:t>
      </w:r>
      <w:r w:rsidR="002D5BB0" w:rsidRPr="00222917">
        <w:rPr>
          <w:lang w:val="en-US"/>
        </w:rPr>
        <w:t>22 because the freedom of association for public officials and teachers was restricted pursuant to domestic laws. The Government has taken measures to gradually expand the freedom of association for public officials and te</w:t>
      </w:r>
      <w:r w:rsidR="008C2CA1" w:rsidRPr="00222917">
        <w:rPr>
          <w:lang w:val="en-US"/>
        </w:rPr>
        <w:t>achers (CCPR/C/68/Add.1, paras. </w:t>
      </w:r>
      <w:r w:rsidR="002D5BB0" w:rsidRPr="00222917">
        <w:rPr>
          <w:lang w:val="en-US"/>
        </w:rPr>
        <w:t>2</w:t>
      </w:r>
      <w:r w:rsidR="008C2CA1" w:rsidRPr="00222917">
        <w:rPr>
          <w:lang w:val="en-US"/>
        </w:rPr>
        <w:t>71-275; CCPR/C/114/Add.1, para. </w:t>
      </w:r>
      <w:r w:rsidR="002D5BB0" w:rsidRPr="00222917">
        <w:rPr>
          <w:lang w:val="en-US"/>
        </w:rPr>
        <w:t>158</w:t>
      </w:r>
      <w:r w:rsidR="008C2CA1" w:rsidRPr="00222917">
        <w:rPr>
          <w:lang w:val="en-US"/>
        </w:rPr>
        <w:t>; CCPR/C/KOR/2005/3, paras. 317-</w:t>
      </w:r>
      <w:r w:rsidR="002D5BB0" w:rsidRPr="00222917">
        <w:rPr>
          <w:lang w:val="en-US"/>
        </w:rPr>
        <w:t xml:space="preserve">321). </w:t>
      </w:r>
    </w:p>
    <w:p w:rsidR="002D5BB0" w:rsidRPr="00222917" w:rsidRDefault="008C2CA1" w:rsidP="008C2CA1">
      <w:pPr>
        <w:pStyle w:val="H23G"/>
        <w:rPr>
          <w:lang w:val="en-US"/>
        </w:rPr>
      </w:pPr>
      <w:bookmarkStart w:id="261" w:name="_Toc307504152"/>
      <w:bookmarkStart w:id="262" w:name="_Toc336435924"/>
      <w:r w:rsidRPr="00222917">
        <w:rPr>
          <w:lang w:val="en-US"/>
        </w:rPr>
        <w:tab/>
      </w:r>
      <w:r w:rsidRPr="00222917">
        <w:rPr>
          <w:lang w:val="en-US"/>
        </w:rPr>
        <w:tab/>
      </w:r>
      <w:r w:rsidR="002D5BB0" w:rsidRPr="00222917">
        <w:rPr>
          <w:lang w:val="en-US"/>
        </w:rPr>
        <w:t>Improvement of Labor Relations Management</w:t>
      </w:r>
      <w:bookmarkEnd w:id="261"/>
      <w:bookmarkEnd w:id="262"/>
    </w:p>
    <w:p w:rsidR="002D5BB0" w:rsidRPr="00222917" w:rsidRDefault="00547908" w:rsidP="00547908">
      <w:pPr>
        <w:pStyle w:val="SingleTxtG"/>
        <w:rPr>
          <w:lang w:val="en-US"/>
        </w:rPr>
      </w:pPr>
      <w:r w:rsidRPr="00222917">
        <w:rPr>
          <w:lang w:val="en-US"/>
        </w:rPr>
        <w:t>307.</w:t>
      </w:r>
      <w:r w:rsidRPr="00222917">
        <w:rPr>
          <w:lang w:val="en-US"/>
        </w:rPr>
        <w:tab/>
      </w:r>
      <w:r w:rsidR="002D5BB0" w:rsidRPr="00222917">
        <w:rPr>
          <w:lang w:val="en-US"/>
        </w:rPr>
        <w:t xml:space="preserve">On 1 January 2010, following extensive discussions including working-level meetings between the labor, management, and the </w:t>
      </w:r>
      <w:r w:rsidR="0005151A">
        <w:rPr>
          <w:lang w:val="en-US"/>
        </w:rPr>
        <w:t>G</w:t>
      </w:r>
      <w:r w:rsidR="002D5BB0" w:rsidRPr="00222917">
        <w:rPr>
          <w:lang w:val="en-US"/>
        </w:rPr>
        <w:t xml:space="preserve">overnment, and meetings of representatives, the </w:t>
      </w:r>
      <w:r w:rsidR="002D5BB0" w:rsidRPr="00222917">
        <w:rPr>
          <w:iCs/>
          <w:lang w:val="en-US"/>
        </w:rPr>
        <w:t>Trade Union and Labor Relations Adjustment Act</w:t>
      </w:r>
      <w:r w:rsidR="002D5BB0" w:rsidRPr="00222917">
        <w:rPr>
          <w:lang w:val="en-US"/>
        </w:rPr>
        <w:t xml:space="preserve"> was amended to introduc</w:t>
      </w:r>
      <w:r w:rsidR="00E623EE" w:rsidRPr="00222917">
        <w:rPr>
          <w:lang w:val="en-US"/>
        </w:rPr>
        <w:t>e the time-off system (</w:t>
      </w:r>
      <w:r w:rsidR="00AE0F13" w:rsidRPr="00222917">
        <w:rPr>
          <w:lang w:val="en-US"/>
        </w:rPr>
        <w:t>a</w:t>
      </w:r>
      <w:r w:rsidR="00E623EE" w:rsidRPr="00222917">
        <w:rPr>
          <w:lang w:val="en-US"/>
        </w:rPr>
        <w:t>rticles </w:t>
      </w:r>
      <w:r w:rsidR="002D5BB0" w:rsidRPr="00222917">
        <w:rPr>
          <w:lang w:val="en-US"/>
        </w:rPr>
        <w:t>24 and 24-2</w:t>
      </w:r>
      <w:r w:rsidR="00E623EE" w:rsidRPr="00222917">
        <w:rPr>
          <w:lang w:val="en-US"/>
        </w:rPr>
        <w:t>, etc.; entered into force on 1 </w:t>
      </w:r>
      <w:r w:rsidR="002D5BB0" w:rsidRPr="00222917">
        <w:rPr>
          <w:lang w:val="en-US"/>
        </w:rPr>
        <w:t>July 2010), and permit establishment of multiple labor uni</w:t>
      </w:r>
      <w:r w:rsidR="00E623EE" w:rsidRPr="00222917">
        <w:rPr>
          <w:lang w:val="en-US"/>
        </w:rPr>
        <w:t>ons at each workplace (</w:t>
      </w:r>
      <w:r w:rsidR="00AE0F13" w:rsidRPr="00222917">
        <w:rPr>
          <w:lang w:val="en-US"/>
        </w:rPr>
        <w:t>a</w:t>
      </w:r>
      <w:r w:rsidR="00E623EE" w:rsidRPr="00222917">
        <w:rPr>
          <w:lang w:val="en-US"/>
        </w:rPr>
        <w:t>rticles </w:t>
      </w:r>
      <w:r w:rsidR="002D5BB0" w:rsidRPr="00222917">
        <w:rPr>
          <w:lang w:val="en-US"/>
        </w:rPr>
        <w:t>29-2, 29-3, 29-4, and 29-5; to ente</w:t>
      </w:r>
      <w:r w:rsidR="00E623EE" w:rsidRPr="00222917">
        <w:rPr>
          <w:lang w:val="en-US"/>
        </w:rPr>
        <w:t>r into force on 1 </w:t>
      </w:r>
      <w:r w:rsidR="002D5BB0" w:rsidRPr="00222917">
        <w:rPr>
          <w:lang w:val="en-US"/>
        </w:rPr>
        <w:t xml:space="preserve">July 2011). </w:t>
      </w:r>
    </w:p>
    <w:p w:rsidR="002D5BB0" w:rsidRPr="00222917" w:rsidRDefault="00547908" w:rsidP="00547908">
      <w:pPr>
        <w:pStyle w:val="SingleTxtG"/>
        <w:rPr>
          <w:lang w:val="en-US"/>
        </w:rPr>
      </w:pPr>
      <w:r w:rsidRPr="00222917">
        <w:rPr>
          <w:lang w:val="en-US"/>
        </w:rPr>
        <w:t>308.</w:t>
      </w:r>
      <w:r w:rsidRPr="00222917">
        <w:rPr>
          <w:lang w:val="en-US"/>
        </w:rPr>
        <w:tab/>
      </w:r>
      <w:r w:rsidR="002D5BB0" w:rsidRPr="00222917">
        <w:rPr>
          <w:lang w:val="en-US"/>
        </w:rPr>
        <w:t>Under the time-off system, payment of full-time union officers, who devote themselves to union activities on a full-time basis, is prohibited. However, they can be paid for relevant activities such as bargaining, consultation, complaint handling, and industrial safety, and a given scope of union activities such as management of labor unions. There were several issues at the early stage of implementation of the system, but the system becomes smoothly established. The time-off system has enabled the rectification of the once unreasonable payment practices for full-time union officers and increased independency in operation of labor unions, thereby likely establishing law and order in industrial relations.</w:t>
      </w:r>
    </w:p>
    <w:p w:rsidR="002D5BB0" w:rsidRPr="00222917" w:rsidRDefault="00547908" w:rsidP="00547908">
      <w:pPr>
        <w:pStyle w:val="SingleTxtG"/>
        <w:rPr>
          <w:lang w:val="en-US"/>
        </w:rPr>
      </w:pPr>
      <w:r w:rsidRPr="00222917">
        <w:rPr>
          <w:lang w:val="en-US"/>
        </w:rPr>
        <w:t>309.</w:t>
      </w:r>
      <w:r w:rsidRPr="00222917">
        <w:rPr>
          <w:lang w:val="en-US"/>
        </w:rPr>
        <w:tab/>
      </w:r>
      <w:r w:rsidR="002D5BB0" w:rsidRPr="00222917">
        <w:rPr>
          <w:lang w:val="en-US"/>
        </w:rPr>
        <w:t xml:space="preserve">Multiple unions can be established at one workplace, but a single bargaining channel should be ensured. However, if the employer agrees, each union may engage in bargaining individually. A single bargaining channel is sought preferentially through voluntary efforts among unions. If voluntary efforts to establish a single bargaining channel fail, the majority union becomes the bargaining partner. If there is no majority union, a joint bargaining delegation designated by voluntary decision or formed by the Labor Relations Commission upon request becomes the primary agent of bargaining. In order to prevent discrimination against minority unions, the representative union is obligated to represent in a fair manner. The multiple union system is expected to encourage members-oriented union activities by guaranteeing the freedom of establishment of unions, creating sound competition among unions, and strengthening service functions of unions. </w:t>
      </w:r>
    </w:p>
    <w:p w:rsidR="002D5BB0" w:rsidRPr="00222917" w:rsidRDefault="00984B6F" w:rsidP="00984B6F">
      <w:pPr>
        <w:pStyle w:val="H23G"/>
        <w:rPr>
          <w:lang w:val="en-US"/>
        </w:rPr>
      </w:pPr>
      <w:bookmarkStart w:id="263" w:name="_Toc307504153"/>
      <w:bookmarkStart w:id="264" w:name="_Toc336435925"/>
      <w:r w:rsidRPr="00222917">
        <w:rPr>
          <w:lang w:val="en-US"/>
        </w:rPr>
        <w:tab/>
      </w:r>
      <w:r w:rsidRPr="00222917">
        <w:rPr>
          <w:lang w:val="en-US"/>
        </w:rPr>
        <w:tab/>
      </w:r>
      <w:r w:rsidR="002D5BB0" w:rsidRPr="00222917">
        <w:rPr>
          <w:lang w:val="en-US"/>
        </w:rPr>
        <w:t>Guaranteeing Public Officials’ Labor Rights</w:t>
      </w:r>
      <w:bookmarkEnd w:id="263"/>
      <w:bookmarkEnd w:id="264"/>
    </w:p>
    <w:p w:rsidR="002D5BB0" w:rsidRPr="00222917" w:rsidRDefault="00547908" w:rsidP="00547908">
      <w:pPr>
        <w:pStyle w:val="SingleTxtG"/>
        <w:rPr>
          <w:lang w:val="en-US"/>
        </w:rPr>
      </w:pPr>
      <w:r w:rsidRPr="00222917">
        <w:rPr>
          <w:lang w:val="en-US"/>
        </w:rPr>
        <w:t>310.</w:t>
      </w:r>
      <w:r w:rsidRPr="00222917">
        <w:rPr>
          <w:lang w:val="en-US"/>
        </w:rPr>
        <w:tab/>
      </w:r>
      <w:r w:rsidR="002D5BB0" w:rsidRPr="00222917">
        <w:rPr>
          <w:lang w:val="en-US"/>
        </w:rPr>
        <w:t>In consideration of the third report, the Committee recommended that the State party reconsider its position on the rights of association of senior public officials, and engage in dialogue with the representatives of the 76,000 KGEU members with a view to fully realizing their right of associatio</w:t>
      </w:r>
      <w:r w:rsidR="00984B6F" w:rsidRPr="00222917">
        <w:rPr>
          <w:lang w:val="en-US"/>
        </w:rPr>
        <w:t>n (CCPR/C/KOR/CO/3, para. </w:t>
      </w:r>
      <w:r w:rsidR="002D5BB0" w:rsidRPr="00222917">
        <w:rPr>
          <w:lang w:val="en-US"/>
        </w:rPr>
        <w:t>19).</w:t>
      </w:r>
    </w:p>
    <w:p w:rsidR="002D5BB0" w:rsidRPr="00222917" w:rsidRDefault="00547908" w:rsidP="00547908">
      <w:pPr>
        <w:pStyle w:val="SingleTxtG"/>
        <w:rPr>
          <w:lang w:val="en-US"/>
        </w:rPr>
      </w:pPr>
      <w:r w:rsidRPr="00222917">
        <w:rPr>
          <w:lang w:val="en-US"/>
        </w:rPr>
        <w:t>311.</w:t>
      </w:r>
      <w:r w:rsidRPr="00222917">
        <w:rPr>
          <w:lang w:val="en-US"/>
        </w:rPr>
        <w:tab/>
      </w:r>
      <w:r w:rsidR="002D5BB0" w:rsidRPr="00222917">
        <w:rPr>
          <w:lang w:val="en-US"/>
        </w:rPr>
        <w:t xml:space="preserve">To protect the freedom of association of public officials, the Government enacted the </w:t>
      </w:r>
      <w:r w:rsidR="002D5BB0" w:rsidRPr="000850F5">
        <w:rPr>
          <w:iCs/>
          <w:lang w:val="en-US"/>
        </w:rPr>
        <w:t>Act on the Establishment and Operation of Public Officials</w:t>
      </w:r>
      <w:r w:rsidR="008119E3" w:rsidRPr="000850F5">
        <w:rPr>
          <w:iCs/>
          <w:lang w:val="en-US"/>
        </w:rPr>
        <w:t>’</w:t>
      </w:r>
      <w:r w:rsidR="002D5BB0" w:rsidRPr="000850F5">
        <w:rPr>
          <w:iCs/>
          <w:lang w:val="en-US"/>
        </w:rPr>
        <w:t xml:space="preserve"> Unions</w:t>
      </w:r>
      <w:r w:rsidR="002D5BB0" w:rsidRPr="00222917">
        <w:rPr>
          <w:lang w:val="en-US"/>
        </w:rPr>
        <w:t xml:space="preserve"> on 27 January 2005. Subject to the Act, public officials of grade 6 or below are granted the right to organize, but those who are in directing or supervising positions and advocate an administrative agency by engaging in personnel and wage management affairs in dealing with public officials’ unions are prohibited from entering the </w:t>
      </w:r>
      <w:r w:rsidR="00E623EE" w:rsidRPr="00222917">
        <w:rPr>
          <w:lang w:val="en-US"/>
        </w:rPr>
        <w:t>union (</w:t>
      </w:r>
      <w:r w:rsidR="00AE0F13" w:rsidRPr="00222917">
        <w:rPr>
          <w:lang w:val="en-US"/>
        </w:rPr>
        <w:t>a</w:t>
      </w:r>
      <w:r w:rsidR="00E623EE" w:rsidRPr="00222917">
        <w:rPr>
          <w:lang w:val="en-US"/>
        </w:rPr>
        <w:t>rticle </w:t>
      </w:r>
      <w:r w:rsidR="002D5BB0" w:rsidRPr="00222917">
        <w:rPr>
          <w:lang w:val="en-US"/>
        </w:rPr>
        <w:t>6). Public officials’ rights to collective bargaining and signing the collective agreement are guaranteed. However, those provisions of collective agreement set forth subject to Acts and subordinate regulations, ordinances, or budget, and those delegated to Acts and subordinate regulations or ordinances do not come into force a</w:t>
      </w:r>
      <w:r w:rsidR="00E623EE" w:rsidRPr="00222917">
        <w:rPr>
          <w:lang w:val="en-US"/>
        </w:rPr>
        <w:t>s collective agreement (</w:t>
      </w:r>
      <w:r w:rsidR="00AE0F13" w:rsidRPr="00222917">
        <w:rPr>
          <w:lang w:val="en-US"/>
        </w:rPr>
        <w:t>a</w:t>
      </w:r>
      <w:r w:rsidR="00E623EE" w:rsidRPr="00222917">
        <w:rPr>
          <w:lang w:val="en-US"/>
        </w:rPr>
        <w:t>rticle </w:t>
      </w:r>
      <w:r w:rsidR="002D5BB0" w:rsidRPr="00222917">
        <w:rPr>
          <w:lang w:val="en-US"/>
        </w:rPr>
        <w:t>10). Public officials’ unions and their members are prohibited from engaging in any industrial actions such as a strike or slowdown (</w:t>
      </w:r>
      <w:r w:rsidR="00AE0F13" w:rsidRPr="00222917">
        <w:rPr>
          <w:lang w:val="en-US"/>
        </w:rPr>
        <w:t>a</w:t>
      </w:r>
      <w:r w:rsidR="002D5BB0" w:rsidRPr="00222917">
        <w:rPr>
          <w:lang w:val="en-US"/>
        </w:rPr>
        <w:t>rt</w:t>
      </w:r>
      <w:r w:rsidR="00E623EE" w:rsidRPr="00222917">
        <w:rPr>
          <w:lang w:val="en-US"/>
        </w:rPr>
        <w:t>icle </w:t>
      </w:r>
      <w:r w:rsidR="002D5BB0" w:rsidRPr="00222917">
        <w:rPr>
          <w:lang w:val="en-US"/>
        </w:rPr>
        <w:t>11). If collective bargaining comes to an impasse, unions are permitted to request mediation or arbitration by the Public Officials Labor Relations Mediation Committee under the National Labo</w:t>
      </w:r>
      <w:r w:rsidR="00E623EE" w:rsidRPr="00222917">
        <w:rPr>
          <w:lang w:val="en-US"/>
        </w:rPr>
        <w:t>r Relations Commission (</w:t>
      </w:r>
      <w:r w:rsidR="00AE0F13" w:rsidRPr="00222917">
        <w:rPr>
          <w:lang w:val="en-US"/>
        </w:rPr>
        <w:t>a</w:t>
      </w:r>
      <w:r w:rsidR="00E623EE" w:rsidRPr="00222917">
        <w:rPr>
          <w:lang w:val="en-US"/>
        </w:rPr>
        <w:t>rticle </w:t>
      </w:r>
      <w:r w:rsidR="002D5BB0" w:rsidRPr="00222917">
        <w:rPr>
          <w:lang w:val="en-US"/>
        </w:rPr>
        <w:t>12).</w:t>
      </w:r>
    </w:p>
    <w:p w:rsidR="002D5BB0" w:rsidRPr="00222917" w:rsidRDefault="00547908" w:rsidP="00547908">
      <w:pPr>
        <w:pStyle w:val="SingleTxtG"/>
        <w:rPr>
          <w:lang w:val="en-US"/>
        </w:rPr>
      </w:pPr>
      <w:r w:rsidRPr="00222917">
        <w:rPr>
          <w:lang w:val="en-US"/>
        </w:rPr>
        <w:t>312.</w:t>
      </w:r>
      <w:r w:rsidRPr="00222917">
        <w:rPr>
          <w:lang w:val="en-US"/>
        </w:rPr>
        <w:tab/>
      </w:r>
      <w:r w:rsidR="002D5BB0" w:rsidRPr="00222917">
        <w:rPr>
          <w:lang w:val="en-US"/>
        </w:rPr>
        <w:t>With the implementation of the Act, the institutional framework to guarantee public officials’ right to work has been laid down. It is meaningful in that under the Act, public officials’ lawful union activities are guaranteed and their fundamental labor rights are considerably enhanced for the first time. As of 31 December 2010, there were 96 public officials’ labor unions, and abo</w:t>
      </w:r>
      <w:r w:rsidR="006903AC" w:rsidRPr="00222917">
        <w:rPr>
          <w:lang w:val="en-US"/>
        </w:rPr>
        <w:t xml:space="preserve">ut 160,000 public officials, 55% </w:t>
      </w:r>
      <w:r w:rsidR="002D5BB0" w:rsidRPr="00222917">
        <w:rPr>
          <w:lang w:val="en-US"/>
        </w:rPr>
        <w:t xml:space="preserve">of all eligible public officials, were union members. In addition, after effectuation of the said Act, collective bargaining agreement regarding common working conditions, remuneration, retirement age was concluded between 10 unions and the Ministry of Public Administration and Safety and collective bargaining agreements have been executed at the level of the local governments and education offices. </w:t>
      </w:r>
    </w:p>
    <w:p w:rsidR="002D5BB0" w:rsidRPr="00222917" w:rsidRDefault="008119E3" w:rsidP="008119E3">
      <w:pPr>
        <w:pStyle w:val="H23G"/>
        <w:ind w:left="0" w:firstLine="0"/>
        <w:rPr>
          <w:b w:val="0"/>
          <w:sz w:val="16"/>
          <w:szCs w:val="16"/>
          <w:lang w:val="en-US"/>
        </w:rPr>
      </w:pPr>
      <w:r w:rsidRPr="00222917">
        <w:rPr>
          <w:lang w:val="en-US"/>
        </w:rPr>
        <w:tab/>
      </w:r>
      <w:r w:rsidR="002D5BB0" w:rsidRPr="00222917">
        <w:rPr>
          <w:lang w:val="en-US"/>
        </w:rPr>
        <w:t>Public Officials’ Labor Unions</w:t>
      </w:r>
      <w:r w:rsidR="00984B6F" w:rsidRPr="00222917">
        <w:rPr>
          <w:lang w:val="en-US"/>
        </w:rPr>
        <w:br/>
      </w:r>
      <w:r w:rsidR="002D5BB0" w:rsidRPr="00222917">
        <w:rPr>
          <w:b w:val="0"/>
          <w:sz w:val="16"/>
          <w:szCs w:val="16"/>
          <w:lang w:val="en-US"/>
        </w:rPr>
        <w:t>(As of December 31, 2010; number of unions; number of members)</w:t>
      </w:r>
    </w:p>
    <w:tbl>
      <w:tblPr>
        <w:tblW w:w="9639" w:type="dxa"/>
        <w:tblBorders>
          <w:top w:val="single" w:sz="4" w:space="0" w:color="auto"/>
        </w:tblBorders>
        <w:tblLayout w:type="fixed"/>
        <w:tblCellMar>
          <w:left w:w="0" w:type="dxa"/>
          <w:right w:w="0" w:type="dxa"/>
        </w:tblCellMar>
        <w:tblLook w:val="00A0"/>
      </w:tblPr>
      <w:tblGrid>
        <w:gridCol w:w="535"/>
        <w:gridCol w:w="535"/>
        <w:gridCol w:w="535"/>
        <w:gridCol w:w="535"/>
        <w:gridCol w:w="535"/>
        <w:gridCol w:w="535"/>
        <w:gridCol w:w="535"/>
        <w:gridCol w:w="535"/>
        <w:gridCol w:w="535"/>
        <w:gridCol w:w="536"/>
        <w:gridCol w:w="536"/>
        <w:gridCol w:w="536"/>
        <w:gridCol w:w="536"/>
        <w:gridCol w:w="536"/>
        <w:gridCol w:w="536"/>
        <w:gridCol w:w="536"/>
        <w:gridCol w:w="536"/>
        <w:gridCol w:w="536"/>
      </w:tblGrid>
      <w:tr w:rsidR="008F6543" w:rsidRPr="00222917" w:rsidTr="00936860">
        <w:trPr>
          <w:tblHeader/>
        </w:trPr>
        <w:tc>
          <w:tcPr>
            <w:tcW w:w="1070" w:type="dxa"/>
            <w:gridSpan w:val="2"/>
            <w:tcBorders>
              <w:top w:val="single" w:sz="4" w:space="0" w:color="auto"/>
              <w:bottom w:val="single" w:sz="4" w:space="0" w:color="000000"/>
              <w:right w:val="single" w:sz="24" w:space="0" w:color="FFFFFF"/>
            </w:tcBorders>
            <w:shd w:val="clear" w:color="auto" w:fill="auto"/>
            <w:tcMar>
              <w:top w:w="28" w:type="dxa"/>
              <w:left w:w="28" w:type="dxa"/>
              <w:bottom w:w="28" w:type="dxa"/>
              <w:right w:w="28" w:type="dxa"/>
            </w:tcMar>
            <w:vAlign w:val="bottom"/>
          </w:tcPr>
          <w:p w:rsidR="008F6543" w:rsidRPr="00222917" w:rsidRDefault="008F6543" w:rsidP="00D50C05">
            <w:pPr>
              <w:suppressAutoHyphens w:val="0"/>
              <w:snapToGrid w:val="0"/>
              <w:spacing w:before="80" w:after="80" w:line="160" w:lineRule="exact"/>
              <w:jc w:val="center"/>
              <w:rPr>
                <w:b/>
                <w:i/>
                <w:sz w:val="12"/>
                <w:szCs w:val="12"/>
                <w:lang w:val="en-US"/>
              </w:rPr>
            </w:pPr>
            <w:r w:rsidRPr="00222917">
              <w:rPr>
                <w:b/>
                <w:bCs/>
                <w:i/>
                <w:sz w:val="12"/>
                <w:szCs w:val="12"/>
                <w:lang w:val="en-US"/>
              </w:rPr>
              <w:t>Total</w:t>
            </w:r>
          </w:p>
        </w:tc>
        <w:tc>
          <w:tcPr>
            <w:tcW w:w="1070" w:type="dxa"/>
            <w:gridSpan w:val="2"/>
            <w:tcBorders>
              <w:top w:val="single" w:sz="4" w:space="0" w:color="auto"/>
              <w:left w:val="single" w:sz="24" w:space="0" w:color="FFFFFF"/>
              <w:bottom w:val="single" w:sz="4" w:space="0" w:color="000000"/>
              <w:right w:val="single" w:sz="24" w:space="0" w:color="FFFFFF"/>
            </w:tcBorders>
            <w:shd w:val="clear" w:color="auto" w:fill="auto"/>
            <w:tcMar>
              <w:top w:w="28" w:type="dxa"/>
              <w:left w:w="28" w:type="dxa"/>
              <w:bottom w:w="28" w:type="dxa"/>
              <w:right w:w="28" w:type="dxa"/>
            </w:tcMar>
            <w:vAlign w:val="bottom"/>
          </w:tcPr>
          <w:p w:rsidR="008F6543" w:rsidRPr="00222917" w:rsidRDefault="008F6543" w:rsidP="00D50C05">
            <w:pPr>
              <w:suppressAutoHyphens w:val="0"/>
              <w:snapToGrid w:val="0"/>
              <w:spacing w:before="80" w:after="80" w:line="160" w:lineRule="exact"/>
              <w:jc w:val="center"/>
              <w:rPr>
                <w:i/>
                <w:sz w:val="12"/>
                <w:szCs w:val="12"/>
                <w:lang w:val="en-US"/>
              </w:rPr>
            </w:pPr>
            <w:r w:rsidRPr="00222917">
              <w:rPr>
                <w:bCs/>
                <w:i/>
                <w:sz w:val="12"/>
                <w:szCs w:val="12"/>
                <w:lang w:val="en-US"/>
              </w:rPr>
              <w:t>Joint</w:t>
            </w:r>
          </w:p>
        </w:tc>
        <w:tc>
          <w:tcPr>
            <w:tcW w:w="1070" w:type="dxa"/>
            <w:gridSpan w:val="2"/>
            <w:tcBorders>
              <w:top w:val="single" w:sz="4" w:space="0" w:color="auto"/>
              <w:left w:val="single" w:sz="24" w:space="0" w:color="FFFFFF"/>
              <w:bottom w:val="single" w:sz="4" w:space="0" w:color="000000"/>
              <w:right w:val="single" w:sz="24" w:space="0" w:color="FFFFFF"/>
            </w:tcBorders>
            <w:shd w:val="clear" w:color="auto" w:fill="auto"/>
            <w:tcMar>
              <w:top w:w="28" w:type="dxa"/>
              <w:left w:w="28" w:type="dxa"/>
              <w:bottom w:w="28" w:type="dxa"/>
              <w:right w:w="28" w:type="dxa"/>
            </w:tcMar>
            <w:vAlign w:val="bottom"/>
          </w:tcPr>
          <w:p w:rsidR="008F6543" w:rsidRPr="00222917" w:rsidRDefault="008F6543" w:rsidP="00D50C05">
            <w:pPr>
              <w:suppressAutoHyphens w:val="0"/>
              <w:snapToGrid w:val="0"/>
              <w:spacing w:before="80" w:after="80" w:line="160" w:lineRule="exact"/>
              <w:jc w:val="center"/>
              <w:rPr>
                <w:i/>
                <w:sz w:val="12"/>
                <w:szCs w:val="12"/>
                <w:lang w:val="en-US"/>
              </w:rPr>
            </w:pPr>
            <w:r w:rsidRPr="00222917">
              <w:rPr>
                <w:bCs/>
                <w:i/>
                <w:sz w:val="12"/>
                <w:szCs w:val="12"/>
                <w:lang w:val="en-US"/>
              </w:rPr>
              <w:t>Nation-wide</w:t>
            </w:r>
          </w:p>
        </w:tc>
        <w:tc>
          <w:tcPr>
            <w:tcW w:w="1070" w:type="dxa"/>
            <w:gridSpan w:val="2"/>
            <w:tcBorders>
              <w:top w:val="single" w:sz="4" w:space="0" w:color="auto"/>
              <w:left w:val="single" w:sz="24" w:space="0" w:color="FFFFFF"/>
              <w:bottom w:val="single" w:sz="4" w:space="0" w:color="000000"/>
              <w:right w:val="single" w:sz="24" w:space="0" w:color="FFFFFF"/>
            </w:tcBorders>
            <w:shd w:val="clear" w:color="auto" w:fill="auto"/>
            <w:tcMar>
              <w:top w:w="28" w:type="dxa"/>
              <w:left w:w="28" w:type="dxa"/>
              <w:bottom w:w="28" w:type="dxa"/>
              <w:right w:w="28" w:type="dxa"/>
            </w:tcMar>
            <w:vAlign w:val="bottom"/>
          </w:tcPr>
          <w:p w:rsidR="008F6543" w:rsidRPr="00222917" w:rsidRDefault="008F6543" w:rsidP="00D50C05">
            <w:pPr>
              <w:suppressAutoHyphens w:val="0"/>
              <w:snapToGrid w:val="0"/>
              <w:spacing w:before="80" w:after="80" w:line="160" w:lineRule="exact"/>
              <w:jc w:val="center"/>
              <w:rPr>
                <w:i/>
                <w:sz w:val="12"/>
                <w:szCs w:val="12"/>
                <w:lang w:val="en-US"/>
              </w:rPr>
            </w:pPr>
            <w:r w:rsidRPr="00222917">
              <w:rPr>
                <w:bCs/>
                <w:i/>
                <w:sz w:val="12"/>
                <w:szCs w:val="12"/>
                <w:lang w:val="en-US"/>
              </w:rPr>
              <w:t>Court</w:t>
            </w:r>
          </w:p>
        </w:tc>
        <w:tc>
          <w:tcPr>
            <w:tcW w:w="1071" w:type="dxa"/>
            <w:gridSpan w:val="2"/>
            <w:tcBorders>
              <w:top w:val="single" w:sz="4" w:space="0" w:color="auto"/>
              <w:left w:val="single" w:sz="24" w:space="0" w:color="FFFFFF"/>
              <w:bottom w:val="single" w:sz="4" w:space="0" w:color="000000"/>
              <w:right w:val="single" w:sz="24" w:space="0" w:color="FFFFFF"/>
            </w:tcBorders>
            <w:shd w:val="clear" w:color="auto" w:fill="auto"/>
            <w:tcMar>
              <w:top w:w="28" w:type="dxa"/>
              <w:left w:w="28" w:type="dxa"/>
              <w:bottom w:w="28" w:type="dxa"/>
              <w:right w:w="28" w:type="dxa"/>
            </w:tcMar>
            <w:vAlign w:val="bottom"/>
          </w:tcPr>
          <w:p w:rsidR="008F6543" w:rsidRPr="00222917" w:rsidRDefault="008119E3" w:rsidP="00D50C05">
            <w:pPr>
              <w:suppressAutoHyphens w:val="0"/>
              <w:snapToGrid w:val="0"/>
              <w:spacing w:before="80" w:after="80" w:line="160" w:lineRule="exact"/>
              <w:jc w:val="center"/>
              <w:rPr>
                <w:i/>
                <w:sz w:val="12"/>
                <w:szCs w:val="12"/>
                <w:lang w:val="en-US"/>
              </w:rPr>
            </w:pPr>
            <w:r w:rsidRPr="00222917">
              <w:rPr>
                <w:bCs/>
                <w:i/>
                <w:sz w:val="12"/>
                <w:szCs w:val="12"/>
                <w:lang w:val="en-US"/>
              </w:rPr>
              <w:t>Admini</w:t>
            </w:r>
            <w:r w:rsidR="008F6543" w:rsidRPr="00222917">
              <w:rPr>
                <w:bCs/>
                <w:i/>
                <w:sz w:val="12"/>
                <w:szCs w:val="12"/>
                <w:lang w:val="en-US"/>
              </w:rPr>
              <w:t>stration</w:t>
            </w:r>
          </w:p>
        </w:tc>
        <w:tc>
          <w:tcPr>
            <w:tcW w:w="3216" w:type="dxa"/>
            <w:gridSpan w:val="6"/>
            <w:tcBorders>
              <w:top w:val="single" w:sz="4" w:space="0" w:color="auto"/>
              <w:left w:val="single" w:sz="24" w:space="0" w:color="FFFFFF"/>
              <w:bottom w:val="single" w:sz="4" w:space="0" w:color="000000"/>
              <w:right w:val="single" w:sz="24" w:space="0" w:color="FFFFFF"/>
            </w:tcBorders>
            <w:shd w:val="clear" w:color="auto" w:fill="auto"/>
            <w:tcMar>
              <w:top w:w="28" w:type="dxa"/>
              <w:left w:w="28" w:type="dxa"/>
              <w:bottom w:w="28" w:type="dxa"/>
              <w:right w:w="28" w:type="dxa"/>
            </w:tcMar>
            <w:vAlign w:val="bottom"/>
          </w:tcPr>
          <w:p w:rsidR="008F6543" w:rsidRPr="00222917" w:rsidRDefault="008F6543" w:rsidP="00D50C05">
            <w:pPr>
              <w:suppressAutoHyphens w:val="0"/>
              <w:snapToGrid w:val="0"/>
              <w:spacing w:before="80" w:after="80" w:line="160" w:lineRule="exact"/>
              <w:jc w:val="center"/>
              <w:rPr>
                <w:i/>
                <w:sz w:val="12"/>
                <w:szCs w:val="12"/>
                <w:lang w:val="en-US"/>
              </w:rPr>
            </w:pPr>
            <w:r w:rsidRPr="00222917">
              <w:rPr>
                <w:bCs/>
                <w:i/>
                <w:sz w:val="12"/>
                <w:szCs w:val="12"/>
                <w:lang w:val="en-US"/>
              </w:rPr>
              <w:t>Local Government</w:t>
            </w:r>
          </w:p>
        </w:tc>
        <w:tc>
          <w:tcPr>
            <w:tcW w:w="1072" w:type="dxa"/>
            <w:gridSpan w:val="2"/>
            <w:tcBorders>
              <w:top w:val="single" w:sz="4" w:space="0" w:color="auto"/>
              <w:left w:val="single" w:sz="24" w:space="0" w:color="FFFFFF"/>
              <w:bottom w:val="single" w:sz="4" w:space="0" w:color="000000"/>
            </w:tcBorders>
            <w:shd w:val="clear" w:color="auto" w:fill="auto"/>
            <w:tcMar>
              <w:top w:w="28" w:type="dxa"/>
              <w:left w:w="28" w:type="dxa"/>
              <w:bottom w:w="28" w:type="dxa"/>
              <w:right w:w="28" w:type="dxa"/>
            </w:tcMar>
            <w:vAlign w:val="bottom"/>
          </w:tcPr>
          <w:p w:rsidR="008F6543" w:rsidRPr="00222917" w:rsidRDefault="008F6543" w:rsidP="00D50C05">
            <w:pPr>
              <w:suppressAutoHyphens w:val="0"/>
              <w:snapToGrid w:val="0"/>
              <w:spacing w:before="80" w:after="80" w:line="160" w:lineRule="exact"/>
              <w:jc w:val="center"/>
              <w:rPr>
                <w:i/>
                <w:sz w:val="12"/>
                <w:szCs w:val="12"/>
                <w:lang w:val="en-US"/>
              </w:rPr>
            </w:pPr>
            <w:r w:rsidRPr="00222917">
              <w:rPr>
                <w:bCs/>
                <w:i/>
                <w:sz w:val="12"/>
                <w:szCs w:val="12"/>
                <w:lang w:val="en-US"/>
              </w:rPr>
              <w:t>Office of Education</w:t>
            </w:r>
          </w:p>
        </w:tc>
      </w:tr>
      <w:tr w:rsidR="008F6543" w:rsidRPr="00222917" w:rsidTr="00936860">
        <w:tc>
          <w:tcPr>
            <w:tcW w:w="535" w:type="dxa"/>
            <w:vMerge w:val="restart"/>
            <w:tcBorders>
              <w:top w:val="single" w:sz="4" w:space="0" w:color="000000"/>
            </w:tcBorders>
            <w:shd w:val="clear" w:color="auto" w:fill="auto"/>
            <w:tcMar>
              <w:top w:w="28" w:type="dxa"/>
              <w:left w:w="28" w:type="dxa"/>
              <w:bottom w:w="28" w:type="dxa"/>
              <w:right w:w="28" w:type="dxa"/>
            </w:tcMar>
            <w:vAlign w:val="bottom"/>
          </w:tcPr>
          <w:p w:rsidR="008F6543" w:rsidRPr="00222917" w:rsidRDefault="008119E3" w:rsidP="00D50C05">
            <w:pPr>
              <w:suppressAutoHyphens w:val="0"/>
              <w:snapToGrid w:val="0"/>
              <w:spacing w:before="80" w:after="80" w:line="160" w:lineRule="exact"/>
              <w:jc w:val="right"/>
              <w:rPr>
                <w:b/>
                <w:i/>
                <w:sz w:val="12"/>
                <w:szCs w:val="12"/>
                <w:lang w:val="en-US"/>
              </w:rPr>
            </w:pPr>
            <w:r w:rsidRPr="00222917">
              <w:rPr>
                <w:b/>
                <w:bCs/>
                <w:i/>
                <w:sz w:val="12"/>
                <w:szCs w:val="12"/>
                <w:lang w:val="en-US"/>
              </w:rPr>
              <w:t>Uni</w:t>
            </w:r>
            <w:r w:rsidR="008F6543" w:rsidRPr="00222917">
              <w:rPr>
                <w:b/>
                <w:bCs/>
                <w:i/>
                <w:sz w:val="12"/>
                <w:szCs w:val="12"/>
                <w:lang w:val="en-US"/>
              </w:rPr>
              <w:t>on</w:t>
            </w:r>
            <w:r w:rsidR="008F6543" w:rsidRPr="00222917">
              <w:rPr>
                <w:b/>
                <w:i/>
                <w:sz w:val="12"/>
                <w:szCs w:val="12"/>
                <w:lang w:val="en-US"/>
              </w:rPr>
              <w:t>s</w:t>
            </w:r>
          </w:p>
        </w:tc>
        <w:tc>
          <w:tcPr>
            <w:tcW w:w="535" w:type="dxa"/>
            <w:vMerge w:val="restart"/>
            <w:tcBorders>
              <w:top w:val="single" w:sz="4" w:space="0" w:color="000000"/>
              <w:right w:val="single" w:sz="24" w:space="0" w:color="FFFFFF"/>
            </w:tcBorders>
            <w:shd w:val="clear" w:color="auto" w:fill="auto"/>
            <w:tcMar>
              <w:top w:w="28" w:type="dxa"/>
              <w:left w:w="28" w:type="dxa"/>
              <w:bottom w:w="28" w:type="dxa"/>
              <w:right w:w="28" w:type="dxa"/>
            </w:tcMar>
            <w:vAlign w:val="bottom"/>
          </w:tcPr>
          <w:p w:rsidR="008F6543" w:rsidRPr="00222917" w:rsidRDefault="008F6543" w:rsidP="00D50C05">
            <w:pPr>
              <w:suppressAutoHyphens w:val="0"/>
              <w:snapToGrid w:val="0"/>
              <w:spacing w:before="80" w:after="80" w:line="160" w:lineRule="exact"/>
              <w:jc w:val="right"/>
              <w:rPr>
                <w:b/>
                <w:i/>
                <w:sz w:val="12"/>
                <w:szCs w:val="12"/>
                <w:lang w:val="en-US"/>
              </w:rPr>
            </w:pPr>
            <w:r w:rsidRPr="00222917">
              <w:rPr>
                <w:b/>
                <w:bCs/>
                <w:i/>
                <w:sz w:val="12"/>
                <w:szCs w:val="12"/>
                <w:lang w:val="en-US"/>
              </w:rPr>
              <w:t>Members</w:t>
            </w:r>
          </w:p>
        </w:tc>
        <w:tc>
          <w:tcPr>
            <w:tcW w:w="535" w:type="dxa"/>
            <w:vMerge w:val="restart"/>
            <w:tcBorders>
              <w:top w:val="single" w:sz="4" w:space="0" w:color="000000"/>
              <w:left w:val="single" w:sz="24" w:space="0" w:color="FFFFFF"/>
            </w:tcBorders>
            <w:shd w:val="clear" w:color="auto" w:fill="auto"/>
            <w:tcMar>
              <w:top w:w="28" w:type="dxa"/>
              <w:left w:w="28" w:type="dxa"/>
              <w:bottom w:w="28" w:type="dxa"/>
              <w:right w:w="28" w:type="dxa"/>
            </w:tcMar>
            <w:vAlign w:val="bottom"/>
          </w:tcPr>
          <w:p w:rsidR="008F6543" w:rsidRPr="00222917" w:rsidRDefault="008119E3" w:rsidP="00D50C05">
            <w:pPr>
              <w:suppressAutoHyphens w:val="0"/>
              <w:snapToGrid w:val="0"/>
              <w:spacing w:before="80" w:after="80" w:line="160" w:lineRule="exact"/>
              <w:jc w:val="right"/>
              <w:rPr>
                <w:i/>
                <w:sz w:val="12"/>
                <w:szCs w:val="12"/>
                <w:lang w:val="en-US"/>
              </w:rPr>
            </w:pPr>
            <w:r w:rsidRPr="00222917">
              <w:rPr>
                <w:i/>
                <w:sz w:val="12"/>
                <w:szCs w:val="12"/>
                <w:lang w:val="en-US"/>
              </w:rPr>
              <w:t>Uni</w:t>
            </w:r>
            <w:r w:rsidR="008F6543" w:rsidRPr="00222917">
              <w:rPr>
                <w:i/>
                <w:sz w:val="12"/>
                <w:szCs w:val="12"/>
                <w:lang w:val="en-US"/>
              </w:rPr>
              <w:t>ons</w:t>
            </w:r>
          </w:p>
        </w:tc>
        <w:tc>
          <w:tcPr>
            <w:tcW w:w="535" w:type="dxa"/>
            <w:vMerge w:val="restart"/>
            <w:tcBorders>
              <w:top w:val="single" w:sz="4" w:space="0" w:color="000000"/>
              <w:right w:val="single" w:sz="24" w:space="0" w:color="FFFFFF"/>
            </w:tcBorders>
            <w:shd w:val="clear" w:color="auto" w:fill="auto"/>
            <w:tcMar>
              <w:top w:w="28" w:type="dxa"/>
              <w:left w:w="28" w:type="dxa"/>
              <w:bottom w:w="28" w:type="dxa"/>
              <w:right w:w="28" w:type="dxa"/>
            </w:tcMar>
            <w:vAlign w:val="bottom"/>
          </w:tcPr>
          <w:p w:rsidR="008F6543" w:rsidRPr="00222917" w:rsidRDefault="008F6543" w:rsidP="00D50C05">
            <w:pPr>
              <w:suppressAutoHyphens w:val="0"/>
              <w:snapToGrid w:val="0"/>
              <w:spacing w:before="80" w:after="80" w:line="160" w:lineRule="exact"/>
              <w:jc w:val="right"/>
              <w:rPr>
                <w:i/>
                <w:sz w:val="12"/>
                <w:szCs w:val="12"/>
                <w:lang w:val="en-US"/>
              </w:rPr>
            </w:pPr>
            <w:r w:rsidRPr="00222917">
              <w:rPr>
                <w:i/>
                <w:sz w:val="12"/>
                <w:szCs w:val="12"/>
                <w:lang w:val="en-US"/>
              </w:rPr>
              <w:t>Members</w:t>
            </w:r>
          </w:p>
        </w:tc>
        <w:tc>
          <w:tcPr>
            <w:tcW w:w="535" w:type="dxa"/>
            <w:vMerge w:val="restart"/>
            <w:tcBorders>
              <w:top w:val="single" w:sz="4" w:space="0" w:color="000000"/>
              <w:left w:val="single" w:sz="24" w:space="0" w:color="FFFFFF"/>
            </w:tcBorders>
            <w:shd w:val="clear" w:color="auto" w:fill="auto"/>
            <w:tcMar>
              <w:top w:w="28" w:type="dxa"/>
              <w:left w:w="28" w:type="dxa"/>
              <w:bottom w:w="28" w:type="dxa"/>
              <w:right w:w="28" w:type="dxa"/>
            </w:tcMar>
            <w:vAlign w:val="bottom"/>
          </w:tcPr>
          <w:p w:rsidR="008F6543" w:rsidRPr="00222917" w:rsidRDefault="008119E3" w:rsidP="00D50C05">
            <w:pPr>
              <w:suppressAutoHyphens w:val="0"/>
              <w:snapToGrid w:val="0"/>
              <w:spacing w:before="80" w:after="80" w:line="160" w:lineRule="exact"/>
              <w:jc w:val="right"/>
              <w:rPr>
                <w:i/>
                <w:sz w:val="12"/>
                <w:szCs w:val="12"/>
                <w:lang w:val="en-US"/>
              </w:rPr>
            </w:pPr>
            <w:r w:rsidRPr="00222917">
              <w:rPr>
                <w:i/>
                <w:sz w:val="12"/>
                <w:szCs w:val="12"/>
                <w:lang w:val="en-US"/>
              </w:rPr>
              <w:t>Uni</w:t>
            </w:r>
            <w:r w:rsidR="008F6543" w:rsidRPr="00222917">
              <w:rPr>
                <w:i/>
                <w:sz w:val="12"/>
                <w:szCs w:val="12"/>
                <w:lang w:val="en-US"/>
              </w:rPr>
              <w:t>ons</w:t>
            </w:r>
          </w:p>
        </w:tc>
        <w:tc>
          <w:tcPr>
            <w:tcW w:w="535" w:type="dxa"/>
            <w:vMerge w:val="restart"/>
            <w:tcBorders>
              <w:top w:val="single" w:sz="4" w:space="0" w:color="000000"/>
              <w:right w:val="single" w:sz="24" w:space="0" w:color="FFFFFF"/>
            </w:tcBorders>
            <w:shd w:val="clear" w:color="auto" w:fill="auto"/>
            <w:tcMar>
              <w:top w:w="28" w:type="dxa"/>
              <w:left w:w="28" w:type="dxa"/>
              <w:bottom w:w="28" w:type="dxa"/>
              <w:right w:w="28" w:type="dxa"/>
            </w:tcMar>
            <w:vAlign w:val="bottom"/>
          </w:tcPr>
          <w:p w:rsidR="008F6543" w:rsidRPr="00222917" w:rsidRDefault="008F6543" w:rsidP="00D50C05">
            <w:pPr>
              <w:suppressAutoHyphens w:val="0"/>
              <w:snapToGrid w:val="0"/>
              <w:spacing w:before="80" w:after="80" w:line="160" w:lineRule="exact"/>
              <w:jc w:val="right"/>
              <w:rPr>
                <w:i/>
                <w:sz w:val="12"/>
                <w:szCs w:val="12"/>
                <w:lang w:val="en-US"/>
              </w:rPr>
            </w:pPr>
            <w:r w:rsidRPr="00222917">
              <w:rPr>
                <w:i/>
                <w:sz w:val="12"/>
                <w:szCs w:val="12"/>
                <w:lang w:val="en-US"/>
              </w:rPr>
              <w:t>Members</w:t>
            </w:r>
          </w:p>
        </w:tc>
        <w:tc>
          <w:tcPr>
            <w:tcW w:w="535" w:type="dxa"/>
            <w:vMerge w:val="restart"/>
            <w:tcBorders>
              <w:top w:val="single" w:sz="4" w:space="0" w:color="000000"/>
              <w:left w:val="single" w:sz="24" w:space="0" w:color="FFFFFF"/>
            </w:tcBorders>
            <w:shd w:val="clear" w:color="auto" w:fill="auto"/>
            <w:tcMar>
              <w:top w:w="28" w:type="dxa"/>
              <w:left w:w="28" w:type="dxa"/>
              <w:bottom w:w="28" w:type="dxa"/>
              <w:right w:w="28" w:type="dxa"/>
            </w:tcMar>
            <w:vAlign w:val="bottom"/>
          </w:tcPr>
          <w:p w:rsidR="008F6543" w:rsidRPr="00222917" w:rsidRDefault="008119E3" w:rsidP="00D50C05">
            <w:pPr>
              <w:suppressAutoHyphens w:val="0"/>
              <w:snapToGrid w:val="0"/>
              <w:spacing w:before="80" w:after="80" w:line="160" w:lineRule="exact"/>
              <w:jc w:val="right"/>
              <w:rPr>
                <w:i/>
                <w:sz w:val="12"/>
                <w:szCs w:val="12"/>
                <w:lang w:val="en-US"/>
              </w:rPr>
            </w:pPr>
            <w:r w:rsidRPr="00222917">
              <w:rPr>
                <w:i/>
                <w:sz w:val="12"/>
                <w:szCs w:val="12"/>
                <w:lang w:val="en-US"/>
              </w:rPr>
              <w:t>Uni</w:t>
            </w:r>
            <w:r w:rsidR="008F6543" w:rsidRPr="00222917">
              <w:rPr>
                <w:i/>
                <w:sz w:val="12"/>
                <w:szCs w:val="12"/>
                <w:lang w:val="en-US"/>
              </w:rPr>
              <w:t>ons</w:t>
            </w:r>
          </w:p>
        </w:tc>
        <w:tc>
          <w:tcPr>
            <w:tcW w:w="535" w:type="dxa"/>
            <w:vMerge w:val="restart"/>
            <w:tcBorders>
              <w:top w:val="single" w:sz="4" w:space="0" w:color="000000"/>
              <w:right w:val="single" w:sz="24" w:space="0" w:color="FFFFFF"/>
            </w:tcBorders>
            <w:shd w:val="clear" w:color="auto" w:fill="auto"/>
            <w:tcMar>
              <w:top w:w="28" w:type="dxa"/>
              <w:left w:w="28" w:type="dxa"/>
              <w:bottom w:w="28" w:type="dxa"/>
              <w:right w:w="28" w:type="dxa"/>
            </w:tcMar>
            <w:vAlign w:val="bottom"/>
          </w:tcPr>
          <w:p w:rsidR="008F6543" w:rsidRPr="00222917" w:rsidRDefault="008F6543" w:rsidP="00D50C05">
            <w:pPr>
              <w:suppressAutoHyphens w:val="0"/>
              <w:snapToGrid w:val="0"/>
              <w:spacing w:before="80" w:after="80" w:line="160" w:lineRule="exact"/>
              <w:jc w:val="right"/>
              <w:rPr>
                <w:i/>
                <w:sz w:val="12"/>
                <w:szCs w:val="12"/>
                <w:lang w:val="en-US"/>
              </w:rPr>
            </w:pPr>
            <w:r w:rsidRPr="00222917">
              <w:rPr>
                <w:i/>
                <w:sz w:val="12"/>
                <w:szCs w:val="12"/>
                <w:lang w:val="en-US"/>
              </w:rPr>
              <w:t>Members</w:t>
            </w:r>
          </w:p>
        </w:tc>
        <w:tc>
          <w:tcPr>
            <w:tcW w:w="535" w:type="dxa"/>
            <w:vMerge w:val="restart"/>
            <w:tcBorders>
              <w:top w:val="single" w:sz="4" w:space="0" w:color="000000"/>
              <w:left w:val="single" w:sz="24" w:space="0" w:color="FFFFFF"/>
            </w:tcBorders>
            <w:shd w:val="clear" w:color="auto" w:fill="auto"/>
            <w:tcMar>
              <w:top w:w="28" w:type="dxa"/>
              <w:left w:w="28" w:type="dxa"/>
              <w:bottom w:w="28" w:type="dxa"/>
              <w:right w:w="28" w:type="dxa"/>
            </w:tcMar>
            <w:vAlign w:val="bottom"/>
          </w:tcPr>
          <w:p w:rsidR="008F6543" w:rsidRPr="00222917" w:rsidRDefault="008119E3" w:rsidP="00D50C05">
            <w:pPr>
              <w:suppressAutoHyphens w:val="0"/>
              <w:snapToGrid w:val="0"/>
              <w:spacing w:before="80" w:after="80" w:line="160" w:lineRule="exact"/>
              <w:jc w:val="right"/>
              <w:rPr>
                <w:i/>
                <w:sz w:val="12"/>
                <w:szCs w:val="12"/>
                <w:lang w:val="en-US"/>
              </w:rPr>
            </w:pPr>
            <w:r w:rsidRPr="00222917">
              <w:rPr>
                <w:i/>
                <w:sz w:val="12"/>
                <w:szCs w:val="12"/>
                <w:lang w:val="en-US"/>
              </w:rPr>
              <w:t>Uni</w:t>
            </w:r>
            <w:r w:rsidR="008F6543" w:rsidRPr="00222917">
              <w:rPr>
                <w:i/>
                <w:sz w:val="12"/>
                <w:szCs w:val="12"/>
                <w:lang w:val="en-US"/>
              </w:rPr>
              <w:t>ons</w:t>
            </w:r>
          </w:p>
        </w:tc>
        <w:tc>
          <w:tcPr>
            <w:tcW w:w="536" w:type="dxa"/>
            <w:vMerge w:val="restart"/>
            <w:tcBorders>
              <w:top w:val="single" w:sz="4" w:space="0" w:color="000000"/>
              <w:right w:val="single" w:sz="24" w:space="0" w:color="FFFFFF"/>
            </w:tcBorders>
            <w:shd w:val="clear" w:color="auto" w:fill="auto"/>
            <w:tcMar>
              <w:top w:w="28" w:type="dxa"/>
              <w:left w:w="28" w:type="dxa"/>
              <w:bottom w:w="28" w:type="dxa"/>
              <w:right w:w="28" w:type="dxa"/>
            </w:tcMar>
            <w:vAlign w:val="bottom"/>
          </w:tcPr>
          <w:p w:rsidR="008F6543" w:rsidRPr="00222917" w:rsidRDefault="008F6543" w:rsidP="00D50C05">
            <w:pPr>
              <w:suppressAutoHyphens w:val="0"/>
              <w:snapToGrid w:val="0"/>
              <w:spacing w:before="80" w:after="80" w:line="160" w:lineRule="exact"/>
              <w:jc w:val="right"/>
              <w:rPr>
                <w:i/>
                <w:sz w:val="12"/>
                <w:szCs w:val="12"/>
                <w:lang w:val="en-US"/>
              </w:rPr>
            </w:pPr>
            <w:r w:rsidRPr="00222917">
              <w:rPr>
                <w:i/>
                <w:sz w:val="12"/>
                <w:szCs w:val="12"/>
                <w:lang w:val="en-US"/>
              </w:rPr>
              <w:t>Members</w:t>
            </w:r>
          </w:p>
        </w:tc>
        <w:tc>
          <w:tcPr>
            <w:tcW w:w="1072" w:type="dxa"/>
            <w:gridSpan w:val="2"/>
            <w:tcBorders>
              <w:top w:val="single" w:sz="4" w:space="0" w:color="000000"/>
              <w:left w:val="single" w:sz="24" w:space="0" w:color="FFFFFF"/>
              <w:bottom w:val="single" w:sz="4" w:space="0" w:color="000000"/>
              <w:right w:val="single" w:sz="24" w:space="0" w:color="FFFFFF"/>
            </w:tcBorders>
            <w:shd w:val="clear" w:color="auto" w:fill="auto"/>
            <w:tcMar>
              <w:top w:w="28" w:type="dxa"/>
              <w:left w:w="28" w:type="dxa"/>
              <w:bottom w:w="28" w:type="dxa"/>
              <w:right w:w="28" w:type="dxa"/>
            </w:tcMar>
            <w:vAlign w:val="bottom"/>
          </w:tcPr>
          <w:p w:rsidR="008F6543" w:rsidRPr="00222917" w:rsidRDefault="008F6543" w:rsidP="00D50C05">
            <w:pPr>
              <w:suppressAutoHyphens w:val="0"/>
              <w:snapToGrid w:val="0"/>
              <w:spacing w:before="80" w:after="80" w:line="160" w:lineRule="exact"/>
              <w:jc w:val="center"/>
              <w:rPr>
                <w:b/>
                <w:i/>
                <w:sz w:val="12"/>
                <w:szCs w:val="12"/>
                <w:lang w:val="en-US"/>
              </w:rPr>
            </w:pPr>
            <w:r w:rsidRPr="00222917">
              <w:rPr>
                <w:b/>
                <w:i/>
                <w:sz w:val="12"/>
                <w:szCs w:val="12"/>
                <w:lang w:val="en-US"/>
              </w:rPr>
              <w:t>Subtotal</w:t>
            </w:r>
          </w:p>
        </w:tc>
        <w:tc>
          <w:tcPr>
            <w:tcW w:w="1072" w:type="dxa"/>
            <w:gridSpan w:val="2"/>
            <w:tcBorders>
              <w:top w:val="single" w:sz="4" w:space="0" w:color="000000"/>
              <w:left w:val="single" w:sz="24" w:space="0" w:color="FFFFFF"/>
              <w:bottom w:val="single" w:sz="4" w:space="0" w:color="000000"/>
              <w:right w:val="single" w:sz="24" w:space="0" w:color="FFFFFF"/>
            </w:tcBorders>
            <w:shd w:val="clear" w:color="auto" w:fill="auto"/>
            <w:tcMar>
              <w:top w:w="28" w:type="dxa"/>
              <w:left w:w="28" w:type="dxa"/>
              <w:bottom w:w="28" w:type="dxa"/>
              <w:right w:w="28" w:type="dxa"/>
            </w:tcMar>
            <w:vAlign w:val="bottom"/>
          </w:tcPr>
          <w:p w:rsidR="008F6543" w:rsidRPr="00222917" w:rsidRDefault="008F6543" w:rsidP="00D50C05">
            <w:pPr>
              <w:suppressAutoHyphens w:val="0"/>
              <w:snapToGrid w:val="0"/>
              <w:spacing w:before="80" w:after="80" w:line="160" w:lineRule="exact"/>
              <w:jc w:val="center"/>
              <w:rPr>
                <w:i/>
                <w:sz w:val="12"/>
                <w:szCs w:val="12"/>
                <w:lang w:val="en-US"/>
              </w:rPr>
            </w:pPr>
            <w:r w:rsidRPr="00222917">
              <w:rPr>
                <w:i/>
                <w:sz w:val="12"/>
                <w:szCs w:val="12"/>
                <w:lang w:val="en-US"/>
              </w:rPr>
              <w:t>Si/Do</w:t>
            </w:r>
          </w:p>
        </w:tc>
        <w:tc>
          <w:tcPr>
            <w:tcW w:w="1072" w:type="dxa"/>
            <w:gridSpan w:val="2"/>
            <w:tcBorders>
              <w:top w:val="single" w:sz="4" w:space="0" w:color="000000"/>
              <w:left w:val="single" w:sz="24" w:space="0" w:color="FFFFFF"/>
              <w:bottom w:val="single" w:sz="4" w:space="0" w:color="000000"/>
              <w:right w:val="single" w:sz="24" w:space="0" w:color="FFFFFF"/>
            </w:tcBorders>
            <w:shd w:val="clear" w:color="auto" w:fill="auto"/>
            <w:tcMar>
              <w:top w:w="28" w:type="dxa"/>
              <w:left w:w="28" w:type="dxa"/>
              <w:bottom w:w="28" w:type="dxa"/>
              <w:right w:w="28" w:type="dxa"/>
            </w:tcMar>
            <w:vAlign w:val="bottom"/>
          </w:tcPr>
          <w:p w:rsidR="008F6543" w:rsidRPr="00222917" w:rsidRDefault="008F6543" w:rsidP="00D50C05">
            <w:pPr>
              <w:suppressAutoHyphens w:val="0"/>
              <w:snapToGrid w:val="0"/>
              <w:spacing w:before="80" w:after="80" w:line="160" w:lineRule="exact"/>
              <w:jc w:val="center"/>
              <w:rPr>
                <w:i/>
                <w:sz w:val="12"/>
                <w:szCs w:val="12"/>
                <w:lang w:val="en-US"/>
              </w:rPr>
            </w:pPr>
            <w:r w:rsidRPr="00222917">
              <w:rPr>
                <w:i/>
                <w:sz w:val="12"/>
                <w:szCs w:val="12"/>
                <w:lang w:val="en-US"/>
              </w:rPr>
              <w:t>Si/Gun/Gu</w:t>
            </w:r>
          </w:p>
        </w:tc>
        <w:tc>
          <w:tcPr>
            <w:tcW w:w="536" w:type="dxa"/>
            <w:vMerge w:val="restart"/>
            <w:tcBorders>
              <w:top w:val="single" w:sz="4" w:space="0" w:color="000000"/>
              <w:left w:val="single" w:sz="24" w:space="0" w:color="FFFFFF"/>
            </w:tcBorders>
            <w:shd w:val="clear" w:color="auto" w:fill="auto"/>
            <w:tcMar>
              <w:top w:w="28" w:type="dxa"/>
              <w:left w:w="28" w:type="dxa"/>
              <w:bottom w:w="28" w:type="dxa"/>
              <w:right w:w="28" w:type="dxa"/>
            </w:tcMar>
            <w:vAlign w:val="bottom"/>
          </w:tcPr>
          <w:p w:rsidR="008F6543" w:rsidRPr="00222917" w:rsidRDefault="008119E3" w:rsidP="00D50C05">
            <w:pPr>
              <w:suppressAutoHyphens w:val="0"/>
              <w:snapToGrid w:val="0"/>
              <w:spacing w:before="80" w:after="80" w:line="160" w:lineRule="exact"/>
              <w:jc w:val="right"/>
              <w:rPr>
                <w:i/>
                <w:sz w:val="12"/>
                <w:szCs w:val="12"/>
                <w:lang w:val="en-US"/>
              </w:rPr>
            </w:pPr>
            <w:r w:rsidRPr="00222917">
              <w:rPr>
                <w:i/>
                <w:sz w:val="12"/>
                <w:szCs w:val="12"/>
                <w:lang w:val="en-US"/>
              </w:rPr>
              <w:t>Uni</w:t>
            </w:r>
            <w:r w:rsidR="008F6543" w:rsidRPr="00222917">
              <w:rPr>
                <w:i/>
                <w:sz w:val="12"/>
                <w:szCs w:val="12"/>
                <w:lang w:val="en-US"/>
              </w:rPr>
              <w:t>ons</w:t>
            </w:r>
          </w:p>
        </w:tc>
        <w:tc>
          <w:tcPr>
            <w:tcW w:w="536" w:type="dxa"/>
            <w:vMerge w:val="restart"/>
            <w:tcBorders>
              <w:top w:val="single" w:sz="4" w:space="0" w:color="000000"/>
            </w:tcBorders>
            <w:shd w:val="clear" w:color="auto" w:fill="auto"/>
            <w:tcMar>
              <w:top w:w="28" w:type="dxa"/>
              <w:left w:w="28" w:type="dxa"/>
              <w:bottom w:w="28" w:type="dxa"/>
              <w:right w:w="28" w:type="dxa"/>
            </w:tcMar>
            <w:vAlign w:val="bottom"/>
          </w:tcPr>
          <w:p w:rsidR="008F6543" w:rsidRPr="00222917" w:rsidRDefault="008F6543" w:rsidP="00D50C05">
            <w:pPr>
              <w:suppressAutoHyphens w:val="0"/>
              <w:snapToGrid w:val="0"/>
              <w:spacing w:before="80" w:after="80" w:line="160" w:lineRule="exact"/>
              <w:jc w:val="right"/>
              <w:rPr>
                <w:i/>
                <w:sz w:val="12"/>
                <w:szCs w:val="12"/>
                <w:lang w:val="en-US"/>
              </w:rPr>
            </w:pPr>
            <w:r w:rsidRPr="00222917">
              <w:rPr>
                <w:i/>
                <w:sz w:val="12"/>
                <w:szCs w:val="12"/>
                <w:lang w:val="en-US"/>
              </w:rPr>
              <w:t>Members</w:t>
            </w:r>
          </w:p>
        </w:tc>
      </w:tr>
      <w:tr w:rsidR="006327F6" w:rsidRPr="00222917" w:rsidTr="00936860">
        <w:tc>
          <w:tcPr>
            <w:tcW w:w="535" w:type="dxa"/>
            <w:vMerge/>
            <w:tcBorders>
              <w:bottom w:val="single" w:sz="12" w:space="0" w:color="000000"/>
            </w:tcBorders>
            <w:shd w:val="clear" w:color="auto" w:fill="auto"/>
          </w:tcPr>
          <w:p w:rsidR="008F6543" w:rsidRPr="00222917" w:rsidRDefault="008F6543" w:rsidP="00D50C05">
            <w:pPr>
              <w:suppressAutoHyphens w:val="0"/>
              <w:spacing w:before="80" w:after="80" w:line="160" w:lineRule="exact"/>
              <w:rPr>
                <w:b/>
                <w:i/>
                <w:sz w:val="12"/>
                <w:szCs w:val="12"/>
                <w:lang w:val="en-US"/>
              </w:rPr>
            </w:pPr>
          </w:p>
        </w:tc>
        <w:tc>
          <w:tcPr>
            <w:tcW w:w="535" w:type="dxa"/>
            <w:vMerge/>
            <w:tcBorders>
              <w:bottom w:val="single" w:sz="12" w:space="0" w:color="000000"/>
              <w:right w:val="single" w:sz="24" w:space="0" w:color="FFFFFF"/>
            </w:tcBorders>
            <w:shd w:val="clear" w:color="auto" w:fill="auto"/>
          </w:tcPr>
          <w:p w:rsidR="008F6543" w:rsidRPr="00222917" w:rsidRDefault="008F6543" w:rsidP="00D50C05">
            <w:pPr>
              <w:suppressAutoHyphens w:val="0"/>
              <w:spacing w:before="80" w:after="80" w:line="160" w:lineRule="exact"/>
              <w:rPr>
                <w:b/>
                <w:i/>
                <w:sz w:val="12"/>
                <w:szCs w:val="12"/>
                <w:lang w:val="en-US"/>
              </w:rPr>
            </w:pPr>
          </w:p>
        </w:tc>
        <w:tc>
          <w:tcPr>
            <w:tcW w:w="535" w:type="dxa"/>
            <w:vMerge/>
            <w:tcBorders>
              <w:left w:val="single" w:sz="24" w:space="0" w:color="FFFFFF"/>
              <w:bottom w:val="single" w:sz="12" w:space="0" w:color="000000"/>
            </w:tcBorders>
            <w:shd w:val="clear" w:color="auto" w:fill="auto"/>
            <w:vAlign w:val="bottom"/>
          </w:tcPr>
          <w:p w:rsidR="008F6543" w:rsidRPr="00222917" w:rsidRDefault="008F6543" w:rsidP="00D50C05">
            <w:pPr>
              <w:suppressAutoHyphens w:val="0"/>
              <w:spacing w:before="80" w:after="80" w:line="160" w:lineRule="exact"/>
              <w:jc w:val="right"/>
              <w:rPr>
                <w:i/>
                <w:sz w:val="12"/>
                <w:szCs w:val="12"/>
                <w:lang w:val="en-US"/>
              </w:rPr>
            </w:pPr>
          </w:p>
        </w:tc>
        <w:tc>
          <w:tcPr>
            <w:tcW w:w="535" w:type="dxa"/>
            <w:vMerge/>
            <w:tcBorders>
              <w:bottom w:val="single" w:sz="12" w:space="0" w:color="000000"/>
              <w:right w:val="single" w:sz="24" w:space="0" w:color="FFFFFF"/>
            </w:tcBorders>
            <w:shd w:val="clear" w:color="auto" w:fill="auto"/>
            <w:vAlign w:val="bottom"/>
          </w:tcPr>
          <w:p w:rsidR="008F6543" w:rsidRPr="00222917" w:rsidRDefault="008F6543" w:rsidP="00D50C05">
            <w:pPr>
              <w:suppressAutoHyphens w:val="0"/>
              <w:spacing w:before="80" w:after="80" w:line="160" w:lineRule="exact"/>
              <w:jc w:val="right"/>
              <w:rPr>
                <w:i/>
                <w:sz w:val="12"/>
                <w:szCs w:val="12"/>
                <w:lang w:val="en-US"/>
              </w:rPr>
            </w:pPr>
          </w:p>
        </w:tc>
        <w:tc>
          <w:tcPr>
            <w:tcW w:w="535" w:type="dxa"/>
            <w:vMerge/>
            <w:tcBorders>
              <w:left w:val="single" w:sz="24" w:space="0" w:color="FFFFFF"/>
              <w:bottom w:val="single" w:sz="12" w:space="0" w:color="000000"/>
            </w:tcBorders>
            <w:shd w:val="clear" w:color="auto" w:fill="auto"/>
            <w:vAlign w:val="bottom"/>
          </w:tcPr>
          <w:p w:rsidR="008F6543" w:rsidRPr="00222917" w:rsidRDefault="008F6543" w:rsidP="00D50C05">
            <w:pPr>
              <w:suppressAutoHyphens w:val="0"/>
              <w:spacing w:before="80" w:after="80" w:line="160" w:lineRule="exact"/>
              <w:jc w:val="right"/>
              <w:rPr>
                <w:i/>
                <w:sz w:val="12"/>
                <w:szCs w:val="12"/>
                <w:lang w:val="en-US"/>
              </w:rPr>
            </w:pPr>
          </w:p>
        </w:tc>
        <w:tc>
          <w:tcPr>
            <w:tcW w:w="535" w:type="dxa"/>
            <w:vMerge/>
            <w:tcBorders>
              <w:bottom w:val="single" w:sz="12" w:space="0" w:color="000000"/>
              <w:right w:val="single" w:sz="24" w:space="0" w:color="FFFFFF"/>
            </w:tcBorders>
            <w:shd w:val="clear" w:color="auto" w:fill="auto"/>
            <w:vAlign w:val="bottom"/>
          </w:tcPr>
          <w:p w:rsidR="008F6543" w:rsidRPr="00222917" w:rsidRDefault="008F6543" w:rsidP="00D50C05">
            <w:pPr>
              <w:suppressAutoHyphens w:val="0"/>
              <w:spacing w:before="80" w:after="80" w:line="160" w:lineRule="exact"/>
              <w:jc w:val="right"/>
              <w:rPr>
                <w:i/>
                <w:sz w:val="12"/>
                <w:szCs w:val="12"/>
                <w:lang w:val="en-US"/>
              </w:rPr>
            </w:pPr>
          </w:p>
        </w:tc>
        <w:tc>
          <w:tcPr>
            <w:tcW w:w="535" w:type="dxa"/>
            <w:vMerge/>
            <w:tcBorders>
              <w:left w:val="single" w:sz="24" w:space="0" w:color="FFFFFF"/>
              <w:bottom w:val="single" w:sz="12" w:space="0" w:color="000000"/>
            </w:tcBorders>
            <w:shd w:val="clear" w:color="auto" w:fill="auto"/>
            <w:vAlign w:val="bottom"/>
          </w:tcPr>
          <w:p w:rsidR="008F6543" w:rsidRPr="00222917" w:rsidRDefault="008F6543" w:rsidP="00D50C05">
            <w:pPr>
              <w:suppressAutoHyphens w:val="0"/>
              <w:spacing w:before="80" w:after="80" w:line="160" w:lineRule="exact"/>
              <w:jc w:val="right"/>
              <w:rPr>
                <w:i/>
                <w:sz w:val="12"/>
                <w:szCs w:val="12"/>
                <w:lang w:val="en-US"/>
              </w:rPr>
            </w:pPr>
          </w:p>
        </w:tc>
        <w:tc>
          <w:tcPr>
            <w:tcW w:w="535" w:type="dxa"/>
            <w:vMerge/>
            <w:tcBorders>
              <w:bottom w:val="single" w:sz="12" w:space="0" w:color="000000"/>
              <w:right w:val="single" w:sz="24" w:space="0" w:color="FFFFFF"/>
            </w:tcBorders>
            <w:shd w:val="clear" w:color="auto" w:fill="auto"/>
            <w:vAlign w:val="bottom"/>
          </w:tcPr>
          <w:p w:rsidR="008F6543" w:rsidRPr="00222917" w:rsidRDefault="008F6543" w:rsidP="00D50C05">
            <w:pPr>
              <w:suppressAutoHyphens w:val="0"/>
              <w:spacing w:before="80" w:after="80" w:line="160" w:lineRule="exact"/>
              <w:jc w:val="right"/>
              <w:rPr>
                <w:i/>
                <w:sz w:val="12"/>
                <w:szCs w:val="12"/>
                <w:lang w:val="en-US"/>
              </w:rPr>
            </w:pPr>
          </w:p>
        </w:tc>
        <w:tc>
          <w:tcPr>
            <w:tcW w:w="535" w:type="dxa"/>
            <w:vMerge/>
            <w:tcBorders>
              <w:left w:val="single" w:sz="24" w:space="0" w:color="FFFFFF"/>
              <w:bottom w:val="single" w:sz="12" w:space="0" w:color="000000"/>
            </w:tcBorders>
            <w:shd w:val="clear" w:color="auto" w:fill="auto"/>
            <w:vAlign w:val="bottom"/>
          </w:tcPr>
          <w:p w:rsidR="008F6543" w:rsidRPr="00222917" w:rsidRDefault="008F6543" w:rsidP="00D50C05">
            <w:pPr>
              <w:suppressAutoHyphens w:val="0"/>
              <w:spacing w:before="80" w:after="80" w:line="160" w:lineRule="exact"/>
              <w:jc w:val="right"/>
              <w:rPr>
                <w:i/>
                <w:sz w:val="12"/>
                <w:szCs w:val="12"/>
                <w:lang w:val="en-US"/>
              </w:rPr>
            </w:pPr>
          </w:p>
        </w:tc>
        <w:tc>
          <w:tcPr>
            <w:tcW w:w="536" w:type="dxa"/>
            <w:vMerge/>
            <w:tcBorders>
              <w:bottom w:val="single" w:sz="12" w:space="0" w:color="000000"/>
              <w:right w:val="single" w:sz="24" w:space="0" w:color="FFFFFF"/>
            </w:tcBorders>
            <w:shd w:val="clear" w:color="auto" w:fill="auto"/>
            <w:vAlign w:val="bottom"/>
          </w:tcPr>
          <w:p w:rsidR="008F6543" w:rsidRPr="00222917" w:rsidRDefault="008F6543" w:rsidP="00D50C05">
            <w:pPr>
              <w:suppressAutoHyphens w:val="0"/>
              <w:spacing w:before="80" w:after="80" w:line="160" w:lineRule="exact"/>
              <w:jc w:val="right"/>
              <w:rPr>
                <w:i/>
                <w:sz w:val="12"/>
                <w:szCs w:val="12"/>
                <w:lang w:val="en-US"/>
              </w:rPr>
            </w:pPr>
          </w:p>
        </w:tc>
        <w:tc>
          <w:tcPr>
            <w:tcW w:w="536" w:type="dxa"/>
            <w:tcBorders>
              <w:top w:val="single" w:sz="4" w:space="0" w:color="000000"/>
              <w:left w:val="single" w:sz="24" w:space="0" w:color="FFFFFF"/>
              <w:bottom w:val="single" w:sz="12" w:space="0" w:color="000000"/>
            </w:tcBorders>
            <w:shd w:val="clear" w:color="auto" w:fill="auto"/>
            <w:tcMar>
              <w:top w:w="28" w:type="dxa"/>
              <w:left w:w="28" w:type="dxa"/>
              <w:bottom w:w="28" w:type="dxa"/>
              <w:right w:w="28" w:type="dxa"/>
            </w:tcMar>
            <w:vAlign w:val="bottom"/>
          </w:tcPr>
          <w:p w:rsidR="008F6543" w:rsidRPr="00222917" w:rsidRDefault="008119E3" w:rsidP="00D50C05">
            <w:pPr>
              <w:suppressAutoHyphens w:val="0"/>
              <w:snapToGrid w:val="0"/>
              <w:spacing w:before="80" w:after="80" w:line="160" w:lineRule="exact"/>
              <w:jc w:val="right"/>
              <w:rPr>
                <w:b/>
                <w:i/>
                <w:sz w:val="12"/>
                <w:szCs w:val="12"/>
                <w:lang w:val="en-US"/>
              </w:rPr>
            </w:pPr>
            <w:r w:rsidRPr="00222917">
              <w:rPr>
                <w:b/>
                <w:i/>
                <w:sz w:val="12"/>
                <w:szCs w:val="12"/>
                <w:lang w:val="en-US"/>
              </w:rPr>
              <w:t>Uni</w:t>
            </w:r>
            <w:r w:rsidR="008F6543" w:rsidRPr="00222917">
              <w:rPr>
                <w:b/>
                <w:i/>
                <w:sz w:val="12"/>
                <w:szCs w:val="12"/>
                <w:lang w:val="en-US"/>
              </w:rPr>
              <w:t>ons</w:t>
            </w:r>
          </w:p>
        </w:tc>
        <w:tc>
          <w:tcPr>
            <w:tcW w:w="536" w:type="dxa"/>
            <w:tcBorders>
              <w:top w:val="single" w:sz="4" w:space="0" w:color="000000"/>
              <w:bottom w:val="single" w:sz="12" w:space="0" w:color="000000"/>
              <w:right w:val="single" w:sz="24" w:space="0" w:color="FFFFFF"/>
            </w:tcBorders>
            <w:shd w:val="clear" w:color="auto" w:fill="auto"/>
            <w:tcMar>
              <w:top w:w="28" w:type="dxa"/>
              <w:left w:w="28" w:type="dxa"/>
              <w:bottom w:w="28" w:type="dxa"/>
              <w:right w:w="28" w:type="dxa"/>
            </w:tcMar>
            <w:vAlign w:val="bottom"/>
          </w:tcPr>
          <w:p w:rsidR="008F6543" w:rsidRPr="00222917" w:rsidRDefault="008F6543" w:rsidP="00D50C05">
            <w:pPr>
              <w:suppressAutoHyphens w:val="0"/>
              <w:snapToGrid w:val="0"/>
              <w:spacing w:before="80" w:after="80" w:line="160" w:lineRule="exact"/>
              <w:jc w:val="right"/>
              <w:rPr>
                <w:b/>
                <w:i/>
                <w:sz w:val="12"/>
                <w:szCs w:val="12"/>
                <w:lang w:val="en-US"/>
              </w:rPr>
            </w:pPr>
            <w:r w:rsidRPr="00222917">
              <w:rPr>
                <w:b/>
                <w:i/>
                <w:sz w:val="12"/>
                <w:szCs w:val="12"/>
                <w:lang w:val="en-US"/>
              </w:rPr>
              <w:t>Members</w:t>
            </w:r>
          </w:p>
        </w:tc>
        <w:tc>
          <w:tcPr>
            <w:tcW w:w="536" w:type="dxa"/>
            <w:tcBorders>
              <w:top w:val="single" w:sz="4" w:space="0" w:color="000000"/>
              <w:left w:val="single" w:sz="24" w:space="0" w:color="FFFFFF"/>
              <w:bottom w:val="single" w:sz="12" w:space="0" w:color="000000"/>
            </w:tcBorders>
            <w:shd w:val="clear" w:color="auto" w:fill="auto"/>
            <w:tcMar>
              <w:top w:w="28" w:type="dxa"/>
              <w:left w:w="28" w:type="dxa"/>
              <w:bottom w:w="28" w:type="dxa"/>
              <w:right w:w="28" w:type="dxa"/>
            </w:tcMar>
            <w:vAlign w:val="bottom"/>
          </w:tcPr>
          <w:p w:rsidR="008F6543" w:rsidRPr="00222917" w:rsidRDefault="008119E3" w:rsidP="00D50C05">
            <w:pPr>
              <w:suppressAutoHyphens w:val="0"/>
              <w:snapToGrid w:val="0"/>
              <w:spacing w:before="80" w:after="80" w:line="160" w:lineRule="exact"/>
              <w:jc w:val="right"/>
              <w:rPr>
                <w:i/>
                <w:sz w:val="12"/>
                <w:szCs w:val="12"/>
                <w:lang w:val="en-US"/>
              </w:rPr>
            </w:pPr>
            <w:r w:rsidRPr="00222917">
              <w:rPr>
                <w:i/>
                <w:sz w:val="12"/>
                <w:szCs w:val="12"/>
                <w:lang w:val="en-US"/>
              </w:rPr>
              <w:t>Uni</w:t>
            </w:r>
            <w:r w:rsidR="008F6543" w:rsidRPr="00222917">
              <w:rPr>
                <w:i/>
                <w:sz w:val="12"/>
                <w:szCs w:val="12"/>
                <w:lang w:val="en-US"/>
              </w:rPr>
              <w:t>ons</w:t>
            </w:r>
          </w:p>
        </w:tc>
        <w:tc>
          <w:tcPr>
            <w:tcW w:w="536" w:type="dxa"/>
            <w:tcBorders>
              <w:top w:val="single" w:sz="4" w:space="0" w:color="000000"/>
              <w:bottom w:val="single" w:sz="12" w:space="0" w:color="000000"/>
              <w:right w:val="single" w:sz="24" w:space="0" w:color="FFFFFF"/>
            </w:tcBorders>
            <w:shd w:val="clear" w:color="auto" w:fill="auto"/>
            <w:tcMar>
              <w:top w:w="28" w:type="dxa"/>
              <w:left w:w="28" w:type="dxa"/>
              <w:bottom w:w="28" w:type="dxa"/>
              <w:right w:w="28" w:type="dxa"/>
            </w:tcMar>
            <w:vAlign w:val="bottom"/>
          </w:tcPr>
          <w:p w:rsidR="008F6543" w:rsidRPr="00222917" w:rsidRDefault="008F6543" w:rsidP="00D50C05">
            <w:pPr>
              <w:suppressAutoHyphens w:val="0"/>
              <w:snapToGrid w:val="0"/>
              <w:spacing w:before="80" w:after="80" w:line="160" w:lineRule="exact"/>
              <w:jc w:val="right"/>
              <w:rPr>
                <w:i/>
                <w:sz w:val="12"/>
                <w:szCs w:val="12"/>
                <w:lang w:val="en-US"/>
              </w:rPr>
            </w:pPr>
            <w:r w:rsidRPr="00222917">
              <w:rPr>
                <w:i/>
                <w:sz w:val="12"/>
                <w:szCs w:val="12"/>
                <w:lang w:val="en-US"/>
              </w:rPr>
              <w:t>Members</w:t>
            </w:r>
          </w:p>
        </w:tc>
        <w:tc>
          <w:tcPr>
            <w:tcW w:w="536" w:type="dxa"/>
            <w:tcBorders>
              <w:top w:val="single" w:sz="4" w:space="0" w:color="000000"/>
              <w:left w:val="single" w:sz="24" w:space="0" w:color="FFFFFF"/>
              <w:bottom w:val="single" w:sz="12" w:space="0" w:color="000000"/>
            </w:tcBorders>
            <w:shd w:val="clear" w:color="auto" w:fill="auto"/>
            <w:tcMar>
              <w:top w:w="28" w:type="dxa"/>
              <w:left w:w="28" w:type="dxa"/>
              <w:bottom w:w="28" w:type="dxa"/>
              <w:right w:w="28" w:type="dxa"/>
            </w:tcMar>
            <w:vAlign w:val="bottom"/>
          </w:tcPr>
          <w:p w:rsidR="008F6543" w:rsidRPr="00222917" w:rsidRDefault="008119E3" w:rsidP="00D50C05">
            <w:pPr>
              <w:suppressAutoHyphens w:val="0"/>
              <w:snapToGrid w:val="0"/>
              <w:spacing w:before="80" w:after="80" w:line="160" w:lineRule="exact"/>
              <w:jc w:val="right"/>
              <w:rPr>
                <w:i/>
                <w:sz w:val="12"/>
                <w:szCs w:val="12"/>
                <w:lang w:val="en-US"/>
              </w:rPr>
            </w:pPr>
            <w:r w:rsidRPr="00222917">
              <w:rPr>
                <w:i/>
                <w:sz w:val="12"/>
                <w:szCs w:val="12"/>
                <w:lang w:val="en-US"/>
              </w:rPr>
              <w:t>Uni</w:t>
            </w:r>
            <w:r w:rsidR="008F6543" w:rsidRPr="00222917">
              <w:rPr>
                <w:i/>
                <w:sz w:val="12"/>
                <w:szCs w:val="12"/>
                <w:lang w:val="en-US"/>
              </w:rPr>
              <w:t>ons</w:t>
            </w:r>
          </w:p>
        </w:tc>
        <w:tc>
          <w:tcPr>
            <w:tcW w:w="536" w:type="dxa"/>
            <w:tcBorders>
              <w:top w:val="single" w:sz="4" w:space="0" w:color="000000"/>
              <w:bottom w:val="single" w:sz="12" w:space="0" w:color="000000"/>
              <w:right w:val="single" w:sz="24" w:space="0" w:color="FFFFFF"/>
            </w:tcBorders>
            <w:shd w:val="clear" w:color="auto" w:fill="auto"/>
            <w:tcMar>
              <w:top w:w="28" w:type="dxa"/>
              <w:left w:w="28" w:type="dxa"/>
              <w:bottom w:w="28" w:type="dxa"/>
              <w:right w:w="28" w:type="dxa"/>
            </w:tcMar>
            <w:vAlign w:val="bottom"/>
          </w:tcPr>
          <w:p w:rsidR="008F6543" w:rsidRPr="00222917" w:rsidRDefault="008F6543" w:rsidP="00D50C05">
            <w:pPr>
              <w:suppressAutoHyphens w:val="0"/>
              <w:snapToGrid w:val="0"/>
              <w:spacing w:before="80" w:after="80" w:line="160" w:lineRule="exact"/>
              <w:jc w:val="right"/>
              <w:rPr>
                <w:i/>
                <w:sz w:val="12"/>
                <w:szCs w:val="12"/>
                <w:lang w:val="en-US"/>
              </w:rPr>
            </w:pPr>
            <w:r w:rsidRPr="00222917">
              <w:rPr>
                <w:i/>
                <w:sz w:val="12"/>
                <w:szCs w:val="12"/>
                <w:lang w:val="en-US"/>
              </w:rPr>
              <w:t>Members</w:t>
            </w:r>
          </w:p>
        </w:tc>
        <w:tc>
          <w:tcPr>
            <w:tcW w:w="536" w:type="dxa"/>
            <w:vMerge/>
            <w:tcBorders>
              <w:left w:val="single" w:sz="24" w:space="0" w:color="FFFFFF"/>
              <w:bottom w:val="single" w:sz="12" w:space="0" w:color="000000"/>
            </w:tcBorders>
            <w:shd w:val="clear" w:color="auto" w:fill="auto"/>
            <w:vAlign w:val="bottom"/>
          </w:tcPr>
          <w:p w:rsidR="008F6543" w:rsidRPr="00222917" w:rsidRDefault="008F6543" w:rsidP="00D50C05">
            <w:pPr>
              <w:suppressAutoHyphens w:val="0"/>
              <w:spacing w:before="80" w:after="80" w:line="160" w:lineRule="exact"/>
              <w:jc w:val="right"/>
              <w:rPr>
                <w:i/>
                <w:sz w:val="12"/>
                <w:szCs w:val="12"/>
                <w:lang w:val="en-US"/>
              </w:rPr>
            </w:pPr>
          </w:p>
        </w:tc>
        <w:tc>
          <w:tcPr>
            <w:tcW w:w="536" w:type="dxa"/>
            <w:vMerge/>
            <w:tcBorders>
              <w:bottom w:val="single" w:sz="12" w:space="0" w:color="000000"/>
            </w:tcBorders>
            <w:shd w:val="clear" w:color="auto" w:fill="auto"/>
            <w:vAlign w:val="bottom"/>
          </w:tcPr>
          <w:p w:rsidR="008F6543" w:rsidRPr="00222917" w:rsidRDefault="008F6543" w:rsidP="00D50C05">
            <w:pPr>
              <w:suppressAutoHyphens w:val="0"/>
              <w:spacing w:before="80" w:after="80" w:line="160" w:lineRule="exact"/>
              <w:jc w:val="right"/>
              <w:rPr>
                <w:i/>
                <w:sz w:val="12"/>
                <w:szCs w:val="12"/>
                <w:lang w:val="en-US"/>
              </w:rPr>
            </w:pPr>
          </w:p>
        </w:tc>
      </w:tr>
      <w:tr w:rsidR="008F6543" w:rsidRPr="00222917" w:rsidTr="001E30C9">
        <w:tc>
          <w:tcPr>
            <w:tcW w:w="535" w:type="dxa"/>
            <w:tcBorders>
              <w:top w:val="single" w:sz="12" w:space="0" w:color="000000"/>
              <w:bottom w:val="single" w:sz="12" w:space="0" w:color="auto"/>
            </w:tcBorders>
            <w:shd w:val="clear" w:color="auto" w:fill="auto"/>
            <w:tcMar>
              <w:top w:w="28" w:type="dxa"/>
              <w:left w:w="28" w:type="dxa"/>
              <w:bottom w:w="28" w:type="dxa"/>
              <w:right w:w="28" w:type="dxa"/>
            </w:tcMar>
          </w:tcPr>
          <w:p w:rsidR="008F6543" w:rsidRPr="00222917" w:rsidRDefault="008F6543" w:rsidP="00D50C05">
            <w:pPr>
              <w:suppressAutoHyphens w:val="0"/>
              <w:snapToGrid w:val="0"/>
              <w:spacing w:before="40" w:after="40" w:line="180" w:lineRule="exact"/>
              <w:rPr>
                <w:b/>
                <w:sz w:val="14"/>
                <w:szCs w:val="14"/>
                <w:lang w:val="en-US"/>
              </w:rPr>
            </w:pPr>
            <w:r w:rsidRPr="00222917">
              <w:rPr>
                <w:b/>
                <w:bCs/>
                <w:sz w:val="14"/>
                <w:szCs w:val="14"/>
                <w:lang w:val="en-US"/>
              </w:rPr>
              <w:t>99</w:t>
            </w:r>
          </w:p>
        </w:tc>
        <w:tc>
          <w:tcPr>
            <w:tcW w:w="535" w:type="dxa"/>
            <w:tcBorders>
              <w:top w:val="single" w:sz="12" w:space="0" w:color="000000"/>
              <w:bottom w:val="single" w:sz="12" w:space="0" w:color="auto"/>
            </w:tcBorders>
            <w:shd w:val="clear" w:color="auto" w:fill="auto"/>
            <w:tcMar>
              <w:top w:w="28" w:type="dxa"/>
              <w:left w:w="28" w:type="dxa"/>
              <w:bottom w:w="28" w:type="dxa"/>
              <w:right w:w="28" w:type="dxa"/>
            </w:tcMar>
          </w:tcPr>
          <w:p w:rsidR="008F6543" w:rsidRPr="00222917" w:rsidRDefault="008F6543" w:rsidP="00D50C05">
            <w:pPr>
              <w:suppressAutoHyphens w:val="0"/>
              <w:snapToGrid w:val="0"/>
              <w:spacing w:before="40" w:after="40" w:line="180" w:lineRule="exact"/>
              <w:rPr>
                <w:b/>
                <w:sz w:val="14"/>
                <w:szCs w:val="14"/>
                <w:lang w:val="en-US"/>
              </w:rPr>
            </w:pPr>
            <w:r w:rsidRPr="00222917">
              <w:rPr>
                <w:b/>
                <w:bCs/>
                <w:sz w:val="14"/>
                <w:szCs w:val="14"/>
                <w:lang w:val="en-US"/>
              </w:rPr>
              <w:t>161.753</w:t>
            </w:r>
          </w:p>
        </w:tc>
        <w:tc>
          <w:tcPr>
            <w:tcW w:w="535" w:type="dxa"/>
            <w:tcBorders>
              <w:top w:val="single" w:sz="12" w:space="0" w:color="000000"/>
              <w:bottom w:val="single" w:sz="12" w:space="0" w:color="auto"/>
            </w:tcBorders>
            <w:shd w:val="clear" w:color="auto" w:fill="auto"/>
            <w:tcMar>
              <w:top w:w="28" w:type="dxa"/>
              <w:left w:w="28" w:type="dxa"/>
              <w:bottom w:w="28" w:type="dxa"/>
              <w:right w:w="28" w:type="dxa"/>
            </w:tcMar>
            <w:vAlign w:val="bottom"/>
          </w:tcPr>
          <w:p w:rsidR="008F6543" w:rsidRPr="00222917" w:rsidRDefault="008F6543" w:rsidP="00D50C05">
            <w:pPr>
              <w:suppressAutoHyphens w:val="0"/>
              <w:snapToGrid w:val="0"/>
              <w:spacing w:before="40" w:after="40" w:line="180" w:lineRule="exact"/>
              <w:jc w:val="right"/>
              <w:rPr>
                <w:sz w:val="14"/>
                <w:szCs w:val="14"/>
                <w:lang w:val="en-US"/>
              </w:rPr>
            </w:pPr>
            <w:r w:rsidRPr="00222917">
              <w:rPr>
                <w:sz w:val="14"/>
                <w:szCs w:val="14"/>
                <w:lang w:val="en-US"/>
              </w:rPr>
              <w:t>9</w:t>
            </w:r>
          </w:p>
        </w:tc>
        <w:tc>
          <w:tcPr>
            <w:tcW w:w="535" w:type="dxa"/>
            <w:tcBorders>
              <w:top w:val="single" w:sz="12" w:space="0" w:color="000000"/>
              <w:bottom w:val="single" w:sz="12" w:space="0" w:color="auto"/>
            </w:tcBorders>
            <w:shd w:val="clear" w:color="auto" w:fill="auto"/>
            <w:tcMar>
              <w:top w:w="28" w:type="dxa"/>
              <w:left w:w="28" w:type="dxa"/>
              <w:bottom w:w="28" w:type="dxa"/>
              <w:right w:w="28" w:type="dxa"/>
            </w:tcMar>
            <w:vAlign w:val="bottom"/>
          </w:tcPr>
          <w:p w:rsidR="008F6543" w:rsidRPr="00222917" w:rsidRDefault="008F6543" w:rsidP="00D50C05">
            <w:pPr>
              <w:suppressAutoHyphens w:val="0"/>
              <w:snapToGrid w:val="0"/>
              <w:spacing w:before="40" w:after="40" w:line="180" w:lineRule="exact"/>
              <w:jc w:val="right"/>
              <w:rPr>
                <w:sz w:val="14"/>
                <w:szCs w:val="14"/>
                <w:lang w:val="en-US"/>
              </w:rPr>
            </w:pPr>
          </w:p>
        </w:tc>
        <w:tc>
          <w:tcPr>
            <w:tcW w:w="535" w:type="dxa"/>
            <w:tcBorders>
              <w:top w:val="single" w:sz="12" w:space="0" w:color="000000"/>
              <w:bottom w:val="single" w:sz="12" w:space="0" w:color="auto"/>
            </w:tcBorders>
            <w:shd w:val="clear" w:color="auto" w:fill="auto"/>
            <w:tcMar>
              <w:top w:w="28" w:type="dxa"/>
              <w:left w:w="28" w:type="dxa"/>
              <w:bottom w:w="28" w:type="dxa"/>
              <w:right w:w="28" w:type="dxa"/>
            </w:tcMar>
            <w:vAlign w:val="bottom"/>
          </w:tcPr>
          <w:p w:rsidR="008F6543" w:rsidRPr="00222917" w:rsidRDefault="008F6543" w:rsidP="00D50C05">
            <w:pPr>
              <w:suppressAutoHyphens w:val="0"/>
              <w:snapToGrid w:val="0"/>
              <w:spacing w:before="40" w:after="40" w:line="180" w:lineRule="exact"/>
              <w:jc w:val="right"/>
              <w:rPr>
                <w:sz w:val="14"/>
                <w:szCs w:val="14"/>
                <w:lang w:val="en-US"/>
              </w:rPr>
            </w:pPr>
            <w:r w:rsidRPr="00222917">
              <w:rPr>
                <w:sz w:val="14"/>
                <w:szCs w:val="14"/>
                <w:lang w:val="en-US"/>
              </w:rPr>
              <w:t>2</w:t>
            </w:r>
          </w:p>
        </w:tc>
        <w:tc>
          <w:tcPr>
            <w:tcW w:w="535" w:type="dxa"/>
            <w:tcBorders>
              <w:top w:val="single" w:sz="12" w:space="0" w:color="000000"/>
              <w:bottom w:val="single" w:sz="12" w:space="0" w:color="auto"/>
            </w:tcBorders>
            <w:shd w:val="clear" w:color="auto" w:fill="auto"/>
            <w:tcMar>
              <w:top w:w="28" w:type="dxa"/>
              <w:left w:w="28" w:type="dxa"/>
              <w:bottom w:w="28" w:type="dxa"/>
              <w:right w:w="28" w:type="dxa"/>
            </w:tcMar>
            <w:vAlign w:val="bottom"/>
          </w:tcPr>
          <w:p w:rsidR="008F6543" w:rsidRPr="00222917" w:rsidRDefault="008F6543" w:rsidP="00D50C05">
            <w:pPr>
              <w:suppressAutoHyphens w:val="0"/>
              <w:snapToGrid w:val="0"/>
              <w:spacing w:before="40" w:after="40" w:line="180" w:lineRule="exact"/>
              <w:jc w:val="right"/>
              <w:rPr>
                <w:sz w:val="14"/>
                <w:szCs w:val="14"/>
                <w:lang w:val="en-US"/>
              </w:rPr>
            </w:pPr>
            <w:r w:rsidRPr="00222917">
              <w:rPr>
                <w:sz w:val="14"/>
                <w:szCs w:val="14"/>
                <w:lang w:val="en-US"/>
              </w:rPr>
              <w:t>61,430</w:t>
            </w:r>
          </w:p>
        </w:tc>
        <w:tc>
          <w:tcPr>
            <w:tcW w:w="535" w:type="dxa"/>
            <w:tcBorders>
              <w:top w:val="single" w:sz="12" w:space="0" w:color="000000"/>
              <w:bottom w:val="single" w:sz="12" w:space="0" w:color="auto"/>
            </w:tcBorders>
            <w:shd w:val="clear" w:color="auto" w:fill="auto"/>
            <w:tcMar>
              <w:top w:w="28" w:type="dxa"/>
              <w:left w:w="28" w:type="dxa"/>
              <w:bottom w:w="28" w:type="dxa"/>
              <w:right w:w="28" w:type="dxa"/>
            </w:tcMar>
            <w:vAlign w:val="bottom"/>
          </w:tcPr>
          <w:p w:rsidR="008F6543" w:rsidRPr="00222917" w:rsidRDefault="008F6543" w:rsidP="00D50C05">
            <w:pPr>
              <w:suppressAutoHyphens w:val="0"/>
              <w:snapToGrid w:val="0"/>
              <w:spacing w:before="40" w:after="40" w:line="180" w:lineRule="exact"/>
              <w:jc w:val="right"/>
              <w:rPr>
                <w:sz w:val="14"/>
                <w:szCs w:val="14"/>
                <w:lang w:val="en-US"/>
              </w:rPr>
            </w:pPr>
            <w:r w:rsidRPr="00222917">
              <w:rPr>
                <w:sz w:val="14"/>
                <w:szCs w:val="14"/>
                <w:lang w:val="en-US"/>
              </w:rPr>
              <w:t>1</w:t>
            </w:r>
          </w:p>
        </w:tc>
        <w:tc>
          <w:tcPr>
            <w:tcW w:w="535" w:type="dxa"/>
            <w:tcBorders>
              <w:top w:val="single" w:sz="12" w:space="0" w:color="000000"/>
              <w:bottom w:val="single" w:sz="12" w:space="0" w:color="auto"/>
            </w:tcBorders>
            <w:shd w:val="clear" w:color="auto" w:fill="auto"/>
            <w:tcMar>
              <w:top w:w="28" w:type="dxa"/>
              <w:left w:w="28" w:type="dxa"/>
              <w:bottom w:w="28" w:type="dxa"/>
              <w:right w:w="28" w:type="dxa"/>
            </w:tcMar>
            <w:vAlign w:val="bottom"/>
          </w:tcPr>
          <w:p w:rsidR="008F6543" w:rsidRPr="00222917" w:rsidRDefault="008F6543" w:rsidP="00D50C05">
            <w:pPr>
              <w:suppressAutoHyphens w:val="0"/>
              <w:snapToGrid w:val="0"/>
              <w:spacing w:before="40" w:after="40" w:line="180" w:lineRule="exact"/>
              <w:jc w:val="right"/>
              <w:rPr>
                <w:sz w:val="14"/>
                <w:szCs w:val="14"/>
                <w:lang w:val="en-US"/>
              </w:rPr>
            </w:pPr>
            <w:r w:rsidRPr="00222917">
              <w:rPr>
                <w:sz w:val="14"/>
                <w:szCs w:val="14"/>
                <w:lang w:val="en-US"/>
              </w:rPr>
              <w:t>7,500</w:t>
            </w:r>
          </w:p>
        </w:tc>
        <w:tc>
          <w:tcPr>
            <w:tcW w:w="535" w:type="dxa"/>
            <w:tcBorders>
              <w:top w:val="single" w:sz="12" w:space="0" w:color="000000"/>
              <w:bottom w:val="single" w:sz="12" w:space="0" w:color="auto"/>
            </w:tcBorders>
            <w:shd w:val="clear" w:color="auto" w:fill="auto"/>
            <w:tcMar>
              <w:top w:w="28" w:type="dxa"/>
              <w:left w:w="28" w:type="dxa"/>
              <w:bottom w:w="28" w:type="dxa"/>
              <w:right w:w="28" w:type="dxa"/>
            </w:tcMar>
            <w:vAlign w:val="bottom"/>
          </w:tcPr>
          <w:p w:rsidR="008F6543" w:rsidRPr="00222917" w:rsidRDefault="008F6543" w:rsidP="00D50C05">
            <w:pPr>
              <w:suppressAutoHyphens w:val="0"/>
              <w:snapToGrid w:val="0"/>
              <w:spacing w:before="40" w:after="40" w:line="180" w:lineRule="exact"/>
              <w:jc w:val="right"/>
              <w:rPr>
                <w:sz w:val="14"/>
                <w:szCs w:val="14"/>
                <w:lang w:val="en-US"/>
              </w:rPr>
            </w:pPr>
            <w:r w:rsidRPr="00222917">
              <w:rPr>
                <w:sz w:val="14"/>
                <w:szCs w:val="14"/>
                <w:lang w:val="en-US"/>
              </w:rPr>
              <w:t>2</w:t>
            </w:r>
          </w:p>
        </w:tc>
        <w:tc>
          <w:tcPr>
            <w:tcW w:w="536" w:type="dxa"/>
            <w:tcBorders>
              <w:top w:val="single" w:sz="12" w:space="0" w:color="000000"/>
              <w:bottom w:val="single" w:sz="12" w:space="0" w:color="auto"/>
            </w:tcBorders>
            <w:shd w:val="clear" w:color="auto" w:fill="auto"/>
            <w:tcMar>
              <w:top w:w="28" w:type="dxa"/>
              <w:left w:w="28" w:type="dxa"/>
              <w:bottom w:w="28" w:type="dxa"/>
              <w:right w:w="28" w:type="dxa"/>
            </w:tcMar>
            <w:vAlign w:val="bottom"/>
          </w:tcPr>
          <w:p w:rsidR="008F6543" w:rsidRPr="00222917" w:rsidRDefault="008F6543" w:rsidP="00D50C05">
            <w:pPr>
              <w:suppressAutoHyphens w:val="0"/>
              <w:snapToGrid w:val="0"/>
              <w:spacing w:before="40" w:after="40" w:line="180" w:lineRule="exact"/>
              <w:jc w:val="right"/>
              <w:rPr>
                <w:sz w:val="14"/>
                <w:szCs w:val="14"/>
                <w:lang w:val="en-US"/>
              </w:rPr>
            </w:pPr>
            <w:r w:rsidRPr="00222917">
              <w:rPr>
                <w:sz w:val="14"/>
                <w:szCs w:val="14"/>
                <w:lang w:val="en-US"/>
              </w:rPr>
              <w:t>22,944</w:t>
            </w:r>
          </w:p>
        </w:tc>
        <w:tc>
          <w:tcPr>
            <w:tcW w:w="536" w:type="dxa"/>
            <w:tcBorders>
              <w:top w:val="single" w:sz="12" w:space="0" w:color="000000"/>
              <w:bottom w:val="single" w:sz="12" w:space="0" w:color="auto"/>
            </w:tcBorders>
            <w:shd w:val="clear" w:color="auto" w:fill="auto"/>
            <w:tcMar>
              <w:top w:w="28" w:type="dxa"/>
              <w:left w:w="28" w:type="dxa"/>
              <w:bottom w:w="28" w:type="dxa"/>
              <w:right w:w="28" w:type="dxa"/>
            </w:tcMar>
            <w:vAlign w:val="bottom"/>
          </w:tcPr>
          <w:p w:rsidR="008F6543" w:rsidRPr="00222917" w:rsidRDefault="008F6543" w:rsidP="00D50C05">
            <w:pPr>
              <w:suppressAutoHyphens w:val="0"/>
              <w:snapToGrid w:val="0"/>
              <w:spacing w:before="40" w:after="40" w:line="180" w:lineRule="exact"/>
              <w:jc w:val="right"/>
              <w:rPr>
                <w:b/>
                <w:sz w:val="14"/>
                <w:szCs w:val="14"/>
                <w:lang w:val="en-US"/>
              </w:rPr>
            </w:pPr>
            <w:r w:rsidRPr="00222917">
              <w:rPr>
                <w:b/>
                <w:sz w:val="14"/>
                <w:szCs w:val="14"/>
                <w:lang w:val="en-US"/>
              </w:rPr>
              <w:t>62</w:t>
            </w:r>
          </w:p>
        </w:tc>
        <w:tc>
          <w:tcPr>
            <w:tcW w:w="536" w:type="dxa"/>
            <w:tcBorders>
              <w:top w:val="single" w:sz="12" w:space="0" w:color="000000"/>
              <w:bottom w:val="single" w:sz="12" w:space="0" w:color="auto"/>
            </w:tcBorders>
            <w:shd w:val="clear" w:color="auto" w:fill="auto"/>
            <w:tcMar>
              <w:top w:w="28" w:type="dxa"/>
              <w:left w:w="28" w:type="dxa"/>
              <w:bottom w:w="28" w:type="dxa"/>
              <w:right w:w="28" w:type="dxa"/>
            </w:tcMar>
            <w:vAlign w:val="bottom"/>
          </w:tcPr>
          <w:p w:rsidR="008F6543" w:rsidRPr="00222917" w:rsidRDefault="008F6543" w:rsidP="00D50C05">
            <w:pPr>
              <w:suppressAutoHyphens w:val="0"/>
              <w:snapToGrid w:val="0"/>
              <w:spacing w:before="40" w:after="40" w:line="180" w:lineRule="exact"/>
              <w:jc w:val="right"/>
              <w:rPr>
                <w:b/>
                <w:sz w:val="14"/>
                <w:szCs w:val="14"/>
                <w:lang w:val="en-US"/>
              </w:rPr>
            </w:pPr>
            <w:r w:rsidRPr="00222917">
              <w:rPr>
                <w:b/>
                <w:sz w:val="14"/>
                <w:szCs w:val="14"/>
                <w:lang w:val="en-US"/>
              </w:rPr>
              <w:t>47,044</w:t>
            </w:r>
          </w:p>
        </w:tc>
        <w:tc>
          <w:tcPr>
            <w:tcW w:w="536" w:type="dxa"/>
            <w:tcBorders>
              <w:top w:val="single" w:sz="12" w:space="0" w:color="000000"/>
              <w:bottom w:val="single" w:sz="12" w:space="0" w:color="auto"/>
            </w:tcBorders>
            <w:shd w:val="clear" w:color="auto" w:fill="auto"/>
            <w:tcMar>
              <w:top w:w="28" w:type="dxa"/>
              <w:left w:w="28" w:type="dxa"/>
              <w:bottom w:w="28" w:type="dxa"/>
              <w:right w:w="28" w:type="dxa"/>
            </w:tcMar>
            <w:vAlign w:val="bottom"/>
          </w:tcPr>
          <w:p w:rsidR="008F6543" w:rsidRPr="00222917" w:rsidRDefault="008F6543" w:rsidP="00D50C05">
            <w:pPr>
              <w:suppressAutoHyphens w:val="0"/>
              <w:snapToGrid w:val="0"/>
              <w:spacing w:before="40" w:after="40" w:line="180" w:lineRule="exact"/>
              <w:jc w:val="right"/>
              <w:rPr>
                <w:sz w:val="14"/>
                <w:szCs w:val="14"/>
                <w:lang w:val="en-US"/>
              </w:rPr>
            </w:pPr>
            <w:r w:rsidRPr="00222917">
              <w:rPr>
                <w:sz w:val="14"/>
                <w:szCs w:val="14"/>
                <w:lang w:val="en-US"/>
              </w:rPr>
              <w:t>19</w:t>
            </w:r>
          </w:p>
        </w:tc>
        <w:tc>
          <w:tcPr>
            <w:tcW w:w="536" w:type="dxa"/>
            <w:tcBorders>
              <w:top w:val="single" w:sz="12" w:space="0" w:color="000000"/>
              <w:bottom w:val="single" w:sz="12" w:space="0" w:color="auto"/>
            </w:tcBorders>
            <w:shd w:val="clear" w:color="auto" w:fill="auto"/>
            <w:tcMar>
              <w:top w:w="28" w:type="dxa"/>
              <w:left w:w="28" w:type="dxa"/>
              <w:bottom w:w="28" w:type="dxa"/>
              <w:right w:w="28" w:type="dxa"/>
            </w:tcMar>
            <w:vAlign w:val="bottom"/>
          </w:tcPr>
          <w:p w:rsidR="008F6543" w:rsidRPr="00222917" w:rsidRDefault="008F6543" w:rsidP="00D50C05">
            <w:pPr>
              <w:suppressAutoHyphens w:val="0"/>
              <w:snapToGrid w:val="0"/>
              <w:spacing w:before="40" w:after="40" w:line="180" w:lineRule="exact"/>
              <w:jc w:val="right"/>
              <w:rPr>
                <w:sz w:val="14"/>
                <w:szCs w:val="14"/>
                <w:lang w:val="en-US"/>
              </w:rPr>
            </w:pPr>
            <w:r w:rsidRPr="00222917">
              <w:rPr>
                <w:sz w:val="14"/>
                <w:szCs w:val="14"/>
                <w:lang w:val="en-US"/>
              </w:rPr>
              <w:t>24,500</w:t>
            </w:r>
          </w:p>
        </w:tc>
        <w:tc>
          <w:tcPr>
            <w:tcW w:w="536" w:type="dxa"/>
            <w:tcBorders>
              <w:top w:val="single" w:sz="12" w:space="0" w:color="000000"/>
              <w:bottom w:val="single" w:sz="12" w:space="0" w:color="auto"/>
            </w:tcBorders>
            <w:shd w:val="clear" w:color="auto" w:fill="auto"/>
            <w:tcMar>
              <w:top w:w="28" w:type="dxa"/>
              <w:left w:w="28" w:type="dxa"/>
              <w:bottom w:w="28" w:type="dxa"/>
              <w:right w:w="28" w:type="dxa"/>
            </w:tcMar>
            <w:vAlign w:val="bottom"/>
          </w:tcPr>
          <w:p w:rsidR="008F6543" w:rsidRPr="00222917" w:rsidRDefault="008F6543" w:rsidP="00D50C05">
            <w:pPr>
              <w:suppressAutoHyphens w:val="0"/>
              <w:snapToGrid w:val="0"/>
              <w:spacing w:before="40" w:after="40" w:line="180" w:lineRule="exact"/>
              <w:jc w:val="right"/>
              <w:rPr>
                <w:sz w:val="14"/>
                <w:szCs w:val="14"/>
                <w:lang w:val="en-US"/>
              </w:rPr>
            </w:pPr>
            <w:r w:rsidRPr="00222917">
              <w:rPr>
                <w:sz w:val="14"/>
                <w:szCs w:val="14"/>
                <w:lang w:val="en-US"/>
              </w:rPr>
              <w:t>43</w:t>
            </w:r>
          </w:p>
        </w:tc>
        <w:tc>
          <w:tcPr>
            <w:tcW w:w="536" w:type="dxa"/>
            <w:tcBorders>
              <w:top w:val="single" w:sz="12" w:space="0" w:color="000000"/>
              <w:bottom w:val="single" w:sz="12" w:space="0" w:color="auto"/>
            </w:tcBorders>
            <w:shd w:val="clear" w:color="auto" w:fill="auto"/>
            <w:tcMar>
              <w:top w:w="28" w:type="dxa"/>
              <w:left w:w="28" w:type="dxa"/>
              <w:bottom w:w="28" w:type="dxa"/>
              <w:right w:w="28" w:type="dxa"/>
            </w:tcMar>
            <w:vAlign w:val="bottom"/>
          </w:tcPr>
          <w:p w:rsidR="008F6543" w:rsidRPr="00222917" w:rsidRDefault="008F6543" w:rsidP="00D50C05">
            <w:pPr>
              <w:suppressAutoHyphens w:val="0"/>
              <w:snapToGrid w:val="0"/>
              <w:spacing w:before="40" w:after="40" w:line="180" w:lineRule="exact"/>
              <w:jc w:val="right"/>
              <w:rPr>
                <w:sz w:val="14"/>
                <w:szCs w:val="14"/>
                <w:lang w:val="en-US"/>
              </w:rPr>
            </w:pPr>
            <w:r w:rsidRPr="00222917">
              <w:rPr>
                <w:sz w:val="14"/>
                <w:szCs w:val="14"/>
                <w:lang w:val="en-US"/>
              </w:rPr>
              <w:t>22,544</w:t>
            </w:r>
          </w:p>
        </w:tc>
        <w:tc>
          <w:tcPr>
            <w:tcW w:w="536" w:type="dxa"/>
            <w:tcBorders>
              <w:top w:val="single" w:sz="12" w:space="0" w:color="000000"/>
              <w:bottom w:val="single" w:sz="12" w:space="0" w:color="auto"/>
            </w:tcBorders>
            <w:shd w:val="clear" w:color="auto" w:fill="auto"/>
            <w:tcMar>
              <w:top w:w="28" w:type="dxa"/>
              <w:left w:w="28" w:type="dxa"/>
              <w:bottom w:w="28" w:type="dxa"/>
              <w:right w:w="28" w:type="dxa"/>
            </w:tcMar>
            <w:vAlign w:val="bottom"/>
          </w:tcPr>
          <w:p w:rsidR="008F6543" w:rsidRPr="00222917" w:rsidRDefault="008F6543" w:rsidP="00D50C05">
            <w:pPr>
              <w:suppressAutoHyphens w:val="0"/>
              <w:snapToGrid w:val="0"/>
              <w:spacing w:before="40" w:after="40" w:line="180" w:lineRule="exact"/>
              <w:jc w:val="right"/>
              <w:rPr>
                <w:sz w:val="14"/>
                <w:szCs w:val="14"/>
                <w:lang w:val="en-US"/>
              </w:rPr>
            </w:pPr>
            <w:r w:rsidRPr="00222917">
              <w:rPr>
                <w:sz w:val="14"/>
                <w:szCs w:val="14"/>
                <w:lang w:val="en-US"/>
              </w:rPr>
              <w:t>20</w:t>
            </w:r>
          </w:p>
        </w:tc>
        <w:tc>
          <w:tcPr>
            <w:tcW w:w="536" w:type="dxa"/>
            <w:tcBorders>
              <w:top w:val="single" w:sz="12" w:space="0" w:color="000000"/>
              <w:bottom w:val="single" w:sz="12" w:space="0" w:color="auto"/>
            </w:tcBorders>
            <w:shd w:val="clear" w:color="auto" w:fill="auto"/>
            <w:tcMar>
              <w:top w:w="28" w:type="dxa"/>
              <w:left w:w="28" w:type="dxa"/>
              <w:bottom w:w="28" w:type="dxa"/>
              <w:right w:w="28" w:type="dxa"/>
            </w:tcMar>
            <w:vAlign w:val="bottom"/>
          </w:tcPr>
          <w:p w:rsidR="008F6543" w:rsidRPr="00222917" w:rsidRDefault="008F6543" w:rsidP="00D50C05">
            <w:pPr>
              <w:suppressAutoHyphens w:val="0"/>
              <w:snapToGrid w:val="0"/>
              <w:spacing w:before="40" w:after="40" w:line="180" w:lineRule="exact"/>
              <w:jc w:val="right"/>
              <w:rPr>
                <w:sz w:val="14"/>
                <w:szCs w:val="14"/>
                <w:lang w:val="en-US"/>
              </w:rPr>
            </w:pPr>
            <w:r w:rsidRPr="00222917">
              <w:rPr>
                <w:sz w:val="14"/>
                <w:szCs w:val="14"/>
                <w:lang w:val="en-US"/>
              </w:rPr>
              <w:t>25,229</w:t>
            </w:r>
          </w:p>
        </w:tc>
      </w:tr>
    </w:tbl>
    <w:p w:rsidR="002D5BB0" w:rsidRPr="00222917" w:rsidRDefault="00547908" w:rsidP="00547908">
      <w:pPr>
        <w:pStyle w:val="SingleTxtG"/>
        <w:spacing w:before="240"/>
        <w:rPr>
          <w:lang w:val="en-US"/>
        </w:rPr>
      </w:pPr>
      <w:r w:rsidRPr="00222917">
        <w:rPr>
          <w:lang w:val="en-US"/>
        </w:rPr>
        <w:t>313.</w:t>
      </w:r>
      <w:r w:rsidRPr="00222917">
        <w:rPr>
          <w:lang w:val="en-US"/>
        </w:rPr>
        <w:tab/>
      </w:r>
      <w:r w:rsidR="002D5BB0" w:rsidRPr="00222917">
        <w:rPr>
          <w:lang w:val="en-US"/>
        </w:rPr>
        <w:t xml:space="preserve">The public officials’ labor relations system has been systematically put in place. Under the Ministry of Labor, the Public Sector Labor Relations Division was set up in 2005, and the Public Sector Labor Relations Policy Officer was appointed in November 2009. The Director General for Civil Service Labor Relations was appointed under the Ministry of Public Administration and Security. The Government pursues a wide range of initiatives to ensure reasonable public officials’ labor relations such as dialogues with public officials’ unions, guidance and education on establishment and management of unions, and support and guidance for smooth collective bargaining. </w:t>
      </w:r>
    </w:p>
    <w:p w:rsidR="002D5BB0" w:rsidRPr="00222917" w:rsidRDefault="00547908" w:rsidP="00547908">
      <w:pPr>
        <w:pStyle w:val="SingleTxtG"/>
        <w:rPr>
          <w:lang w:val="en-US"/>
        </w:rPr>
      </w:pPr>
      <w:r w:rsidRPr="00222917">
        <w:rPr>
          <w:lang w:val="en-US"/>
        </w:rPr>
        <w:t>314.</w:t>
      </w:r>
      <w:r w:rsidRPr="00222917">
        <w:rPr>
          <w:lang w:val="en-US"/>
        </w:rPr>
        <w:tab/>
      </w:r>
      <w:r w:rsidR="002D5BB0" w:rsidRPr="00222917">
        <w:rPr>
          <w:lang w:val="en-US"/>
        </w:rPr>
        <w:t xml:space="preserve">On 26 December 2008, the Constitutional Court ruled that the </w:t>
      </w:r>
      <w:r w:rsidR="002D5BB0" w:rsidRPr="000850F5">
        <w:rPr>
          <w:iCs/>
          <w:lang w:val="en-US"/>
        </w:rPr>
        <w:t>Act on the Establishment and Operation of Public Officials’ Unions</w:t>
      </w:r>
      <w:r w:rsidR="002D5BB0" w:rsidRPr="00222917">
        <w:rPr>
          <w:lang w:val="en-US"/>
        </w:rPr>
        <w:t>, which limits the right to organize of all public officials of grade 5 or above, and public officials of grade 6 or below who exercise authorities of direction and supervision, take charge of businesses, advocate an administrative agency in dealing with personnel and compensation management, and engage in adjustment and supervision of labor relations , is not in violation of the Constitution (2005 HUN-MA 971, 2005</w:t>
      </w:r>
      <w:r w:rsidR="002D5BB0" w:rsidRPr="00222917">
        <w:rPr>
          <w:i/>
          <w:lang w:val="en-US"/>
        </w:rPr>
        <w:t xml:space="preserve"> </w:t>
      </w:r>
      <w:r w:rsidR="002D5BB0" w:rsidRPr="00222917">
        <w:rPr>
          <w:lang w:val="en-US"/>
        </w:rPr>
        <w:t>HUN-MA 1193, 2006</w:t>
      </w:r>
      <w:r w:rsidR="002D5BB0" w:rsidRPr="00222917">
        <w:rPr>
          <w:i/>
          <w:lang w:val="en-US"/>
        </w:rPr>
        <w:t xml:space="preserve"> </w:t>
      </w:r>
      <w:r w:rsidR="002D5BB0" w:rsidRPr="00222917">
        <w:rPr>
          <w:lang w:val="en-US"/>
        </w:rPr>
        <w:t xml:space="preserve">HUN-MA 198). </w:t>
      </w:r>
    </w:p>
    <w:p w:rsidR="002D5BB0" w:rsidRPr="00222917" w:rsidRDefault="00984B6F" w:rsidP="00984B6F">
      <w:pPr>
        <w:pStyle w:val="H23G"/>
        <w:rPr>
          <w:lang w:val="en-US"/>
        </w:rPr>
      </w:pPr>
      <w:bookmarkStart w:id="265" w:name="_Toc307504154"/>
      <w:bookmarkStart w:id="266" w:name="_Toc336435926"/>
      <w:r w:rsidRPr="00222917">
        <w:rPr>
          <w:lang w:val="en-US"/>
        </w:rPr>
        <w:tab/>
      </w:r>
      <w:r w:rsidRPr="00222917">
        <w:rPr>
          <w:lang w:val="en-US"/>
        </w:rPr>
        <w:tab/>
      </w:r>
      <w:r w:rsidR="002D5BB0" w:rsidRPr="00222917">
        <w:rPr>
          <w:lang w:val="en-US"/>
        </w:rPr>
        <w:t>Guaranteeing Teachers’ Labor Rights</w:t>
      </w:r>
      <w:bookmarkEnd w:id="265"/>
      <w:bookmarkEnd w:id="266"/>
    </w:p>
    <w:p w:rsidR="002D5BB0" w:rsidRPr="00222917" w:rsidRDefault="00547908" w:rsidP="00547908">
      <w:pPr>
        <w:pStyle w:val="SingleTxtG"/>
        <w:rPr>
          <w:lang w:val="en-US"/>
        </w:rPr>
      </w:pPr>
      <w:r w:rsidRPr="00222917">
        <w:rPr>
          <w:lang w:val="en-US"/>
        </w:rPr>
        <w:t>315.</w:t>
      </w:r>
      <w:r w:rsidRPr="00222917">
        <w:rPr>
          <w:lang w:val="en-US"/>
        </w:rPr>
        <w:tab/>
      </w:r>
      <w:r w:rsidR="002D5BB0" w:rsidRPr="00222917">
        <w:rPr>
          <w:lang w:val="en-US"/>
        </w:rPr>
        <w:t xml:space="preserve">Enactment and implementation of the </w:t>
      </w:r>
      <w:r w:rsidR="002D5BB0" w:rsidRPr="000850F5">
        <w:rPr>
          <w:iCs/>
          <w:lang w:val="en-US"/>
        </w:rPr>
        <w:t xml:space="preserve">Act on the Establishment and Operation of Teachers’ Unions </w:t>
      </w:r>
      <w:r w:rsidR="002D5BB0" w:rsidRPr="00222917">
        <w:rPr>
          <w:lang w:val="en-US"/>
        </w:rPr>
        <w:t>are as stated in the third r</w:t>
      </w:r>
      <w:r w:rsidR="00984B6F" w:rsidRPr="00222917">
        <w:rPr>
          <w:lang w:val="en-US"/>
        </w:rPr>
        <w:t>eport (CCPR/C/KOR/2005/3, para. </w:t>
      </w:r>
      <w:r w:rsidR="002D5BB0" w:rsidRPr="00222917">
        <w:rPr>
          <w:lang w:val="en-US"/>
        </w:rPr>
        <w:t xml:space="preserve">318). </w:t>
      </w:r>
    </w:p>
    <w:p w:rsidR="002D5BB0" w:rsidRPr="00222917" w:rsidRDefault="00547908" w:rsidP="00547908">
      <w:pPr>
        <w:pStyle w:val="SingleTxtG"/>
        <w:rPr>
          <w:lang w:val="en-US"/>
        </w:rPr>
      </w:pPr>
      <w:r w:rsidRPr="00222917">
        <w:rPr>
          <w:lang w:val="en-US"/>
        </w:rPr>
        <w:t>316.</w:t>
      </w:r>
      <w:r w:rsidRPr="00222917">
        <w:rPr>
          <w:lang w:val="en-US"/>
        </w:rPr>
        <w:tab/>
      </w:r>
      <w:r w:rsidR="002D5BB0" w:rsidRPr="00222917">
        <w:rPr>
          <w:lang w:val="en-US"/>
        </w:rPr>
        <w:t xml:space="preserve">Teacher’s educational activities, unlike ordinary workers, are public service, requiring high ethical standards, neutrality, and professionalism, and the actual users of their services are the people, and a lockout upon a teachers’ strike is impossible. In this sense, their right to organize, and rights to collective bargaining and signing a collective agreement are protected, but their right to collective action is partly restricted. However, when a collective bargaining is broken off, either party or both parties may request mediation or arbitration to the National Labor Relations Commission, or the Labor Relations Conciliation Commission for Teachers, made up of the members representing the public interests, conducts conciliation and arbitration proceedings. Finalized compromise rulings become effective as a collective agreement, making up for the restrictions on the right to collective action. </w:t>
      </w:r>
    </w:p>
    <w:p w:rsidR="002D5BB0" w:rsidRPr="00222917" w:rsidRDefault="00547908" w:rsidP="00547908">
      <w:pPr>
        <w:pStyle w:val="SingleTxtG"/>
        <w:rPr>
          <w:lang w:val="en-US"/>
        </w:rPr>
      </w:pPr>
      <w:r w:rsidRPr="00222917">
        <w:rPr>
          <w:lang w:val="en-US"/>
        </w:rPr>
        <w:t>317.</w:t>
      </w:r>
      <w:r w:rsidRPr="00222917">
        <w:rPr>
          <w:lang w:val="en-US"/>
        </w:rPr>
        <w:tab/>
      </w:r>
      <w:r w:rsidR="002D5BB0" w:rsidRPr="00222917">
        <w:rPr>
          <w:lang w:val="en-US"/>
        </w:rPr>
        <w:t xml:space="preserve">On 8 July 2008, the Seoul Administrative Court ruled that teachers’ participation in a strike fighting for annual leaves by collectively taking an annual leave was an industrial action that did not fall under a justifiable exercise of the right to organize, which was permissible under the </w:t>
      </w:r>
      <w:r w:rsidR="002D5BB0" w:rsidRPr="000850F5">
        <w:rPr>
          <w:iCs/>
          <w:lang w:val="en-US"/>
        </w:rPr>
        <w:t>Act on the Establishment and Operation of Teachers’ Unions</w:t>
      </w:r>
      <w:r w:rsidR="002D5BB0" w:rsidRPr="00222917">
        <w:rPr>
          <w:lang w:val="en-US"/>
        </w:rPr>
        <w:t xml:space="preserve"> (2007 GU-HAP 35753). On 18 May 2006, it also ruled it justifiable to dismiss teachers who did not participate in managers’ meetings and morning assemblies, unlawfully entered the principal’s office and used abusive language, and wore vests of the Korean Teachers and Educational Workers’ Union (2005 GU-HAP 15250). </w:t>
      </w:r>
    </w:p>
    <w:p w:rsidR="002D5BB0" w:rsidRPr="003D6010" w:rsidRDefault="00984B6F" w:rsidP="00984B6F">
      <w:pPr>
        <w:pStyle w:val="HChG"/>
        <w:rPr>
          <w:sz w:val="24"/>
          <w:szCs w:val="24"/>
          <w:lang w:val="en-US"/>
        </w:rPr>
      </w:pPr>
      <w:bookmarkStart w:id="267" w:name="_Toc307504155"/>
      <w:bookmarkStart w:id="268" w:name="_Toc336435927"/>
      <w:r w:rsidRPr="00222917">
        <w:rPr>
          <w:lang w:val="en-US"/>
        </w:rPr>
        <w:tab/>
      </w:r>
      <w:r w:rsidRPr="00222917">
        <w:rPr>
          <w:lang w:val="en-US"/>
        </w:rPr>
        <w:tab/>
      </w:r>
      <w:r w:rsidR="002D5BB0" w:rsidRPr="003D6010">
        <w:rPr>
          <w:sz w:val="24"/>
          <w:szCs w:val="24"/>
          <w:lang w:val="en-US"/>
        </w:rPr>
        <w:t>Article 23</w:t>
      </w:r>
      <w:bookmarkEnd w:id="267"/>
      <w:bookmarkEnd w:id="268"/>
    </w:p>
    <w:p w:rsidR="002D5BB0" w:rsidRPr="00222917" w:rsidRDefault="00984B6F" w:rsidP="00984B6F">
      <w:pPr>
        <w:pStyle w:val="H1G"/>
        <w:rPr>
          <w:lang w:val="en-US"/>
        </w:rPr>
      </w:pPr>
      <w:bookmarkStart w:id="269" w:name="_Toc307504156"/>
      <w:bookmarkStart w:id="270" w:name="_Toc336435928"/>
      <w:r w:rsidRPr="00222917">
        <w:rPr>
          <w:lang w:val="en-US"/>
        </w:rPr>
        <w:tab/>
      </w:r>
      <w:r w:rsidRPr="00222917">
        <w:rPr>
          <w:lang w:val="en-US"/>
        </w:rPr>
        <w:tab/>
      </w:r>
      <w:r w:rsidR="002D5BB0" w:rsidRPr="00222917">
        <w:rPr>
          <w:lang w:val="en-US"/>
        </w:rPr>
        <w:t>Paragraph 1</w:t>
      </w:r>
      <w:bookmarkEnd w:id="269"/>
      <w:bookmarkEnd w:id="270"/>
    </w:p>
    <w:p w:rsidR="002D5BB0" w:rsidRPr="00222917" w:rsidRDefault="00984B6F" w:rsidP="00984B6F">
      <w:pPr>
        <w:pStyle w:val="H23G"/>
        <w:rPr>
          <w:lang w:val="en-US"/>
        </w:rPr>
      </w:pPr>
      <w:bookmarkStart w:id="271" w:name="_Toc307504157"/>
      <w:bookmarkStart w:id="272" w:name="_Toc336435929"/>
      <w:r w:rsidRPr="00222917">
        <w:rPr>
          <w:lang w:val="en-US"/>
        </w:rPr>
        <w:tab/>
      </w:r>
      <w:r w:rsidRPr="00222917">
        <w:rPr>
          <w:lang w:val="en-US"/>
        </w:rPr>
        <w:tab/>
      </w:r>
      <w:r w:rsidR="002D5BB0" w:rsidRPr="00222917">
        <w:rPr>
          <w:lang w:val="en-US"/>
        </w:rPr>
        <w:t>Expansion of Childcare Program Support</w:t>
      </w:r>
      <w:bookmarkEnd w:id="271"/>
      <w:bookmarkEnd w:id="272"/>
    </w:p>
    <w:p w:rsidR="002D5BB0" w:rsidRPr="00222917" w:rsidRDefault="00547908" w:rsidP="00547908">
      <w:pPr>
        <w:pStyle w:val="SingleTxtG"/>
        <w:rPr>
          <w:lang w:val="en-US"/>
        </w:rPr>
      </w:pPr>
      <w:r w:rsidRPr="00222917">
        <w:rPr>
          <w:lang w:val="en-US"/>
        </w:rPr>
        <w:t>318.</w:t>
      </w:r>
      <w:r w:rsidRPr="00222917">
        <w:rPr>
          <w:lang w:val="en-US"/>
        </w:rPr>
        <w:tab/>
      </w:r>
      <w:r w:rsidR="002D5BB0" w:rsidRPr="00222917">
        <w:rPr>
          <w:lang w:val="en-US"/>
        </w:rPr>
        <w:t xml:space="preserve">To expand childcare program support, the Government is establishing an additional 80 national and public nursery facilities every year in agricultural and fishing villages and low-income regions, which private facilities avoid. Such support is rendered in many ways including purchases of private nursery facilities, utilization of idle classrooms, and remodeling of public institutions such as community centers and community service centers. For agricultural and fishing villages where nursery facilities are not available, small nursery facilities are set up in consideration of regional circumstances. </w:t>
      </w:r>
    </w:p>
    <w:p w:rsidR="002D5BB0" w:rsidRPr="00222917" w:rsidRDefault="00984B6F" w:rsidP="00984B6F">
      <w:pPr>
        <w:pStyle w:val="H23G"/>
        <w:rPr>
          <w:b w:val="0"/>
          <w:sz w:val="16"/>
          <w:szCs w:val="16"/>
          <w:lang w:val="en-US"/>
        </w:rPr>
      </w:pPr>
      <w:r w:rsidRPr="00222917">
        <w:rPr>
          <w:lang w:val="en-US"/>
        </w:rPr>
        <w:tab/>
      </w:r>
      <w:r w:rsidRPr="00222917">
        <w:rPr>
          <w:lang w:val="en-US"/>
        </w:rPr>
        <w:tab/>
      </w:r>
      <w:r w:rsidR="002D5BB0" w:rsidRPr="00222917">
        <w:rPr>
          <w:lang w:val="en-US"/>
        </w:rPr>
        <w:t>Establishment and Utilization of Childcare Facilities</w:t>
      </w:r>
      <w:r w:rsidRPr="00222917">
        <w:rPr>
          <w:lang w:val="en-US"/>
        </w:rPr>
        <w:br/>
      </w:r>
      <w:r w:rsidR="002D5BB0" w:rsidRPr="00222917">
        <w:rPr>
          <w:b w:val="0"/>
          <w:sz w:val="16"/>
          <w:szCs w:val="16"/>
          <w:lang w:val="en-US"/>
        </w:rPr>
        <w:t xml:space="preserve">(As of the end of 2010; number of facilities; persons) </w:t>
      </w:r>
    </w:p>
    <w:tbl>
      <w:tblPr>
        <w:tblW w:w="0" w:type="auto"/>
        <w:tblInd w:w="1134" w:type="dxa"/>
        <w:tblBorders>
          <w:top w:val="single" w:sz="4" w:space="0" w:color="auto"/>
        </w:tblBorders>
        <w:tblLayout w:type="fixed"/>
        <w:tblCellMar>
          <w:left w:w="0" w:type="dxa"/>
          <w:right w:w="0" w:type="dxa"/>
        </w:tblCellMar>
        <w:tblLook w:val="00A0"/>
      </w:tblPr>
      <w:tblGrid>
        <w:gridCol w:w="1418"/>
        <w:gridCol w:w="851"/>
        <w:gridCol w:w="851"/>
        <w:gridCol w:w="851"/>
        <w:gridCol w:w="851"/>
        <w:gridCol w:w="851"/>
        <w:gridCol w:w="851"/>
        <w:gridCol w:w="851"/>
      </w:tblGrid>
      <w:tr w:rsidR="008F6543" w:rsidRPr="00222917" w:rsidTr="00D50C05">
        <w:trPr>
          <w:tblHeader/>
        </w:trPr>
        <w:tc>
          <w:tcPr>
            <w:tcW w:w="141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D5BB0" w:rsidRPr="00222917" w:rsidRDefault="002D5BB0" w:rsidP="00D50C05">
            <w:pPr>
              <w:pStyle w:val="SingleTxtG"/>
              <w:suppressAutoHyphens w:val="0"/>
              <w:spacing w:before="80" w:after="80" w:line="200" w:lineRule="exact"/>
              <w:ind w:left="0" w:right="0"/>
              <w:jc w:val="left"/>
              <w:rPr>
                <w:i/>
                <w:sz w:val="16"/>
                <w:lang w:val="en-US"/>
              </w:rPr>
            </w:pPr>
            <w:r w:rsidRPr="00222917">
              <w:rPr>
                <w:bCs/>
                <w:i/>
                <w:sz w:val="16"/>
                <w:lang w:val="en-US"/>
              </w:rPr>
              <w:t>Description</w:t>
            </w:r>
          </w:p>
        </w:tc>
        <w:tc>
          <w:tcPr>
            <w:tcW w:w="851"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D5BB0" w:rsidRPr="00222917" w:rsidRDefault="002D5BB0" w:rsidP="00D50C05">
            <w:pPr>
              <w:pStyle w:val="SingleTxtG"/>
              <w:suppressAutoHyphens w:val="0"/>
              <w:spacing w:before="80" w:after="80" w:line="200" w:lineRule="exact"/>
              <w:ind w:left="0" w:right="0"/>
              <w:jc w:val="right"/>
              <w:rPr>
                <w:b/>
                <w:i/>
                <w:sz w:val="16"/>
                <w:lang w:val="en-US"/>
              </w:rPr>
            </w:pPr>
            <w:r w:rsidRPr="00222917">
              <w:rPr>
                <w:b/>
                <w:bCs/>
                <w:i/>
                <w:sz w:val="16"/>
                <w:lang w:val="en-US"/>
              </w:rPr>
              <w:t>Total</w:t>
            </w:r>
          </w:p>
        </w:tc>
        <w:tc>
          <w:tcPr>
            <w:tcW w:w="851"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D5BB0" w:rsidRPr="00222917" w:rsidRDefault="002D5BB0" w:rsidP="00D50C05">
            <w:pPr>
              <w:pStyle w:val="SingleTxtG"/>
              <w:suppressAutoHyphens w:val="0"/>
              <w:spacing w:before="80" w:after="80" w:line="200" w:lineRule="exact"/>
              <w:ind w:left="0" w:right="0"/>
              <w:jc w:val="right"/>
              <w:rPr>
                <w:i/>
                <w:sz w:val="16"/>
                <w:lang w:val="en-US"/>
              </w:rPr>
            </w:pPr>
            <w:r w:rsidRPr="00222917">
              <w:rPr>
                <w:bCs/>
                <w:i/>
                <w:sz w:val="16"/>
                <w:lang w:val="en-US"/>
              </w:rPr>
              <w:t xml:space="preserve">National </w:t>
            </w:r>
            <w:r w:rsidR="00D50C05" w:rsidRPr="00222917">
              <w:rPr>
                <w:bCs/>
                <w:i/>
                <w:sz w:val="16"/>
                <w:lang w:val="en-US"/>
              </w:rPr>
              <w:br/>
            </w:r>
            <w:r w:rsidRPr="00222917">
              <w:rPr>
                <w:bCs/>
                <w:i/>
                <w:sz w:val="16"/>
                <w:lang w:val="en-US"/>
              </w:rPr>
              <w:t>and public</w:t>
            </w:r>
          </w:p>
        </w:tc>
        <w:tc>
          <w:tcPr>
            <w:tcW w:w="851"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D5BB0" w:rsidRPr="00222917" w:rsidRDefault="002D5BB0" w:rsidP="00D50C05">
            <w:pPr>
              <w:pStyle w:val="SingleTxtG"/>
              <w:suppressAutoHyphens w:val="0"/>
              <w:spacing w:before="80" w:after="80" w:line="200" w:lineRule="exact"/>
              <w:ind w:left="0" w:right="0"/>
              <w:jc w:val="right"/>
              <w:rPr>
                <w:i/>
                <w:sz w:val="16"/>
                <w:lang w:val="en-US"/>
              </w:rPr>
            </w:pPr>
            <w:r w:rsidRPr="00222917">
              <w:rPr>
                <w:bCs/>
                <w:i/>
                <w:sz w:val="16"/>
                <w:lang w:val="en-US"/>
              </w:rPr>
              <w:t>Corporation</w:t>
            </w:r>
          </w:p>
        </w:tc>
        <w:tc>
          <w:tcPr>
            <w:tcW w:w="851"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D5BB0" w:rsidRPr="00222917" w:rsidRDefault="002D5BB0" w:rsidP="00D50C05">
            <w:pPr>
              <w:pStyle w:val="SingleTxtG"/>
              <w:suppressAutoHyphens w:val="0"/>
              <w:spacing w:before="80" w:after="80" w:line="200" w:lineRule="exact"/>
              <w:ind w:left="0" w:right="0"/>
              <w:jc w:val="right"/>
              <w:rPr>
                <w:i/>
                <w:sz w:val="16"/>
                <w:lang w:val="en-US"/>
              </w:rPr>
            </w:pPr>
            <w:r w:rsidRPr="00222917">
              <w:rPr>
                <w:bCs/>
                <w:i/>
                <w:sz w:val="16"/>
                <w:lang w:val="en-US"/>
              </w:rPr>
              <w:t>Private nursery</w:t>
            </w:r>
          </w:p>
        </w:tc>
        <w:tc>
          <w:tcPr>
            <w:tcW w:w="851"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D5BB0" w:rsidRPr="00222917" w:rsidRDefault="002D5BB0" w:rsidP="00D50C05">
            <w:pPr>
              <w:pStyle w:val="SingleTxtG"/>
              <w:suppressAutoHyphens w:val="0"/>
              <w:spacing w:before="80" w:after="80" w:line="200" w:lineRule="exact"/>
              <w:ind w:left="0" w:right="0"/>
              <w:jc w:val="right"/>
              <w:rPr>
                <w:i/>
                <w:sz w:val="16"/>
                <w:lang w:val="en-US"/>
              </w:rPr>
            </w:pPr>
            <w:r w:rsidRPr="00222917">
              <w:rPr>
                <w:bCs/>
                <w:i/>
                <w:sz w:val="16"/>
                <w:lang w:val="en-US"/>
              </w:rPr>
              <w:t>Home nursery</w:t>
            </w:r>
          </w:p>
        </w:tc>
        <w:tc>
          <w:tcPr>
            <w:tcW w:w="851"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D5BB0" w:rsidRPr="00222917" w:rsidRDefault="002D5BB0" w:rsidP="00D50C05">
            <w:pPr>
              <w:pStyle w:val="SingleTxtG"/>
              <w:suppressAutoHyphens w:val="0"/>
              <w:spacing w:before="80" w:after="80" w:line="200" w:lineRule="exact"/>
              <w:ind w:left="0" w:right="0"/>
              <w:jc w:val="right"/>
              <w:rPr>
                <w:i/>
                <w:sz w:val="16"/>
                <w:lang w:val="en-US"/>
              </w:rPr>
            </w:pPr>
            <w:r w:rsidRPr="00222917">
              <w:rPr>
                <w:bCs/>
                <w:i/>
                <w:sz w:val="16"/>
                <w:lang w:val="en-US"/>
              </w:rPr>
              <w:t>Parents</w:t>
            </w:r>
          </w:p>
        </w:tc>
        <w:tc>
          <w:tcPr>
            <w:tcW w:w="851"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D5BB0" w:rsidRPr="00222917" w:rsidRDefault="002D5BB0" w:rsidP="00D50C05">
            <w:pPr>
              <w:pStyle w:val="SingleTxtG"/>
              <w:suppressAutoHyphens w:val="0"/>
              <w:spacing w:before="80" w:after="80" w:line="200" w:lineRule="exact"/>
              <w:ind w:left="0" w:right="0"/>
              <w:jc w:val="right"/>
              <w:rPr>
                <w:i/>
                <w:sz w:val="16"/>
                <w:lang w:val="en-US"/>
              </w:rPr>
            </w:pPr>
            <w:r w:rsidRPr="00222917">
              <w:rPr>
                <w:bCs/>
                <w:i/>
                <w:sz w:val="16"/>
                <w:lang w:val="en-US"/>
              </w:rPr>
              <w:t>Work</w:t>
            </w:r>
          </w:p>
        </w:tc>
      </w:tr>
      <w:tr w:rsidR="008F6543" w:rsidRPr="00222917" w:rsidTr="00D50C05">
        <w:tc>
          <w:tcPr>
            <w:tcW w:w="1418" w:type="dxa"/>
            <w:tcBorders>
              <w:top w:val="single" w:sz="12" w:space="0" w:color="auto"/>
            </w:tcBorders>
            <w:shd w:val="clear" w:color="auto" w:fill="auto"/>
            <w:tcMar>
              <w:top w:w="0" w:type="dxa"/>
              <w:left w:w="0" w:type="dxa"/>
              <w:bottom w:w="0" w:type="dxa"/>
              <w:right w:w="0" w:type="dxa"/>
            </w:tcMar>
          </w:tcPr>
          <w:p w:rsidR="002D5BB0" w:rsidRPr="00222917" w:rsidRDefault="002D5BB0" w:rsidP="00D50C05">
            <w:pPr>
              <w:pStyle w:val="SingleTxtG"/>
              <w:suppressAutoHyphens w:val="0"/>
              <w:spacing w:before="40" w:after="40" w:line="220" w:lineRule="exact"/>
              <w:ind w:left="0" w:right="0"/>
              <w:jc w:val="left"/>
              <w:rPr>
                <w:sz w:val="18"/>
                <w:lang w:val="en-US"/>
              </w:rPr>
            </w:pPr>
            <w:r w:rsidRPr="00222917">
              <w:rPr>
                <w:sz w:val="18"/>
                <w:lang w:val="en-US"/>
              </w:rPr>
              <w:t>Number of</w:t>
            </w:r>
            <w:r w:rsidR="00D50C05" w:rsidRPr="00222917">
              <w:rPr>
                <w:sz w:val="18"/>
                <w:lang w:val="en-US"/>
              </w:rPr>
              <w:t> </w:t>
            </w:r>
            <w:r w:rsidRPr="00222917">
              <w:rPr>
                <w:sz w:val="18"/>
                <w:lang w:val="en-US"/>
              </w:rPr>
              <w:t>facilities (%)</w:t>
            </w:r>
          </w:p>
        </w:tc>
        <w:tc>
          <w:tcPr>
            <w:tcW w:w="851" w:type="dxa"/>
            <w:tcBorders>
              <w:top w:val="single" w:sz="12" w:space="0" w:color="auto"/>
            </w:tcBorders>
            <w:shd w:val="clear" w:color="auto" w:fill="auto"/>
            <w:tcMar>
              <w:top w:w="0" w:type="dxa"/>
              <w:left w:w="0" w:type="dxa"/>
              <w:bottom w:w="0" w:type="dxa"/>
              <w:right w:w="0" w:type="dxa"/>
            </w:tcMar>
            <w:vAlign w:val="bottom"/>
          </w:tcPr>
          <w:p w:rsidR="002D5BB0" w:rsidRPr="00222917" w:rsidRDefault="002D5BB0" w:rsidP="00D50C05">
            <w:pPr>
              <w:pStyle w:val="SingleTxtG"/>
              <w:suppressAutoHyphens w:val="0"/>
              <w:spacing w:before="40" w:after="40" w:line="220" w:lineRule="exact"/>
              <w:ind w:left="0" w:right="0"/>
              <w:jc w:val="right"/>
              <w:rPr>
                <w:b/>
                <w:sz w:val="18"/>
                <w:lang w:val="en-US"/>
              </w:rPr>
            </w:pPr>
            <w:r w:rsidRPr="00222917">
              <w:rPr>
                <w:b/>
                <w:bCs/>
                <w:sz w:val="18"/>
                <w:lang w:val="en-US"/>
              </w:rPr>
              <w:t>38,021</w:t>
            </w:r>
          </w:p>
          <w:p w:rsidR="002D5BB0" w:rsidRPr="00222917" w:rsidRDefault="002D5BB0" w:rsidP="00D50C05">
            <w:pPr>
              <w:pStyle w:val="SingleTxtG"/>
              <w:suppressAutoHyphens w:val="0"/>
              <w:spacing w:before="40" w:after="40" w:line="220" w:lineRule="exact"/>
              <w:ind w:left="0" w:right="0"/>
              <w:jc w:val="right"/>
              <w:rPr>
                <w:b/>
                <w:sz w:val="18"/>
                <w:lang w:val="en-US"/>
              </w:rPr>
            </w:pPr>
            <w:r w:rsidRPr="00222917">
              <w:rPr>
                <w:b/>
                <w:sz w:val="18"/>
                <w:lang w:val="en-US"/>
              </w:rPr>
              <w:t>(100)</w:t>
            </w:r>
          </w:p>
        </w:tc>
        <w:tc>
          <w:tcPr>
            <w:tcW w:w="851" w:type="dxa"/>
            <w:tcBorders>
              <w:top w:val="single" w:sz="12" w:space="0" w:color="auto"/>
            </w:tcBorders>
            <w:shd w:val="clear" w:color="auto" w:fill="auto"/>
            <w:tcMar>
              <w:top w:w="0" w:type="dxa"/>
              <w:left w:w="0" w:type="dxa"/>
              <w:bottom w:w="0" w:type="dxa"/>
              <w:right w:w="0" w:type="dxa"/>
            </w:tcMar>
            <w:vAlign w:val="bottom"/>
          </w:tcPr>
          <w:p w:rsidR="002D5BB0" w:rsidRPr="00222917" w:rsidRDefault="002D5BB0" w:rsidP="00D50C05">
            <w:pPr>
              <w:pStyle w:val="SingleTxtG"/>
              <w:suppressAutoHyphens w:val="0"/>
              <w:spacing w:before="40" w:after="40" w:line="220" w:lineRule="exact"/>
              <w:ind w:left="0" w:right="0"/>
              <w:jc w:val="right"/>
              <w:rPr>
                <w:sz w:val="18"/>
                <w:lang w:val="en-US"/>
              </w:rPr>
            </w:pPr>
            <w:r w:rsidRPr="00222917">
              <w:rPr>
                <w:sz w:val="18"/>
                <w:lang w:val="en-US"/>
              </w:rPr>
              <w:t>2,034</w:t>
            </w:r>
          </w:p>
          <w:p w:rsidR="002D5BB0" w:rsidRPr="00222917" w:rsidRDefault="002D5BB0" w:rsidP="00D50C05">
            <w:pPr>
              <w:pStyle w:val="SingleTxtG"/>
              <w:suppressAutoHyphens w:val="0"/>
              <w:spacing w:before="40" w:after="40" w:line="220" w:lineRule="exact"/>
              <w:ind w:left="0" w:right="0"/>
              <w:jc w:val="right"/>
              <w:rPr>
                <w:sz w:val="18"/>
                <w:lang w:val="en-US"/>
              </w:rPr>
            </w:pPr>
            <w:r w:rsidRPr="00222917">
              <w:rPr>
                <w:sz w:val="18"/>
                <w:lang w:val="en-US"/>
              </w:rPr>
              <w:t>(5.3)</w:t>
            </w:r>
          </w:p>
        </w:tc>
        <w:tc>
          <w:tcPr>
            <w:tcW w:w="851" w:type="dxa"/>
            <w:tcBorders>
              <w:top w:val="single" w:sz="12" w:space="0" w:color="auto"/>
            </w:tcBorders>
            <w:shd w:val="clear" w:color="auto" w:fill="auto"/>
            <w:tcMar>
              <w:top w:w="0" w:type="dxa"/>
              <w:left w:w="0" w:type="dxa"/>
              <w:bottom w:w="0" w:type="dxa"/>
              <w:right w:w="0" w:type="dxa"/>
            </w:tcMar>
            <w:vAlign w:val="bottom"/>
          </w:tcPr>
          <w:p w:rsidR="002D5BB0" w:rsidRPr="00222917" w:rsidRDefault="002D5BB0" w:rsidP="00D50C05">
            <w:pPr>
              <w:pStyle w:val="SingleTxtG"/>
              <w:suppressAutoHyphens w:val="0"/>
              <w:spacing w:before="40" w:after="40" w:line="220" w:lineRule="exact"/>
              <w:ind w:left="0" w:right="0"/>
              <w:jc w:val="right"/>
              <w:rPr>
                <w:sz w:val="18"/>
                <w:lang w:val="en-US"/>
              </w:rPr>
            </w:pPr>
            <w:r w:rsidRPr="00222917">
              <w:rPr>
                <w:sz w:val="18"/>
                <w:lang w:val="en-US"/>
              </w:rPr>
              <w:t>1,468</w:t>
            </w:r>
          </w:p>
          <w:p w:rsidR="002D5BB0" w:rsidRPr="00222917" w:rsidRDefault="002D5BB0" w:rsidP="00D50C05">
            <w:pPr>
              <w:pStyle w:val="SingleTxtG"/>
              <w:suppressAutoHyphens w:val="0"/>
              <w:spacing w:before="40" w:after="40" w:line="220" w:lineRule="exact"/>
              <w:ind w:left="0" w:right="0"/>
              <w:jc w:val="right"/>
              <w:rPr>
                <w:sz w:val="18"/>
                <w:lang w:val="en-US"/>
              </w:rPr>
            </w:pPr>
            <w:r w:rsidRPr="00222917">
              <w:rPr>
                <w:sz w:val="18"/>
                <w:lang w:val="en-US"/>
              </w:rPr>
              <w:t>(3.9)</w:t>
            </w:r>
          </w:p>
        </w:tc>
        <w:tc>
          <w:tcPr>
            <w:tcW w:w="851" w:type="dxa"/>
            <w:tcBorders>
              <w:top w:val="single" w:sz="12" w:space="0" w:color="auto"/>
            </w:tcBorders>
            <w:shd w:val="clear" w:color="auto" w:fill="auto"/>
            <w:tcMar>
              <w:top w:w="0" w:type="dxa"/>
              <w:left w:w="0" w:type="dxa"/>
              <w:bottom w:w="0" w:type="dxa"/>
              <w:right w:w="0" w:type="dxa"/>
            </w:tcMar>
            <w:vAlign w:val="bottom"/>
          </w:tcPr>
          <w:p w:rsidR="002D5BB0" w:rsidRPr="00222917" w:rsidRDefault="002D5BB0" w:rsidP="00D50C05">
            <w:pPr>
              <w:pStyle w:val="SingleTxtG"/>
              <w:suppressAutoHyphens w:val="0"/>
              <w:spacing w:before="40" w:after="40" w:line="220" w:lineRule="exact"/>
              <w:ind w:left="0" w:right="0"/>
              <w:jc w:val="right"/>
              <w:rPr>
                <w:sz w:val="18"/>
                <w:lang w:val="en-US"/>
              </w:rPr>
            </w:pPr>
            <w:r w:rsidRPr="00222917">
              <w:rPr>
                <w:sz w:val="18"/>
                <w:lang w:val="en-US"/>
              </w:rPr>
              <w:t>14,677</w:t>
            </w:r>
          </w:p>
          <w:p w:rsidR="002D5BB0" w:rsidRPr="00222917" w:rsidRDefault="002D5BB0" w:rsidP="00D50C05">
            <w:pPr>
              <w:pStyle w:val="SingleTxtG"/>
              <w:suppressAutoHyphens w:val="0"/>
              <w:spacing w:before="40" w:after="40" w:line="220" w:lineRule="exact"/>
              <w:ind w:left="0" w:right="0"/>
              <w:jc w:val="right"/>
              <w:rPr>
                <w:sz w:val="18"/>
                <w:lang w:val="en-US"/>
              </w:rPr>
            </w:pPr>
            <w:r w:rsidRPr="00222917">
              <w:rPr>
                <w:sz w:val="18"/>
                <w:lang w:val="en-US"/>
              </w:rPr>
              <w:t>(38.6)</w:t>
            </w:r>
          </w:p>
        </w:tc>
        <w:tc>
          <w:tcPr>
            <w:tcW w:w="851" w:type="dxa"/>
            <w:tcBorders>
              <w:top w:val="single" w:sz="12" w:space="0" w:color="auto"/>
            </w:tcBorders>
            <w:shd w:val="clear" w:color="auto" w:fill="auto"/>
            <w:tcMar>
              <w:top w:w="0" w:type="dxa"/>
              <w:left w:w="0" w:type="dxa"/>
              <w:bottom w:w="0" w:type="dxa"/>
              <w:right w:w="0" w:type="dxa"/>
            </w:tcMar>
            <w:vAlign w:val="bottom"/>
          </w:tcPr>
          <w:p w:rsidR="002D5BB0" w:rsidRPr="00222917" w:rsidRDefault="002D5BB0" w:rsidP="00D50C05">
            <w:pPr>
              <w:pStyle w:val="SingleTxtG"/>
              <w:suppressAutoHyphens w:val="0"/>
              <w:spacing w:before="40" w:after="40" w:line="220" w:lineRule="exact"/>
              <w:ind w:left="0" w:right="0"/>
              <w:jc w:val="right"/>
              <w:rPr>
                <w:sz w:val="18"/>
                <w:lang w:val="en-US"/>
              </w:rPr>
            </w:pPr>
            <w:r w:rsidRPr="00222917">
              <w:rPr>
                <w:sz w:val="18"/>
                <w:lang w:val="en-US"/>
              </w:rPr>
              <w:t>19,367</w:t>
            </w:r>
          </w:p>
          <w:p w:rsidR="002D5BB0" w:rsidRPr="00222917" w:rsidRDefault="002D5BB0" w:rsidP="00D50C05">
            <w:pPr>
              <w:pStyle w:val="SingleTxtG"/>
              <w:suppressAutoHyphens w:val="0"/>
              <w:spacing w:before="40" w:after="40" w:line="220" w:lineRule="exact"/>
              <w:ind w:left="0" w:right="0"/>
              <w:jc w:val="right"/>
              <w:rPr>
                <w:sz w:val="18"/>
                <w:lang w:val="en-US"/>
              </w:rPr>
            </w:pPr>
            <w:r w:rsidRPr="00222917">
              <w:rPr>
                <w:sz w:val="18"/>
                <w:lang w:val="en-US"/>
              </w:rPr>
              <w:t>(51)</w:t>
            </w:r>
          </w:p>
        </w:tc>
        <w:tc>
          <w:tcPr>
            <w:tcW w:w="851" w:type="dxa"/>
            <w:tcBorders>
              <w:top w:val="single" w:sz="12" w:space="0" w:color="auto"/>
            </w:tcBorders>
            <w:shd w:val="clear" w:color="auto" w:fill="auto"/>
            <w:tcMar>
              <w:top w:w="0" w:type="dxa"/>
              <w:left w:w="0" w:type="dxa"/>
              <w:bottom w:w="0" w:type="dxa"/>
              <w:right w:w="0" w:type="dxa"/>
            </w:tcMar>
            <w:vAlign w:val="bottom"/>
          </w:tcPr>
          <w:p w:rsidR="002D5BB0" w:rsidRPr="00222917" w:rsidRDefault="002D5BB0" w:rsidP="00D50C05">
            <w:pPr>
              <w:pStyle w:val="SingleTxtG"/>
              <w:suppressAutoHyphens w:val="0"/>
              <w:spacing w:before="40" w:after="40" w:line="220" w:lineRule="exact"/>
              <w:ind w:left="0" w:right="0"/>
              <w:jc w:val="right"/>
              <w:rPr>
                <w:sz w:val="18"/>
                <w:lang w:val="en-US"/>
              </w:rPr>
            </w:pPr>
            <w:r w:rsidRPr="00222917">
              <w:rPr>
                <w:sz w:val="18"/>
                <w:lang w:val="en-US"/>
              </w:rPr>
              <w:t>74</w:t>
            </w:r>
          </w:p>
          <w:p w:rsidR="002D5BB0" w:rsidRPr="00222917" w:rsidRDefault="002D5BB0" w:rsidP="00D50C05">
            <w:pPr>
              <w:pStyle w:val="SingleTxtG"/>
              <w:suppressAutoHyphens w:val="0"/>
              <w:spacing w:before="40" w:after="40" w:line="220" w:lineRule="exact"/>
              <w:ind w:left="0" w:right="0"/>
              <w:jc w:val="right"/>
              <w:rPr>
                <w:sz w:val="18"/>
                <w:lang w:val="en-US"/>
              </w:rPr>
            </w:pPr>
            <w:r w:rsidRPr="00222917">
              <w:rPr>
                <w:sz w:val="18"/>
                <w:lang w:val="en-US"/>
              </w:rPr>
              <w:t>(0.2)</w:t>
            </w:r>
          </w:p>
        </w:tc>
        <w:tc>
          <w:tcPr>
            <w:tcW w:w="851" w:type="dxa"/>
            <w:tcBorders>
              <w:top w:val="single" w:sz="12" w:space="0" w:color="auto"/>
            </w:tcBorders>
            <w:shd w:val="clear" w:color="auto" w:fill="auto"/>
            <w:tcMar>
              <w:top w:w="0" w:type="dxa"/>
              <w:left w:w="0" w:type="dxa"/>
              <w:bottom w:w="0" w:type="dxa"/>
              <w:right w:w="0" w:type="dxa"/>
            </w:tcMar>
            <w:vAlign w:val="bottom"/>
          </w:tcPr>
          <w:p w:rsidR="002D5BB0" w:rsidRPr="00222917" w:rsidRDefault="002D5BB0" w:rsidP="00D50C05">
            <w:pPr>
              <w:pStyle w:val="SingleTxtG"/>
              <w:suppressAutoHyphens w:val="0"/>
              <w:spacing w:before="40" w:after="40" w:line="220" w:lineRule="exact"/>
              <w:ind w:left="0" w:right="0"/>
              <w:jc w:val="right"/>
              <w:rPr>
                <w:sz w:val="18"/>
                <w:lang w:val="en-US"/>
              </w:rPr>
            </w:pPr>
            <w:r w:rsidRPr="00222917">
              <w:rPr>
                <w:sz w:val="18"/>
                <w:lang w:val="en-US"/>
              </w:rPr>
              <w:t>401</w:t>
            </w:r>
          </w:p>
          <w:p w:rsidR="002D5BB0" w:rsidRPr="00222917" w:rsidRDefault="002D5BB0" w:rsidP="00D50C05">
            <w:pPr>
              <w:pStyle w:val="SingleTxtG"/>
              <w:suppressAutoHyphens w:val="0"/>
              <w:spacing w:before="40" w:after="40" w:line="220" w:lineRule="exact"/>
              <w:ind w:left="0" w:right="0"/>
              <w:jc w:val="right"/>
              <w:rPr>
                <w:sz w:val="18"/>
                <w:lang w:val="en-US"/>
              </w:rPr>
            </w:pPr>
            <w:r w:rsidRPr="00222917">
              <w:rPr>
                <w:sz w:val="18"/>
                <w:lang w:val="en-US"/>
              </w:rPr>
              <w:t>(1.1)</w:t>
            </w:r>
          </w:p>
        </w:tc>
      </w:tr>
      <w:tr w:rsidR="008F6543" w:rsidRPr="00222917" w:rsidTr="00D50C05">
        <w:tc>
          <w:tcPr>
            <w:tcW w:w="1418" w:type="dxa"/>
            <w:tcBorders>
              <w:bottom w:val="single" w:sz="12" w:space="0" w:color="auto"/>
            </w:tcBorders>
            <w:shd w:val="clear" w:color="auto" w:fill="auto"/>
            <w:tcMar>
              <w:top w:w="0" w:type="dxa"/>
              <w:left w:w="0" w:type="dxa"/>
              <w:bottom w:w="0" w:type="dxa"/>
              <w:right w:w="0" w:type="dxa"/>
            </w:tcMar>
          </w:tcPr>
          <w:p w:rsidR="002D5BB0" w:rsidRPr="00222917" w:rsidRDefault="002D5BB0" w:rsidP="00D50C05">
            <w:pPr>
              <w:pStyle w:val="SingleTxtG"/>
              <w:suppressAutoHyphens w:val="0"/>
              <w:spacing w:before="40" w:after="40" w:line="220" w:lineRule="exact"/>
              <w:ind w:left="0" w:right="0"/>
              <w:jc w:val="left"/>
              <w:rPr>
                <w:sz w:val="18"/>
                <w:lang w:val="en-US"/>
              </w:rPr>
            </w:pPr>
            <w:r w:rsidRPr="00222917">
              <w:rPr>
                <w:sz w:val="18"/>
                <w:lang w:val="en-US"/>
              </w:rPr>
              <w:t>Number of</w:t>
            </w:r>
            <w:r w:rsidR="00D50C05" w:rsidRPr="00222917">
              <w:rPr>
                <w:sz w:val="18"/>
                <w:lang w:val="en-US"/>
              </w:rPr>
              <w:t> </w:t>
            </w:r>
            <w:r w:rsidRPr="00222917">
              <w:rPr>
                <w:sz w:val="18"/>
                <w:lang w:val="en-US"/>
              </w:rPr>
              <w:t>children</w:t>
            </w:r>
          </w:p>
          <w:p w:rsidR="002D5BB0" w:rsidRPr="00222917" w:rsidRDefault="002D5BB0" w:rsidP="00D50C05">
            <w:pPr>
              <w:pStyle w:val="SingleTxtG"/>
              <w:suppressAutoHyphens w:val="0"/>
              <w:spacing w:before="40" w:after="40" w:line="220" w:lineRule="exact"/>
              <w:ind w:left="0" w:right="0"/>
              <w:jc w:val="left"/>
              <w:rPr>
                <w:sz w:val="18"/>
                <w:lang w:val="en-US"/>
              </w:rPr>
            </w:pPr>
            <w:r w:rsidRPr="00222917">
              <w:rPr>
                <w:sz w:val="18"/>
                <w:lang w:val="en-US"/>
              </w:rPr>
              <w:t>(1,000 persons, %)</w:t>
            </w:r>
          </w:p>
        </w:tc>
        <w:tc>
          <w:tcPr>
            <w:tcW w:w="851" w:type="dxa"/>
            <w:tcBorders>
              <w:bottom w:val="single" w:sz="12" w:space="0" w:color="auto"/>
            </w:tcBorders>
            <w:shd w:val="clear" w:color="auto" w:fill="auto"/>
            <w:tcMar>
              <w:top w:w="0" w:type="dxa"/>
              <w:left w:w="0" w:type="dxa"/>
              <w:bottom w:w="0" w:type="dxa"/>
              <w:right w:w="0" w:type="dxa"/>
            </w:tcMar>
            <w:vAlign w:val="bottom"/>
          </w:tcPr>
          <w:p w:rsidR="002D5BB0" w:rsidRPr="00222917" w:rsidRDefault="002D5BB0" w:rsidP="00D50C05">
            <w:pPr>
              <w:pStyle w:val="SingleTxtG"/>
              <w:suppressAutoHyphens w:val="0"/>
              <w:spacing w:before="40" w:after="40" w:line="220" w:lineRule="exact"/>
              <w:ind w:left="0" w:right="0"/>
              <w:jc w:val="right"/>
              <w:rPr>
                <w:b/>
                <w:sz w:val="18"/>
                <w:lang w:val="en-US"/>
              </w:rPr>
            </w:pPr>
            <w:r w:rsidRPr="00222917">
              <w:rPr>
                <w:b/>
                <w:bCs/>
                <w:sz w:val="18"/>
                <w:lang w:val="en-US"/>
              </w:rPr>
              <w:t>1,280</w:t>
            </w:r>
          </w:p>
          <w:p w:rsidR="002D5BB0" w:rsidRPr="00222917" w:rsidRDefault="002D5BB0" w:rsidP="00D50C05">
            <w:pPr>
              <w:pStyle w:val="SingleTxtG"/>
              <w:suppressAutoHyphens w:val="0"/>
              <w:spacing w:before="40" w:after="40" w:line="220" w:lineRule="exact"/>
              <w:ind w:left="0" w:right="0"/>
              <w:jc w:val="right"/>
              <w:rPr>
                <w:b/>
                <w:sz w:val="18"/>
                <w:lang w:val="en-US"/>
              </w:rPr>
            </w:pPr>
            <w:r w:rsidRPr="00222917">
              <w:rPr>
                <w:b/>
                <w:sz w:val="18"/>
                <w:lang w:val="en-US"/>
              </w:rPr>
              <w:t>(100)</w:t>
            </w:r>
          </w:p>
        </w:tc>
        <w:tc>
          <w:tcPr>
            <w:tcW w:w="851" w:type="dxa"/>
            <w:tcBorders>
              <w:bottom w:val="single" w:sz="12" w:space="0" w:color="auto"/>
            </w:tcBorders>
            <w:shd w:val="clear" w:color="auto" w:fill="auto"/>
            <w:tcMar>
              <w:top w:w="0" w:type="dxa"/>
              <w:left w:w="0" w:type="dxa"/>
              <w:bottom w:w="0" w:type="dxa"/>
              <w:right w:w="0" w:type="dxa"/>
            </w:tcMar>
            <w:vAlign w:val="bottom"/>
          </w:tcPr>
          <w:p w:rsidR="002D5BB0" w:rsidRPr="00222917" w:rsidRDefault="002D5BB0" w:rsidP="00D50C05">
            <w:pPr>
              <w:pStyle w:val="SingleTxtG"/>
              <w:suppressAutoHyphens w:val="0"/>
              <w:spacing w:before="40" w:after="40" w:line="220" w:lineRule="exact"/>
              <w:ind w:left="0" w:right="0"/>
              <w:jc w:val="right"/>
              <w:rPr>
                <w:sz w:val="18"/>
                <w:lang w:val="en-US"/>
              </w:rPr>
            </w:pPr>
            <w:r w:rsidRPr="00222917">
              <w:rPr>
                <w:sz w:val="18"/>
                <w:lang w:val="en-US"/>
              </w:rPr>
              <w:t>138</w:t>
            </w:r>
          </w:p>
          <w:p w:rsidR="002D5BB0" w:rsidRPr="00222917" w:rsidRDefault="002D5BB0" w:rsidP="00D50C05">
            <w:pPr>
              <w:pStyle w:val="SingleTxtG"/>
              <w:suppressAutoHyphens w:val="0"/>
              <w:spacing w:before="40" w:after="40" w:line="220" w:lineRule="exact"/>
              <w:ind w:left="0" w:right="0"/>
              <w:jc w:val="right"/>
              <w:rPr>
                <w:sz w:val="18"/>
                <w:lang w:val="en-US"/>
              </w:rPr>
            </w:pPr>
            <w:r w:rsidRPr="00222917">
              <w:rPr>
                <w:sz w:val="18"/>
                <w:lang w:val="en-US"/>
              </w:rPr>
              <w:t>(10.8)</w:t>
            </w:r>
          </w:p>
        </w:tc>
        <w:tc>
          <w:tcPr>
            <w:tcW w:w="851" w:type="dxa"/>
            <w:tcBorders>
              <w:bottom w:val="single" w:sz="12" w:space="0" w:color="auto"/>
            </w:tcBorders>
            <w:shd w:val="clear" w:color="auto" w:fill="auto"/>
            <w:tcMar>
              <w:top w:w="0" w:type="dxa"/>
              <w:left w:w="0" w:type="dxa"/>
              <w:bottom w:w="0" w:type="dxa"/>
              <w:right w:w="0" w:type="dxa"/>
            </w:tcMar>
            <w:vAlign w:val="bottom"/>
          </w:tcPr>
          <w:p w:rsidR="002D5BB0" w:rsidRPr="00222917" w:rsidRDefault="002D5BB0" w:rsidP="00D50C05">
            <w:pPr>
              <w:pStyle w:val="SingleTxtG"/>
              <w:suppressAutoHyphens w:val="0"/>
              <w:spacing w:before="40" w:after="40" w:line="220" w:lineRule="exact"/>
              <w:ind w:left="0" w:right="0"/>
              <w:jc w:val="right"/>
              <w:rPr>
                <w:sz w:val="18"/>
                <w:lang w:val="en-US"/>
              </w:rPr>
            </w:pPr>
            <w:r w:rsidRPr="00222917">
              <w:rPr>
                <w:sz w:val="18"/>
                <w:lang w:val="en-US"/>
              </w:rPr>
              <w:t>114</w:t>
            </w:r>
          </w:p>
          <w:p w:rsidR="002D5BB0" w:rsidRPr="00222917" w:rsidRDefault="002D5BB0" w:rsidP="00D50C05">
            <w:pPr>
              <w:pStyle w:val="SingleTxtG"/>
              <w:suppressAutoHyphens w:val="0"/>
              <w:spacing w:before="40" w:after="40" w:line="220" w:lineRule="exact"/>
              <w:ind w:left="0" w:right="0"/>
              <w:jc w:val="right"/>
              <w:rPr>
                <w:sz w:val="18"/>
                <w:lang w:val="en-US"/>
              </w:rPr>
            </w:pPr>
            <w:r w:rsidRPr="00222917">
              <w:rPr>
                <w:sz w:val="18"/>
                <w:lang w:val="en-US"/>
              </w:rPr>
              <w:t>(8.9)</w:t>
            </w:r>
          </w:p>
        </w:tc>
        <w:tc>
          <w:tcPr>
            <w:tcW w:w="851" w:type="dxa"/>
            <w:tcBorders>
              <w:bottom w:val="single" w:sz="12" w:space="0" w:color="auto"/>
            </w:tcBorders>
            <w:shd w:val="clear" w:color="auto" w:fill="auto"/>
            <w:tcMar>
              <w:top w:w="0" w:type="dxa"/>
              <w:left w:w="0" w:type="dxa"/>
              <w:bottom w:w="0" w:type="dxa"/>
              <w:right w:w="0" w:type="dxa"/>
            </w:tcMar>
            <w:vAlign w:val="bottom"/>
          </w:tcPr>
          <w:p w:rsidR="002D5BB0" w:rsidRPr="00222917" w:rsidRDefault="002D5BB0" w:rsidP="00D50C05">
            <w:pPr>
              <w:pStyle w:val="SingleTxtG"/>
              <w:suppressAutoHyphens w:val="0"/>
              <w:spacing w:before="40" w:after="40" w:line="220" w:lineRule="exact"/>
              <w:ind w:left="0" w:right="0"/>
              <w:jc w:val="right"/>
              <w:rPr>
                <w:sz w:val="18"/>
                <w:lang w:val="en-US"/>
              </w:rPr>
            </w:pPr>
            <w:r w:rsidRPr="00222917">
              <w:rPr>
                <w:sz w:val="18"/>
                <w:lang w:val="en-US"/>
              </w:rPr>
              <w:t>723</w:t>
            </w:r>
          </w:p>
          <w:p w:rsidR="002D5BB0" w:rsidRPr="00222917" w:rsidRDefault="002D5BB0" w:rsidP="00D50C05">
            <w:pPr>
              <w:pStyle w:val="SingleTxtG"/>
              <w:suppressAutoHyphens w:val="0"/>
              <w:spacing w:before="40" w:after="40" w:line="220" w:lineRule="exact"/>
              <w:ind w:left="0" w:right="0"/>
              <w:jc w:val="right"/>
              <w:rPr>
                <w:sz w:val="18"/>
                <w:lang w:val="en-US"/>
              </w:rPr>
            </w:pPr>
            <w:r w:rsidRPr="00222917">
              <w:rPr>
                <w:sz w:val="18"/>
                <w:lang w:val="en-US"/>
              </w:rPr>
              <w:t>(56.5)</w:t>
            </w:r>
          </w:p>
        </w:tc>
        <w:tc>
          <w:tcPr>
            <w:tcW w:w="851" w:type="dxa"/>
            <w:tcBorders>
              <w:bottom w:val="single" w:sz="12" w:space="0" w:color="auto"/>
            </w:tcBorders>
            <w:shd w:val="clear" w:color="auto" w:fill="auto"/>
            <w:tcMar>
              <w:top w:w="0" w:type="dxa"/>
              <w:left w:w="0" w:type="dxa"/>
              <w:bottom w:w="0" w:type="dxa"/>
              <w:right w:w="0" w:type="dxa"/>
            </w:tcMar>
            <w:vAlign w:val="bottom"/>
          </w:tcPr>
          <w:p w:rsidR="002D5BB0" w:rsidRPr="00222917" w:rsidRDefault="002D5BB0" w:rsidP="00D50C05">
            <w:pPr>
              <w:pStyle w:val="SingleTxtG"/>
              <w:suppressAutoHyphens w:val="0"/>
              <w:spacing w:before="40" w:after="40" w:line="220" w:lineRule="exact"/>
              <w:ind w:left="0" w:right="0"/>
              <w:jc w:val="right"/>
              <w:rPr>
                <w:sz w:val="18"/>
                <w:lang w:val="en-US"/>
              </w:rPr>
            </w:pPr>
            <w:r w:rsidRPr="00222917">
              <w:rPr>
                <w:sz w:val="18"/>
                <w:lang w:val="en-US"/>
              </w:rPr>
              <w:t>281</w:t>
            </w:r>
          </w:p>
          <w:p w:rsidR="002D5BB0" w:rsidRPr="00222917" w:rsidRDefault="002D5BB0" w:rsidP="00D50C05">
            <w:pPr>
              <w:pStyle w:val="SingleTxtG"/>
              <w:suppressAutoHyphens w:val="0"/>
              <w:spacing w:before="40" w:after="40" w:line="220" w:lineRule="exact"/>
              <w:ind w:left="0" w:right="0"/>
              <w:jc w:val="right"/>
              <w:rPr>
                <w:sz w:val="18"/>
                <w:lang w:val="en-US"/>
              </w:rPr>
            </w:pPr>
            <w:r w:rsidRPr="00222917">
              <w:rPr>
                <w:sz w:val="18"/>
                <w:lang w:val="en-US"/>
              </w:rPr>
              <w:t>(22)</w:t>
            </w:r>
          </w:p>
        </w:tc>
        <w:tc>
          <w:tcPr>
            <w:tcW w:w="851" w:type="dxa"/>
            <w:tcBorders>
              <w:bottom w:val="single" w:sz="12" w:space="0" w:color="auto"/>
            </w:tcBorders>
            <w:shd w:val="clear" w:color="auto" w:fill="auto"/>
            <w:tcMar>
              <w:top w:w="0" w:type="dxa"/>
              <w:left w:w="0" w:type="dxa"/>
              <w:bottom w:w="0" w:type="dxa"/>
              <w:right w:w="0" w:type="dxa"/>
            </w:tcMar>
            <w:vAlign w:val="bottom"/>
          </w:tcPr>
          <w:p w:rsidR="002D5BB0" w:rsidRPr="00222917" w:rsidRDefault="002D5BB0" w:rsidP="00D50C05">
            <w:pPr>
              <w:pStyle w:val="SingleTxtG"/>
              <w:suppressAutoHyphens w:val="0"/>
              <w:spacing w:before="40" w:after="40" w:line="220" w:lineRule="exact"/>
              <w:ind w:left="0" w:right="0"/>
              <w:jc w:val="right"/>
              <w:rPr>
                <w:sz w:val="18"/>
                <w:lang w:val="en-US"/>
              </w:rPr>
            </w:pPr>
            <w:r w:rsidRPr="00222917">
              <w:rPr>
                <w:sz w:val="18"/>
                <w:lang w:val="en-US"/>
              </w:rPr>
              <w:t>2</w:t>
            </w:r>
          </w:p>
          <w:p w:rsidR="002D5BB0" w:rsidRPr="00222917" w:rsidRDefault="002D5BB0" w:rsidP="00D50C05">
            <w:pPr>
              <w:pStyle w:val="SingleTxtG"/>
              <w:suppressAutoHyphens w:val="0"/>
              <w:spacing w:before="40" w:after="40" w:line="220" w:lineRule="exact"/>
              <w:ind w:left="0" w:right="0"/>
              <w:jc w:val="right"/>
              <w:rPr>
                <w:sz w:val="18"/>
                <w:lang w:val="en-US"/>
              </w:rPr>
            </w:pPr>
            <w:r w:rsidRPr="00222917">
              <w:rPr>
                <w:sz w:val="18"/>
                <w:lang w:val="en-US"/>
              </w:rPr>
              <w:t>(0.2)</w:t>
            </w:r>
          </w:p>
        </w:tc>
        <w:tc>
          <w:tcPr>
            <w:tcW w:w="851" w:type="dxa"/>
            <w:tcBorders>
              <w:bottom w:val="single" w:sz="12" w:space="0" w:color="auto"/>
            </w:tcBorders>
            <w:shd w:val="clear" w:color="auto" w:fill="auto"/>
            <w:tcMar>
              <w:top w:w="0" w:type="dxa"/>
              <w:left w:w="0" w:type="dxa"/>
              <w:bottom w:w="0" w:type="dxa"/>
              <w:right w:w="0" w:type="dxa"/>
            </w:tcMar>
            <w:vAlign w:val="bottom"/>
          </w:tcPr>
          <w:p w:rsidR="002D5BB0" w:rsidRPr="00222917" w:rsidRDefault="002D5BB0" w:rsidP="00D50C05">
            <w:pPr>
              <w:pStyle w:val="SingleTxtG"/>
              <w:suppressAutoHyphens w:val="0"/>
              <w:spacing w:before="40" w:after="40" w:line="220" w:lineRule="exact"/>
              <w:ind w:left="0" w:right="0"/>
              <w:jc w:val="right"/>
              <w:rPr>
                <w:sz w:val="18"/>
                <w:lang w:val="en-US"/>
              </w:rPr>
            </w:pPr>
            <w:r w:rsidRPr="00222917">
              <w:rPr>
                <w:sz w:val="18"/>
                <w:lang w:val="en-US"/>
              </w:rPr>
              <w:t>22</w:t>
            </w:r>
          </w:p>
          <w:p w:rsidR="002D5BB0" w:rsidRPr="00222917" w:rsidRDefault="002D5BB0" w:rsidP="00D50C05">
            <w:pPr>
              <w:pStyle w:val="SingleTxtG"/>
              <w:suppressAutoHyphens w:val="0"/>
              <w:spacing w:before="40" w:after="40" w:line="220" w:lineRule="exact"/>
              <w:ind w:left="0" w:right="0"/>
              <w:jc w:val="right"/>
              <w:rPr>
                <w:sz w:val="18"/>
                <w:lang w:val="en-US"/>
              </w:rPr>
            </w:pPr>
            <w:r w:rsidRPr="00222917">
              <w:rPr>
                <w:sz w:val="18"/>
                <w:lang w:val="en-US"/>
              </w:rPr>
              <w:t>(1.7)</w:t>
            </w:r>
          </w:p>
        </w:tc>
      </w:tr>
    </w:tbl>
    <w:p w:rsidR="002D5BB0" w:rsidRPr="00222917" w:rsidRDefault="00547908" w:rsidP="00547908">
      <w:pPr>
        <w:pStyle w:val="SingleTxtG"/>
        <w:spacing w:before="240"/>
        <w:rPr>
          <w:lang w:val="en-US"/>
        </w:rPr>
      </w:pPr>
      <w:r w:rsidRPr="00222917">
        <w:rPr>
          <w:lang w:val="en-US"/>
        </w:rPr>
        <w:t>319.</w:t>
      </w:r>
      <w:r w:rsidRPr="00222917">
        <w:rPr>
          <w:lang w:val="en-US"/>
        </w:rPr>
        <w:tab/>
      </w:r>
      <w:r w:rsidR="002D5BB0" w:rsidRPr="00222917">
        <w:rPr>
          <w:lang w:val="en-US"/>
        </w:rPr>
        <w:t>In July 2009, to strengthen the State’s responsibility to rear infants and preschoolers, the Government expanded the eligibility for full funding of childcare costs from the low income to household</w:t>
      </w:r>
      <w:r w:rsidR="006903AC" w:rsidRPr="00222917">
        <w:rPr>
          <w:lang w:val="en-US"/>
        </w:rPr>
        <w:t xml:space="preserve">s with infants in the bottom 50% </w:t>
      </w:r>
      <w:r w:rsidR="002D5BB0" w:rsidRPr="00222917">
        <w:rPr>
          <w:lang w:val="en-US"/>
        </w:rPr>
        <w:t>of income. In 2010, the eligibility for full funding for a second child and later births was expanded to households whose income was at the bottom 70</w:t>
      </w:r>
      <w:r w:rsidR="006903AC" w:rsidRPr="00222917">
        <w:rPr>
          <w:lang w:val="en-US"/>
        </w:rPr>
        <w:t>%</w:t>
      </w:r>
      <w:r w:rsidR="002D5BB0" w:rsidRPr="00222917">
        <w:rPr>
          <w:lang w:val="en-US"/>
        </w:rPr>
        <w:t>, and the eligibility criteria for funding for dual-income families was relaxed.</w:t>
      </w:r>
      <w:r w:rsidR="00120D8B" w:rsidRPr="00222917">
        <w:rPr>
          <w:lang w:val="en-US"/>
        </w:rPr>
        <w:t xml:space="preserve"> </w:t>
      </w:r>
    </w:p>
    <w:p w:rsidR="002D5BB0" w:rsidRPr="00222917" w:rsidRDefault="00984B6F" w:rsidP="00EF1CF3">
      <w:pPr>
        <w:pStyle w:val="H23G"/>
        <w:rPr>
          <w:b w:val="0"/>
          <w:sz w:val="16"/>
          <w:szCs w:val="16"/>
          <w:lang w:val="en-US"/>
        </w:rPr>
      </w:pPr>
      <w:r w:rsidRPr="00222917">
        <w:rPr>
          <w:lang w:val="en-US"/>
        </w:rPr>
        <w:tab/>
      </w:r>
      <w:r w:rsidRPr="00222917">
        <w:rPr>
          <w:lang w:val="en-US"/>
        </w:rPr>
        <w:tab/>
      </w:r>
      <w:r w:rsidR="002D5BB0" w:rsidRPr="00222917">
        <w:rPr>
          <w:lang w:val="en-US"/>
        </w:rPr>
        <w:t>Budget for Childcare Funding by Year</w:t>
      </w:r>
      <w:r w:rsidRPr="00222917">
        <w:rPr>
          <w:lang w:val="en-US"/>
        </w:rPr>
        <w:br/>
      </w:r>
      <w:r w:rsidR="002D5BB0" w:rsidRPr="00222917">
        <w:rPr>
          <w:b w:val="0"/>
          <w:sz w:val="16"/>
          <w:szCs w:val="16"/>
          <w:lang w:val="en-US"/>
        </w:rPr>
        <w:t>(In KRW 100 million)</w:t>
      </w:r>
    </w:p>
    <w:tbl>
      <w:tblPr>
        <w:tblW w:w="0" w:type="auto"/>
        <w:tblInd w:w="1134" w:type="dxa"/>
        <w:tblBorders>
          <w:top w:val="single" w:sz="4" w:space="0" w:color="auto"/>
          <w:bottom w:val="single" w:sz="12" w:space="0" w:color="auto"/>
          <w:insideH w:val="single" w:sz="12" w:space="0" w:color="auto"/>
        </w:tblBorders>
        <w:tblLayout w:type="fixed"/>
        <w:tblCellMar>
          <w:left w:w="0" w:type="dxa"/>
          <w:right w:w="0" w:type="dxa"/>
        </w:tblCellMar>
        <w:tblLook w:val="00A0"/>
      </w:tblPr>
      <w:tblGrid>
        <w:gridCol w:w="1247"/>
        <w:gridCol w:w="1021"/>
        <w:gridCol w:w="1021"/>
        <w:gridCol w:w="1021"/>
        <w:gridCol w:w="1021"/>
        <w:gridCol w:w="1021"/>
        <w:gridCol w:w="1021"/>
      </w:tblGrid>
      <w:tr w:rsidR="008F6543" w:rsidRPr="00222917" w:rsidTr="00432DCF">
        <w:trPr>
          <w:tblHeader/>
        </w:trPr>
        <w:tc>
          <w:tcPr>
            <w:tcW w:w="1247" w:type="dxa"/>
            <w:shd w:val="clear" w:color="auto" w:fill="auto"/>
            <w:tcMar>
              <w:top w:w="0" w:type="dxa"/>
              <w:left w:w="0" w:type="dxa"/>
              <w:bottom w:w="0" w:type="dxa"/>
              <w:right w:w="0" w:type="dxa"/>
            </w:tcMar>
            <w:vAlign w:val="bottom"/>
          </w:tcPr>
          <w:p w:rsidR="002D5BB0" w:rsidRPr="00222917" w:rsidRDefault="002D5BB0" w:rsidP="007A00A1">
            <w:pPr>
              <w:pStyle w:val="SingleTxtG"/>
              <w:suppressAutoHyphens w:val="0"/>
              <w:spacing w:before="80" w:after="80" w:line="200" w:lineRule="exact"/>
              <w:ind w:left="0" w:right="0"/>
              <w:jc w:val="left"/>
              <w:rPr>
                <w:i/>
                <w:sz w:val="16"/>
                <w:lang w:val="en-US"/>
              </w:rPr>
            </w:pPr>
            <w:r w:rsidRPr="00222917">
              <w:rPr>
                <w:bCs/>
                <w:i/>
                <w:sz w:val="16"/>
                <w:lang w:val="en-US"/>
              </w:rPr>
              <w:t>Year</w:t>
            </w:r>
          </w:p>
        </w:tc>
        <w:tc>
          <w:tcPr>
            <w:tcW w:w="1021" w:type="dxa"/>
            <w:shd w:val="clear" w:color="auto" w:fill="auto"/>
            <w:tcMar>
              <w:top w:w="0" w:type="dxa"/>
              <w:left w:w="0" w:type="dxa"/>
              <w:bottom w:w="0" w:type="dxa"/>
              <w:right w:w="0" w:type="dxa"/>
            </w:tcMar>
            <w:vAlign w:val="bottom"/>
          </w:tcPr>
          <w:p w:rsidR="002D5BB0" w:rsidRPr="00222917" w:rsidRDefault="002D5BB0" w:rsidP="007A00A1">
            <w:pPr>
              <w:pStyle w:val="SingleTxtG"/>
              <w:suppressAutoHyphens w:val="0"/>
              <w:spacing w:before="80" w:after="80" w:line="200" w:lineRule="exact"/>
              <w:ind w:left="0" w:right="0"/>
              <w:jc w:val="right"/>
              <w:rPr>
                <w:i/>
                <w:sz w:val="16"/>
                <w:lang w:val="en-US"/>
              </w:rPr>
            </w:pPr>
            <w:r w:rsidRPr="00222917">
              <w:rPr>
                <w:bCs/>
                <w:i/>
                <w:sz w:val="16"/>
                <w:lang w:val="en-US"/>
              </w:rPr>
              <w:t>2005</w:t>
            </w:r>
          </w:p>
        </w:tc>
        <w:tc>
          <w:tcPr>
            <w:tcW w:w="1021" w:type="dxa"/>
            <w:shd w:val="clear" w:color="auto" w:fill="auto"/>
            <w:tcMar>
              <w:top w:w="0" w:type="dxa"/>
              <w:left w:w="0" w:type="dxa"/>
              <w:bottom w:w="0" w:type="dxa"/>
              <w:right w:w="0" w:type="dxa"/>
            </w:tcMar>
            <w:vAlign w:val="bottom"/>
          </w:tcPr>
          <w:p w:rsidR="002D5BB0" w:rsidRPr="00222917" w:rsidRDefault="002D5BB0" w:rsidP="007A00A1">
            <w:pPr>
              <w:pStyle w:val="SingleTxtG"/>
              <w:suppressAutoHyphens w:val="0"/>
              <w:spacing w:before="80" w:after="80" w:line="200" w:lineRule="exact"/>
              <w:ind w:left="0" w:right="0"/>
              <w:jc w:val="right"/>
              <w:rPr>
                <w:i/>
                <w:sz w:val="16"/>
                <w:lang w:val="en-US"/>
              </w:rPr>
            </w:pPr>
            <w:r w:rsidRPr="00222917">
              <w:rPr>
                <w:bCs/>
                <w:i/>
                <w:sz w:val="16"/>
                <w:lang w:val="en-US"/>
              </w:rPr>
              <w:t>2006</w:t>
            </w:r>
          </w:p>
        </w:tc>
        <w:tc>
          <w:tcPr>
            <w:tcW w:w="1021" w:type="dxa"/>
            <w:shd w:val="clear" w:color="auto" w:fill="auto"/>
            <w:tcMar>
              <w:top w:w="0" w:type="dxa"/>
              <w:left w:w="0" w:type="dxa"/>
              <w:bottom w:w="0" w:type="dxa"/>
              <w:right w:w="0" w:type="dxa"/>
            </w:tcMar>
            <w:vAlign w:val="bottom"/>
          </w:tcPr>
          <w:p w:rsidR="002D5BB0" w:rsidRPr="00222917" w:rsidRDefault="002D5BB0" w:rsidP="007A00A1">
            <w:pPr>
              <w:pStyle w:val="SingleTxtG"/>
              <w:suppressAutoHyphens w:val="0"/>
              <w:spacing w:before="80" w:after="80" w:line="200" w:lineRule="exact"/>
              <w:ind w:left="0" w:right="0"/>
              <w:jc w:val="right"/>
              <w:rPr>
                <w:i/>
                <w:sz w:val="16"/>
                <w:lang w:val="en-US"/>
              </w:rPr>
            </w:pPr>
            <w:r w:rsidRPr="00222917">
              <w:rPr>
                <w:bCs/>
                <w:i/>
                <w:sz w:val="16"/>
                <w:lang w:val="en-US"/>
              </w:rPr>
              <w:t>2007</w:t>
            </w:r>
          </w:p>
        </w:tc>
        <w:tc>
          <w:tcPr>
            <w:tcW w:w="1021" w:type="dxa"/>
            <w:shd w:val="clear" w:color="auto" w:fill="auto"/>
            <w:tcMar>
              <w:top w:w="0" w:type="dxa"/>
              <w:left w:w="0" w:type="dxa"/>
              <w:bottom w:w="0" w:type="dxa"/>
              <w:right w:w="0" w:type="dxa"/>
            </w:tcMar>
            <w:vAlign w:val="bottom"/>
          </w:tcPr>
          <w:p w:rsidR="002D5BB0" w:rsidRPr="00222917" w:rsidRDefault="002D5BB0" w:rsidP="007A00A1">
            <w:pPr>
              <w:pStyle w:val="SingleTxtG"/>
              <w:suppressAutoHyphens w:val="0"/>
              <w:spacing w:before="80" w:after="80" w:line="200" w:lineRule="exact"/>
              <w:ind w:left="0" w:right="0"/>
              <w:jc w:val="right"/>
              <w:rPr>
                <w:i/>
                <w:sz w:val="16"/>
                <w:lang w:val="en-US"/>
              </w:rPr>
            </w:pPr>
            <w:r w:rsidRPr="00222917">
              <w:rPr>
                <w:bCs/>
                <w:i/>
                <w:sz w:val="16"/>
                <w:lang w:val="en-US"/>
              </w:rPr>
              <w:t>2008</w:t>
            </w:r>
          </w:p>
        </w:tc>
        <w:tc>
          <w:tcPr>
            <w:tcW w:w="1021" w:type="dxa"/>
            <w:shd w:val="clear" w:color="auto" w:fill="auto"/>
            <w:tcMar>
              <w:top w:w="0" w:type="dxa"/>
              <w:left w:w="0" w:type="dxa"/>
              <w:bottom w:w="0" w:type="dxa"/>
              <w:right w:w="0" w:type="dxa"/>
            </w:tcMar>
            <w:vAlign w:val="bottom"/>
          </w:tcPr>
          <w:p w:rsidR="002D5BB0" w:rsidRPr="00222917" w:rsidRDefault="002D5BB0" w:rsidP="007A00A1">
            <w:pPr>
              <w:pStyle w:val="SingleTxtG"/>
              <w:suppressAutoHyphens w:val="0"/>
              <w:spacing w:before="80" w:after="80" w:line="200" w:lineRule="exact"/>
              <w:ind w:left="0" w:right="0"/>
              <w:jc w:val="right"/>
              <w:rPr>
                <w:i/>
                <w:sz w:val="16"/>
                <w:lang w:val="en-US"/>
              </w:rPr>
            </w:pPr>
            <w:r w:rsidRPr="00222917">
              <w:rPr>
                <w:bCs/>
                <w:i/>
                <w:sz w:val="16"/>
                <w:lang w:val="en-US"/>
              </w:rPr>
              <w:t>2009</w:t>
            </w:r>
          </w:p>
        </w:tc>
        <w:tc>
          <w:tcPr>
            <w:tcW w:w="1021" w:type="dxa"/>
            <w:shd w:val="clear" w:color="auto" w:fill="auto"/>
            <w:tcMar>
              <w:top w:w="0" w:type="dxa"/>
              <w:left w:w="0" w:type="dxa"/>
              <w:bottom w:w="0" w:type="dxa"/>
              <w:right w:w="0" w:type="dxa"/>
            </w:tcMar>
            <w:vAlign w:val="bottom"/>
          </w:tcPr>
          <w:p w:rsidR="002D5BB0" w:rsidRPr="00222917" w:rsidRDefault="002D5BB0" w:rsidP="007A00A1">
            <w:pPr>
              <w:pStyle w:val="SingleTxtG"/>
              <w:suppressAutoHyphens w:val="0"/>
              <w:spacing w:before="80" w:after="80" w:line="200" w:lineRule="exact"/>
              <w:ind w:left="0" w:right="0"/>
              <w:jc w:val="right"/>
              <w:rPr>
                <w:i/>
                <w:sz w:val="16"/>
                <w:lang w:val="en-US"/>
              </w:rPr>
            </w:pPr>
            <w:r w:rsidRPr="00222917">
              <w:rPr>
                <w:bCs/>
                <w:i/>
                <w:sz w:val="16"/>
                <w:lang w:val="en-US"/>
              </w:rPr>
              <w:t>2010</w:t>
            </w:r>
          </w:p>
        </w:tc>
      </w:tr>
      <w:tr w:rsidR="008F6543" w:rsidRPr="00222917" w:rsidTr="00432DCF">
        <w:tc>
          <w:tcPr>
            <w:tcW w:w="1247" w:type="dxa"/>
            <w:shd w:val="clear" w:color="auto" w:fill="auto"/>
            <w:tcMar>
              <w:top w:w="0" w:type="dxa"/>
              <w:left w:w="0" w:type="dxa"/>
              <w:bottom w:w="0" w:type="dxa"/>
              <w:right w:w="0" w:type="dxa"/>
            </w:tcMar>
          </w:tcPr>
          <w:p w:rsidR="002D5BB0" w:rsidRPr="00222917" w:rsidRDefault="002D5BB0" w:rsidP="007A00A1">
            <w:pPr>
              <w:pStyle w:val="SingleTxtG"/>
              <w:suppressAutoHyphens w:val="0"/>
              <w:spacing w:before="40" w:after="40" w:line="220" w:lineRule="exact"/>
              <w:ind w:left="0" w:right="0"/>
              <w:jc w:val="left"/>
              <w:rPr>
                <w:sz w:val="18"/>
                <w:lang w:val="en-US"/>
              </w:rPr>
            </w:pPr>
            <w:r w:rsidRPr="00222917">
              <w:rPr>
                <w:sz w:val="18"/>
                <w:lang w:val="en-US"/>
              </w:rPr>
              <w:t>Funding</w:t>
            </w:r>
          </w:p>
        </w:tc>
        <w:tc>
          <w:tcPr>
            <w:tcW w:w="1021" w:type="dxa"/>
            <w:shd w:val="clear" w:color="auto" w:fill="auto"/>
            <w:tcMar>
              <w:top w:w="0" w:type="dxa"/>
              <w:left w:w="0" w:type="dxa"/>
              <w:bottom w:w="0" w:type="dxa"/>
              <w:right w:w="0" w:type="dxa"/>
            </w:tcMar>
            <w:vAlign w:val="bottom"/>
          </w:tcPr>
          <w:p w:rsidR="002D5BB0" w:rsidRPr="00222917" w:rsidRDefault="002D5BB0" w:rsidP="007A00A1">
            <w:pPr>
              <w:pStyle w:val="SingleTxtG"/>
              <w:suppressAutoHyphens w:val="0"/>
              <w:spacing w:before="40" w:after="40" w:line="220" w:lineRule="exact"/>
              <w:ind w:left="0" w:right="0"/>
              <w:jc w:val="right"/>
              <w:rPr>
                <w:sz w:val="18"/>
                <w:lang w:val="en-US"/>
              </w:rPr>
            </w:pPr>
            <w:r w:rsidRPr="00222917">
              <w:rPr>
                <w:sz w:val="18"/>
                <w:lang w:val="en-US"/>
              </w:rPr>
              <w:t>2,671</w:t>
            </w:r>
          </w:p>
        </w:tc>
        <w:tc>
          <w:tcPr>
            <w:tcW w:w="1021" w:type="dxa"/>
            <w:shd w:val="clear" w:color="auto" w:fill="auto"/>
            <w:tcMar>
              <w:top w:w="0" w:type="dxa"/>
              <w:left w:w="0" w:type="dxa"/>
              <w:bottom w:w="0" w:type="dxa"/>
              <w:right w:w="0" w:type="dxa"/>
            </w:tcMar>
            <w:vAlign w:val="bottom"/>
          </w:tcPr>
          <w:p w:rsidR="002D5BB0" w:rsidRPr="00222917" w:rsidRDefault="002D5BB0" w:rsidP="007A00A1">
            <w:pPr>
              <w:pStyle w:val="SingleTxtG"/>
              <w:suppressAutoHyphens w:val="0"/>
              <w:spacing w:before="40" w:after="40" w:line="220" w:lineRule="exact"/>
              <w:ind w:left="0" w:right="0"/>
              <w:jc w:val="right"/>
              <w:rPr>
                <w:sz w:val="18"/>
                <w:lang w:val="en-US"/>
              </w:rPr>
            </w:pPr>
            <w:r w:rsidRPr="00222917">
              <w:rPr>
                <w:sz w:val="18"/>
                <w:lang w:val="en-US"/>
              </w:rPr>
              <w:t>5,328</w:t>
            </w:r>
          </w:p>
        </w:tc>
        <w:tc>
          <w:tcPr>
            <w:tcW w:w="1021" w:type="dxa"/>
            <w:shd w:val="clear" w:color="auto" w:fill="auto"/>
            <w:tcMar>
              <w:top w:w="0" w:type="dxa"/>
              <w:left w:w="0" w:type="dxa"/>
              <w:bottom w:w="0" w:type="dxa"/>
              <w:right w:w="0" w:type="dxa"/>
            </w:tcMar>
            <w:vAlign w:val="bottom"/>
          </w:tcPr>
          <w:p w:rsidR="002D5BB0" w:rsidRPr="00222917" w:rsidRDefault="002D5BB0" w:rsidP="007A00A1">
            <w:pPr>
              <w:pStyle w:val="SingleTxtG"/>
              <w:suppressAutoHyphens w:val="0"/>
              <w:spacing w:before="40" w:after="40" w:line="220" w:lineRule="exact"/>
              <w:ind w:left="0" w:right="0"/>
              <w:jc w:val="right"/>
              <w:rPr>
                <w:sz w:val="18"/>
                <w:lang w:val="en-US"/>
              </w:rPr>
            </w:pPr>
            <w:r w:rsidRPr="00222917">
              <w:rPr>
                <w:sz w:val="18"/>
                <w:lang w:val="en-US"/>
              </w:rPr>
              <w:t>7,263</w:t>
            </w:r>
          </w:p>
        </w:tc>
        <w:tc>
          <w:tcPr>
            <w:tcW w:w="1021" w:type="dxa"/>
            <w:shd w:val="clear" w:color="auto" w:fill="auto"/>
            <w:tcMar>
              <w:top w:w="0" w:type="dxa"/>
              <w:left w:w="0" w:type="dxa"/>
              <w:bottom w:w="0" w:type="dxa"/>
              <w:right w:w="0" w:type="dxa"/>
            </w:tcMar>
            <w:vAlign w:val="bottom"/>
          </w:tcPr>
          <w:p w:rsidR="002D5BB0" w:rsidRPr="00222917" w:rsidRDefault="002D5BB0" w:rsidP="007A00A1">
            <w:pPr>
              <w:pStyle w:val="SingleTxtG"/>
              <w:suppressAutoHyphens w:val="0"/>
              <w:spacing w:before="40" w:after="40" w:line="220" w:lineRule="exact"/>
              <w:ind w:left="0" w:right="0"/>
              <w:jc w:val="right"/>
              <w:rPr>
                <w:sz w:val="18"/>
                <w:lang w:val="en-US"/>
              </w:rPr>
            </w:pPr>
            <w:r w:rsidRPr="00222917">
              <w:rPr>
                <w:sz w:val="18"/>
                <w:lang w:val="en-US"/>
              </w:rPr>
              <w:t>10,376</w:t>
            </w:r>
          </w:p>
        </w:tc>
        <w:tc>
          <w:tcPr>
            <w:tcW w:w="1021" w:type="dxa"/>
            <w:shd w:val="clear" w:color="auto" w:fill="auto"/>
            <w:tcMar>
              <w:top w:w="0" w:type="dxa"/>
              <w:left w:w="0" w:type="dxa"/>
              <w:bottom w:w="0" w:type="dxa"/>
              <w:right w:w="0" w:type="dxa"/>
            </w:tcMar>
            <w:vAlign w:val="bottom"/>
          </w:tcPr>
          <w:p w:rsidR="002D5BB0" w:rsidRPr="00222917" w:rsidRDefault="002D5BB0" w:rsidP="007A00A1">
            <w:pPr>
              <w:pStyle w:val="SingleTxtG"/>
              <w:suppressAutoHyphens w:val="0"/>
              <w:spacing w:before="40" w:after="40" w:line="220" w:lineRule="exact"/>
              <w:ind w:left="0" w:right="0"/>
              <w:jc w:val="right"/>
              <w:rPr>
                <w:sz w:val="18"/>
                <w:lang w:val="en-US"/>
              </w:rPr>
            </w:pPr>
            <w:r w:rsidRPr="00222917">
              <w:rPr>
                <w:sz w:val="18"/>
                <w:lang w:val="en-US"/>
              </w:rPr>
              <w:t>12,822</w:t>
            </w:r>
          </w:p>
        </w:tc>
        <w:tc>
          <w:tcPr>
            <w:tcW w:w="1021" w:type="dxa"/>
            <w:shd w:val="clear" w:color="auto" w:fill="auto"/>
            <w:tcMar>
              <w:top w:w="0" w:type="dxa"/>
              <w:left w:w="0" w:type="dxa"/>
              <w:bottom w:w="0" w:type="dxa"/>
              <w:right w:w="0" w:type="dxa"/>
            </w:tcMar>
            <w:vAlign w:val="bottom"/>
          </w:tcPr>
          <w:p w:rsidR="002D5BB0" w:rsidRPr="00222917" w:rsidRDefault="002D5BB0" w:rsidP="007A00A1">
            <w:pPr>
              <w:pStyle w:val="SingleTxtG"/>
              <w:suppressAutoHyphens w:val="0"/>
              <w:spacing w:before="40" w:after="40" w:line="220" w:lineRule="exact"/>
              <w:ind w:left="0" w:right="0"/>
              <w:jc w:val="right"/>
              <w:rPr>
                <w:sz w:val="18"/>
                <w:lang w:val="en-US"/>
              </w:rPr>
            </w:pPr>
            <w:r w:rsidRPr="00222917">
              <w:rPr>
                <w:sz w:val="18"/>
                <w:lang w:val="en-US"/>
              </w:rPr>
              <w:t>16,322</w:t>
            </w:r>
          </w:p>
        </w:tc>
      </w:tr>
    </w:tbl>
    <w:p w:rsidR="002D5BB0" w:rsidRPr="00222917" w:rsidRDefault="00AF5C49" w:rsidP="00AF5C49">
      <w:pPr>
        <w:pStyle w:val="H23G"/>
        <w:rPr>
          <w:b w:val="0"/>
          <w:sz w:val="16"/>
          <w:szCs w:val="16"/>
          <w:lang w:val="en-US"/>
        </w:rPr>
      </w:pPr>
      <w:r w:rsidRPr="00222917">
        <w:rPr>
          <w:lang w:val="en-US"/>
        </w:rPr>
        <w:tab/>
      </w:r>
      <w:r w:rsidRPr="00222917">
        <w:rPr>
          <w:lang w:val="en-US"/>
        </w:rPr>
        <w:tab/>
      </w:r>
      <w:r w:rsidR="002D5BB0" w:rsidRPr="00222917">
        <w:rPr>
          <w:lang w:val="en-US"/>
        </w:rPr>
        <w:t>Number of Children Subject to Childcare Funding by Year</w:t>
      </w:r>
      <w:r w:rsidR="00984B6F" w:rsidRPr="00222917">
        <w:rPr>
          <w:lang w:val="en-US"/>
        </w:rPr>
        <w:br/>
      </w:r>
      <w:r w:rsidR="002D5BB0" w:rsidRPr="00222917">
        <w:rPr>
          <w:b w:val="0"/>
          <w:sz w:val="16"/>
          <w:szCs w:val="16"/>
          <w:lang w:val="en-US"/>
        </w:rPr>
        <w:t>(In persons; KRW)</w:t>
      </w:r>
    </w:p>
    <w:tbl>
      <w:tblPr>
        <w:tblW w:w="8505" w:type="dxa"/>
        <w:tblInd w:w="1134" w:type="dxa"/>
        <w:tblBorders>
          <w:top w:val="single" w:sz="4" w:space="0" w:color="auto"/>
        </w:tblBorders>
        <w:tblLayout w:type="fixed"/>
        <w:tblCellMar>
          <w:left w:w="0" w:type="dxa"/>
          <w:right w:w="0" w:type="dxa"/>
        </w:tblCellMar>
        <w:tblLook w:val="00A0"/>
      </w:tblPr>
      <w:tblGrid>
        <w:gridCol w:w="681"/>
        <w:gridCol w:w="1304"/>
        <w:gridCol w:w="1304"/>
        <w:gridCol w:w="1304"/>
        <w:gridCol w:w="1304"/>
        <w:gridCol w:w="1304"/>
        <w:gridCol w:w="1304"/>
      </w:tblGrid>
      <w:tr w:rsidR="008F6543" w:rsidRPr="00222917" w:rsidTr="00AF5C49">
        <w:trPr>
          <w:tblHeader/>
        </w:trPr>
        <w:tc>
          <w:tcPr>
            <w:tcW w:w="680"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D5BB0" w:rsidRPr="00222917" w:rsidRDefault="002D5BB0" w:rsidP="00D2636A">
            <w:pPr>
              <w:pStyle w:val="SingleTxtG"/>
              <w:suppressAutoHyphens w:val="0"/>
              <w:spacing w:before="80" w:after="80" w:line="200" w:lineRule="exact"/>
              <w:ind w:left="0" w:right="0"/>
              <w:jc w:val="left"/>
              <w:rPr>
                <w:i/>
                <w:sz w:val="16"/>
                <w:lang w:val="en-US"/>
              </w:rPr>
            </w:pPr>
            <w:r w:rsidRPr="00222917">
              <w:rPr>
                <w:bCs/>
                <w:i/>
                <w:sz w:val="16"/>
                <w:lang w:val="en-US"/>
              </w:rPr>
              <w:t>Year</w:t>
            </w:r>
          </w:p>
        </w:tc>
        <w:tc>
          <w:tcPr>
            <w:tcW w:w="1304"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D5BB0" w:rsidRPr="00222917" w:rsidRDefault="002D5BB0" w:rsidP="00964458">
            <w:pPr>
              <w:pStyle w:val="SingleTxtG"/>
              <w:suppressAutoHyphens w:val="0"/>
              <w:spacing w:before="80" w:after="80" w:line="200" w:lineRule="exact"/>
              <w:ind w:left="0" w:right="0"/>
              <w:jc w:val="right"/>
              <w:rPr>
                <w:i/>
                <w:sz w:val="16"/>
                <w:lang w:val="en-US"/>
              </w:rPr>
            </w:pPr>
            <w:r w:rsidRPr="00222917">
              <w:rPr>
                <w:bCs/>
                <w:i/>
                <w:sz w:val="16"/>
                <w:lang w:val="en-US"/>
              </w:rPr>
              <w:t>Number</w:t>
            </w:r>
            <w:r w:rsidR="00964458" w:rsidRPr="00222917">
              <w:rPr>
                <w:bCs/>
                <w:i/>
                <w:sz w:val="16"/>
                <w:lang w:val="en-US"/>
              </w:rPr>
              <w:t xml:space="preserve"> </w:t>
            </w:r>
            <w:r w:rsidRPr="00222917">
              <w:rPr>
                <w:bCs/>
                <w:i/>
                <w:sz w:val="16"/>
                <w:lang w:val="en-US"/>
              </w:rPr>
              <w:t>of children receiving childcare</w:t>
            </w:r>
          </w:p>
        </w:tc>
        <w:tc>
          <w:tcPr>
            <w:tcW w:w="1304"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D5BB0" w:rsidRPr="00222917" w:rsidRDefault="00631242" w:rsidP="00964458">
            <w:pPr>
              <w:pStyle w:val="SingleTxtG"/>
              <w:suppressAutoHyphens w:val="0"/>
              <w:spacing w:before="80" w:after="80" w:line="200" w:lineRule="exact"/>
              <w:ind w:left="0" w:right="0"/>
              <w:jc w:val="right"/>
              <w:rPr>
                <w:i/>
                <w:sz w:val="16"/>
                <w:lang w:val="en-US"/>
              </w:rPr>
            </w:pPr>
            <w:r w:rsidRPr="00222917">
              <w:rPr>
                <w:bCs/>
                <w:i/>
                <w:sz w:val="16"/>
                <w:lang w:val="en-US"/>
              </w:rPr>
              <w:t>Total</w:t>
            </w:r>
            <w:r w:rsidR="00964458" w:rsidRPr="00222917">
              <w:rPr>
                <w:bCs/>
                <w:i/>
                <w:sz w:val="16"/>
                <w:lang w:val="en-US"/>
              </w:rPr>
              <w:t xml:space="preserve"> </w:t>
            </w:r>
            <w:r w:rsidR="002D5BB0" w:rsidRPr="00222917">
              <w:rPr>
                <w:bCs/>
                <w:i/>
                <w:sz w:val="16"/>
                <w:lang w:val="en-US"/>
              </w:rPr>
              <w:t>number of children supported</w:t>
            </w:r>
          </w:p>
        </w:tc>
        <w:tc>
          <w:tcPr>
            <w:tcW w:w="1304"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D5BB0" w:rsidRPr="00222917" w:rsidRDefault="002D5BB0" w:rsidP="00D2636A">
            <w:pPr>
              <w:pStyle w:val="SingleTxtG"/>
              <w:suppressAutoHyphens w:val="0"/>
              <w:spacing w:before="80" w:after="80" w:line="200" w:lineRule="exact"/>
              <w:ind w:left="0" w:right="0"/>
              <w:jc w:val="right"/>
              <w:rPr>
                <w:i/>
                <w:sz w:val="16"/>
                <w:lang w:val="en-US"/>
              </w:rPr>
            </w:pPr>
            <w:r w:rsidRPr="00222917">
              <w:rPr>
                <w:bCs/>
                <w:i/>
                <w:sz w:val="16"/>
                <w:lang w:val="en-US"/>
              </w:rPr>
              <w:t xml:space="preserve">Differential </w:t>
            </w:r>
            <w:r w:rsidR="00526D4E" w:rsidRPr="00222917">
              <w:rPr>
                <w:bCs/>
                <w:i/>
                <w:sz w:val="16"/>
                <w:lang w:val="en-US"/>
              </w:rPr>
              <w:br/>
            </w:r>
            <w:r w:rsidRPr="00222917">
              <w:rPr>
                <w:bCs/>
                <w:i/>
                <w:sz w:val="16"/>
                <w:lang w:val="en-US"/>
              </w:rPr>
              <w:t>childcare costs</w:t>
            </w:r>
          </w:p>
        </w:tc>
        <w:tc>
          <w:tcPr>
            <w:tcW w:w="1304"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D5BB0" w:rsidRPr="00222917" w:rsidRDefault="002D5BB0" w:rsidP="00D2636A">
            <w:pPr>
              <w:pStyle w:val="SingleTxtG"/>
              <w:suppressAutoHyphens w:val="0"/>
              <w:spacing w:before="80" w:after="80" w:line="200" w:lineRule="exact"/>
              <w:ind w:left="0" w:right="0"/>
              <w:jc w:val="right"/>
              <w:rPr>
                <w:i/>
                <w:sz w:val="16"/>
                <w:lang w:val="en-US"/>
              </w:rPr>
            </w:pPr>
            <w:r w:rsidRPr="00222917">
              <w:rPr>
                <w:bCs/>
                <w:i/>
                <w:sz w:val="16"/>
                <w:lang w:val="en-US"/>
              </w:rPr>
              <w:t xml:space="preserve">Childcare costs subsidized for </w:t>
            </w:r>
            <w:r w:rsidR="00526D4E" w:rsidRPr="00222917">
              <w:rPr>
                <w:bCs/>
                <w:i/>
                <w:sz w:val="16"/>
                <w:lang w:val="en-US"/>
              </w:rPr>
              <w:br/>
            </w:r>
            <w:r w:rsidRPr="00222917">
              <w:rPr>
                <w:bCs/>
                <w:i/>
                <w:sz w:val="16"/>
                <w:lang w:val="en-US"/>
              </w:rPr>
              <w:t xml:space="preserve">children aged 5 </w:t>
            </w:r>
          </w:p>
        </w:tc>
        <w:tc>
          <w:tcPr>
            <w:tcW w:w="1304"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D5BB0" w:rsidRPr="00222917" w:rsidRDefault="002D5BB0" w:rsidP="00D2636A">
            <w:pPr>
              <w:pStyle w:val="SingleTxtG"/>
              <w:suppressAutoHyphens w:val="0"/>
              <w:spacing w:before="80" w:after="80" w:line="200" w:lineRule="exact"/>
              <w:ind w:left="0" w:right="0"/>
              <w:jc w:val="right"/>
              <w:rPr>
                <w:i/>
                <w:sz w:val="16"/>
                <w:lang w:val="en-US"/>
              </w:rPr>
            </w:pPr>
            <w:r w:rsidRPr="00222917">
              <w:rPr>
                <w:bCs/>
                <w:i/>
                <w:sz w:val="16"/>
                <w:lang w:val="en-US"/>
              </w:rPr>
              <w:t xml:space="preserve">Childcare costs subsidized for </w:t>
            </w:r>
            <w:r w:rsidR="00526D4E" w:rsidRPr="00222917">
              <w:rPr>
                <w:bCs/>
                <w:i/>
                <w:sz w:val="16"/>
                <w:lang w:val="en-US"/>
              </w:rPr>
              <w:br/>
            </w:r>
            <w:r w:rsidRPr="00222917">
              <w:rPr>
                <w:bCs/>
                <w:i/>
                <w:sz w:val="16"/>
                <w:lang w:val="en-US"/>
              </w:rPr>
              <w:t xml:space="preserve">disabled children </w:t>
            </w:r>
          </w:p>
        </w:tc>
        <w:tc>
          <w:tcPr>
            <w:tcW w:w="1304"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D5BB0" w:rsidRPr="00222917" w:rsidRDefault="002D5BB0" w:rsidP="00964458">
            <w:pPr>
              <w:pStyle w:val="SingleTxtG"/>
              <w:suppressAutoHyphens w:val="0"/>
              <w:spacing w:before="80" w:after="80" w:line="200" w:lineRule="exact"/>
              <w:ind w:left="0" w:right="0"/>
              <w:jc w:val="right"/>
              <w:rPr>
                <w:i/>
                <w:sz w:val="16"/>
                <w:lang w:val="en-US"/>
              </w:rPr>
            </w:pPr>
            <w:r w:rsidRPr="00222917">
              <w:rPr>
                <w:bCs/>
                <w:i/>
                <w:sz w:val="16"/>
                <w:lang w:val="en-US"/>
              </w:rPr>
              <w:t>Childcare costs subsidized for</w:t>
            </w:r>
            <w:r w:rsidR="00964458" w:rsidRPr="00222917">
              <w:rPr>
                <w:bCs/>
                <w:i/>
                <w:sz w:val="16"/>
                <w:lang w:val="en-US"/>
              </w:rPr>
              <w:t xml:space="preserve"> </w:t>
            </w:r>
            <w:r w:rsidRPr="00222917">
              <w:rPr>
                <w:bCs/>
                <w:i/>
                <w:sz w:val="16"/>
                <w:lang w:val="en-US"/>
              </w:rPr>
              <w:t xml:space="preserve">households </w:t>
            </w:r>
            <w:r w:rsidR="00631242" w:rsidRPr="00222917">
              <w:rPr>
                <w:bCs/>
                <w:i/>
                <w:sz w:val="16"/>
                <w:lang w:val="en-US"/>
              </w:rPr>
              <w:t xml:space="preserve">with </w:t>
            </w:r>
            <w:r w:rsidR="00526D4E" w:rsidRPr="00222917">
              <w:rPr>
                <w:bCs/>
                <w:i/>
                <w:sz w:val="16"/>
                <w:lang w:val="en-US"/>
              </w:rPr>
              <w:br/>
            </w:r>
            <w:r w:rsidR="00631242" w:rsidRPr="00222917">
              <w:rPr>
                <w:bCs/>
                <w:i/>
                <w:sz w:val="16"/>
                <w:lang w:val="en-US"/>
              </w:rPr>
              <w:t>two or more children</w:t>
            </w:r>
            <w:r w:rsidRPr="00222917">
              <w:rPr>
                <w:bCs/>
                <w:sz w:val="16"/>
                <w:lang w:val="en-US"/>
              </w:rPr>
              <w:t>*</w:t>
            </w:r>
          </w:p>
        </w:tc>
      </w:tr>
      <w:tr w:rsidR="008F6543" w:rsidRPr="00222917" w:rsidTr="00AF5C49">
        <w:tc>
          <w:tcPr>
            <w:tcW w:w="680" w:type="dxa"/>
            <w:tcBorders>
              <w:top w:val="single" w:sz="12" w:space="0" w:color="auto"/>
            </w:tcBorders>
            <w:shd w:val="clear" w:color="auto" w:fill="auto"/>
            <w:tcMar>
              <w:top w:w="0" w:type="dxa"/>
              <w:left w:w="0" w:type="dxa"/>
              <w:bottom w:w="0" w:type="dxa"/>
              <w:right w:w="0" w:type="dxa"/>
            </w:tcMar>
          </w:tcPr>
          <w:p w:rsidR="002D5BB0" w:rsidRPr="00222917" w:rsidRDefault="002D5BB0" w:rsidP="00D2636A">
            <w:pPr>
              <w:pStyle w:val="SingleTxtG"/>
              <w:suppressAutoHyphens w:val="0"/>
              <w:spacing w:before="40" w:after="40" w:line="220" w:lineRule="exact"/>
              <w:ind w:left="0" w:right="0"/>
              <w:jc w:val="left"/>
              <w:rPr>
                <w:sz w:val="18"/>
                <w:lang w:val="en-US"/>
              </w:rPr>
            </w:pPr>
            <w:r w:rsidRPr="00222917">
              <w:rPr>
                <w:sz w:val="18"/>
                <w:lang w:val="en-US"/>
              </w:rPr>
              <w:t>2005</w:t>
            </w:r>
          </w:p>
        </w:tc>
        <w:tc>
          <w:tcPr>
            <w:tcW w:w="1304" w:type="dxa"/>
            <w:tcBorders>
              <w:top w:val="single" w:sz="12" w:space="0" w:color="auto"/>
            </w:tcBorders>
            <w:shd w:val="clear" w:color="auto" w:fill="auto"/>
            <w:tcMar>
              <w:top w:w="0" w:type="dxa"/>
              <w:left w:w="0" w:type="dxa"/>
              <w:bottom w:w="0" w:type="dxa"/>
              <w:right w:w="0" w:type="dxa"/>
            </w:tcMar>
            <w:vAlign w:val="bottom"/>
          </w:tcPr>
          <w:p w:rsidR="002D5BB0" w:rsidRPr="00222917" w:rsidRDefault="002D5BB0" w:rsidP="00D2636A">
            <w:pPr>
              <w:pStyle w:val="SingleTxtG"/>
              <w:suppressAutoHyphens w:val="0"/>
              <w:spacing w:before="40" w:after="40" w:line="220" w:lineRule="exact"/>
              <w:ind w:left="0" w:right="0"/>
              <w:jc w:val="right"/>
              <w:rPr>
                <w:sz w:val="18"/>
                <w:lang w:val="en-US"/>
              </w:rPr>
            </w:pPr>
            <w:r w:rsidRPr="00222917">
              <w:rPr>
                <w:sz w:val="18"/>
                <w:lang w:val="en-US"/>
              </w:rPr>
              <w:t>989,390</w:t>
            </w:r>
          </w:p>
        </w:tc>
        <w:tc>
          <w:tcPr>
            <w:tcW w:w="1304" w:type="dxa"/>
            <w:tcBorders>
              <w:top w:val="single" w:sz="12" w:space="0" w:color="auto"/>
            </w:tcBorders>
            <w:shd w:val="clear" w:color="auto" w:fill="auto"/>
            <w:tcMar>
              <w:top w:w="0" w:type="dxa"/>
              <w:left w:w="0" w:type="dxa"/>
              <w:bottom w:w="0" w:type="dxa"/>
              <w:right w:w="0" w:type="dxa"/>
            </w:tcMar>
            <w:vAlign w:val="bottom"/>
          </w:tcPr>
          <w:p w:rsidR="002D5BB0" w:rsidRPr="00222917" w:rsidRDefault="002D5BB0" w:rsidP="00D2636A">
            <w:pPr>
              <w:pStyle w:val="SingleTxtG"/>
              <w:suppressAutoHyphens w:val="0"/>
              <w:spacing w:before="40" w:after="40" w:line="220" w:lineRule="exact"/>
              <w:ind w:left="0" w:right="0"/>
              <w:jc w:val="right"/>
              <w:rPr>
                <w:sz w:val="18"/>
                <w:lang w:val="en-US"/>
              </w:rPr>
            </w:pPr>
            <w:r w:rsidRPr="00222917">
              <w:rPr>
                <w:sz w:val="18"/>
                <w:lang w:val="en-US"/>
              </w:rPr>
              <w:t>462,952</w:t>
            </w:r>
          </w:p>
        </w:tc>
        <w:tc>
          <w:tcPr>
            <w:tcW w:w="1304" w:type="dxa"/>
            <w:tcBorders>
              <w:top w:val="single" w:sz="12" w:space="0" w:color="auto"/>
            </w:tcBorders>
            <w:shd w:val="clear" w:color="auto" w:fill="auto"/>
            <w:tcMar>
              <w:top w:w="0" w:type="dxa"/>
              <w:left w:w="0" w:type="dxa"/>
              <w:bottom w:w="0" w:type="dxa"/>
              <w:right w:w="0" w:type="dxa"/>
            </w:tcMar>
            <w:vAlign w:val="bottom"/>
          </w:tcPr>
          <w:p w:rsidR="002D5BB0" w:rsidRPr="00222917" w:rsidRDefault="002D5BB0" w:rsidP="00D2636A">
            <w:pPr>
              <w:pStyle w:val="SingleTxtG"/>
              <w:suppressAutoHyphens w:val="0"/>
              <w:spacing w:before="40" w:after="40" w:line="220" w:lineRule="exact"/>
              <w:ind w:left="0" w:right="0"/>
              <w:jc w:val="right"/>
              <w:rPr>
                <w:sz w:val="18"/>
                <w:lang w:val="en-US"/>
              </w:rPr>
            </w:pPr>
            <w:r w:rsidRPr="00222917">
              <w:rPr>
                <w:sz w:val="18"/>
                <w:lang w:val="en-US"/>
              </w:rPr>
              <w:t>342,604</w:t>
            </w:r>
          </w:p>
        </w:tc>
        <w:tc>
          <w:tcPr>
            <w:tcW w:w="1304" w:type="dxa"/>
            <w:tcBorders>
              <w:top w:val="single" w:sz="12" w:space="0" w:color="auto"/>
            </w:tcBorders>
            <w:shd w:val="clear" w:color="auto" w:fill="auto"/>
            <w:tcMar>
              <w:top w:w="0" w:type="dxa"/>
              <w:left w:w="0" w:type="dxa"/>
              <w:bottom w:w="0" w:type="dxa"/>
              <w:right w:w="0" w:type="dxa"/>
            </w:tcMar>
            <w:vAlign w:val="bottom"/>
          </w:tcPr>
          <w:p w:rsidR="002D5BB0" w:rsidRPr="00222917" w:rsidRDefault="002D5BB0" w:rsidP="00D2636A">
            <w:pPr>
              <w:pStyle w:val="SingleTxtG"/>
              <w:suppressAutoHyphens w:val="0"/>
              <w:spacing w:before="40" w:after="40" w:line="220" w:lineRule="exact"/>
              <w:ind w:left="0" w:right="0"/>
              <w:jc w:val="right"/>
              <w:rPr>
                <w:sz w:val="18"/>
                <w:lang w:val="en-US"/>
              </w:rPr>
            </w:pPr>
            <w:r w:rsidRPr="00222917">
              <w:rPr>
                <w:sz w:val="18"/>
                <w:lang w:val="en-US"/>
              </w:rPr>
              <w:t>105,760</w:t>
            </w:r>
          </w:p>
        </w:tc>
        <w:tc>
          <w:tcPr>
            <w:tcW w:w="1304" w:type="dxa"/>
            <w:tcBorders>
              <w:top w:val="single" w:sz="12" w:space="0" w:color="auto"/>
            </w:tcBorders>
            <w:shd w:val="clear" w:color="auto" w:fill="auto"/>
            <w:tcMar>
              <w:top w:w="0" w:type="dxa"/>
              <w:left w:w="0" w:type="dxa"/>
              <w:bottom w:w="0" w:type="dxa"/>
              <w:right w:w="0" w:type="dxa"/>
            </w:tcMar>
            <w:vAlign w:val="bottom"/>
          </w:tcPr>
          <w:p w:rsidR="002D5BB0" w:rsidRPr="00222917" w:rsidRDefault="002D5BB0" w:rsidP="00D2636A">
            <w:pPr>
              <w:pStyle w:val="SingleTxtG"/>
              <w:suppressAutoHyphens w:val="0"/>
              <w:spacing w:before="40" w:after="40" w:line="220" w:lineRule="exact"/>
              <w:ind w:left="0" w:right="0"/>
              <w:jc w:val="right"/>
              <w:rPr>
                <w:sz w:val="18"/>
                <w:lang w:val="en-US"/>
              </w:rPr>
            </w:pPr>
            <w:r w:rsidRPr="00222917">
              <w:rPr>
                <w:sz w:val="18"/>
                <w:lang w:val="en-US"/>
              </w:rPr>
              <w:t>14,588</w:t>
            </w:r>
          </w:p>
        </w:tc>
        <w:tc>
          <w:tcPr>
            <w:tcW w:w="1304" w:type="dxa"/>
            <w:tcBorders>
              <w:top w:val="single" w:sz="12" w:space="0" w:color="auto"/>
            </w:tcBorders>
            <w:shd w:val="clear" w:color="auto" w:fill="auto"/>
            <w:tcMar>
              <w:top w:w="0" w:type="dxa"/>
              <w:left w:w="0" w:type="dxa"/>
              <w:bottom w:w="0" w:type="dxa"/>
              <w:right w:w="0" w:type="dxa"/>
            </w:tcMar>
            <w:vAlign w:val="bottom"/>
          </w:tcPr>
          <w:p w:rsidR="002D5BB0" w:rsidRPr="00222917" w:rsidRDefault="002D5BB0" w:rsidP="00D2636A">
            <w:pPr>
              <w:pStyle w:val="SingleTxtG"/>
              <w:suppressAutoHyphens w:val="0"/>
              <w:spacing w:before="40" w:after="40" w:line="220" w:lineRule="exact"/>
              <w:ind w:left="0" w:right="0"/>
              <w:jc w:val="right"/>
              <w:rPr>
                <w:sz w:val="18"/>
                <w:lang w:val="en-US"/>
              </w:rPr>
            </w:pPr>
            <w:r w:rsidRPr="00222917">
              <w:rPr>
                <w:sz w:val="18"/>
                <w:lang w:val="en-US"/>
              </w:rPr>
              <w:t>73,097</w:t>
            </w:r>
          </w:p>
        </w:tc>
      </w:tr>
      <w:tr w:rsidR="008F6543" w:rsidRPr="00222917" w:rsidTr="00AF5C49">
        <w:tc>
          <w:tcPr>
            <w:tcW w:w="680" w:type="dxa"/>
            <w:shd w:val="clear" w:color="auto" w:fill="auto"/>
            <w:tcMar>
              <w:top w:w="0" w:type="dxa"/>
              <w:left w:w="0" w:type="dxa"/>
              <w:bottom w:w="0" w:type="dxa"/>
              <w:right w:w="0" w:type="dxa"/>
            </w:tcMar>
          </w:tcPr>
          <w:p w:rsidR="002D5BB0" w:rsidRPr="00222917" w:rsidRDefault="002D5BB0" w:rsidP="00D2636A">
            <w:pPr>
              <w:pStyle w:val="SingleTxtG"/>
              <w:suppressAutoHyphens w:val="0"/>
              <w:spacing w:before="40" w:after="40" w:line="220" w:lineRule="exact"/>
              <w:ind w:left="0" w:right="0"/>
              <w:jc w:val="left"/>
              <w:rPr>
                <w:sz w:val="18"/>
                <w:lang w:val="en-US"/>
              </w:rPr>
            </w:pPr>
            <w:r w:rsidRPr="00222917">
              <w:rPr>
                <w:sz w:val="18"/>
                <w:lang w:val="en-US"/>
              </w:rPr>
              <w:t>2006</w:t>
            </w:r>
          </w:p>
        </w:tc>
        <w:tc>
          <w:tcPr>
            <w:tcW w:w="1304" w:type="dxa"/>
            <w:shd w:val="clear" w:color="auto" w:fill="auto"/>
            <w:tcMar>
              <w:top w:w="0" w:type="dxa"/>
              <w:left w:w="0" w:type="dxa"/>
              <w:bottom w:w="0" w:type="dxa"/>
              <w:right w:w="0" w:type="dxa"/>
            </w:tcMar>
            <w:vAlign w:val="bottom"/>
          </w:tcPr>
          <w:p w:rsidR="002D5BB0" w:rsidRPr="00222917" w:rsidRDefault="002D5BB0" w:rsidP="00D2636A">
            <w:pPr>
              <w:pStyle w:val="SingleTxtG"/>
              <w:suppressAutoHyphens w:val="0"/>
              <w:spacing w:before="40" w:after="40" w:line="220" w:lineRule="exact"/>
              <w:ind w:left="0" w:right="0"/>
              <w:jc w:val="right"/>
              <w:rPr>
                <w:sz w:val="18"/>
                <w:lang w:val="en-US"/>
              </w:rPr>
            </w:pPr>
            <w:r w:rsidRPr="00222917">
              <w:rPr>
                <w:sz w:val="18"/>
                <w:lang w:val="en-US"/>
              </w:rPr>
              <w:t>1,040,361</w:t>
            </w:r>
          </w:p>
        </w:tc>
        <w:tc>
          <w:tcPr>
            <w:tcW w:w="1304" w:type="dxa"/>
            <w:shd w:val="clear" w:color="auto" w:fill="auto"/>
            <w:tcMar>
              <w:top w:w="0" w:type="dxa"/>
              <w:left w:w="0" w:type="dxa"/>
              <w:bottom w:w="0" w:type="dxa"/>
              <w:right w:w="0" w:type="dxa"/>
            </w:tcMar>
            <w:vAlign w:val="bottom"/>
          </w:tcPr>
          <w:p w:rsidR="002D5BB0" w:rsidRPr="00222917" w:rsidRDefault="002D5BB0" w:rsidP="00D2636A">
            <w:pPr>
              <w:pStyle w:val="SingleTxtG"/>
              <w:suppressAutoHyphens w:val="0"/>
              <w:spacing w:before="40" w:after="40" w:line="220" w:lineRule="exact"/>
              <w:ind w:left="0" w:right="0"/>
              <w:jc w:val="right"/>
              <w:rPr>
                <w:sz w:val="18"/>
                <w:lang w:val="en-US"/>
              </w:rPr>
            </w:pPr>
            <w:r w:rsidRPr="00222917">
              <w:rPr>
                <w:sz w:val="18"/>
                <w:lang w:val="en-US"/>
              </w:rPr>
              <w:t>616,991</w:t>
            </w:r>
          </w:p>
        </w:tc>
        <w:tc>
          <w:tcPr>
            <w:tcW w:w="1304" w:type="dxa"/>
            <w:shd w:val="clear" w:color="auto" w:fill="auto"/>
            <w:tcMar>
              <w:top w:w="0" w:type="dxa"/>
              <w:left w:w="0" w:type="dxa"/>
              <w:bottom w:w="0" w:type="dxa"/>
              <w:right w:w="0" w:type="dxa"/>
            </w:tcMar>
            <w:vAlign w:val="bottom"/>
          </w:tcPr>
          <w:p w:rsidR="002D5BB0" w:rsidRPr="00222917" w:rsidRDefault="002D5BB0" w:rsidP="00D2636A">
            <w:pPr>
              <w:pStyle w:val="SingleTxtG"/>
              <w:suppressAutoHyphens w:val="0"/>
              <w:spacing w:before="40" w:after="40" w:line="220" w:lineRule="exact"/>
              <w:ind w:left="0" w:right="0"/>
              <w:jc w:val="right"/>
              <w:rPr>
                <w:sz w:val="18"/>
                <w:lang w:val="en-US"/>
              </w:rPr>
            </w:pPr>
            <w:r w:rsidRPr="00222917">
              <w:rPr>
                <w:sz w:val="18"/>
                <w:lang w:val="en-US"/>
              </w:rPr>
              <w:t>463,867</w:t>
            </w:r>
          </w:p>
        </w:tc>
        <w:tc>
          <w:tcPr>
            <w:tcW w:w="1304" w:type="dxa"/>
            <w:shd w:val="clear" w:color="auto" w:fill="auto"/>
            <w:tcMar>
              <w:top w:w="0" w:type="dxa"/>
              <w:left w:w="0" w:type="dxa"/>
              <w:bottom w:w="0" w:type="dxa"/>
              <w:right w:w="0" w:type="dxa"/>
            </w:tcMar>
            <w:vAlign w:val="bottom"/>
          </w:tcPr>
          <w:p w:rsidR="002D5BB0" w:rsidRPr="00222917" w:rsidRDefault="002D5BB0" w:rsidP="00D2636A">
            <w:pPr>
              <w:pStyle w:val="SingleTxtG"/>
              <w:suppressAutoHyphens w:val="0"/>
              <w:spacing w:before="40" w:after="40" w:line="220" w:lineRule="exact"/>
              <w:ind w:left="0" w:right="0"/>
              <w:jc w:val="right"/>
              <w:rPr>
                <w:sz w:val="18"/>
                <w:lang w:val="en-US"/>
              </w:rPr>
            </w:pPr>
            <w:r w:rsidRPr="00222917">
              <w:rPr>
                <w:sz w:val="18"/>
                <w:lang w:val="en-US"/>
              </w:rPr>
              <w:t>139,031</w:t>
            </w:r>
          </w:p>
        </w:tc>
        <w:tc>
          <w:tcPr>
            <w:tcW w:w="1304" w:type="dxa"/>
            <w:shd w:val="clear" w:color="auto" w:fill="auto"/>
            <w:tcMar>
              <w:top w:w="0" w:type="dxa"/>
              <w:left w:w="0" w:type="dxa"/>
              <w:bottom w:w="0" w:type="dxa"/>
              <w:right w:w="0" w:type="dxa"/>
            </w:tcMar>
            <w:vAlign w:val="bottom"/>
          </w:tcPr>
          <w:p w:rsidR="002D5BB0" w:rsidRPr="00222917" w:rsidRDefault="002D5BB0" w:rsidP="00D2636A">
            <w:pPr>
              <w:pStyle w:val="SingleTxtG"/>
              <w:suppressAutoHyphens w:val="0"/>
              <w:spacing w:before="40" w:after="40" w:line="220" w:lineRule="exact"/>
              <w:ind w:left="0" w:right="0"/>
              <w:jc w:val="right"/>
              <w:rPr>
                <w:sz w:val="18"/>
                <w:lang w:val="en-US"/>
              </w:rPr>
            </w:pPr>
            <w:r w:rsidRPr="00222917">
              <w:rPr>
                <w:sz w:val="18"/>
                <w:lang w:val="en-US"/>
              </w:rPr>
              <w:t>14,093</w:t>
            </w:r>
          </w:p>
        </w:tc>
        <w:tc>
          <w:tcPr>
            <w:tcW w:w="1304" w:type="dxa"/>
            <w:shd w:val="clear" w:color="auto" w:fill="auto"/>
            <w:tcMar>
              <w:top w:w="0" w:type="dxa"/>
              <w:left w:w="0" w:type="dxa"/>
              <w:bottom w:w="0" w:type="dxa"/>
              <w:right w:w="0" w:type="dxa"/>
            </w:tcMar>
            <w:vAlign w:val="bottom"/>
          </w:tcPr>
          <w:p w:rsidR="002D5BB0" w:rsidRPr="00222917" w:rsidRDefault="002D5BB0" w:rsidP="00D2636A">
            <w:pPr>
              <w:pStyle w:val="SingleTxtG"/>
              <w:suppressAutoHyphens w:val="0"/>
              <w:spacing w:before="40" w:after="40" w:line="220" w:lineRule="exact"/>
              <w:ind w:left="0" w:right="0"/>
              <w:jc w:val="right"/>
              <w:rPr>
                <w:sz w:val="18"/>
                <w:lang w:val="en-US"/>
              </w:rPr>
            </w:pPr>
            <w:r w:rsidRPr="00222917">
              <w:rPr>
                <w:sz w:val="18"/>
                <w:lang w:val="en-US"/>
              </w:rPr>
              <w:t>63,745</w:t>
            </w:r>
          </w:p>
        </w:tc>
      </w:tr>
      <w:tr w:rsidR="008F6543" w:rsidRPr="00222917" w:rsidTr="00AF5C49">
        <w:tc>
          <w:tcPr>
            <w:tcW w:w="680" w:type="dxa"/>
            <w:shd w:val="clear" w:color="auto" w:fill="auto"/>
            <w:tcMar>
              <w:top w:w="0" w:type="dxa"/>
              <w:left w:w="0" w:type="dxa"/>
              <w:bottom w:w="0" w:type="dxa"/>
              <w:right w:w="0" w:type="dxa"/>
            </w:tcMar>
          </w:tcPr>
          <w:p w:rsidR="002D5BB0" w:rsidRPr="00222917" w:rsidRDefault="002D5BB0" w:rsidP="00D2636A">
            <w:pPr>
              <w:pStyle w:val="SingleTxtG"/>
              <w:suppressAutoHyphens w:val="0"/>
              <w:spacing w:before="40" w:after="40" w:line="220" w:lineRule="exact"/>
              <w:ind w:left="0" w:right="0"/>
              <w:jc w:val="left"/>
              <w:rPr>
                <w:sz w:val="18"/>
                <w:lang w:val="en-US"/>
              </w:rPr>
            </w:pPr>
            <w:r w:rsidRPr="00222917">
              <w:rPr>
                <w:sz w:val="18"/>
                <w:lang w:val="en-US"/>
              </w:rPr>
              <w:t>2007</w:t>
            </w:r>
          </w:p>
        </w:tc>
        <w:tc>
          <w:tcPr>
            <w:tcW w:w="1304" w:type="dxa"/>
            <w:shd w:val="clear" w:color="auto" w:fill="auto"/>
            <w:tcMar>
              <w:top w:w="0" w:type="dxa"/>
              <w:left w:w="0" w:type="dxa"/>
              <w:bottom w:w="0" w:type="dxa"/>
              <w:right w:w="0" w:type="dxa"/>
            </w:tcMar>
            <w:vAlign w:val="bottom"/>
          </w:tcPr>
          <w:p w:rsidR="002D5BB0" w:rsidRPr="00222917" w:rsidRDefault="002D5BB0" w:rsidP="00D2636A">
            <w:pPr>
              <w:pStyle w:val="SingleTxtG"/>
              <w:suppressAutoHyphens w:val="0"/>
              <w:spacing w:before="40" w:after="40" w:line="220" w:lineRule="exact"/>
              <w:ind w:left="0" w:right="0"/>
              <w:jc w:val="right"/>
              <w:rPr>
                <w:sz w:val="18"/>
                <w:lang w:val="en-US"/>
              </w:rPr>
            </w:pPr>
            <w:r w:rsidRPr="00222917">
              <w:rPr>
                <w:sz w:val="18"/>
                <w:lang w:val="en-US"/>
              </w:rPr>
              <w:t>1,099,933</w:t>
            </w:r>
          </w:p>
        </w:tc>
        <w:tc>
          <w:tcPr>
            <w:tcW w:w="1304" w:type="dxa"/>
            <w:shd w:val="clear" w:color="auto" w:fill="auto"/>
            <w:tcMar>
              <w:top w:w="0" w:type="dxa"/>
              <w:left w:w="0" w:type="dxa"/>
              <w:bottom w:w="0" w:type="dxa"/>
              <w:right w:w="0" w:type="dxa"/>
            </w:tcMar>
            <w:vAlign w:val="bottom"/>
          </w:tcPr>
          <w:p w:rsidR="002D5BB0" w:rsidRPr="00222917" w:rsidRDefault="002D5BB0" w:rsidP="00D2636A">
            <w:pPr>
              <w:pStyle w:val="SingleTxtG"/>
              <w:suppressAutoHyphens w:val="0"/>
              <w:spacing w:before="40" w:after="40" w:line="220" w:lineRule="exact"/>
              <w:ind w:left="0" w:right="0"/>
              <w:jc w:val="right"/>
              <w:rPr>
                <w:sz w:val="18"/>
                <w:lang w:val="en-US"/>
              </w:rPr>
            </w:pPr>
            <w:r w:rsidRPr="00222917">
              <w:rPr>
                <w:sz w:val="18"/>
                <w:lang w:val="en-US"/>
              </w:rPr>
              <w:t>749,754</w:t>
            </w:r>
          </w:p>
        </w:tc>
        <w:tc>
          <w:tcPr>
            <w:tcW w:w="1304" w:type="dxa"/>
            <w:shd w:val="clear" w:color="auto" w:fill="auto"/>
            <w:tcMar>
              <w:top w:w="0" w:type="dxa"/>
              <w:left w:w="0" w:type="dxa"/>
              <w:bottom w:w="0" w:type="dxa"/>
              <w:right w:w="0" w:type="dxa"/>
            </w:tcMar>
            <w:vAlign w:val="bottom"/>
          </w:tcPr>
          <w:p w:rsidR="002D5BB0" w:rsidRPr="00222917" w:rsidRDefault="002D5BB0" w:rsidP="00D2636A">
            <w:pPr>
              <w:pStyle w:val="SingleTxtG"/>
              <w:suppressAutoHyphens w:val="0"/>
              <w:spacing w:before="40" w:after="40" w:line="220" w:lineRule="exact"/>
              <w:ind w:left="0" w:right="0"/>
              <w:jc w:val="right"/>
              <w:rPr>
                <w:sz w:val="18"/>
                <w:lang w:val="en-US"/>
              </w:rPr>
            </w:pPr>
            <w:r w:rsidRPr="00222917">
              <w:rPr>
                <w:sz w:val="18"/>
                <w:lang w:val="en-US"/>
              </w:rPr>
              <w:t>586,836</w:t>
            </w:r>
          </w:p>
        </w:tc>
        <w:tc>
          <w:tcPr>
            <w:tcW w:w="1304" w:type="dxa"/>
            <w:shd w:val="clear" w:color="auto" w:fill="auto"/>
            <w:tcMar>
              <w:top w:w="0" w:type="dxa"/>
              <w:left w:w="0" w:type="dxa"/>
              <w:bottom w:w="0" w:type="dxa"/>
              <w:right w:w="0" w:type="dxa"/>
            </w:tcMar>
            <w:vAlign w:val="bottom"/>
          </w:tcPr>
          <w:p w:rsidR="002D5BB0" w:rsidRPr="00222917" w:rsidRDefault="002D5BB0" w:rsidP="00D2636A">
            <w:pPr>
              <w:pStyle w:val="SingleTxtG"/>
              <w:suppressAutoHyphens w:val="0"/>
              <w:spacing w:before="40" w:after="40" w:line="220" w:lineRule="exact"/>
              <w:ind w:left="0" w:right="0"/>
              <w:jc w:val="right"/>
              <w:rPr>
                <w:sz w:val="18"/>
                <w:lang w:val="en-US"/>
              </w:rPr>
            </w:pPr>
            <w:r w:rsidRPr="00222917">
              <w:rPr>
                <w:sz w:val="18"/>
                <w:lang w:val="en-US"/>
              </w:rPr>
              <w:t>145,303</w:t>
            </w:r>
          </w:p>
        </w:tc>
        <w:tc>
          <w:tcPr>
            <w:tcW w:w="1304" w:type="dxa"/>
            <w:shd w:val="clear" w:color="auto" w:fill="auto"/>
            <w:tcMar>
              <w:top w:w="0" w:type="dxa"/>
              <w:left w:w="0" w:type="dxa"/>
              <w:bottom w:w="0" w:type="dxa"/>
              <w:right w:w="0" w:type="dxa"/>
            </w:tcMar>
            <w:vAlign w:val="bottom"/>
          </w:tcPr>
          <w:p w:rsidR="002D5BB0" w:rsidRPr="00222917" w:rsidRDefault="002D5BB0" w:rsidP="00D2636A">
            <w:pPr>
              <w:pStyle w:val="SingleTxtG"/>
              <w:suppressAutoHyphens w:val="0"/>
              <w:spacing w:before="40" w:after="40" w:line="220" w:lineRule="exact"/>
              <w:ind w:left="0" w:right="0"/>
              <w:jc w:val="right"/>
              <w:rPr>
                <w:sz w:val="18"/>
                <w:lang w:val="en-US"/>
              </w:rPr>
            </w:pPr>
            <w:r w:rsidRPr="00222917">
              <w:rPr>
                <w:sz w:val="18"/>
                <w:lang w:val="en-US"/>
              </w:rPr>
              <w:t>17,615</w:t>
            </w:r>
          </w:p>
        </w:tc>
        <w:tc>
          <w:tcPr>
            <w:tcW w:w="1304" w:type="dxa"/>
            <w:shd w:val="clear" w:color="auto" w:fill="auto"/>
            <w:tcMar>
              <w:top w:w="0" w:type="dxa"/>
              <w:left w:w="0" w:type="dxa"/>
              <w:bottom w:w="0" w:type="dxa"/>
              <w:right w:w="0" w:type="dxa"/>
            </w:tcMar>
            <w:vAlign w:val="bottom"/>
          </w:tcPr>
          <w:p w:rsidR="002D5BB0" w:rsidRPr="00222917" w:rsidRDefault="002D5BB0" w:rsidP="00D2636A">
            <w:pPr>
              <w:pStyle w:val="SingleTxtG"/>
              <w:suppressAutoHyphens w:val="0"/>
              <w:spacing w:before="40" w:after="40" w:line="220" w:lineRule="exact"/>
              <w:ind w:left="0" w:right="0"/>
              <w:jc w:val="right"/>
              <w:rPr>
                <w:sz w:val="18"/>
                <w:lang w:val="en-US"/>
              </w:rPr>
            </w:pPr>
            <w:r w:rsidRPr="00222917">
              <w:rPr>
                <w:sz w:val="18"/>
                <w:lang w:val="en-US"/>
              </w:rPr>
              <w:t>109,599</w:t>
            </w:r>
          </w:p>
        </w:tc>
      </w:tr>
      <w:tr w:rsidR="008F6543" w:rsidRPr="00222917" w:rsidTr="00AF5C49">
        <w:tc>
          <w:tcPr>
            <w:tcW w:w="680" w:type="dxa"/>
            <w:tcBorders>
              <w:bottom w:val="single" w:sz="12" w:space="0" w:color="auto"/>
            </w:tcBorders>
            <w:shd w:val="clear" w:color="auto" w:fill="auto"/>
            <w:tcMar>
              <w:top w:w="0" w:type="dxa"/>
              <w:left w:w="0" w:type="dxa"/>
              <w:bottom w:w="0" w:type="dxa"/>
              <w:right w:w="0" w:type="dxa"/>
            </w:tcMar>
          </w:tcPr>
          <w:p w:rsidR="002D5BB0" w:rsidRPr="00222917" w:rsidRDefault="002D5BB0" w:rsidP="00D2636A">
            <w:pPr>
              <w:pStyle w:val="SingleTxtG"/>
              <w:suppressAutoHyphens w:val="0"/>
              <w:spacing w:before="40" w:after="40" w:line="220" w:lineRule="exact"/>
              <w:ind w:left="0" w:right="0"/>
              <w:jc w:val="left"/>
              <w:rPr>
                <w:sz w:val="18"/>
                <w:lang w:val="en-US"/>
              </w:rPr>
            </w:pPr>
            <w:r w:rsidRPr="00222917">
              <w:rPr>
                <w:sz w:val="18"/>
                <w:lang w:val="en-US"/>
              </w:rPr>
              <w:t>2008</w:t>
            </w:r>
          </w:p>
        </w:tc>
        <w:tc>
          <w:tcPr>
            <w:tcW w:w="1304" w:type="dxa"/>
            <w:tcBorders>
              <w:bottom w:val="single" w:sz="12" w:space="0" w:color="auto"/>
            </w:tcBorders>
            <w:shd w:val="clear" w:color="auto" w:fill="auto"/>
            <w:tcMar>
              <w:top w:w="0" w:type="dxa"/>
              <w:left w:w="0" w:type="dxa"/>
              <w:bottom w:w="0" w:type="dxa"/>
              <w:right w:w="0" w:type="dxa"/>
            </w:tcMar>
            <w:vAlign w:val="bottom"/>
          </w:tcPr>
          <w:p w:rsidR="002D5BB0" w:rsidRPr="00222917" w:rsidRDefault="002D5BB0" w:rsidP="00D2636A">
            <w:pPr>
              <w:pStyle w:val="SingleTxtG"/>
              <w:suppressAutoHyphens w:val="0"/>
              <w:spacing w:before="40" w:after="40" w:line="220" w:lineRule="exact"/>
              <w:ind w:left="0" w:right="0"/>
              <w:jc w:val="right"/>
              <w:rPr>
                <w:sz w:val="18"/>
                <w:lang w:val="en-US"/>
              </w:rPr>
            </w:pPr>
            <w:r w:rsidRPr="00222917">
              <w:rPr>
                <w:sz w:val="18"/>
                <w:lang w:val="en-US"/>
              </w:rPr>
              <w:t>1,135,502</w:t>
            </w:r>
          </w:p>
        </w:tc>
        <w:tc>
          <w:tcPr>
            <w:tcW w:w="1304" w:type="dxa"/>
            <w:tcBorders>
              <w:bottom w:val="single" w:sz="12" w:space="0" w:color="auto"/>
            </w:tcBorders>
            <w:shd w:val="clear" w:color="auto" w:fill="auto"/>
            <w:tcMar>
              <w:top w:w="0" w:type="dxa"/>
              <w:left w:w="0" w:type="dxa"/>
              <w:bottom w:w="0" w:type="dxa"/>
              <w:right w:w="0" w:type="dxa"/>
            </w:tcMar>
            <w:vAlign w:val="bottom"/>
          </w:tcPr>
          <w:p w:rsidR="002D5BB0" w:rsidRPr="00222917" w:rsidRDefault="002D5BB0" w:rsidP="00D2636A">
            <w:pPr>
              <w:pStyle w:val="SingleTxtG"/>
              <w:suppressAutoHyphens w:val="0"/>
              <w:spacing w:before="40" w:after="40" w:line="220" w:lineRule="exact"/>
              <w:ind w:left="0" w:right="0"/>
              <w:jc w:val="right"/>
              <w:rPr>
                <w:sz w:val="18"/>
                <w:lang w:val="en-US"/>
              </w:rPr>
            </w:pPr>
            <w:r w:rsidRPr="00222917">
              <w:rPr>
                <w:sz w:val="18"/>
                <w:lang w:val="en-US"/>
              </w:rPr>
              <w:t>730,333</w:t>
            </w:r>
          </w:p>
        </w:tc>
        <w:tc>
          <w:tcPr>
            <w:tcW w:w="1304" w:type="dxa"/>
            <w:tcBorders>
              <w:bottom w:val="single" w:sz="12" w:space="0" w:color="auto"/>
            </w:tcBorders>
            <w:shd w:val="clear" w:color="auto" w:fill="auto"/>
            <w:tcMar>
              <w:top w:w="0" w:type="dxa"/>
              <w:left w:w="0" w:type="dxa"/>
              <w:bottom w:w="0" w:type="dxa"/>
              <w:right w:w="0" w:type="dxa"/>
            </w:tcMar>
            <w:vAlign w:val="bottom"/>
          </w:tcPr>
          <w:p w:rsidR="002D5BB0" w:rsidRPr="00222917" w:rsidRDefault="002D5BB0" w:rsidP="00D2636A">
            <w:pPr>
              <w:pStyle w:val="SingleTxtG"/>
              <w:suppressAutoHyphens w:val="0"/>
              <w:spacing w:before="40" w:after="40" w:line="220" w:lineRule="exact"/>
              <w:ind w:left="0" w:right="0"/>
              <w:jc w:val="right"/>
              <w:rPr>
                <w:sz w:val="18"/>
                <w:lang w:val="en-US"/>
              </w:rPr>
            </w:pPr>
            <w:r w:rsidRPr="00222917">
              <w:rPr>
                <w:sz w:val="18"/>
                <w:lang w:val="en-US"/>
              </w:rPr>
              <w:t>592,256</w:t>
            </w:r>
          </w:p>
        </w:tc>
        <w:tc>
          <w:tcPr>
            <w:tcW w:w="1304" w:type="dxa"/>
            <w:tcBorders>
              <w:bottom w:val="single" w:sz="12" w:space="0" w:color="auto"/>
            </w:tcBorders>
            <w:shd w:val="clear" w:color="auto" w:fill="auto"/>
            <w:tcMar>
              <w:top w:w="0" w:type="dxa"/>
              <w:left w:w="0" w:type="dxa"/>
              <w:bottom w:w="0" w:type="dxa"/>
              <w:right w:w="0" w:type="dxa"/>
            </w:tcMar>
            <w:vAlign w:val="bottom"/>
          </w:tcPr>
          <w:p w:rsidR="002D5BB0" w:rsidRPr="00222917" w:rsidRDefault="002D5BB0" w:rsidP="00D2636A">
            <w:pPr>
              <w:pStyle w:val="SingleTxtG"/>
              <w:suppressAutoHyphens w:val="0"/>
              <w:spacing w:before="40" w:after="40" w:line="220" w:lineRule="exact"/>
              <w:ind w:left="0" w:right="0"/>
              <w:jc w:val="right"/>
              <w:rPr>
                <w:sz w:val="18"/>
                <w:lang w:val="en-US"/>
              </w:rPr>
            </w:pPr>
            <w:r w:rsidRPr="00222917">
              <w:rPr>
                <w:sz w:val="18"/>
                <w:lang w:val="en-US"/>
              </w:rPr>
              <w:t>122,857</w:t>
            </w:r>
          </w:p>
        </w:tc>
        <w:tc>
          <w:tcPr>
            <w:tcW w:w="1304" w:type="dxa"/>
            <w:tcBorders>
              <w:bottom w:val="single" w:sz="12" w:space="0" w:color="auto"/>
            </w:tcBorders>
            <w:shd w:val="clear" w:color="auto" w:fill="auto"/>
            <w:tcMar>
              <w:top w:w="0" w:type="dxa"/>
              <w:left w:w="0" w:type="dxa"/>
              <w:bottom w:w="0" w:type="dxa"/>
              <w:right w:w="0" w:type="dxa"/>
            </w:tcMar>
            <w:vAlign w:val="bottom"/>
          </w:tcPr>
          <w:p w:rsidR="002D5BB0" w:rsidRPr="00222917" w:rsidRDefault="002D5BB0" w:rsidP="00D2636A">
            <w:pPr>
              <w:pStyle w:val="SingleTxtG"/>
              <w:suppressAutoHyphens w:val="0"/>
              <w:spacing w:before="40" w:after="40" w:line="220" w:lineRule="exact"/>
              <w:ind w:left="0" w:right="0"/>
              <w:jc w:val="right"/>
              <w:rPr>
                <w:sz w:val="18"/>
                <w:lang w:val="en-US"/>
              </w:rPr>
            </w:pPr>
            <w:r w:rsidRPr="00222917">
              <w:rPr>
                <w:sz w:val="18"/>
                <w:lang w:val="en-US"/>
              </w:rPr>
              <w:t>15,220</w:t>
            </w:r>
          </w:p>
        </w:tc>
        <w:tc>
          <w:tcPr>
            <w:tcW w:w="1304" w:type="dxa"/>
            <w:tcBorders>
              <w:bottom w:val="single" w:sz="12" w:space="0" w:color="auto"/>
            </w:tcBorders>
            <w:shd w:val="clear" w:color="auto" w:fill="auto"/>
            <w:tcMar>
              <w:top w:w="0" w:type="dxa"/>
              <w:left w:w="0" w:type="dxa"/>
              <w:bottom w:w="0" w:type="dxa"/>
              <w:right w:w="0" w:type="dxa"/>
            </w:tcMar>
            <w:vAlign w:val="bottom"/>
          </w:tcPr>
          <w:p w:rsidR="002D5BB0" w:rsidRPr="00222917" w:rsidRDefault="002D5BB0" w:rsidP="00D2636A">
            <w:pPr>
              <w:pStyle w:val="SingleTxtG"/>
              <w:suppressAutoHyphens w:val="0"/>
              <w:spacing w:before="40" w:after="40" w:line="220" w:lineRule="exact"/>
              <w:ind w:left="0" w:right="0"/>
              <w:jc w:val="right"/>
              <w:rPr>
                <w:sz w:val="18"/>
                <w:lang w:val="en-US"/>
              </w:rPr>
            </w:pPr>
            <w:r w:rsidRPr="00222917">
              <w:rPr>
                <w:sz w:val="18"/>
                <w:lang w:val="en-US"/>
              </w:rPr>
              <w:t>107,554</w:t>
            </w:r>
          </w:p>
        </w:tc>
      </w:tr>
    </w:tbl>
    <w:p w:rsidR="002D5BB0" w:rsidRPr="00222917" w:rsidRDefault="002D5BB0" w:rsidP="00EF1CF3">
      <w:pPr>
        <w:pStyle w:val="SingleTxtG"/>
        <w:spacing w:before="120" w:after="240"/>
        <w:ind w:firstLine="170"/>
        <w:jc w:val="left"/>
        <w:rPr>
          <w:sz w:val="18"/>
          <w:szCs w:val="18"/>
          <w:lang w:val="en-US"/>
        </w:rPr>
      </w:pPr>
      <w:r w:rsidRPr="00222917">
        <w:rPr>
          <w:sz w:val="18"/>
          <w:szCs w:val="18"/>
          <w:lang w:val="en-US"/>
        </w:rPr>
        <w:t>* The childcare costs subsidized for households of two or more children are</w:t>
      </w:r>
      <w:r w:rsidR="00D2636A" w:rsidRPr="00222917">
        <w:rPr>
          <w:sz w:val="18"/>
          <w:szCs w:val="18"/>
          <w:lang w:val="en-US"/>
        </w:rPr>
        <w:t xml:space="preserve"> excluded from the </w:t>
      </w:r>
      <w:r w:rsidRPr="00222917">
        <w:rPr>
          <w:sz w:val="18"/>
          <w:szCs w:val="18"/>
          <w:lang w:val="en-US"/>
        </w:rPr>
        <w:t xml:space="preserve">total because they have been added to the differential childcare fees. </w:t>
      </w:r>
    </w:p>
    <w:p w:rsidR="002D5BB0" w:rsidRPr="00222917" w:rsidRDefault="00984B6F" w:rsidP="00984B6F">
      <w:pPr>
        <w:pStyle w:val="H23G"/>
        <w:rPr>
          <w:lang w:val="en-US"/>
        </w:rPr>
      </w:pPr>
      <w:bookmarkStart w:id="273" w:name="_Toc307504158"/>
      <w:bookmarkStart w:id="274" w:name="_Toc336435930"/>
      <w:r w:rsidRPr="00222917">
        <w:rPr>
          <w:lang w:val="en-US"/>
        </w:rPr>
        <w:tab/>
      </w:r>
      <w:r w:rsidRPr="00222917">
        <w:rPr>
          <w:lang w:val="en-US"/>
        </w:rPr>
        <w:tab/>
      </w:r>
      <w:r w:rsidR="002D5BB0" w:rsidRPr="00222917">
        <w:rPr>
          <w:lang w:val="en-US"/>
        </w:rPr>
        <w:t>Support for Single-Parent Families</w:t>
      </w:r>
      <w:bookmarkEnd w:id="273"/>
      <w:bookmarkEnd w:id="274"/>
    </w:p>
    <w:p w:rsidR="002D5BB0" w:rsidRPr="00222917" w:rsidRDefault="00547908" w:rsidP="00547908">
      <w:pPr>
        <w:pStyle w:val="SingleTxtG"/>
        <w:rPr>
          <w:lang w:val="en-US"/>
        </w:rPr>
      </w:pPr>
      <w:r w:rsidRPr="00222917">
        <w:rPr>
          <w:lang w:val="en-US"/>
        </w:rPr>
        <w:t>320.</w:t>
      </w:r>
      <w:r w:rsidRPr="00222917">
        <w:rPr>
          <w:lang w:val="en-US"/>
        </w:rPr>
        <w:tab/>
      </w:r>
      <w:r w:rsidR="002D5BB0" w:rsidRPr="00222917">
        <w:rPr>
          <w:lang w:val="en-US"/>
        </w:rPr>
        <w:t>As stated in the third r</w:t>
      </w:r>
      <w:r w:rsidR="00984B6F" w:rsidRPr="00222917">
        <w:rPr>
          <w:lang w:val="en-US"/>
        </w:rPr>
        <w:t>eport(CCPR/C/KOR/2005/3, paras. </w:t>
      </w:r>
      <w:r w:rsidR="002D5BB0" w:rsidRPr="00222917">
        <w:rPr>
          <w:lang w:val="en-US"/>
        </w:rPr>
        <w:t>323</w:t>
      </w:r>
      <w:r w:rsidR="005F08E2" w:rsidRPr="00222917">
        <w:rPr>
          <w:lang w:val="en-US"/>
        </w:rPr>
        <w:t xml:space="preserve"> </w:t>
      </w:r>
      <w:r w:rsidR="00984B6F" w:rsidRPr="00222917">
        <w:rPr>
          <w:lang w:val="en-US"/>
        </w:rPr>
        <w:t xml:space="preserve">and </w:t>
      </w:r>
      <w:r w:rsidR="002D5BB0" w:rsidRPr="00222917">
        <w:rPr>
          <w:lang w:val="en-US"/>
        </w:rPr>
        <w:t>324), the</w:t>
      </w:r>
      <w:r w:rsidR="00984B6F" w:rsidRPr="00222917">
        <w:rPr>
          <w:lang w:val="en-US"/>
        </w:rPr>
        <w:t> </w:t>
      </w:r>
      <w:r w:rsidR="002D5BB0" w:rsidRPr="00222917">
        <w:rPr>
          <w:lang w:val="en-US"/>
        </w:rPr>
        <w:t xml:space="preserve">Government supports low-income single parent families under the </w:t>
      </w:r>
      <w:r w:rsidR="002D5BB0" w:rsidRPr="000850F5">
        <w:rPr>
          <w:iCs/>
          <w:lang w:val="en-US"/>
        </w:rPr>
        <w:t>Single-Parent Family Welfare Act</w:t>
      </w:r>
      <w:r w:rsidR="002D5BB0" w:rsidRPr="00222917">
        <w:rPr>
          <w:lang w:val="en-US"/>
        </w:rPr>
        <w:t xml:space="preserve"> by subsidizing education fees and child rearing expenses, offering priority for moving into permanent rental housing, and helping them secure loans for living expenses. </w:t>
      </w:r>
    </w:p>
    <w:p w:rsidR="002D5BB0" w:rsidRPr="00222917" w:rsidRDefault="00547908" w:rsidP="00547908">
      <w:pPr>
        <w:pStyle w:val="SingleTxtG"/>
        <w:rPr>
          <w:lang w:val="en-US"/>
        </w:rPr>
      </w:pPr>
      <w:r w:rsidRPr="00222917">
        <w:rPr>
          <w:lang w:val="en-US"/>
        </w:rPr>
        <w:t>321.</w:t>
      </w:r>
      <w:r w:rsidRPr="00222917">
        <w:rPr>
          <w:lang w:val="en-US"/>
        </w:rPr>
        <w:tab/>
      </w:r>
      <w:r w:rsidR="002D5BB0" w:rsidRPr="00222917">
        <w:rPr>
          <w:lang w:val="en-US"/>
        </w:rPr>
        <w:t xml:space="preserve">On 28 December 2006, the Government amended the </w:t>
      </w:r>
      <w:r w:rsidR="002D5BB0" w:rsidRPr="000850F5">
        <w:rPr>
          <w:iCs/>
          <w:lang w:val="en-US"/>
        </w:rPr>
        <w:t>Single-Parent Family Welfare Act</w:t>
      </w:r>
      <w:r w:rsidR="002D5BB0" w:rsidRPr="00222917">
        <w:rPr>
          <w:lang w:val="en-US"/>
        </w:rPr>
        <w:t xml:space="preserve"> to protect low-income single-parent families facing issues of child rearing, housekeeping, and making a living, make persons who marry Korean nationals and raise children as Korean nationals eligib</w:t>
      </w:r>
      <w:r w:rsidR="00E623EE" w:rsidRPr="00222917">
        <w:rPr>
          <w:lang w:val="en-US"/>
        </w:rPr>
        <w:t>le for such protection (</w:t>
      </w:r>
      <w:r w:rsidR="00AE0F13" w:rsidRPr="00222917">
        <w:rPr>
          <w:lang w:val="en-US"/>
        </w:rPr>
        <w:t>a</w:t>
      </w:r>
      <w:r w:rsidR="00E623EE" w:rsidRPr="00222917">
        <w:rPr>
          <w:lang w:val="en-US"/>
        </w:rPr>
        <w:t>rticle </w:t>
      </w:r>
      <w:r w:rsidR="002D5BB0" w:rsidRPr="00222917">
        <w:rPr>
          <w:lang w:val="en-US"/>
        </w:rPr>
        <w:t xml:space="preserve">5-2). On 17 October 2007, the </w:t>
      </w:r>
      <w:r w:rsidR="002D5BB0" w:rsidRPr="00222917">
        <w:rPr>
          <w:iCs/>
          <w:lang w:val="en-US"/>
        </w:rPr>
        <w:t>Single-Parent Family Welfare Act</w:t>
      </w:r>
      <w:r w:rsidR="002D5BB0" w:rsidRPr="00222917">
        <w:rPr>
          <w:lang w:val="en-US"/>
        </w:rPr>
        <w:t xml:space="preserve"> was renamed the </w:t>
      </w:r>
      <w:r w:rsidR="002D5BB0" w:rsidRPr="00222917">
        <w:rPr>
          <w:iCs/>
          <w:lang w:val="en-US"/>
        </w:rPr>
        <w:t xml:space="preserve">Single-Parent Family Support Act </w:t>
      </w:r>
      <w:r w:rsidR="002D5BB0" w:rsidRPr="00222917">
        <w:rPr>
          <w:lang w:val="en-US"/>
        </w:rPr>
        <w:t xml:space="preserve">to make grandparent-grandchildren families eligible for the protection. The age for eligibility for the child rearing subsidies for single-parent families was raised from under age 6 in 2005 to under age 12 in 2010. The age for eligibility for education subsidies for single-parent families was also raised from under age 20 to under age 22 in 2007. To help single parent family welfare facility residents become self-supporting as soon as possible, psychological analysis, professional counseling, and therapy programs available for all facility residents were introduced in 2010. </w:t>
      </w:r>
    </w:p>
    <w:p w:rsidR="002D5BB0" w:rsidRPr="00222917" w:rsidRDefault="00B679B4" w:rsidP="00B679B4">
      <w:pPr>
        <w:pStyle w:val="H23G"/>
        <w:rPr>
          <w:b w:val="0"/>
          <w:sz w:val="16"/>
          <w:szCs w:val="16"/>
          <w:lang w:val="en-US"/>
        </w:rPr>
      </w:pPr>
      <w:r w:rsidRPr="00222917">
        <w:rPr>
          <w:lang w:val="en-US"/>
        </w:rPr>
        <w:tab/>
      </w:r>
      <w:r w:rsidRPr="00222917">
        <w:rPr>
          <w:lang w:val="en-US"/>
        </w:rPr>
        <w:tab/>
      </w:r>
      <w:r w:rsidR="002D5BB0" w:rsidRPr="00222917">
        <w:rPr>
          <w:lang w:val="en-US"/>
        </w:rPr>
        <w:t xml:space="preserve">Applicants under the </w:t>
      </w:r>
      <w:r w:rsidR="002D5BB0" w:rsidRPr="00EF1CF3">
        <w:rPr>
          <w:iCs/>
          <w:lang w:val="en-US"/>
        </w:rPr>
        <w:t>Single-Parent Family Support Act</w:t>
      </w:r>
      <w:r w:rsidR="00984B6F" w:rsidRPr="00EF1CF3">
        <w:rPr>
          <w:iCs/>
          <w:lang w:val="en-US"/>
        </w:rPr>
        <w:br/>
      </w:r>
      <w:r w:rsidR="002D5BB0" w:rsidRPr="00222917">
        <w:rPr>
          <w:b w:val="0"/>
          <w:sz w:val="16"/>
          <w:szCs w:val="16"/>
          <w:lang w:val="en-US"/>
        </w:rPr>
        <w:t>(Number of households; persons)</w:t>
      </w:r>
    </w:p>
    <w:tbl>
      <w:tblPr>
        <w:tblW w:w="8505" w:type="dxa"/>
        <w:tblInd w:w="1134" w:type="dxa"/>
        <w:tblBorders>
          <w:top w:val="single" w:sz="4" w:space="0" w:color="auto"/>
        </w:tblBorders>
        <w:tblLayout w:type="fixed"/>
        <w:tblCellMar>
          <w:left w:w="0" w:type="dxa"/>
          <w:right w:w="0" w:type="dxa"/>
        </w:tblCellMar>
        <w:tblLook w:val="00A0"/>
      </w:tblPr>
      <w:tblGrid>
        <w:gridCol w:w="793"/>
        <w:gridCol w:w="964"/>
        <w:gridCol w:w="964"/>
        <w:gridCol w:w="964"/>
        <w:gridCol w:w="964"/>
        <w:gridCol w:w="964"/>
        <w:gridCol w:w="964"/>
        <w:gridCol w:w="964"/>
        <w:gridCol w:w="964"/>
      </w:tblGrid>
      <w:tr w:rsidR="008F6543" w:rsidRPr="00222917" w:rsidTr="00936860">
        <w:trPr>
          <w:tblHeader/>
        </w:trPr>
        <w:tc>
          <w:tcPr>
            <w:tcW w:w="794" w:type="dxa"/>
            <w:vMerge w:val="restart"/>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540A5D">
            <w:pPr>
              <w:pStyle w:val="SingleTxtG"/>
              <w:suppressAutoHyphens w:val="0"/>
              <w:spacing w:before="80" w:after="80" w:line="200" w:lineRule="exact"/>
              <w:ind w:left="0" w:right="0"/>
              <w:jc w:val="left"/>
              <w:rPr>
                <w:i/>
                <w:sz w:val="16"/>
                <w:szCs w:val="16"/>
                <w:lang w:val="en-US"/>
              </w:rPr>
            </w:pPr>
            <w:r w:rsidRPr="00222917">
              <w:rPr>
                <w:bCs/>
                <w:i/>
                <w:sz w:val="16"/>
                <w:szCs w:val="16"/>
                <w:lang w:val="en-US"/>
              </w:rPr>
              <w:t>Year</w:t>
            </w:r>
          </w:p>
        </w:tc>
        <w:tc>
          <w:tcPr>
            <w:tcW w:w="964" w:type="dxa"/>
            <w:gridSpan w:val="2"/>
            <w:tcBorders>
              <w:top w:val="single" w:sz="4" w:space="0" w:color="auto"/>
              <w:bottom w:val="single" w:sz="4" w:space="0" w:color="000000"/>
              <w:right w:val="single" w:sz="24" w:space="0" w:color="FFFFFF"/>
            </w:tcBorders>
            <w:shd w:val="clear" w:color="auto" w:fill="auto"/>
            <w:tcMar>
              <w:top w:w="28" w:type="dxa"/>
              <w:left w:w="28" w:type="dxa"/>
              <w:bottom w:w="28" w:type="dxa"/>
              <w:right w:w="28" w:type="dxa"/>
            </w:tcMar>
            <w:vAlign w:val="bottom"/>
          </w:tcPr>
          <w:p w:rsidR="002D5BB0" w:rsidRPr="00222917" w:rsidRDefault="002D5BB0" w:rsidP="00540A5D">
            <w:pPr>
              <w:pStyle w:val="SingleTxtG"/>
              <w:suppressAutoHyphens w:val="0"/>
              <w:spacing w:before="80" w:after="80" w:line="200" w:lineRule="exact"/>
              <w:ind w:left="0" w:right="0"/>
              <w:jc w:val="center"/>
              <w:rPr>
                <w:b/>
                <w:i/>
                <w:sz w:val="16"/>
                <w:szCs w:val="16"/>
                <w:lang w:val="en-US"/>
              </w:rPr>
            </w:pPr>
            <w:r w:rsidRPr="00222917">
              <w:rPr>
                <w:b/>
                <w:bCs/>
                <w:i/>
                <w:sz w:val="16"/>
                <w:szCs w:val="16"/>
                <w:lang w:val="en-US"/>
              </w:rPr>
              <w:t>Total</w:t>
            </w:r>
          </w:p>
        </w:tc>
        <w:tc>
          <w:tcPr>
            <w:tcW w:w="964" w:type="dxa"/>
            <w:gridSpan w:val="2"/>
            <w:tcBorders>
              <w:top w:val="single" w:sz="4" w:space="0" w:color="auto"/>
              <w:left w:val="single" w:sz="24" w:space="0" w:color="FFFFFF"/>
              <w:bottom w:val="single" w:sz="4" w:space="0" w:color="000000"/>
              <w:right w:val="single" w:sz="24" w:space="0" w:color="FFFFFF"/>
            </w:tcBorders>
            <w:shd w:val="clear" w:color="auto" w:fill="auto"/>
            <w:tcMar>
              <w:top w:w="28" w:type="dxa"/>
              <w:left w:w="28" w:type="dxa"/>
              <w:bottom w:w="28" w:type="dxa"/>
              <w:right w:w="28" w:type="dxa"/>
            </w:tcMar>
            <w:vAlign w:val="bottom"/>
          </w:tcPr>
          <w:p w:rsidR="002D5BB0" w:rsidRPr="00222917" w:rsidRDefault="002D5BB0" w:rsidP="00540A5D">
            <w:pPr>
              <w:pStyle w:val="SingleTxtG"/>
              <w:suppressAutoHyphens w:val="0"/>
              <w:spacing w:before="80" w:after="80" w:line="200" w:lineRule="exact"/>
              <w:ind w:left="0" w:right="0"/>
              <w:jc w:val="center"/>
              <w:rPr>
                <w:i/>
                <w:sz w:val="16"/>
                <w:szCs w:val="16"/>
                <w:lang w:val="en-US"/>
              </w:rPr>
            </w:pPr>
            <w:r w:rsidRPr="00222917">
              <w:rPr>
                <w:bCs/>
                <w:i/>
                <w:sz w:val="16"/>
                <w:szCs w:val="16"/>
                <w:lang w:val="en-US"/>
              </w:rPr>
              <w:t>Single-mother family</w:t>
            </w:r>
          </w:p>
        </w:tc>
        <w:tc>
          <w:tcPr>
            <w:tcW w:w="964" w:type="dxa"/>
            <w:gridSpan w:val="2"/>
            <w:tcBorders>
              <w:top w:val="single" w:sz="4" w:space="0" w:color="auto"/>
              <w:left w:val="single" w:sz="24" w:space="0" w:color="FFFFFF"/>
              <w:bottom w:val="single" w:sz="4" w:space="0" w:color="000000"/>
              <w:right w:val="single" w:sz="24" w:space="0" w:color="FFFFFF"/>
            </w:tcBorders>
            <w:shd w:val="clear" w:color="auto" w:fill="auto"/>
            <w:tcMar>
              <w:top w:w="28" w:type="dxa"/>
              <w:left w:w="28" w:type="dxa"/>
              <w:bottom w:w="28" w:type="dxa"/>
              <w:right w:w="28" w:type="dxa"/>
            </w:tcMar>
            <w:vAlign w:val="bottom"/>
          </w:tcPr>
          <w:p w:rsidR="002D5BB0" w:rsidRPr="00222917" w:rsidRDefault="002D5BB0" w:rsidP="00540A5D">
            <w:pPr>
              <w:pStyle w:val="SingleTxtG"/>
              <w:suppressAutoHyphens w:val="0"/>
              <w:spacing w:before="80" w:after="80" w:line="200" w:lineRule="exact"/>
              <w:ind w:left="0" w:right="0"/>
              <w:jc w:val="center"/>
              <w:rPr>
                <w:i/>
                <w:sz w:val="16"/>
                <w:szCs w:val="16"/>
                <w:lang w:val="en-US"/>
              </w:rPr>
            </w:pPr>
            <w:r w:rsidRPr="00222917">
              <w:rPr>
                <w:bCs/>
                <w:i/>
                <w:sz w:val="16"/>
                <w:szCs w:val="16"/>
                <w:lang w:val="en-US"/>
              </w:rPr>
              <w:t>Single-father family</w:t>
            </w:r>
          </w:p>
        </w:tc>
        <w:tc>
          <w:tcPr>
            <w:tcW w:w="964" w:type="dxa"/>
            <w:gridSpan w:val="2"/>
            <w:tcBorders>
              <w:top w:val="single" w:sz="4" w:space="0" w:color="auto"/>
              <w:left w:val="single" w:sz="24" w:space="0" w:color="FFFFFF"/>
              <w:bottom w:val="single" w:sz="4" w:space="0" w:color="000000"/>
            </w:tcBorders>
            <w:shd w:val="clear" w:color="auto" w:fill="auto"/>
            <w:tcMar>
              <w:top w:w="28" w:type="dxa"/>
              <w:left w:w="28" w:type="dxa"/>
              <w:bottom w:w="28" w:type="dxa"/>
              <w:right w:w="28" w:type="dxa"/>
            </w:tcMar>
            <w:vAlign w:val="bottom"/>
          </w:tcPr>
          <w:p w:rsidR="002D5BB0" w:rsidRPr="00222917" w:rsidRDefault="002D5BB0" w:rsidP="00540A5D">
            <w:pPr>
              <w:pStyle w:val="SingleTxtG"/>
              <w:suppressAutoHyphens w:val="0"/>
              <w:spacing w:before="80" w:after="80" w:line="200" w:lineRule="exact"/>
              <w:ind w:left="0" w:right="0"/>
              <w:jc w:val="center"/>
              <w:rPr>
                <w:i/>
                <w:sz w:val="16"/>
                <w:szCs w:val="16"/>
                <w:lang w:val="en-US"/>
              </w:rPr>
            </w:pPr>
            <w:r w:rsidRPr="00222917">
              <w:rPr>
                <w:bCs/>
                <w:i/>
                <w:sz w:val="16"/>
                <w:szCs w:val="16"/>
                <w:lang w:val="en-US"/>
              </w:rPr>
              <w:t>Grandparent</w:t>
            </w:r>
            <w:r w:rsidRPr="00222917">
              <w:rPr>
                <w:i/>
                <w:sz w:val="16"/>
                <w:szCs w:val="16"/>
                <w:lang w:val="en-US"/>
              </w:rPr>
              <w:t>-</w:t>
            </w:r>
            <w:r w:rsidR="00B679B4" w:rsidRPr="00222917">
              <w:rPr>
                <w:i/>
                <w:sz w:val="16"/>
                <w:szCs w:val="16"/>
                <w:lang w:val="en-US"/>
              </w:rPr>
              <w:br/>
            </w:r>
            <w:r w:rsidRPr="00222917">
              <w:rPr>
                <w:i/>
                <w:sz w:val="16"/>
                <w:szCs w:val="16"/>
                <w:lang w:val="en-US"/>
              </w:rPr>
              <w:t>grand children family</w:t>
            </w:r>
          </w:p>
        </w:tc>
      </w:tr>
      <w:tr w:rsidR="008F6543" w:rsidRPr="00222917" w:rsidTr="00936860">
        <w:trPr>
          <w:tblHeader/>
        </w:trPr>
        <w:tc>
          <w:tcPr>
            <w:tcW w:w="794" w:type="dxa"/>
            <w:vMerge/>
            <w:tcBorders>
              <w:top w:val="single" w:sz="12" w:space="0" w:color="auto"/>
              <w:bottom w:val="single" w:sz="12" w:space="0" w:color="000000"/>
            </w:tcBorders>
            <w:shd w:val="clear" w:color="auto" w:fill="auto"/>
            <w:vAlign w:val="bottom"/>
          </w:tcPr>
          <w:p w:rsidR="002D5BB0" w:rsidRPr="00222917" w:rsidRDefault="002D5BB0" w:rsidP="00540A5D">
            <w:pPr>
              <w:pStyle w:val="SingleTxtG"/>
              <w:suppressAutoHyphens w:val="0"/>
              <w:spacing w:before="80" w:after="80" w:line="200" w:lineRule="exact"/>
              <w:ind w:left="0" w:right="0"/>
              <w:jc w:val="left"/>
              <w:rPr>
                <w:i/>
                <w:sz w:val="16"/>
                <w:szCs w:val="16"/>
                <w:lang w:val="en-US"/>
              </w:rPr>
            </w:pPr>
          </w:p>
        </w:tc>
        <w:tc>
          <w:tcPr>
            <w:tcW w:w="964" w:type="dxa"/>
            <w:tcBorders>
              <w:top w:val="single" w:sz="4" w:space="0" w:color="000000"/>
              <w:bottom w:val="single" w:sz="12" w:space="0" w:color="000000"/>
            </w:tcBorders>
            <w:shd w:val="clear" w:color="auto" w:fill="auto"/>
            <w:tcMar>
              <w:top w:w="28" w:type="dxa"/>
              <w:left w:w="28" w:type="dxa"/>
              <w:bottom w:w="28" w:type="dxa"/>
              <w:right w:w="28" w:type="dxa"/>
            </w:tcMar>
            <w:vAlign w:val="bottom"/>
          </w:tcPr>
          <w:p w:rsidR="002D5BB0" w:rsidRPr="00222917" w:rsidRDefault="002D5BB0" w:rsidP="00540A5D">
            <w:pPr>
              <w:pStyle w:val="SingleTxtG"/>
              <w:suppressAutoHyphens w:val="0"/>
              <w:spacing w:before="80" w:after="80" w:line="200" w:lineRule="exact"/>
              <w:ind w:left="0" w:right="0"/>
              <w:jc w:val="right"/>
              <w:rPr>
                <w:b/>
                <w:i/>
                <w:sz w:val="16"/>
                <w:szCs w:val="16"/>
                <w:lang w:val="en-US"/>
              </w:rPr>
            </w:pPr>
            <w:r w:rsidRPr="00222917">
              <w:rPr>
                <w:b/>
                <w:bCs/>
                <w:i/>
                <w:sz w:val="16"/>
                <w:szCs w:val="16"/>
                <w:lang w:val="en-US"/>
              </w:rPr>
              <w:t>Households</w:t>
            </w:r>
          </w:p>
        </w:tc>
        <w:tc>
          <w:tcPr>
            <w:tcW w:w="964" w:type="dxa"/>
            <w:tcBorders>
              <w:top w:val="single" w:sz="4" w:space="0" w:color="000000"/>
              <w:bottom w:val="single" w:sz="12" w:space="0" w:color="000000"/>
              <w:right w:val="single" w:sz="24" w:space="0" w:color="FFFFFF"/>
            </w:tcBorders>
            <w:shd w:val="clear" w:color="auto" w:fill="auto"/>
            <w:tcMar>
              <w:top w:w="28" w:type="dxa"/>
              <w:left w:w="28" w:type="dxa"/>
              <w:bottom w:w="28" w:type="dxa"/>
              <w:right w:w="28" w:type="dxa"/>
            </w:tcMar>
            <w:vAlign w:val="bottom"/>
          </w:tcPr>
          <w:p w:rsidR="002D5BB0" w:rsidRPr="00222917" w:rsidRDefault="002D5BB0" w:rsidP="00540A5D">
            <w:pPr>
              <w:pStyle w:val="SingleTxtG"/>
              <w:suppressAutoHyphens w:val="0"/>
              <w:spacing w:before="80" w:after="80" w:line="200" w:lineRule="exact"/>
              <w:ind w:left="0" w:right="0"/>
              <w:jc w:val="right"/>
              <w:rPr>
                <w:b/>
                <w:i/>
                <w:sz w:val="16"/>
                <w:szCs w:val="16"/>
                <w:lang w:val="en-US"/>
              </w:rPr>
            </w:pPr>
            <w:r w:rsidRPr="00222917">
              <w:rPr>
                <w:b/>
                <w:bCs/>
                <w:i/>
                <w:sz w:val="16"/>
                <w:szCs w:val="16"/>
                <w:lang w:val="en-US"/>
              </w:rPr>
              <w:t>Members</w:t>
            </w:r>
          </w:p>
        </w:tc>
        <w:tc>
          <w:tcPr>
            <w:tcW w:w="964" w:type="dxa"/>
            <w:tcBorders>
              <w:top w:val="single" w:sz="4" w:space="0" w:color="000000"/>
              <w:left w:val="single" w:sz="24" w:space="0" w:color="FFFFFF"/>
              <w:bottom w:val="single" w:sz="12" w:space="0" w:color="000000"/>
            </w:tcBorders>
            <w:shd w:val="clear" w:color="auto" w:fill="auto"/>
            <w:tcMar>
              <w:top w:w="28" w:type="dxa"/>
              <w:left w:w="28" w:type="dxa"/>
              <w:bottom w:w="28" w:type="dxa"/>
              <w:right w:w="28" w:type="dxa"/>
            </w:tcMar>
            <w:vAlign w:val="bottom"/>
          </w:tcPr>
          <w:p w:rsidR="002D5BB0" w:rsidRPr="00222917" w:rsidRDefault="002D5BB0" w:rsidP="00540A5D">
            <w:pPr>
              <w:pStyle w:val="SingleTxtG"/>
              <w:suppressAutoHyphens w:val="0"/>
              <w:spacing w:before="80" w:after="80" w:line="200" w:lineRule="exact"/>
              <w:ind w:left="0" w:right="0"/>
              <w:jc w:val="right"/>
              <w:rPr>
                <w:i/>
                <w:sz w:val="16"/>
                <w:szCs w:val="16"/>
                <w:lang w:val="en-US"/>
              </w:rPr>
            </w:pPr>
            <w:r w:rsidRPr="00222917">
              <w:rPr>
                <w:bCs/>
                <w:i/>
                <w:sz w:val="16"/>
                <w:szCs w:val="16"/>
                <w:lang w:val="en-US"/>
              </w:rPr>
              <w:t>Households</w:t>
            </w:r>
          </w:p>
        </w:tc>
        <w:tc>
          <w:tcPr>
            <w:tcW w:w="964" w:type="dxa"/>
            <w:tcBorders>
              <w:top w:val="single" w:sz="4" w:space="0" w:color="000000"/>
              <w:bottom w:val="single" w:sz="12" w:space="0" w:color="000000"/>
              <w:right w:val="single" w:sz="24" w:space="0" w:color="FFFFFF"/>
            </w:tcBorders>
            <w:shd w:val="clear" w:color="auto" w:fill="auto"/>
            <w:tcMar>
              <w:top w:w="28" w:type="dxa"/>
              <w:left w:w="28" w:type="dxa"/>
              <w:bottom w:w="28" w:type="dxa"/>
              <w:right w:w="28" w:type="dxa"/>
            </w:tcMar>
            <w:vAlign w:val="bottom"/>
          </w:tcPr>
          <w:p w:rsidR="002D5BB0" w:rsidRPr="00222917" w:rsidRDefault="002D5BB0" w:rsidP="00540A5D">
            <w:pPr>
              <w:pStyle w:val="SingleTxtG"/>
              <w:suppressAutoHyphens w:val="0"/>
              <w:spacing w:before="80" w:after="80" w:line="200" w:lineRule="exact"/>
              <w:ind w:left="0" w:right="0"/>
              <w:jc w:val="right"/>
              <w:rPr>
                <w:i/>
                <w:sz w:val="16"/>
                <w:szCs w:val="16"/>
                <w:lang w:val="en-US"/>
              </w:rPr>
            </w:pPr>
            <w:r w:rsidRPr="00222917">
              <w:rPr>
                <w:bCs/>
                <w:i/>
                <w:sz w:val="16"/>
                <w:szCs w:val="16"/>
                <w:lang w:val="en-US"/>
              </w:rPr>
              <w:t>Members</w:t>
            </w:r>
          </w:p>
        </w:tc>
        <w:tc>
          <w:tcPr>
            <w:tcW w:w="964" w:type="dxa"/>
            <w:tcBorders>
              <w:top w:val="single" w:sz="4" w:space="0" w:color="000000"/>
              <w:left w:val="single" w:sz="24" w:space="0" w:color="FFFFFF"/>
              <w:bottom w:val="single" w:sz="12" w:space="0" w:color="000000"/>
            </w:tcBorders>
            <w:shd w:val="clear" w:color="auto" w:fill="auto"/>
            <w:tcMar>
              <w:top w:w="28" w:type="dxa"/>
              <w:left w:w="28" w:type="dxa"/>
              <w:bottom w:w="28" w:type="dxa"/>
              <w:right w:w="28" w:type="dxa"/>
            </w:tcMar>
            <w:vAlign w:val="bottom"/>
          </w:tcPr>
          <w:p w:rsidR="002D5BB0" w:rsidRPr="00222917" w:rsidRDefault="002D5BB0" w:rsidP="00540A5D">
            <w:pPr>
              <w:pStyle w:val="SingleTxtG"/>
              <w:suppressAutoHyphens w:val="0"/>
              <w:spacing w:before="80" w:after="80" w:line="200" w:lineRule="exact"/>
              <w:ind w:left="0" w:right="0"/>
              <w:jc w:val="right"/>
              <w:rPr>
                <w:i/>
                <w:sz w:val="16"/>
                <w:szCs w:val="16"/>
                <w:lang w:val="en-US"/>
              </w:rPr>
            </w:pPr>
            <w:r w:rsidRPr="00222917">
              <w:rPr>
                <w:bCs/>
                <w:i/>
                <w:sz w:val="16"/>
                <w:szCs w:val="16"/>
                <w:lang w:val="en-US"/>
              </w:rPr>
              <w:t>Households</w:t>
            </w:r>
          </w:p>
        </w:tc>
        <w:tc>
          <w:tcPr>
            <w:tcW w:w="964" w:type="dxa"/>
            <w:tcBorders>
              <w:top w:val="single" w:sz="4" w:space="0" w:color="000000"/>
              <w:bottom w:val="single" w:sz="12" w:space="0" w:color="000000"/>
              <w:right w:val="single" w:sz="24" w:space="0" w:color="FFFFFF"/>
            </w:tcBorders>
            <w:shd w:val="clear" w:color="auto" w:fill="auto"/>
            <w:tcMar>
              <w:top w:w="28" w:type="dxa"/>
              <w:left w:w="28" w:type="dxa"/>
              <w:bottom w:w="28" w:type="dxa"/>
              <w:right w:w="28" w:type="dxa"/>
            </w:tcMar>
            <w:vAlign w:val="bottom"/>
          </w:tcPr>
          <w:p w:rsidR="002D5BB0" w:rsidRPr="00222917" w:rsidRDefault="002D5BB0" w:rsidP="00540A5D">
            <w:pPr>
              <w:pStyle w:val="SingleTxtG"/>
              <w:suppressAutoHyphens w:val="0"/>
              <w:spacing w:before="80" w:after="80" w:line="200" w:lineRule="exact"/>
              <w:ind w:left="0" w:right="0"/>
              <w:jc w:val="right"/>
              <w:rPr>
                <w:i/>
                <w:sz w:val="16"/>
                <w:szCs w:val="16"/>
                <w:lang w:val="en-US"/>
              </w:rPr>
            </w:pPr>
            <w:r w:rsidRPr="00222917">
              <w:rPr>
                <w:bCs/>
                <w:i/>
                <w:sz w:val="16"/>
                <w:szCs w:val="16"/>
                <w:lang w:val="en-US"/>
              </w:rPr>
              <w:t>Members</w:t>
            </w:r>
          </w:p>
        </w:tc>
        <w:tc>
          <w:tcPr>
            <w:tcW w:w="964" w:type="dxa"/>
            <w:tcBorders>
              <w:top w:val="single" w:sz="4" w:space="0" w:color="000000"/>
              <w:left w:val="single" w:sz="24" w:space="0" w:color="FFFFFF"/>
              <w:bottom w:val="single" w:sz="12" w:space="0" w:color="000000"/>
            </w:tcBorders>
            <w:shd w:val="clear" w:color="auto" w:fill="auto"/>
            <w:tcMar>
              <w:top w:w="28" w:type="dxa"/>
              <w:left w:w="28" w:type="dxa"/>
              <w:bottom w:w="28" w:type="dxa"/>
              <w:right w:w="28" w:type="dxa"/>
            </w:tcMar>
            <w:vAlign w:val="bottom"/>
          </w:tcPr>
          <w:p w:rsidR="002D5BB0" w:rsidRPr="00222917" w:rsidRDefault="002D5BB0" w:rsidP="00540A5D">
            <w:pPr>
              <w:pStyle w:val="SingleTxtG"/>
              <w:suppressAutoHyphens w:val="0"/>
              <w:spacing w:before="80" w:after="80" w:line="200" w:lineRule="exact"/>
              <w:ind w:left="0" w:right="0"/>
              <w:jc w:val="right"/>
              <w:rPr>
                <w:i/>
                <w:sz w:val="16"/>
                <w:szCs w:val="16"/>
                <w:lang w:val="en-US"/>
              </w:rPr>
            </w:pPr>
            <w:r w:rsidRPr="00222917">
              <w:rPr>
                <w:bCs/>
                <w:i/>
                <w:sz w:val="16"/>
                <w:szCs w:val="16"/>
                <w:lang w:val="en-US"/>
              </w:rPr>
              <w:t>Households</w:t>
            </w:r>
          </w:p>
        </w:tc>
        <w:tc>
          <w:tcPr>
            <w:tcW w:w="964" w:type="dxa"/>
            <w:tcBorders>
              <w:top w:val="single" w:sz="4" w:space="0" w:color="000000"/>
              <w:bottom w:val="single" w:sz="12" w:space="0" w:color="000000"/>
            </w:tcBorders>
            <w:shd w:val="clear" w:color="auto" w:fill="auto"/>
            <w:tcMar>
              <w:top w:w="28" w:type="dxa"/>
              <w:left w:w="28" w:type="dxa"/>
              <w:bottom w:w="28" w:type="dxa"/>
              <w:right w:w="28" w:type="dxa"/>
            </w:tcMar>
            <w:vAlign w:val="bottom"/>
          </w:tcPr>
          <w:p w:rsidR="002D5BB0" w:rsidRPr="00222917" w:rsidRDefault="002D5BB0" w:rsidP="00540A5D">
            <w:pPr>
              <w:pStyle w:val="SingleTxtG"/>
              <w:suppressAutoHyphens w:val="0"/>
              <w:spacing w:before="80" w:after="80" w:line="200" w:lineRule="exact"/>
              <w:ind w:left="0" w:right="0"/>
              <w:jc w:val="right"/>
              <w:rPr>
                <w:i/>
                <w:sz w:val="16"/>
                <w:szCs w:val="16"/>
                <w:lang w:val="en-US"/>
              </w:rPr>
            </w:pPr>
            <w:r w:rsidRPr="00222917">
              <w:rPr>
                <w:bCs/>
                <w:i/>
                <w:sz w:val="16"/>
                <w:szCs w:val="16"/>
                <w:lang w:val="en-US"/>
              </w:rPr>
              <w:t>Members</w:t>
            </w:r>
          </w:p>
        </w:tc>
      </w:tr>
      <w:tr w:rsidR="008F6543" w:rsidRPr="00222917" w:rsidTr="001C4E4C">
        <w:tc>
          <w:tcPr>
            <w:tcW w:w="794" w:type="dxa"/>
            <w:tcBorders>
              <w:top w:val="single" w:sz="12" w:space="0" w:color="000000"/>
            </w:tcBorders>
            <w:shd w:val="clear" w:color="auto" w:fill="auto"/>
            <w:tcMar>
              <w:top w:w="28" w:type="dxa"/>
              <w:left w:w="28" w:type="dxa"/>
              <w:bottom w:w="28" w:type="dxa"/>
              <w:right w:w="28" w:type="dxa"/>
            </w:tcMar>
          </w:tcPr>
          <w:p w:rsidR="002D5BB0" w:rsidRPr="00222917" w:rsidRDefault="002D5BB0" w:rsidP="00EA2E29">
            <w:pPr>
              <w:pStyle w:val="SingleTxtG"/>
              <w:suppressAutoHyphens w:val="0"/>
              <w:spacing w:before="40" w:after="40" w:line="220" w:lineRule="exact"/>
              <w:ind w:left="0" w:right="0"/>
              <w:jc w:val="left"/>
              <w:rPr>
                <w:sz w:val="18"/>
                <w:lang w:val="en-US"/>
              </w:rPr>
            </w:pPr>
            <w:r w:rsidRPr="00222917">
              <w:rPr>
                <w:sz w:val="18"/>
                <w:lang w:val="en-US"/>
              </w:rPr>
              <w:t>2004</w:t>
            </w:r>
          </w:p>
        </w:tc>
        <w:tc>
          <w:tcPr>
            <w:tcW w:w="964" w:type="dxa"/>
            <w:tcBorders>
              <w:top w:val="single" w:sz="12" w:space="0" w:color="000000"/>
            </w:tcBorders>
            <w:shd w:val="clear" w:color="auto" w:fill="auto"/>
            <w:tcMar>
              <w:top w:w="28" w:type="dxa"/>
              <w:left w:w="28" w:type="dxa"/>
              <w:bottom w:w="28" w:type="dxa"/>
              <w:right w:w="28" w:type="dxa"/>
            </w:tcMar>
            <w:vAlign w:val="bottom"/>
          </w:tcPr>
          <w:p w:rsidR="002D5BB0" w:rsidRPr="00222917" w:rsidRDefault="002D5BB0" w:rsidP="00EA2E29">
            <w:pPr>
              <w:pStyle w:val="SingleTxtG"/>
              <w:suppressAutoHyphens w:val="0"/>
              <w:spacing w:before="40" w:after="40" w:line="220" w:lineRule="exact"/>
              <w:ind w:left="0" w:right="0"/>
              <w:jc w:val="right"/>
              <w:rPr>
                <w:b/>
                <w:sz w:val="18"/>
                <w:lang w:val="en-US"/>
              </w:rPr>
            </w:pPr>
            <w:r w:rsidRPr="00222917">
              <w:rPr>
                <w:b/>
                <w:sz w:val="18"/>
                <w:lang w:val="en-US"/>
              </w:rPr>
              <w:t>47,405</w:t>
            </w:r>
          </w:p>
        </w:tc>
        <w:tc>
          <w:tcPr>
            <w:tcW w:w="964" w:type="dxa"/>
            <w:tcBorders>
              <w:top w:val="single" w:sz="12" w:space="0" w:color="000000"/>
            </w:tcBorders>
            <w:shd w:val="clear" w:color="auto" w:fill="auto"/>
            <w:tcMar>
              <w:top w:w="28" w:type="dxa"/>
              <w:left w:w="28" w:type="dxa"/>
              <w:bottom w:w="28" w:type="dxa"/>
              <w:right w:w="28" w:type="dxa"/>
            </w:tcMar>
            <w:vAlign w:val="bottom"/>
          </w:tcPr>
          <w:p w:rsidR="002D5BB0" w:rsidRPr="00222917" w:rsidRDefault="002D5BB0" w:rsidP="00EA2E29">
            <w:pPr>
              <w:pStyle w:val="SingleTxtG"/>
              <w:suppressAutoHyphens w:val="0"/>
              <w:spacing w:before="40" w:after="40" w:line="220" w:lineRule="exact"/>
              <w:ind w:left="0" w:right="0"/>
              <w:jc w:val="right"/>
              <w:rPr>
                <w:b/>
                <w:sz w:val="18"/>
                <w:lang w:val="en-US"/>
              </w:rPr>
            </w:pPr>
            <w:r w:rsidRPr="00222917">
              <w:rPr>
                <w:b/>
                <w:sz w:val="18"/>
                <w:lang w:val="en-US"/>
              </w:rPr>
              <w:t>123,461</w:t>
            </w:r>
          </w:p>
        </w:tc>
        <w:tc>
          <w:tcPr>
            <w:tcW w:w="964" w:type="dxa"/>
            <w:tcBorders>
              <w:top w:val="single" w:sz="12" w:space="0" w:color="000000"/>
            </w:tcBorders>
            <w:shd w:val="clear" w:color="auto" w:fill="auto"/>
            <w:tcMar>
              <w:top w:w="28" w:type="dxa"/>
              <w:left w:w="28" w:type="dxa"/>
              <w:bottom w:w="28" w:type="dxa"/>
              <w:right w:w="28" w:type="dxa"/>
            </w:tcMar>
            <w:vAlign w:val="bottom"/>
          </w:tcPr>
          <w:p w:rsidR="002D5BB0" w:rsidRPr="00222917" w:rsidRDefault="002D5BB0" w:rsidP="00EA2E29">
            <w:pPr>
              <w:pStyle w:val="SingleTxtG"/>
              <w:suppressAutoHyphens w:val="0"/>
              <w:spacing w:before="40" w:after="40" w:line="220" w:lineRule="exact"/>
              <w:ind w:left="0" w:right="0"/>
              <w:jc w:val="right"/>
              <w:rPr>
                <w:sz w:val="18"/>
                <w:lang w:val="en-US"/>
              </w:rPr>
            </w:pPr>
            <w:r w:rsidRPr="00222917">
              <w:rPr>
                <w:sz w:val="18"/>
                <w:lang w:val="en-US"/>
              </w:rPr>
              <w:t>38,993</w:t>
            </w:r>
          </w:p>
        </w:tc>
        <w:tc>
          <w:tcPr>
            <w:tcW w:w="964" w:type="dxa"/>
            <w:tcBorders>
              <w:top w:val="single" w:sz="12" w:space="0" w:color="000000"/>
            </w:tcBorders>
            <w:shd w:val="clear" w:color="auto" w:fill="auto"/>
            <w:tcMar>
              <w:top w:w="28" w:type="dxa"/>
              <w:left w:w="28" w:type="dxa"/>
              <w:bottom w:w="28" w:type="dxa"/>
              <w:right w:w="28" w:type="dxa"/>
            </w:tcMar>
            <w:vAlign w:val="bottom"/>
          </w:tcPr>
          <w:p w:rsidR="002D5BB0" w:rsidRPr="00222917" w:rsidRDefault="002D5BB0" w:rsidP="00EA2E29">
            <w:pPr>
              <w:pStyle w:val="SingleTxtG"/>
              <w:suppressAutoHyphens w:val="0"/>
              <w:spacing w:before="40" w:after="40" w:line="220" w:lineRule="exact"/>
              <w:ind w:left="0" w:right="0"/>
              <w:jc w:val="right"/>
              <w:rPr>
                <w:sz w:val="18"/>
                <w:lang w:val="en-US"/>
              </w:rPr>
            </w:pPr>
            <w:r w:rsidRPr="00222917">
              <w:rPr>
                <w:sz w:val="18"/>
                <w:lang w:val="en-US"/>
              </w:rPr>
              <w:t>101,165</w:t>
            </w:r>
          </w:p>
        </w:tc>
        <w:tc>
          <w:tcPr>
            <w:tcW w:w="964" w:type="dxa"/>
            <w:tcBorders>
              <w:top w:val="single" w:sz="12" w:space="0" w:color="000000"/>
            </w:tcBorders>
            <w:shd w:val="clear" w:color="auto" w:fill="auto"/>
            <w:tcMar>
              <w:top w:w="28" w:type="dxa"/>
              <w:left w:w="28" w:type="dxa"/>
              <w:bottom w:w="28" w:type="dxa"/>
              <w:right w:w="28" w:type="dxa"/>
            </w:tcMar>
            <w:vAlign w:val="bottom"/>
          </w:tcPr>
          <w:p w:rsidR="002D5BB0" w:rsidRPr="00222917" w:rsidRDefault="002D5BB0" w:rsidP="00EA2E29">
            <w:pPr>
              <w:pStyle w:val="SingleTxtG"/>
              <w:suppressAutoHyphens w:val="0"/>
              <w:spacing w:before="40" w:after="40" w:line="220" w:lineRule="exact"/>
              <w:ind w:left="0" w:right="0"/>
              <w:jc w:val="right"/>
              <w:rPr>
                <w:sz w:val="18"/>
                <w:lang w:val="en-US"/>
              </w:rPr>
            </w:pPr>
            <w:r w:rsidRPr="00222917">
              <w:rPr>
                <w:sz w:val="18"/>
                <w:lang w:val="en-US"/>
              </w:rPr>
              <w:t>8,412</w:t>
            </w:r>
          </w:p>
        </w:tc>
        <w:tc>
          <w:tcPr>
            <w:tcW w:w="964" w:type="dxa"/>
            <w:tcBorders>
              <w:top w:val="single" w:sz="12" w:space="0" w:color="000000"/>
            </w:tcBorders>
            <w:shd w:val="clear" w:color="auto" w:fill="auto"/>
            <w:tcMar>
              <w:top w:w="28" w:type="dxa"/>
              <w:left w:w="28" w:type="dxa"/>
              <w:bottom w:w="28" w:type="dxa"/>
              <w:right w:w="28" w:type="dxa"/>
            </w:tcMar>
            <w:vAlign w:val="bottom"/>
          </w:tcPr>
          <w:p w:rsidR="002D5BB0" w:rsidRPr="00222917" w:rsidRDefault="002D5BB0" w:rsidP="00EA2E29">
            <w:pPr>
              <w:pStyle w:val="SingleTxtG"/>
              <w:suppressAutoHyphens w:val="0"/>
              <w:spacing w:before="40" w:after="40" w:line="220" w:lineRule="exact"/>
              <w:ind w:left="0" w:right="0"/>
              <w:jc w:val="right"/>
              <w:rPr>
                <w:sz w:val="18"/>
                <w:lang w:val="en-US"/>
              </w:rPr>
            </w:pPr>
            <w:r w:rsidRPr="00222917">
              <w:rPr>
                <w:sz w:val="18"/>
                <w:lang w:val="en-US"/>
              </w:rPr>
              <w:t>22,296</w:t>
            </w:r>
          </w:p>
        </w:tc>
        <w:tc>
          <w:tcPr>
            <w:tcW w:w="964" w:type="dxa"/>
            <w:tcBorders>
              <w:top w:val="single" w:sz="12" w:space="0" w:color="000000"/>
            </w:tcBorders>
            <w:shd w:val="clear" w:color="auto" w:fill="auto"/>
            <w:tcMar>
              <w:top w:w="28" w:type="dxa"/>
              <w:left w:w="28" w:type="dxa"/>
              <w:bottom w:w="28" w:type="dxa"/>
              <w:right w:w="28" w:type="dxa"/>
            </w:tcMar>
            <w:vAlign w:val="bottom"/>
          </w:tcPr>
          <w:p w:rsidR="002D5BB0" w:rsidRPr="00222917" w:rsidRDefault="002D5BB0" w:rsidP="00EA2E29">
            <w:pPr>
              <w:pStyle w:val="SingleTxtG"/>
              <w:suppressAutoHyphens w:val="0"/>
              <w:spacing w:before="40" w:after="40" w:line="220" w:lineRule="exact"/>
              <w:ind w:left="0" w:right="0"/>
              <w:jc w:val="right"/>
              <w:rPr>
                <w:sz w:val="18"/>
                <w:lang w:val="en-US"/>
              </w:rPr>
            </w:pPr>
            <w:r w:rsidRPr="00222917">
              <w:rPr>
                <w:sz w:val="18"/>
                <w:lang w:val="en-US"/>
              </w:rPr>
              <w:t>-</w:t>
            </w:r>
          </w:p>
        </w:tc>
        <w:tc>
          <w:tcPr>
            <w:tcW w:w="964" w:type="dxa"/>
            <w:tcBorders>
              <w:top w:val="single" w:sz="12" w:space="0" w:color="000000"/>
            </w:tcBorders>
            <w:shd w:val="clear" w:color="auto" w:fill="auto"/>
            <w:tcMar>
              <w:top w:w="28" w:type="dxa"/>
              <w:left w:w="28" w:type="dxa"/>
              <w:bottom w:w="28" w:type="dxa"/>
              <w:right w:w="28" w:type="dxa"/>
            </w:tcMar>
            <w:vAlign w:val="bottom"/>
          </w:tcPr>
          <w:p w:rsidR="002D5BB0" w:rsidRPr="00222917" w:rsidRDefault="002D5BB0" w:rsidP="00EA2E29">
            <w:pPr>
              <w:pStyle w:val="SingleTxtG"/>
              <w:suppressAutoHyphens w:val="0"/>
              <w:spacing w:before="40" w:after="40" w:line="220" w:lineRule="exact"/>
              <w:ind w:left="0" w:right="0"/>
              <w:jc w:val="right"/>
              <w:rPr>
                <w:sz w:val="18"/>
                <w:lang w:val="en-US"/>
              </w:rPr>
            </w:pPr>
            <w:r w:rsidRPr="00222917">
              <w:rPr>
                <w:sz w:val="18"/>
                <w:lang w:val="en-US"/>
              </w:rPr>
              <w:t>-</w:t>
            </w:r>
          </w:p>
        </w:tc>
      </w:tr>
      <w:tr w:rsidR="008F6543" w:rsidRPr="00222917" w:rsidTr="00B679B4">
        <w:tc>
          <w:tcPr>
            <w:tcW w:w="794" w:type="dxa"/>
            <w:shd w:val="clear" w:color="auto" w:fill="auto"/>
            <w:tcMar>
              <w:top w:w="28" w:type="dxa"/>
              <w:left w:w="28" w:type="dxa"/>
              <w:bottom w:w="28" w:type="dxa"/>
              <w:right w:w="28" w:type="dxa"/>
            </w:tcMar>
          </w:tcPr>
          <w:p w:rsidR="002D5BB0" w:rsidRPr="00222917" w:rsidRDefault="002D5BB0" w:rsidP="00EA2E29">
            <w:pPr>
              <w:pStyle w:val="SingleTxtG"/>
              <w:suppressAutoHyphens w:val="0"/>
              <w:spacing w:before="40" w:after="40" w:line="220" w:lineRule="exact"/>
              <w:ind w:left="0" w:right="0"/>
              <w:jc w:val="left"/>
              <w:rPr>
                <w:sz w:val="18"/>
                <w:lang w:val="en-US"/>
              </w:rPr>
            </w:pPr>
            <w:r w:rsidRPr="00222917">
              <w:rPr>
                <w:sz w:val="18"/>
                <w:lang w:val="en-US"/>
              </w:rPr>
              <w:t>2005</w:t>
            </w:r>
          </w:p>
        </w:tc>
        <w:tc>
          <w:tcPr>
            <w:tcW w:w="964" w:type="dxa"/>
            <w:shd w:val="clear" w:color="auto" w:fill="auto"/>
            <w:tcMar>
              <w:top w:w="28" w:type="dxa"/>
              <w:left w:w="28" w:type="dxa"/>
              <w:bottom w:w="28" w:type="dxa"/>
              <w:right w:w="28" w:type="dxa"/>
            </w:tcMar>
            <w:vAlign w:val="bottom"/>
          </w:tcPr>
          <w:p w:rsidR="002D5BB0" w:rsidRPr="00222917" w:rsidRDefault="002D5BB0" w:rsidP="00EA2E29">
            <w:pPr>
              <w:pStyle w:val="SingleTxtG"/>
              <w:suppressAutoHyphens w:val="0"/>
              <w:spacing w:before="40" w:after="40" w:line="220" w:lineRule="exact"/>
              <w:ind w:left="0" w:right="0"/>
              <w:jc w:val="right"/>
              <w:rPr>
                <w:b/>
                <w:sz w:val="18"/>
                <w:lang w:val="en-US"/>
              </w:rPr>
            </w:pPr>
            <w:r w:rsidRPr="00222917">
              <w:rPr>
                <w:b/>
                <w:sz w:val="18"/>
                <w:lang w:val="en-US"/>
              </w:rPr>
              <w:t>56,903</w:t>
            </w:r>
          </w:p>
        </w:tc>
        <w:tc>
          <w:tcPr>
            <w:tcW w:w="964" w:type="dxa"/>
            <w:shd w:val="clear" w:color="auto" w:fill="auto"/>
            <w:tcMar>
              <w:top w:w="28" w:type="dxa"/>
              <w:left w:w="28" w:type="dxa"/>
              <w:bottom w:w="28" w:type="dxa"/>
              <w:right w:w="28" w:type="dxa"/>
            </w:tcMar>
            <w:vAlign w:val="bottom"/>
          </w:tcPr>
          <w:p w:rsidR="002D5BB0" w:rsidRPr="00222917" w:rsidRDefault="002D5BB0" w:rsidP="00EA2E29">
            <w:pPr>
              <w:pStyle w:val="SingleTxtG"/>
              <w:suppressAutoHyphens w:val="0"/>
              <w:spacing w:before="40" w:after="40" w:line="220" w:lineRule="exact"/>
              <w:ind w:left="0" w:right="0"/>
              <w:jc w:val="right"/>
              <w:rPr>
                <w:b/>
                <w:sz w:val="18"/>
                <w:lang w:val="en-US"/>
              </w:rPr>
            </w:pPr>
            <w:r w:rsidRPr="00222917">
              <w:rPr>
                <w:b/>
                <w:sz w:val="18"/>
                <w:lang w:val="en-US"/>
              </w:rPr>
              <w:t>146,056</w:t>
            </w:r>
          </w:p>
        </w:tc>
        <w:tc>
          <w:tcPr>
            <w:tcW w:w="964" w:type="dxa"/>
            <w:shd w:val="clear" w:color="auto" w:fill="auto"/>
            <w:tcMar>
              <w:top w:w="28" w:type="dxa"/>
              <w:left w:w="28" w:type="dxa"/>
              <w:bottom w:w="28" w:type="dxa"/>
              <w:right w:w="28" w:type="dxa"/>
            </w:tcMar>
            <w:vAlign w:val="bottom"/>
          </w:tcPr>
          <w:p w:rsidR="002D5BB0" w:rsidRPr="00222917" w:rsidRDefault="002D5BB0" w:rsidP="00EA2E29">
            <w:pPr>
              <w:pStyle w:val="SingleTxtG"/>
              <w:suppressAutoHyphens w:val="0"/>
              <w:spacing w:before="40" w:after="40" w:line="220" w:lineRule="exact"/>
              <w:ind w:left="0" w:right="0"/>
              <w:jc w:val="right"/>
              <w:rPr>
                <w:sz w:val="18"/>
                <w:lang w:val="en-US"/>
              </w:rPr>
            </w:pPr>
            <w:r w:rsidRPr="00222917">
              <w:rPr>
                <w:sz w:val="18"/>
                <w:lang w:val="en-US"/>
              </w:rPr>
              <w:t>46,013</w:t>
            </w:r>
          </w:p>
        </w:tc>
        <w:tc>
          <w:tcPr>
            <w:tcW w:w="964" w:type="dxa"/>
            <w:shd w:val="clear" w:color="auto" w:fill="auto"/>
            <w:tcMar>
              <w:top w:w="28" w:type="dxa"/>
              <w:left w:w="28" w:type="dxa"/>
              <w:bottom w:w="28" w:type="dxa"/>
              <w:right w:w="28" w:type="dxa"/>
            </w:tcMar>
            <w:vAlign w:val="bottom"/>
          </w:tcPr>
          <w:p w:rsidR="002D5BB0" w:rsidRPr="00222917" w:rsidRDefault="002D5BB0" w:rsidP="00EA2E29">
            <w:pPr>
              <w:pStyle w:val="SingleTxtG"/>
              <w:suppressAutoHyphens w:val="0"/>
              <w:spacing w:before="40" w:after="40" w:line="220" w:lineRule="exact"/>
              <w:ind w:left="0" w:right="0"/>
              <w:jc w:val="right"/>
              <w:rPr>
                <w:sz w:val="18"/>
                <w:lang w:val="en-US"/>
              </w:rPr>
            </w:pPr>
            <w:r w:rsidRPr="00222917">
              <w:rPr>
                <w:sz w:val="18"/>
                <w:lang w:val="en-US"/>
              </w:rPr>
              <w:t>117,162</w:t>
            </w:r>
          </w:p>
        </w:tc>
        <w:tc>
          <w:tcPr>
            <w:tcW w:w="964" w:type="dxa"/>
            <w:shd w:val="clear" w:color="auto" w:fill="auto"/>
            <w:tcMar>
              <w:top w:w="28" w:type="dxa"/>
              <w:left w:w="28" w:type="dxa"/>
              <w:bottom w:w="28" w:type="dxa"/>
              <w:right w:w="28" w:type="dxa"/>
            </w:tcMar>
            <w:vAlign w:val="bottom"/>
          </w:tcPr>
          <w:p w:rsidR="002D5BB0" w:rsidRPr="00222917" w:rsidRDefault="002D5BB0" w:rsidP="00EA2E29">
            <w:pPr>
              <w:pStyle w:val="SingleTxtG"/>
              <w:suppressAutoHyphens w:val="0"/>
              <w:spacing w:before="40" w:after="40" w:line="220" w:lineRule="exact"/>
              <w:ind w:left="0" w:right="0"/>
              <w:jc w:val="right"/>
              <w:rPr>
                <w:sz w:val="18"/>
                <w:lang w:val="en-US"/>
              </w:rPr>
            </w:pPr>
            <w:r w:rsidRPr="00222917">
              <w:rPr>
                <w:sz w:val="18"/>
                <w:lang w:val="en-US"/>
              </w:rPr>
              <w:t>10,890</w:t>
            </w:r>
          </w:p>
        </w:tc>
        <w:tc>
          <w:tcPr>
            <w:tcW w:w="964" w:type="dxa"/>
            <w:shd w:val="clear" w:color="auto" w:fill="auto"/>
            <w:tcMar>
              <w:top w:w="28" w:type="dxa"/>
              <w:left w:w="28" w:type="dxa"/>
              <w:bottom w:w="28" w:type="dxa"/>
              <w:right w:w="28" w:type="dxa"/>
            </w:tcMar>
            <w:vAlign w:val="bottom"/>
          </w:tcPr>
          <w:p w:rsidR="002D5BB0" w:rsidRPr="00222917" w:rsidRDefault="002D5BB0" w:rsidP="00EA2E29">
            <w:pPr>
              <w:pStyle w:val="SingleTxtG"/>
              <w:suppressAutoHyphens w:val="0"/>
              <w:spacing w:before="40" w:after="40" w:line="220" w:lineRule="exact"/>
              <w:ind w:left="0" w:right="0"/>
              <w:jc w:val="right"/>
              <w:rPr>
                <w:sz w:val="18"/>
                <w:lang w:val="en-US"/>
              </w:rPr>
            </w:pPr>
            <w:r w:rsidRPr="00222917">
              <w:rPr>
                <w:sz w:val="18"/>
                <w:lang w:val="en-US"/>
              </w:rPr>
              <w:t>28,894</w:t>
            </w:r>
          </w:p>
        </w:tc>
        <w:tc>
          <w:tcPr>
            <w:tcW w:w="964" w:type="dxa"/>
            <w:shd w:val="clear" w:color="auto" w:fill="auto"/>
            <w:tcMar>
              <w:top w:w="28" w:type="dxa"/>
              <w:left w:w="28" w:type="dxa"/>
              <w:bottom w:w="28" w:type="dxa"/>
              <w:right w:w="28" w:type="dxa"/>
            </w:tcMar>
            <w:vAlign w:val="bottom"/>
          </w:tcPr>
          <w:p w:rsidR="002D5BB0" w:rsidRPr="00222917" w:rsidRDefault="002D5BB0" w:rsidP="00EA2E29">
            <w:pPr>
              <w:pStyle w:val="SingleTxtG"/>
              <w:suppressAutoHyphens w:val="0"/>
              <w:spacing w:before="40" w:after="40" w:line="220" w:lineRule="exact"/>
              <w:ind w:left="0" w:right="0"/>
              <w:jc w:val="right"/>
              <w:rPr>
                <w:sz w:val="18"/>
                <w:lang w:val="en-US"/>
              </w:rPr>
            </w:pPr>
            <w:r w:rsidRPr="00222917">
              <w:rPr>
                <w:sz w:val="18"/>
                <w:lang w:val="en-US"/>
              </w:rPr>
              <w:t>-</w:t>
            </w:r>
          </w:p>
        </w:tc>
        <w:tc>
          <w:tcPr>
            <w:tcW w:w="964" w:type="dxa"/>
            <w:shd w:val="clear" w:color="auto" w:fill="auto"/>
            <w:tcMar>
              <w:top w:w="28" w:type="dxa"/>
              <w:left w:w="28" w:type="dxa"/>
              <w:bottom w:w="28" w:type="dxa"/>
              <w:right w:w="28" w:type="dxa"/>
            </w:tcMar>
            <w:vAlign w:val="bottom"/>
          </w:tcPr>
          <w:p w:rsidR="002D5BB0" w:rsidRPr="00222917" w:rsidRDefault="002D5BB0" w:rsidP="00EA2E29">
            <w:pPr>
              <w:pStyle w:val="SingleTxtG"/>
              <w:suppressAutoHyphens w:val="0"/>
              <w:spacing w:before="40" w:after="40" w:line="220" w:lineRule="exact"/>
              <w:ind w:left="0" w:right="0"/>
              <w:jc w:val="right"/>
              <w:rPr>
                <w:sz w:val="18"/>
                <w:lang w:val="en-US"/>
              </w:rPr>
            </w:pPr>
            <w:r w:rsidRPr="00222917">
              <w:rPr>
                <w:sz w:val="18"/>
                <w:lang w:val="en-US"/>
              </w:rPr>
              <w:t>-</w:t>
            </w:r>
          </w:p>
        </w:tc>
      </w:tr>
      <w:tr w:rsidR="008F6543" w:rsidRPr="00222917" w:rsidTr="00B679B4">
        <w:tc>
          <w:tcPr>
            <w:tcW w:w="794" w:type="dxa"/>
            <w:shd w:val="clear" w:color="auto" w:fill="auto"/>
            <w:tcMar>
              <w:top w:w="28" w:type="dxa"/>
              <w:left w:w="28" w:type="dxa"/>
              <w:bottom w:w="28" w:type="dxa"/>
              <w:right w:w="28" w:type="dxa"/>
            </w:tcMar>
          </w:tcPr>
          <w:p w:rsidR="002D5BB0" w:rsidRPr="00222917" w:rsidRDefault="002D5BB0" w:rsidP="00EA2E29">
            <w:pPr>
              <w:pStyle w:val="SingleTxtG"/>
              <w:suppressAutoHyphens w:val="0"/>
              <w:spacing w:before="40" w:after="40" w:line="220" w:lineRule="exact"/>
              <w:ind w:left="0" w:right="0"/>
              <w:jc w:val="left"/>
              <w:rPr>
                <w:sz w:val="18"/>
                <w:lang w:val="en-US"/>
              </w:rPr>
            </w:pPr>
            <w:r w:rsidRPr="00222917">
              <w:rPr>
                <w:sz w:val="18"/>
                <w:lang w:val="en-US"/>
              </w:rPr>
              <w:t>2006</w:t>
            </w:r>
          </w:p>
        </w:tc>
        <w:tc>
          <w:tcPr>
            <w:tcW w:w="964" w:type="dxa"/>
            <w:shd w:val="clear" w:color="auto" w:fill="auto"/>
            <w:tcMar>
              <w:top w:w="28" w:type="dxa"/>
              <w:left w:w="28" w:type="dxa"/>
              <w:bottom w:w="28" w:type="dxa"/>
              <w:right w:w="28" w:type="dxa"/>
            </w:tcMar>
            <w:vAlign w:val="bottom"/>
          </w:tcPr>
          <w:p w:rsidR="002D5BB0" w:rsidRPr="00222917" w:rsidRDefault="002D5BB0" w:rsidP="00EA2E29">
            <w:pPr>
              <w:pStyle w:val="SingleTxtG"/>
              <w:suppressAutoHyphens w:val="0"/>
              <w:spacing w:before="40" w:after="40" w:line="220" w:lineRule="exact"/>
              <w:ind w:left="0" w:right="0"/>
              <w:jc w:val="right"/>
              <w:rPr>
                <w:b/>
                <w:sz w:val="18"/>
                <w:lang w:val="en-US"/>
              </w:rPr>
            </w:pPr>
            <w:r w:rsidRPr="00222917">
              <w:rPr>
                <w:b/>
                <w:sz w:val="18"/>
                <w:lang w:val="en-US"/>
              </w:rPr>
              <w:t>66,163</w:t>
            </w:r>
          </w:p>
        </w:tc>
        <w:tc>
          <w:tcPr>
            <w:tcW w:w="964" w:type="dxa"/>
            <w:shd w:val="clear" w:color="auto" w:fill="auto"/>
            <w:tcMar>
              <w:top w:w="28" w:type="dxa"/>
              <w:left w:w="28" w:type="dxa"/>
              <w:bottom w:w="28" w:type="dxa"/>
              <w:right w:w="28" w:type="dxa"/>
            </w:tcMar>
            <w:vAlign w:val="bottom"/>
          </w:tcPr>
          <w:p w:rsidR="002D5BB0" w:rsidRPr="00222917" w:rsidRDefault="002D5BB0" w:rsidP="00EA2E29">
            <w:pPr>
              <w:pStyle w:val="SingleTxtG"/>
              <w:suppressAutoHyphens w:val="0"/>
              <w:spacing w:before="40" w:after="40" w:line="220" w:lineRule="exact"/>
              <w:ind w:left="0" w:right="0"/>
              <w:jc w:val="right"/>
              <w:rPr>
                <w:b/>
                <w:sz w:val="18"/>
                <w:lang w:val="en-US"/>
              </w:rPr>
            </w:pPr>
            <w:r w:rsidRPr="00222917">
              <w:rPr>
                <w:b/>
                <w:sz w:val="18"/>
                <w:lang w:val="en-US"/>
              </w:rPr>
              <w:t>170,530</w:t>
            </w:r>
          </w:p>
        </w:tc>
        <w:tc>
          <w:tcPr>
            <w:tcW w:w="964" w:type="dxa"/>
            <w:shd w:val="clear" w:color="auto" w:fill="auto"/>
            <w:tcMar>
              <w:top w:w="28" w:type="dxa"/>
              <w:left w:w="28" w:type="dxa"/>
              <w:bottom w:w="28" w:type="dxa"/>
              <w:right w:w="28" w:type="dxa"/>
            </w:tcMar>
            <w:vAlign w:val="bottom"/>
          </w:tcPr>
          <w:p w:rsidR="002D5BB0" w:rsidRPr="00222917" w:rsidRDefault="002D5BB0" w:rsidP="00EA2E29">
            <w:pPr>
              <w:pStyle w:val="SingleTxtG"/>
              <w:suppressAutoHyphens w:val="0"/>
              <w:spacing w:before="40" w:after="40" w:line="220" w:lineRule="exact"/>
              <w:ind w:left="0" w:right="0"/>
              <w:jc w:val="right"/>
              <w:rPr>
                <w:sz w:val="18"/>
                <w:lang w:val="en-US"/>
              </w:rPr>
            </w:pPr>
            <w:r w:rsidRPr="00222917">
              <w:rPr>
                <w:sz w:val="18"/>
                <w:lang w:val="en-US"/>
              </w:rPr>
              <w:t>53,120</w:t>
            </w:r>
          </w:p>
        </w:tc>
        <w:tc>
          <w:tcPr>
            <w:tcW w:w="964" w:type="dxa"/>
            <w:shd w:val="clear" w:color="auto" w:fill="auto"/>
            <w:tcMar>
              <w:top w:w="28" w:type="dxa"/>
              <w:left w:w="28" w:type="dxa"/>
              <w:bottom w:w="28" w:type="dxa"/>
              <w:right w:w="28" w:type="dxa"/>
            </w:tcMar>
            <w:vAlign w:val="bottom"/>
          </w:tcPr>
          <w:p w:rsidR="002D5BB0" w:rsidRPr="00222917" w:rsidRDefault="002D5BB0" w:rsidP="00EA2E29">
            <w:pPr>
              <w:pStyle w:val="SingleTxtG"/>
              <w:suppressAutoHyphens w:val="0"/>
              <w:spacing w:before="40" w:after="40" w:line="220" w:lineRule="exact"/>
              <w:ind w:left="0" w:right="0"/>
              <w:jc w:val="right"/>
              <w:rPr>
                <w:sz w:val="18"/>
                <w:lang w:val="en-US"/>
              </w:rPr>
            </w:pPr>
            <w:r w:rsidRPr="00222917">
              <w:rPr>
                <w:sz w:val="18"/>
                <w:lang w:val="en-US"/>
              </w:rPr>
              <w:t>135,728</w:t>
            </w:r>
          </w:p>
        </w:tc>
        <w:tc>
          <w:tcPr>
            <w:tcW w:w="964" w:type="dxa"/>
            <w:shd w:val="clear" w:color="auto" w:fill="auto"/>
            <w:tcMar>
              <w:top w:w="28" w:type="dxa"/>
              <w:left w:w="28" w:type="dxa"/>
              <w:bottom w:w="28" w:type="dxa"/>
              <w:right w:w="28" w:type="dxa"/>
            </w:tcMar>
            <w:vAlign w:val="bottom"/>
          </w:tcPr>
          <w:p w:rsidR="002D5BB0" w:rsidRPr="00222917" w:rsidRDefault="002D5BB0" w:rsidP="00EA2E29">
            <w:pPr>
              <w:pStyle w:val="SingleTxtG"/>
              <w:suppressAutoHyphens w:val="0"/>
              <w:spacing w:before="40" w:after="40" w:line="220" w:lineRule="exact"/>
              <w:ind w:left="0" w:right="0"/>
              <w:jc w:val="right"/>
              <w:rPr>
                <w:sz w:val="18"/>
                <w:lang w:val="en-US"/>
              </w:rPr>
            </w:pPr>
            <w:r w:rsidRPr="00222917">
              <w:rPr>
                <w:sz w:val="18"/>
                <w:lang w:val="en-US"/>
              </w:rPr>
              <w:t>13,043</w:t>
            </w:r>
          </w:p>
        </w:tc>
        <w:tc>
          <w:tcPr>
            <w:tcW w:w="964" w:type="dxa"/>
            <w:shd w:val="clear" w:color="auto" w:fill="auto"/>
            <w:tcMar>
              <w:top w:w="28" w:type="dxa"/>
              <w:left w:w="28" w:type="dxa"/>
              <w:bottom w:w="28" w:type="dxa"/>
              <w:right w:w="28" w:type="dxa"/>
            </w:tcMar>
            <w:vAlign w:val="bottom"/>
          </w:tcPr>
          <w:p w:rsidR="002D5BB0" w:rsidRPr="00222917" w:rsidRDefault="002D5BB0" w:rsidP="00EA2E29">
            <w:pPr>
              <w:pStyle w:val="SingleTxtG"/>
              <w:suppressAutoHyphens w:val="0"/>
              <w:spacing w:before="40" w:after="40" w:line="220" w:lineRule="exact"/>
              <w:ind w:left="0" w:right="0"/>
              <w:jc w:val="right"/>
              <w:rPr>
                <w:sz w:val="18"/>
                <w:lang w:val="en-US"/>
              </w:rPr>
            </w:pPr>
            <w:r w:rsidRPr="00222917">
              <w:rPr>
                <w:sz w:val="18"/>
                <w:lang w:val="en-US"/>
              </w:rPr>
              <w:t>34,802</w:t>
            </w:r>
          </w:p>
        </w:tc>
        <w:tc>
          <w:tcPr>
            <w:tcW w:w="964" w:type="dxa"/>
            <w:shd w:val="clear" w:color="auto" w:fill="auto"/>
            <w:tcMar>
              <w:top w:w="28" w:type="dxa"/>
              <w:left w:w="28" w:type="dxa"/>
              <w:bottom w:w="28" w:type="dxa"/>
              <w:right w:w="28" w:type="dxa"/>
            </w:tcMar>
            <w:vAlign w:val="bottom"/>
          </w:tcPr>
          <w:p w:rsidR="002D5BB0" w:rsidRPr="00222917" w:rsidRDefault="002D5BB0" w:rsidP="00EA2E29">
            <w:pPr>
              <w:pStyle w:val="SingleTxtG"/>
              <w:suppressAutoHyphens w:val="0"/>
              <w:spacing w:before="40" w:after="40" w:line="220" w:lineRule="exact"/>
              <w:ind w:left="0" w:right="0"/>
              <w:jc w:val="right"/>
              <w:rPr>
                <w:sz w:val="18"/>
                <w:lang w:val="en-US"/>
              </w:rPr>
            </w:pPr>
            <w:r w:rsidRPr="00222917">
              <w:rPr>
                <w:sz w:val="18"/>
                <w:lang w:val="en-US"/>
              </w:rPr>
              <w:t>-</w:t>
            </w:r>
          </w:p>
        </w:tc>
        <w:tc>
          <w:tcPr>
            <w:tcW w:w="964" w:type="dxa"/>
            <w:shd w:val="clear" w:color="auto" w:fill="auto"/>
            <w:tcMar>
              <w:top w:w="28" w:type="dxa"/>
              <w:left w:w="28" w:type="dxa"/>
              <w:bottom w:w="28" w:type="dxa"/>
              <w:right w:w="28" w:type="dxa"/>
            </w:tcMar>
            <w:vAlign w:val="bottom"/>
          </w:tcPr>
          <w:p w:rsidR="002D5BB0" w:rsidRPr="00222917" w:rsidRDefault="002D5BB0" w:rsidP="00EA2E29">
            <w:pPr>
              <w:pStyle w:val="SingleTxtG"/>
              <w:suppressAutoHyphens w:val="0"/>
              <w:spacing w:before="40" w:after="40" w:line="220" w:lineRule="exact"/>
              <w:ind w:left="0" w:right="0"/>
              <w:jc w:val="right"/>
              <w:rPr>
                <w:sz w:val="18"/>
                <w:lang w:val="en-US"/>
              </w:rPr>
            </w:pPr>
            <w:r w:rsidRPr="00222917">
              <w:rPr>
                <w:sz w:val="18"/>
                <w:lang w:val="en-US"/>
              </w:rPr>
              <w:t>-</w:t>
            </w:r>
          </w:p>
        </w:tc>
      </w:tr>
      <w:tr w:rsidR="008F6543" w:rsidRPr="00222917" w:rsidTr="00B679B4">
        <w:tc>
          <w:tcPr>
            <w:tcW w:w="794" w:type="dxa"/>
            <w:shd w:val="clear" w:color="auto" w:fill="auto"/>
            <w:tcMar>
              <w:top w:w="28" w:type="dxa"/>
              <w:left w:w="28" w:type="dxa"/>
              <w:bottom w:w="28" w:type="dxa"/>
              <w:right w:w="28" w:type="dxa"/>
            </w:tcMar>
          </w:tcPr>
          <w:p w:rsidR="002D5BB0" w:rsidRPr="00222917" w:rsidRDefault="002D5BB0" w:rsidP="00EA2E29">
            <w:pPr>
              <w:pStyle w:val="SingleTxtG"/>
              <w:suppressAutoHyphens w:val="0"/>
              <w:spacing w:before="40" w:after="40" w:line="220" w:lineRule="exact"/>
              <w:ind w:left="0" w:right="0"/>
              <w:jc w:val="left"/>
              <w:rPr>
                <w:sz w:val="18"/>
                <w:lang w:val="en-US"/>
              </w:rPr>
            </w:pPr>
            <w:r w:rsidRPr="00222917">
              <w:rPr>
                <w:sz w:val="18"/>
                <w:lang w:val="en-US"/>
              </w:rPr>
              <w:t>2007</w:t>
            </w:r>
          </w:p>
        </w:tc>
        <w:tc>
          <w:tcPr>
            <w:tcW w:w="964" w:type="dxa"/>
            <w:shd w:val="clear" w:color="auto" w:fill="auto"/>
            <w:tcMar>
              <w:top w:w="28" w:type="dxa"/>
              <w:left w:w="28" w:type="dxa"/>
              <w:bottom w:w="28" w:type="dxa"/>
              <w:right w:w="28" w:type="dxa"/>
            </w:tcMar>
            <w:vAlign w:val="bottom"/>
          </w:tcPr>
          <w:p w:rsidR="002D5BB0" w:rsidRPr="00222917" w:rsidRDefault="002D5BB0" w:rsidP="00EA2E29">
            <w:pPr>
              <w:pStyle w:val="SingleTxtG"/>
              <w:suppressAutoHyphens w:val="0"/>
              <w:spacing w:before="40" w:after="40" w:line="220" w:lineRule="exact"/>
              <w:ind w:left="0" w:right="0"/>
              <w:jc w:val="right"/>
              <w:rPr>
                <w:b/>
                <w:sz w:val="18"/>
                <w:lang w:val="en-US"/>
              </w:rPr>
            </w:pPr>
            <w:r w:rsidRPr="00222917">
              <w:rPr>
                <w:b/>
                <w:sz w:val="18"/>
                <w:lang w:val="en-US"/>
              </w:rPr>
              <w:t>73,305</w:t>
            </w:r>
          </w:p>
        </w:tc>
        <w:tc>
          <w:tcPr>
            <w:tcW w:w="964" w:type="dxa"/>
            <w:shd w:val="clear" w:color="auto" w:fill="auto"/>
            <w:tcMar>
              <w:top w:w="28" w:type="dxa"/>
              <w:left w:w="28" w:type="dxa"/>
              <w:bottom w:w="28" w:type="dxa"/>
              <w:right w:w="28" w:type="dxa"/>
            </w:tcMar>
            <w:vAlign w:val="bottom"/>
          </w:tcPr>
          <w:p w:rsidR="002D5BB0" w:rsidRPr="00222917" w:rsidRDefault="002D5BB0" w:rsidP="00EA2E29">
            <w:pPr>
              <w:pStyle w:val="SingleTxtG"/>
              <w:suppressAutoHyphens w:val="0"/>
              <w:spacing w:before="40" w:after="40" w:line="220" w:lineRule="exact"/>
              <w:ind w:left="0" w:right="0"/>
              <w:jc w:val="right"/>
              <w:rPr>
                <w:b/>
                <w:sz w:val="18"/>
                <w:lang w:val="en-US"/>
              </w:rPr>
            </w:pPr>
            <w:r w:rsidRPr="00222917">
              <w:rPr>
                <w:b/>
                <w:sz w:val="18"/>
                <w:lang w:val="en-US"/>
              </w:rPr>
              <w:t>189,854</w:t>
            </w:r>
          </w:p>
        </w:tc>
        <w:tc>
          <w:tcPr>
            <w:tcW w:w="964" w:type="dxa"/>
            <w:shd w:val="clear" w:color="auto" w:fill="auto"/>
            <w:tcMar>
              <w:top w:w="28" w:type="dxa"/>
              <w:left w:w="28" w:type="dxa"/>
              <w:bottom w:w="28" w:type="dxa"/>
              <w:right w:w="28" w:type="dxa"/>
            </w:tcMar>
            <w:vAlign w:val="bottom"/>
          </w:tcPr>
          <w:p w:rsidR="002D5BB0" w:rsidRPr="00222917" w:rsidRDefault="002D5BB0" w:rsidP="00EA2E29">
            <w:pPr>
              <w:pStyle w:val="SingleTxtG"/>
              <w:suppressAutoHyphens w:val="0"/>
              <w:spacing w:before="40" w:after="40" w:line="220" w:lineRule="exact"/>
              <w:ind w:left="0" w:right="0"/>
              <w:jc w:val="right"/>
              <w:rPr>
                <w:sz w:val="18"/>
                <w:lang w:val="en-US"/>
              </w:rPr>
            </w:pPr>
            <w:r w:rsidRPr="00222917">
              <w:rPr>
                <w:sz w:val="18"/>
                <w:lang w:val="en-US"/>
              </w:rPr>
              <w:t>57,757</w:t>
            </w:r>
          </w:p>
        </w:tc>
        <w:tc>
          <w:tcPr>
            <w:tcW w:w="964" w:type="dxa"/>
            <w:shd w:val="clear" w:color="auto" w:fill="auto"/>
            <w:tcMar>
              <w:top w:w="28" w:type="dxa"/>
              <w:left w:w="28" w:type="dxa"/>
              <w:bottom w:w="28" w:type="dxa"/>
              <w:right w:w="28" w:type="dxa"/>
            </w:tcMar>
            <w:vAlign w:val="bottom"/>
          </w:tcPr>
          <w:p w:rsidR="002D5BB0" w:rsidRPr="00222917" w:rsidRDefault="002D5BB0" w:rsidP="00EA2E29">
            <w:pPr>
              <w:pStyle w:val="SingleTxtG"/>
              <w:suppressAutoHyphens w:val="0"/>
              <w:spacing w:before="40" w:after="40" w:line="220" w:lineRule="exact"/>
              <w:ind w:left="0" w:right="0"/>
              <w:jc w:val="right"/>
              <w:rPr>
                <w:sz w:val="18"/>
                <w:lang w:val="en-US"/>
              </w:rPr>
            </w:pPr>
            <w:r w:rsidRPr="00222917">
              <w:rPr>
                <w:sz w:val="18"/>
                <w:lang w:val="en-US"/>
              </w:rPr>
              <w:t>148,462</w:t>
            </w:r>
          </w:p>
        </w:tc>
        <w:tc>
          <w:tcPr>
            <w:tcW w:w="964" w:type="dxa"/>
            <w:shd w:val="clear" w:color="auto" w:fill="auto"/>
            <w:tcMar>
              <w:top w:w="28" w:type="dxa"/>
              <w:left w:w="28" w:type="dxa"/>
              <w:bottom w:w="28" w:type="dxa"/>
              <w:right w:w="28" w:type="dxa"/>
            </w:tcMar>
            <w:vAlign w:val="bottom"/>
          </w:tcPr>
          <w:p w:rsidR="002D5BB0" w:rsidRPr="00222917" w:rsidRDefault="002D5BB0" w:rsidP="00EA2E29">
            <w:pPr>
              <w:pStyle w:val="SingleTxtG"/>
              <w:suppressAutoHyphens w:val="0"/>
              <w:spacing w:before="40" w:after="40" w:line="220" w:lineRule="exact"/>
              <w:ind w:left="0" w:right="0"/>
              <w:jc w:val="right"/>
              <w:rPr>
                <w:sz w:val="18"/>
                <w:lang w:val="en-US"/>
              </w:rPr>
            </w:pPr>
            <w:r w:rsidRPr="00222917">
              <w:rPr>
                <w:sz w:val="18"/>
                <w:lang w:val="en-US"/>
              </w:rPr>
              <w:t>15,548</w:t>
            </w:r>
          </w:p>
        </w:tc>
        <w:tc>
          <w:tcPr>
            <w:tcW w:w="964" w:type="dxa"/>
            <w:shd w:val="clear" w:color="auto" w:fill="auto"/>
            <w:tcMar>
              <w:top w:w="28" w:type="dxa"/>
              <w:left w:w="28" w:type="dxa"/>
              <w:bottom w:w="28" w:type="dxa"/>
              <w:right w:w="28" w:type="dxa"/>
            </w:tcMar>
            <w:vAlign w:val="bottom"/>
          </w:tcPr>
          <w:p w:rsidR="002D5BB0" w:rsidRPr="00222917" w:rsidRDefault="002D5BB0" w:rsidP="00EA2E29">
            <w:pPr>
              <w:pStyle w:val="SingleTxtG"/>
              <w:suppressAutoHyphens w:val="0"/>
              <w:spacing w:before="40" w:after="40" w:line="220" w:lineRule="exact"/>
              <w:ind w:left="0" w:right="0"/>
              <w:jc w:val="right"/>
              <w:rPr>
                <w:sz w:val="18"/>
                <w:lang w:val="en-US"/>
              </w:rPr>
            </w:pPr>
            <w:r w:rsidRPr="00222917">
              <w:rPr>
                <w:sz w:val="18"/>
                <w:lang w:val="en-US"/>
              </w:rPr>
              <w:t>41,392</w:t>
            </w:r>
          </w:p>
        </w:tc>
        <w:tc>
          <w:tcPr>
            <w:tcW w:w="964" w:type="dxa"/>
            <w:shd w:val="clear" w:color="auto" w:fill="auto"/>
            <w:tcMar>
              <w:top w:w="28" w:type="dxa"/>
              <w:left w:w="28" w:type="dxa"/>
              <w:bottom w:w="28" w:type="dxa"/>
              <w:right w:w="28" w:type="dxa"/>
            </w:tcMar>
            <w:vAlign w:val="bottom"/>
          </w:tcPr>
          <w:p w:rsidR="002D5BB0" w:rsidRPr="00222917" w:rsidRDefault="002D5BB0" w:rsidP="00EA2E29">
            <w:pPr>
              <w:pStyle w:val="SingleTxtG"/>
              <w:suppressAutoHyphens w:val="0"/>
              <w:spacing w:before="40" w:after="40" w:line="220" w:lineRule="exact"/>
              <w:ind w:left="0" w:right="0"/>
              <w:jc w:val="right"/>
              <w:rPr>
                <w:sz w:val="18"/>
                <w:lang w:val="en-US"/>
              </w:rPr>
            </w:pPr>
            <w:r w:rsidRPr="00222917">
              <w:rPr>
                <w:sz w:val="18"/>
                <w:lang w:val="en-US"/>
              </w:rPr>
              <w:t>-</w:t>
            </w:r>
          </w:p>
        </w:tc>
        <w:tc>
          <w:tcPr>
            <w:tcW w:w="964" w:type="dxa"/>
            <w:shd w:val="clear" w:color="auto" w:fill="auto"/>
            <w:tcMar>
              <w:top w:w="28" w:type="dxa"/>
              <w:left w:w="28" w:type="dxa"/>
              <w:bottom w:w="28" w:type="dxa"/>
              <w:right w:w="28" w:type="dxa"/>
            </w:tcMar>
            <w:vAlign w:val="bottom"/>
          </w:tcPr>
          <w:p w:rsidR="002D5BB0" w:rsidRPr="00222917" w:rsidRDefault="002D5BB0" w:rsidP="00EA2E29">
            <w:pPr>
              <w:pStyle w:val="SingleTxtG"/>
              <w:suppressAutoHyphens w:val="0"/>
              <w:spacing w:before="40" w:after="40" w:line="220" w:lineRule="exact"/>
              <w:ind w:left="0" w:right="0"/>
              <w:jc w:val="right"/>
              <w:rPr>
                <w:sz w:val="18"/>
                <w:lang w:val="en-US"/>
              </w:rPr>
            </w:pPr>
            <w:r w:rsidRPr="00222917">
              <w:rPr>
                <w:sz w:val="18"/>
                <w:lang w:val="en-US"/>
              </w:rPr>
              <w:t>-</w:t>
            </w:r>
          </w:p>
        </w:tc>
      </w:tr>
      <w:tr w:rsidR="008F6543" w:rsidRPr="00222917" w:rsidTr="00B679B4">
        <w:tc>
          <w:tcPr>
            <w:tcW w:w="794" w:type="dxa"/>
            <w:shd w:val="clear" w:color="auto" w:fill="auto"/>
            <w:tcMar>
              <w:top w:w="28" w:type="dxa"/>
              <w:left w:w="28" w:type="dxa"/>
              <w:bottom w:w="28" w:type="dxa"/>
              <w:right w:w="28" w:type="dxa"/>
            </w:tcMar>
          </w:tcPr>
          <w:p w:rsidR="002D5BB0" w:rsidRPr="00222917" w:rsidRDefault="002D5BB0" w:rsidP="00EA2E29">
            <w:pPr>
              <w:pStyle w:val="SingleTxtG"/>
              <w:suppressAutoHyphens w:val="0"/>
              <w:spacing w:before="40" w:after="40" w:line="220" w:lineRule="exact"/>
              <w:ind w:left="0" w:right="0"/>
              <w:jc w:val="left"/>
              <w:rPr>
                <w:sz w:val="18"/>
                <w:lang w:val="en-US"/>
              </w:rPr>
            </w:pPr>
            <w:r w:rsidRPr="00222917">
              <w:rPr>
                <w:sz w:val="18"/>
                <w:lang w:val="en-US"/>
              </w:rPr>
              <w:t>2008</w:t>
            </w:r>
          </w:p>
        </w:tc>
        <w:tc>
          <w:tcPr>
            <w:tcW w:w="964" w:type="dxa"/>
            <w:shd w:val="clear" w:color="auto" w:fill="auto"/>
            <w:tcMar>
              <w:top w:w="28" w:type="dxa"/>
              <w:left w:w="28" w:type="dxa"/>
              <w:bottom w:w="28" w:type="dxa"/>
              <w:right w:w="28" w:type="dxa"/>
            </w:tcMar>
            <w:vAlign w:val="bottom"/>
          </w:tcPr>
          <w:p w:rsidR="002D5BB0" w:rsidRPr="00222917" w:rsidRDefault="002D5BB0" w:rsidP="00EA2E29">
            <w:pPr>
              <w:pStyle w:val="SingleTxtG"/>
              <w:suppressAutoHyphens w:val="0"/>
              <w:spacing w:before="40" w:after="40" w:line="220" w:lineRule="exact"/>
              <w:ind w:left="0" w:right="0"/>
              <w:jc w:val="right"/>
              <w:rPr>
                <w:b/>
                <w:sz w:val="18"/>
                <w:lang w:val="en-US"/>
              </w:rPr>
            </w:pPr>
            <w:r w:rsidRPr="00222917">
              <w:rPr>
                <w:b/>
                <w:sz w:val="18"/>
                <w:lang w:val="en-US"/>
              </w:rPr>
              <w:t>81,792</w:t>
            </w:r>
          </w:p>
        </w:tc>
        <w:tc>
          <w:tcPr>
            <w:tcW w:w="964" w:type="dxa"/>
            <w:shd w:val="clear" w:color="auto" w:fill="auto"/>
            <w:tcMar>
              <w:top w:w="28" w:type="dxa"/>
              <w:left w:w="28" w:type="dxa"/>
              <w:bottom w:w="28" w:type="dxa"/>
              <w:right w:w="28" w:type="dxa"/>
            </w:tcMar>
            <w:vAlign w:val="bottom"/>
          </w:tcPr>
          <w:p w:rsidR="002D5BB0" w:rsidRPr="00222917" w:rsidRDefault="002D5BB0" w:rsidP="00EA2E29">
            <w:pPr>
              <w:pStyle w:val="SingleTxtG"/>
              <w:suppressAutoHyphens w:val="0"/>
              <w:spacing w:before="40" w:after="40" w:line="220" w:lineRule="exact"/>
              <w:ind w:left="0" w:right="0"/>
              <w:jc w:val="right"/>
              <w:rPr>
                <w:b/>
                <w:sz w:val="18"/>
                <w:lang w:val="en-US"/>
              </w:rPr>
            </w:pPr>
            <w:r w:rsidRPr="00222917">
              <w:rPr>
                <w:b/>
                <w:sz w:val="18"/>
                <w:lang w:val="en-US"/>
              </w:rPr>
              <w:t>212,581</w:t>
            </w:r>
          </w:p>
        </w:tc>
        <w:tc>
          <w:tcPr>
            <w:tcW w:w="964" w:type="dxa"/>
            <w:shd w:val="clear" w:color="auto" w:fill="auto"/>
            <w:tcMar>
              <w:top w:w="28" w:type="dxa"/>
              <w:left w:w="28" w:type="dxa"/>
              <w:bottom w:w="28" w:type="dxa"/>
              <w:right w:w="28" w:type="dxa"/>
            </w:tcMar>
            <w:vAlign w:val="bottom"/>
          </w:tcPr>
          <w:p w:rsidR="002D5BB0" w:rsidRPr="00222917" w:rsidRDefault="002D5BB0" w:rsidP="00EA2E29">
            <w:pPr>
              <w:pStyle w:val="SingleTxtG"/>
              <w:suppressAutoHyphens w:val="0"/>
              <w:spacing w:before="40" w:after="40" w:line="220" w:lineRule="exact"/>
              <w:ind w:left="0" w:right="0"/>
              <w:jc w:val="right"/>
              <w:rPr>
                <w:sz w:val="18"/>
                <w:lang w:val="en-US"/>
              </w:rPr>
            </w:pPr>
            <w:r w:rsidRPr="00222917">
              <w:rPr>
                <w:sz w:val="18"/>
                <w:lang w:val="en-US"/>
              </w:rPr>
              <w:t>63,469</w:t>
            </w:r>
          </w:p>
        </w:tc>
        <w:tc>
          <w:tcPr>
            <w:tcW w:w="964" w:type="dxa"/>
            <w:shd w:val="clear" w:color="auto" w:fill="auto"/>
            <w:tcMar>
              <w:top w:w="28" w:type="dxa"/>
              <w:left w:w="28" w:type="dxa"/>
              <w:bottom w:w="28" w:type="dxa"/>
              <w:right w:w="28" w:type="dxa"/>
            </w:tcMar>
            <w:vAlign w:val="bottom"/>
          </w:tcPr>
          <w:p w:rsidR="002D5BB0" w:rsidRPr="00222917" w:rsidRDefault="002D5BB0" w:rsidP="00EA2E29">
            <w:pPr>
              <w:pStyle w:val="SingleTxtG"/>
              <w:suppressAutoHyphens w:val="0"/>
              <w:spacing w:before="40" w:after="40" w:line="220" w:lineRule="exact"/>
              <w:ind w:left="0" w:right="0"/>
              <w:jc w:val="right"/>
              <w:rPr>
                <w:sz w:val="18"/>
                <w:lang w:val="en-US"/>
              </w:rPr>
            </w:pPr>
            <w:r w:rsidRPr="00222917">
              <w:rPr>
                <w:sz w:val="18"/>
                <w:lang w:val="en-US"/>
              </w:rPr>
              <w:t>163,567</w:t>
            </w:r>
          </w:p>
        </w:tc>
        <w:tc>
          <w:tcPr>
            <w:tcW w:w="964" w:type="dxa"/>
            <w:shd w:val="clear" w:color="auto" w:fill="auto"/>
            <w:tcMar>
              <w:top w:w="28" w:type="dxa"/>
              <w:left w:w="28" w:type="dxa"/>
              <w:bottom w:w="28" w:type="dxa"/>
              <w:right w:w="28" w:type="dxa"/>
            </w:tcMar>
            <w:vAlign w:val="bottom"/>
          </w:tcPr>
          <w:p w:rsidR="002D5BB0" w:rsidRPr="00222917" w:rsidRDefault="002D5BB0" w:rsidP="00EA2E29">
            <w:pPr>
              <w:pStyle w:val="SingleTxtG"/>
              <w:suppressAutoHyphens w:val="0"/>
              <w:spacing w:before="40" w:after="40" w:line="220" w:lineRule="exact"/>
              <w:ind w:left="0" w:right="0"/>
              <w:jc w:val="right"/>
              <w:rPr>
                <w:sz w:val="18"/>
                <w:lang w:val="en-US"/>
              </w:rPr>
            </w:pPr>
            <w:r w:rsidRPr="00222917">
              <w:rPr>
                <w:sz w:val="18"/>
                <w:lang w:val="en-US"/>
              </w:rPr>
              <w:t>18,150</w:t>
            </w:r>
          </w:p>
        </w:tc>
        <w:tc>
          <w:tcPr>
            <w:tcW w:w="964" w:type="dxa"/>
            <w:shd w:val="clear" w:color="auto" w:fill="auto"/>
            <w:tcMar>
              <w:top w:w="28" w:type="dxa"/>
              <w:left w:w="28" w:type="dxa"/>
              <w:bottom w:w="28" w:type="dxa"/>
              <w:right w:w="28" w:type="dxa"/>
            </w:tcMar>
            <w:vAlign w:val="bottom"/>
          </w:tcPr>
          <w:p w:rsidR="002D5BB0" w:rsidRPr="00222917" w:rsidRDefault="002D5BB0" w:rsidP="00EA2E29">
            <w:pPr>
              <w:pStyle w:val="SingleTxtG"/>
              <w:suppressAutoHyphens w:val="0"/>
              <w:spacing w:before="40" w:after="40" w:line="220" w:lineRule="exact"/>
              <w:ind w:left="0" w:right="0"/>
              <w:jc w:val="right"/>
              <w:rPr>
                <w:sz w:val="18"/>
                <w:lang w:val="en-US"/>
              </w:rPr>
            </w:pPr>
            <w:r w:rsidRPr="00222917">
              <w:rPr>
                <w:sz w:val="18"/>
                <w:lang w:val="en-US"/>
              </w:rPr>
              <w:t>48,572</w:t>
            </w:r>
          </w:p>
        </w:tc>
        <w:tc>
          <w:tcPr>
            <w:tcW w:w="964" w:type="dxa"/>
            <w:shd w:val="clear" w:color="auto" w:fill="auto"/>
            <w:tcMar>
              <w:top w:w="28" w:type="dxa"/>
              <w:left w:w="28" w:type="dxa"/>
              <w:bottom w:w="28" w:type="dxa"/>
              <w:right w:w="28" w:type="dxa"/>
            </w:tcMar>
            <w:vAlign w:val="bottom"/>
          </w:tcPr>
          <w:p w:rsidR="002D5BB0" w:rsidRPr="00222917" w:rsidRDefault="002D5BB0" w:rsidP="00EA2E29">
            <w:pPr>
              <w:pStyle w:val="SingleTxtG"/>
              <w:suppressAutoHyphens w:val="0"/>
              <w:spacing w:before="40" w:after="40" w:line="220" w:lineRule="exact"/>
              <w:ind w:left="0" w:right="0"/>
              <w:jc w:val="right"/>
              <w:rPr>
                <w:sz w:val="18"/>
                <w:lang w:val="en-US"/>
              </w:rPr>
            </w:pPr>
            <w:r w:rsidRPr="00222917">
              <w:rPr>
                <w:sz w:val="18"/>
                <w:lang w:val="en-US"/>
              </w:rPr>
              <w:t>173</w:t>
            </w:r>
          </w:p>
        </w:tc>
        <w:tc>
          <w:tcPr>
            <w:tcW w:w="964" w:type="dxa"/>
            <w:shd w:val="clear" w:color="auto" w:fill="auto"/>
            <w:tcMar>
              <w:top w:w="28" w:type="dxa"/>
              <w:left w:w="28" w:type="dxa"/>
              <w:bottom w:w="28" w:type="dxa"/>
              <w:right w:w="28" w:type="dxa"/>
            </w:tcMar>
            <w:vAlign w:val="bottom"/>
          </w:tcPr>
          <w:p w:rsidR="002D5BB0" w:rsidRPr="00222917" w:rsidRDefault="002D5BB0" w:rsidP="00EA2E29">
            <w:pPr>
              <w:pStyle w:val="SingleTxtG"/>
              <w:suppressAutoHyphens w:val="0"/>
              <w:spacing w:before="40" w:after="40" w:line="220" w:lineRule="exact"/>
              <w:ind w:left="0" w:right="0"/>
              <w:jc w:val="right"/>
              <w:rPr>
                <w:sz w:val="18"/>
                <w:lang w:val="en-US"/>
              </w:rPr>
            </w:pPr>
            <w:r w:rsidRPr="00222917">
              <w:rPr>
                <w:sz w:val="18"/>
                <w:lang w:val="en-US"/>
              </w:rPr>
              <w:t>442</w:t>
            </w:r>
          </w:p>
        </w:tc>
      </w:tr>
      <w:tr w:rsidR="008F6543" w:rsidRPr="00222917" w:rsidTr="00B679B4">
        <w:tc>
          <w:tcPr>
            <w:tcW w:w="794" w:type="dxa"/>
            <w:shd w:val="clear" w:color="auto" w:fill="auto"/>
            <w:tcMar>
              <w:top w:w="28" w:type="dxa"/>
              <w:left w:w="28" w:type="dxa"/>
              <w:bottom w:w="28" w:type="dxa"/>
              <w:right w:w="28" w:type="dxa"/>
            </w:tcMar>
          </w:tcPr>
          <w:p w:rsidR="002D5BB0" w:rsidRPr="00222917" w:rsidRDefault="002D5BB0" w:rsidP="00EA2E29">
            <w:pPr>
              <w:pStyle w:val="SingleTxtG"/>
              <w:suppressAutoHyphens w:val="0"/>
              <w:spacing w:before="40" w:after="40" w:line="220" w:lineRule="exact"/>
              <w:ind w:left="0" w:right="0"/>
              <w:jc w:val="left"/>
              <w:rPr>
                <w:sz w:val="18"/>
                <w:lang w:val="en-US"/>
              </w:rPr>
            </w:pPr>
            <w:r w:rsidRPr="00222917">
              <w:rPr>
                <w:sz w:val="18"/>
                <w:lang w:val="en-US"/>
              </w:rPr>
              <w:t>2009</w:t>
            </w:r>
          </w:p>
        </w:tc>
        <w:tc>
          <w:tcPr>
            <w:tcW w:w="964" w:type="dxa"/>
            <w:shd w:val="clear" w:color="auto" w:fill="auto"/>
            <w:tcMar>
              <w:top w:w="28" w:type="dxa"/>
              <w:left w:w="28" w:type="dxa"/>
              <w:bottom w:w="28" w:type="dxa"/>
              <w:right w:w="28" w:type="dxa"/>
            </w:tcMar>
            <w:vAlign w:val="bottom"/>
          </w:tcPr>
          <w:p w:rsidR="002D5BB0" w:rsidRPr="00222917" w:rsidRDefault="002D5BB0" w:rsidP="00EA2E29">
            <w:pPr>
              <w:pStyle w:val="SingleTxtG"/>
              <w:suppressAutoHyphens w:val="0"/>
              <w:spacing w:before="40" w:after="40" w:line="220" w:lineRule="exact"/>
              <w:ind w:left="0" w:right="0"/>
              <w:jc w:val="right"/>
              <w:rPr>
                <w:b/>
                <w:sz w:val="18"/>
                <w:lang w:val="en-US"/>
              </w:rPr>
            </w:pPr>
            <w:r w:rsidRPr="00222917">
              <w:rPr>
                <w:b/>
                <w:sz w:val="18"/>
                <w:lang w:val="en-US"/>
              </w:rPr>
              <w:t>94,487</w:t>
            </w:r>
          </w:p>
        </w:tc>
        <w:tc>
          <w:tcPr>
            <w:tcW w:w="964" w:type="dxa"/>
            <w:shd w:val="clear" w:color="auto" w:fill="auto"/>
            <w:tcMar>
              <w:top w:w="28" w:type="dxa"/>
              <w:left w:w="28" w:type="dxa"/>
              <w:bottom w:w="28" w:type="dxa"/>
              <w:right w:w="28" w:type="dxa"/>
            </w:tcMar>
            <w:vAlign w:val="bottom"/>
          </w:tcPr>
          <w:p w:rsidR="002D5BB0" w:rsidRPr="00222917" w:rsidRDefault="002D5BB0" w:rsidP="00EA2E29">
            <w:pPr>
              <w:pStyle w:val="SingleTxtG"/>
              <w:suppressAutoHyphens w:val="0"/>
              <w:spacing w:before="40" w:after="40" w:line="220" w:lineRule="exact"/>
              <w:ind w:left="0" w:right="0"/>
              <w:jc w:val="right"/>
              <w:rPr>
                <w:b/>
                <w:sz w:val="18"/>
                <w:lang w:val="en-US"/>
              </w:rPr>
            </w:pPr>
            <w:r w:rsidRPr="00222917">
              <w:rPr>
                <w:b/>
                <w:sz w:val="18"/>
                <w:lang w:val="en-US"/>
              </w:rPr>
              <w:t>245,793</w:t>
            </w:r>
          </w:p>
        </w:tc>
        <w:tc>
          <w:tcPr>
            <w:tcW w:w="964" w:type="dxa"/>
            <w:shd w:val="clear" w:color="auto" w:fill="auto"/>
            <w:tcMar>
              <w:top w:w="28" w:type="dxa"/>
              <w:left w:w="28" w:type="dxa"/>
              <w:bottom w:w="28" w:type="dxa"/>
              <w:right w:w="28" w:type="dxa"/>
            </w:tcMar>
            <w:vAlign w:val="bottom"/>
          </w:tcPr>
          <w:p w:rsidR="002D5BB0" w:rsidRPr="00222917" w:rsidRDefault="002D5BB0" w:rsidP="00EA2E29">
            <w:pPr>
              <w:pStyle w:val="SingleTxtG"/>
              <w:suppressAutoHyphens w:val="0"/>
              <w:spacing w:before="40" w:after="40" w:line="220" w:lineRule="exact"/>
              <w:ind w:left="0" w:right="0"/>
              <w:jc w:val="right"/>
              <w:rPr>
                <w:sz w:val="18"/>
                <w:lang w:val="en-US"/>
              </w:rPr>
            </w:pPr>
            <w:r w:rsidRPr="00222917">
              <w:rPr>
                <w:sz w:val="18"/>
                <w:lang w:val="en-US"/>
              </w:rPr>
              <w:t>71,775</w:t>
            </w:r>
          </w:p>
        </w:tc>
        <w:tc>
          <w:tcPr>
            <w:tcW w:w="964" w:type="dxa"/>
            <w:shd w:val="clear" w:color="auto" w:fill="auto"/>
            <w:tcMar>
              <w:top w:w="28" w:type="dxa"/>
              <w:left w:w="28" w:type="dxa"/>
              <w:bottom w:w="28" w:type="dxa"/>
              <w:right w:w="28" w:type="dxa"/>
            </w:tcMar>
            <w:vAlign w:val="bottom"/>
          </w:tcPr>
          <w:p w:rsidR="002D5BB0" w:rsidRPr="00222917" w:rsidRDefault="002D5BB0" w:rsidP="00EA2E29">
            <w:pPr>
              <w:pStyle w:val="SingleTxtG"/>
              <w:suppressAutoHyphens w:val="0"/>
              <w:spacing w:before="40" w:after="40" w:line="220" w:lineRule="exact"/>
              <w:ind w:left="0" w:right="0"/>
              <w:jc w:val="right"/>
              <w:rPr>
                <w:sz w:val="18"/>
                <w:lang w:val="en-US"/>
              </w:rPr>
            </w:pPr>
            <w:r w:rsidRPr="00222917">
              <w:rPr>
                <w:sz w:val="18"/>
                <w:lang w:val="en-US"/>
              </w:rPr>
              <w:t>185,510</w:t>
            </w:r>
          </w:p>
        </w:tc>
        <w:tc>
          <w:tcPr>
            <w:tcW w:w="964" w:type="dxa"/>
            <w:shd w:val="clear" w:color="auto" w:fill="auto"/>
            <w:tcMar>
              <w:top w:w="28" w:type="dxa"/>
              <w:left w:w="28" w:type="dxa"/>
              <w:bottom w:w="28" w:type="dxa"/>
              <w:right w:w="28" w:type="dxa"/>
            </w:tcMar>
            <w:vAlign w:val="bottom"/>
          </w:tcPr>
          <w:p w:rsidR="002D5BB0" w:rsidRPr="00222917" w:rsidRDefault="002D5BB0" w:rsidP="00EA2E29">
            <w:pPr>
              <w:pStyle w:val="SingleTxtG"/>
              <w:suppressAutoHyphens w:val="0"/>
              <w:spacing w:before="40" w:after="40" w:line="220" w:lineRule="exact"/>
              <w:ind w:left="0" w:right="0"/>
              <w:jc w:val="right"/>
              <w:rPr>
                <w:sz w:val="18"/>
                <w:lang w:val="en-US"/>
              </w:rPr>
            </w:pPr>
            <w:r w:rsidRPr="00222917">
              <w:rPr>
                <w:sz w:val="18"/>
                <w:lang w:val="en-US"/>
              </w:rPr>
              <w:t>22,532</w:t>
            </w:r>
          </w:p>
        </w:tc>
        <w:tc>
          <w:tcPr>
            <w:tcW w:w="964" w:type="dxa"/>
            <w:shd w:val="clear" w:color="auto" w:fill="auto"/>
            <w:tcMar>
              <w:top w:w="28" w:type="dxa"/>
              <w:left w:w="28" w:type="dxa"/>
              <w:bottom w:w="28" w:type="dxa"/>
              <w:right w:w="28" w:type="dxa"/>
            </w:tcMar>
            <w:vAlign w:val="bottom"/>
          </w:tcPr>
          <w:p w:rsidR="002D5BB0" w:rsidRPr="00222917" w:rsidRDefault="002D5BB0" w:rsidP="00EA2E29">
            <w:pPr>
              <w:pStyle w:val="SingleTxtG"/>
              <w:suppressAutoHyphens w:val="0"/>
              <w:spacing w:before="40" w:after="40" w:line="220" w:lineRule="exact"/>
              <w:ind w:left="0" w:right="0"/>
              <w:jc w:val="right"/>
              <w:rPr>
                <w:sz w:val="18"/>
                <w:lang w:val="en-US"/>
              </w:rPr>
            </w:pPr>
            <w:r w:rsidRPr="00222917">
              <w:rPr>
                <w:sz w:val="18"/>
                <w:lang w:val="en-US"/>
              </w:rPr>
              <w:t>59,812</w:t>
            </w:r>
          </w:p>
        </w:tc>
        <w:tc>
          <w:tcPr>
            <w:tcW w:w="964" w:type="dxa"/>
            <w:shd w:val="clear" w:color="auto" w:fill="auto"/>
            <w:tcMar>
              <w:top w:w="28" w:type="dxa"/>
              <w:left w:w="28" w:type="dxa"/>
              <w:bottom w:w="28" w:type="dxa"/>
              <w:right w:w="28" w:type="dxa"/>
            </w:tcMar>
            <w:vAlign w:val="bottom"/>
          </w:tcPr>
          <w:p w:rsidR="002D5BB0" w:rsidRPr="00222917" w:rsidRDefault="002D5BB0" w:rsidP="00EA2E29">
            <w:pPr>
              <w:pStyle w:val="SingleTxtG"/>
              <w:suppressAutoHyphens w:val="0"/>
              <w:spacing w:before="40" w:after="40" w:line="220" w:lineRule="exact"/>
              <w:ind w:left="0" w:right="0"/>
              <w:jc w:val="right"/>
              <w:rPr>
                <w:sz w:val="18"/>
                <w:lang w:val="en-US"/>
              </w:rPr>
            </w:pPr>
            <w:r w:rsidRPr="00222917">
              <w:rPr>
                <w:sz w:val="18"/>
                <w:lang w:val="en-US"/>
              </w:rPr>
              <w:t>180</w:t>
            </w:r>
          </w:p>
        </w:tc>
        <w:tc>
          <w:tcPr>
            <w:tcW w:w="964" w:type="dxa"/>
            <w:shd w:val="clear" w:color="auto" w:fill="auto"/>
            <w:tcMar>
              <w:top w:w="28" w:type="dxa"/>
              <w:left w:w="28" w:type="dxa"/>
              <w:bottom w:w="28" w:type="dxa"/>
              <w:right w:w="28" w:type="dxa"/>
            </w:tcMar>
            <w:vAlign w:val="bottom"/>
          </w:tcPr>
          <w:p w:rsidR="002D5BB0" w:rsidRPr="00222917" w:rsidRDefault="002D5BB0" w:rsidP="00EA2E29">
            <w:pPr>
              <w:pStyle w:val="SingleTxtG"/>
              <w:suppressAutoHyphens w:val="0"/>
              <w:spacing w:before="40" w:after="40" w:line="220" w:lineRule="exact"/>
              <w:ind w:left="0" w:right="0"/>
              <w:jc w:val="right"/>
              <w:rPr>
                <w:sz w:val="18"/>
                <w:lang w:val="en-US"/>
              </w:rPr>
            </w:pPr>
            <w:r w:rsidRPr="00222917">
              <w:rPr>
                <w:sz w:val="18"/>
                <w:lang w:val="en-US"/>
              </w:rPr>
              <w:t>471</w:t>
            </w:r>
          </w:p>
        </w:tc>
      </w:tr>
      <w:tr w:rsidR="008F6543" w:rsidRPr="00222917" w:rsidTr="00B679B4">
        <w:tc>
          <w:tcPr>
            <w:tcW w:w="794" w:type="dxa"/>
            <w:tcBorders>
              <w:bottom w:val="single" w:sz="12" w:space="0" w:color="auto"/>
            </w:tcBorders>
            <w:shd w:val="clear" w:color="auto" w:fill="auto"/>
            <w:tcMar>
              <w:top w:w="28" w:type="dxa"/>
              <w:left w:w="28" w:type="dxa"/>
              <w:bottom w:w="28" w:type="dxa"/>
              <w:right w:w="28" w:type="dxa"/>
            </w:tcMar>
          </w:tcPr>
          <w:p w:rsidR="002D5BB0" w:rsidRPr="00222917" w:rsidRDefault="002D5BB0" w:rsidP="00EA2E29">
            <w:pPr>
              <w:pStyle w:val="SingleTxtG"/>
              <w:suppressAutoHyphens w:val="0"/>
              <w:spacing w:before="40" w:after="40" w:line="220" w:lineRule="exact"/>
              <w:ind w:left="0" w:right="0"/>
              <w:jc w:val="left"/>
              <w:rPr>
                <w:sz w:val="18"/>
                <w:lang w:val="en-US"/>
              </w:rPr>
            </w:pPr>
            <w:r w:rsidRPr="00222917">
              <w:rPr>
                <w:sz w:val="18"/>
                <w:lang w:val="en-US"/>
              </w:rPr>
              <w:t>2010</w:t>
            </w:r>
          </w:p>
        </w:tc>
        <w:tc>
          <w:tcPr>
            <w:tcW w:w="964" w:type="dxa"/>
            <w:tcBorders>
              <w:bottom w:val="single" w:sz="12" w:space="0" w:color="auto"/>
            </w:tcBorders>
            <w:shd w:val="clear" w:color="auto" w:fill="auto"/>
            <w:tcMar>
              <w:top w:w="28" w:type="dxa"/>
              <w:left w:w="28" w:type="dxa"/>
              <w:bottom w:w="28" w:type="dxa"/>
              <w:right w:w="28" w:type="dxa"/>
            </w:tcMar>
            <w:vAlign w:val="bottom"/>
          </w:tcPr>
          <w:p w:rsidR="002D5BB0" w:rsidRPr="00222917" w:rsidRDefault="002D5BB0" w:rsidP="00EA2E29">
            <w:pPr>
              <w:pStyle w:val="SingleTxtG"/>
              <w:suppressAutoHyphens w:val="0"/>
              <w:spacing w:before="40" w:after="40" w:line="220" w:lineRule="exact"/>
              <w:ind w:left="0" w:right="0"/>
              <w:jc w:val="right"/>
              <w:rPr>
                <w:b/>
                <w:sz w:val="18"/>
                <w:lang w:val="en-US"/>
              </w:rPr>
            </w:pPr>
            <w:r w:rsidRPr="00222917">
              <w:rPr>
                <w:b/>
                <w:sz w:val="18"/>
                <w:lang w:val="en-US"/>
              </w:rPr>
              <w:t>107,313</w:t>
            </w:r>
          </w:p>
        </w:tc>
        <w:tc>
          <w:tcPr>
            <w:tcW w:w="964" w:type="dxa"/>
            <w:tcBorders>
              <w:bottom w:val="single" w:sz="12" w:space="0" w:color="auto"/>
            </w:tcBorders>
            <w:shd w:val="clear" w:color="auto" w:fill="auto"/>
            <w:tcMar>
              <w:top w:w="28" w:type="dxa"/>
              <w:left w:w="28" w:type="dxa"/>
              <w:bottom w:w="28" w:type="dxa"/>
              <w:right w:w="28" w:type="dxa"/>
            </w:tcMar>
            <w:vAlign w:val="bottom"/>
          </w:tcPr>
          <w:p w:rsidR="002D5BB0" w:rsidRPr="00222917" w:rsidRDefault="002D5BB0" w:rsidP="00EA2E29">
            <w:pPr>
              <w:pStyle w:val="SingleTxtG"/>
              <w:suppressAutoHyphens w:val="0"/>
              <w:spacing w:before="40" w:after="40" w:line="220" w:lineRule="exact"/>
              <w:ind w:left="0" w:right="0"/>
              <w:jc w:val="right"/>
              <w:rPr>
                <w:b/>
                <w:sz w:val="18"/>
                <w:lang w:val="en-US"/>
              </w:rPr>
            </w:pPr>
            <w:r w:rsidRPr="00222917">
              <w:rPr>
                <w:b/>
                <w:sz w:val="18"/>
                <w:lang w:val="en-US"/>
              </w:rPr>
              <w:t>276,378</w:t>
            </w:r>
          </w:p>
        </w:tc>
        <w:tc>
          <w:tcPr>
            <w:tcW w:w="964" w:type="dxa"/>
            <w:tcBorders>
              <w:bottom w:val="single" w:sz="12" w:space="0" w:color="auto"/>
            </w:tcBorders>
            <w:shd w:val="clear" w:color="auto" w:fill="auto"/>
            <w:tcMar>
              <w:top w:w="28" w:type="dxa"/>
              <w:left w:w="28" w:type="dxa"/>
              <w:bottom w:w="28" w:type="dxa"/>
              <w:right w:w="28" w:type="dxa"/>
            </w:tcMar>
            <w:vAlign w:val="bottom"/>
          </w:tcPr>
          <w:p w:rsidR="002D5BB0" w:rsidRPr="00222917" w:rsidRDefault="002D5BB0" w:rsidP="00EA2E29">
            <w:pPr>
              <w:pStyle w:val="SingleTxtG"/>
              <w:suppressAutoHyphens w:val="0"/>
              <w:spacing w:before="40" w:after="40" w:line="220" w:lineRule="exact"/>
              <w:ind w:left="0" w:right="0"/>
              <w:jc w:val="right"/>
              <w:rPr>
                <w:sz w:val="18"/>
                <w:lang w:val="en-US"/>
              </w:rPr>
            </w:pPr>
            <w:r w:rsidRPr="00222917">
              <w:rPr>
                <w:sz w:val="18"/>
                <w:lang w:val="en-US"/>
              </w:rPr>
              <w:t>80,956</w:t>
            </w:r>
          </w:p>
        </w:tc>
        <w:tc>
          <w:tcPr>
            <w:tcW w:w="964" w:type="dxa"/>
            <w:tcBorders>
              <w:bottom w:val="single" w:sz="12" w:space="0" w:color="auto"/>
            </w:tcBorders>
            <w:shd w:val="clear" w:color="auto" w:fill="auto"/>
            <w:tcMar>
              <w:top w:w="28" w:type="dxa"/>
              <w:left w:w="28" w:type="dxa"/>
              <w:bottom w:w="28" w:type="dxa"/>
              <w:right w:w="28" w:type="dxa"/>
            </w:tcMar>
            <w:vAlign w:val="bottom"/>
          </w:tcPr>
          <w:p w:rsidR="002D5BB0" w:rsidRPr="00222917" w:rsidRDefault="002D5BB0" w:rsidP="00EA2E29">
            <w:pPr>
              <w:pStyle w:val="SingleTxtG"/>
              <w:suppressAutoHyphens w:val="0"/>
              <w:spacing w:before="40" w:after="40" w:line="220" w:lineRule="exact"/>
              <w:ind w:left="0" w:right="0"/>
              <w:jc w:val="right"/>
              <w:rPr>
                <w:sz w:val="18"/>
                <w:lang w:val="en-US"/>
              </w:rPr>
            </w:pPr>
            <w:r w:rsidRPr="00222917">
              <w:rPr>
                <w:sz w:val="18"/>
                <w:lang w:val="en-US"/>
              </w:rPr>
              <w:t>207,217</w:t>
            </w:r>
          </w:p>
        </w:tc>
        <w:tc>
          <w:tcPr>
            <w:tcW w:w="964" w:type="dxa"/>
            <w:tcBorders>
              <w:bottom w:val="single" w:sz="12" w:space="0" w:color="auto"/>
            </w:tcBorders>
            <w:shd w:val="clear" w:color="auto" w:fill="auto"/>
            <w:tcMar>
              <w:top w:w="28" w:type="dxa"/>
              <w:left w:w="28" w:type="dxa"/>
              <w:bottom w:w="28" w:type="dxa"/>
              <w:right w:w="28" w:type="dxa"/>
            </w:tcMar>
            <w:vAlign w:val="bottom"/>
          </w:tcPr>
          <w:p w:rsidR="002D5BB0" w:rsidRPr="00222917" w:rsidRDefault="002D5BB0" w:rsidP="00EA2E29">
            <w:pPr>
              <w:pStyle w:val="SingleTxtG"/>
              <w:suppressAutoHyphens w:val="0"/>
              <w:spacing w:before="40" w:after="40" w:line="220" w:lineRule="exact"/>
              <w:ind w:left="0" w:right="0"/>
              <w:jc w:val="right"/>
              <w:rPr>
                <w:sz w:val="18"/>
                <w:lang w:val="en-US"/>
              </w:rPr>
            </w:pPr>
            <w:r w:rsidRPr="00222917">
              <w:rPr>
                <w:sz w:val="18"/>
                <w:lang w:val="en-US"/>
              </w:rPr>
              <w:t>25,997</w:t>
            </w:r>
          </w:p>
        </w:tc>
        <w:tc>
          <w:tcPr>
            <w:tcW w:w="964" w:type="dxa"/>
            <w:tcBorders>
              <w:bottom w:val="single" w:sz="12" w:space="0" w:color="auto"/>
            </w:tcBorders>
            <w:shd w:val="clear" w:color="auto" w:fill="auto"/>
            <w:tcMar>
              <w:top w:w="28" w:type="dxa"/>
              <w:left w:w="28" w:type="dxa"/>
              <w:bottom w:w="28" w:type="dxa"/>
              <w:right w:w="28" w:type="dxa"/>
            </w:tcMar>
            <w:vAlign w:val="bottom"/>
          </w:tcPr>
          <w:p w:rsidR="002D5BB0" w:rsidRPr="00222917" w:rsidRDefault="002D5BB0" w:rsidP="00EA2E29">
            <w:pPr>
              <w:pStyle w:val="SingleTxtG"/>
              <w:suppressAutoHyphens w:val="0"/>
              <w:spacing w:before="40" w:after="40" w:line="220" w:lineRule="exact"/>
              <w:ind w:left="0" w:right="0"/>
              <w:jc w:val="right"/>
              <w:rPr>
                <w:sz w:val="18"/>
                <w:lang w:val="en-US"/>
              </w:rPr>
            </w:pPr>
            <w:r w:rsidRPr="00222917">
              <w:rPr>
                <w:sz w:val="18"/>
                <w:lang w:val="en-US"/>
              </w:rPr>
              <w:t>68,267</w:t>
            </w:r>
          </w:p>
        </w:tc>
        <w:tc>
          <w:tcPr>
            <w:tcW w:w="964" w:type="dxa"/>
            <w:tcBorders>
              <w:bottom w:val="single" w:sz="12" w:space="0" w:color="auto"/>
            </w:tcBorders>
            <w:shd w:val="clear" w:color="auto" w:fill="auto"/>
            <w:tcMar>
              <w:top w:w="28" w:type="dxa"/>
              <w:left w:w="28" w:type="dxa"/>
              <w:bottom w:w="28" w:type="dxa"/>
              <w:right w:w="28" w:type="dxa"/>
            </w:tcMar>
            <w:vAlign w:val="bottom"/>
          </w:tcPr>
          <w:p w:rsidR="002D5BB0" w:rsidRPr="00222917" w:rsidRDefault="002D5BB0" w:rsidP="00EA2E29">
            <w:pPr>
              <w:pStyle w:val="SingleTxtG"/>
              <w:suppressAutoHyphens w:val="0"/>
              <w:spacing w:before="40" w:after="40" w:line="220" w:lineRule="exact"/>
              <w:ind w:left="0" w:right="0"/>
              <w:jc w:val="right"/>
              <w:rPr>
                <w:sz w:val="18"/>
                <w:lang w:val="en-US"/>
              </w:rPr>
            </w:pPr>
            <w:r w:rsidRPr="00222917">
              <w:rPr>
                <w:sz w:val="18"/>
                <w:lang w:val="en-US"/>
              </w:rPr>
              <w:t>360</w:t>
            </w:r>
          </w:p>
        </w:tc>
        <w:tc>
          <w:tcPr>
            <w:tcW w:w="964" w:type="dxa"/>
            <w:tcBorders>
              <w:bottom w:val="single" w:sz="12" w:space="0" w:color="auto"/>
            </w:tcBorders>
            <w:shd w:val="clear" w:color="auto" w:fill="auto"/>
            <w:tcMar>
              <w:top w:w="28" w:type="dxa"/>
              <w:left w:w="28" w:type="dxa"/>
              <w:bottom w:w="28" w:type="dxa"/>
              <w:right w:w="28" w:type="dxa"/>
            </w:tcMar>
            <w:vAlign w:val="bottom"/>
          </w:tcPr>
          <w:p w:rsidR="002D5BB0" w:rsidRPr="00222917" w:rsidRDefault="002D5BB0" w:rsidP="00EA2E29">
            <w:pPr>
              <w:pStyle w:val="SingleTxtG"/>
              <w:suppressAutoHyphens w:val="0"/>
              <w:spacing w:before="40" w:after="40" w:line="220" w:lineRule="exact"/>
              <w:ind w:left="0" w:right="0"/>
              <w:jc w:val="right"/>
              <w:rPr>
                <w:sz w:val="18"/>
                <w:lang w:val="en-US"/>
              </w:rPr>
            </w:pPr>
            <w:r w:rsidRPr="00222917">
              <w:rPr>
                <w:sz w:val="18"/>
                <w:lang w:val="en-US"/>
              </w:rPr>
              <w:t>894</w:t>
            </w:r>
          </w:p>
        </w:tc>
      </w:tr>
    </w:tbl>
    <w:p w:rsidR="002D5BB0" w:rsidRPr="00222917" w:rsidRDefault="00547908" w:rsidP="00547908">
      <w:pPr>
        <w:pStyle w:val="SingleTxtG"/>
        <w:spacing w:before="240"/>
        <w:rPr>
          <w:lang w:val="en-US"/>
        </w:rPr>
      </w:pPr>
      <w:r w:rsidRPr="00222917">
        <w:rPr>
          <w:lang w:val="en-US"/>
        </w:rPr>
        <w:t>322.</w:t>
      </w:r>
      <w:r w:rsidRPr="00222917">
        <w:rPr>
          <w:lang w:val="en-US"/>
        </w:rPr>
        <w:tab/>
      </w:r>
      <w:r w:rsidR="002D5BB0" w:rsidRPr="00222917">
        <w:rPr>
          <w:lang w:val="en-US"/>
        </w:rPr>
        <w:t xml:space="preserve">On 17 October 2007, the Government amended the </w:t>
      </w:r>
      <w:r w:rsidR="002D5BB0" w:rsidRPr="000850F5">
        <w:rPr>
          <w:iCs/>
          <w:lang w:val="en-US"/>
        </w:rPr>
        <w:t>Single-Parent Family Support Act</w:t>
      </w:r>
      <w:r w:rsidR="002D5BB0" w:rsidRPr="00222917">
        <w:rPr>
          <w:lang w:val="en-US"/>
        </w:rPr>
        <w:t xml:space="preserve"> to support child rearing of unmarried single-mother families and established a group home for unmarried single mothers within a single-parent family welfare facility. The number of “unmarried single mother group homes” where unmarried single mothers bring up their children and prepare to become independent increased from 16 in 2006 to 19 in 2008, and 24 in 2010. In light to support unmarried single mothers with housing, the period of residency for single mothers, single fathers, and unmarried single mothers was lengthened from one year to two years since 1 January 2010. The number of “regional unmarried single parent assistance centers” that provide medical service allowances, counseling, education and self-help meeting to help unmarried single parents with their child rearing and social reintegration was increased from six in 2009 to 17 nationwide in 2010. The “self-reliance assistance program for juvenile single parents” was introduced in April 2010 for households of single parents under the age of 25 including unmarried single-mother households. Under the program, the Government provides juvenile single parents with nurturing, competency development, and self-reliance assistance for up to five years or until the month when they turn 25. While the income criterion for eligibility of low-income </w:t>
      </w:r>
      <w:r w:rsidR="006903AC" w:rsidRPr="00222917">
        <w:rPr>
          <w:lang w:val="en-US"/>
        </w:rPr>
        <w:t xml:space="preserve">single-parent households is 130% </w:t>
      </w:r>
      <w:r w:rsidR="002D5BB0" w:rsidRPr="00222917">
        <w:rPr>
          <w:lang w:val="en-US"/>
        </w:rPr>
        <w:t>of the minimum cost of living, that for juvenile single-parent households under the self-reliance assistance program for</w:t>
      </w:r>
      <w:r w:rsidR="006903AC" w:rsidRPr="00222917">
        <w:rPr>
          <w:lang w:val="en-US"/>
        </w:rPr>
        <w:t xml:space="preserve"> juvenile single parents is 150% </w:t>
      </w:r>
      <w:r w:rsidR="002D5BB0" w:rsidRPr="00222917">
        <w:rPr>
          <w:lang w:val="en-US"/>
        </w:rPr>
        <w:t xml:space="preserve">of the minimum cost of living, improving conditions for nurturing juvenile single parents. The Government grants KRW 1.54 million a year for private institution tuitions to support unmarried single-mother school dropouts with their academic development so that they can prepare to earn general equivalency diplomas for middle and/or high school, and also continues to subsidize high school expenditures (actual expenses), provide self-reliance promotion allowances (KRW 100,000 per month), and subsidize child rearing expenses (KRW 150,000 per month). Starting in July 2010, the Ministry of Gender Equality and Family, in concert with the Ministry of Education, Science, and Technology, including Offices of Education, designated the entrusted alternative educational institution to help juvenile unmarried single mothers on the verge of dropping out of school continue to learn, with their names remaining on the school register. </w:t>
      </w:r>
    </w:p>
    <w:p w:rsidR="002D5BB0" w:rsidRPr="00222917" w:rsidRDefault="00984B6F" w:rsidP="00984B6F">
      <w:pPr>
        <w:pStyle w:val="H23G"/>
        <w:rPr>
          <w:i/>
          <w:lang w:val="en-US"/>
        </w:rPr>
      </w:pPr>
      <w:bookmarkStart w:id="275" w:name="_Toc307504159"/>
      <w:bookmarkStart w:id="276" w:name="_Toc336435931"/>
      <w:r w:rsidRPr="00222917">
        <w:rPr>
          <w:lang w:val="en-US"/>
        </w:rPr>
        <w:tab/>
      </w:r>
      <w:r w:rsidRPr="00222917">
        <w:rPr>
          <w:lang w:val="en-US"/>
        </w:rPr>
        <w:tab/>
      </w:r>
      <w:r w:rsidR="002D5BB0" w:rsidRPr="00222917">
        <w:rPr>
          <w:lang w:val="en-US"/>
        </w:rPr>
        <w:t xml:space="preserve">Support for </w:t>
      </w:r>
      <w:r w:rsidR="002D5BB0" w:rsidRPr="00222917">
        <w:rPr>
          <w:i/>
          <w:lang w:val="en-US"/>
        </w:rPr>
        <w:t>Multicultural Family</w:t>
      </w:r>
      <w:bookmarkEnd w:id="275"/>
      <w:bookmarkEnd w:id="276"/>
    </w:p>
    <w:p w:rsidR="002D5BB0" w:rsidRPr="00222917" w:rsidRDefault="00547908" w:rsidP="00547908">
      <w:pPr>
        <w:pStyle w:val="SingleTxtG"/>
        <w:rPr>
          <w:lang w:val="en-US"/>
        </w:rPr>
      </w:pPr>
      <w:r w:rsidRPr="00222917">
        <w:rPr>
          <w:lang w:val="en-US"/>
        </w:rPr>
        <w:t>323.</w:t>
      </w:r>
      <w:r w:rsidRPr="00222917">
        <w:rPr>
          <w:lang w:val="en-US"/>
        </w:rPr>
        <w:tab/>
      </w:r>
      <w:r w:rsidR="002D5BB0" w:rsidRPr="00222917">
        <w:rPr>
          <w:lang w:val="en-US"/>
        </w:rPr>
        <w:t xml:space="preserve">International marriage is becoming increasingly common, making </w:t>
      </w:r>
      <w:r w:rsidR="002D5BB0" w:rsidRPr="00367065">
        <w:rPr>
          <w:iCs/>
          <w:lang w:val="en-US"/>
        </w:rPr>
        <w:t>multicultural families</w:t>
      </w:r>
      <w:r w:rsidR="002D5BB0" w:rsidRPr="00222917">
        <w:rPr>
          <w:lang w:val="en-US"/>
        </w:rPr>
        <w:t xml:space="preserve"> (Koreans with foreign spouses and their children) an important family type. Of all marriages in 2010, 10.5</w:t>
      </w:r>
      <w:r w:rsidR="006903AC" w:rsidRPr="00222917">
        <w:rPr>
          <w:lang w:val="en-US"/>
        </w:rPr>
        <w:t>%</w:t>
      </w:r>
      <w:r w:rsidR="002D5BB0" w:rsidRPr="00222917">
        <w:rPr>
          <w:lang w:val="en-US"/>
        </w:rPr>
        <w:t xml:space="preserve">, 34,235 marriages were international, and the number of marriage migrants living in </w:t>
      </w:r>
      <w:smartTag w:uri="urn:schemas-microsoft-com:office:smarttags" w:element="place">
        <w:smartTag w:uri="urn:schemas-microsoft-com:office:smarttags" w:element="country-region">
          <w:r w:rsidR="002D5BB0" w:rsidRPr="00222917">
            <w:rPr>
              <w:lang w:val="en-US"/>
            </w:rPr>
            <w:t>Korea</w:t>
          </w:r>
        </w:smartTag>
      </w:smartTag>
      <w:r w:rsidR="002D5BB0" w:rsidRPr="00222917">
        <w:rPr>
          <w:lang w:val="en-US"/>
        </w:rPr>
        <w:t xml:space="preserve"> reached 181,671 in January 2010. The better part of them experience conflicts with family and social alienation due to language and cultural differences, financial distress, and social prejudices. A great number of problems related to </w:t>
      </w:r>
      <w:r w:rsidR="002D5BB0" w:rsidRPr="00367065">
        <w:rPr>
          <w:iCs/>
          <w:lang w:val="en-US"/>
        </w:rPr>
        <w:t xml:space="preserve">multicultural families </w:t>
      </w:r>
      <w:r w:rsidR="002D5BB0" w:rsidRPr="00222917">
        <w:rPr>
          <w:lang w:val="en-US"/>
        </w:rPr>
        <w:t>are connected with human rights violations and provision of false information by international marriage brokers. Measures to supervise and oversee marriage broker agencies, strengthen international cooperation, and reinforce protection of human rights of immigrants by marriage need to be taken.</w:t>
      </w:r>
      <w:r w:rsidR="00120D8B" w:rsidRPr="00222917">
        <w:rPr>
          <w:lang w:val="en-US"/>
        </w:rPr>
        <w:t xml:space="preserve"> </w:t>
      </w:r>
    </w:p>
    <w:p w:rsidR="002D5BB0" w:rsidRPr="00222917" w:rsidRDefault="00984B6F" w:rsidP="00984B6F">
      <w:pPr>
        <w:pStyle w:val="H23G"/>
        <w:rPr>
          <w:b w:val="0"/>
          <w:sz w:val="16"/>
          <w:szCs w:val="16"/>
          <w:lang w:val="en-US"/>
        </w:rPr>
      </w:pPr>
      <w:r w:rsidRPr="00222917">
        <w:rPr>
          <w:lang w:val="en-US"/>
        </w:rPr>
        <w:tab/>
      </w:r>
      <w:r w:rsidRPr="00222917">
        <w:rPr>
          <w:lang w:val="en-US"/>
        </w:rPr>
        <w:tab/>
      </w:r>
      <w:r w:rsidR="002D5BB0" w:rsidRPr="00222917">
        <w:rPr>
          <w:lang w:val="en-US"/>
        </w:rPr>
        <w:t>Marriage migrants</w:t>
      </w:r>
      <w:r w:rsidRPr="00222917">
        <w:rPr>
          <w:lang w:val="en-US"/>
        </w:rPr>
        <w:br/>
      </w:r>
      <w:r w:rsidR="002D5BB0" w:rsidRPr="00222917">
        <w:rPr>
          <w:b w:val="0"/>
          <w:sz w:val="16"/>
          <w:szCs w:val="16"/>
          <w:lang w:val="en-US"/>
        </w:rPr>
        <w:t>(As of the end of 2010; persons)</w:t>
      </w:r>
    </w:p>
    <w:tbl>
      <w:tblPr>
        <w:tblW w:w="0" w:type="auto"/>
        <w:tblInd w:w="1134" w:type="dxa"/>
        <w:tblBorders>
          <w:top w:val="single" w:sz="4" w:space="0" w:color="auto"/>
        </w:tblBorders>
        <w:tblLayout w:type="fixed"/>
        <w:tblCellMar>
          <w:left w:w="0" w:type="dxa"/>
          <w:right w:w="0" w:type="dxa"/>
        </w:tblCellMar>
        <w:tblLook w:val="00A0"/>
      </w:tblPr>
      <w:tblGrid>
        <w:gridCol w:w="851"/>
        <w:gridCol w:w="794"/>
        <w:gridCol w:w="794"/>
        <w:gridCol w:w="851"/>
        <w:gridCol w:w="794"/>
        <w:gridCol w:w="794"/>
        <w:gridCol w:w="851"/>
        <w:gridCol w:w="794"/>
        <w:gridCol w:w="794"/>
      </w:tblGrid>
      <w:tr w:rsidR="00B679B4" w:rsidRPr="00222917" w:rsidTr="001C4E4C">
        <w:trPr>
          <w:tblHeader/>
        </w:trPr>
        <w:tc>
          <w:tcPr>
            <w:tcW w:w="851" w:type="dxa"/>
            <w:gridSpan w:val="3"/>
            <w:tcBorders>
              <w:top w:val="single" w:sz="4" w:space="0" w:color="auto"/>
              <w:bottom w:val="single" w:sz="4" w:space="0" w:color="000000"/>
              <w:right w:val="single" w:sz="24" w:space="0" w:color="FFFFFF"/>
            </w:tcBorders>
            <w:shd w:val="clear" w:color="auto" w:fill="auto"/>
            <w:tcMar>
              <w:top w:w="0" w:type="dxa"/>
              <w:left w:w="0" w:type="dxa"/>
              <w:bottom w:w="0" w:type="dxa"/>
              <w:right w:w="0" w:type="dxa"/>
            </w:tcMar>
            <w:vAlign w:val="bottom"/>
          </w:tcPr>
          <w:p w:rsidR="00B679B4" w:rsidRPr="00222917" w:rsidRDefault="00B679B4" w:rsidP="00B679B4">
            <w:pPr>
              <w:pStyle w:val="SingleTxtG"/>
              <w:suppressAutoHyphens w:val="0"/>
              <w:spacing w:before="80" w:after="80" w:line="200" w:lineRule="exact"/>
              <w:ind w:left="0" w:right="0"/>
              <w:jc w:val="center"/>
              <w:rPr>
                <w:i/>
                <w:sz w:val="16"/>
                <w:lang w:val="en-US"/>
              </w:rPr>
            </w:pPr>
            <w:r w:rsidRPr="00222917">
              <w:rPr>
                <w:i/>
                <w:sz w:val="16"/>
                <w:lang w:val="en-US"/>
              </w:rPr>
              <w:t>Total</w:t>
            </w:r>
          </w:p>
        </w:tc>
        <w:tc>
          <w:tcPr>
            <w:tcW w:w="851" w:type="dxa"/>
            <w:gridSpan w:val="3"/>
            <w:tcBorders>
              <w:top w:val="single" w:sz="4" w:space="0" w:color="auto"/>
              <w:left w:val="single" w:sz="24" w:space="0" w:color="FFFFFF"/>
              <w:bottom w:val="single" w:sz="4" w:space="0" w:color="000000"/>
              <w:right w:val="single" w:sz="24" w:space="0" w:color="FFFFFF"/>
            </w:tcBorders>
            <w:shd w:val="clear" w:color="auto" w:fill="auto"/>
            <w:vAlign w:val="bottom"/>
          </w:tcPr>
          <w:p w:rsidR="00B679B4" w:rsidRPr="00222917" w:rsidRDefault="00B679B4" w:rsidP="00B679B4">
            <w:pPr>
              <w:pStyle w:val="SingleTxtG"/>
              <w:suppressAutoHyphens w:val="0"/>
              <w:spacing w:before="80" w:after="80" w:line="200" w:lineRule="exact"/>
              <w:ind w:left="0" w:right="0"/>
              <w:jc w:val="center"/>
              <w:rPr>
                <w:i/>
                <w:sz w:val="16"/>
                <w:lang w:val="en-US"/>
              </w:rPr>
            </w:pPr>
            <w:r w:rsidRPr="00222917">
              <w:rPr>
                <w:i/>
                <w:sz w:val="16"/>
                <w:lang w:val="en-US"/>
              </w:rPr>
              <w:t xml:space="preserve">Immigrants not obtaining </w:t>
            </w:r>
            <w:r w:rsidRPr="00222917">
              <w:rPr>
                <w:i/>
                <w:sz w:val="16"/>
                <w:lang w:val="en-US"/>
              </w:rPr>
              <w:br/>
              <w:t>Korean nationality</w:t>
            </w:r>
          </w:p>
        </w:tc>
        <w:tc>
          <w:tcPr>
            <w:tcW w:w="851" w:type="dxa"/>
            <w:gridSpan w:val="3"/>
            <w:tcBorders>
              <w:top w:val="single" w:sz="4" w:space="0" w:color="auto"/>
              <w:left w:val="single" w:sz="24" w:space="0" w:color="FFFFFF"/>
              <w:bottom w:val="single" w:sz="4" w:space="0" w:color="000000"/>
            </w:tcBorders>
            <w:shd w:val="clear" w:color="auto" w:fill="auto"/>
            <w:vAlign w:val="bottom"/>
          </w:tcPr>
          <w:p w:rsidR="00B679B4" w:rsidRPr="00222917" w:rsidRDefault="00B679B4" w:rsidP="00B679B4">
            <w:pPr>
              <w:pStyle w:val="SingleTxtG"/>
              <w:suppressAutoHyphens w:val="0"/>
              <w:spacing w:before="80" w:after="80" w:line="200" w:lineRule="exact"/>
              <w:ind w:left="0" w:right="0"/>
              <w:jc w:val="center"/>
              <w:rPr>
                <w:i/>
                <w:sz w:val="16"/>
                <w:lang w:val="en-US"/>
              </w:rPr>
            </w:pPr>
            <w:r w:rsidRPr="00222917">
              <w:rPr>
                <w:i/>
                <w:sz w:val="16"/>
                <w:lang w:val="en-US"/>
              </w:rPr>
              <w:t xml:space="preserve">Immigrants obtaining </w:t>
            </w:r>
            <w:r w:rsidRPr="00222917">
              <w:rPr>
                <w:i/>
                <w:sz w:val="16"/>
                <w:lang w:val="en-US"/>
              </w:rPr>
              <w:br/>
              <w:t>Korean nationality</w:t>
            </w:r>
          </w:p>
        </w:tc>
      </w:tr>
      <w:tr w:rsidR="00B679B4" w:rsidRPr="00222917" w:rsidTr="001C4E4C">
        <w:tc>
          <w:tcPr>
            <w:tcW w:w="851" w:type="dxa"/>
            <w:tcBorders>
              <w:top w:val="single" w:sz="4" w:space="0" w:color="000000"/>
              <w:bottom w:val="single" w:sz="12" w:space="0" w:color="000000"/>
            </w:tcBorders>
            <w:shd w:val="clear" w:color="auto" w:fill="auto"/>
          </w:tcPr>
          <w:p w:rsidR="00B679B4" w:rsidRPr="00222917" w:rsidRDefault="00B679B4" w:rsidP="00B679B4">
            <w:pPr>
              <w:pStyle w:val="SingleTxtG"/>
              <w:suppressAutoHyphens w:val="0"/>
              <w:spacing w:before="80" w:after="80" w:line="200" w:lineRule="exact"/>
              <w:ind w:left="0" w:right="0"/>
              <w:jc w:val="center"/>
              <w:rPr>
                <w:b/>
                <w:i/>
                <w:sz w:val="16"/>
                <w:lang w:val="en-US"/>
              </w:rPr>
            </w:pPr>
            <w:r w:rsidRPr="00222917">
              <w:rPr>
                <w:b/>
                <w:i/>
                <w:sz w:val="16"/>
                <w:lang w:val="en-US"/>
              </w:rPr>
              <w:t>Total</w:t>
            </w:r>
          </w:p>
        </w:tc>
        <w:tc>
          <w:tcPr>
            <w:tcW w:w="794" w:type="dxa"/>
            <w:tcBorders>
              <w:top w:val="single" w:sz="4" w:space="0" w:color="000000"/>
              <w:bottom w:val="single" w:sz="12" w:space="0" w:color="000000"/>
            </w:tcBorders>
            <w:shd w:val="clear" w:color="auto" w:fill="auto"/>
          </w:tcPr>
          <w:p w:rsidR="00B679B4" w:rsidRPr="00222917" w:rsidRDefault="00B679B4" w:rsidP="00B679B4">
            <w:pPr>
              <w:pStyle w:val="SingleTxtG"/>
              <w:suppressAutoHyphens w:val="0"/>
              <w:spacing w:before="80" w:after="80" w:line="200" w:lineRule="exact"/>
              <w:ind w:left="0" w:right="0"/>
              <w:jc w:val="center"/>
              <w:rPr>
                <w:i/>
                <w:sz w:val="16"/>
                <w:lang w:val="en-US"/>
              </w:rPr>
            </w:pPr>
            <w:r w:rsidRPr="00222917">
              <w:rPr>
                <w:i/>
                <w:sz w:val="16"/>
                <w:lang w:val="en-US"/>
              </w:rPr>
              <w:t>Male</w:t>
            </w:r>
          </w:p>
        </w:tc>
        <w:tc>
          <w:tcPr>
            <w:tcW w:w="794" w:type="dxa"/>
            <w:tcBorders>
              <w:top w:val="single" w:sz="4" w:space="0" w:color="000000"/>
              <w:bottom w:val="single" w:sz="12" w:space="0" w:color="000000"/>
              <w:right w:val="single" w:sz="24" w:space="0" w:color="FFFFFF"/>
            </w:tcBorders>
            <w:shd w:val="clear" w:color="auto" w:fill="auto"/>
          </w:tcPr>
          <w:p w:rsidR="00B679B4" w:rsidRPr="00222917" w:rsidRDefault="00B679B4" w:rsidP="00B679B4">
            <w:pPr>
              <w:pStyle w:val="SingleTxtG"/>
              <w:suppressAutoHyphens w:val="0"/>
              <w:spacing w:before="80" w:after="80" w:line="200" w:lineRule="exact"/>
              <w:ind w:left="0" w:right="0"/>
              <w:jc w:val="center"/>
              <w:rPr>
                <w:i/>
                <w:sz w:val="16"/>
                <w:lang w:val="en-US"/>
              </w:rPr>
            </w:pPr>
            <w:r w:rsidRPr="00222917">
              <w:rPr>
                <w:i/>
                <w:sz w:val="16"/>
                <w:lang w:val="en-US"/>
              </w:rPr>
              <w:t>Female</w:t>
            </w:r>
          </w:p>
        </w:tc>
        <w:tc>
          <w:tcPr>
            <w:tcW w:w="851" w:type="dxa"/>
            <w:tcBorders>
              <w:top w:val="single" w:sz="4" w:space="0" w:color="000000"/>
              <w:left w:val="single" w:sz="24" w:space="0" w:color="FFFFFF"/>
              <w:bottom w:val="single" w:sz="12" w:space="0" w:color="000000"/>
            </w:tcBorders>
            <w:shd w:val="clear" w:color="auto" w:fill="auto"/>
          </w:tcPr>
          <w:p w:rsidR="00B679B4" w:rsidRPr="00222917" w:rsidRDefault="00B679B4" w:rsidP="00B679B4">
            <w:pPr>
              <w:pStyle w:val="SingleTxtG"/>
              <w:suppressAutoHyphens w:val="0"/>
              <w:spacing w:before="80" w:after="80" w:line="200" w:lineRule="exact"/>
              <w:ind w:left="0" w:right="0"/>
              <w:jc w:val="center"/>
              <w:rPr>
                <w:b/>
                <w:i/>
                <w:sz w:val="16"/>
                <w:lang w:val="en-US"/>
              </w:rPr>
            </w:pPr>
            <w:r w:rsidRPr="00222917">
              <w:rPr>
                <w:b/>
                <w:i/>
                <w:sz w:val="16"/>
                <w:lang w:val="en-US"/>
              </w:rPr>
              <w:t>Total</w:t>
            </w:r>
          </w:p>
        </w:tc>
        <w:tc>
          <w:tcPr>
            <w:tcW w:w="794" w:type="dxa"/>
            <w:tcBorders>
              <w:top w:val="single" w:sz="4" w:space="0" w:color="000000"/>
              <w:bottom w:val="single" w:sz="12" w:space="0" w:color="000000"/>
            </w:tcBorders>
            <w:shd w:val="clear" w:color="auto" w:fill="auto"/>
            <w:vAlign w:val="bottom"/>
          </w:tcPr>
          <w:p w:rsidR="00B679B4" w:rsidRPr="00222917" w:rsidRDefault="00B679B4" w:rsidP="00B679B4">
            <w:pPr>
              <w:pStyle w:val="SingleTxtG"/>
              <w:suppressAutoHyphens w:val="0"/>
              <w:spacing w:before="80" w:after="80" w:line="200" w:lineRule="exact"/>
              <w:ind w:left="0" w:right="0"/>
              <w:jc w:val="center"/>
              <w:rPr>
                <w:i/>
                <w:sz w:val="16"/>
                <w:lang w:val="en-US"/>
              </w:rPr>
            </w:pPr>
            <w:r w:rsidRPr="00222917">
              <w:rPr>
                <w:i/>
                <w:sz w:val="16"/>
                <w:lang w:val="en-US"/>
              </w:rPr>
              <w:t>Male</w:t>
            </w:r>
          </w:p>
        </w:tc>
        <w:tc>
          <w:tcPr>
            <w:tcW w:w="794" w:type="dxa"/>
            <w:tcBorders>
              <w:top w:val="single" w:sz="4" w:space="0" w:color="000000"/>
              <w:bottom w:val="single" w:sz="12" w:space="0" w:color="000000"/>
              <w:right w:val="single" w:sz="24" w:space="0" w:color="FFFFFF"/>
            </w:tcBorders>
            <w:shd w:val="clear" w:color="auto" w:fill="auto"/>
            <w:vAlign w:val="bottom"/>
          </w:tcPr>
          <w:p w:rsidR="00B679B4" w:rsidRPr="00222917" w:rsidRDefault="00B679B4" w:rsidP="00B679B4">
            <w:pPr>
              <w:pStyle w:val="SingleTxtG"/>
              <w:suppressAutoHyphens w:val="0"/>
              <w:spacing w:before="80" w:after="80" w:line="200" w:lineRule="exact"/>
              <w:ind w:left="0" w:right="0"/>
              <w:jc w:val="center"/>
              <w:rPr>
                <w:i/>
                <w:sz w:val="16"/>
                <w:lang w:val="en-US"/>
              </w:rPr>
            </w:pPr>
            <w:r w:rsidRPr="00222917">
              <w:rPr>
                <w:i/>
                <w:sz w:val="16"/>
                <w:lang w:val="en-US"/>
              </w:rPr>
              <w:t>Female</w:t>
            </w:r>
          </w:p>
        </w:tc>
        <w:tc>
          <w:tcPr>
            <w:tcW w:w="851" w:type="dxa"/>
            <w:tcBorders>
              <w:top w:val="single" w:sz="4" w:space="0" w:color="000000"/>
              <w:left w:val="single" w:sz="24" w:space="0" w:color="FFFFFF"/>
              <w:bottom w:val="single" w:sz="12" w:space="0" w:color="000000"/>
            </w:tcBorders>
            <w:shd w:val="clear" w:color="auto" w:fill="auto"/>
            <w:vAlign w:val="bottom"/>
          </w:tcPr>
          <w:p w:rsidR="00B679B4" w:rsidRPr="00222917" w:rsidRDefault="00B679B4" w:rsidP="00B679B4">
            <w:pPr>
              <w:pStyle w:val="SingleTxtG"/>
              <w:suppressAutoHyphens w:val="0"/>
              <w:spacing w:before="80" w:after="80" w:line="200" w:lineRule="exact"/>
              <w:ind w:left="0" w:right="0"/>
              <w:jc w:val="center"/>
              <w:rPr>
                <w:b/>
                <w:i/>
                <w:sz w:val="16"/>
                <w:lang w:val="en-US"/>
              </w:rPr>
            </w:pPr>
            <w:r w:rsidRPr="00222917">
              <w:rPr>
                <w:b/>
                <w:i/>
                <w:sz w:val="16"/>
                <w:lang w:val="en-US"/>
              </w:rPr>
              <w:t>Total</w:t>
            </w:r>
          </w:p>
        </w:tc>
        <w:tc>
          <w:tcPr>
            <w:tcW w:w="794" w:type="dxa"/>
            <w:tcBorders>
              <w:top w:val="single" w:sz="4" w:space="0" w:color="000000"/>
              <w:bottom w:val="single" w:sz="12" w:space="0" w:color="000000"/>
            </w:tcBorders>
            <w:shd w:val="clear" w:color="auto" w:fill="auto"/>
            <w:tcMar>
              <w:top w:w="0" w:type="dxa"/>
              <w:left w:w="0" w:type="dxa"/>
              <w:bottom w:w="0" w:type="dxa"/>
              <w:right w:w="0" w:type="dxa"/>
            </w:tcMar>
            <w:vAlign w:val="bottom"/>
          </w:tcPr>
          <w:p w:rsidR="00B679B4" w:rsidRPr="00222917" w:rsidRDefault="00B679B4" w:rsidP="00B679B4">
            <w:pPr>
              <w:pStyle w:val="SingleTxtG"/>
              <w:suppressAutoHyphens w:val="0"/>
              <w:spacing w:before="80" w:after="80" w:line="200" w:lineRule="exact"/>
              <w:ind w:left="0" w:right="0"/>
              <w:jc w:val="center"/>
              <w:rPr>
                <w:i/>
                <w:sz w:val="16"/>
                <w:lang w:val="en-US"/>
              </w:rPr>
            </w:pPr>
            <w:r w:rsidRPr="00222917">
              <w:rPr>
                <w:i/>
                <w:sz w:val="16"/>
                <w:lang w:val="en-US"/>
              </w:rPr>
              <w:t>Male</w:t>
            </w:r>
          </w:p>
        </w:tc>
        <w:tc>
          <w:tcPr>
            <w:tcW w:w="794" w:type="dxa"/>
            <w:tcBorders>
              <w:top w:val="single" w:sz="4" w:space="0" w:color="000000"/>
              <w:bottom w:val="single" w:sz="12" w:space="0" w:color="000000"/>
            </w:tcBorders>
            <w:shd w:val="clear" w:color="auto" w:fill="auto"/>
            <w:tcMar>
              <w:top w:w="0" w:type="dxa"/>
              <w:left w:w="0" w:type="dxa"/>
              <w:bottom w:w="0" w:type="dxa"/>
              <w:right w:w="0" w:type="dxa"/>
            </w:tcMar>
            <w:vAlign w:val="bottom"/>
          </w:tcPr>
          <w:p w:rsidR="00B679B4" w:rsidRPr="00222917" w:rsidRDefault="00B679B4" w:rsidP="00B679B4">
            <w:pPr>
              <w:pStyle w:val="SingleTxtG"/>
              <w:suppressAutoHyphens w:val="0"/>
              <w:spacing w:before="80" w:after="80" w:line="200" w:lineRule="exact"/>
              <w:ind w:left="0" w:right="0"/>
              <w:jc w:val="center"/>
              <w:rPr>
                <w:i/>
                <w:sz w:val="16"/>
                <w:lang w:val="en-US"/>
              </w:rPr>
            </w:pPr>
            <w:r w:rsidRPr="00222917">
              <w:rPr>
                <w:i/>
                <w:sz w:val="16"/>
                <w:lang w:val="en-US"/>
              </w:rPr>
              <w:t>Female</w:t>
            </w:r>
          </w:p>
        </w:tc>
      </w:tr>
      <w:tr w:rsidR="008F6543" w:rsidRPr="00222917" w:rsidTr="001C4E4C">
        <w:tc>
          <w:tcPr>
            <w:tcW w:w="851" w:type="dxa"/>
            <w:tcBorders>
              <w:top w:val="single" w:sz="12" w:space="0" w:color="000000"/>
              <w:bottom w:val="single" w:sz="12" w:space="0" w:color="auto"/>
            </w:tcBorders>
            <w:shd w:val="clear" w:color="auto" w:fill="auto"/>
            <w:tcMar>
              <w:top w:w="0" w:type="dxa"/>
              <w:left w:w="0" w:type="dxa"/>
              <w:bottom w:w="0" w:type="dxa"/>
              <w:right w:w="0" w:type="dxa"/>
            </w:tcMar>
          </w:tcPr>
          <w:p w:rsidR="002D5BB0" w:rsidRPr="00222917" w:rsidRDefault="002D5BB0" w:rsidP="00B679B4">
            <w:pPr>
              <w:pStyle w:val="SingleTxtG"/>
              <w:suppressAutoHyphens w:val="0"/>
              <w:spacing w:before="40" w:after="40" w:line="220" w:lineRule="exact"/>
              <w:ind w:left="0" w:right="0"/>
              <w:jc w:val="left"/>
              <w:rPr>
                <w:b/>
                <w:sz w:val="18"/>
                <w:lang w:val="en-US"/>
              </w:rPr>
            </w:pPr>
            <w:r w:rsidRPr="00222917">
              <w:rPr>
                <w:b/>
                <w:sz w:val="18"/>
                <w:lang w:val="en-US"/>
              </w:rPr>
              <w:t>181,671</w:t>
            </w:r>
          </w:p>
        </w:tc>
        <w:tc>
          <w:tcPr>
            <w:tcW w:w="794" w:type="dxa"/>
            <w:tcBorders>
              <w:top w:val="single" w:sz="12" w:space="0" w:color="000000"/>
              <w:bottom w:val="single" w:sz="12" w:space="0" w:color="auto"/>
            </w:tcBorders>
            <w:shd w:val="clear" w:color="auto" w:fill="auto"/>
            <w:tcMar>
              <w:top w:w="0" w:type="dxa"/>
              <w:left w:w="0" w:type="dxa"/>
              <w:bottom w:w="0" w:type="dxa"/>
              <w:right w:w="0" w:type="dxa"/>
            </w:tcMar>
          </w:tcPr>
          <w:p w:rsidR="002D5BB0" w:rsidRPr="00222917" w:rsidRDefault="002D5BB0" w:rsidP="00B679B4">
            <w:pPr>
              <w:pStyle w:val="SingleTxtG"/>
              <w:suppressAutoHyphens w:val="0"/>
              <w:spacing w:before="40" w:after="40" w:line="220" w:lineRule="exact"/>
              <w:ind w:left="0" w:right="0"/>
              <w:jc w:val="left"/>
              <w:rPr>
                <w:sz w:val="18"/>
                <w:lang w:val="en-US"/>
              </w:rPr>
            </w:pPr>
            <w:r w:rsidRPr="00222917">
              <w:rPr>
                <w:sz w:val="18"/>
                <w:lang w:val="en-US"/>
              </w:rPr>
              <w:t>19,672</w:t>
            </w:r>
          </w:p>
        </w:tc>
        <w:tc>
          <w:tcPr>
            <w:tcW w:w="794" w:type="dxa"/>
            <w:tcBorders>
              <w:top w:val="single" w:sz="12" w:space="0" w:color="000000"/>
              <w:bottom w:val="single" w:sz="12" w:space="0" w:color="auto"/>
            </w:tcBorders>
            <w:shd w:val="clear" w:color="auto" w:fill="auto"/>
            <w:tcMar>
              <w:top w:w="0" w:type="dxa"/>
              <w:left w:w="0" w:type="dxa"/>
              <w:bottom w:w="0" w:type="dxa"/>
              <w:right w:w="0" w:type="dxa"/>
            </w:tcMar>
          </w:tcPr>
          <w:p w:rsidR="002D5BB0" w:rsidRPr="00222917" w:rsidRDefault="002D5BB0" w:rsidP="00B679B4">
            <w:pPr>
              <w:pStyle w:val="SingleTxtG"/>
              <w:suppressAutoHyphens w:val="0"/>
              <w:spacing w:before="40" w:after="40" w:line="220" w:lineRule="exact"/>
              <w:ind w:left="0" w:right="0"/>
              <w:jc w:val="left"/>
              <w:rPr>
                <w:sz w:val="18"/>
                <w:lang w:val="en-US"/>
              </w:rPr>
            </w:pPr>
            <w:r w:rsidRPr="00222917">
              <w:rPr>
                <w:sz w:val="18"/>
                <w:lang w:val="en-US"/>
              </w:rPr>
              <w:t>161,999</w:t>
            </w:r>
          </w:p>
        </w:tc>
        <w:tc>
          <w:tcPr>
            <w:tcW w:w="851" w:type="dxa"/>
            <w:tcBorders>
              <w:top w:val="single" w:sz="12" w:space="0" w:color="000000"/>
              <w:bottom w:val="single" w:sz="12" w:space="0" w:color="auto"/>
            </w:tcBorders>
            <w:shd w:val="clear" w:color="auto" w:fill="auto"/>
            <w:tcMar>
              <w:top w:w="0" w:type="dxa"/>
              <w:left w:w="0" w:type="dxa"/>
              <w:bottom w:w="0" w:type="dxa"/>
              <w:right w:w="0" w:type="dxa"/>
            </w:tcMar>
            <w:vAlign w:val="bottom"/>
          </w:tcPr>
          <w:p w:rsidR="002D5BB0" w:rsidRPr="00222917" w:rsidRDefault="002D5BB0" w:rsidP="00B679B4">
            <w:pPr>
              <w:pStyle w:val="SingleTxtG"/>
              <w:suppressAutoHyphens w:val="0"/>
              <w:spacing w:before="40" w:after="40" w:line="220" w:lineRule="exact"/>
              <w:ind w:left="0" w:right="0"/>
              <w:jc w:val="right"/>
              <w:rPr>
                <w:b/>
                <w:sz w:val="18"/>
                <w:lang w:val="en-US"/>
              </w:rPr>
            </w:pPr>
            <w:r w:rsidRPr="00222917">
              <w:rPr>
                <w:b/>
                <w:sz w:val="18"/>
                <w:lang w:val="en-US"/>
              </w:rPr>
              <w:t>125,087</w:t>
            </w:r>
          </w:p>
        </w:tc>
        <w:tc>
          <w:tcPr>
            <w:tcW w:w="794" w:type="dxa"/>
            <w:tcBorders>
              <w:top w:val="single" w:sz="12" w:space="0" w:color="000000"/>
              <w:bottom w:val="single" w:sz="12" w:space="0" w:color="auto"/>
            </w:tcBorders>
            <w:shd w:val="clear" w:color="auto" w:fill="auto"/>
            <w:tcMar>
              <w:top w:w="0" w:type="dxa"/>
              <w:left w:w="0" w:type="dxa"/>
              <w:bottom w:w="0" w:type="dxa"/>
              <w:right w:w="0" w:type="dxa"/>
            </w:tcMar>
            <w:vAlign w:val="bottom"/>
          </w:tcPr>
          <w:p w:rsidR="002D5BB0" w:rsidRPr="00222917" w:rsidRDefault="002D5BB0" w:rsidP="00B679B4">
            <w:pPr>
              <w:pStyle w:val="SingleTxtG"/>
              <w:suppressAutoHyphens w:val="0"/>
              <w:spacing w:before="40" w:after="40" w:line="220" w:lineRule="exact"/>
              <w:ind w:left="0" w:right="0"/>
              <w:jc w:val="right"/>
              <w:rPr>
                <w:sz w:val="18"/>
                <w:lang w:val="en-US"/>
              </w:rPr>
            </w:pPr>
            <w:r w:rsidRPr="00222917">
              <w:rPr>
                <w:sz w:val="18"/>
                <w:lang w:val="en-US"/>
              </w:rPr>
              <w:t>15,876</w:t>
            </w:r>
          </w:p>
        </w:tc>
        <w:tc>
          <w:tcPr>
            <w:tcW w:w="794" w:type="dxa"/>
            <w:tcBorders>
              <w:top w:val="single" w:sz="12" w:space="0" w:color="000000"/>
              <w:bottom w:val="single" w:sz="12" w:space="0" w:color="auto"/>
            </w:tcBorders>
            <w:shd w:val="clear" w:color="auto" w:fill="auto"/>
            <w:tcMar>
              <w:top w:w="0" w:type="dxa"/>
              <w:left w:w="0" w:type="dxa"/>
              <w:bottom w:w="0" w:type="dxa"/>
              <w:right w:w="0" w:type="dxa"/>
            </w:tcMar>
            <w:vAlign w:val="bottom"/>
          </w:tcPr>
          <w:p w:rsidR="002D5BB0" w:rsidRPr="00222917" w:rsidRDefault="002D5BB0" w:rsidP="00B679B4">
            <w:pPr>
              <w:pStyle w:val="SingleTxtG"/>
              <w:suppressAutoHyphens w:val="0"/>
              <w:spacing w:before="40" w:after="40" w:line="220" w:lineRule="exact"/>
              <w:ind w:left="0" w:right="0"/>
              <w:jc w:val="right"/>
              <w:rPr>
                <w:sz w:val="18"/>
                <w:lang w:val="en-US"/>
              </w:rPr>
            </w:pPr>
            <w:r w:rsidRPr="00222917">
              <w:rPr>
                <w:sz w:val="18"/>
                <w:lang w:val="en-US"/>
              </w:rPr>
              <w:t>109,211</w:t>
            </w:r>
          </w:p>
        </w:tc>
        <w:tc>
          <w:tcPr>
            <w:tcW w:w="851" w:type="dxa"/>
            <w:tcBorders>
              <w:top w:val="single" w:sz="12" w:space="0" w:color="000000"/>
              <w:bottom w:val="single" w:sz="12" w:space="0" w:color="auto"/>
            </w:tcBorders>
            <w:shd w:val="clear" w:color="auto" w:fill="auto"/>
            <w:tcMar>
              <w:top w:w="0" w:type="dxa"/>
              <w:left w:w="0" w:type="dxa"/>
              <w:bottom w:w="0" w:type="dxa"/>
              <w:right w:w="0" w:type="dxa"/>
            </w:tcMar>
            <w:vAlign w:val="bottom"/>
          </w:tcPr>
          <w:p w:rsidR="002D5BB0" w:rsidRPr="00222917" w:rsidRDefault="002D5BB0" w:rsidP="00B679B4">
            <w:pPr>
              <w:pStyle w:val="SingleTxtG"/>
              <w:suppressAutoHyphens w:val="0"/>
              <w:spacing w:before="40" w:after="40" w:line="220" w:lineRule="exact"/>
              <w:ind w:left="0" w:right="0"/>
              <w:jc w:val="right"/>
              <w:rPr>
                <w:b/>
                <w:sz w:val="18"/>
                <w:lang w:val="en-US"/>
              </w:rPr>
            </w:pPr>
            <w:r w:rsidRPr="00222917">
              <w:rPr>
                <w:b/>
                <w:sz w:val="18"/>
                <w:lang w:val="en-US"/>
              </w:rPr>
              <w:t>56,584</w:t>
            </w:r>
          </w:p>
        </w:tc>
        <w:tc>
          <w:tcPr>
            <w:tcW w:w="794" w:type="dxa"/>
            <w:tcBorders>
              <w:top w:val="single" w:sz="12" w:space="0" w:color="000000"/>
              <w:bottom w:val="single" w:sz="12" w:space="0" w:color="auto"/>
            </w:tcBorders>
            <w:shd w:val="clear" w:color="auto" w:fill="auto"/>
            <w:tcMar>
              <w:top w:w="0" w:type="dxa"/>
              <w:left w:w="0" w:type="dxa"/>
              <w:bottom w:w="0" w:type="dxa"/>
              <w:right w:w="0" w:type="dxa"/>
            </w:tcMar>
            <w:vAlign w:val="bottom"/>
          </w:tcPr>
          <w:p w:rsidR="002D5BB0" w:rsidRPr="00222917" w:rsidRDefault="002D5BB0" w:rsidP="00B679B4">
            <w:pPr>
              <w:pStyle w:val="SingleTxtG"/>
              <w:suppressAutoHyphens w:val="0"/>
              <w:spacing w:before="40" w:after="40" w:line="220" w:lineRule="exact"/>
              <w:ind w:left="0" w:right="0"/>
              <w:jc w:val="right"/>
              <w:rPr>
                <w:sz w:val="18"/>
                <w:lang w:val="en-US"/>
              </w:rPr>
            </w:pPr>
            <w:r w:rsidRPr="00222917">
              <w:rPr>
                <w:sz w:val="18"/>
                <w:lang w:val="en-US"/>
              </w:rPr>
              <w:t>3,796</w:t>
            </w:r>
          </w:p>
        </w:tc>
        <w:tc>
          <w:tcPr>
            <w:tcW w:w="794" w:type="dxa"/>
            <w:tcBorders>
              <w:top w:val="single" w:sz="12" w:space="0" w:color="000000"/>
              <w:bottom w:val="single" w:sz="12" w:space="0" w:color="auto"/>
            </w:tcBorders>
            <w:shd w:val="clear" w:color="auto" w:fill="auto"/>
            <w:tcMar>
              <w:top w:w="0" w:type="dxa"/>
              <w:left w:w="0" w:type="dxa"/>
              <w:bottom w:w="0" w:type="dxa"/>
              <w:right w:w="0" w:type="dxa"/>
            </w:tcMar>
            <w:vAlign w:val="bottom"/>
          </w:tcPr>
          <w:p w:rsidR="002D5BB0" w:rsidRPr="00222917" w:rsidRDefault="002D5BB0" w:rsidP="00B679B4">
            <w:pPr>
              <w:pStyle w:val="SingleTxtG"/>
              <w:suppressAutoHyphens w:val="0"/>
              <w:spacing w:before="40" w:after="40" w:line="220" w:lineRule="exact"/>
              <w:ind w:left="0" w:right="0"/>
              <w:jc w:val="right"/>
              <w:rPr>
                <w:sz w:val="18"/>
                <w:lang w:val="en-US"/>
              </w:rPr>
            </w:pPr>
            <w:r w:rsidRPr="00222917">
              <w:rPr>
                <w:sz w:val="18"/>
                <w:lang w:val="en-US"/>
              </w:rPr>
              <w:t>52,788</w:t>
            </w:r>
          </w:p>
        </w:tc>
      </w:tr>
    </w:tbl>
    <w:p w:rsidR="002D5BB0" w:rsidRPr="00222917" w:rsidRDefault="00547908" w:rsidP="00547908">
      <w:pPr>
        <w:pStyle w:val="SingleTxtG"/>
        <w:spacing w:before="240"/>
        <w:rPr>
          <w:lang w:val="en-US"/>
        </w:rPr>
      </w:pPr>
      <w:r w:rsidRPr="00222917">
        <w:rPr>
          <w:lang w:val="en-US"/>
        </w:rPr>
        <w:t>324.</w:t>
      </w:r>
      <w:r w:rsidRPr="00222917">
        <w:rPr>
          <w:lang w:val="en-US"/>
        </w:rPr>
        <w:tab/>
      </w:r>
      <w:r w:rsidR="002D5BB0" w:rsidRPr="00222917">
        <w:rPr>
          <w:lang w:val="en-US"/>
        </w:rPr>
        <w:t>In April 2006, the Government formulated the government-wide “Measures to Support Social Integration of Female Marriage Migrants,” and the Ministry of Gender Equality and Family implements overall support policies designed to provide appropriate assistance at different stages of the family life cycle: marriage preparation phase, family formation and competency development phase, and child education phase. In 2009, the “Multicultural Families Policy Commission” chaired by the prime minister was formed to devise the “Master Plan for Multicultural Families Support Policy” (2010-2012) and execute the plan with all ministries participating. The Master Plan entails 20 main tasks and 61 subtasks in five areas: (i) improvement of implementation structure of multicultural families support policies, (ii) rendering practices of international marriage healthier, (iii)</w:t>
      </w:r>
      <w:r w:rsidR="00F22077" w:rsidRPr="00222917">
        <w:rPr>
          <w:lang w:val="en-US"/>
        </w:rPr>
        <w:t> </w:t>
      </w:r>
      <w:r w:rsidR="002D5BB0" w:rsidRPr="00222917">
        <w:rPr>
          <w:lang w:val="en-US"/>
        </w:rPr>
        <w:t>reinforcement of support for settlement and self-reliance of marriage migrants, (iv)</w:t>
      </w:r>
      <w:r w:rsidR="00F22077" w:rsidRPr="00222917">
        <w:rPr>
          <w:lang w:val="en-US"/>
        </w:rPr>
        <w:t> </w:t>
      </w:r>
      <w:r w:rsidR="002D5BB0" w:rsidRPr="00222917">
        <w:rPr>
          <w:lang w:val="en-US"/>
        </w:rPr>
        <w:t xml:space="preserve">support for children from </w:t>
      </w:r>
      <w:r w:rsidR="002D5BB0" w:rsidRPr="00367065">
        <w:rPr>
          <w:iCs/>
          <w:lang w:val="en-US"/>
        </w:rPr>
        <w:t>multicultural families</w:t>
      </w:r>
      <w:r w:rsidR="002D5BB0" w:rsidRPr="00222917">
        <w:rPr>
          <w:lang w:val="en-US"/>
        </w:rPr>
        <w:t xml:space="preserve">, and (v) enhancement of social understanding of other cultures. The plan especially emphasizes the importance of promoting the self-reliance of </w:t>
      </w:r>
      <w:r w:rsidR="002D5BB0" w:rsidRPr="00367065">
        <w:rPr>
          <w:iCs/>
          <w:lang w:val="en-US"/>
        </w:rPr>
        <w:t>multicultural families</w:t>
      </w:r>
      <w:r w:rsidR="002D5BB0" w:rsidRPr="00222917">
        <w:rPr>
          <w:lang w:val="en-US"/>
        </w:rPr>
        <w:t xml:space="preserve"> and improves employment of marriage migrants and education measures for their children. </w:t>
      </w:r>
    </w:p>
    <w:p w:rsidR="002D5BB0" w:rsidRPr="00222917" w:rsidRDefault="00984B6F" w:rsidP="00984B6F">
      <w:pPr>
        <w:pStyle w:val="H23G"/>
        <w:rPr>
          <w:b w:val="0"/>
          <w:sz w:val="16"/>
          <w:szCs w:val="16"/>
          <w:lang w:val="en-US"/>
        </w:rPr>
      </w:pPr>
      <w:r w:rsidRPr="00222917">
        <w:rPr>
          <w:lang w:val="en-US"/>
        </w:rPr>
        <w:tab/>
      </w:r>
      <w:r w:rsidRPr="00222917">
        <w:rPr>
          <w:lang w:val="en-US"/>
        </w:rPr>
        <w:tab/>
      </w:r>
      <w:smartTag w:uri="urn:schemas-microsoft-com:office:smarttags" w:element="place">
        <w:smartTag w:uri="urn:schemas-microsoft-com:office:smarttags" w:element="PlaceName">
          <w:r w:rsidR="002D5BB0" w:rsidRPr="00222917">
            <w:rPr>
              <w:lang w:val="en-US"/>
            </w:rPr>
            <w:t>Multicultural</w:t>
          </w:r>
        </w:smartTag>
        <w:r w:rsidR="002D5BB0" w:rsidRPr="00222917">
          <w:rPr>
            <w:lang w:val="en-US"/>
          </w:rPr>
          <w:t xml:space="preserve"> </w:t>
        </w:r>
        <w:smartTag w:uri="urn:schemas-microsoft-com:office:smarttags" w:element="PlaceName">
          <w:r w:rsidR="002D5BB0" w:rsidRPr="00222917">
            <w:rPr>
              <w:lang w:val="en-US"/>
            </w:rPr>
            <w:t>Families</w:t>
          </w:r>
        </w:smartTag>
        <w:r w:rsidR="002D5BB0" w:rsidRPr="00222917">
          <w:rPr>
            <w:lang w:val="en-US"/>
          </w:rPr>
          <w:t xml:space="preserve"> </w:t>
        </w:r>
        <w:smartTag w:uri="urn:schemas-microsoft-com:office:smarttags" w:element="PlaceName">
          <w:r w:rsidR="002D5BB0" w:rsidRPr="00222917">
            <w:rPr>
              <w:lang w:val="en-US"/>
            </w:rPr>
            <w:t>Support</w:t>
          </w:r>
        </w:smartTag>
        <w:r w:rsidR="002D5BB0" w:rsidRPr="00222917">
          <w:rPr>
            <w:lang w:val="en-US"/>
          </w:rPr>
          <w:t xml:space="preserve"> </w:t>
        </w:r>
        <w:smartTag w:uri="urn:schemas-microsoft-com:office:smarttags" w:element="PlaceType">
          <w:r w:rsidR="002D5BB0" w:rsidRPr="00222917">
            <w:rPr>
              <w:lang w:val="en-US"/>
            </w:rPr>
            <w:t>Center</w:t>
          </w:r>
        </w:smartTag>
      </w:smartTag>
      <w:r w:rsidRPr="00222917">
        <w:rPr>
          <w:lang w:val="en-US"/>
        </w:rPr>
        <w:br/>
      </w:r>
      <w:r w:rsidR="002D5BB0" w:rsidRPr="00222917">
        <w:rPr>
          <w:b w:val="0"/>
          <w:sz w:val="16"/>
          <w:szCs w:val="16"/>
          <w:lang w:val="en-US"/>
        </w:rPr>
        <w:t>(Number of centers)</w:t>
      </w:r>
    </w:p>
    <w:tbl>
      <w:tblPr>
        <w:tblW w:w="0" w:type="auto"/>
        <w:tblInd w:w="1134" w:type="dxa"/>
        <w:tblBorders>
          <w:top w:val="single" w:sz="4" w:space="0" w:color="auto"/>
          <w:bottom w:val="single" w:sz="12" w:space="0" w:color="auto"/>
          <w:insideH w:val="single" w:sz="12" w:space="0" w:color="auto"/>
        </w:tblBorders>
        <w:tblLayout w:type="fixed"/>
        <w:tblCellMar>
          <w:left w:w="0" w:type="dxa"/>
          <w:right w:w="0" w:type="dxa"/>
        </w:tblCellMar>
        <w:tblLook w:val="00A0"/>
      </w:tblPr>
      <w:tblGrid>
        <w:gridCol w:w="3119"/>
        <w:gridCol w:w="851"/>
        <w:gridCol w:w="851"/>
        <w:gridCol w:w="851"/>
        <w:gridCol w:w="851"/>
        <w:gridCol w:w="851"/>
      </w:tblGrid>
      <w:tr w:rsidR="008F6543" w:rsidRPr="00222917" w:rsidTr="00F22077">
        <w:trPr>
          <w:tblHeader/>
        </w:trPr>
        <w:tc>
          <w:tcPr>
            <w:tcW w:w="3119" w:type="dxa"/>
            <w:shd w:val="clear" w:color="auto" w:fill="auto"/>
            <w:tcMar>
              <w:top w:w="0" w:type="dxa"/>
              <w:left w:w="0" w:type="dxa"/>
              <w:bottom w:w="0" w:type="dxa"/>
              <w:right w:w="0" w:type="dxa"/>
            </w:tcMar>
            <w:vAlign w:val="bottom"/>
          </w:tcPr>
          <w:p w:rsidR="002D5BB0" w:rsidRPr="00222917" w:rsidRDefault="002D5BB0" w:rsidP="00F22077">
            <w:pPr>
              <w:pStyle w:val="SingleTxtG"/>
              <w:suppressAutoHyphens w:val="0"/>
              <w:spacing w:before="80" w:after="80" w:line="200" w:lineRule="exact"/>
              <w:ind w:left="0" w:right="0"/>
              <w:jc w:val="left"/>
              <w:rPr>
                <w:i/>
                <w:sz w:val="16"/>
                <w:lang w:val="en-US"/>
              </w:rPr>
            </w:pPr>
            <w:r w:rsidRPr="00222917">
              <w:rPr>
                <w:bCs/>
                <w:i/>
                <w:sz w:val="16"/>
                <w:lang w:val="en-US"/>
              </w:rPr>
              <w:t>Year</w:t>
            </w:r>
          </w:p>
        </w:tc>
        <w:tc>
          <w:tcPr>
            <w:tcW w:w="851" w:type="dxa"/>
            <w:shd w:val="clear" w:color="auto" w:fill="auto"/>
            <w:tcMar>
              <w:top w:w="0" w:type="dxa"/>
              <w:left w:w="0" w:type="dxa"/>
              <w:bottom w:w="0" w:type="dxa"/>
              <w:right w:w="0" w:type="dxa"/>
            </w:tcMar>
            <w:vAlign w:val="bottom"/>
          </w:tcPr>
          <w:p w:rsidR="002D5BB0" w:rsidRPr="00222917" w:rsidRDefault="002D5BB0" w:rsidP="00F22077">
            <w:pPr>
              <w:pStyle w:val="SingleTxtG"/>
              <w:suppressAutoHyphens w:val="0"/>
              <w:spacing w:before="80" w:after="80" w:line="200" w:lineRule="exact"/>
              <w:ind w:left="0" w:right="0"/>
              <w:jc w:val="right"/>
              <w:rPr>
                <w:i/>
                <w:sz w:val="16"/>
                <w:lang w:val="en-US"/>
              </w:rPr>
            </w:pPr>
            <w:r w:rsidRPr="00222917">
              <w:rPr>
                <w:bCs/>
                <w:i/>
                <w:sz w:val="16"/>
                <w:lang w:val="en-US"/>
              </w:rPr>
              <w:t>2006</w:t>
            </w:r>
          </w:p>
        </w:tc>
        <w:tc>
          <w:tcPr>
            <w:tcW w:w="851" w:type="dxa"/>
            <w:shd w:val="clear" w:color="auto" w:fill="auto"/>
            <w:tcMar>
              <w:top w:w="0" w:type="dxa"/>
              <w:left w:w="0" w:type="dxa"/>
              <w:bottom w:w="0" w:type="dxa"/>
              <w:right w:w="0" w:type="dxa"/>
            </w:tcMar>
            <w:vAlign w:val="bottom"/>
          </w:tcPr>
          <w:p w:rsidR="002D5BB0" w:rsidRPr="00222917" w:rsidRDefault="002D5BB0" w:rsidP="00F22077">
            <w:pPr>
              <w:pStyle w:val="SingleTxtG"/>
              <w:suppressAutoHyphens w:val="0"/>
              <w:spacing w:before="80" w:after="80" w:line="200" w:lineRule="exact"/>
              <w:ind w:left="0" w:right="0"/>
              <w:jc w:val="right"/>
              <w:rPr>
                <w:i/>
                <w:sz w:val="16"/>
                <w:lang w:val="en-US"/>
              </w:rPr>
            </w:pPr>
            <w:r w:rsidRPr="00222917">
              <w:rPr>
                <w:bCs/>
                <w:i/>
                <w:sz w:val="16"/>
                <w:lang w:val="en-US"/>
              </w:rPr>
              <w:t>2007</w:t>
            </w:r>
          </w:p>
        </w:tc>
        <w:tc>
          <w:tcPr>
            <w:tcW w:w="851" w:type="dxa"/>
            <w:shd w:val="clear" w:color="auto" w:fill="auto"/>
            <w:tcMar>
              <w:top w:w="0" w:type="dxa"/>
              <w:left w:w="0" w:type="dxa"/>
              <w:bottom w:w="0" w:type="dxa"/>
              <w:right w:w="0" w:type="dxa"/>
            </w:tcMar>
            <w:vAlign w:val="bottom"/>
          </w:tcPr>
          <w:p w:rsidR="002D5BB0" w:rsidRPr="00222917" w:rsidRDefault="002D5BB0" w:rsidP="00F22077">
            <w:pPr>
              <w:pStyle w:val="SingleTxtG"/>
              <w:suppressAutoHyphens w:val="0"/>
              <w:spacing w:before="80" w:after="80" w:line="200" w:lineRule="exact"/>
              <w:ind w:left="0" w:right="0"/>
              <w:jc w:val="right"/>
              <w:rPr>
                <w:i/>
                <w:sz w:val="16"/>
                <w:lang w:val="en-US"/>
              </w:rPr>
            </w:pPr>
            <w:r w:rsidRPr="00222917">
              <w:rPr>
                <w:bCs/>
                <w:i/>
                <w:sz w:val="16"/>
                <w:lang w:val="en-US"/>
              </w:rPr>
              <w:t>2008</w:t>
            </w:r>
          </w:p>
        </w:tc>
        <w:tc>
          <w:tcPr>
            <w:tcW w:w="851" w:type="dxa"/>
            <w:shd w:val="clear" w:color="auto" w:fill="auto"/>
            <w:tcMar>
              <w:top w:w="0" w:type="dxa"/>
              <w:left w:w="0" w:type="dxa"/>
              <w:bottom w:w="0" w:type="dxa"/>
              <w:right w:w="0" w:type="dxa"/>
            </w:tcMar>
            <w:vAlign w:val="bottom"/>
          </w:tcPr>
          <w:p w:rsidR="002D5BB0" w:rsidRPr="00222917" w:rsidRDefault="002D5BB0" w:rsidP="00F22077">
            <w:pPr>
              <w:pStyle w:val="SingleTxtG"/>
              <w:suppressAutoHyphens w:val="0"/>
              <w:spacing w:before="80" w:after="80" w:line="200" w:lineRule="exact"/>
              <w:ind w:left="0" w:right="0"/>
              <w:jc w:val="right"/>
              <w:rPr>
                <w:i/>
                <w:sz w:val="16"/>
                <w:lang w:val="en-US"/>
              </w:rPr>
            </w:pPr>
            <w:r w:rsidRPr="00222917">
              <w:rPr>
                <w:bCs/>
                <w:i/>
                <w:sz w:val="16"/>
                <w:lang w:val="en-US"/>
              </w:rPr>
              <w:t>2009</w:t>
            </w:r>
          </w:p>
        </w:tc>
        <w:tc>
          <w:tcPr>
            <w:tcW w:w="851" w:type="dxa"/>
            <w:shd w:val="clear" w:color="auto" w:fill="auto"/>
            <w:tcMar>
              <w:top w:w="0" w:type="dxa"/>
              <w:left w:w="0" w:type="dxa"/>
              <w:bottom w:w="0" w:type="dxa"/>
              <w:right w:w="0" w:type="dxa"/>
            </w:tcMar>
            <w:vAlign w:val="bottom"/>
          </w:tcPr>
          <w:p w:rsidR="002D5BB0" w:rsidRPr="00222917" w:rsidRDefault="002D5BB0" w:rsidP="00F22077">
            <w:pPr>
              <w:pStyle w:val="SingleTxtG"/>
              <w:suppressAutoHyphens w:val="0"/>
              <w:spacing w:before="80" w:after="80" w:line="200" w:lineRule="exact"/>
              <w:ind w:left="0" w:right="0"/>
              <w:jc w:val="right"/>
              <w:rPr>
                <w:i/>
                <w:sz w:val="16"/>
                <w:lang w:val="en-US"/>
              </w:rPr>
            </w:pPr>
            <w:r w:rsidRPr="00222917">
              <w:rPr>
                <w:bCs/>
                <w:i/>
                <w:sz w:val="16"/>
                <w:lang w:val="en-US"/>
              </w:rPr>
              <w:t>2010</w:t>
            </w:r>
          </w:p>
        </w:tc>
      </w:tr>
      <w:tr w:rsidR="008F6543" w:rsidRPr="00222917" w:rsidTr="00F22077">
        <w:tc>
          <w:tcPr>
            <w:tcW w:w="3119" w:type="dxa"/>
            <w:shd w:val="clear" w:color="auto" w:fill="auto"/>
            <w:tcMar>
              <w:top w:w="0" w:type="dxa"/>
              <w:left w:w="0" w:type="dxa"/>
              <w:bottom w:w="0" w:type="dxa"/>
              <w:right w:w="0" w:type="dxa"/>
            </w:tcMar>
          </w:tcPr>
          <w:p w:rsidR="002D5BB0" w:rsidRPr="00222917" w:rsidRDefault="002D5BB0" w:rsidP="00F22077">
            <w:pPr>
              <w:pStyle w:val="SingleTxtG"/>
              <w:suppressAutoHyphens w:val="0"/>
              <w:spacing w:before="40" w:after="40" w:line="220" w:lineRule="exact"/>
              <w:ind w:left="0" w:right="0"/>
              <w:jc w:val="left"/>
              <w:rPr>
                <w:sz w:val="18"/>
                <w:lang w:val="en-US"/>
              </w:rPr>
            </w:pPr>
            <w:r w:rsidRPr="00222917">
              <w:rPr>
                <w:sz w:val="18"/>
                <w:lang w:val="en-US"/>
              </w:rPr>
              <w:t xml:space="preserve">Number of Multicultural Families </w:t>
            </w:r>
            <w:r w:rsidR="00D41B4F" w:rsidRPr="00222917">
              <w:rPr>
                <w:sz w:val="18"/>
                <w:lang w:val="en-US"/>
              </w:rPr>
              <w:br/>
            </w:r>
            <w:r w:rsidRPr="00222917">
              <w:rPr>
                <w:sz w:val="18"/>
                <w:lang w:val="en-US"/>
              </w:rPr>
              <w:t>Support Centers</w:t>
            </w:r>
          </w:p>
        </w:tc>
        <w:tc>
          <w:tcPr>
            <w:tcW w:w="851" w:type="dxa"/>
            <w:shd w:val="clear" w:color="auto" w:fill="auto"/>
            <w:tcMar>
              <w:top w:w="0" w:type="dxa"/>
              <w:left w:w="0" w:type="dxa"/>
              <w:bottom w:w="0" w:type="dxa"/>
              <w:right w:w="0" w:type="dxa"/>
            </w:tcMar>
            <w:vAlign w:val="bottom"/>
          </w:tcPr>
          <w:p w:rsidR="002D5BB0" w:rsidRPr="00222917" w:rsidRDefault="002D5BB0" w:rsidP="00F22077">
            <w:pPr>
              <w:pStyle w:val="SingleTxtG"/>
              <w:suppressAutoHyphens w:val="0"/>
              <w:spacing w:before="40" w:after="40" w:line="220" w:lineRule="exact"/>
              <w:ind w:left="0" w:right="0"/>
              <w:jc w:val="right"/>
              <w:rPr>
                <w:sz w:val="18"/>
                <w:lang w:val="en-US"/>
              </w:rPr>
            </w:pPr>
            <w:r w:rsidRPr="00222917">
              <w:rPr>
                <w:sz w:val="18"/>
                <w:lang w:val="en-US"/>
              </w:rPr>
              <w:t>21</w:t>
            </w:r>
          </w:p>
        </w:tc>
        <w:tc>
          <w:tcPr>
            <w:tcW w:w="851" w:type="dxa"/>
            <w:shd w:val="clear" w:color="auto" w:fill="auto"/>
            <w:tcMar>
              <w:top w:w="0" w:type="dxa"/>
              <w:left w:w="0" w:type="dxa"/>
              <w:bottom w:w="0" w:type="dxa"/>
              <w:right w:w="0" w:type="dxa"/>
            </w:tcMar>
            <w:vAlign w:val="bottom"/>
          </w:tcPr>
          <w:p w:rsidR="002D5BB0" w:rsidRPr="00222917" w:rsidRDefault="002D5BB0" w:rsidP="00F22077">
            <w:pPr>
              <w:pStyle w:val="SingleTxtG"/>
              <w:suppressAutoHyphens w:val="0"/>
              <w:spacing w:before="40" w:after="40" w:line="220" w:lineRule="exact"/>
              <w:ind w:left="0" w:right="0"/>
              <w:jc w:val="right"/>
              <w:rPr>
                <w:sz w:val="18"/>
                <w:lang w:val="en-US"/>
              </w:rPr>
            </w:pPr>
            <w:r w:rsidRPr="00222917">
              <w:rPr>
                <w:sz w:val="18"/>
                <w:lang w:val="en-US"/>
              </w:rPr>
              <w:t>38</w:t>
            </w:r>
          </w:p>
        </w:tc>
        <w:tc>
          <w:tcPr>
            <w:tcW w:w="851" w:type="dxa"/>
            <w:shd w:val="clear" w:color="auto" w:fill="auto"/>
            <w:tcMar>
              <w:top w:w="0" w:type="dxa"/>
              <w:left w:w="0" w:type="dxa"/>
              <w:bottom w:w="0" w:type="dxa"/>
              <w:right w:w="0" w:type="dxa"/>
            </w:tcMar>
            <w:vAlign w:val="bottom"/>
          </w:tcPr>
          <w:p w:rsidR="002D5BB0" w:rsidRPr="00222917" w:rsidRDefault="002D5BB0" w:rsidP="00F22077">
            <w:pPr>
              <w:pStyle w:val="SingleTxtG"/>
              <w:suppressAutoHyphens w:val="0"/>
              <w:spacing w:before="40" w:after="40" w:line="220" w:lineRule="exact"/>
              <w:ind w:left="0" w:right="0"/>
              <w:jc w:val="right"/>
              <w:rPr>
                <w:sz w:val="18"/>
                <w:lang w:val="en-US"/>
              </w:rPr>
            </w:pPr>
            <w:r w:rsidRPr="00222917">
              <w:rPr>
                <w:sz w:val="18"/>
                <w:lang w:val="en-US"/>
              </w:rPr>
              <w:t>80</w:t>
            </w:r>
          </w:p>
        </w:tc>
        <w:tc>
          <w:tcPr>
            <w:tcW w:w="851" w:type="dxa"/>
            <w:shd w:val="clear" w:color="auto" w:fill="auto"/>
            <w:tcMar>
              <w:top w:w="0" w:type="dxa"/>
              <w:left w:w="0" w:type="dxa"/>
              <w:bottom w:w="0" w:type="dxa"/>
              <w:right w:w="0" w:type="dxa"/>
            </w:tcMar>
            <w:vAlign w:val="bottom"/>
          </w:tcPr>
          <w:p w:rsidR="002D5BB0" w:rsidRPr="00222917" w:rsidRDefault="002D5BB0" w:rsidP="00F22077">
            <w:pPr>
              <w:pStyle w:val="SingleTxtG"/>
              <w:suppressAutoHyphens w:val="0"/>
              <w:spacing w:before="40" w:after="40" w:line="220" w:lineRule="exact"/>
              <w:ind w:left="0" w:right="0"/>
              <w:jc w:val="right"/>
              <w:rPr>
                <w:sz w:val="18"/>
                <w:lang w:val="en-US"/>
              </w:rPr>
            </w:pPr>
            <w:r w:rsidRPr="00222917">
              <w:rPr>
                <w:sz w:val="18"/>
                <w:lang w:val="en-US"/>
              </w:rPr>
              <w:t>100</w:t>
            </w:r>
          </w:p>
        </w:tc>
        <w:tc>
          <w:tcPr>
            <w:tcW w:w="851" w:type="dxa"/>
            <w:shd w:val="clear" w:color="auto" w:fill="auto"/>
            <w:tcMar>
              <w:top w:w="0" w:type="dxa"/>
              <w:left w:w="0" w:type="dxa"/>
              <w:bottom w:w="0" w:type="dxa"/>
              <w:right w:w="0" w:type="dxa"/>
            </w:tcMar>
            <w:vAlign w:val="bottom"/>
          </w:tcPr>
          <w:p w:rsidR="002D5BB0" w:rsidRPr="00222917" w:rsidRDefault="002D5BB0" w:rsidP="00F22077">
            <w:pPr>
              <w:pStyle w:val="SingleTxtG"/>
              <w:suppressAutoHyphens w:val="0"/>
              <w:spacing w:before="40" w:after="40" w:line="220" w:lineRule="exact"/>
              <w:ind w:left="0" w:right="0"/>
              <w:jc w:val="right"/>
              <w:rPr>
                <w:sz w:val="18"/>
                <w:lang w:val="en-US"/>
              </w:rPr>
            </w:pPr>
            <w:r w:rsidRPr="00222917">
              <w:rPr>
                <w:sz w:val="18"/>
                <w:lang w:val="en-US"/>
              </w:rPr>
              <w:t>159</w:t>
            </w:r>
          </w:p>
        </w:tc>
      </w:tr>
    </w:tbl>
    <w:p w:rsidR="002D5BB0" w:rsidRPr="00222917" w:rsidRDefault="00547908" w:rsidP="00547908">
      <w:pPr>
        <w:pStyle w:val="SingleTxtG"/>
        <w:spacing w:before="240"/>
        <w:rPr>
          <w:lang w:val="en-US"/>
        </w:rPr>
      </w:pPr>
      <w:r w:rsidRPr="00222917">
        <w:rPr>
          <w:lang w:val="en-US"/>
        </w:rPr>
        <w:t>325.</w:t>
      </w:r>
      <w:r w:rsidRPr="00222917">
        <w:rPr>
          <w:lang w:val="en-US"/>
        </w:rPr>
        <w:tab/>
      </w:r>
      <w:r w:rsidR="002D5BB0" w:rsidRPr="00222917">
        <w:rPr>
          <w:lang w:val="en-US"/>
        </w:rPr>
        <w:t xml:space="preserve">On 21 March 2008, the </w:t>
      </w:r>
      <w:r w:rsidR="002D5BB0" w:rsidRPr="00367065">
        <w:rPr>
          <w:iCs/>
          <w:lang w:val="en-US"/>
        </w:rPr>
        <w:t>Multicultural Families Support Act</w:t>
      </w:r>
      <w:r w:rsidR="002D5BB0" w:rsidRPr="00222917">
        <w:rPr>
          <w:lang w:val="en-US"/>
        </w:rPr>
        <w:t xml:space="preserve"> was enacted to systemize the implementation of </w:t>
      </w:r>
      <w:r w:rsidR="002D5BB0" w:rsidRPr="00367065">
        <w:rPr>
          <w:iCs/>
          <w:lang w:val="en-US"/>
        </w:rPr>
        <w:t>multicultural family</w:t>
      </w:r>
      <w:r w:rsidR="002D5BB0" w:rsidRPr="00222917">
        <w:rPr>
          <w:lang w:val="en-US"/>
        </w:rPr>
        <w:t xml:space="preserve"> support policies by providing information and social adaptation education for the purpose of improving the quality of life of </w:t>
      </w:r>
      <w:r w:rsidR="002D5BB0" w:rsidRPr="00367065">
        <w:rPr>
          <w:iCs/>
          <w:lang w:val="en-US"/>
        </w:rPr>
        <w:t>multicultural families</w:t>
      </w:r>
      <w:r w:rsidR="002D5BB0" w:rsidRPr="00222917">
        <w:rPr>
          <w:lang w:val="en-US"/>
        </w:rPr>
        <w:t xml:space="preserve"> and accelerating their social integration. This Act provides for the provision of daily life information that marriage migrants need and support for education on the Korean language, social integration, occupation, and </w:t>
      </w:r>
      <w:r w:rsidR="00E623EE" w:rsidRPr="00222917">
        <w:rPr>
          <w:lang w:val="en-US"/>
        </w:rPr>
        <w:t>family (</w:t>
      </w:r>
      <w:r w:rsidR="00AE0F13" w:rsidRPr="00222917">
        <w:rPr>
          <w:lang w:val="en-US"/>
        </w:rPr>
        <w:t>a</w:t>
      </w:r>
      <w:r w:rsidR="00E623EE" w:rsidRPr="00222917">
        <w:rPr>
          <w:lang w:val="en-US"/>
        </w:rPr>
        <w:t>rticle </w:t>
      </w:r>
      <w:r w:rsidR="002D5BB0" w:rsidRPr="00222917">
        <w:rPr>
          <w:lang w:val="en-US"/>
        </w:rPr>
        <w:t>6); implementation of family counseling, education for couples, parents, and family life, and provision of professional services such as interpretation, legal counseling, and administrative servic</w:t>
      </w:r>
      <w:r w:rsidR="00D41B4F" w:rsidRPr="00222917">
        <w:rPr>
          <w:lang w:val="en-US"/>
        </w:rPr>
        <w:t>es (</w:t>
      </w:r>
      <w:r w:rsidR="00AE0F13" w:rsidRPr="00222917">
        <w:rPr>
          <w:lang w:val="en-US"/>
        </w:rPr>
        <w:t>a</w:t>
      </w:r>
      <w:r w:rsidR="00D41B4F" w:rsidRPr="00222917">
        <w:rPr>
          <w:lang w:val="en-US"/>
        </w:rPr>
        <w:t>rticles </w:t>
      </w:r>
      <w:r w:rsidR="002D5BB0" w:rsidRPr="00222917">
        <w:rPr>
          <w:lang w:val="en-US"/>
        </w:rPr>
        <w:t>7 and</w:t>
      </w:r>
      <w:r w:rsidR="00984B6F" w:rsidRPr="00222917">
        <w:rPr>
          <w:lang w:val="en-US"/>
        </w:rPr>
        <w:t> </w:t>
      </w:r>
      <w:r w:rsidR="002D5BB0" w:rsidRPr="00222917">
        <w:rPr>
          <w:lang w:val="en-US"/>
        </w:rPr>
        <w:t xml:space="preserve">11); providing culture and language-tailored services of protection and support for victims of domestic violence, health management before and after childbirth, and child rearing </w:t>
      </w:r>
      <w:r w:rsidR="00E623EE" w:rsidRPr="00222917">
        <w:rPr>
          <w:lang w:val="en-US"/>
        </w:rPr>
        <w:t>and education support (</w:t>
      </w:r>
      <w:r w:rsidR="00AE0F13" w:rsidRPr="00222917">
        <w:rPr>
          <w:lang w:val="en-US"/>
        </w:rPr>
        <w:t>a</w:t>
      </w:r>
      <w:r w:rsidR="00E623EE" w:rsidRPr="00222917">
        <w:rPr>
          <w:lang w:val="en-US"/>
        </w:rPr>
        <w:t>rticles </w:t>
      </w:r>
      <w:r w:rsidR="002D5BB0" w:rsidRPr="00222917">
        <w:rPr>
          <w:lang w:val="en-US"/>
        </w:rPr>
        <w:t xml:space="preserve">8 through 10); and conducting surveys on actual conditions of </w:t>
      </w:r>
      <w:r w:rsidR="002D5BB0" w:rsidRPr="00222917">
        <w:rPr>
          <w:iCs/>
          <w:lang w:val="en-US"/>
        </w:rPr>
        <w:t>multicultural families</w:t>
      </w:r>
      <w:r w:rsidR="002D5BB0" w:rsidRPr="00222917">
        <w:rPr>
          <w:lang w:val="en-US"/>
        </w:rPr>
        <w:t xml:space="preserve"> to esta</w:t>
      </w:r>
      <w:r w:rsidR="00E623EE" w:rsidRPr="00222917">
        <w:rPr>
          <w:lang w:val="en-US"/>
        </w:rPr>
        <w:t>blish support policies (</w:t>
      </w:r>
      <w:r w:rsidR="00AE0F13" w:rsidRPr="00222917">
        <w:rPr>
          <w:lang w:val="en-US"/>
        </w:rPr>
        <w:t>a</w:t>
      </w:r>
      <w:r w:rsidR="00E623EE" w:rsidRPr="00222917">
        <w:rPr>
          <w:lang w:val="en-US"/>
        </w:rPr>
        <w:t>rticle </w:t>
      </w:r>
      <w:r w:rsidR="002D5BB0" w:rsidRPr="00222917">
        <w:rPr>
          <w:lang w:val="en-US"/>
        </w:rPr>
        <w:t xml:space="preserve">4). With the amendment of the </w:t>
      </w:r>
      <w:r w:rsidR="002D5BB0" w:rsidRPr="00222917">
        <w:rPr>
          <w:iCs/>
          <w:lang w:val="en-US"/>
        </w:rPr>
        <w:t>Multicultural Families Support Act</w:t>
      </w:r>
      <w:r w:rsidR="002D5BB0" w:rsidRPr="00222917">
        <w:rPr>
          <w:lang w:val="en-US"/>
        </w:rPr>
        <w:t xml:space="preserve">, the Government expanded the definition of “a multicultural family” from “a family composed of Koreans at birth and marriage migrants, etc.” to “a family composed of persons who obtained Korean nationality by birth or through acknowledgment, or naturalization, etc. and marriage migrants, etc.” The Government plans to further improve the system in such a way that foreign workers and foreign students studying in </w:t>
      </w:r>
      <w:smartTag w:uri="urn:schemas-microsoft-com:office:smarttags" w:element="place">
        <w:smartTag w:uri="urn:schemas-microsoft-com:office:smarttags" w:element="country-region">
          <w:r w:rsidR="002D5BB0" w:rsidRPr="00222917">
            <w:rPr>
              <w:lang w:val="en-US"/>
            </w:rPr>
            <w:t>Korea</w:t>
          </w:r>
        </w:smartTag>
      </w:smartTag>
      <w:r w:rsidR="002D5BB0" w:rsidRPr="00222917">
        <w:rPr>
          <w:lang w:val="en-US"/>
        </w:rPr>
        <w:t>, etc. can receive multicultural family support services in the future.</w:t>
      </w:r>
    </w:p>
    <w:p w:rsidR="002D5BB0" w:rsidRPr="00222917" w:rsidRDefault="00984B6F" w:rsidP="00984B6F">
      <w:pPr>
        <w:pStyle w:val="H1G"/>
        <w:rPr>
          <w:lang w:val="en-US"/>
        </w:rPr>
      </w:pPr>
      <w:bookmarkStart w:id="277" w:name="_Toc307504160"/>
      <w:bookmarkStart w:id="278" w:name="_Toc336435932"/>
      <w:r w:rsidRPr="00222917">
        <w:rPr>
          <w:lang w:val="en-US"/>
        </w:rPr>
        <w:tab/>
      </w:r>
      <w:r w:rsidRPr="00222917">
        <w:rPr>
          <w:lang w:val="en-US"/>
        </w:rPr>
        <w:tab/>
      </w:r>
      <w:r w:rsidR="002D5BB0" w:rsidRPr="00222917">
        <w:rPr>
          <w:lang w:val="en-US"/>
        </w:rPr>
        <w:t>Paragraphs 2 and 3</w:t>
      </w:r>
      <w:bookmarkEnd w:id="277"/>
      <w:bookmarkEnd w:id="278"/>
    </w:p>
    <w:p w:rsidR="002D5BB0" w:rsidRPr="00222917" w:rsidRDefault="00547908" w:rsidP="00547908">
      <w:pPr>
        <w:pStyle w:val="SingleTxtG"/>
        <w:rPr>
          <w:bCs/>
          <w:lang w:val="en-US"/>
        </w:rPr>
      </w:pPr>
      <w:r w:rsidRPr="00222917">
        <w:rPr>
          <w:bCs/>
          <w:lang w:val="en-US"/>
        </w:rPr>
        <w:t>326.</w:t>
      </w:r>
      <w:r w:rsidRPr="00222917">
        <w:rPr>
          <w:bCs/>
          <w:lang w:val="en-US"/>
        </w:rPr>
        <w:tab/>
      </w:r>
      <w:r w:rsidR="002D5BB0" w:rsidRPr="00222917">
        <w:rPr>
          <w:lang w:val="en-US"/>
        </w:rPr>
        <w:t>As stated in the first and second reports, the rights of people of marriageable age to marriage and to forming families are guaranteed, and a marriage without both parties’ free and complete agreements does not constitute a lawful marriage (CCPR/C/68/Add.1, paras.</w:t>
      </w:r>
      <w:r w:rsidR="00984B6F" w:rsidRPr="00222917">
        <w:rPr>
          <w:lang w:val="en-US"/>
        </w:rPr>
        <w:t> </w:t>
      </w:r>
      <w:r w:rsidR="002D5BB0" w:rsidRPr="00222917">
        <w:rPr>
          <w:lang w:val="en-US"/>
        </w:rPr>
        <w:t>29</w:t>
      </w:r>
      <w:r w:rsidR="00984B6F" w:rsidRPr="00222917">
        <w:rPr>
          <w:lang w:val="en-US"/>
        </w:rPr>
        <w:t>2 and 293; CCPR/C/114/Add.1, paras. </w:t>
      </w:r>
      <w:r w:rsidR="002D5BB0" w:rsidRPr="00222917">
        <w:rPr>
          <w:lang w:val="en-US"/>
        </w:rPr>
        <w:t>169</w:t>
      </w:r>
      <w:r w:rsidR="00984B6F" w:rsidRPr="00222917">
        <w:rPr>
          <w:lang w:val="en-US"/>
        </w:rPr>
        <w:t>-</w:t>
      </w:r>
      <w:r w:rsidR="002D5BB0" w:rsidRPr="00222917">
        <w:rPr>
          <w:lang w:val="en-US"/>
        </w:rPr>
        <w:t>171</w:t>
      </w:r>
      <w:r w:rsidR="002D5BB0" w:rsidRPr="00222917">
        <w:rPr>
          <w:bCs/>
          <w:lang w:val="en-US"/>
        </w:rPr>
        <w:t>).</w:t>
      </w:r>
    </w:p>
    <w:p w:rsidR="002D5BB0" w:rsidRPr="00222917" w:rsidRDefault="00984B6F" w:rsidP="00984B6F">
      <w:pPr>
        <w:pStyle w:val="H1G"/>
        <w:rPr>
          <w:lang w:val="en-US"/>
        </w:rPr>
      </w:pPr>
      <w:bookmarkStart w:id="279" w:name="_Toc307504161"/>
      <w:bookmarkStart w:id="280" w:name="_Toc336435933"/>
      <w:r w:rsidRPr="00222917">
        <w:rPr>
          <w:lang w:val="en-US"/>
        </w:rPr>
        <w:tab/>
      </w:r>
      <w:r w:rsidRPr="00222917">
        <w:rPr>
          <w:lang w:val="en-US"/>
        </w:rPr>
        <w:tab/>
      </w:r>
      <w:r w:rsidR="002D5BB0" w:rsidRPr="00222917">
        <w:rPr>
          <w:lang w:val="en-US"/>
        </w:rPr>
        <w:t>Paragraph 4</w:t>
      </w:r>
      <w:bookmarkEnd w:id="279"/>
      <w:bookmarkEnd w:id="280"/>
    </w:p>
    <w:p w:rsidR="002D5BB0" w:rsidRPr="00222917" w:rsidRDefault="00547908" w:rsidP="00547908">
      <w:pPr>
        <w:pStyle w:val="SingleTxtG"/>
        <w:rPr>
          <w:lang w:val="en-US"/>
        </w:rPr>
      </w:pPr>
      <w:r w:rsidRPr="00222917">
        <w:rPr>
          <w:lang w:val="en-US"/>
        </w:rPr>
        <w:t>327.</w:t>
      </w:r>
      <w:r w:rsidRPr="00222917">
        <w:rPr>
          <w:lang w:val="en-US"/>
        </w:rPr>
        <w:tab/>
      </w:r>
      <w:r w:rsidR="002D5BB0" w:rsidRPr="00222917">
        <w:rPr>
          <w:lang w:val="en-US"/>
        </w:rPr>
        <w:t xml:space="preserve">The revised bill of the </w:t>
      </w:r>
      <w:r w:rsidR="002D5BB0" w:rsidRPr="00367065">
        <w:rPr>
          <w:iCs/>
          <w:lang w:val="en-US"/>
        </w:rPr>
        <w:t>Civil Act</w:t>
      </w:r>
      <w:r w:rsidR="002D5BB0" w:rsidRPr="00222917">
        <w:rPr>
          <w:lang w:val="en-US"/>
        </w:rPr>
        <w:t xml:space="preserve"> prescribing abolishment of the mandatory waiting period for women for remarriage and establishment of the system for full adoption of a child, as mentioned in the third r</w:t>
      </w:r>
      <w:r w:rsidR="00D41B4F" w:rsidRPr="00222917">
        <w:rPr>
          <w:lang w:val="en-US"/>
        </w:rPr>
        <w:t>eport (CCPR/C/KOR/2005/3, para. </w:t>
      </w:r>
      <w:r w:rsidR="002D5BB0" w:rsidRPr="00222917">
        <w:rPr>
          <w:lang w:val="en-US"/>
        </w:rPr>
        <w:t xml:space="preserve">332), was presented to the National Assembly and was passed. </w:t>
      </w:r>
    </w:p>
    <w:p w:rsidR="002D5BB0" w:rsidRPr="00222917" w:rsidRDefault="00984B6F" w:rsidP="00984B6F">
      <w:pPr>
        <w:pStyle w:val="H23G"/>
        <w:rPr>
          <w:lang w:val="en-US"/>
        </w:rPr>
      </w:pPr>
      <w:bookmarkStart w:id="281" w:name="_Toc307504162"/>
      <w:bookmarkStart w:id="282" w:name="_Toc336435934"/>
      <w:r w:rsidRPr="00222917">
        <w:rPr>
          <w:lang w:val="en-US"/>
        </w:rPr>
        <w:tab/>
      </w:r>
      <w:r w:rsidRPr="00222917">
        <w:rPr>
          <w:lang w:val="en-US"/>
        </w:rPr>
        <w:tab/>
      </w:r>
      <w:r w:rsidR="002D5BB0" w:rsidRPr="00222917">
        <w:rPr>
          <w:lang w:val="en-US"/>
        </w:rPr>
        <w:t>Amendment of the Civil Act and the Family Litigation Act</w:t>
      </w:r>
      <w:bookmarkEnd w:id="281"/>
      <w:bookmarkEnd w:id="282"/>
    </w:p>
    <w:p w:rsidR="002D5BB0" w:rsidRPr="00222917" w:rsidRDefault="00547908" w:rsidP="00547908">
      <w:pPr>
        <w:pStyle w:val="SingleTxtG"/>
        <w:rPr>
          <w:lang w:val="en-US"/>
        </w:rPr>
      </w:pPr>
      <w:r w:rsidRPr="00222917">
        <w:rPr>
          <w:lang w:val="en-US"/>
        </w:rPr>
        <w:t>328.</w:t>
      </w:r>
      <w:r w:rsidRPr="00222917">
        <w:rPr>
          <w:lang w:val="en-US"/>
        </w:rPr>
        <w:tab/>
      </w:r>
      <w:r w:rsidR="002D5BB0" w:rsidRPr="00222917">
        <w:rPr>
          <w:lang w:val="en-US"/>
        </w:rPr>
        <w:t xml:space="preserve">On 21 December 2007, the </w:t>
      </w:r>
      <w:r w:rsidR="002D5BB0" w:rsidRPr="00367065">
        <w:rPr>
          <w:iCs/>
          <w:lang w:val="en-US"/>
        </w:rPr>
        <w:t xml:space="preserve">Civil Act </w:t>
      </w:r>
      <w:r w:rsidR="002D5BB0" w:rsidRPr="00222917">
        <w:rPr>
          <w:lang w:val="en-US"/>
        </w:rPr>
        <w:t>was amended to introduce a “cooling-off period before divorce” so that the parties to a divorce by agreement are allowed to divorce only after obtaining confirmation of the intention to divorce by agreement from the Family Court after a certain period lapses (three months for those with a child; one month fo</w:t>
      </w:r>
      <w:r w:rsidR="00D41B4F" w:rsidRPr="00222917">
        <w:rPr>
          <w:lang w:val="en-US"/>
        </w:rPr>
        <w:t>r those with no child) (</w:t>
      </w:r>
      <w:r w:rsidR="00AE0F13" w:rsidRPr="00222917">
        <w:rPr>
          <w:lang w:val="en-US"/>
        </w:rPr>
        <w:t>a</w:t>
      </w:r>
      <w:r w:rsidR="00D41B4F" w:rsidRPr="00222917">
        <w:rPr>
          <w:lang w:val="en-US"/>
        </w:rPr>
        <w:t>rticle </w:t>
      </w:r>
      <w:r w:rsidR="002D5BB0" w:rsidRPr="00222917">
        <w:rPr>
          <w:lang w:val="en-US"/>
        </w:rPr>
        <w:t xml:space="preserve">836-2 (2) and (3)). This system could prevent an indiscreet and irresponsible divorce that may arise under the present system of divorce by agreement, which requires only simple procedures to divorce. It also provides both parties opportunities to carefully deliberate and discuss ways to protect their minor children. </w:t>
      </w:r>
    </w:p>
    <w:p w:rsidR="002D5BB0" w:rsidRPr="00222917" w:rsidRDefault="00547908" w:rsidP="00547908">
      <w:pPr>
        <w:pStyle w:val="SingleTxtG"/>
        <w:rPr>
          <w:lang w:val="en-US"/>
        </w:rPr>
      </w:pPr>
      <w:r w:rsidRPr="00222917">
        <w:rPr>
          <w:lang w:val="en-US"/>
        </w:rPr>
        <w:t>329.</w:t>
      </w:r>
      <w:r w:rsidRPr="00222917">
        <w:rPr>
          <w:lang w:val="en-US"/>
        </w:rPr>
        <w:tab/>
      </w:r>
      <w:r w:rsidR="002D5BB0" w:rsidRPr="00222917">
        <w:rPr>
          <w:lang w:val="en-US"/>
        </w:rPr>
        <w:t xml:space="preserve">Considering that most women are not properly paid child rearing expenses after a divorce or separation, on 8 May 2009, the </w:t>
      </w:r>
      <w:r w:rsidR="002D5BB0" w:rsidRPr="00222917">
        <w:rPr>
          <w:iCs/>
          <w:lang w:val="en-US"/>
        </w:rPr>
        <w:t>Civil Act</w:t>
      </w:r>
      <w:r w:rsidR="002D5BB0" w:rsidRPr="00222917">
        <w:rPr>
          <w:lang w:val="en-US"/>
        </w:rPr>
        <w:t xml:space="preserve"> and the </w:t>
      </w:r>
      <w:r w:rsidR="002D5BB0" w:rsidRPr="00222917">
        <w:rPr>
          <w:iCs/>
          <w:lang w:val="en-US"/>
        </w:rPr>
        <w:t>Family Litigation Act</w:t>
      </w:r>
      <w:r w:rsidR="002D5BB0" w:rsidRPr="00222917">
        <w:rPr>
          <w:lang w:val="en-US"/>
        </w:rPr>
        <w:t xml:space="preserve"> were amended to provide legal and institutional mechanisms to compel a parent who deliberately avoids his/her responsibility for rearing a child to make child support payments for the welfare of children of a single parent. The revised law introduced the child rearing expense payment order, through which child rearing expenses are deducted upon a claimant’s request from the monthly pay of an obligor who fails to pay them more than two times without a justifiable reason. Under the </w:t>
      </w:r>
      <w:r w:rsidR="002D5BB0" w:rsidRPr="00222917">
        <w:rPr>
          <w:iCs/>
          <w:lang w:val="en-US"/>
        </w:rPr>
        <w:t>Act</w:t>
      </w:r>
      <w:r w:rsidR="002D5BB0" w:rsidRPr="00222917">
        <w:rPr>
          <w:lang w:val="en-US"/>
        </w:rPr>
        <w:t xml:space="preserve">, the “protocol for payment of child rearing expenses,” which makes terms of agreements made by both parties the ground of claim for execution, must also </w:t>
      </w:r>
      <w:r w:rsidR="00E623EE" w:rsidRPr="00222917">
        <w:rPr>
          <w:lang w:val="en-US"/>
        </w:rPr>
        <w:t>be prepared. (</w:t>
      </w:r>
      <w:r w:rsidR="00AE0F13" w:rsidRPr="00222917">
        <w:rPr>
          <w:lang w:val="en-US"/>
        </w:rPr>
        <w:t>a</w:t>
      </w:r>
      <w:r w:rsidR="00E623EE" w:rsidRPr="00222917">
        <w:rPr>
          <w:lang w:val="en-US"/>
        </w:rPr>
        <w:t>rticle </w:t>
      </w:r>
      <w:r w:rsidR="002D5BB0" w:rsidRPr="00222917">
        <w:rPr>
          <w:lang w:val="en-US"/>
        </w:rPr>
        <w:t xml:space="preserve">836-2 (5) of the </w:t>
      </w:r>
      <w:r w:rsidR="002D5BB0" w:rsidRPr="00222917">
        <w:rPr>
          <w:iCs/>
          <w:lang w:val="en-US"/>
        </w:rPr>
        <w:t>Civil Act</w:t>
      </w:r>
      <w:r w:rsidR="00E623EE" w:rsidRPr="00222917">
        <w:rPr>
          <w:lang w:val="en-US"/>
        </w:rPr>
        <w:t xml:space="preserve">; </w:t>
      </w:r>
      <w:r w:rsidR="00AE0F13" w:rsidRPr="00222917">
        <w:rPr>
          <w:lang w:val="en-US"/>
        </w:rPr>
        <w:t>a</w:t>
      </w:r>
      <w:r w:rsidR="00E623EE" w:rsidRPr="00222917">
        <w:rPr>
          <w:lang w:val="en-US"/>
        </w:rPr>
        <w:t>rticles </w:t>
      </w:r>
      <w:r w:rsidR="002D5BB0" w:rsidRPr="00222917">
        <w:rPr>
          <w:lang w:val="en-US"/>
        </w:rPr>
        <w:t>41 and 63-2</w:t>
      </w:r>
      <w:r w:rsidR="00D41B4F" w:rsidRPr="00222917">
        <w:rPr>
          <w:lang w:val="en-US"/>
        </w:rPr>
        <w:t xml:space="preserve"> </w:t>
      </w:r>
      <w:r w:rsidR="002D5BB0" w:rsidRPr="00222917">
        <w:rPr>
          <w:lang w:val="en-US"/>
        </w:rPr>
        <w:t xml:space="preserve">of the </w:t>
      </w:r>
      <w:r w:rsidR="002D5BB0" w:rsidRPr="00222917">
        <w:rPr>
          <w:iCs/>
          <w:lang w:val="en-US"/>
        </w:rPr>
        <w:t>Family Litigation Act</w:t>
      </w:r>
      <w:r w:rsidR="002D5BB0" w:rsidRPr="00222917">
        <w:rPr>
          <w:lang w:val="en-US"/>
        </w:rPr>
        <w:t xml:space="preserve">). </w:t>
      </w:r>
    </w:p>
    <w:p w:rsidR="002D5BB0" w:rsidRPr="00222917" w:rsidRDefault="00547908" w:rsidP="00547908">
      <w:pPr>
        <w:pStyle w:val="SingleTxtG"/>
        <w:rPr>
          <w:lang w:val="en-US"/>
        </w:rPr>
      </w:pPr>
      <w:r w:rsidRPr="00222917">
        <w:rPr>
          <w:lang w:val="en-US"/>
        </w:rPr>
        <w:t>330.</w:t>
      </w:r>
      <w:r w:rsidRPr="00222917">
        <w:rPr>
          <w:lang w:val="en-US"/>
        </w:rPr>
        <w:tab/>
      </w:r>
      <w:r w:rsidR="002D5BB0" w:rsidRPr="00222917">
        <w:rPr>
          <w:lang w:val="en-US"/>
        </w:rPr>
        <w:t>There are many cases where people secretly adopt a newborn child and register the child as their own due to the tremendous importance that society places on lineage. There are clearly strong needs to discourage such practice and to realize the welfare of children from previous marriages of remarried couples. To satisfy such needs, on 31 March 2005, the full child adoption system was introduced to abolish discrimination between an adopted child and one’s own child, and uphold the welfar</w:t>
      </w:r>
      <w:r w:rsidR="00E623EE" w:rsidRPr="00222917">
        <w:rPr>
          <w:lang w:val="en-US"/>
        </w:rPr>
        <w:t>e of an adopted child (</w:t>
      </w:r>
      <w:r w:rsidR="00AE0F13" w:rsidRPr="00222917">
        <w:rPr>
          <w:lang w:val="en-US"/>
        </w:rPr>
        <w:t>a</w:t>
      </w:r>
      <w:r w:rsidR="00E623EE" w:rsidRPr="00222917">
        <w:rPr>
          <w:lang w:val="en-US"/>
        </w:rPr>
        <w:t>rticles </w:t>
      </w:r>
      <w:r w:rsidR="002D5BB0" w:rsidRPr="00222917">
        <w:rPr>
          <w:lang w:val="en-US"/>
        </w:rPr>
        <w:t>908-2 through 908-8).</w:t>
      </w:r>
    </w:p>
    <w:p w:rsidR="002D5BB0" w:rsidRPr="00222917" w:rsidRDefault="00547908" w:rsidP="00547908">
      <w:pPr>
        <w:pStyle w:val="SingleTxtG"/>
        <w:rPr>
          <w:lang w:val="en-US"/>
        </w:rPr>
      </w:pPr>
      <w:r w:rsidRPr="00222917">
        <w:rPr>
          <w:lang w:val="en-US"/>
        </w:rPr>
        <w:t>331.</w:t>
      </w:r>
      <w:r w:rsidRPr="00222917">
        <w:rPr>
          <w:lang w:val="en-US"/>
        </w:rPr>
        <w:tab/>
      </w:r>
      <w:r w:rsidR="002D5BB0" w:rsidRPr="00222917">
        <w:rPr>
          <w:lang w:val="en-US"/>
        </w:rPr>
        <w:t xml:space="preserve">With the proliferation of remarriage, many children from previous marriages do not have the same surnames </w:t>
      </w:r>
      <w:r w:rsidR="00AE0F13" w:rsidRPr="00222917">
        <w:rPr>
          <w:lang w:val="en-US"/>
        </w:rPr>
        <w:t>as</w:t>
      </w:r>
      <w:r w:rsidR="002D5BB0" w:rsidRPr="00222917">
        <w:rPr>
          <w:lang w:val="en-US"/>
        </w:rPr>
        <w:t xml:space="preserve"> their stepfathers, which causes psychological suffering. To</w:t>
      </w:r>
      <w:r w:rsidR="00D41B4F" w:rsidRPr="00222917">
        <w:rPr>
          <w:lang w:val="en-US"/>
        </w:rPr>
        <w:t> </w:t>
      </w:r>
      <w:r w:rsidR="002D5BB0" w:rsidRPr="00222917">
        <w:rPr>
          <w:lang w:val="en-US"/>
        </w:rPr>
        <w:t xml:space="preserve">protect these children, on 31 March 2005, the </w:t>
      </w:r>
      <w:r w:rsidR="002D5BB0" w:rsidRPr="00222917">
        <w:rPr>
          <w:iCs/>
          <w:lang w:val="en-US"/>
        </w:rPr>
        <w:t xml:space="preserve">Civil Act </w:t>
      </w:r>
      <w:r w:rsidR="002D5BB0" w:rsidRPr="00222917">
        <w:rPr>
          <w:lang w:val="en-US"/>
        </w:rPr>
        <w:t>was amended so that a child may assume the mother’s surname and family origin even though the child, in principle, should assume his/her father’s surname and family origin, if the parents agree thereto when they file a report of their marriage. If necessary for the welfare of a child, the child’s surname and family origin may be altered with the</w:t>
      </w:r>
      <w:r w:rsidR="00E623EE" w:rsidRPr="00222917">
        <w:rPr>
          <w:lang w:val="en-US"/>
        </w:rPr>
        <w:t xml:space="preserve"> approval of the court (</w:t>
      </w:r>
      <w:r w:rsidR="00AE0F13" w:rsidRPr="00222917">
        <w:rPr>
          <w:lang w:val="en-US"/>
        </w:rPr>
        <w:t>a</w:t>
      </w:r>
      <w:r w:rsidR="00E623EE" w:rsidRPr="00222917">
        <w:rPr>
          <w:lang w:val="en-US"/>
        </w:rPr>
        <w:t>rticle </w:t>
      </w:r>
      <w:r w:rsidR="002D5BB0" w:rsidRPr="00222917">
        <w:rPr>
          <w:lang w:val="en-US"/>
        </w:rPr>
        <w:t>781</w:t>
      </w:r>
      <w:r w:rsidR="00E623EE" w:rsidRPr="00222917">
        <w:rPr>
          <w:lang w:val="en-US"/>
        </w:rPr>
        <w:t> </w:t>
      </w:r>
      <w:r w:rsidR="002D5BB0" w:rsidRPr="00222917">
        <w:rPr>
          <w:lang w:val="en-US"/>
        </w:rPr>
        <w:t xml:space="preserve">(1) and (6)). </w:t>
      </w:r>
    </w:p>
    <w:p w:rsidR="002D5BB0" w:rsidRPr="00222917" w:rsidRDefault="00547908" w:rsidP="00547908">
      <w:pPr>
        <w:pStyle w:val="SingleTxtG"/>
        <w:rPr>
          <w:lang w:val="en-US"/>
        </w:rPr>
      </w:pPr>
      <w:r w:rsidRPr="00222917">
        <w:rPr>
          <w:lang w:val="en-US"/>
        </w:rPr>
        <w:t>332.</w:t>
      </w:r>
      <w:r w:rsidRPr="00222917">
        <w:rPr>
          <w:lang w:val="en-US"/>
        </w:rPr>
        <w:tab/>
      </w:r>
      <w:r w:rsidR="002D5BB0" w:rsidRPr="00222917">
        <w:rPr>
          <w:lang w:val="en-US"/>
        </w:rPr>
        <w:t>On 22 December 2005, the Constitutional Court ruled tha</w:t>
      </w:r>
      <w:r w:rsidR="00E623EE" w:rsidRPr="00222917">
        <w:rPr>
          <w:lang w:val="en-US"/>
        </w:rPr>
        <w:t xml:space="preserve">t in the main clause of </w:t>
      </w:r>
      <w:r w:rsidR="00AE0F13" w:rsidRPr="00222917">
        <w:rPr>
          <w:lang w:val="en-US"/>
        </w:rPr>
        <w:t>a</w:t>
      </w:r>
      <w:r w:rsidR="00E623EE" w:rsidRPr="00222917">
        <w:rPr>
          <w:lang w:val="en-US"/>
        </w:rPr>
        <w:t>rticle </w:t>
      </w:r>
      <w:r w:rsidR="002D5BB0" w:rsidRPr="00222917">
        <w:rPr>
          <w:lang w:val="en-US"/>
        </w:rPr>
        <w:t>781</w:t>
      </w:r>
      <w:r w:rsidR="00E623EE" w:rsidRPr="00222917">
        <w:rPr>
          <w:lang w:val="en-US"/>
        </w:rPr>
        <w:t> </w:t>
      </w:r>
      <w:r w:rsidR="002D5BB0" w:rsidRPr="00222917">
        <w:rPr>
          <w:lang w:val="en-US"/>
        </w:rPr>
        <w:t xml:space="preserve">(1) of the </w:t>
      </w:r>
      <w:r w:rsidR="002D5BB0" w:rsidRPr="00222917">
        <w:rPr>
          <w:iCs/>
          <w:lang w:val="en-US"/>
        </w:rPr>
        <w:t>Civil Act</w:t>
      </w:r>
      <w:r w:rsidR="002D5BB0" w:rsidRPr="00222917">
        <w:rPr>
          <w:lang w:val="en-US"/>
        </w:rPr>
        <w:t>, which was in force before amendment, the phrase “a child shall assume his/her father’s surname and family origin” was unconstitutional because the principle of paternity, in itself, is not unconstitutional, but exceptions to paternity are too limited (2003 HUN-GA</w:t>
      </w:r>
      <w:r w:rsidR="002D5BB0" w:rsidRPr="00222917">
        <w:rPr>
          <w:i/>
          <w:lang w:val="en-US"/>
        </w:rPr>
        <w:t xml:space="preserve"> </w:t>
      </w:r>
      <w:r w:rsidR="002D5BB0" w:rsidRPr="00222917">
        <w:rPr>
          <w:lang w:val="en-US"/>
        </w:rPr>
        <w:t>5 and 6 combined).</w:t>
      </w:r>
    </w:p>
    <w:p w:rsidR="002D5BB0" w:rsidRPr="00222917" w:rsidRDefault="00984B6F" w:rsidP="00984B6F">
      <w:pPr>
        <w:pStyle w:val="H23G"/>
        <w:rPr>
          <w:lang w:val="en-US"/>
        </w:rPr>
      </w:pPr>
      <w:bookmarkStart w:id="283" w:name="_Toc307504163"/>
      <w:bookmarkStart w:id="284" w:name="_Toc336435935"/>
      <w:r w:rsidRPr="00222917">
        <w:rPr>
          <w:lang w:val="en-US"/>
        </w:rPr>
        <w:tab/>
      </w:r>
      <w:r w:rsidRPr="00222917">
        <w:rPr>
          <w:lang w:val="en-US"/>
        </w:rPr>
        <w:tab/>
      </w:r>
      <w:r w:rsidR="002D5BB0" w:rsidRPr="00222917">
        <w:rPr>
          <w:lang w:val="en-US"/>
        </w:rPr>
        <w:t>Strengthening Systems to Protect Human Rights of Migrant Women</w:t>
      </w:r>
      <w:bookmarkEnd w:id="283"/>
      <w:bookmarkEnd w:id="284"/>
    </w:p>
    <w:p w:rsidR="002D5BB0" w:rsidRPr="00222917" w:rsidRDefault="00547908" w:rsidP="00547908">
      <w:pPr>
        <w:pStyle w:val="SingleTxtG"/>
        <w:rPr>
          <w:lang w:val="en-US"/>
        </w:rPr>
      </w:pPr>
      <w:r w:rsidRPr="00222917">
        <w:rPr>
          <w:lang w:val="en-US"/>
        </w:rPr>
        <w:t>333.</w:t>
      </w:r>
      <w:r w:rsidRPr="00222917">
        <w:rPr>
          <w:lang w:val="en-US"/>
        </w:rPr>
        <w:tab/>
      </w:r>
      <w:r w:rsidR="002D5BB0" w:rsidRPr="00222917">
        <w:rPr>
          <w:lang w:val="en-US"/>
        </w:rPr>
        <w:t>The Government established and operates the “</w:t>
      </w:r>
      <w:smartTag w:uri="urn:schemas-microsoft-com:office:smarttags" w:element="place">
        <w:smartTag w:uri="urn:schemas-microsoft-com:office:smarttags" w:element="PlaceName">
          <w:r w:rsidR="002D5BB0" w:rsidRPr="00222917">
            <w:rPr>
              <w:lang w:val="en-US"/>
            </w:rPr>
            <w:t>Migrant</w:t>
          </w:r>
        </w:smartTag>
        <w:r w:rsidR="002D5BB0" w:rsidRPr="00222917">
          <w:rPr>
            <w:lang w:val="en-US"/>
          </w:rPr>
          <w:t xml:space="preserve"> </w:t>
        </w:r>
        <w:smartTag w:uri="urn:schemas-microsoft-com:office:smarttags" w:element="PlaceName">
          <w:r w:rsidR="002D5BB0" w:rsidRPr="00222917">
            <w:rPr>
              <w:lang w:val="en-US"/>
            </w:rPr>
            <w:t>Women</w:t>
          </w:r>
        </w:smartTag>
        <w:r w:rsidR="002D5BB0" w:rsidRPr="00222917">
          <w:rPr>
            <w:lang w:val="en-US"/>
          </w:rPr>
          <w:t xml:space="preserve"> </w:t>
        </w:r>
        <w:smartTag w:uri="urn:schemas-microsoft-com:office:smarttags" w:element="PlaceName">
          <w:r w:rsidR="002D5BB0" w:rsidRPr="00222917">
            <w:rPr>
              <w:lang w:val="en-US"/>
            </w:rPr>
            <w:t>Hotline</w:t>
          </w:r>
        </w:smartTag>
        <w:r w:rsidR="002D5BB0" w:rsidRPr="00222917">
          <w:rPr>
            <w:lang w:val="en-US"/>
          </w:rPr>
          <w:t xml:space="preserve"> </w:t>
        </w:r>
        <w:smartTag w:uri="urn:schemas-microsoft-com:office:smarttags" w:element="PlaceType">
          <w:r w:rsidR="002D5BB0" w:rsidRPr="00222917">
            <w:rPr>
              <w:lang w:val="en-US"/>
            </w:rPr>
            <w:t>Center</w:t>
          </w:r>
        </w:smartTag>
      </w:smartTag>
      <w:r w:rsidR="002D5BB0" w:rsidRPr="00222917">
        <w:rPr>
          <w:lang w:val="en-US"/>
        </w:rPr>
        <w:t xml:space="preserve"> 1577-1366” with one central center and four regional centers to provide assistance to migrant women experiencing abuse from their spouses. In addition, 18 protective facilities for migrant women violently abused (“Migrant Women Shelter”) are operated across the country to provide mid- and long-term protection services for migrant women and their accompanying children who need emergency protection from violence. The Government also implements the Happy International Marriage Programs for men who wish to marry a person of a different nationality to understand cultural differences and gender equality so as to prevent domestic violence and help them make a happy home through inter-racial marriage. In 2009, the Happy International Marriage Programs were carried out across the country for 2,670 men interested in international marriage or who married women of different nationalities. </w:t>
      </w:r>
    </w:p>
    <w:p w:rsidR="002D5BB0" w:rsidRPr="00222917" w:rsidRDefault="00984B6F" w:rsidP="00984B6F">
      <w:pPr>
        <w:pStyle w:val="H23G"/>
        <w:rPr>
          <w:b w:val="0"/>
          <w:sz w:val="16"/>
          <w:szCs w:val="16"/>
          <w:lang w:val="en-US"/>
        </w:rPr>
      </w:pPr>
      <w:r w:rsidRPr="00222917">
        <w:rPr>
          <w:lang w:val="en-US"/>
        </w:rPr>
        <w:tab/>
      </w:r>
      <w:r w:rsidRPr="00222917">
        <w:rPr>
          <w:lang w:val="en-US"/>
        </w:rPr>
        <w:tab/>
      </w:r>
      <w:r w:rsidR="002D5BB0" w:rsidRPr="00222917">
        <w:rPr>
          <w:lang w:val="en-US"/>
        </w:rPr>
        <w:t xml:space="preserve">Monthly Average Counseling Sessions at the </w:t>
      </w:r>
      <w:smartTag w:uri="urn:schemas-microsoft-com:office:smarttags" w:element="place">
        <w:smartTag w:uri="urn:schemas-microsoft-com:office:smarttags" w:element="PlaceName">
          <w:r w:rsidR="002D5BB0" w:rsidRPr="00222917">
            <w:rPr>
              <w:lang w:val="en-US"/>
            </w:rPr>
            <w:t>Migrant</w:t>
          </w:r>
        </w:smartTag>
        <w:r w:rsidR="002D5BB0" w:rsidRPr="00222917">
          <w:rPr>
            <w:lang w:val="en-US"/>
          </w:rPr>
          <w:t xml:space="preserve"> </w:t>
        </w:r>
        <w:smartTag w:uri="urn:schemas-microsoft-com:office:smarttags" w:element="PlaceName">
          <w:r w:rsidR="002D5BB0" w:rsidRPr="00222917">
            <w:rPr>
              <w:lang w:val="en-US"/>
            </w:rPr>
            <w:t>Women</w:t>
          </w:r>
        </w:smartTag>
        <w:r w:rsidR="002D5BB0" w:rsidRPr="00222917">
          <w:rPr>
            <w:lang w:val="en-US"/>
          </w:rPr>
          <w:t xml:space="preserve"> </w:t>
        </w:r>
        <w:smartTag w:uri="urn:schemas-microsoft-com:office:smarttags" w:element="PlaceName">
          <w:r w:rsidR="002D5BB0" w:rsidRPr="00222917">
            <w:rPr>
              <w:lang w:val="en-US"/>
            </w:rPr>
            <w:t>Hotline</w:t>
          </w:r>
        </w:smartTag>
        <w:r w:rsidR="002D5BB0" w:rsidRPr="00222917">
          <w:rPr>
            <w:lang w:val="en-US"/>
          </w:rPr>
          <w:t xml:space="preserve"> </w:t>
        </w:r>
        <w:smartTag w:uri="urn:schemas-microsoft-com:office:smarttags" w:element="PlaceType">
          <w:r w:rsidR="002D5BB0" w:rsidRPr="00222917">
            <w:rPr>
              <w:lang w:val="en-US"/>
            </w:rPr>
            <w:t>Center</w:t>
          </w:r>
        </w:smartTag>
      </w:smartTag>
      <w:r w:rsidR="002D5BB0" w:rsidRPr="00222917">
        <w:rPr>
          <w:lang w:val="en-US"/>
        </w:rPr>
        <w:t xml:space="preserve"> </w:t>
      </w:r>
      <w:r w:rsidRPr="00222917">
        <w:rPr>
          <w:lang w:val="en-US"/>
        </w:rPr>
        <w:br/>
      </w:r>
      <w:r w:rsidR="002D5BB0" w:rsidRPr="00222917">
        <w:rPr>
          <w:lang w:val="en-US"/>
        </w:rPr>
        <w:t>1577-1366</w:t>
      </w:r>
      <w:r w:rsidRPr="00222917">
        <w:rPr>
          <w:lang w:val="en-US"/>
        </w:rPr>
        <w:br/>
      </w:r>
      <w:r w:rsidR="002D5BB0" w:rsidRPr="00222917">
        <w:rPr>
          <w:b w:val="0"/>
          <w:sz w:val="16"/>
          <w:szCs w:val="16"/>
          <w:lang w:val="en-US"/>
        </w:rPr>
        <w:t>(Number of sessions)</w:t>
      </w:r>
    </w:p>
    <w:tbl>
      <w:tblPr>
        <w:tblW w:w="0" w:type="auto"/>
        <w:tblInd w:w="1134" w:type="dxa"/>
        <w:tblBorders>
          <w:top w:val="single" w:sz="4" w:space="0" w:color="auto"/>
          <w:bottom w:val="single" w:sz="12" w:space="0" w:color="auto"/>
          <w:insideH w:val="single" w:sz="12" w:space="0" w:color="auto"/>
        </w:tblBorders>
        <w:tblLayout w:type="fixed"/>
        <w:tblCellMar>
          <w:left w:w="0" w:type="dxa"/>
          <w:right w:w="0" w:type="dxa"/>
        </w:tblCellMar>
        <w:tblLook w:val="00A0"/>
      </w:tblPr>
      <w:tblGrid>
        <w:gridCol w:w="3119"/>
        <w:gridCol w:w="851"/>
        <w:gridCol w:w="851"/>
        <w:gridCol w:w="851"/>
        <w:gridCol w:w="851"/>
        <w:gridCol w:w="851"/>
      </w:tblGrid>
      <w:tr w:rsidR="008F6543" w:rsidRPr="00222917" w:rsidTr="00D41B4F">
        <w:trPr>
          <w:tblHeader/>
        </w:trPr>
        <w:tc>
          <w:tcPr>
            <w:tcW w:w="3119" w:type="dxa"/>
            <w:shd w:val="clear" w:color="auto" w:fill="auto"/>
            <w:tcMar>
              <w:top w:w="28" w:type="dxa"/>
              <w:left w:w="102" w:type="dxa"/>
              <w:bottom w:w="28" w:type="dxa"/>
              <w:right w:w="102" w:type="dxa"/>
            </w:tcMar>
            <w:vAlign w:val="bottom"/>
          </w:tcPr>
          <w:p w:rsidR="002D5BB0" w:rsidRPr="00222917" w:rsidRDefault="002D5BB0" w:rsidP="00D41B4F">
            <w:pPr>
              <w:pStyle w:val="SingleTxtG"/>
              <w:suppressAutoHyphens w:val="0"/>
              <w:spacing w:before="80" w:after="80" w:line="200" w:lineRule="exact"/>
              <w:ind w:left="0" w:right="0"/>
              <w:jc w:val="left"/>
              <w:rPr>
                <w:i/>
                <w:sz w:val="16"/>
                <w:lang w:val="en-US"/>
              </w:rPr>
            </w:pPr>
            <w:r w:rsidRPr="00222917">
              <w:rPr>
                <w:bCs/>
                <w:i/>
                <w:sz w:val="16"/>
                <w:lang w:val="en-US"/>
              </w:rPr>
              <w:t>Year</w:t>
            </w:r>
          </w:p>
        </w:tc>
        <w:tc>
          <w:tcPr>
            <w:tcW w:w="851" w:type="dxa"/>
            <w:shd w:val="clear" w:color="auto" w:fill="auto"/>
            <w:tcMar>
              <w:top w:w="28" w:type="dxa"/>
              <w:left w:w="102" w:type="dxa"/>
              <w:bottom w:w="28" w:type="dxa"/>
              <w:right w:w="102" w:type="dxa"/>
            </w:tcMar>
            <w:vAlign w:val="bottom"/>
          </w:tcPr>
          <w:p w:rsidR="002D5BB0" w:rsidRPr="00222917" w:rsidRDefault="002D5BB0" w:rsidP="00D41B4F">
            <w:pPr>
              <w:pStyle w:val="SingleTxtG"/>
              <w:suppressAutoHyphens w:val="0"/>
              <w:spacing w:before="80" w:after="80" w:line="200" w:lineRule="exact"/>
              <w:ind w:left="0" w:right="0"/>
              <w:jc w:val="right"/>
              <w:rPr>
                <w:i/>
                <w:sz w:val="16"/>
                <w:lang w:val="en-US"/>
              </w:rPr>
            </w:pPr>
            <w:r w:rsidRPr="00222917">
              <w:rPr>
                <w:bCs/>
                <w:i/>
                <w:sz w:val="16"/>
                <w:lang w:val="en-US"/>
              </w:rPr>
              <w:t>2006</w:t>
            </w:r>
          </w:p>
        </w:tc>
        <w:tc>
          <w:tcPr>
            <w:tcW w:w="851" w:type="dxa"/>
            <w:shd w:val="clear" w:color="auto" w:fill="auto"/>
            <w:tcMar>
              <w:top w:w="28" w:type="dxa"/>
              <w:left w:w="102" w:type="dxa"/>
              <w:bottom w:w="28" w:type="dxa"/>
              <w:right w:w="102" w:type="dxa"/>
            </w:tcMar>
            <w:vAlign w:val="bottom"/>
          </w:tcPr>
          <w:p w:rsidR="002D5BB0" w:rsidRPr="00222917" w:rsidRDefault="002D5BB0" w:rsidP="00D41B4F">
            <w:pPr>
              <w:pStyle w:val="SingleTxtG"/>
              <w:suppressAutoHyphens w:val="0"/>
              <w:spacing w:before="80" w:after="80" w:line="200" w:lineRule="exact"/>
              <w:ind w:left="0" w:right="0"/>
              <w:jc w:val="right"/>
              <w:rPr>
                <w:i/>
                <w:sz w:val="16"/>
                <w:lang w:val="en-US"/>
              </w:rPr>
            </w:pPr>
            <w:r w:rsidRPr="00222917">
              <w:rPr>
                <w:bCs/>
                <w:i/>
                <w:sz w:val="16"/>
                <w:lang w:val="en-US"/>
              </w:rPr>
              <w:t>2007</w:t>
            </w:r>
          </w:p>
        </w:tc>
        <w:tc>
          <w:tcPr>
            <w:tcW w:w="851" w:type="dxa"/>
            <w:shd w:val="clear" w:color="auto" w:fill="auto"/>
            <w:tcMar>
              <w:top w:w="28" w:type="dxa"/>
              <w:left w:w="102" w:type="dxa"/>
              <w:bottom w:w="28" w:type="dxa"/>
              <w:right w:w="102" w:type="dxa"/>
            </w:tcMar>
            <w:vAlign w:val="bottom"/>
          </w:tcPr>
          <w:p w:rsidR="002D5BB0" w:rsidRPr="00222917" w:rsidRDefault="002D5BB0" w:rsidP="00D41B4F">
            <w:pPr>
              <w:pStyle w:val="SingleTxtG"/>
              <w:suppressAutoHyphens w:val="0"/>
              <w:spacing w:before="80" w:after="80" w:line="200" w:lineRule="exact"/>
              <w:ind w:left="0" w:right="0"/>
              <w:jc w:val="right"/>
              <w:rPr>
                <w:i/>
                <w:sz w:val="16"/>
                <w:lang w:val="en-US"/>
              </w:rPr>
            </w:pPr>
            <w:r w:rsidRPr="00222917">
              <w:rPr>
                <w:bCs/>
                <w:i/>
                <w:sz w:val="16"/>
                <w:lang w:val="en-US"/>
              </w:rPr>
              <w:t>2008</w:t>
            </w:r>
          </w:p>
        </w:tc>
        <w:tc>
          <w:tcPr>
            <w:tcW w:w="851" w:type="dxa"/>
            <w:shd w:val="clear" w:color="auto" w:fill="auto"/>
            <w:tcMar>
              <w:top w:w="28" w:type="dxa"/>
              <w:left w:w="102" w:type="dxa"/>
              <w:bottom w:w="28" w:type="dxa"/>
              <w:right w:w="102" w:type="dxa"/>
            </w:tcMar>
            <w:vAlign w:val="bottom"/>
          </w:tcPr>
          <w:p w:rsidR="002D5BB0" w:rsidRPr="00222917" w:rsidRDefault="002D5BB0" w:rsidP="00D41B4F">
            <w:pPr>
              <w:pStyle w:val="SingleTxtG"/>
              <w:suppressAutoHyphens w:val="0"/>
              <w:spacing w:before="80" w:after="80" w:line="200" w:lineRule="exact"/>
              <w:ind w:left="0" w:right="0"/>
              <w:jc w:val="right"/>
              <w:rPr>
                <w:i/>
                <w:sz w:val="16"/>
                <w:lang w:val="en-US"/>
              </w:rPr>
            </w:pPr>
            <w:r w:rsidRPr="00222917">
              <w:rPr>
                <w:bCs/>
                <w:i/>
                <w:sz w:val="16"/>
                <w:lang w:val="en-US"/>
              </w:rPr>
              <w:t>2009</w:t>
            </w:r>
          </w:p>
        </w:tc>
        <w:tc>
          <w:tcPr>
            <w:tcW w:w="851" w:type="dxa"/>
            <w:shd w:val="clear" w:color="auto" w:fill="auto"/>
            <w:vAlign w:val="bottom"/>
          </w:tcPr>
          <w:p w:rsidR="002D5BB0" w:rsidRPr="00222917" w:rsidRDefault="002D5BB0" w:rsidP="00D41B4F">
            <w:pPr>
              <w:pStyle w:val="SingleTxtG"/>
              <w:suppressAutoHyphens w:val="0"/>
              <w:spacing w:before="80" w:after="80" w:line="200" w:lineRule="exact"/>
              <w:ind w:left="0" w:right="0"/>
              <w:jc w:val="right"/>
              <w:rPr>
                <w:bCs/>
                <w:i/>
                <w:sz w:val="16"/>
                <w:lang w:val="en-US"/>
              </w:rPr>
            </w:pPr>
            <w:r w:rsidRPr="00222917">
              <w:rPr>
                <w:bCs/>
                <w:i/>
                <w:sz w:val="16"/>
                <w:lang w:val="en-US"/>
              </w:rPr>
              <w:t>2010</w:t>
            </w:r>
          </w:p>
        </w:tc>
      </w:tr>
      <w:tr w:rsidR="008F6543" w:rsidRPr="00222917" w:rsidTr="00D41B4F">
        <w:tc>
          <w:tcPr>
            <w:tcW w:w="3119" w:type="dxa"/>
            <w:shd w:val="clear" w:color="auto" w:fill="auto"/>
            <w:tcMar>
              <w:top w:w="28" w:type="dxa"/>
              <w:left w:w="102" w:type="dxa"/>
              <w:bottom w:w="28" w:type="dxa"/>
              <w:right w:w="102" w:type="dxa"/>
            </w:tcMar>
          </w:tcPr>
          <w:p w:rsidR="002D5BB0" w:rsidRPr="00222917" w:rsidRDefault="002D5BB0" w:rsidP="00D41B4F">
            <w:pPr>
              <w:pStyle w:val="SingleTxtG"/>
              <w:suppressAutoHyphens w:val="0"/>
              <w:spacing w:before="40" w:after="40" w:line="220" w:lineRule="exact"/>
              <w:ind w:left="0" w:right="0"/>
              <w:jc w:val="left"/>
              <w:rPr>
                <w:sz w:val="18"/>
                <w:lang w:val="en-US"/>
              </w:rPr>
            </w:pPr>
            <w:r w:rsidRPr="00222917">
              <w:rPr>
                <w:sz w:val="18"/>
                <w:lang w:val="en-US"/>
              </w:rPr>
              <w:t xml:space="preserve">Number of monthly average </w:t>
            </w:r>
            <w:r w:rsidR="00D41B4F" w:rsidRPr="00222917">
              <w:rPr>
                <w:sz w:val="18"/>
                <w:lang w:val="en-US"/>
              </w:rPr>
              <w:br/>
            </w:r>
            <w:r w:rsidRPr="00222917">
              <w:rPr>
                <w:sz w:val="18"/>
                <w:lang w:val="en-US"/>
              </w:rPr>
              <w:t>counseling sessions</w:t>
            </w:r>
          </w:p>
        </w:tc>
        <w:tc>
          <w:tcPr>
            <w:tcW w:w="851" w:type="dxa"/>
            <w:shd w:val="clear" w:color="auto" w:fill="auto"/>
            <w:tcMar>
              <w:top w:w="28" w:type="dxa"/>
              <w:left w:w="102" w:type="dxa"/>
              <w:bottom w:w="28" w:type="dxa"/>
              <w:right w:w="102" w:type="dxa"/>
            </w:tcMar>
            <w:vAlign w:val="bottom"/>
          </w:tcPr>
          <w:p w:rsidR="002D5BB0" w:rsidRPr="00222917" w:rsidRDefault="002D5BB0" w:rsidP="00D41B4F">
            <w:pPr>
              <w:pStyle w:val="SingleTxtG"/>
              <w:suppressAutoHyphens w:val="0"/>
              <w:spacing w:before="40" w:after="40" w:line="220" w:lineRule="exact"/>
              <w:ind w:left="0" w:right="0"/>
              <w:jc w:val="right"/>
              <w:rPr>
                <w:sz w:val="18"/>
                <w:lang w:val="en-US"/>
              </w:rPr>
            </w:pPr>
            <w:r w:rsidRPr="00222917">
              <w:rPr>
                <w:sz w:val="18"/>
                <w:lang w:val="en-US"/>
              </w:rPr>
              <w:t>382</w:t>
            </w:r>
          </w:p>
        </w:tc>
        <w:tc>
          <w:tcPr>
            <w:tcW w:w="851" w:type="dxa"/>
            <w:shd w:val="clear" w:color="auto" w:fill="auto"/>
            <w:tcMar>
              <w:top w:w="28" w:type="dxa"/>
              <w:left w:w="102" w:type="dxa"/>
              <w:bottom w:w="28" w:type="dxa"/>
              <w:right w:w="102" w:type="dxa"/>
            </w:tcMar>
            <w:vAlign w:val="bottom"/>
          </w:tcPr>
          <w:p w:rsidR="002D5BB0" w:rsidRPr="00222917" w:rsidRDefault="002D5BB0" w:rsidP="00D41B4F">
            <w:pPr>
              <w:pStyle w:val="SingleTxtG"/>
              <w:suppressAutoHyphens w:val="0"/>
              <w:spacing w:before="40" w:after="40" w:line="220" w:lineRule="exact"/>
              <w:ind w:left="0" w:right="0"/>
              <w:jc w:val="right"/>
              <w:rPr>
                <w:sz w:val="18"/>
                <w:lang w:val="en-US"/>
              </w:rPr>
            </w:pPr>
            <w:r w:rsidRPr="00222917">
              <w:rPr>
                <w:sz w:val="18"/>
                <w:lang w:val="en-US"/>
              </w:rPr>
              <w:t>1,106</w:t>
            </w:r>
          </w:p>
        </w:tc>
        <w:tc>
          <w:tcPr>
            <w:tcW w:w="851" w:type="dxa"/>
            <w:shd w:val="clear" w:color="auto" w:fill="auto"/>
            <w:tcMar>
              <w:top w:w="28" w:type="dxa"/>
              <w:left w:w="102" w:type="dxa"/>
              <w:bottom w:w="28" w:type="dxa"/>
              <w:right w:w="102" w:type="dxa"/>
            </w:tcMar>
            <w:vAlign w:val="bottom"/>
          </w:tcPr>
          <w:p w:rsidR="002D5BB0" w:rsidRPr="00222917" w:rsidRDefault="002D5BB0" w:rsidP="00D41B4F">
            <w:pPr>
              <w:pStyle w:val="SingleTxtG"/>
              <w:suppressAutoHyphens w:val="0"/>
              <w:spacing w:before="40" w:after="40" w:line="220" w:lineRule="exact"/>
              <w:ind w:left="0" w:right="0"/>
              <w:jc w:val="right"/>
              <w:rPr>
                <w:sz w:val="18"/>
                <w:lang w:val="en-US"/>
              </w:rPr>
            </w:pPr>
            <w:r w:rsidRPr="00222917">
              <w:rPr>
                <w:sz w:val="18"/>
                <w:lang w:val="en-US"/>
              </w:rPr>
              <w:t>1,660</w:t>
            </w:r>
          </w:p>
        </w:tc>
        <w:tc>
          <w:tcPr>
            <w:tcW w:w="851" w:type="dxa"/>
            <w:shd w:val="clear" w:color="auto" w:fill="auto"/>
            <w:tcMar>
              <w:top w:w="28" w:type="dxa"/>
              <w:left w:w="102" w:type="dxa"/>
              <w:bottom w:w="28" w:type="dxa"/>
              <w:right w:w="102" w:type="dxa"/>
            </w:tcMar>
            <w:vAlign w:val="bottom"/>
          </w:tcPr>
          <w:p w:rsidR="002D5BB0" w:rsidRPr="00222917" w:rsidRDefault="002D5BB0" w:rsidP="00D41B4F">
            <w:pPr>
              <w:pStyle w:val="SingleTxtG"/>
              <w:suppressAutoHyphens w:val="0"/>
              <w:spacing w:before="40" w:after="40" w:line="220" w:lineRule="exact"/>
              <w:ind w:left="0" w:right="0"/>
              <w:jc w:val="right"/>
              <w:rPr>
                <w:sz w:val="18"/>
                <w:lang w:val="en-US"/>
              </w:rPr>
            </w:pPr>
            <w:r w:rsidRPr="00222917">
              <w:rPr>
                <w:sz w:val="18"/>
                <w:lang w:val="en-US"/>
              </w:rPr>
              <w:t>3,621</w:t>
            </w:r>
          </w:p>
        </w:tc>
        <w:tc>
          <w:tcPr>
            <w:tcW w:w="851" w:type="dxa"/>
            <w:shd w:val="clear" w:color="auto" w:fill="auto"/>
            <w:vAlign w:val="bottom"/>
          </w:tcPr>
          <w:p w:rsidR="002D5BB0" w:rsidRPr="00222917" w:rsidRDefault="002D5BB0" w:rsidP="00D41B4F">
            <w:pPr>
              <w:pStyle w:val="SingleTxtG"/>
              <w:suppressAutoHyphens w:val="0"/>
              <w:spacing w:before="40" w:after="40" w:line="220" w:lineRule="exact"/>
              <w:ind w:left="0" w:right="0"/>
              <w:jc w:val="right"/>
              <w:rPr>
                <w:sz w:val="18"/>
                <w:lang w:val="en-US"/>
              </w:rPr>
            </w:pPr>
            <w:r w:rsidRPr="00222917">
              <w:rPr>
                <w:sz w:val="18"/>
                <w:lang w:val="en-US"/>
              </w:rPr>
              <w:t>4,512</w:t>
            </w:r>
          </w:p>
        </w:tc>
      </w:tr>
    </w:tbl>
    <w:p w:rsidR="002D5BB0" w:rsidRPr="003D6010" w:rsidRDefault="00984B6F" w:rsidP="00984B6F">
      <w:pPr>
        <w:pStyle w:val="HChG"/>
        <w:rPr>
          <w:sz w:val="24"/>
          <w:szCs w:val="24"/>
          <w:lang w:val="en-US"/>
        </w:rPr>
      </w:pPr>
      <w:bookmarkStart w:id="285" w:name="_Toc307504164"/>
      <w:bookmarkStart w:id="286" w:name="_Toc336435936"/>
      <w:r w:rsidRPr="00222917">
        <w:rPr>
          <w:lang w:val="en-US"/>
        </w:rPr>
        <w:tab/>
      </w:r>
      <w:r w:rsidRPr="00222917">
        <w:rPr>
          <w:lang w:val="en-US"/>
        </w:rPr>
        <w:tab/>
      </w:r>
      <w:r w:rsidR="002D5BB0" w:rsidRPr="003D6010">
        <w:rPr>
          <w:sz w:val="24"/>
          <w:szCs w:val="24"/>
          <w:lang w:val="en-US"/>
        </w:rPr>
        <w:t>Article 24</w:t>
      </w:r>
      <w:bookmarkEnd w:id="285"/>
      <w:bookmarkEnd w:id="286"/>
    </w:p>
    <w:p w:rsidR="002D5BB0" w:rsidRPr="00222917" w:rsidRDefault="00984B6F" w:rsidP="00984B6F">
      <w:pPr>
        <w:pStyle w:val="H1G"/>
        <w:rPr>
          <w:lang w:val="en-US"/>
        </w:rPr>
      </w:pPr>
      <w:bookmarkStart w:id="287" w:name="_Toc307504165"/>
      <w:bookmarkStart w:id="288" w:name="_Toc336435937"/>
      <w:r w:rsidRPr="00222917">
        <w:rPr>
          <w:lang w:val="en-US"/>
        </w:rPr>
        <w:tab/>
      </w:r>
      <w:r w:rsidRPr="00222917">
        <w:rPr>
          <w:lang w:val="en-US"/>
        </w:rPr>
        <w:tab/>
      </w:r>
      <w:r w:rsidR="002D5BB0" w:rsidRPr="00222917">
        <w:rPr>
          <w:lang w:val="en-US"/>
        </w:rPr>
        <w:t>Paragraph 1</w:t>
      </w:r>
      <w:bookmarkEnd w:id="287"/>
      <w:bookmarkEnd w:id="288"/>
    </w:p>
    <w:p w:rsidR="002D5BB0" w:rsidRPr="00222917" w:rsidRDefault="00547908" w:rsidP="00547908">
      <w:pPr>
        <w:pStyle w:val="SingleTxtG"/>
        <w:rPr>
          <w:lang w:val="en-US"/>
        </w:rPr>
      </w:pPr>
      <w:r w:rsidRPr="00222917">
        <w:rPr>
          <w:lang w:val="en-US"/>
        </w:rPr>
        <w:t>334.</w:t>
      </w:r>
      <w:r w:rsidRPr="00222917">
        <w:rPr>
          <w:lang w:val="en-US"/>
        </w:rPr>
        <w:tab/>
      </w:r>
      <w:r w:rsidR="002D5BB0" w:rsidRPr="00222917">
        <w:rPr>
          <w:lang w:val="en-US"/>
        </w:rPr>
        <w:t>The Government’s on-going efforts to protect children are as stated in the first and second repor</w:t>
      </w:r>
      <w:r w:rsidR="00984B6F" w:rsidRPr="00222917">
        <w:rPr>
          <w:lang w:val="en-US"/>
        </w:rPr>
        <w:t>ts (CCPR/C/68/Add.1, paras. </w:t>
      </w:r>
      <w:r w:rsidR="002D5BB0" w:rsidRPr="00222917">
        <w:rPr>
          <w:lang w:val="en-US"/>
        </w:rPr>
        <w:t>285</w:t>
      </w:r>
      <w:r w:rsidR="00984B6F" w:rsidRPr="00222917">
        <w:rPr>
          <w:lang w:val="en-US"/>
        </w:rPr>
        <w:t>-295; CCPR /C/114/Add.1, paras. </w:t>
      </w:r>
      <w:r w:rsidR="002D5BB0" w:rsidRPr="00222917">
        <w:rPr>
          <w:lang w:val="en-US"/>
        </w:rPr>
        <w:t>237</w:t>
      </w:r>
      <w:r w:rsidR="00984B6F" w:rsidRPr="00222917">
        <w:rPr>
          <w:lang w:val="en-US"/>
        </w:rPr>
        <w:t>-</w:t>
      </w:r>
      <w:r w:rsidR="002D5BB0" w:rsidRPr="00222917">
        <w:rPr>
          <w:lang w:val="en-US"/>
        </w:rPr>
        <w:t xml:space="preserve">245). </w:t>
      </w:r>
    </w:p>
    <w:p w:rsidR="002D5BB0" w:rsidRPr="00222917" w:rsidRDefault="00984B6F" w:rsidP="00984B6F">
      <w:pPr>
        <w:pStyle w:val="H23G"/>
        <w:rPr>
          <w:lang w:val="en-US"/>
        </w:rPr>
      </w:pPr>
      <w:bookmarkStart w:id="289" w:name="_Toc307504166"/>
      <w:bookmarkStart w:id="290" w:name="_Toc336435938"/>
      <w:r w:rsidRPr="00222917">
        <w:rPr>
          <w:lang w:val="en-US"/>
        </w:rPr>
        <w:tab/>
      </w:r>
      <w:r w:rsidRPr="00222917">
        <w:rPr>
          <w:lang w:val="en-US"/>
        </w:rPr>
        <w:tab/>
      </w:r>
      <w:r w:rsidR="002D5BB0" w:rsidRPr="00222917">
        <w:rPr>
          <w:lang w:val="en-US"/>
        </w:rPr>
        <w:t>Recognizing Visitation Right of the Child</w:t>
      </w:r>
      <w:bookmarkEnd w:id="289"/>
      <w:bookmarkEnd w:id="290"/>
    </w:p>
    <w:p w:rsidR="002D5BB0" w:rsidRPr="00222917" w:rsidRDefault="00547908" w:rsidP="00547908">
      <w:pPr>
        <w:pStyle w:val="SingleTxtG"/>
        <w:rPr>
          <w:lang w:val="en-US"/>
        </w:rPr>
      </w:pPr>
      <w:r w:rsidRPr="00222917">
        <w:rPr>
          <w:lang w:val="en-US"/>
        </w:rPr>
        <w:t>335.</w:t>
      </w:r>
      <w:r w:rsidRPr="00222917">
        <w:rPr>
          <w:lang w:val="en-US"/>
        </w:rPr>
        <w:tab/>
      </w:r>
      <w:r w:rsidR="002D5BB0" w:rsidRPr="00222917">
        <w:rPr>
          <w:lang w:val="en-US"/>
        </w:rPr>
        <w:t xml:space="preserve">On 16 October 2008, the Korean Government withdrew the reservation to </w:t>
      </w:r>
      <w:r w:rsidR="00AE0F13" w:rsidRPr="00222917">
        <w:rPr>
          <w:lang w:val="en-US"/>
        </w:rPr>
        <w:t>a</w:t>
      </w:r>
      <w:r w:rsidR="002D5BB0" w:rsidRPr="00222917">
        <w:rPr>
          <w:lang w:val="en-US"/>
        </w:rPr>
        <w:t>rticle</w:t>
      </w:r>
      <w:r w:rsidR="00984B6F" w:rsidRPr="00222917">
        <w:rPr>
          <w:lang w:val="en-US"/>
        </w:rPr>
        <w:t> </w:t>
      </w:r>
      <w:r w:rsidR="002D5BB0" w:rsidRPr="00222917">
        <w:rPr>
          <w:lang w:val="en-US"/>
        </w:rPr>
        <w:t>9</w:t>
      </w:r>
      <w:r w:rsidR="00984B6F" w:rsidRPr="00222917">
        <w:rPr>
          <w:lang w:val="en-US"/>
        </w:rPr>
        <w:t> </w:t>
      </w:r>
      <w:r w:rsidR="002D5BB0" w:rsidRPr="00222917">
        <w:rPr>
          <w:lang w:val="en-US"/>
        </w:rPr>
        <w:t>(3) on the visitation right of the child of the Convention on the Rights of the</w:t>
      </w:r>
      <w:r w:rsidR="000A4BD1" w:rsidRPr="00222917">
        <w:rPr>
          <w:lang w:val="en-US"/>
        </w:rPr>
        <w:t> </w:t>
      </w:r>
      <w:r w:rsidR="002D5BB0" w:rsidRPr="00222917">
        <w:rPr>
          <w:lang w:val="en-US"/>
        </w:rPr>
        <w:t xml:space="preserve">Child. </w:t>
      </w:r>
    </w:p>
    <w:p w:rsidR="002D5BB0" w:rsidRPr="00222917" w:rsidRDefault="00547908" w:rsidP="00547908">
      <w:pPr>
        <w:pStyle w:val="SingleTxtG"/>
        <w:rPr>
          <w:lang w:val="en-US"/>
        </w:rPr>
      </w:pPr>
      <w:r w:rsidRPr="00222917">
        <w:rPr>
          <w:lang w:val="en-US"/>
        </w:rPr>
        <w:t>336.</w:t>
      </w:r>
      <w:r w:rsidRPr="00222917">
        <w:rPr>
          <w:lang w:val="en-US"/>
        </w:rPr>
        <w:tab/>
      </w:r>
      <w:r w:rsidR="002D5BB0" w:rsidRPr="00222917">
        <w:rPr>
          <w:lang w:val="en-US"/>
        </w:rPr>
        <w:t xml:space="preserve">On 21 December 2007, the </w:t>
      </w:r>
      <w:r w:rsidR="002D5BB0" w:rsidRPr="00222917">
        <w:rPr>
          <w:iCs/>
          <w:lang w:val="en-US"/>
        </w:rPr>
        <w:t>Civil Act</w:t>
      </w:r>
      <w:r w:rsidR="002D5BB0" w:rsidRPr="00222917">
        <w:rPr>
          <w:lang w:val="en-US"/>
        </w:rPr>
        <w:t xml:space="preserve"> was amended to stipulate “a parent who does not bring up a child and his/her child shall h</w:t>
      </w:r>
      <w:r w:rsidR="00E623EE" w:rsidRPr="00222917">
        <w:rPr>
          <w:lang w:val="en-US"/>
        </w:rPr>
        <w:t>ave visitation rights” (</w:t>
      </w:r>
      <w:r w:rsidR="00AE0F13" w:rsidRPr="00222917">
        <w:rPr>
          <w:lang w:val="en-US"/>
        </w:rPr>
        <w:t>a</w:t>
      </w:r>
      <w:r w:rsidR="00E623EE" w:rsidRPr="00222917">
        <w:rPr>
          <w:lang w:val="en-US"/>
        </w:rPr>
        <w:t>rticle </w:t>
      </w:r>
      <w:r w:rsidR="002D5BB0" w:rsidRPr="00222917">
        <w:rPr>
          <w:lang w:val="en-US"/>
        </w:rPr>
        <w:t>837-2 (1)). The</w:t>
      </w:r>
      <w:r w:rsidR="000A4BD1" w:rsidRPr="00222917">
        <w:rPr>
          <w:lang w:val="en-US"/>
        </w:rPr>
        <w:t> </w:t>
      </w:r>
      <w:r w:rsidR="002D5BB0" w:rsidRPr="00222917">
        <w:rPr>
          <w:lang w:val="en-US"/>
        </w:rPr>
        <w:t xml:space="preserve">amendment of the </w:t>
      </w:r>
      <w:r w:rsidR="002D5BB0" w:rsidRPr="00222917">
        <w:rPr>
          <w:iCs/>
          <w:lang w:val="en-US"/>
        </w:rPr>
        <w:t>Civil Act</w:t>
      </w:r>
      <w:r w:rsidR="002D5BB0" w:rsidRPr="00222917">
        <w:rPr>
          <w:lang w:val="en-US"/>
        </w:rPr>
        <w:t xml:space="preserve"> made the right to visitation a right of a child. It is also meaningful in that a child became an agent of the visitation right instead of a mere object thereof. In the case of a divorce by agreement, both parties are required to agree on whether and how to exercise the visitation right and submit a written agreement to the Family Court before the intention of a</w:t>
      </w:r>
      <w:r w:rsidR="00E623EE" w:rsidRPr="00222917">
        <w:rPr>
          <w:lang w:val="en-US"/>
        </w:rPr>
        <w:t xml:space="preserve"> divorce is confirmed (</w:t>
      </w:r>
      <w:r w:rsidR="00AE0F13" w:rsidRPr="00222917">
        <w:rPr>
          <w:lang w:val="en-US"/>
        </w:rPr>
        <w:t>a</w:t>
      </w:r>
      <w:r w:rsidR="00E623EE" w:rsidRPr="00222917">
        <w:rPr>
          <w:lang w:val="en-US"/>
        </w:rPr>
        <w:t>rticles </w:t>
      </w:r>
      <w:r w:rsidR="002D5BB0" w:rsidRPr="00222917">
        <w:rPr>
          <w:lang w:val="en-US"/>
        </w:rPr>
        <w:t>836-2</w:t>
      </w:r>
      <w:r w:rsidR="00AE0F13" w:rsidRPr="00222917">
        <w:rPr>
          <w:lang w:val="en-US"/>
        </w:rPr>
        <w:t xml:space="preserve"> </w:t>
      </w:r>
      <w:r w:rsidR="002D5BB0" w:rsidRPr="00222917">
        <w:rPr>
          <w:lang w:val="en-US"/>
        </w:rPr>
        <w:t>(4) and 837</w:t>
      </w:r>
      <w:r w:rsidR="00E623EE" w:rsidRPr="00222917">
        <w:rPr>
          <w:lang w:val="en-US"/>
        </w:rPr>
        <w:t> </w:t>
      </w:r>
      <w:r w:rsidR="002D5BB0" w:rsidRPr="00222917">
        <w:rPr>
          <w:lang w:val="en-US"/>
        </w:rPr>
        <w:t>(2)) so that the parties are obliged to agree on the visitation right before a divorce.</w:t>
      </w:r>
      <w:r w:rsidR="00120D8B" w:rsidRPr="00222917">
        <w:rPr>
          <w:lang w:val="en-US"/>
        </w:rPr>
        <w:t xml:space="preserve"> </w:t>
      </w:r>
    </w:p>
    <w:p w:rsidR="002D5BB0" w:rsidRPr="00222917" w:rsidRDefault="00984B6F" w:rsidP="00984B6F">
      <w:pPr>
        <w:pStyle w:val="H23G"/>
        <w:rPr>
          <w:lang w:val="en-US"/>
        </w:rPr>
      </w:pPr>
      <w:bookmarkStart w:id="291" w:name="_Toc307504167"/>
      <w:bookmarkStart w:id="292" w:name="_Toc336435939"/>
      <w:r w:rsidRPr="00222917">
        <w:rPr>
          <w:lang w:val="en-US"/>
        </w:rPr>
        <w:tab/>
      </w:r>
      <w:r w:rsidRPr="00222917">
        <w:rPr>
          <w:lang w:val="en-US"/>
        </w:rPr>
        <w:tab/>
      </w:r>
      <w:r w:rsidR="002D5BB0" w:rsidRPr="00222917">
        <w:rPr>
          <w:lang w:val="en-US"/>
        </w:rPr>
        <w:t>Protection from Child Abuse</w:t>
      </w:r>
      <w:bookmarkEnd w:id="291"/>
      <w:bookmarkEnd w:id="292"/>
    </w:p>
    <w:p w:rsidR="002D5BB0" w:rsidRPr="00222917" w:rsidRDefault="00547908" w:rsidP="00547908">
      <w:pPr>
        <w:pStyle w:val="SingleTxtG"/>
        <w:rPr>
          <w:lang w:val="en-US"/>
        </w:rPr>
      </w:pPr>
      <w:r w:rsidRPr="00222917">
        <w:rPr>
          <w:lang w:val="en-US"/>
        </w:rPr>
        <w:t>337.</w:t>
      </w:r>
      <w:r w:rsidRPr="00222917">
        <w:rPr>
          <w:lang w:val="en-US"/>
        </w:rPr>
        <w:tab/>
      </w:r>
      <w:r w:rsidR="002D5BB0" w:rsidRPr="00222917">
        <w:rPr>
          <w:lang w:val="en-US"/>
        </w:rPr>
        <w:t xml:space="preserve">In response to the concerns that too few abused children were being protected and, especially, that too few reports were being made by persons obliged to report child abuse, even though the number of reports of child abuse had been increasing every year, the </w:t>
      </w:r>
      <w:r w:rsidR="002D5BB0" w:rsidRPr="00367065">
        <w:rPr>
          <w:iCs/>
          <w:lang w:val="en-US"/>
        </w:rPr>
        <w:t xml:space="preserve">Child Welfare Act </w:t>
      </w:r>
      <w:r w:rsidR="002D5BB0" w:rsidRPr="00222917">
        <w:rPr>
          <w:lang w:val="en-US"/>
        </w:rPr>
        <w:t>was amended on 27 September 2006 to expand the scope of persons obliged to report child abuse to include workers of kindergartens and private instit</w:t>
      </w:r>
      <w:r w:rsidR="00E623EE" w:rsidRPr="00222917">
        <w:rPr>
          <w:lang w:val="en-US"/>
        </w:rPr>
        <w:t>utions, and paramedics (</w:t>
      </w:r>
      <w:r w:rsidR="00AE0F13" w:rsidRPr="00222917">
        <w:rPr>
          <w:lang w:val="en-US"/>
        </w:rPr>
        <w:t>a</w:t>
      </w:r>
      <w:r w:rsidR="00E623EE" w:rsidRPr="00222917">
        <w:rPr>
          <w:lang w:val="en-US"/>
        </w:rPr>
        <w:t>rticle </w:t>
      </w:r>
      <w:r w:rsidR="002D5BB0" w:rsidRPr="00222917">
        <w:rPr>
          <w:lang w:val="en-US"/>
        </w:rPr>
        <w:t xml:space="preserve">26 (2)). The Act was again amended on 13 June 2008 to increase the number of regional child protective institutions so that specialized child protective institutions that detect, protect, and treat abused children, and provide counseling and education services for abused children, abusers, and their family members are required to be set up in a </w:t>
      </w:r>
      <w:r w:rsidR="002D5BB0" w:rsidRPr="00222917">
        <w:rPr>
          <w:i/>
          <w:lang w:val="en-US"/>
        </w:rPr>
        <w:t>Si/Do</w:t>
      </w:r>
      <w:r w:rsidR="002D5BB0" w:rsidRPr="00222917">
        <w:rPr>
          <w:lang w:val="en-US"/>
        </w:rPr>
        <w:t xml:space="preserve"> and a </w:t>
      </w:r>
      <w:r w:rsidR="002D5BB0" w:rsidRPr="00222917">
        <w:rPr>
          <w:i/>
          <w:lang w:val="en-US"/>
        </w:rPr>
        <w:t>Si/Gun/Gu</w:t>
      </w:r>
      <w:r w:rsidR="00E623EE" w:rsidRPr="00222917">
        <w:rPr>
          <w:lang w:val="en-US"/>
        </w:rPr>
        <w:t xml:space="preserve"> (</w:t>
      </w:r>
      <w:r w:rsidR="00AE0F13" w:rsidRPr="00222917">
        <w:rPr>
          <w:lang w:val="en-US"/>
        </w:rPr>
        <w:t>a</w:t>
      </w:r>
      <w:r w:rsidR="00E623EE" w:rsidRPr="00222917">
        <w:rPr>
          <w:lang w:val="en-US"/>
        </w:rPr>
        <w:t>rticle </w:t>
      </w:r>
      <w:r w:rsidR="002D5BB0" w:rsidRPr="00222917">
        <w:rPr>
          <w:lang w:val="en-US"/>
        </w:rPr>
        <w:t xml:space="preserve">24 (2)). </w:t>
      </w:r>
    </w:p>
    <w:p w:rsidR="002D5BB0" w:rsidRPr="00222917" w:rsidRDefault="00547908" w:rsidP="00547908">
      <w:pPr>
        <w:pStyle w:val="SingleTxtG"/>
        <w:rPr>
          <w:lang w:val="en-US"/>
        </w:rPr>
      </w:pPr>
      <w:r w:rsidRPr="00222917">
        <w:rPr>
          <w:lang w:val="en-US"/>
        </w:rPr>
        <w:t>338.</w:t>
      </w:r>
      <w:r w:rsidRPr="00222917">
        <w:rPr>
          <w:lang w:val="en-US"/>
        </w:rPr>
        <w:tab/>
      </w:r>
      <w:r w:rsidR="002D5BB0" w:rsidRPr="00222917">
        <w:rPr>
          <w:lang w:val="en-US"/>
        </w:rPr>
        <w:t xml:space="preserve">The Government runs on-line education programs on child abuse prevention for persons obliged to report child abuse and the general public to raise social awareness about child abuse prevention, and has counselors from child protection institutions offer on-site education. It also makes every effort to promote child abuse prevention through a variety of media such as posters and public relations videos over the Internet. It holds commemorative events for the International Day on Prevention of Child Abuse (19 November) every year to carry on campaigns nationwide to raise awareness of prevention of child abuse. </w:t>
      </w:r>
    </w:p>
    <w:p w:rsidR="002D5BB0" w:rsidRPr="00222917" w:rsidRDefault="00547908" w:rsidP="00547908">
      <w:pPr>
        <w:pStyle w:val="SingleTxtG"/>
        <w:rPr>
          <w:lang w:val="en-US"/>
        </w:rPr>
      </w:pPr>
      <w:r w:rsidRPr="00222917">
        <w:rPr>
          <w:lang w:val="en-US"/>
        </w:rPr>
        <w:t>339.</w:t>
      </w:r>
      <w:r w:rsidRPr="00222917">
        <w:rPr>
          <w:lang w:val="en-US"/>
        </w:rPr>
        <w:tab/>
      </w:r>
      <w:r w:rsidR="002D5BB0" w:rsidRPr="00222917">
        <w:rPr>
          <w:lang w:val="en-US"/>
        </w:rPr>
        <w:t xml:space="preserve">These efforts have helped create social atmosphere that regards children as independent human beings and child abuse as a crime, leading to an increase in the number of reports of child abuse as well as the num of the abused children protected at child protection institutions after being identified as victims of child abuse. </w:t>
      </w:r>
    </w:p>
    <w:p w:rsidR="002D5BB0" w:rsidRPr="00222917" w:rsidRDefault="00984B6F" w:rsidP="00984B6F">
      <w:pPr>
        <w:pStyle w:val="H23G"/>
        <w:rPr>
          <w:b w:val="0"/>
          <w:sz w:val="16"/>
          <w:szCs w:val="16"/>
          <w:lang w:val="en-US"/>
        </w:rPr>
      </w:pPr>
      <w:r w:rsidRPr="00222917">
        <w:rPr>
          <w:lang w:val="en-US"/>
        </w:rPr>
        <w:tab/>
      </w:r>
      <w:r w:rsidRPr="00222917">
        <w:rPr>
          <w:lang w:val="en-US"/>
        </w:rPr>
        <w:tab/>
      </w:r>
      <w:r w:rsidR="002D5BB0" w:rsidRPr="00222917">
        <w:rPr>
          <w:lang w:val="en-US"/>
        </w:rPr>
        <w:t>Reports on Child Abuse</w:t>
      </w:r>
      <w:r w:rsidRPr="00222917">
        <w:rPr>
          <w:lang w:val="en-US"/>
        </w:rPr>
        <w:br/>
      </w:r>
      <w:r w:rsidR="002D5BB0" w:rsidRPr="00222917">
        <w:rPr>
          <w:b w:val="0"/>
          <w:sz w:val="16"/>
          <w:szCs w:val="16"/>
          <w:lang w:val="en-US"/>
        </w:rPr>
        <w:t>(Number of cases; percentage (%))</w:t>
      </w:r>
    </w:p>
    <w:tbl>
      <w:tblPr>
        <w:tblW w:w="7371" w:type="dxa"/>
        <w:tblInd w:w="1134" w:type="dxa"/>
        <w:tblBorders>
          <w:top w:val="single" w:sz="4" w:space="0" w:color="auto"/>
        </w:tblBorders>
        <w:tblLayout w:type="fixed"/>
        <w:tblCellMar>
          <w:left w:w="0" w:type="dxa"/>
          <w:right w:w="0" w:type="dxa"/>
        </w:tblCellMar>
        <w:tblLook w:val="00A0"/>
      </w:tblPr>
      <w:tblGrid>
        <w:gridCol w:w="1416"/>
        <w:gridCol w:w="850"/>
        <w:gridCol w:w="851"/>
        <w:gridCol w:w="851"/>
        <w:gridCol w:w="851"/>
        <w:gridCol w:w="851"/>
        <w:gridCol w:w="851"/>
        <w:gridCol w:w="850"/>
      </w:tblGrid>
      <w:tr w:rsidR="00047930" w:rsidRPr="00222917" w:rsidTr="000A4BD1">
        <w:trPr>
          <w:tblHeader/>
        </w:trPr>
        <w:tc>
          <w:tcPr>
            <w:tcW w:w="1418" w:type="dxa"/>
            <w:tcBorders>
              <w:top w:val="single" w:sz="4" w:space="0" w:color="auto"/>
              <w:bottom w:val="single" w:sz="12" w:space="0" w:color="auto"/>
            </w:tcBorders>
            <w:shd w:val="clear" w:color="auto" w:fill="auto"/>
            <w:vAlign w:val="bottom"/>
          </w:tcPr>
          <w:p w:rsidR="00047930" w:rsidRPr="00222917" w:rsidRDefault="00047930" w:rsidP="000A4BD1">
            <w:pPr>
              <w:suppressAutoHyphens w:val="0"/>
              <w:snapToGrid w:val="0"/>
              <w:spacing w:before="80" w:after="80" w:line="200" w:lineRule="exact"/>
              <w:rPr>
                <w:i/>
                <w:sz w:val="16"/>
                <w:lang w:val="en-US"/>
              </w:rPr>
            </w:pPr>
            <w:r w:rsidRPr="00222917">
              <w:rPr>
                <w:bCs/>
                <w:i/>
                <w:sz w:val="16"/>
                <w:lang w:val="en-US"/>
              </w:rPr>
              <w:t>Year</w:t>
            </w:r>
          </w:p>
        </w:tc>
        <w:tc>
          <w:tcPr>
            <w:tcW w:w="851" w:type="dxa"/>
            <w:tcBorders>
              <w:top w:val="single" w:sz="4" w:space="0" w:color="auto"/>
              <w:bottom w:val="single" w:sz="12" w:space="0" w:color="auto"/>
            </w:tcBorders>
            <w:shd w:val="clear" w:color="auto" w:fill="auto"/>
            <w:vAlign w:val="bottom"/>
          </w:tcPr>
          <w:p w:rsidR="00047930" w:rsidRPr="00222917" w:rsidRDefault="00047930" w:rsidP="000A4BD1">
            <w:pPr>
              <w:suppressAutoHyphens w:val="0"/>
              <w:snapToGrid w:val="0"/>
              <w:spacing w:before="80" w:after="80" w:line="200" w:lineRule="exact"/>
              <w:jc w:val="right"/>
              <w:rPr>
                <w:i/>
                <w:sz w:val="16"/>
                <w:lang w:val="en-US"/>
              </w:rPr>
            </w:pPr>
            <w:r w:rsidRPr="00222917">
              <w:rPr>
                <w:bCs/>
                <w:i/>
                <w:sz w:val="16"/>
                <w:lang w:val="en-US"/>
              </w:rPr>
              <w:t>2004</w:t>
            </w:r>
          </w:p>
        </w:tc>
        <w:tc>
          <w:tcPr>
            <w:tcW w:w="851" w:type="dxa"/>
            <w:tcBorders>
              <w:top w:val="single" w:sz="4" w:space="0" w:color="auto"/>
              <w:bottom w:val="single" w:sz="12" w:space="0" w:color="auto"/>
            </w:tcBorders>
            <w:shd w:val="clear" w:color="auto" w:fill="auto"/>
            <w:vAlign w:val="bottom"/>
          </w:tcPr>
          <w:p w:rsidR="00047930" w:rsidRPr="00222917" w:rsidRDefault="00047930" w:rsidP="000A4BD1">
            <w:pPr>
              <w:suppressAutoHyphens w:val="0"/>
              <w:snapToGrid w:val="0"/>
              <w:spacing w:before="80" w:after="80" w:line="200" w:lineRule="exact"/>
              <w:jc w:val="right"/>
              <w:rPr>
                <w:i/>
                <w:sz w:val="16"/>
                <w:lang w:val="en-US"/>
              </w:rPr>
            </w:pPr>
            <w:r w:rsidRPr="00222917">
              <w:rPr>
                <w:bCs/>
                <w:i/>
                <w:sz w:val="16"/>
                <w:lang w:val="en-US"/>
              </w:rPr>
              <w:t>2005</w:t>
            </w:r>
          </w:p>
        </w:tc>
        <w:tc>
          <w:tcPr>
            <w:tcW w:w="851" w:type="dxa"/>
            <w:tcBorders>
              <w:top w:val="single" w:sz="4" w:space="0" w:color="auto"/>
              <w:bottom w:val="single" w:sz="12" w:space="0" w:color="auto"/>
            </w:tcBorders>
            <w:shd w:val="clear" w:color="auto" w:fill="auto"/>
            <w:tcMar>
              <w:top w:w="28" w:type="dxa"/>
              <w:bottom w:w="28" w:type="dxa"/>
            </w:tcMar>
            <w:vAlign w:val="bottom"/>
          </w:tcPr>
          <w:p w:rsidR="00047930" w:rsidRPr="00222917" w:rsidRDefault="00047930" w:rsidP="000A4BD1">
            <w:pPr>
              <w:suppressAutoHyphens w:val="0"/>
              <w:snapToGrid w:val="0"/>
              <w:spacing w:before="80" w:after="80" w:line="200" w:lineRule="exact"/>
              <w:jc w:val="right"/>
              <w:rPr>
                <w:i/>
                <w:sz w:val="16"/>
                <w:lang w:val="en-US"/>
              </w:rPr>
            </w:pPr>
            <w:r w:rsidRPr="00222917">
              <w:rPr>
                <w:bCs/>
                <w:i/>
                <w:sz w:val="16"/>
                <w:lang w:val="en-US"/>
              </w:rPr>
              <w:t>2006</w:t>
            </w:r>
          </w:p>
        </w:tc>
        <w:tc>
          <w:tcPr>
            <w:tcW w:w="851"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047930" w:rsidRPr="00222917" w:rsidRDefault="00047930" w:rsidP="000A4BD1">
            <w:pPr>
              <w:suppressAutoHyphens w:val="0"/>
              <w:snapToGrid w:val="0"/>
              <w:spacing w:before="80" w:after="80" w:line="200" w:lineRule="exact"/>
              <w:jc w:val="right"/>
              <w:rPr>
                <w:i/>
                <w:sz w:val="16"/>
                <w:lang w:val="en-US"/>
              </w:rPr>
            </w:pPr>
            <w:r w:rsidRPr="00222917">
              <w:rPr>
                <w:bCs/>
                <w:i/>
                <w:sz w:val="16"/>
                <w:lang w:val="en-US"/>
              </w:rPr>
              <w:t>2007</w:t>
            </w:r>
          </w:p>
        </w:tc>
        <w:tc>
          <w:tcPr>
            <w:tcW w:w="851" w:type="dxa"/>
            <w:tcBorders>
              <w:top w:val="single" w:sz="4" w:space="0" w:color="auto"/>
              <w:bottom w:val="single" w:sz="12" w:space="0" w:color="auto"/>
            </w:tcBorders>
            <w:shd w:val="clear" w:color="auto" w:fill="auto"/>
            <w:tcMar>
              <w:top w:w="28" w:type="dxa"/>
              <w:left w:w="102" w:type="dxa"/>
              <w:bottom w:w="28" w:type="dxa"/>
              <w:right w:w="102" w:type="dxa"/>
            </w:tcMar>
            <w:vAlign w:val="bottom"/>
          </w:tcPr>
          <w:p w:rsidR="00047930" w:rsidRPr="00222917" w:rsidRDefault="00047930" w:rsidP="000A4BD1">
            <w:pPr>
              <w:suppressAutoHyphens w:val="0"/>
              <w:snapToGrid w:val="0"/>
              <w:spacing w:before="80" w:after="80" w:line="200" w:lineRule="exact"/>
              <w:jc w:val="right"/>
              <w:rPr>
                <w:i/>
                <w:sz w:val="16"/>
                <w:lang w:val="en-US"/>
              </w:rPr>
            </w:pPr>
            <w:r w:rsidRPr="00222917">
              <w:rPr>
                <w:bCs/>
                <w:i/>
                <w:sz w:val="16"/>
                <w:lang w:val="en-US"/>
              </w:rPr>
              <w:t>2008</w:t>
            </w:r>
          </w:p>
        </w:tc>
        <w:tc>
          <w:tcPr>
            <w:tcW w:w="851" w:type="dxa"/>
            <w:tcBorders>
              <w:top w:val="single" w:sz="4" w:space="0" w:color="auto"/>
              <w:bottom w:val="single" w:sz="12" w:space="0" w:color="auto"/>
            </w:tcBorders>
            <w:shd w:val="clear" w:color="auto" w:fill="auto"/>
            <w:tcMar>
              <w:left w:w="102" w:type="dxa"/>
              <w:right w:w="102" w:type="dxa"/>
            </w:tcMar>
            <w:vAlign w:val="bottom"/>
          </w:tcPr>
          <w:p w:rsidR="00047930" w:rsidRPr="00222917" w:rsidRDefault="00047930" w:rsidP="000A4BD1">
            <w:pPr>
              <w:suppressAutoHyphens w:val="0"/>
              <w:snapToGrid w:val="0"/>
              <w:spacing w:before="80" w:after="80" w:line="200" w:lineRule="exact"/>
              <w:jc w:val="right"/>
              <w:rPr>
                <w:i/>
                <w:sz w:val="16"/>
                <w:lang w:val="en-US"/>
              </w:rPr>
            </w:pPr>
            <w:r w:rsidRPr="00222917">
              <w:rPr>
                <w:bCs/>
                <w:i/>
                <w:sz w:val="16"/>
                <w:lang w:val="en-US"/>
              </w:rPr>
              <w:t>2009</w:t>
            </w:r>
          </w:p>
        </w:tc>
        <w:tc>
          <w:tcPr>
            <w:tcW w:w="851" w:type="dxa"/>
            <w:tcBorders>
              <w:top w:val="single" w:sz="4" w:space="0" w:color="auto"/>
              <w:bottom w:val="single" w:sz="12" w:space="0" w:color="auto"/>
            </w:tcBorders>
            <w:shd w:val="clear" w:color="auto" w:fill="auto"/>
            <w:vAlign w:val="bottom"/>
          </w:tcPr>
          <w:p w:rsidR="00047930" w:rsidRPr="00222917" w:rsidRDefault="00047930" w:rsidP="000A4BD1">
            <w:pPr>
              <w:suppressAutoHyphens w:val="0"/>
              <w:snapToGrid w:val="0"/>
              <w:spacing w:before="80" w:after="80" w:line="200" w:lineRule="exact"/>
              <w:jc w:val="right"/>
              <w:rPr>
                <w:bCs/>
                <w:i/>
                <w:sz w:val="16"/>
                <w:lang w:val="en-US"/>
              </w:rPr>
            </w:pPr>
            <w:r w:rsidRPr="00222917">
              <w:rPr>
                <w:bCs/>
                <w:i/>
                <w:sz w:val="16"/>
                <w:lang w:val="en-US"/>
              </w:rPr>
              <w:t>2010</w:t>
            </w:r>
          </w:p>
        </w:tc>
      </w:tr>
      <w:tr w:rsidR="00047930" w:rsidRPr="00222917" w:rsidTr="000A4BD1">
        <w:tc>
          <w:tcPr>
            <w:tcW w:w="1418" w:type="dxa"/>
            <w:tcBorders>
              <w:top w:val="single" w:sz="12" w:space="0" w:color="auto"/>
            </w:tcBorders>
            <w:shd w:val="clear" w:color="auto" w:fill="auto"/>
            <w:tcMar>
              <w:top w:w="28" w:type="dxa"/>
              <w:left w:w="28" w:type="dxa"/>
              <w:bottom w:w="28" w:type="dxa"/>
              <w:right w:w="28" w:type="dxa"/>
            </w:tcMar>
          </w:tcPr>
          <w:p w:rsidR="00047930" w:rsidRPr="00222917" w:rsidRDefault="00047930" w:rsidP="000A4BD1">
            <w:pPr>
              <w:suppressAutoHyphens w:val="0"/>
              <w:snapToGrid w:val="0"/>
              <w:spacing w:before="40" w:after="40" w:line="220" w:lineRule="exact"/>
              <w:rPr>
                <w:sz w:val="18"/>
                <w:lang w:val="en-US"/>
              </w:rPr>
            </w:pPr>
            <w:r w:rsidRPr="00222917">
              <w:rPr>
                <w:sz w:val="18"/>
                <w:lang w:val="en-US"/>
              </w:rPr>
              <w:t>Suspected</w:t>
            </w:r>
            <w:r w:rsidR="000A4BD1" w:rsidRPr="00222917">
              <w:rPr>
                <w:sz w:val="18"/>
                <w:lang w:val="en-US"/>
              </w:rPr>
              <w:br/>
            </w:r>
            <w:r w:rsidRPr="00222917">
              <w:rPr>
                <w:sz w:val="18"/>
                <w:lang w:val="en-US"/>
              </w:rPr>
              <w:t>child abuse</w:t>
            </w:r>
          </w:p>
        </w:tc>
        <w:tc>
          <w:tcPr>
            <w:tcW w:w="851" w:type="dxa"/>
            <w:tcBorders>
              <w:top w:val="single" w:sz="12" w:space="0" w:color="auto"/>
            </w:tcBorders>
            <w:shd w:val="clear" w:color="auto" w:fill="auto"/>
            <w:tcMar>
              <w:top w:w="28" w:type="dxa"/>
              <w:left w:w="28" w:type="dxa"/>
              <w:bottom w:w="28" w:type="dxa"/>
              <w:right w:w="28" w:type="dxa"/>
            </w:tcMar>
            <w:vAlign w:val="bottom"/>
          </w:tcPr>
          <w:p w:rsidR="00047930" w:rsidRPr="00222917" w:rsidRDefault="00047930" w:rsidP="000A4BD1">
            <w:pPr>
              <w:suppressAutoHyphens w:val="0"/>
              <w:snapToGrid w:val="0"/>
              <w:spacing w:before="40" w:after="40" w:line="220" w:lineRule="exact"/>
              <w:jc w:val="right"/>
              <w:rPr>
                <w:sz w:val="18"/>
                <w:lang w:val="en-US"/>
              </w:rPr>
            </w:pPr>
            <w:r w:rsidRPr="00222917">
              <w:rPr>
                <w:sz w:val="18"/>
                <w:lang w:val="en-US"/>
              </w:rPr>
              <w:t>4,880</w:t>
            </w:r>
            <w:r w:rsidR="000A4BD1" w:rsidRPr="00222917">
              <w:rPr>
                <w:sz w:val="18"/>
                <w:lang w:val="en-US"/>
              </w:rPr>
              <w:br/>
            </w:r>
            <w:r w:rsidRPr="00222917">
              <w:rPr>
                <w:sz w:val="18"/>
                <w:lang w:val="en-US"/>
              </w:rPr>
              <w:t>(69.7)</w:t>
            </w:r>
          </w:p>
        </w:tc>
        <w:tc>
          <w:tcPr>
            <w:tcW w:w="851" w:type="dxa"/>
            <w:tcBorders>
              <w:top w:val="single" w:sz="12" w:space="0" w:color="auto"/>
            </w:tcBorders>
            <w:shd w:val="clear" w:color="auto" w:fill="auto"/>
            <w:tcMar>
              <w:top w:w="28" w:type="dxa"/>
              <w:left w:w="28" w:type="dxa"/>
              <w:bottom w:w="28" w:type="dxa"/>
              <w:right w:w="28" w:type="dxa"/>
            </w:tcMar>
            <w:vAlign w:val="bottom"/>
          </w:tcPr>
          <w:p w:rsidR="00047930" w:rsidRPr="00222917" w:rsidRDefault="00047930" w:rsidP="000A4BD1">
            <w:pPr>
              <w:suppressAutoHyphens w:val="0"/>
              <w:snapToGrid w:val="0"/>
              <w:spacing w:before="40" w:after="40" w:line="220" w:lineRule="exact"/>
              <w:jc w:val="right"/>
              <w:rPr>
                <w:sz w:val="18"/>
                <w:lang w:val="en-US"/>
              </w:rPr>
            </w:pPr>
            <w:r w:rsidRPr="00222917">
              <w:rPr>
                <w:sz w:val="18"/>
                <w:lang w:val="en-US"/>
              </w:rPr>
              <w:t>5,761</w:t>
            </w:r>
            <w:r w:rsidR="000A4BD1" w:rsidRPr="00222917">
              <w:rPr>
                <w:sz w:val="18"/>
                <w:lang w:val="en-US"/>
              </w:rPr>
              <w:br/>
            </w:r>
            <w:r w:rsidRPr="00222917">
              <w:rPr>
                <w:sz w:val="18"/>
                <w:lang w:val="en-US"/>
              </w:rPr>
              <w:t>(72.0)</w:t>
            </w:r>
          </w:p>
        </w:tc>
        <w:tc>
          <w:tcPr>
            <w:tcW w:w="851" w:type="dxa"/>
            <w:tcBorders>
              <w:top w:val="single" w:sz="12" w:space="0" w:color="auto"/>
            </w:tcBorders>
            <w:shd w:val="clear" w:color="auto" w:fill="auto"/>
            <w:tcMar>
              <w:top w:w="28" w:type="dxa"/>
              <w:left w:w="28" w:type="dxa"/>
              <w:bottom w:w="28" w:type="dxa"/>
              <w:right w:w="28" w:type="dxa"/>
            </w:tcMar>
            <w:vAlign w:val="bottom"/>
          </w:tcPr>
          <w:p w:rsidR="00047930" w:rsidRPr="00222917" w:rsidRDefault="00047930" w:rsidP="000A4BD1">
            <w:pPr>
              <w:suppressAutoHyphens w:val="0"/>
              <w:snapToGrid w:val="0"/>
              <w:spacing w:before="40" w:after="40" w:line="220" w:lineRule="exact"/>
              <w:jc w:val="right"/>
              <w:rPr>
                <w:sz w:val="18"/>
                <w:lang w:val="en-US"/>
              </w:rPr>
            </w:pPr>
            <w:r w:rsidRPr="00222917">
              <w:rPr>
                <w:sz w:val="18"/>
                <w:lang w:val="en-US"/>
              </w:rPr>
              <w:t>6,452</w:t>
            </w:r>
            <w:r w:rsidR="000A4BD1" w:rsidRPr="00222917">
              <w:rPr>
                <w:sz w:val="18"/>
                <w:lang w:val="en-US"/>
              </w:rPr>
              <w:br/>
            </w:r>
            <w:r w:rsidRPr="00222917">
              <w:rPr>
                <w:sz w:val="18"/>
                <w:lang w:val="en-US"/>
              </w:rPr>
              <w:t>(72.5)</w:t>
            </w:r>
          </w:p>
        </w:tc>
        <w:tc>
          <w:tcPr>
            <w:tcW w:w="851" w:type="dxa"/>
            <w:tcBorders>
              <w:top w:val="single" w:sz="12" w:space="0" w:color="auto"/>
            </w:tcBorders>
            <w:shd w:val="clear" w:color="auto" w:fill="auto"/>
            <w:tcMar>
              <w:top w:w="28" w:type="dxa"/>
              <w:left w:w="28" w:type="dxa"/>
              <w:bottom w:w="28" w:type="dxa"/>
              <w:right w:w="28" w:type="dxa"/>
            </w:tcMar>
            <w:vAlign w:val="bottom"/>
          </w:tcPr>
          <w:p w:rsidR="00047930" w:rsidRPr="00222917" w:rsidRDefault="00047930" w:rsidP="000A4BD1">
            <w:pPr>
              <w:suppressAutoHyphens w:val="0"/>
              <w:snapToGrid w:val="0"/>
              <w:spacing w:before="40" w:after="40" w:line="220" w:lineRule="exact"/>
              <w:jc w:val="right"/>
              <w:rPr>
                <w:sz w:val="18"/>
                <w:lang w:val="en-US"/>
              </w:rPr>
            </w:pPr>
            <w:r w:rsidRPr="00222917">
              <w:rPr>
                <w:sz w:val="18"/>
                <w:lang w:val="en-US"/>
              </w:rPr>
              <w:t>7,083</w:t>
            </w:r>
            <w:r w:rsidR="000A4BD1" w:rsidRPr="00222917">
              <w:rPr>
                <w:sz w:val="18"/>
                <w:lang w:val="en-US"/>
              </w:rPr>
              <w:br/>
            </w:r>
            <w:r w:rsidRPr="00222917">
              <w:rPr>
                <w:sz w:val="18"/>
                <w:lang w:val="en-US"/>
              </w:rPr>
              <w:t>(74.7)</w:t>
            </w:r>
          </w:p>
        </w:tc>
        <w:tc>
          <w:tcPr>
            <w:tcW w:w="851" w:type="dxa"/>
            <w:tcBorders>
              <w:top w:val="single" w:sz="12" w:space="0" w:color="auto"/>
            </w:tcBorders>
            <w:shd w:val="clear" w:color="auto" w:fill="auto"/>
            <w:tcMar>
              <w:top w:w="28" w:type="dxa"/>
              <w:left w:w="28" w:type="dxa"/>
              <w:bottom w:w="28" w:type="dxa"/>
              <w:right w:w="28" w:type="dxa"/>
            </w:tcMar>
            <w:vAlign w:val="bottom"/>
          </w:tcPr>
          <w:p w:rsidR="00047930" w:rsidRPr="00222917" w:rsidRDefault="00047930" w:rsidP="000A4BD1">
            <w:pPr>
              <w:suppressAutoHyphens w:val="0"/>
              <w:snapToGrid w:val="0"/>
              <w:spacing w:before="40" w:after="40" w:line="220" w:lineRule="exact"/>
              <w:jc w:val="right"/>
              <w:rPr>
                <w:sz w:val="18"/>
                <w:lang w:val="en-US"/>
              </w:rPr>
            </w:pPr>
            <w:r w:rsidRPr="00222917">
              <w:rPr>
                <w:sz w:val="18"/>
                <w:lang w:val="en-US"/>
              </w:rPr>
              <w:t>7,219</w:t>
            </w:r>
            <w:r w:rsidR="000A4BD1" w:rsidRPr="00222917">
              <w:rPr>
                <w:sz w:val="18"/>
                <w:lang w:val="en-US"/>
              </w:rPr>
              <w:br/>
            </w:r>
            <w:r w:rsidRPr="00222917">
              <w:rPr>
                <w:sz w:val="18"/>
                <w:lang w:val="en-US"/>
              </w:rPr>
              <w:t>(75.4)</w:t>
            </w:r>
          </w:p>
        </w:tc>
        <w:tc>
          <w:tcPr>
            <w:tcW w:w="851" w:type="dxa"/>
            <w:tcBorders>
              <w:top w:val="single" w:sz="12" w:space="0" w:color="auto"/>
            </w:tcBorders>
            <w:shd w:val="clear" w:color="auto" w:fill="auto"/>
            <w:tcMar>
              <w:top w:w="28" w:type="dxa"/>
              <w:left w:w="28" w:type="dxa"/>
              <w:bottom w:w="28" w:type="dxa"/>
              <w:right w:w="28" w:type="dxa"/>
            </w:tcMar>
            <w:vAlign w:val="bottom"/>
          </w:tcPr>
          <w:p w:rsidR="00047930" w:rsidRPr="00222917" w:rsidRDefault="00047930" w:rsidP="000A4BD1">
            <w:pPr>
              <w:suppressAutoHyphens w:val="0"/>
              <w:snapToGrid w:val="0"/>
              <w:spacing w:before="40" w:after="40" w:line="220" w:lineRule="exact"/>
              <w:jc w:val="right"/>
              <w:rPr>
                <w:sz w:val="18"/>
                <w:lang w:val="en-US"/>
              </w:rPr>
            </w:pPr>
            <w:r w:rsidRPr="00222917">
              <w:rPr>
                <w:sz w:val="18"/>
                <w:lang w:val="en-US"/>
              </w:rPr>
              <w:t>7,354</w:t>
            </w:r>
            <w:r w:rsidR="000A4BD1" w:rsidRPr="00222917">
              <w:rPr>
                <w:sz w:val="18"/>
                <w:lang w:val="en-US"/>
              </w:rPr>
              <w:br/>
            </w:r>
            <w:r w:rsidRPr="00222917">
              <w:rPr>
                <w:sz w:val="18"/>
                <w:lang w:val="en-US"/>
              </w:rPr>
              <w:t>(80.1)</w:t>
            </w:r>
          </w:p>
        </w:tc>
        <w:tc>
          <w:tcPr>
            <w:tcW w:w="851" w:type="dxa"/>
            <w:tcBorders>
              <w:top w:val="single" w:sz="12" w:space="0" w:color="auto"/>
            </w:tcBorders>
            <w:shd w:val="clear" w:color="auto" w:fill="auto"/>
            <w:vAlign w:val="bottom"/>
          </w:tcPr>
          <w:p w:rsidR="00047930" w:rsidRPr="00222917" w:rsidRDefault="00047930" w:rsidP="000A4BD1">
            <w:pPr>
              <w:suppressAutoHyphens w:val="0"/>
              <w:snapToGrid w:val="0"/>
              <w:spacing w:before="40" w:after="40" w:line="220" w:lineRule="exact"/>
              <w:jc w:val="right"/>
              <w:rPr>
                <w:sz w:val="18"/>
                <w:lang w:val="en-US"/>
              </w:rPr>
            </w:pPr>
            <w:r w:rsidRPr="00222917">
              <w:rPr>
                <w:sz w:val="18"/>
                <w:lang w:val="en-US"/>
              </w:rPr>
              <w:t>7,406</w:t>
            </w:r>
            <w:r w:rsidR="000A4BD1" w:rsidRPr="00222917">
              <w:rPr>
                <w:sz w:val="18"/>
                <w:lang w:val="en-US"/>
              </w:rPr>
              <w:br/>
            </w:r>
            <w:r w:rsidRPr="00222917">
              <w:rPr>
                <w:sz w:val="18"/>
                <w:lang w:val="en-US"/>
              </w:rPr>
              <w:t>(80.5)</w:t>
            </w:r>
          </w:p>
        </w:tc>
      </w:tr>
      <w:tr w:rsidR="00047930" w:rsidRPr="00222917" w:rsidTr="001C4E4C">
        <w:tc>
          <w:tcPr>
            <w:tcW w:w="1418" w:type="dxa"/>
            <w:tcBorders>
              <w:bottom w:val="single" w:sz="4" w:space="0" w:color="000000"/>
            </w:tcBorders>
            <w:shd w:val="clear" w:color="auto" w:fill="auto"/>
            <w:tcMar>
              <w:top w:w="28" w:type="dxa"/>
              <w:left w:w="28" w:type="dxa"/>
              <w:bottom w:w="28" w:type="dxa"/>
              <w:right w:w="28" w:type="dxa"/>
            </w:tcMar>
          </w:tcPr>
          <w:p w:rsidR="00047930" w:rsidRPr="00222917" w:rsidRDefault="00047930" w:rsidP="000A4BD1">
            <w:pPr>
              <w:suppressAutoHyphens w:val="0"/>
              <w:snapToGrid w:val="0"/>
              <w:spacing w:before="40" w:after="40" w:line="220" w:lineRule="exact"/>
              <w:rPr>
                <w:sz w:val="18"/>
                <w:lang w:val="en-US"/>
              </w:rPr>
            </w:pPr>
            <w:r w:rsidRPr="00222917">
              <w:rPr>
                <w:sz w:val="18"/>
                <w:lang w:val="en-US"/>
              </w:rPr>
              <w:t>General counseling</w:t>
            </w:r>
          </w:p>
        </w:tc>
        <w:tc>
          <w:tcPr>
            <w:tcW w:w="851" w:type="dxa"/>
            <w:tcBorders>
              <w:bottom w:val="single" w:sz="4" w:space="0" w:color="000000"/>
            </w:tcBorders>
            <w:shd w:val="clear" w:color="auto" w:fill="auto"/>
            <w:tcMar>
              <w:top w:w="28" w:type="dxa"/>
              <w:left w:w="28" w:type="dxa"/>
              <w:bottom w:w="28" w:type="dxa"/>
              <w:right w:w="28" w:type="dxa"/>
            </w:tcMar>
            <w:vAlign w:val="bottom"/>
          </w:tcPr>
          <w:p w:rsidR="00047930" w:rsidRPr="00222917" w:rsidRDefault="00047930" w:rsidP="000A4BD1">
            <w:pPr>
              <w:suppressAutoHyphens w:val="0"/>
              <w:snapToGrid w:val="0"/>
              <w:spacing w:before="40" w:after="40" w:line="220" w:lineRule="exact"/>
              <w:jc w:val="right"/>
              <w:rPr>
                <w:sz w:val="18"/>
                <w:lang w:val="en-US"/>
              </w:rPr>
            </w:pPr>
            <w:r w:rsidRPr="00222917">
              <w:rPr>
                <w:sz w:val="18"/>
                <w:lang w:val="en-US"/>
              </w:rPr>
              <w:t>2,118</w:t>
            </w:r>
            <w:r w:rsidR="000A4BD1" w:rsidRPr="00222917">
              <w:rPr>
                <w:sz w:val="18"/>
                <w:lang w:val="en-US"/>
              </w:rPr>
              <w:br/>
            </w:r>
            <w:r w:rsidRPr="00222917">
              <w:rPr>
                <w:sz w:val="18"/>
                <w:lang w:val="en-US"/>
              </w:rPr>
              <w:t>(30.3)</w:t>
            </w:r>
          </w:p>
        </w:tc>
        <w:tc>
          <w:tcPr>
            <w:tcW w:w="851" w:type="dxa"/>
            <w:tcBorders>
              <w:bottom w:val="single" w:sz="4" w:space="0" w:color="000000"/>
            </w:tcBorders>
            <w:shd w:val="clear" w:color="auto" w:fill="auto"/>
            <w:tcMar>
              <w:top w:w="28" w:type="dxa"/>
              <w:left w:w="28" w:type="dxa"/>
              <w:bottom w:w="28" w:type="dxa"/>
              <w:right w:w="28" w:type="dxa"/>
            </w:tcMar>
            <w:vAlign w:val="bottom"/>
          </w:tcPr>
          <w:p w:rsidR="00047930" w:rsidRPr="00222917" w:rsidRDefault="00047930" w:rsidP="000A4BD1">
            <w:pPr>
              <w:suppressAutoHyphens w:val="0"/>
              <w:snapToGrid w:val="0"/>
              <w:spacing w:before="40" w:after="40" w:line="220" w:lineRule="exact"/>
              <w:jc w:val="right"/>
              <w:rPr>
                <w:sz w:val="18"/>
                <w:lang w:val="en-US"/>
              </w:rPr>
            </w:pPr>
            <w:r w:rsidRPr="00222917">
              <w:rPr>
                <w:sz w:val="18"/>
                <w:lang w:val="en-US"/>
              </w:rPr>
              <w:t>2,239</w:t>
            </w:r>
            <w:r w:rsidR="000A4BD1" w:rsidRPr="00222917">
              <w:rPr>
                <w:sz w:val="18"/>
                <w:lang w:val="en-US"/>
              </w:rPr>
              <w:br/>
            </w:r>
            <w:r w:rsidRPr="00222917">
              <w:rPr>
                <w:sz w:val="18"/>
                <w:lang w:val="en-US"/>
              </w:rPr>
              <w:t>(28.0)</w:t>
            </w:r>
          </w:p>
        </w:tc>
        <w:tc>
          <w:tcPr>
            <w:tcW w:w="851" w:type="dxa"/>
            <w:tcBorders>
              <w:bottom w:val="single" w:sz="4" w:space="0" w:color="000000"/>
            </w:tcBorders>
            <w:shd w:val="clear" w:color="auto" w:fill="auto"/>
            <w:tcMar>
              <w:top w:w="28" w:type="dxa"/>
              <w:left w:w="28" w:type="dxa"/>
              <w:bottom w:w="28" w:type="dxa"/>
              <w:right w:w="28" w:type="dxa"/>
            </w:tcMar>
            <w:vAlign w:val="bottom"/>
          </w:tcPr>
          <w:p w:rsidR="00047930" w:rsidRPr="00222917" w:rsidRDefault="00047930" w:rsidP="000A4BD1">
            <w:pPr>
              <w:suppressAutoHyphens w:val="0"/>
              <w:snapToGrid w:val="0"/>
              <w:spacing w:before="40" w:after="40" w:line="220" w:lineRule="exact"/>
              <w:jc w:val="right"/>
              <w:rPr>
                <w:sz w:val="18"/>
                <w:lang w:val="en-US"/>
              </w:rPr>
            </w:pPr>
            <w:r w:rsidRPr="00222917">
              <w:rPr>
                <w:sz w:val="18"/>
                <w:lang w:val="en-US"/>
              </w:rPr>
              <w:t>2,451</w:t>
            </w:r>
            <w:r w:rsidR="000A4BD1" w:rsidRPr="00222917">
              <w:rPr>
                <w:sz w:val="18"/>
                <w:lang w:val="en-US"/>
              </w:rPr>
              <w:br/>
            </w:r>
            <w:r w:rsidRPr="00222917">
              <w:rPr>
                <w:sz w:val="18"/>
                <w:lang w:val="en-US"/>
              </w:rPr>
              <w:t>(27.5)</w:t>
            </w:r>
          </w:p>
        </w:tc>
        <w:tc>
          <w:tcPr>
            <w:tcW w:w="851" w:type="dxa"/>
            <w:tcBorders>
              <w:bottom w:val="single" w:sz="4" w:space="0" w:color="000000"/>
            </w:tcBorders>
            <w:shd w:val="clear" w:color="auto" w:fill="auto"/>
            <w:tcMar>
              <w:top w:w="28" w:type="dxa"/>
              <w:left w:w="28" w:type="dxa"/>
              <w:bottom w:w="28" w:type="dxa"/>
              <w:right w:w="28" w:type="dxa"/>
            </w:tcMar>
            <w:vAlign w:val="bottom"/>
          </w:tcPr>
          <w:p w:rsidR="00047930" w:rsidRPr="00222917" w:rsidRDefault="00047930" w:rsidP="000A4BD1">
            <w:pPr>
              <w:suppressAutoHyphens w:val="0"/>
              <w:snapToGrid w:val="0"/>
              <w:spacing w:before="40" w:after="40" w:line="220" w:lineRule="exact"/>
              <w:jc w:val="right"/>
              <w:rPr>
                <w:sz w:val="18"/>
                <w:lang w:val="en-US"/>
              </w:rPr>
            </w:pPr>
            <w:r w:rsidRPr="00222917">
              <w:rPr>
                <w:sz w:val="18"/>
                <w:lang w:val="en-US"/>
              </w:rPr>
              <w:t>2,395</w:t>
            </w:r>
            <w:r w:rsidR="000A4BD1" w:rsidRPr="00222917">
              <w:rPr>
                <w:sz w:val="18"/>
                <w:lang w:val="en-US"/>
              </w:rPr>
              <w:br/>
            </w:r>
            <w:r w:rsidRPr="00222917">
              <w:rPr>
                <w:sz w:val="18"/>
                <w:lang w:val="en-US"/>
              </w:rPr>
              <w:t>(25.3)</w:t>
            </w:r>
          </w:p>
        </w:tc>
        <w:tc>
          <w:tcPr>
            <w:tcW w:w="851" w:type="dxa"/>
            <w:tcBorders>
              <w:bottom w:val="single" w:sz="4" w:space="0" w:color="000000"/>
            </w:tcBorders>
            <w:shd w:val="clear" w:color="auto" w:fill="auto"/>
            <w:tcMar>
              <w:top w:w="28" w:type="dxa"/>
              <w:left w:w="28" w:type="dxa"/>
              <w:bottom w:w="28" w:type="dxa"/>
              <w:right w:w="28" w:type="dxa"/>
            </w:tcMar>
            <w:vAlign w:val="bottom"/>
          </w:tcPr>
          <w:p w:rsidR="00047930" w:rsidRPr="00222917" w:rsidRDefault="00047930" w:rsidP="000A4BD1">
            <w:pPr>
              <w:suppressAutoHyphens w:val="0"/>
              <w:snapToGrid w:val="0"/>
              <w:spacing w:before="40" w:after="40" w:line="220" w:lineRule="exact"/>
              <w:jc w:val="right"/>
              <w:rPr>
                <w:sz w:val="18"/>
                <w:lang w:val="en-US"/>
              </w:rPr>
            </w:pPr>
            <w:r w:rsidRPr="00222917">
              <w:rPr>
                <w:sz w:val="18"/>
                <w:lang w:val="en-US"/>
              </w:rPr>
              <w:t>2,351</w:t>
            </w:r>
            <w:r w:rsidR="000A4BD1" w:rsidRPr="00222917">
              <w:rPr>
                <w:sz w:val="18"/>
                <w:lang w:val="en-US"/>
              </w:rPr>
              <w:br/>
            </w:r>
            <w:r w:rsidRPr="00222917">
              <w:rPr>
                <w:sz w:val="18"/>
                <w:lang w:val="en-US"/>
              </w:rPr>
              <w:t>(24.6)</w:t>
            </w:r>
          </w:p>
        </w:tc>
        <w:tc>
          <w:tcPr>
            <w:tcW w:w="851" w:type="dxa"/>
            <w:tcBorders>
              <w:bottom w:val="single" w:sz="4" w:space="0" w:color="000000"/>
            </w:tcBorders>
            <w:shd w:val="clear" w:color="auto" w:fill="auto"/>
            <w:tcMar>
              <w:top w:w="28" w:type="dxa"/>
              <w:left w:w="28" w:type="dxa"/>
              <w:bottom w:w="28" w:type="dxa"/>
              <w:right w:w="28" w:type="dxa"/>
            </w:tcMar>
            <w:vAlign w:val="bottom"/>
          </w:tcPr>
          <w:p w:rsidR="00047930" w:rsidRPr="00222917" w:rsidRDefault="00047930" w:rsidP="000A4BD1">
            <w:pPr>
              <w:suppressAutoHyphens w:val="0"/>
              <w:snapToGrid w:val="0"/>
              <w:spacing w:before="40" w:after="40" w:line="220" w:lineRule="exact"/>
              <w:jc w:val="right"/>
              <w:rPr>
                <w:sz w:val="18"/>
                <w:lang w:val="en-US"/>
              </w:rPr>
            </w:pPr>
            <w:r w:rsidRPr="00222917">
              <w:rPr>
                <w:sz w:val="18"/>
                <w:lang w:val="en-US"/>
              </w:rPr>
              <w:t>1,854</w:t>
            </w:r>
            <w:r w:rsidR="000A4BD1" w:rsidRPr="00222917">
              <w:rPr>
                <w:sz w:val="18"/>
                <w:lang w:val="en-US"/>
              </w:rPr>
              <w:br/>
            </w:r>
            <w:r w:rsidRPr="00222917">
              <w:rPr>
                <w:sz w:val="18"/>
                <w:lang w:val="en-US"/>
              </w:rPr>
              <w:t>(19.9)</w:t>
            </w:r>
          </w:p>
        </w:tc>
        <w:tc>
          <w:tcPr>
            <w:tcW w:w="851" w:type="dxa"/>
            <w:tcBorders>
              <w:bottom w:val="single" w:sz="4" w:space="0" w:color="000000"/>
            </w:tcBorders>
            <w:shd w:val="clear" w:color="auto" w:fill="auto"/>
            <w:vAlign w:val="bottom"/>
          </w:tcPr>
          <w:p w:rsidR="00047930" w:rsidRPr="00222917" w:rsidRDefault="00047930" w:rsidP="000A4BD1">
            <w:pPr>
              <w:suppressAutoHyphens w:val="0"/>
              <w:snapToGrid w:val="0"/>
              <w:spacing w:before="40" w:after="40" w:line="220" w:lineRule="exact"/>
              <w:jc w:val="right"/>
              <w:rPr>
                <w:sz w:val="18"/>
                <w:lang w:val="en-US"/>
              </w:rPr>
            </w:pPr>
            <w:r w:rsidRPr="00222917">
              <w:rPr>
                <w:sz w:val="18"/>
                <w:lang w:val="en-US"/>
              </w:rPr>
              <w:t>1,793</w:t>
            </w:r>
            <w:r w:rsidR="000A4BD1" w:rsidRPr="00222917">
              <w:rPr>
                <w:sz w:val="18"/>
                <w:lang w:val="en-US"/>
              </w:rPr>
              <w:br/>
            </w:r>
            <w:r w:rsidRPr="00222917">
              <w:rPr>
                <w:sz w:val="18"/>
                <w:lang w:val="en-US"/>
              </w:rPr>
              <w:t>(19.5)</w:t>
            </w:r>
          </w:p>
        </w:tc>
      </w:tr>
      <w:tr w:rsidR="00047930" w:rsidRPr="00222917" w:rsidTr="001C4E4C">
        <w:tc>
          <w:tcPr>
            <w:tcW w:w="1418" w:type="dxa"/>
            <w:tcBorders>
              <w:top w:val="single" w:sz="4" w:space="0" w:color="000000"/>
              <w:bottom w:val="single" w:sz="12" w:space="0" w:color="auto"/>
            </w:tcBorders>
            <w:shd w:val="clear" w:color="auto" w:fill="auto"/>
            <w:tcMar>
              <w:top w:w="28" w:type="dxa"/>
              <w:left w:w="28" w:type="dxa"/>
              <w:bottom w:w="28" w:type="dxa"/>
              <w:right w:w="28" w:type="dxa"/>
            </w:tcMar>
          </w:tcPr>
          <w:p w:rsidR="00047930" w:rsidRPr="00222917" w:rsidRDefault="00047930" w:rsidP="00D67481">
            <w:pPr>
              <w:suppressAutoHyphens w:val="0"/>
              <w:snapToGrid w:val="0"/>
              <w:spacing w:before="80" w:after="80" w:line="220" w:lineRule="exact"/>
              <w:ind w:left="284"/>
              <w:rPr>
                <w:b/>
                <w:sz w:val="18"/>
                <w:lang w:val="en-US"/>
              </w:rPr>
            </w:pPr>
            <w:r w:rsidRPr="00222917">
              <w:rPr>
                <w:b/>
                <w:sz w:val="18"/>
                <w:lang w:val="en-US"/>
              </w:rPr>
              <w:t>Total</w:t>
            </w:r>
            <w:r w:rsidR="000A4BD1" w:rsidRPr="00222917">
              <w:rPr>
                <w:b/>
                <w:sz w:val="18"/>
                <w:lang w:val="en-US"/>
              </w:rPr>
              <w:t xml:space="preserve"> </w:t>
            </w:r>
            <w:r w:rsidRPr="00222917">
              <w:rPr>
                <w:b/>
                <w:sz w:val="18"/>
                <w:lang w:val="en-US"/>
              </w:rPr>
              <w:t>(100%)</w:t>
            </w:r>
          </w:p>
        </w:tc>
        <w:tc>
          <w:tcPr>
            <w:tcW w:w="851" w:type="dxa"/>
            <w:tcBorders>
              <w:top w:val="single" w:sz="4" w:space="0" w:color="000000"/>
              <w:bottom w:val="single" w:sz="12" w:space="0" w:color="auto"/>
            </w:tcBorders>
            <w:shd w:val="clear" w:color="auto" w:fill="auto"/>
            <w:tcMar>
              <w:top w:w="28" w:type="dxa"/>
              <w:left w:w="28" w:type="dxa"/>
              <w:bottom w:w="28" w:type="dxa"/>
              <w:right w:w="28" w:type="dxa"/>
            </w:tcMar>
            <w:vAlign w:val="bottom"/>
          </w:tcPr>
          <w:p w:rsidR="00047930" w:rsidRPr="00222917" w:rsidRDefault="00047930" w:rsidP="00D67481">
            <w:pPr>
              <w:suppressAutoHyphens w:val="0"/>
              <w:snapToGrid w:val="0"/>
              <w:spacing w:before="80" w:after="80" w:line="220" w:lineRule="exact"/>
              <w:jc w:val="right"/>
              <w:rPr>
                <w:b/>
                <w:sz w:val="18"/>
                <w:lang w:val="en-US"/>
              </w:rPr>
            </w:pPr>
            <w:r w:rsidRPr="00222917">
              <w:rPr>
                <w:b/>
                <w:sz w:val="18"/>
                <w:lang w:val="en-US"/>
              </w:rPr>
              <w:t>6,998</w:t>
            </w:r>
          </w:p>
        </w:tc>
        <w:tc>
          <w:tcPr>
            <w:tcW w:w="851" w:type="dxa"/>
            <w:tcBorders>
              <w:top w:val="single" w:sz="4" w:space="0" w:color="000000"/>
              <w:bottom w:val="single" w:sz="12" w:space="0" w:color="auto"/>
            </w:tcBorders>
            <w:shd w:val="clear" w:color="auto" w:fill="auto"/>
            <w:tcMar>
              <w:top w:w="28" w:type="dxa"/>
              <w:left w:w="28" w:type="dxa"/>
              <w:bottom w:w="28" w:type="dxa"/>
              <w:right w:w="28" w:type="dxa"/>
            </w:tcMar>
            <w:vAlign w:val="bottom"/>
          </w:tcPr>
          <w:p w:rsidR="00047930" w:rsidRPr="00222917" w:rsidRDefault="00047930" w:rsidP="00D67481">
            <w:pPr>
              <w:suppressAutoHyphens w:val="0"/>
              <w:snapToGrid w:val="0"/>
              <w:spacing w:before="80" w:after="80" w:line="220" w:lineRule="exact"/>
              <w:jc w:val="right"/>
              <w:rPr>
                <w:b/>
                <w:sz w:val="18"/>
                <w:lang w:val="en-US"/>
              </w:rPr>
            </w:pPr>
            <w:r w:rsidRPr="00222917">
              <w:rPr>
                <w:b/>
                <w:sz w:val="18"/>
                <w:lang w:val="en-US"/>
              </w:rPr>
              <w:t>8,000</w:t>
            </w:r>
          </w:p>
        </w:tc>
        <w:tc>
          <w:tcPr>
            <w:tcW w:w="851" w:type="dxa"/>
            <w:tcBorders>
              <w:top w:val="single" w:sz="4" w:space="0" w:color="000000"/>
              <w:bottom w:val="single" w:sz="12" w:space="0" w:color="auto"/>
            </w:tcBorders>
            <w:shd w:val="clear" w:color="auto" w:fill="auto"/>
            <w:tcMar>
              <w:top w:w="28" w:type="dxa"/>
              <w:left w:w="28" w:type="dxa"/>
              <w:bottom w:w="28" w:type="dxa"/>
              <w:right w:w="28" w:type="dxa"/>
            </w:tcMar>
            <w:vAlign w:val="bottom"/>
          </w:tcPr>
          <w:p w:rsidR="00047930" w:rsidRPr="00222917" w:rsidRDefault="00047930" w:rsidP="00D67481">
            <w:pPr>
              <w:suppressAutoHyphens w:val="0"/>
              <w:snapToGrid w:val="0"/>
              <w:spacing w:before="80" w:after="80" w:line="220" w:lineRule="exact"/>
              <w:jc w:val="right"/>
              <w:rPr>
                <w:b/>
                <w:sz w:val="18"/>
                <w:lang w:val="en-US"/>
              </w:rPr>
            </w:pPr>
            <w:r w:rsidRPr="00222917">
              <w:rPr>
                <w:b/>
                <w:sz w:val="18"/>
                <w:lang w:val="en-US"/>
              </w:rPr>
              <w:t>8,903</w:t>
            </w:r>
          </w:p>
        </w:tc>
        <w:tc>
          <w:tcPr>
            <w:tcW w:w="851" w:type="dxa"/>
            <w:tcBorders>
              <w:top w:val="single" w:sz="4" w:space="0" w:color="000000"/>
              <w:bottom w:val="single" w:sz="12" w:space="0" w:color="auto"/>
            </w:tcBorders>
            <w:shd w:val="clear" w:color="auto" w:fill="auto"/>
            <w:tcMar>
              <w:top w:w="28" w:type="dxa"/>
              <w:left w:w="28" w:type="dxa"/>
              <w:bottom w:w="28" w:type="dxa"/>
              <w:right w:w="28" w:type="dxa"/>
            </w:tcMar>
            <w:vAlign w:val="bottom"/>
          </w:tcPr>
          <w:p w:rsidR="00047930" w:rsidRPr="00222917" w:rsidRDefault="00047930" w:rsidP="00D67481">
            <w:pPr>
              <w:suppressAutoHyphens w:val="0"/>
              <w:snapToGrid w:val="0"/>
              <w:spacing w:before="80" w:after="80" w:line="220" w:lineRule="exact"/>
              <w:jc w:val="right"/>
              <w:rPr>
                <w:b/>
                <w:sz w:val="18"/>
                <w:lang w:val="en-US"/>
              </w:rPr>
            </w:pPr>
            <w:r w:rsidRPr="00222917">
              <w:rPr>
                <w:b/>
                <w:sz w:val="18"/>
                <w:lang w:val="en-US"/>
              </w:rPr>
              <w:t>9,478</w:t>
            </w:r>
          </w:p>
        </w:tc>
        <w:tc>
          <w:tcPr>
            <w:tcW w:w="851" w:type="dxa"/>
            <w:tcBorders>
              <w:top w:val="single" w:sz="4" w:space="0" w:color="000000"/>
              <w:bottom w:val="single" w:sz="12" w:space="0" w:color="auto"/>
            </w:tcBorders>
            <w:shd w:val="clear" w:color="auto" w:fill="auto"/>
            <w:tcMar>
              <w:top w:w="28" w:type="dxa"/>
              <w:left w:w="28" w:type="dxa"/>
              <w:bottom w:w="28" w:type="dxa"/>
              <w:right w:w="28" w:type="dxa"/>
            </w:tcMar>
            <w:vAlign w:val="bottom"/>
          </w:tcPr>
          <w:p w:rsidR="00047930" w:rsidRPr="00222917" w:rsidRDefault="00047930" w:rsidP="00D67481">
            <w:pPr>
              <w:suppressAutoHyphens w:val="0"/>
              <w:snapToGrid w:val="0"/>
              <w:spacing w:before="80" w:after="80" w:line="220" w:lineRule="exact"/>
              <w:jc w:val="right"/>
              <w:rPr>
                <w:b/>
                <w:sz w:val="18"/>
                <w:lang w:val="en-US"/>
              </w:rPr>
            </w:pPr>
            <w:r w:rsidRPr="00222917">
              <w:rPr>
                <w:b/>
                <w:sz w:val="18"/>
                <w:lang w:val="en-US"/>
              </w:rPr>
              <w:t>9,570</w:t>
            </w:r>
          </w:p>
        </w:tc>
        <w:tc>
          <w:tcPr>
            <w:tcW w:w="851" w:type="dxa"/>
            <w:tcBorders>
              <w:top w:val="single" w:sz="4" w:space="0" w:color="000000"/>
              <w:bottom w:val="single" w:sz="12" w:space="0" w:color="auto"/>
            </w:tcBorders>
            <w:shd w:val="clear" w:color="auto" w:fill="auto"/>
            <w:tcMar>
              <w:top w:w="28" w:type="dxa"/>
              <w:left w:w="28" w:type="dxa"/>
              <w:bottom w:w="28" w:type="dxa"/>
              <w:right w:w="28" w:type="dxa"/>
            </w:tcMar>
            <w:vAlign w:val="bottom"/>
          </w:tcPr>
          <w:p w:rsidR="00047930" w:rsidRPr="00222917" w:rsidRDefault="00047930" w:rsidP="00D67481">
            <w:pPr>
              <w:suppressAutoHyphens w:val="0"/>
              <w:snapToGrid w:val="0"/>
              <w:spacing w:before="80" w:after="80" w:line="220" w:lineRule="exact"/>
              <w:jc w:val="right"/>
              <w:rPr>
                <w:b/>
                <w:sz w:val="18"/>
                <w:lang w:val="en-US"/>
              </w:rPr>
            </w:pPr>
            <w:r w:rsidRPr="00222917">
              <w:rPr>
                <w:b/>
                <w:sz w:val="18"/>
                <w:lang w:val="en-US"/>
              </w:rPr>
              <w:t>9,309</w:t>
            </w:r>
          </w:p>
        </w:tc>
        <w:tc>
          <w:tcPr>
            <w:tcW w:w="851" w:type="dxa"/>
            <w:tcBorders>
              <w:top w:val="single" w:sz="4" w:space="0" w:color="000000"/>
              <w:bottom w:val="single" w:sz="12" w:space="0" w:color="auto"/>
            </w:tcBorders>
            <w:shd w:val="clear" w:color="auto" w:fill="auto"/>
            <w:vAlign w:val="bottom"/>
          </w:tcPr>
          <w:p w:rsidR="00047930" w:rsidRPr="00222917" w:rsidRDefault="00047930" w:rsidP="00D67481">
            <w:pPr>
              <w:suppressAutoHyphens w:val="0"/>
              <w:snapToGrid w:val="0"/>
              <w:spacing w:before="80" w:after="80" w:line="220" w:lineRule="exact"/>
              <w:jc w:val="right"/>
              <w:rPr>
                <w:b/>
                <w:sz w:val="18"/>
                <w:lang w:val="en-US"/>
              </w:rPr>
            </w:pPr>
            <w:r w:rsidRPr="00222917">
              <w:rPr>
                <w:b/>
                <w:sz w:val="18"/>
                <w:lang w:val="en-US"/>
              </w:rPr>
              <w:t>9,199</w:t>
            </w:r>
          </w:p>
        </w:tc>
      </w:tr>
    </w:tbl>
    <w:p w:rsidR="002D5BB0" w:rsidRPr="00222917" w:rsidRDefault="00984B6F" w:rsidP="00984B6F">
      <w:pPr>
        <w:pStyle w:val="H23G"/>
        <w:rPr>
          <w:lang w:val="en-US"/>
        </w:rPr>
      </w:pPr>
      <w:r w:rsidRPr="00222917">
        <w:rPr>
          <w:lang w:val="en-US"/>
        </w:rPr>
        <w:tab/>
      </w:r>
      <w:r w:rsidRPr="00222917">
        <w:rPr>
          <w:lang w:val="en-US"/>
        </w:rPr>
        <w:tab/>
      </w:r>
      <w:r w:rsidR="002D5BB0" w:rsidRPr="00222917">
        <w:rPr>
          <w:lang w:val="en-US"/>
        </w:rPr>
        <w:t>Abused Children under Protection</w:t>
      </w:r>
    </w:p>
    <w:tbl>
      <w:tblPr>
        <w:tblW w:w="7371" w:type="dxa"/>
        <w:tblInd w:w="1134" w:type="dxa"/>
        <w:tblBorders>
          <w:top w:val="single" w:sz="4" w:space="0" w:color="auto"/>
        </w:tblBorders>
        <w:tblLayout w:type="fixed"/>
        <w:tblCellMar>
          <w:left w:w="0" w:type="dxa"/>
          <w:right w:w="0" w:type="dxa"/>
        </w:tblCellMar>
        <w:tblLook w:val="00A0"/>
      </w:tblPr>
      <w:tblGrid>
        <w:gridCol w:w="1416"/>
        <w:gridCol w:w="850"/>
        <w:gridCol w:w="851"/>
        <w:gridCol w:w="851"/>
        <w:gridCol w:w="851"/>
        <w:gridCol w:w="851"/>
        <w:gridCol w:w="851"/>
        <w:gridCol w:w="850"/>
      </w:tblGrid>
      <w:tr w:rsidR="00D67481" w:rsidRPr="00222917" w:rsidTr="00D67481">
        <w:trPr>
          <w:tblHeader/>
        </w:trPr>
        <w:tc>
          <w:tcPr>
            <w:tcW w:w="1416" w:type="dxa"/>
            <w:tcBorders>
              <w:top w:val="single" w:sz="4" w:space="0" w:color="auto"/>
              <w:bottom w:val="single" w:sz="12" w:space="0" w:color="auto"/>
            </w:tcBorders>
            <w:shd w:val="clear" w:color="auto" w:fill="auto"/>
            <w:vAlign w:val="bottom"/>
          </w:tcPr>
          <w:p w:rsidR="00D67481" w:rsidRPr="00222917" w:rsidRDefault="00D67481" w:rsidP="001C4E4C">
            <w:pPr>
              <w:suppressAutoHyphens w:val="0"/>
              <w:snapToGrid w:val="0"/>
              <w:spacing w:before="80" w:after="80" w:line="200" w:lineRule="exact"/>
              <w:rPr>
                <w:i/>
                <w:sz w:val="16"/>
                <w:lang w:val="en-US"/>
              </w:rPr>
            </w:pPr>
            <w:r w:rsidRPr="00222917">
              <w:rPr>
                <w:bCs/>
                <w:i/>
                <w:sz w:val="16"/>
                <w:lang w:val="en-US"/>
              </w:rPr>
              <w:t>Year</w:t>
            </w:r>
          </w:p>
        </w:tc>
        <w:tc>
          <w:tcPr>
            <w:tcW w:w="850" w:type="dxa"/>
            <w:tcBorders>
              <w:top w:val="single" w:sz="4" w:space="0" w:color="auto"/>
              <w:bottom w:val="single" w:sz="12" w:space="0" w:color="auto"/>
            </w:tcBorders>
            <w:shd w:val="clear" w:color="auto" w:fill="auto"/>
            <w:vAlign w:val="bottom"/>
          </w:tcPr>
          <w:p w:rsidR="00D67481" w:rsidRPr="00222917" w:rsidRDefault="00D67481" w:rsidP="001C4E4C">
            <w:pPr>
              <w:suppressAutoHyphens w:val="0"/>
              <w:snapToGrid w:val="0"/>
              <w:spacing w:before="80" w:after="80" w:line="200" w:lineRule="exact"/>
              <w:jc w:val="right"/>
              <w:rPr>
                <w:i/>
                <w:sz w:val="16"/>
                <w:lang w:val="en-US"/>
              </w:rPr>
            </w:pPr>
            <w:r w:rsidRPr="00222917">
              <w:rPr>
                <w:bCs/>
                <w:i/>
                <w:sz w:val="16"/>
                <w:lang w:val="en-US"/>
              </w:rPr>
              <w:t>2004</w:t>
            </w:r>
          </w:p>
        </w:tc>
        <w:tc>
          <w:tcPr>
            <w:tcW w:w="851" w:type="dxa"/>
            <w:tcBorders>
              <w:top w:val="single" w:sz="4" w:space="0" w:color="auto"/>
              <w:bottom w:val="single" w:sz="12" w:space="0" w:color="auto"/>
            </w:tcBorders>
            <w:shd w:val="clear" w:color="auto" w:fill="auto"/>
            <w:vAlign w:val="bottom"/>
          </w:tcPr>
          <w:p w:rsidR="00D67481" w:rsidRPr="00222917" w:rsidRDefault="00D67481" w:rsidP="001C4E4C">
            <w:pPr>
              <w:suppressAutoHyphens w:val="0"/>
              <w:snapToGrid w:val="0"/>
              <w:spacing w:before="80" w:after="80" w:line="200" w:lineRule="exact"/>
              <w:jc w:val="right"/>
              <w:rPr>
                <w:i/>
                <w:sz w:val="16"/>
                <w:lang w:val="en-US"/>
              </w:rPr>
            </w:pPr>
            <w:r w:rsidRPr="00222917">
              <w:rPr>
                <w:bCs/>
                <w:i/>
                <w:sz w:val="16"/>
                <w:lang w:val="en-US"/>
              </w:rPr>
              <w:t>2005</w:t>
            </w:r>
          </w:p>
        </w:tc>
        <w:tc>
          <w:tcPr>
            <w:tcW w:w="851" w:type="dxa"/>
            <w:tcBorders>
              <w:top w:val="single" w:sz="4" w:space="0" w:color="auto"/>
              <w:bottom w:val="single" w:sz="12" w:space="0" w:color="auto"/>
            </w:tcBorders>
            <w:shd w:val="clear" w:color="auto" w:fill="auto"/>
            <w:tcMar>
              <w:top w:w="28" w:type="dxa"/>
              <w:bottom w:w="28" w:type="dxa"/>
            </w:tcMar>
            <w:vAlign w:val="bottom"/>
          </w:tcPr>
          <w:p w:rsidR="00D67481" w:rsidRPr="00222917" w:rsidRDefault="00D67481" w:rsidP="001C4E4C">
            <w:pPr>
              <w:suppressAutoHyphens w:val="0"/>
              <w:snapToGrid w:val="0"/>
              <w:spacing w:before="80" w:after="80" w:line="200" w:lineRule="exact"/>
              <w:jc w:val="right"/>
              <w:rPr>
                <w:i/>
                <w:sz w:val="16"/>
                <w:lang w:val="en-US"/>
              </w:rPr>
            </w:pPr>
            <w:r w:rsidRPr="00222917">
              <w:rPr>
                <w:bCs/>
                <w:i/>
                <w:sz w:val="16"/>
                <w:lang w:val="en-US"/>
              </w:rPr>
              <w:t>2006</w:t>
            </w:r>
          </w:p>
        </w:tc>
        <w:tc>
          <w:tcPr>
            <w:tcW w:w="851"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D67481" w:rsidRPr="00222917" w:rsidRDefault="00D67481" w:rsidP="001C4E4C">
            <w:pPr>
              <w:suppressAutoHyphens w:val="0"/>
              <w:snapToGrid w:val="0"/>
              <w:spacing w:before="80" w:after="80" w:line="200" w:lineRule="exact"/>
              <w:jc w:val="right"/>
              <w:rPr>
                <w:i/>
                <w:sz w:val="16"/>
                <w:lang w:val="en-US"/>
              </w:rPr>
            </w:pPr>
            <w:r w:rsidRPr="00222917">
              <w:rPr>
                <w:bCs/>
                <w:i/>
                <w:sz w:val="16"/>
                <w:lang w:val="en-US"/>
              </w:rPr>
              <w:t>2007</w:t>
            </w:r>
          </w:p>
        </w:tc>
        <w:tc>
          <w:tcPr>
            <w:tcW w:w="851" w:type="dxa"/>
            <w:tcBorders>
              <w:top w:val="single" w:sz="4" w:space="0" w:color="auto"/>
              <w:bottom w:val="single" w:sz="12" w:space="0" w:color="auto"/>
            </w:tcBorders>
            <w:shd w:val="clear" w:color="auto" w:fill="auto"/>
            <w:tcMar>
              <w:top w:w="28" w:type="dxa"/>
              <w:left w:w="102" w:type="dxa"/>
              <w:bottom w:w="28" w:type="dxa"/>
              <w:right w:w="102" w:type="dxa"/>
            </w:tcMar>
            <w:vAlign w:val="bottom"/>
          </w:tcPr>
          <w:p w:rsidR="00D67481" w:rsidRPr="00222917" w:rsidRDefault="00D67481" w:rsidP="001C4E4C">
            <w:pPr>
              <w:suppressAutoHyphens w:val="0"/>
              <w:snapToGrid w:val="0"/>
              <w:spacing w:before="80" w:after="80" w:line="200" w:lineRule="exact"/>
              <w:jc w:val="right"/>
              <w:rPr>
                <w:i/>
                <w:sz w:val="16"/>
                <w:lang w:val="en-US"/>
              </w:rPr>
            </w:pPr>
            <w:r w:rsidRPr="00222917">
              <w:rPr>
                <w:bCs/>
                <w:i/>
                <w:sz w:val="16"/>
                <w:lang w:val="en-US"/>
              </w:rPr>
              <w:t>2008</w:t>
            </w:r>
          </w:p>
        </w:tc>
        <w:tc>
          <w:tcPr>
            <w:tcW w:w="851" w:type="dxa"/>
            <w:tcBorders>
              <w:top w:val="single" w:sz="4" w:space="0" w:color="auto"/>
              <w:bottom w:val="single" w:sz="12" w:space="0" w:color="auto"/>
            </w:tcBorders>
            <w:shd w:val="clear" w:color="auto" w:fill="auto"/>
            <w:tcMar>
              <w:left w:w="102" w:type="dxa"/>
              <w:right w:w="102" w:type="dxa"/>
            </w:tcMar>
            <w:vAlign w:val="bottom"/>
          </w:tcPr>
          <w:p w:rsidR="00D67481" w:rsidRPr="00222917" w:rsidRDefault="00D67481" w:rsidP="001C4E4C">
            <w:pPr>
              <w:suppressAutoHyphens w:val="0"/>
              <w:snapToGrid w:val="0"/>
              <w:spacing w:before="80" w:after="80" w:line="200" w:lineRule="exact"/>
              <w:jc w:val="right"/>
              <w:rPr>
                <w:i/>
                <w:sz w:val="16"/>
                <w:lang w:val="en-US"/>
              </w:rPr>
            </w:pPr>
            <w:r w:rsidRPr="00222917">
              <w:rPr>
                <w:bCs/>
                <w:i/>
                <w:sz w:val="16"/>
                <w:lang w:val="en-US"/>
              </w:rPr>
              <w:t>2009</w:t>
            </w:r>
          </w:p>
        </w:tc>
        <w:tc>
          <w:tcPr>
            <w:tcW w:w="850" w:type="dxa"/>
            <w:tcBorders>
              <w:top w:val="single" w:sz="4" w:space="0" w:color="auto"/>
              <w:bottom w:val="single" w:sz="12" w:space="0" w:color="auto"/>
            </w:tcBorders>
            <w:shd w:val="clear" w:color="auto" w:fill="auto"/>
            <w:vAlign w:val="bottom"/>
          </w:tcPr>
          <w:p w:rsidR="00D67481" w:rsidRPr="00222917" w:rsidRDefault="00D67481" w:rsidP="001C4E4C">
            <w:pPr>
              <w:suppressAutoHyphens w:val="0"/>
              <w:snapToGrid w:val="0"/>
              <w:spacing w:before="80" w:after="80" w:line="200" w:lineRule="exact"/>
              <w:jc w:val="right"/>
              <w:rPr>
                <w:bCs/>
                <w:i/>
                <w:sz w:val="16"/>
                <w:lang w:val="en-US"/>
              </w:rPr>
            </w:pPr>
            <w:r w:rsidRPr="00222917">
              <w:rPr>
                <w:bCs/>
                <w:i/>
                <w:sz w:val="16"/>
                <w:lang w:val="en-US"/>
              </w:rPr>
              <w:t>2010</w:t>
            </w:r>
          </w:p>
        </w:tc>
      </w:tr>
      <w:tr w:rsidR="00D67481" w:rsidRPr="00222917" w:rsidTr="001C4E4C">
        <w:tc>
          <w:tcPr>
            <w:tcW w:w="1416" w:type="dxa"/>
            <w:tcBorders>
              <w:top w:val="single" w:sz="12" w:space="0" w:color="auto"/>
              <w:bottom w:val="single" w:sz="12" w:space="0" w:color="000000"/>
            </w:tcBorders>
            <w:shd w:val="clear" w:color="auto" w:fill="auto"/>
            <w:tcMar>
              <w:top w:w="28" w:type="dxa"/>
              <w:left w:w="28" w:type="dxa"/>
              <w:bottom w:w="28" w:type="dxa"/>
              <w:right w:w="28" w:type="dxa"/>
            </w:tcMar>
          </w:tcPr>
          <w:p w:rsidR="00D67481" w:rsidRPr="00222917" w:rsidRDefault="00D67481" w:rsidP="001C4E4C">
            <w:pPr>
              <w:suppressAutoHyphens w:val="0"/>
              <w:snapToGrid w:val="0"/>
              <w:spacing w:before="40" w:after="40" w:line="220" w:lineRule="exact"/>
              <w:rPr>
                <w:sz w:val="18"/>
                <w:lang w:val="en-US"/>
              </w:rPr>
            </w:pPr>
            <w:r w:rsidRPr="00222917">
              <w:rPr>
                <w:sz w:val="18"/>
                <w:lang w:val="en-US"/>
              </w:rPr>
              <w:t>Number of protected children</w:t>
            </w:r>
          </w:p>
        </w:tc>
        <w:tc>
          <w:tcPr>
            <w:tcW w:w="850" w:type="dxa"/>
            <w:tcBorders>
              <w:top w:val="single" w:sz="12" w:space="0" w:color="auto"/>
              <w:bottom w:val="single" w:sz="12" w:space="0" w:color="000000"/>
            </w:tcBorders>
            <w:shd w:val="clear" w:color="auto" w:fill="auto"/>
            <w:tcMar>
              <w:top w:w="28" w:type="dxa"/>
              <w:left w:w="28" w:type="dxa"/>
              <w:bottom w:w="28" w:type="dxa"/>
              <w:right w:w="28" w:type="dxa"/>
            </w:tcMar>
            <w:vAlign w:val="bottom"/>
          </w:tcPr>
          <w:p w:rsidR="00D67481" w:rsidRPr="00222917" w:rsidRDefault="00D67481" w:rsidP="001C4E4C">
            <w:pPr>
              <w:suppressAutoHyphens w:val="0"/>
              <w:snapToGrid w:val="0"/>
              <w:spacing w:before="40" w:after="40" w:line="220" w:lineRule="exact"/>
              <w:jc w:val="right"/>
              <w:rPr>
                <w:sz w:val="18"/>
                <w:lang w:val="en-US"/>
              </w:rPr>
            </w:pPr>
            <w:r w:rsidRPr="00222917">
              <w:rPr>
                <w:sz w:val="18"/>
                <w:lang w:val="en-US"/>
              </w:rPr>
              <w:t>3,891</w:t>
            </w:r>
          </w:p>
        </w:tc>
        <w:tc>
          <w:tcPr>
            <w:tcW w:w="851" w:type="dxa"/>
            <w:tcBorders>
              <w:top w:val="single" w:sz="12" w:space="0" w:color="auto"/>
              <w:bottom w:val="single" w:sz="12" w:space="0" w:color="000000"/>
            </w:tcBorders>
            <w:shd w:val="clear" w:color="auto" w:fill="auto"/>
            <w:tcMar>
              <w:top w:w="28" w:type="dxa"/>
              <w:left w:w="28" w:type="dxa"/>
              <w:bottom w:w="28" w:type="dxa"/>
              <w:right w:w="28" w:type="dxa"/>
            </w:tcMar>
            <w:vAlign w:val="bottom"/>
          </w:tcPr>
          <w:p w:rsidR="00D67481" w:rsidRPr="00222917" w:rsidRDefault="00D67481" w:rsidP="001C4E4C">
            <w:pPr>
              <w:suppressAutoHyphens w:val="0"/>
              <w:snapToGrid w:val="0"/>
              <w:spacing w:before="40" w:after="40" w:line="220" w:lineRule="exact"/>
              <w:jc w:val="right"/>
              <w:rPr>
                <w:sz w:val="18"/>
                <w:lang w:val="en-US"/>
              </w:rPr>
            </w:pPr>
            <w:r w:rsidRPr="00222917">
              <w:rPr>
                <w:sz w:val="18"/>
                <w:lang w:val="en-US"/>
              </w:rPr>
              <w:t>4,633</w:t>
            </w:r>
          </w:p>
        </w:tc>
        <w:tc>
          <w:tcPr>
            <w:tcW w:w="851" w:type="dxa"/>
            <w:tcBorders>
              <w:top w:val="single" w:sz="12" w:space="0" w:color="auto"/>
              <w:bottom w:val="single" w:sz="12" w:space="0" w:color="000000"/>
            </w:tcBorders>
            <w:shd w:val="clear" w:color="auto" w:fill="auto"/>
            <w:tcMar>
              <w:top w:w="28" w:type="dxa"/>
              <w:left w:w="28" w:type="dxa"/>
              <w:bottom w:w="28" w:type="dxa"/>
              <w:right w:w="28" w:type="dxa"/>
            </w:tcMar>
            <w:vAlign w:val="bottom"/>
          </w:tcPr>
          <w:p w:rsidR="00D67481" w:rsidRPr="00222917" w:rsidRDefault="00D67481" w:rsidP="001C4E4C">
            <w:pPr>
              <w:suppressAutoHyphens w:val="0"/>
              <w:snapToGrid w:val="0"/>
              <w:spacing w:before="40" w:after="40" w:line="220" w:lineRule="exact"/>
              <w:jc w:val="right"/>
              <w:rPr>
                <w:sz w:val="18"/>
                <w:lang w:val="en-US"/>
              </w:rPr>
            </w:pPr>
            <w:r w:rsidRPr="00222917">
              <w:rPr>
                <w:sz w:val="18"/>
                <w:lang w:val="en-US"/>
              </w:rPr>
              <w:t>5,202</w:t>
            </w:r>
          </w:p>
        </w:tc>
        <w:tc>
          <w:tcPr>
            <w:tcW w:w="851" w:type="dxa"/>
            <w:tcBorders>
              <w:top w:val="single" w:sz="12" w:space="0" w:color="auto"/>
              <w:bottom w:val="single" w:sz="12" w:space="0" w:color="000000"/>
            </w:tcBorders>
            <w:shd w:val="clear" w:color="auto" w:fill="auto"/>
            <w:tcMar>
              <w:top w:w="28" w:type="dxa"/>
              <w:left w:w="28" w:type="dxa"/>
              <w:bottom w:w="28" w:type="dxa"/>
              <w:right w:w="28" w:type="dxa"/>
            </w:tcMar>
            <w:vAlign w:val="bottom"/>
          </w:tcPr>
          <w:p w:rsidR="00D67481" w:rsidRPr="00222917" w:rsidRDefault="00D67481" w:rsidP="001C4E4C">
            <w:pPr>
              <w:suppressAutoHyphens w:val="0"/>
              <w:snapToGrid w:val="0"/>
              <w:spacing w:before="40" w:after="40" w:line="220" w:lineRule="exact"/>
              <w:jc w:val="right"/>
              <w:rPr>
                <w:sz w:val="18"/>
                <w:lang w:val="en-US"/>
              </w:rPr>
            </w:pPr>
            <w:r w:rsidRPr="00222917">
              <w:rPr>
                <w:sz w:val="18"/>
                <w:lang w:val="en-US"/>
              </w:rPr>
              <w:t>5,581</w:t>
            </w:r>
          </w:p>
        </w:tc>
        <w:tc>
          <w:tcPr>
            <w:tcW w:w="851" w:type="dxa"/>
            <w:tcBorders>
              <w:top w:val="single" w:sz="12" w:space="0" w:color="auto"/>
              <w:bottom w:val="single" w:sz="12" w:space="0" w:color="000000"/>
            </w:tcBorders>
            <w:shd w:val="clear" w:color="auto" w:fill="auto"/>
            <w:tcMar>
              <w:top w:w="28" w:type="dxa"/>
              <w:left w:w="28" w:type="dxa"/>
              <w:bottom w:w="28" w:type="dxa"/>
              <w:right w:w="28" w:type="dxa"/>
            </w:tcMar>
            <w:vAlign w:val="bottom"/>
          </w:tcPr>
          <w:p w:rsidR="00D67481" w:rsidRPr="00222917" w:rsidRDefault="00D67481" w:rsidP="001C4E4C">
            <w:pPr>
              <w:suppressAutoHyphens w:val="0"/>
              <w:snapToGrid w:val="0"/>
              <w:spacing w:before="40" w:after="40" w:line="220" w:lineRule="exact"/>
              <w:jc w:val="right"/>
              <w:rPr>
                <w:sz w:val="18"/>
                <w:lang w:val="en-US"/>
              </w:rPr>
            </w:pPr>
            <w:r w:rsidRPr="00222917">
              <w:rPr>
                <w:sz w:val="18"/>
                <w:lang w:val="en-US"/>
              </w:rPr>
              <w:t>5,578</w:t>
            </w:r>
          </w:p>
        </w:tc>
        <w:tc>
          <w:tcPr>
            <w:tcW w:w="851" w:type="dxa"/>
            <w:tcBorders>
              <w:top w:val="single" w:sz="12" w:space="0" w:color="auto"/>
              <w:bottom w:val="single" w:sz="12" w:space="0" w:color="000000"/>
            </w:tcBorders>
            <w:shd w:val="clear" w:color="auto" w:fill="auto"/>
            <w:tcMar>
              <w:top w:w="28" w:type="dxa"/>
              <w:left w:w="28" w:type="dxa"/>
              <w:bottom w:w="28" w:type="dxa"/>
              <w:right w:w="28" w:type="dxa"/>
            </w:tcMar>
            <w:vAlign w:val="bottom"/>
          </w:tcPr>
          <w:p w:rsidR="00D67481" w:rsidRPr="00222917" w:rsidRDefault="00D67481" w:rsidP="001C4E4C">
            <w:pPr>
              <w:suppressAutoHyphens w:val="0"/>
              <w:snapToGrid w:val="0"/>
              <w:spacing w:before="40" w:after="40" w:line="220" w:lineRule="exact"/>
              <w:jc w:val="right"/>
              <w:rPr>
                <w:sz w:val="18"/>
                <w:lang w:val="en-US"/>
              </w:rPr>
            </w:pPr>
            <w:r w:rsidRPr="00222917">
              <w:rPr>
                <w:sz w:val="18"/>
                <w:lang w:val="en-US"/>
              </w:rPr>
              <w:t>5,685</w:t>
            </w:r>
          </w:p>
        </w:tc>
        <w:tc>
          <w:tcPr>
            <w:tcW w:w="850" w:type="dxa"/>
            <w:tcBorders>
              <w:top w:val="single" w:sz="12" w:space="0" w:color="auto"/>
              <w:bottom w:val="single" w:sz="12" w:space="0" w:color="000000"/>
            </w:tcBorders>
            <w:shd w:val="clear" w:color="auto" w:fill="auto"/>
            <w:vAlign w:val="bottom"/>
          </w:tcPr>
          <w:p w:rsidR="00D67481" w:rsidRPr="00222917" w:rsidRDefault="00D67481" w:rsidP="001C4E4C">
            <w:pPr>
              <w:suppressAutoHyphens w:val="0"/>
              <w:snapToGrid w:val="0"/>
              <w:spacing w:before="40" w:after="40" w:line="220" w:lineRule="exact"/>
              <w:jc w:val="right"/>
              <w:rPr>
                <w:sz w:val="18"/>
                <w:lang w:val="en-US"/>
              </w:rPr>
            </w:pPr>
            <w:r w:rsidRPr="00222917">
              <w:rPr>
                <w:sz w:val="18"/>
                <w:lang w:val="en-US"/>
              </w:rPr>
              <w:t>5,657</w:t>
            </w:r>
          </w:p>
        </w:tc>
      </w:tr>
    </w:tbl>
    <w:p w:rsidR="002D5BB0" w:rsidRPr="00222917" w:rsidRDefault="00984B6F" w:rsidP="00984B6F">
      <w:pPr>
        <w:pStyle w:val="H23G"/>
        <w:rPr>
          <w:lang w:val="en-US"/>
        </w:rPr>
      </w:pPr>
      <w:bookmarkStart w:id="293" w:name="_Toc307504168"/>
      <w:bookmarkStart w:id="294" w:name="_Toc336435940"/>
      <w:r w:rsidRPr="00222917">
        <w:rPr>
          <w:lang w:val="en-US"/>
        </w:rPr>
        <w:tab/>
      </w:r>
      <w:r w:rsidRPr="00222917">
        <w:rPr>
          <w:lang w:val="en-US"/>
        </w:rPr>
        <w:tab/>
      </w:r>
      <w:r w:rsidR="002D5BB0" w:rsidRPr="00222917">
        <w:rPr>
          <w:lang w:val="en-US"/>
        </w:rPr>
        <w:t>Protection from Child Sexual Abuse</w:t>
      </w:r>
      <w:bookmarkEnd w:id="293"/>
      <w:bookmarkEnd w:id="294"/>
    </w:p>
    <w:p w:rsidR="002D5BB0" w:rsidRPr="00222917" w:rsidRDefault="00547908" w:rsidP="00547908">
      <w:pPr>
        <w:pStyle w:val="SingleTxtG"/>
        <w:rPr>
          <w:lang w:val="en-US"/>
        </w:rPr>
      </w:pPr>
      <w:r w:rsidRPr="00222917">
        <w:rPr>
          <w:lang w:val="en-US"/>
        </w:rPr>
        <w:t>340.</w:t>
      </w:r>
      <w:r w:rsidRPr="00222917">
        <w:rPr>
          <w:lang w:val="en-US"/>
        </w:rPr>
        <w:tab/>
      </w:r>
      <w:r w:rsidR="002D5BB0" w:rsidRPr="00222917">
        <w:rPr>
          <w:lang w:val="en-US"/>
        </w:rPr>
        <w:t>The enactment and main provisions of the</w:t>
      </w:r>
      <w:r w:rsidR="002D5BB0" w:rsidRPr="00222917">
        <w:rPr>
          <w:i/>
          <w:lang w:val="en-US"/>
        </w:rPr>
        <w:t xml:space="preserve"> </w:t>
      </w:r>
      <w:r w:rsidR="002D5BB0" w:rsidRPr="00367065">
        <w:rPr>
          <w:iCs/>
          <w:lang w:val="en-US"/>
        </w:rPr>
        <w:t>Act on Protection of Juvenile Sex</w:t>
      </w:r>
      <w:r w:rsidR="002D5BB0" w:rsidRPr="00222917">
        <w:rPr>
          <w:lang w:val="en-US"/>
        </w:rPr>
        <w:t>, and the introduction and details of disclosure of identity of offenders are as stated in the third re</w:t>
      </w:r>
      <w:r w:rsidR="00984B6F" w:rsidRPr="00222917">
        <w:rPr>
          <w:lang w:val="en-US"/>
        </w:rPr>
        <w:t>port (CCPR/C/KOR/2005/3, paras. 351-</w:t>
      </w:r>
      <w:r w:rsidR="002D5BB0" w:rsidRPr="00222917">
        <w:rPr>
          <w:lang w:val="en-US"/>
        </w:rPr>
        <w:t xml:space="preserve">356). </w:t>
      </w:r>
    </w:p>
    <w:p w:rsidR="002D5BB0" w:rsidRPr="00222917" w:rsidRDefault="00547908" w:rsidP="00547908">
      <w:pPr>
        <w:pStyle w:val="SingleTxtG"/>
        <w:rPr>
          <w:lang w:val="en-US"/>
        </w:rPr>
      </w:pPr>
      <w:r w:rsidRPr="00222917">
        <w:rPr>
          <w:lang w:val="en-US"/>
        </w:rPr>
        <w:t>341.</w:t>
      </w:r>
      <w:r w:rsidRPr="00222917">
        <w:rPr>
          <w:lang w:val="en-US"/>
        </w:rPr>
        <w:tab/>
      </w:r>
      <w:r w:rsidR="002D5BB0" w:rsidRPr="00222917">
        <w:rPr>
          <w:lang w:val="en-US"/>
        </w:rPr>
        <w:t xml:space="preserve">There has been a steady rise in sexual crimes, which has in turn led to more and more kidnappings or inducements of children for sexual abuse and murder. Sex criminals are more prone to recidivism than other criminals, and they tend to commit their crimes secretly. That has invited criticism that in order to effectively prevent these crimes, sex offenders should be given harsher punishments, and institutional mechanisms need to be laid down to prevent recurrence of the crimes and protect victims. </w:t>
      </w:r>
    </w:p>
    <w:p w:rsidR="002D5BB0" w:rsidRPr="00222917" w:rsidRDefault="00547908" w:rsidP="00547908">
      <w:pPr>
        <w:pStyle w:val="SingleTxtG"/>
        <w:rPr>
          <w:lang w:val="en-US"/>
        </w:rPr>
      </w:pPr>
      <w:r w:rsidRPr="00222917">
        <w:rPr>
          <w:lang w:val="en-US"/>
        </w:rPr>
        <w:t>342.</w:t>
      </w:r>
      <w:r w:rsidRPr="00222917">
        <w:rPr>
          <w:lang w:val="en-US"/>
        </w:rPr>
        <w:tab/>
      </w:r>
      <w:r w:rsidR="002D5BB0" w:rsidRPr="00222917">
        <w:rPr>
          <w:lang w:val="en-US"/>
        </w:rPr>
        <w:t xml:space="preserve">Under the </w:t>
      </w:r>
      <w:r w:rsidR="002D5BB0" w:rsidRPr="00367065">
        <w:rPr>
          <w:iCs/>
          <w:lang w:val="en-US"/>
        </w:rPr>
        <w:t>Criminal Act</w:t>
      </w:r>
      <w:r w:rsidR="002D5BB0" w:rsidRPr="00222917">
        <w:rPr>
          <w:lang w:val="en-US"/>
        </w:rPr>
        <w:t xml:space="preserve">, </w:t>
      </w:r>
      <w:r w:rsidR="002D5BB0" w:rsidRPr="00367065">
        <w:rPr>
          <w:iCs/>
          <w:lang w:val="en-US"/>
        </w:rPr>
        <w:t>the Act on the Protection of Children and Juveniles from Sexual Abuse</w:t>
      </w:r>
      <w:r w:rsidR="002D5BB0" w:rsidRPr="00222917">
        <w:rPr>
          <w:lang w:val="en-US"/>
        </w:rPr>
        <w:t xml:space="preserve">, the </w:t>
      </w:r>
      <w:r w:rsidR="002D5BB0" w:rsidRPr="00367065">
        <w:rPr>
          <w:iCs/>
          <w:lang w:val="en-US"/>
        </w:rPr>
        <w:t>Child Welfare Act</w:t>
      </w:r>
      <w:r w:rsidR="002D5BB0" w:rsidRPr="00222917">
        <w:rPr>
          <w:lang w:val="en-US"/>
        </w:rPr>
        <w:t xml:space="preserve">, and the </w:t>
      </w:r>
      <w:r w:rsidR="002D5BB0" w:rsidRPr="00367065">
        <w:rPr>
          <w:iCs/>
          <w:lang w:val="en-US"/>
        </w:rPr>
        <w:t>Act on the Punishment of Sexual Crimes and Protection of Victims Thereof</w:t>
      </w:r>
      <w:r w:rsidR="002D5BB0" w:rsidRPr="00222917">
        <w:rPr>
          <w:lang w:val="en-US"/>
        </w:rPr>
        <w:t xml:space="preserve">, any sexual crimes committed against children and juveniles incur heavier punishment than other crimes in general. </w:t>
      </w:r>
    </w:p>
    <w:p w:rsidR="002D5BB0" w:rsidRPr="00222917" w:rsidRDefault="00984B6F" w:rsidP="00984B6F">
      <w:pPr>
        <w:pStyle w:val="H23G"/>
        <w:rPr>
          <w:lang w:val="en-US"/>
        </w:rPr>
      </w:pPr>
      <w:r w:rsidRPr="00222917">
        <w:rPr>
          <w:lang w:val="en-US"/>
        </w:rPr>
        <w:tab/>
      </w:r>
      <w:r w:rsidRPr="00222917">
        <w:rPr>
          <w:lang w:val="en-US"/>
        </w:rPr>
        <w:tab/>
      </w:r>
      <w:r w:rsidR="002D5BB0" w:rsidRPr="00222917">
        <w:rPr>
          <w:lang w:val="en-US"/>
        </w:rPr>
        <w:t>Punitive Provisions for Major Sex Crimes such as Rape</w:t>
      </w:r>
    </w:p>
    <w:tbl>
      <w:tblPr>
        <w:tblW w:w="8505" w:type="dxa"/>
        <w:tblInd w:w="1134" w:type="dxa"/>
        <w:tblBorders>
          <w:top w:val="single" w:sz="4" w:space="0" w:color="auto"/>
        </w:tblBorders>
        <w:tblLayout w:type="fixed"/>
        <w:tblCellMar>
          <w:left w:w="0" w:type="dxa"/>
          <w:right w:w="113" w:type="dxa"/>
        </w:tblCellMar>
        <w:tblLook w:val="00A0"/>
      </w:tblPr>
      <w:tblGrid>
        <w:gridCol w:w="1701"/>
        <w:gridCol w:w="2268"/>
        <w:gridCol w:w="2268"/>
        <w:gridCol w:w="2268"/>
      </w:tblGrid>
      <w:tr w:rsidR="00047930" w:rsidRPr="00222917" w:rsidTr="009A1673">
        <w:trPr>
          <w:tblHeader/>
        </w:trPr>
        <w:tc>
          <w:tcPr>
            <w:tcW w:w="1701"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D5BB0" w:rsidRPr="00222917" w:rsidRDefault="002D5BB0" w:rsidP="009A1673">
            <w:pPr>
              <w:pStyle w:val="SingleTxtG"/>
              <w:suppressAutoHyphens w:val="0"/>
              <w:spacing w:before="80" w:after="80" w:line="200" w:lineRule="exact"/>
              <w:ind w:left="0" w:right="0"/>
              <w:jc w:val="left"/>
              <w:rPr>
                <w:i/>
                <w:sz w:val="16"/>
                <w:lang w:val="en-US"/>
              </w:rPr>
            </w:pPr>
            <w:r w:rsidRPr="00222917">
              <w:rPr>
                <w:bCs/>
                <w:i/>
                <w:sz w:val="16"/>
                <w:lang w:val="en-US"/>
              </w:rPr>
              <w:t>Age</w:t>
            </w:r>
          </w:p>
        </w:tc>
        <w:tc>
          <w:tcPr>
            <w:tcW w:w="226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D5BB0" w:rsidRPr="00222917" w:rsidRDefault="002D5BB0" w:rsidP="009A1673">
            <w:pPr>
              <w:pStyle w:val="SingleTxtG"/>
              <w:suppressAutoHyphens w:val="0"/>
              <w:spacing w:before="80" w:after="80" w:line="200" w:lineRule="exact"/>
              <w:ind w:left="0" w:right="0"/>
              <w:jc w:val="left"/>
              <w:rPr>
                <w:i/>
                <w:sz w:val="16"/>
                <w:lang w:val="en-US"/>
              </w:rPr>
            </w:pPr>
            <w:r w:rsidRPr="00222917">
              <w:rPr>
                <w:bCs/>
                <w:i/>
                <w:sz w:val="16"/>
                <w:lang w:val="en-US"/>
              </w:rPr>
              <w:t>Under 13</w:t>
            </w:r>
          </w:p>
        </w:tc>
        <w:tc>
          <w:tcPr>
            <w:tcW w:w="226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D5BB0" w:rsidRPr="00222917" w:rsidRDefault="002D5BB0" w:rsidP="009A1673">
            <w:pPr>
              <w:pStyle w:val="SingleTxtG"/>
              <w:suppressAutoHyphens w:val="0"/>
              <w:spacing w:before="80" w:after="80" w:line="200" w:lineRule="exact"/>
              <w:ind w:left="0" w:right="0"/>
              <w:jc w:val="left"/>
              <w:rPr>
                <w:i/>
                <w:sz w:val="16"/>
                <w:lang w:val="en-US"/>
              </w:rPr>
            </w:pPr>
            <w:r w:rsidRPr="00222917">
              <w:rPr>
                <w:bCs/>
                <w:i/>
                <w:sz w:val="16"/>
                <w:lang w:val="en-US"/>
              </w:rPr>
              <w:t>13 -18</w:t>
            </w:r>
          </w:p>
        </w:tc>
        <w:tc>
          <w:tcPr>
            <w:tcW w:w="226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D5BB0" w:rsidRPr="00222917" w:rsidRDefault="002D5BB0" w:rsidP="009A1673">
            <w:pPr>
              <w:pStyle w:val="SingleTxtG"/>
              <w:suppressAutoHyphens w:val="0"/>
              <w:spacing w:before="80" w:after="80" w:line="200" w:lineRule="exact"/>
              <w:ind w:left="0" w:right="0"/>
              <w:jc w:val="left"/>
              <w:rPr>
                <w:i/>
                <w:sz w:val="16"/>
                <w:lang w:val="en-US"/>
              </w:rPr>
            </w:pPr>
            <w:r w:rsidRPr="00222917">
              <w:rPr>
                <w:bCs/>
                <w:i/>
                <w:sz w:val="16"/>
                <w:lang w:val="en-US"/>
              </w:rPr>
              <w:t>19 or older</w:t>
            </w:r>
          </w:p>
        </w:tc>
      </w:tr>
      <w:tr w:rsidR="00047930" w:rsidRPr="00222917" w:rsidTr="009A1673">
        <w:tc>
          <w:tcPr>
            <w:tcW w:w="1701" w:type="dxa"/>
            <w:tcBorders>
              <w:top w:val="single" w:sz="12" w:space="0" w:color="auto"/>
            </w:tcBorders>
            <w:shd w:val="clear" w:color="auto" w:fill="auto"/>
            <w:tcMar>
              <w:top w:w="0" w:type="dxa"/>
              <w:left w:w="0" w:type="dxa"/>
              <w:bottom w:w="0" w:type="dxa"/>
              <w:right w:w="0" w:type="dxa"/>
            </w:tcMar>
          </w:tcPr>
          <w:p w:rsidR="002D5BB0" w:rsidRPr="00222917" w:rsidRDefault="002D5BB0" w:rsidP="00B6392D">
            <w:pPr>
              <w:pStyle w:val="SingleTxtG"/>
              <w:suppressAutoHyphens w:val="0"/>
              <w:spacing w:before="40" w:line="220" w:lineRule="atLeast"/>
              <w:ind w:left="0" w:right="0"/>
              <w:jc w:val="left"/>
              <w:rPr>
                <w:sz w:val="18"/>
                <w:szCs w:val="18"/>
                <w:lang w:val="en-US"/>
              </w:rPr>
            </w:pPr>
            <w:r w:rsidRPr="00222917">
              <w:rPr>
                <w:sz w:val="18"/>
                <w:szCs w:val="18"/>
                <w:lang w:val="en-US"/>
              </w:rPr>
              <w:t>Rape</w:t>
            </w:r>
          </w:p>
        </w:tc>
        <w:tc>
          <w:tcPr>
            <w:tcW w:w="2268" w:type="dxa"/>
            <w:tcBorders>
              <w:top w:val="single" w:sz="12" w:space="0" w:color="auto"/>
            </w:tcBorders>
            <w:shd w:val="clear" w:color="auto" w:fill="auto"/>
            <w:tcMar>
              <w:top w:w="0" w:type="dxa"/>
              <w:left w:w="0" w:type="dxa"/>
              <w:bottom w:w="0" w:type="dxa"/>
              <w:right w:w="0" w:type="dxa"/>
            </w:tcMar>
          </w:tcPr>
          <w:p w:rsidR="002D5BB0" w:rsidRPr="00222917" w:rsidRDefault="002D5BB0" w:rsidP="00B6392D">
            <w:pPr>
              <w:pStyle w:val="SingleTxtG"/>
              <w:suppressAutoHyphens w:val="0"/>
              <w:spacing w:before="40" w:line="220" w:lineRule="atLeast"/>
              <w:ind w:left="0" w:right="0"/>
              <w:jc w:val="left"/>
              <w:rPr>
                <w:sz w:val="18"/>
                <w:szCs w:val="18"/>
                <w:lang w:val="en-US"/>
              </w:rPr>
            </w:pPr>
            <w:r w:rsidRPr="00222917">
              <w:rPr>
                <w:sz w:val="18"/>
                <w:szCs w:val="18"/>
                <w:lang w:val="en-US"/>
              </w:rPr>
              <w:t xml:space="preserve">More than seven years of imprisonment under </w:t>
            </w:r>
            <w:r w:rsidR="001D4669" w:rsidRPr="00222917">
              <w:rPr>
                <w:sz w:val="18"/>
                <w:szCs w:val="18"/>
                <w:lang w:val="en-US"/>
              </w:rPr>
              <w:br/>
            </w:r>
            <w:r w:rsidR="00AE0F13" w:rsidRPr="00222917">
              <w:rPr>
                <w:sz w:val="18"/>
                <w:szCs w:val="18"/>
                <w:lang w:val="en-US"/>
              </w:rPr>
              <w:t>a</w:t>
            </w:r>
            <w:r w:rsidRPr="00222917">
              <w:rPr>
                <w:sz w:val="18"/>
                <w:szCs w:val="18"/>
                <w:lang w:val="en-US"/>
              </w:rPr>
              <w:t>rticle</w:t>
            </w:r>
            <w:r w:rsidR="00875B17" w:rsidRPr="00222917">
              <w:rPr>
                <w:sz w:val="18"/>
                <w:szCs w:val="18"/>
                <w:lang w:val="en-US"/>
              </w:rPr>
              <w:t> </w:t>
            </w:r>
            <w:r w:rsidRPr="00222917">
              <w:rPr>
                <w:sz w:val="18"/>
                <w:szCs w:val="18"/>
                <w:lang w:val="en-US"/>
              </w:rPr>
              <w:t>8-2 (1) of the Act on</w:t>
            </w:r>
            <w:r w:rsidR="00875B17" w:rsidRPr="00222917">
              <w:rPr>
                <w:sz w:val="18"/>
                <w:szCs w:val="18"/>
                <w:lang w:val="en-US"/>
              </w:rPr>
              <w:t> </w:t>
            </w:r>
            <w:r w:rsidRPr="00222917">
              <w:rPr>
                <w:sz w:val="18"/>
                <w:szCs w:val="18"/>
                <w:lang w:val="en-US"/>
              </w:rPr>
              <w:t xml:space="preserve">the Punishment of Sexual Crimes and Protection of Victims Thereof </w:t>
            </w:r>
          </w:p>
        </w:tc>
        <w:tc>
          <w:tcPr>
            <w:tcW w:w="2268" w:type="dxa"/>
            <w:tcBorders>
              <w:top w:val="single" w:sz="12" w:space="0" w:color="auto"/>
            </w:tcBorders>
            <w:shd w:val="clear" w:color="auto" w:fill="auto"/>
            <w:tcMar>
              <w:top w:w="0" w:type="dxa"/>
              <w:left w:w="0" w:type="dxa"/>
              <w:bottom w:w="0" w:type="dxa"/>
              <w:right w:w="0" w:type="dxa"/>
            </w:tcMar>
          </w:tcPr>
          <w:p w:rsidR="002D5BB0" w:rsidRPr="00222917" w:rsidRDefault="002D5BB0" w:rsidP="001D4669">
            <w:pPr>
              <w:pStyle w:val="SingleTxtG"/>
              <w:suppressAutoHyphens w:val="0"/>
              <w:spacing w:before="40" w:line="220" w:lineRule="atLeast"/>
              <w:ind w:left="0" w:right="0"/>
              <w:jc w:val="left"/>
              <w:rPr>
                <w:sz w:val="18"/>
                <w:szCs w:val="18"/>
                <w:lang w:val="en-US"/>
              </w:rPr>
            </w:pPr>
            <w:r w:rsidRPr="00222917">
              <w:rPr>
                <w:sz w:val="18"/>
                <w:szCs w:val="18"/>
                <w:lang w:val="en-US"/>
              </w:rPr>
              <w:t xml:space="preserve">More than five years of imprisonment under </w:t>
            </w:r>
            <w:r w:rsidR="001D4669" w:rsidRPr="00222917">
              <w:rPr>
                <w:sz w:val="18"/>
                <w:szCs w:val="18"/>
                <w:lang w:val="en-US"/>
              </w:rPr>
              <w:br/>
            </w:r>
            <w:r w:rsidR="00AE0F13" w:rsidRPr="00222917">
              <w:rPr>
                <w:sz w:val="18"/>
                <w:szCs w:val="18"/>
                <w:lang w:val="en-US"/>
              </w:rPr>
              <w:t>a</w:t>
            </w:r>
            <w:r w:rsidRPr="00222917">
              <w:rPr>
                <w:sz w:val="18"/>
                <w:szCs w:val="18"/>
                <w:lang w:val="en-US"/>
              </w:rPr>
              <w:t>rticle</w:t>
            </w:r>
            <w:r w:rsidR="00875B17" w:rsidRPr="00222917">
              <w:rPr>
                <w:sz w:val="18"/>
                <w:szCs w:val="18"/>
                <w:lang w:val="en-US"/>
              </w:rPr>
              <w:t> </w:t>
            </w:r>
            <w:r w:rsidRPr="00222917">
              <w:rPr>
                <w:sz w:val="18"/>
                <w:szCs w:val="18"/>
                <w:lang w:val="en-US"/>
              </w:rPr>
              <w:t>7 (1) of the Act on the</w:t>
            </w:r>
            <w:r w:rsidR="001D4669" w:rsidRPr="00222917">
              <w:rPr>
                <w:sz w:val="18"/>
                <w:szCs w:val="18"/>
                <w:lang w:val="en-US"/>
              </w:rPr>
              <w:t> </w:t>
            </w:r>
            <w:r w:rsidRPr="00222917">
              <w:rPr>
                <w:sz w:val="18"/>
                <w:szCs w:val="18"/>
                <w:lang w:val="en-US"/>
              </w:rPr>
              <w:t>Protection of Children and Juveniles from Sexual Abuse</w:t>
            </w:r>
          </w:p>
        </w:tc>
        <w:tc>
          <w:tcPr>
            <w:tcW w:w="2268" w:type="dxa"/>
            <w:tcBorders>
              <w:top w:val="single" w:sz="12" w:space="0" w:color="auto"/>
            </w:tcBorders>
            <w:shd w:val="clear" w:color="auto" w:fill="auto"/>
            <w:tcMar>
              <w:top w:w="0" w:type="dxa"/>
              <w:left w:w="0" w:type="dxa"/>
              <w:bottom w:w="0" w:type="dxa"/>
              <w:right w:w="0" w:type="dxa"/>
            </w:tcMar>
          </w:tcPr>
          <w:p w:rsidR="002D5BB0" w:rsidRPr="00222917" w:rsidRDefault="002D5BB0" w:rsidP="00B6392D">
            <w:pPr>
              <w:pStyle w:val="SingleTxtG"/>
              <w:suppressAutoHyphens w:val="0"/>
              <w:spacing w:before="40" w:line="220" w:lineRule="atLeast"/>
              <w:ind w:left="0" w:right="0"/>
              <w:jc w:val="left"/>
              <w:rPr>
                <w:sz w:val="18"/>
                <w:szCs w:val="18"/>
                <w:lang w:val="en-US"/>
              </w:rPr>
            </w:pPr>
            <w:r w:rsidRPr="00222917">
              <w:rPr>
                <w:sz w:val="18"/>
                <w:szCs w:val="18"/>
                <w:lang w:val="en-US"/>
              </w:rPr>
              <w:t xml:space="preserve">More than three years of imprisonment under </w:t>
            </w:r>
            <w:r w:rsidR="00AE0F13" w:rsidRPr="00222917">
              <w:rPr>
                <w:sz w:val="18"/>
                <w:szCs w:val="18"/>
                <w:lang w:val="en-US"/>
              </w:rPr>
              <w:t>a</w:t>
            </w:r>
            <w:r w:rsidRPr="00222917">
              <w:rPr>
                <w:sz w:val="18"/>
                <w:szCs w:val="18"/>
                <w:lang w:val="en-US"/>
              </w:rPr>
              <w:t>rticle</w:t>
            </w:r>
            <w:r w:rsidR="00875B17" w:rsidRPr="00222917">
              <w:rPr>
                <w:sz w:val="18"/>
                <w:szCs w:val="18"/>
                <w:lang w:val="en-US"/>
              </w:rPr>
              <w:t> </w:t>
            </w:r>
            <w:r w:rsidRPr="00222917">
              <w:rPr>
                <w:sz w:val="18"/>
                <w:szCs w:val="18"/>
                <w:lang w:val="en-US"/>
              </w:rPr>
              <w:t>297 of the Criminal</w:t>
            </w:r>
            <w:r w:rsidR="001D4669" w:rsidRPr="00222917">
              <w:rPr>
                <w:sz w:val="18"/>
                <w:szCs w:val="18"/>
                <w:lang w:val="en-US"/>
              </w:rPr>
              <w:t xml:space="preserve"> </w:t>
            </w:r>
            <w:r w:rsidRPr="00222917">
              <w:rPr>
                <w:sz w:val="18"/>
                <w:szCs w:val="18"/>
                <w:lang w:val="en-US"/>
              </w:rPr>
              <w:t xml:space="preserve">Act </w:t>
            </w:r>
          </w:p>
        </w:tc>
      </w:tr>
      <w:tr w:rsidR="00047930" w:rsidRPr="00222917" w:rsidTr="009A1673">
        <w:tc>
          <w:tcPr>
            <w:tcW w:w="1701" w:type="dxa"/>
            <w:shd w:val="clear" w:color="auto" w:fill="auto"/>
            <w:tcMar>
              <w:top w:w="0" w:type="dxa"/>
              <w:left w:w="0" w:type="dxa"/>
              <w:bottom w:w="0" w:type="dxa"/>
              <w:right w:w="0" w:type="dxa"/>
            </w:tcMar>
          </w:tcPr>
          <w:p w:rsidR="002D5BB0" w:rsidRPr="00222917" w:rsidRDefault="002D5BB0" w:rsidP="00B6392D">
            <w:pPr>
              <w:pStyle w:val="SingleTxtG"/>
              <w:suppressAutoHyphens w:val="0"/>
              <w:spacing w:before="40" w:line="220" w:lineRule="atLeast"/>
              <w:ind w:left="0" w:right="0"/>
              <w:jc w:val="left"/>
              <w:rPr>
                <w:sz w:val="18"/>
                <w:szCs w:val="18"/>
                <w:lang w:val="en-US"/>
              </w:rPr>
            </w:pPr>
            <w:r w:rsidRPr="00222917">
              <w:rPr>
                <w:sz w:val="18"/>
                <w:szCs w:val="18"/>
                <w:lang w:val="en-US"/>
              </w:rPr>
              <w:t>Sexual molestation by force</w:t>
            </w:r>
          </w:p>
        </w:tc>
        <w:tc>
          <w:tcPr>
            <w:tcW w:w="2268" w:type="dxa"/>
            <w:shd w:val="clear" w:color="auto" w:fill="auto"/>
            <w:tcMar>
              <w:top w:w="0" w:type="dxa"/>
              <w:left w:w="0" w:type="dxa"/>
              <w:bottom w:w="0" w:type="dxa"/>
              <w:right w:w="0" w:type="dxa"/>
            </w:tcMar>
          </w:tcPr>
          <w:p w:rsidR="002D5BB0" w:rsidRPr="00222917" w:rsidRDefault="002D5BB0" w:rsidP="00B6392D">
            <w:pPr>
              <w:pStyle w:val="SingleTxtG"/>
              <w:suppressAutoHyphens w:val="0"/>
              <w:spacing w:before="40" w:line="220" w:lineRule="atLeast"/>
              <w:ind w:left="0" w:right="0"/>
              <w:jc w:val="left"/>
              <w:rPr>
                <w:sz w:val="18"/>
                <w:szCs w:val="18"/>
                <w:lang w:val="en-US"/>
              </w:rPr>
            </w:pPr>
            <w:r w:rsidRPr="00222917">
              <w:rPr>
                <w:sz w:val="18"/>
                <w:szCs w:val="18"/>
                <w:lang w:val="en-US"/>
              </w:rPr>
              <w:t>More than three years of imprisonment and a fine of KRW 10 million-30</w:t>
            </w:r>
            <w:r w:rsidR="00875B17" w:rsidRPr="00222917">
              <w:rPr>
                <w:sz w:val="18"/>
                <w:szCs w:val="18"/>
                <w:lang w:val="en-US"/>
              </w:rPr>
              <w:t> </w:t>
            </w:r>
            <w:r w:rsidRPr="00222917">
              <w:rPr>
                <w:sz w:val="18"/>
                <w:szCs w:val="18"/>
                <w:lang w:val="en-US"/>
              </w:rPr>
              <w:t>million</w:t>
            </w:r>
            <w:r w:rsidR="00875B17" w:rsidRPr="00222917">
              <w:rPr>
                <w:sz w:val="18"/>
                <w:szCs w:val="18"/>
                <w:lang w:val="en-US"/>
              </w:rPr>
              <w:t> </w:t>
            </w:r>
            <w:r w:rsidRPr="00222917">
              <w:rPr>
                <w:sz w:val="18"/>
                <w:szCs w:val="18"/>
                <w:lang w:val="en-US"/>
              </w:rPr>
              <w:t xml:space="preserve">under </w:t>
            </w:r>
            <w:r w:rsidR="00875B17" w:rsidRPr="00222917">
              <w:rPr>
                <w:sz w:val="18"/>
                <w:szCs w:val="18"/>
                <w:lang w:val="en-US"/>
              </w:rPr>
              <w:br/>
            </w:r>
            <w:r w:rsidR="00AE0F13" w:rsidRPr="00222917">
              <w:rPr>
                <w:sz w:val="18"/>
                <w:szCs w:val="18"/>
                <w:lang w:val="en-US"/>
              </w:rPr>
              <w:t>a</w:t>
            </w:r>
            <w:r w:rsidRPr="00222917">
              <w:rPr>
                <w:sz w:val="18"/>
                <w:szCs w:val="18"/>
                <w:lang w:val="en-US"/>
              </w:rPr>
              <w:t>rticle 8-2 (4) of the Act on</w:t>
            </w:r>
            <w:r w:rsidR="00875B17" w:rsidRPr="00222917">
              <w:rPr>
                <w:sz w:val="18"/>
                <w:szCs w:val="18"/>
                <w:lang w:val="en-US"/>
              </w:rPr>
              <w:t> </w:t>
            </w:r>
            <w:r w:rsidRPr="00222917">
              <w:rPr>
                <w:sz w:val="18"/>
                <w:szCs w:val="18"/>
                <w:lang w:val="en-US"/>
              </w:rPr>
              <w:t xml:space="preserve">the Punishment of Sexual Crimes and Protection of Victims Thereof </w:t>
            </w:r>
          </w:p>
        </w:tc>
        <w:tc>
          <w:tcPr>
            <w:tcW w:w="2268" w:type="dxa"/>
            <w:shd w:val="clear" w:color="auto" w:fill="auto"/>
            <w:tcMar>
              <w:top w:w="0" w:type="dxa"/>
              <w:left w:w="0" w:type="dxa"/>
              <w:bottom w:w="0" w:type="dxa"/>
              <w:right w:w="0" w:type="dxa"/>
            </w:tcMar>
          </w:tcPr>
          <w:p w:rsidR="002D5BB0" w:rsidRPr="00222917" w:rsidRDefault="002D5BB0" w:rsidP="00B6392D">
            <w:pPr>
              <w:pStyle w:val="SingleTxtG"/>
              <w:suppressAutoHyphens w:val="0"/>
              <w:spacing w:before="40" w:line="220" w:lineRule="atLeast"/>
              <w:ind w:left="0" w:right="0"/>
              <w:jc w:val="left"/>
              <w:rPr>
                <w:sz w:val="18"/>
                <w:szCs w:val="18"/>
                <w:lang w:val="en-US"/>
              </w:rPr>
            </w:pPr>
            <w:r w:rsidRPr="00222917">
              <w:rPr>
                <w:sz w:val="18"/>
                <w:szCs w:val="18"/>
                <w:lang w:val="en-US"/>
              </w:rPr>
              <w:t>More than one year of imprisonment and a fine of</w:t>
            </w:r>
            <w:r w:rsidR="00875B17" w:rsidRPr="00222917">
              <w:rPr>
                <w:sz w:val="18"/>
                <w:szCs w:val="18"/>
                <w:lang w:val="en-US"/>
              </w:rPr>
              <w:t> </w:t>
            </w:r>
            <w:r w:rsidRPr="00222917">
              <w:rPr>
                <w:sz w:val="18"/>
                <w:szCs w:val="18"/>
                <w:lang w:val="en-US"/>
              </w:rPr>
              <w:t>KRW 5 million-</w:t>
            </w:r>
            <w:r w:rsidR="001D4669" w:rsidRPr="00222917">
              <w:rPr>
                <w:sz w:val="18"/>
                <w:szCs w:val="18"/>
                <w:lang w:val="en-US"/>
              </w:rPr>
              <w:br/>
            </w:r>
            <w:r w:rsidRPr="00222917">
              <w:rPr>
                <w:sz w:val="18"/>
                <w:szCs w:val="18"/>
                <w:lang w:val="en-US"/>
              </w:rPr>
              <w:t>20</w:t>
            </w:r>
            <w:r w:rsidR="00875B17" w:rsidRPr="00222917">
              <w:rPr>
                <w:sz w:val="18"/>
                <w:szCs w:val="18"/>
                <w:lang w:val="en-US"/>
              </w:rPr>
              <w:t> </w:t>
            </w:r>
            <w:r w:rsidRPr="00222917">
              <w:rPr>
                <w:sz w:val="18"/>
                <w:szCs w:val="18"/>
                <w:lang w:val="en-US"/>
              </w:rPr>
              <w:t xml:space="preserve">million under </w:t>
            </w:r>
            <w:r w:rsidR="00AE0F13" w:rsidRPr="00222917">
              <w:rPr>
                <w:sz w:val="18"/>
                <w:szCs w:val="18"/>
                <w:lang w:val="en-US"/>
              </w:rPr>
              <w:t>a</w:t>
            </w:r>
            <w:r w:rsidRPr="00222917">
              <w:rPr>
                <w:sz w:val="18"/>
                <w:szCs w:val="18"/>
                <w:lang w:val="en-US"/>
              </w:rPr>
              <w:t xml:space="preserve">rticle 7 (2) of the Act on Protection of Juvenile Sex </w:t>
            </w:r>
          </w:p>
        </w:tc>
        <w:tc>
          <w:tcPr>
            <w:tcW w:w="2268" w:type="dxa"/>
            <w:shd w:val="clear" w:color="auto" w:fill="auto"/>
            <w:tcMar>
              <w:top w:w="0" w:type="dxa"/>
              <w:left w:w="0" w:type="dxa"/>
              <w:bottom w:w="0" w:type="dxa"/>
              <w:right w:w="0" w:type="dxa"/>
            </w:tcMar>
          </w:tcPr>
          <w:p w:rsidR="002D5BB0" w:rsidRPr="00222917" w:rsidRDefault="002D5BB0" w:rsidP="00B6392D">
            <w:pPr>
              <w:pStyle w:val="SingleTxtG"/>
              <w:suppressAutoHyphens w:val="0"/>
              <w:spacing w:before="40" w:line="220" w:lineRule="atLeast"/>
              <w:ind w:left="0" w:right="0"/>
              <w:jc w:val="left"/>
              <w:rPr>
                <w:sz w:val="18"/>
                <w:szCs w:val="18"/>
                <w:lang w:val="en-US"/>
              </w:rPr>
            </w:pPr>
            <w:r w:rsidRPr="00222917">
              <w:rPr>
                <w:sz w:val="18"/>
                <w:szCs w:val="18"/>
                <w:lang w:val="en-US"/>
              </w:rPr>
              <w:t xml:space="preserve">Less than ten years of imprisonment and a fine of less than KRW 15 million under </w:t>
            </w:r>
            <w:r w:rsidR="00AE0F13" w:rsidRPr="00222917">
              <w:rPr>
                <w:sz w:val="18"/>
                <w:szCs w:val="18"/>
                <w:lang w:val="en-US"/>
              </w:rPr>
              <w:t>a</w:t>
            </w:r>
            <w:r w:rsidRPr="00222917">
              <w:rPr>
                <w:sz w:val="18"/>
                <w:szCs w:val="18"/>
                <w:lang w:val="en-US"/>
              </w:rPr>
              <w:t xml:space="preserve">rticle 298 of the Criminal Act </w:t>
            </w:r>
          </w:p>
        </w:tc>
      </w:tr>
      <w:tr w:rsidR="00047930" w:rsidRPr="00222917" w:rsidTr="009A1673">
        <w:tc>
          <w:tcPr>
            <w:tcW w:w="1701" w:type="dxa"/>
            <w:shd w:val="clear" w:color="auto" w:fill="auto"/>
            <w:tcMar>
              <w:top w:w="0" w:type="dxa"/>
              <w:left w:w="0" w:type="dxa"/>
              <w:bottom w:w="0" w:type="dxa"/>
              <w:right w:w="0" w:type="dxa"/>
            </w:tcMar>
          </w:tcPr>
          <w:p w:rsidR="002D5BB0" w:rsidRPr="00222917" w:rsidRDefault="002D5BB0" w:rsidP="00B6392D">
            <w:pPr>
              <w:pStyle w:val="SingleTxtG"/>
              <w:suppressAutoHyphens w:val="0"/>
              <w:spacing w:before="40" w:line="220" w:lineRule="atLeast"/>
              <w:ind w:left="0" w:right="0"/>
              <w:jc w:val="left"/>
              <w:rPr>
                <w:sz w:val="18"/>
                <w:szCs w:val="18"/>
                <w:lang w:val="en-US"/>
              </w:rPr>
            </w:pPr>
            <w:r w:rsidRPr="00222917">
              <w:rPr>
                <w:sz w:val="18"/>
                <w:szCs w:val="18"/>
                <w:lang w:val="en-US"/>
              </w:rPr>
              <w:t>Quasi-rape, sexual molestation by force</w:t>
            </w:r>
          </w:p>
        </w:tc>
        <w:tc>
          <w:tcPr>
            <w:tcW w:w="2268" w:type="dxa"/>
            <w:shd w:val="clear" w:color="auto" w:fill="auto"/>
            <w:tcMar>
              <w:top w:w="0" w:type="dxa"/>
              <w:left w:w="0" w:type="dxa"/>
              <w:bottom w:w="0" w:type="dxa"/>
              <w:right w:w="0" w:type="dxa"/>
            </w:tcMar>
          </w:tcPr>
          <w:p w:rsidR="002D5BB0" w:rsidRPr="00222917" w:rsidRDefault="002D5BB0" w:rsidP="00B6392D">
            <w:pPr>
              <w:pStyle w:val="SingleTxtG"/>
              <w:suppressAutoHyphens w:val="0"/>
              <w:spacing w:before="40" w:line="220" w:lineRule="atLeast"/>
              <w:ind w:left="0" w:right="0"/>
              <w:jc w:val="left"/>
              <w:rPr>
                <w:sz w:val="18"/>
                <w:szCs w:val="18"/>
                <w:lang w:val="en-US"/>
              </w:rPr>
            </w:pPr>
            <w:r w:rsidRPr="00222917">
              <w:rPr>
                <w:sz w:val="18"/>
                <w:szCs w:val="18"/>
                <w:lang w:val="en-US"/>
              </w:rPr>
              <w:t xml:space="preserve">Same as for rape and sexual molestation above under </w:t>
            </w:r>
            <w:r w:rsidR="00AE0F13" w:rsidRPr="00222917">
              <w:rPr>
                <w:sz w:val="18"/>
                <w:szCs w:val="18"/>
                <w:lang w:val="en-US"/>
              </w:rPr>
              <w:t>a</w:t>
            </w:r>
            <w:r w:rsidRPr="00222917">
              <w:rPr>
                <w:sz w:val="18"/>
                <w:szCs w:val="18"/>
                <w:lang w:val="en-US"/>
              </w:rPr>
              <w:t>rticle 8-2 (4) of the Act on</w:t>
            </w:r>
            <w:r w:rsidR="00875B17" w:rsidRPr="00222917">
              <w:rPr>
                <w:sz w:val="18"/>
                <w:szCs w:val="18"/>
                <w:lang w:val="en-US"/>
              </w:rPr>
              <w:t> </w:t>
            </w:r>
            <w:r w:rsidRPr="00222917">
              <w:rPr>
                <w:sz w:val="18"/>
                <w:szCs w:val="18"/>
                <w:lang w:val="en-US"/>
              </w:rPr>
              <w:t xml:space="preserve">the Punishment of Sexual Crimes and Protection of Victims Thereof </w:t>
            </w:r>
          </w:p>
        </w:tc>
        <w:tc>
          <w:tcPr>
            <w:tcW w:w="2268" w:type="dxa"/>
            <w:shd w:val="clear" w:color="auto" w:fill="auto"/>
            <w:tcMar>
              <w:top w:w="0" w:type="dxa"/>
              <w:left w:w="0" w:type="dxa"/>
              <w:bottom w:w="0" w:type="dxa"/>
              <w:right w:w="0" w:type="dxa"/>
            </w:tcMar>
          </w:tcPr>
          <w:p w:rsidR="002D5BB0" w:rsidRPr="00222917" w:rsidRDefault="002D5BB0" w:rsidP="00B6392D">
            <w:pPr>
              <w:pStyle w:val="SingleTxtG"/>
              <w:suppressAutoHyphens w:val="0"/>
              <w:spacing w:before="40" w:line="220" w:lineRule="atLeast"/>
              <w:ind w:left="0" w:right="0"/>
              <w:jc w:val="left"/>
              <w:rPr>
                <w:sz w:val="18"/>
                <w:szCs w:val="18"/>
                <w:lang w:val="en-US"/>
              </w:rPr>
            </w:pPr>
            <w:r w:rsidRPr="00222917">
              <w:rPr>
                <w:sz w:val="18"/>
                <w:szCs w:val="18"/>
                <w:lang w:val="en-US"/>
              </w:rPr>
              <w:t xml:space="preserve">Same as for rape and sexual molestation above under </w:t>
            </w:r>
            <w:r w:rsidR="00AE0F13" w:rsidRPr="00222917">
              <w:rPr>
                <w:sz w:val="18"/>
                <w:szCs w:val="18"/>
                <w:lang w:val="en-US"/>
              </w:rPr>
              <w:t>a</w:t>
            </w:r>
            <w:r w:rsidRPr="00222917">
              <w:rPr>
                <w:sz w:val="18"/>
                <w:szCs w:val="18"/>
                <w:lang w:val="en-US"/>
              </w:rPr>
              <w:t xml:space="preserve">rticle 7 (3) of the Act on Protection of Juvenile Sex </w:t>
            </w:r>
          </w:p>
        </w:tc>
        <w:tc>
          <w:tcPr>
            <w:tcW w:w="2268" w:type="dxa"/>
            <w:shd w:val="clear" w:color="auto" w:fill="auto"/>
            <w:tcMar>
              <w:top w:w="0" w:type="dxa"/>
              <w:left w:w="0" w:type="dxa"/>
              <w:bottom w:w="0" w:type="dxa"/>
              <w:right w:w="0" w:type="dxa"/>
            </w:tcMar>
          </w:tcPr>
          <w:p w:rsidR="002D5BB0" w:rsidRPr="00222917" w:rsidRDefault="002D5BB0" w:rsidP="00B6392D">
            <w:pPr>
              <w:pStyle w:val="SingleTxtG"/>
              <w:suppressAutoHyphens w:val="0"/>
              <w:spacing w:before="40" w:line="220" w:lineRule="atLeast"/>
              <w:ind w:left="0" w:right="0"/>
              <w:jc w:val="left"/>
              <w:rPr>
                <w:sz w:val="18"/>
                <w:szCs w:val="18"/>
                <w:lang w:val="en-US"/>
              </w:rPr>
            </w:pPr>
            <w:r w:rsidRPr="00222917">
              <w:rPr>
                <w:sz w:val="18"/>
                <w:szCs w:val="18"/>
                <w:lang w:val="en-US"/>
              </w:rPr>
              <w:t xml:space="preserve">Examples under </w:t>
            </w:r>
            <w:r w:rsidR="00AE0F13" w:rsidRPr="00222917">
              <w:rPr>
                <w:sz w:val="18"/>
                <w:szCs w:val="18"/>
                <w:lang w:val="en-US"/>
              </w:rPr>
              <w:t>a</w:t>
            </w:r>
            <w:r w:rsidRPr="00222917">
              <w:rPr>
                <w:sz w:val="18"/>
                <w:szCs w:val="18"/>
                <w:lang w:val="en-US"/>
              </w:rPr>
              <w:t xml:space="preserve">rticles 299, 297, and 298 of the Criminal Act </w:t>
            </w:r>
          </w:p>
        </w:tc>
      </w:tr>
      <w:tr w:rsidR="00047930" w:rsidRPr="00222917" w:rsidTr="009A1673">
        <w:tc>
          <w:tcPr>
            <w:tcW w:w="1701" w:type="dxa"/>
            <w:shd w:val="clear" w:color="auto" w:fill="auto"/>
            <w:tcMar>
              <w:top w:w="0" w:type="dxa"/>
              <w:left w:w="0" w:type="dxa"/>
              <w:bottom w:w="0" w:type="dxa"/>
              <w:right w:w="0" w:type="dxa"/>
            </w:tcMar>
          </w:tcPr>
          <w:p w:rsidR="002D5BB0" w:rsidRPr="00222917" w:rsidRDefault="002D5BB0" w:rsidP="00B6392D">
            <w:pPr>
              <w:pStyle w:val="SingleTxtG"/>
              <w:suppressAutoHyphens w:val="0"/>
              <w:spacing w:before="40" w:line="220" w:lineRule="atLeast"/>
              <w:ind w:left="0" w:right="0"/>
              <w:jc w:val="left"/>
              <w:rPr>
                <w:sz w:val="18"/>
                <w:szCs w:val="18"/>
                <w:lang w:val="en-US"/>
              </w:rPr>
            </w:pPr>
            <w:r w:rsidRPr="00222917">
              <w:rPr>
                <w:sz w:val="18"/>
                <w:szCs w:val="18"/>
                <w:lang w:val="en-US"/>
              </w:rPr>
              <w:t>Illicit sex, sexual molestation by deception and/or abuse of power</w:t>
            </w:r>
          </w:p>
        </w:tc>
        <w:tc>
          <w:tcPr>
            <w:tcW w:w="2268" w:type="dxa"/>
            <w:shd w:val="clear" w:color="auto" w:fill="auto"/>
            <w:tcMar>
              <w:top w:w="0" w:type="dxa"/>
              <w:left w:w="0" w:type="dxa"/>
              <w:bottom w:w="0" w:type="dxa"/>
              <w:right w:w="0" w:type="dxa"/>
            </w:tcMar>
          </w:tcPr>
          <w:p w:rsidR="002D5BB0" w:rsidRPr="00222917" w:rsidRDefault="002D5BB0" w:rsidP="00B6392D">
            <w:pPr>
              <w:pStyle w:val="SingleTxtG"/>
              <w:suppressAutoHyphens w:val="0"/>
              <w:spacing w:before="40" w:line="220" w:lineRule="atLeast"/>
              <w:ind w:left="0" w:right="0"/>
              <w:jc w:val="left"/>
              <w:rPr>
                <w:sz w:val="18"/>
                <w:szCs w:val="18"/>
                <w:lang w:val="en-US"/>
              </w:rPr>
            </w:pPr>
            <w:r w:rsidRPr="00222917">
              <w:rPr>
                <w:sz w:val="18"/>
                <w:szCs w:val="18"/>
                <w:lang w:val="en-US"/>
              </w:rPr>
              <w:t xml:space="preserve">Same as for rape and sexual molestation above under </w:t>
            </w:r>
            <w:r w:rsidR="00AE0F13" w:rsidRPr="00222917">
              <w:rPr>
                <w:sz w:val="18"/>
                <w:szCs w:val="18"/>
                <w:lang w:val="en-US"/>
              </w:rPr>
              <w:t>a</w:t>
            </w:r>
            <w:r w:rsidRPr="00222917">
              <w:rPr>
                <w:sz w:val="18"/>
                <w:szCs w:val="18"/>
                <w:lang w:val="en-US"/>
              </w:rPr>
              <w:t>rticle 8-2 (5) of the Act o</w:t>
            </w:r>
            <w:r w:rsidR="00B6392D" w:rsidRPr="00222917">
              <w:rPr>
                <w:sz w:val="18"/>
                <w:szCs w:val="18"/>
                <w:lang w:val="en-US"/>
              </w:rPr>
              <w:t>n </w:t>
            </w:r>
            <w:r w:rsidRPr="00222917">
              <w:rPr>
                <w:sz w:val="18"/>
                <w:szCs w:val="18"/>
                <w:lang w:val="en-US"/>
              </w:rPr>
              <w:t>the Punishment of Sexual Crimes and Protection of Victims Thereof</w:t>
            </w:r>
          </w:p>
        </w:tc>
        <w:tc>
          <w:tcPr>
            <w:tcW w:w="2268" w:type="dxa"/>
            <w:shd w:val="clear" w:color="auto" w:fill="auto"/>
            <w:tcMar>
              <w:top w:w="0" w:type="dxa"/>
              <w:left w:w="0" w:type="dxa"/>
              <w:bottom w:w="0" w:type="dxa"/>
              <w:right w:w="0" w:type="dxa"/>
            </w:tcMar>
          </w:tcPr>
          <w:p w:rsidR="002D5BB0" w:rsidRPr="00222917" w:rsidRDefault="002D5BB0" w:rsidP="00B6392D">
            <w:pPr>
              <w:pStyle w:val="SingleTxtG"/>
              <w:suppressAutoHyphens w:val="0"/>
              <w:spacing w:before="40" w:line="220" w:lineRule="atLeast"/>
              <w:ind w:left="0" w:right="0"/>
              <w:jc w:val="left"/>
              <w:rPr>
                <w:sz w:val="18"/>
                <w:szCs w:val="18"/>
                <w:lang w:val="en-US"/>
              </w:rPr>
            </w:pPr>
            <w:r w:rsidRPr="00222917">
              <w:rPr>
                <w:sz w:val="18"/>
                <w:szCs w:val="18"/>
                <w:lang w:val="en-US"/>
              </w:rPr>
              <w:t xml:space="preserve">Same as for rape and sexual molestation above under </w:t>
            </w:r>
            <w:r w:rsidR="00AE0F13" w:rsidRPr="00222917">
              <w:rPr>
                <w:sz w:val="18"/>
                <w:szCs w:val="18"/>
                <w:lang w:val="en-US"/>
              </w:rPr>
              <w:t>a</w:t>
            </w:r>
            <w:r w:rsidRPr="00222917">
              <w:rPr>
                <w:sz w:val="18"/>
                <w:szCs w:val="18"/>
                <w:lang w:val="en-US"/>
              </w:rPr>
              <w:t>rticle 7 (4) of the Act on Protection of Juvenile Sex</w:t>
            </w:r>
          </w:p>
        </w:tc>
        <w:tc>
          <w:tcPr>
            <w:tcW w:w="2268" w:type="dxa"/>
            <w:shd w:val="clear" w:color="auto" w:fill="auto"/>
            <w:tcMar>
              <w:top w:w="0" w:type="dxa"/>
              <w:left w:w="0" w:type="dxa"/>
              <w:bottom w:w="0" w:type="dxa"/>
              <w:right w:w="0" w:type="dxa"/>
            </w:tcMar>
          </w:tcPr>
          <w:p w:rsidR="002D5BB0" w:rsidRPr="00222917" w:rsidRDefault="002D5BB0" w:rsidP="00B6392D">
            <w:pPr>
              <w:pStyle w:val="SingleTxtG"/>
              <w:suppressAutoHyphens w:val="0"/>
              <w:spacing w:before="40" w:line="220" w:lineRule="atLeast"/>
              <w:ind w:left="0" w:right="0"/>
              <w:jc w:val="left"/>
              <w:rPr>
                <w:sz w:val="18"/>
                <w:szCs w:val="18"/>
                <w:lang w:val="en-US"/>
              </w:rPr>
            </w:pPr>
            <w:r w:rsidRPr="00222917">
              <w:rPr>
                <w:sz w:val="18"/>
                <w:szCs w:val="18"/>
                <w:lang w:val="en-US"/>
              </w:rPr>
              <w:t xml:space="preserve">Less than five years under </w:t>
            </w:r>
            <w:r w:rsidR="00AE0F13" w:rsidRPr="00222917">
              <w:rPr>
                <w:sz w:val="18"/>
                <w:szCs w:val="18"/>
                <w:lang w:val="en-US"/>
              </w:rPr>
              <w:t>a</w:t>
            </w:r>
            <w:r w:rsidRPr="00222917">
              <w:rPr>
                <w:sz w:val="18"/>
                <w:szCs w:val="18"/>
                <w:lang w:val="en-US"/>
              </w:rPr>
              <w:t>rticle 302 of the Criminal Act (Mentally retarded person)</w:t>
            </w:r>
          </w:p>
        </w:tc>
      </w:tr>
      <w:tr w:rsidR="00047930" w:rsidRPr="00222917" w:rsidTr="009A1673">
        <w:tc>
          <w:tcPr>
            <w:tcW w:w="1701" w:type="dxa"/>
            <w:tcBorders>
              <w:bottom w:val="single" w:sz="12" w:space="0" w:color="auto"/>
            </w:tcBorders>
            <w:shd w:val="clear" w:color="auto" w:fill="auto"/>
            <w:tcMar>
              <w:top w:w="0" w:type="dxa"/>
              <w:left w:w="0" w:type="dxa"/>
              <w:bottom w:w="0" w:type="dxa"/>
              <w:right w:w="0" w:type="dxa"/>
            </w:tcMar>
          </w:tcPr>
          <w:p w:rsidR="002D5BB0" w:rsidRPr="00222917" w:rsidRDefault="002D5BB0" w:rsidP="00B6392D">
            <w:pPr>
              <w:pStyle w:val="SingleTxtG"/>
              <w:suppressAutoHyphens w:val="0"/>
              <w:spacing w:before="40" w:line="220" w:lineRule="atLeast"/>
              <w:ind w:left="0" w:right="0"/>
              <w:jc w:val="left"/>
              <w:rPr>
                <w:sz w:val="18"/>
                <w:szCs w:val="18"/>
                <w:lang w:val="en-US"/>
              </w:rPr>
            </w:pPr>
            <w:r w:rsidRPr="00222917">
              <w:rPr>
                <w:sz w:val="18"/>
                <w:szCs w:val="18"/>
                <w:lang w:val="en-US"/>
              </w:rPr>
              <w:t>Illicit sex, sexual molestation</w:t>
            </w:r>
          </w:p>
        </w:tc>
        <w:tc>
          <w:tcPr>
            <w:tcW w:w="2268" w:type="dxa"/>
            <w:tcBorders>
              <w:bottom w:val="single" w:sz="12" w:space="0" w:color="auto"/>
            </w:tcBorders>
            <w:shd w:val="clear" w:color="auto" w:fill="auto"/>
            <w:tcMar>
              <w:top w:w="0" w:type="dxa"/>
              <w:left w:w="0" w:type="dxa"/>
              <w:bottom w:w="0" w:type="dxa"/>
              <w:right w:w="0" w:type="dxa"/>
            </w:tcMar>
          </w:tcPr>
          <w:p w:rsidR="002D5BB0" w:rsidRPr="00222917" w:rsidRDefault="002D5BB0" w:rsidP="00B6392D">
            <w:pPr>
              <w:pStyle w:val="SingleTxtG"/>
              <w:suppressAutoHyphens w:val="0"/>
              <w:spacing w:before="40" w:line="220" w:lineRule="atLeast"/>
              <w:ind w:left="0" w:right="0"/>
              <w:jc w:val="left"/>
              <w:rPr>
                <w:sz w:val="18"/>
                <w:szCs w:val="18"/>
                <w:lang w:val="en-US"/>
              </w:rPr>
            </w:pPr>
            <w:r w:rsidRPr="00222917">
              <w:rPr>
                <w:sz w:val="18"/>
                <w:szCs w:val="18"/>
                <w:lang w:val="en-US"/>
              </w:rPr>
              <w:t xml:space="preserve">Examples under </w:t>
            </w:r>
            <w:r w:rsidR="001D4669" w:rsidRPr="00222917">
              <w:rPr>
                <w:sz w:val="18"/>
                <w:szCs w:val="18"/>
                <w:lang w:val="en-US"/>
              </w:rPr>
              <w:br/>
            </w:r>
            <w:r w:rsidR="00AE0F13" w:rsidRPr="00222917">
              <w:rPr>
                <w:sz w:val="18"/>
                <w:szCs w:val="18"/>
                <w:lang w:val="en-US"/>
              </w:rPr>
              <w:t>a</w:t>
            </w:r>
            <w:r w:rsidRPr="00222917">
              <w:rPr>
                <w:sz w:val="18"/>
                <w:szCs w:val="18"/>
                <w:lang w:val="en-US"/>
              </w:rPr>
              <w:t xml:space="preserve">rticles 305, 297, and 298 </w:t>
            </w:r>
            <w:r w:rsidR="00B6392D" w:rsidRPr="00222917">
              <w:rPr>
                <w:sz w:val="18"/>
                <w:szCs w:val="18"/>
                <w:lang w:val="en-US"/>
              </w:rPr>
              <w:br/>
            </w:r>
            <w:r w:rsidRPr="00222917">
              <w:rPr>
                <w:sz w:val="18"/>
                <w:szCs w:val="18"/>
                <w:lang w:val="en-US"/>
              </w:rPr>
              <w:t>of the Criminal Act</w:t>
            </w:r>
          </w:p>
        </w:tc>
        <w:tc>
          <w:tcPr>
            <w:tcW w:w="2268" w:type="dxa"/>
            <w:tcBorders>
              <w:bottom w:val="single" w:sz="12" w:space="0" w:color="auto"/>
            </w:tcBorders>
            <w:shd w:val="clear" w:color="auto" w:fill="auto"/>
            <w:tcMar>
              <w:top w:w="0" w:type="dxa"/>
              <w:left w:w="0" w:type="dxa"/>
              <w:bottom w:w="0" w:type="dxa"/>
              <w:right w:w="0" w:type="dxa"/>
            </w:tcMar>
          </w:tcPr>
          <w:p w:rsidR="002D5BB0" w:rsidRPr="00222917" w:rsidRDefault="002D5BB0" w:rsidP="00B6392D">
            <w:pPr>
              <w:pStyle w:val="SingleTxtG"/>
              <w:suppressAutoHyphens w:val="0"/>
              <w:spacing w:before="40" w:line="220" w:lineRule="atLeast"/>
              <w:ind w:left="0" w:right="0"/>
              <w:jc w:val="left"/>
              <w:rPr>
                <w:sz w:val="18"/>
                <w:szCs w:val="18"/>
                <w:lang w:val="en-US"/>
              </w:rPr>
            </w:pPr>
            <w:r w:rsidRPr="00222917">
              <w:rPr>
                <w:sz w:val="18"/>
                <w:szCs w:val="18"/>
                <w:lang w:val="en-US"/>
              </w:rPr>
              <w:t>NA</w:t>
            </w:r>
          </w:p>
        </w:tc>
        <w:tc>
          <w:tcPr>
            <w:tcW w:w="2268" w:type="dxa"/>
            <w:tcBorders>
              <w:bottom w:val="single" w:sz="12" w:space="0" w:color="auto"/>
            </w:tcBorders>
            <w:shd w:val="clear" w:color="auto" w:fill="auto"/>
            <w:tcMar>
              <w:top w:w="0" w:type="dxa"/>
              <w:left w:w="0" w:type="dxa"/>
              <w:bottom w:w="0" w:type="dxa"/>
              <w:right w:w="0" w:type="dxa"/>
            </w:tcMar>
          </w:tcPr>
          <w:p w:rsidR="002D5BB0" w:rsidRPr="00222917" w:rsidRDefault="002D5BB0" w:rsidP="00B6392D">
            <w:pPr>
              <w:pStyle w:val="SingleTxtG"/>
              <w:suppressAutoHyphens w:val="0"/>
              <w:spacing w:before="40" w:line="220" w:lineRule="atLeast"/>
              <w:ind w:left="0" w:right="0"/>
              <w:jc w:val="left"/>
              <w:rPr>
                <w:sz w:val="18"/>
                <w:szCs w:val="18"/>
                <w:lang w:val="en-US"/>
              </w:rPr>
            </w:pPr>
            <w:r w:rsidRPr="00222917">
              <w:rPr>
                <w:sz w:val="18"/>
                <w:szCs w:val="18"/>
                <w:lang w:val="en-US"/>
              </w:rPr>
              <w:t>NA</w:t>
            </w:r>
          </w:p>
        </w:tc>
      </w:tr>
    </w:tbl>
    <w:p w:rsidR="002D5BB0" w:rsidRPr="00222917" w:rsidRDefault="00547908" w:rsidP="00547908">
      <w:pPr>
        <w:pStyle w:val="SingleTxtG"/>
        <w:spacing w:before="240"/>
        <w:rPr>
          <w:lang w:val="en-US"/>
        </w:rPr>
      </w:pPr>
      <w:r w:rsidRPr="00222917">
        <w:rPr>
          <w:lang w:val="en-US"/>
        </w:rPr>
        <w:t>343.</w:t>
      </w:r>
      <w:r w:rsidRPr="00222917">
        <w:rPr>
          <w:lang w:val="en-US"/>
        </w:rPr>
        <w:tab/>
      </w:r>
      <w:r w:rsidR="002D5BB0" w:rsidRPr="00222917">
        <w:rPr>
          <w:lang w:val="en-US"/>
        </w:rPr>
        <w:t xml:space="preserve">On 9 June 2009, </w:t>
      </w:r>
      <w:r w:rsidR="002D5BB0" w:rsidRPr="00222917">
        <w:rPr>
          <w:iCs/>
          <w:lang w:val="en-US"/>
        </w:rPr>
        <w:t>the Act on Protection of Juvenile Sex</w:t>
      </w:r>
      <w:r w:rsidR="002D5BB0" w:rsidRPr="00222917">
        <w:rPr>
          <w:lang w:val="en-US"/>
        </w:rPr>
        <w:t xml:space="preserve"> was wholly amended and renamed the </w:t>
      </w:r>
      <w:r w:rsidR="002D5BB0" w:rsidRPr="00222917">
        <w:rPr>
          <w:iCs/>
          <w:lang w:val="en-US"/>
        </w:rPr>
        <w:t xml:space="preserve">Act on the Protection of Children and Juveniles from Sexual Abuse </w:t>
      </w:r>
      <w:r w:rsidR="002D5BB0" w:rsidRPr="00222917">
        <w:rPr>
          <w:lang w:val="en-US"/>
        </w:rPr>
        <w:t xml:space="preserve">to clarify that children under 13 also be protected under this </w:t>
      </w:r>
      <w:r w:rsidR="002D5BB0" w:rsidRPr="00222917">
        <w:rPr>
          <w:iCs/>
          <w:lang w:val="en-US"/>
        </w:rPr>
        <w:t>Act</w:t>
      </w:r>
      <w:r w:rsidR="002D5BB0" w:rsidRPr="00222917">
        <w:rPr>
          <w:lang w:val="en-US"/>
        </w:rPr>
        <w:t xml:space="preserve"> and to newly establish punitive provisions against acts of quasi-sexual intercourse and inducement for prostitution committed against c</w:t>
      </w:r>
      <w:r w:rsidR="00C23090" w:rsidRPr="00222917">
        <w:rPr>
          <w:lang w:val="en-US"/>
        </w:rPr>
        <w:t>hildren and juveniles (</w:t>
      </w:r>
      <w:r w:rsidR="00AE0F13" w:rsidRPr="00222917">
        <w:rPr>
          <w:lang w:val="en-US"/>
        </w:rPr>
        <w:t>a</w:t>
      </w:r>
      <w:r w:rsidR="00C23090" w:rsidRPr="00222917">
        <w:rPr>
          <w:lang w:val="en-US"/>
        </w:rPr>
        <w:t>rticles </w:t>
      </w:r>
      <w:r w:rsidR="002D5BB0" w:rsidRPr="00222917">
        <w:rPr>
          <w:lang w:val="en-US"/>
        </w:rPr>
        <w:t>7 (2) and 10 (2)). In consideration of the likelihood of recidivism and the severity of crimes, the identities of sex offenders against children and juveniles are required to be disclosed through the information and tele</w:t>
      </w:r>
      <w:r w:rsidR="00C23090" w:rsidRPr="00222917">
        <w:rPr>
          <w:lang w:val="en-US"/>
        </w:rPr>
        <w:t>communications network (</w:t>
      </w:r>
      <w:r w:rsidR="00AE0F13" w:rsidRPr="00222917">
        <w:rPr>
          <w:lang w:val="en-US"/>
        </w:rPr>
        <w:t>article </w:t>
      </w:r>
      <w:r w:rsidR="00C23090" w:rsidRPr="00222917">
        <w:rPr>
          <w:lang w:val="en-US"/>
        </w:rPr>
        <w:t>38 </w:t>
      </w:r>
      <w:r w:rsidR="002D5BB0" w:rsidRPr="00222917">
        <w:rPr>
          <w:lang w:val="en-US"/>
        </w:rPr>
        <w:t>(1)) to raise public awareness of sex crimes against children and juveniles and to rectify institutional deficiencies by setting for</w:t>
      </w:r>
      <w:r w:rsidR="00C23090" w:rsidRPr="00222917">
        <w:rPr>
          <w:lang w:val="en-US"/>
        </w:rPr>
        <w:t>th punitive provisions (</w:t>
      </w:r>
      <w:r w:rsidR="00AE0F13" w:rsidRPr="00222917">
        <w:rPr>
          <w:lang w:val="en-US"/>
        </w:rPr>
        <w:t>a</w:t>
      </w:r>
      <w:r w:rsidR="00C23090" w:rsidRPr="00222917">
        <w:rPr>
          <w:lang w:val="en-US"/>
        </w:rPr>
        <w:t>rticle </w:t>
      </w:r>
      <w:r w:rsidR="002D5BB0" w:rsidRPr="00222917">
        <w:rPr>
          <w:lang w:val="en-US"/>
        </w:rPr>
        <w:t>20), limiting the employ</w:t>
      </w:r>
      <w:r w:rsidR="00C23090" w:rsidRPr="00222917">
        <w:rPr>
          <w:lang w:val="en-US"/>
        </w:rPr>
        <w:t>ment of such criminals (</w:t>
      </w:r>
      <w:r w:rsidR="00AE0F13" w:rsidRPr="00222917">
        <w:rPr>
          <w:lang w:val="en-US"/>
        </w:rPr>
        <w:t>a</w:t>
      </w:r>
      <w:r w:rsidR="00C23090" w:rsidRPr="00222917">
        <w:rPr>
          <w:lang w:val="en-US"/>
        </w:rPr>
        <w:t>rticle </w:t>
      </w:r>
      <w:r w:rsidR="002D5BB0" w:rsidRPr="00222917">
        <w:rPr>
          <w:lang w:val="en-US"/>
        </w:rPr>
        <w:t>44</w:t>
      </w:r>
      <w:r w:rsidR="00C23090" w:rsidRPr="00222917">
        <w:rPr>
          <w:lang w:val="en-US"/>
        </w:rPr>
        <w:t> </w:t>
      </w:r>
      <w:r w:rsidR="002D5BB0" w:rsidRPr="00222917">
        <w:rPr>
          <w:lang w:val="en-US"/>
        </w:rPr>
        <w:t>(1)), and stipulating negligence fines to ensure effective</w:t>
      </w:r>
      <w:r w:rsidR="00C23090" w:rsidRPr="00222917">
        <w:rPr>
          <w:lang w:val="en-US"/>
        </w:rPr>
        <w:t>ness of obligations (</w:t>
      </w:r>
      <w:r w:rsidR="00AE0F13" w:rsidRPr="00222917">
        <w:rPr>
          <w:lang w:val="en-US"/>
        </w:rPr>
        <w:t>a</w:t>
      </w:r>
      <w:r w:rsidR="00C23090" w:rsidRPr="00222917">
        <w:rPr>
          <w:lang w:val="en-US"/>
        </w:rPr>
        <w:t>rticle 49 </w:t>
      </w:r>
      <w:r w:rsidR="002D5BB0" w:rsidRPr="00222917">
        <w:rPr>
          <w:lang w:val="en-US"/>
        </w:rPr>
        <w:t xml:space="preserve">(3)). </w:t>
      </w:r>
    </w:p>
    <w:p w:rsidR="002D5BB0" w:rsidRPr="00222917" w:rsidRDefault="00547908" w:rsidP="00547908">
      <w:pPr>
        <w:pStyle w:val="SingleTxtG"/>
        <w:rPr>
          <w:lang w:val="en-US"/>
        </w:rPr>
      </w:pPr>
      <w:r w:rsidRPr="00222917">
        <w:rPr>
          <w:lang w:val="en-US"/>
        </w:rPr>
        <w:t>344.</w:t>
      </w:r>
      <w:r w:rsidRPr="00222917">
        <w:rPr>
          <w:lang w:val="en-US"/>
        </w:rPr>
        <w:tab/>
      </w:r>
      <w:r w:rsidR="002D5BB0" w:rsidRPr="00222917">
        <w:rPr>
          <w:lang w:val="en-US"/>
        </w:rPr>
        <w:t xml:space="preserve">On 13 June 2008, the </w:t>
      </w:r>
      <w:r w:rsidR="002D5BB0" w:rsidRPr="00222917">
        <w:rPr>
          <w:iCs/>
          <w:lang w:val="en-US"/>
        </w:rPr>
        <w:t xml:space="preserve">Act on the Punishment of Sexual Crimes and Protection of Victims Thereof </w:t>
      </w:r>
      <w:r w:rsidR="002D5BB0" w:rsidRPr="00222917">
        <w:rPr>
          <w:lang w:val="en-US"/>
        </w:rPr>
        <w:t xml:space="preserve">was amended to impose heavier statutory punishments for rape and sexual molestation by force committed against girls under 13 years of age. The amendment of the </w:t>
      </w:r>
      <w:r w:rsidR="002D5BB0" w:rsidRPr="00367065">
        <w:rPr>
          <w:iCs/>
          <w:lang w:val="en-US"/>
        </w:rPr>
        <w:t>Act on Special Cases concerning the Punishment, etc. of Victims of Sexual Crimes</w:t>
      </w:r>
      <w:r w:rsidR="005F5775" w:rsidRPr="00222917">
        <w:rPr>
          <w:lang w:val="en-US"/>
        </w:rPr>
        <w:t xml:space="preserve"> is as explained in paragraphs </w:t>
      </w:r>
      <w:r w:rsidR="002D5BB0" w:rsidRPr="00222917">
        <w:rPr>
          <w:lang w:val="en-US"/>
        </w:rPr>
        <w:t xml:space="preserve">69 through 70 above. Matters concerning the </w:t>
      </w:r>
      <w:r w:rsidR="002D5BB0" w:rsidRPr="00367065">
        <w:rPr>
          <w:iCs/>
          <w:lang w:val="en-US"/>
        </w:rPr>
        <w:t>Act on the Electronic Monitoring of Specific Criminal Offenders</w:t>
      </w:r>
      <w:r w:rsidR="005F5775" w:rsidRPr="00367065">
        <w:rPr>
          <w:iCs/>
          <w:lang w:val="en-US"/>
        </w:rPr>
        <w:t xml:space="preserve"> </w:t>
      </w:r>
      <w:r w:rsidR="005F5775" w:rsidRPr="00222917">
        <w:rPr>
          <w:lang w:val="en-US"/>
        </w:rPr>
        <w:t>are as explained in paragraph </w:t>
      </w:r>
      <w:r w:rsidR="002D5BB0" w:rsidRPr="00222917">
        <w:rPr>
          <w:lang w:val="en-US"/>
        </w:rPr>
        <w:t>72 above.</w:t>
      </w:r>
      <w:r w:rsidR="00120D8B" w:rsidRPr="00222917">
        <w:rPr>
          <w:lang w:val="en-US"/>
        </w:rPr>
        <w:t xml:space="preserve"> </w:t>
      </w:r>
    </w:p>
    <w:p w:rsidR="002D5BB0" w:rsidRPr="00222917" w:rsidRDefault="00547908" w:rsidP="00547908">
      <w:pPr>
        <w:pStyle w:val="SingleTxtG"/>
        <w:rPr>
          <w:lang w:val="en-US"/>
        </w:rPr>
      </w:pPr>
      <w:r w:rsidRPr="00222917">
        <w:rPr>
          <w:lang w:val="en-US"/>
        </w:rPr>
        <w:t>345.</w:t>
      </w:r>
      <w:r w:rsidRPr="00222917">
        <w:rPr>
          <w:lang w:val="en-US"/>
        </w:rPr>
        <w:tab/>
      </w:r>
      <w:r w:rsidR="002D5BB0" w:rsidRPr="00222917">
        <w:rPr>
          <w:lang w:val="en-US"/>
        </w:rPr>
        <w:t>In April 2008, the Government announced the government-wide comprehensive measures to protect children and women from sexual violence and formed the Task Force Team to Examine Implementation of Measures to Protect Children and Women, in which nine ministries under the Prime Minister’s Office collectively participated. The</w:t>
      </w:r>
      <w:r w:rsidR="00984B6F" w:rsidRPr="00222917">
        <w:rPr>
          <w:lang w:val="en-US"/>
        </w:rPr>
        <w:t> </w:t>
      </w:r>
      <w:r w:rsidR="002D5BB0" w:rsidRPr="00222917">
        <w:rPr>
          <w:lang w:val="en-US"/>
        </w:rPr>
        <w:t xml:space="preserve">Government held meetings of appropriate ministries to eradicate sexual violence against children and strengthen protection and support for victims, and came up with more rigorous measures to prevent recurrence of sex crimes against children in October 2009. </w:t>
      </w:r>
    </w:p>
    <w:p w:rsidR="002D5BB0" w:rsidRPr="00222917" w:rsidRDefault="00547908" w:rsidP="00547908">
      <w:pPr>
        <w:pStyle w:val="SingleTxtG"/>
        <w:rPr>
          <w:lang w:val="en-US"/>
        </w:rPr>
      </w:pPr>
      <w:r w:rsidRPr="00222917">
        <w:rPr>
          <w:lang w:val="en-US"/>
        </w:rPr>
        <w:t>346.</w:t>
      </w:r>
      <w:r w:rsidRPr="00222917">
        <w:rPr>
          <w:lang w:val="en-US"/>
        </w:rPr>
        <w:tab/>
      </w:r>
      <w:r w:rsidR="002D5BB0" w:rsidRPr="00222917">
        <w:rPr>
          <w:lang w:val="en-US"/>
        </w:rPr>
        <w:t xml:space="preserve">To aggressively handle sexual violence by a guardian, if an offender is a person with parental authority, the prosecutor was granted authority on 25 September 2009 to request forfeiture of parental authority and take protective measures for and support the victim, who has no guardian due to the forfeiture of parental authority, in cooperation with child protection institutions and criminal victim support centers. On 14 October 2009, the Prosecutor for Child (PFC; a prosecutor exclusively investigating children’s cases) system was introduced so that a specialized investigation advisory committee could be actively utilized and highly specialized education could be offered to prosecutors and investigators. On 15 October 2009, the one-on-one relationship between a crime prevention committee member and a child was established; customized assistance for children vulnerable to crimes was provided; and a collaboration system with related agencies was built. The women’s and children’s crime investigation specialist course is offered to prosecutors, and the practicum course for crime against children investigations is offered to investigators. </w:t>
      </w:r>
    </w:p>
    <w:p w:rsidR="002D5BB0" w:rsidRPr="00222917" w:rsidRDefault="00984B6F" w:rsidP="00984B6F">
      <w:pPr>
        <w:pStyle w:val="H23G"/>
        <w:rPr>
          <w:lang w:val="en-US"/>
        </w:rPr>
      </w:pPr>
      <w:bookmarkStart w:id="295" w:name="_Toc307504169"/>
      <w:bookmarkStart w:id="296" w:name="_Toc336435941"/>
      <w:r w:rsidRPr="00222917">
        <w:rPr>
          <w:lang w:val="en-US"/>
        </w:rPr>
        <w:tab/>
      </w:r>
      <w:r w:rsidRPr="00222917">
        <w:rPr>
          <w:lang w:val="en-US"/>
        </w:rPr>
        <w:tab/>
      </w:r>
      <w:r w:rsidR="002D5BB0" w:rsidRPr="00222917">
        <w:rPr>
          <w:lang w:val="en-US"/>
        </w:rPr>
        <w:t>Protection of Children from Violence in School</w:t>
      </w:r>
      <w:bookmarkEnd w:id="295"/>
      <w:bookmarkEnd w:id="296"/>
    </w:p>
    <w:p w:rsidR="002D5BB0" w:rsidRPr="00222917" w:rsidRDefault="00547908" w:rsidP="00547908">
      <w:pPr>
        <w:pStyle w:val="SingleTxtG"/>
        <w:rPr>
          <w:lang w:val="en-US"/>
        </w:rPr>
      </w:pPr>
      <w:r w:rsidRPr="00222917">
        <w:rPr>
          <w:lang w:val="en-US"/>
        </w:rPr>
        <w:t>347.</w:t>
      </w:r>
      <w:r w:rsidRPr="00222917">
        <w:rPr>
          <w:lang w:val="en-US"/>
        </w:rPr>
        <w:tab/>
      </w:r>
      <w:r w:rsidR="002D5BB0" w:rsidRPr="00222917">
        <w:rPr>
          <w:lang w:val="en-US"/>
        </w:rPr>
        <w:t>Following the self-assessment that the governmental measures to prevent and fight against violence in schools are only short-term plans that were explained in the third re</w:t>
      </w:r>
      <w:r w:rsidR="00984B6F" w:rsidRPr="00222917">
        <w:rPr>
          <w:lang w:val="en-US"/>
        </w:rPr>
        <w:t>port (CCPR/C/KOR/2005/3, paras. 335-</w:t>
      </w:r>
      <w:r w:rsidR="002D5BB0" w:rsidRPr="00222917">
        <w:rPr>
          <w:lang w:val="en-US"/>
        </w:rPr>
        <w:t xml:space="preserve">340), in January 2004, the Government provided a legal basis for prevention of violence in schools and devised relevant master plans in line with schools, Offices of Education, </w:t>
      </w:r>
      <w:r w:rsidR="0005151A">
        <w:rPr>
          <w:lang w:val="en-US"/>
        </w:rPr>
        <w:t>g</w:t>
      </w:r>
      <w:r w:rsidR="002D5BB0" w:rsidRPr="00222917">
        <w:rPr>
          <w:lang w:val="en-US"/>
        </w:rPr>
        <w:t xml:space="preserve">overnment agencies, local governments, communities, professional organizations, and experts. </w:t>
      </w:r>
    </w:p>
    <w:p w:rsidR="002D5BB0" w:rsidRPr="00222917" w:rsidRDefault="00984B6F" w:rsidP="00984B6F">
      <w:pPr>
        <w:pStyle w:val="H23G"/>
        <w:rPr>
          <w:b w:val="0"/>
          <w:sz w:val="16"/>
          <w:szCs w:val="16"/>
          <w:lang w:val="en-US"/>
        </w:rPr>
      </w:pPr>
      <w:r w:rsidRPr="00222917">
        <w:rPr>
          <w:lang w:val="en-US"/>
        </w:rPr>
        <w:tab/>
      </w:r>
      <w:r w:rsidRPr="00222917">
        <w:rPr>
          <w:lang w:val="en-US"/>
        </w:rPr>
        <w:tab/>
      </w:r>
      <w:r w:rsidR="002D5BB0" w:rsidRPr="00222917">
        <w:rPr>
          <w:lang w:val="en-US"/>
        </w:rPr>
        <w:t>Violence in Schools</w:t>
      </w:r>
      <w:r w:rsidRPr="00222917">
        <w:rPr>
          <w:lang w:val="en-US"/>
        </w:rPr>
        <w:br/>
      </w:r>
      <w:r w:rsidR="002D5BB0" w:rsidRPr="00222917">
        <w:rPr>
          <w:b w:val="0"/>
          <w:sz w:val="16"/>
          <w:szCs w:val="16"/>
          <w:lang w:val="en-US"/>
        </w:rPr>
        <w:t xml:space="preserve">(Number of cases; persons) </w:t>
      </w:r>
    </w:p>
    <w:tbl>
      <w:tblPr>
        <w:tblW w:w="7370" w:type="dxa"/>
        <w:tblInd w:w="1134" w:type="dxa"/>
        <w:tblBorders>
          <w:top w:val="single" w:sz="4" w:space="0" w:color="auto"/>
        </w:tblBorders>
        <w:tblCellMar>
          <w:left w:w="0" w:type="dxa"/>
          <w:right w:w="0" w:type="dxa"/>
        </w:tblCellMar>
        <w:tblLook w:val="00A0"/>
      </w:tblPr>
      <w:tblGrid>
        <w:gridCol w:w="1587"/>
        <w:gridCol w:w="963"/>
        <w:gridCol w:w="964"/>
        <w:gridCol w:w="964"/>
        <w:gridCol w:w="964"/>
        <w:gridCol w:w="964"/>
        <w:gridCol w:w="964"/>
      </w:tblGrid>
      <w:tr w:rsidR="00047930" w:rsidRPr="00222917" w:rsidTr="006B3562">
        <w:trPr>
          <w:tblHeader/>
        </w:trPr>
        <w:tc>
          <w:tcPr>
            <w:tcW w:w="1588"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6B3562">
            <w:pPr>
              <w:pStyle w:val="SingleTxtG"/>
              <w:suppressAutoHyphens w:val="0"/>
              <w:spacing w:before="80" w:after="80" w:line="200" w:lineRule="exact"/>
              <w:ind w:left="0" w:right="0"/>
              <w:jc w:val="left"/>
              <w:rPr>
                <w:i/>
                <w:sz w:val="16"/>
                <w:lang w:val="en-US"/>
              </w:rPr>
            </w:pPr>
            <w:r w:rsidRPr="00222917">
              <w:rPr>
                <w:bCs/>
                <w:i/>
                <w:sz w:val="16"/>
                <w:lang w:val="en-US"/>
              </w:rPr>
              <w:t>Year</w:t>
            </w:r>
          </w:p>
        </w:tc>
        <w:tc>
          <w:tcPr>
            <w:tcW w:w="964"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6B3562">
            <w:pPr>
              <w:pStyle w:val="SingleTxtG"/>
              <w:suppressAutoHyphens w:val="0"/>
              <w:spacing w:before="80" w:after="80" w:line="200" w:lineRule="exact"/>
              <w:ind w:left="0" w:right="0"/>
              <w:jc w:val="right"/>
              <w:rPr>
                <w:i/>
                <w:sz w:val="16"/>
                <w:lang w:val="en-US"/>
              </w:rPr>
            </w:pPr>
            <w:r w:rsidRPr="00222917">
              <w:rPr>
                <w:bCs/>
                <w:i/>
                <w:sz w:val="16"/>
                <w:lang w:val="en-US"/>
              </w:rPr>
              <w:t>2005</w:t>
            </w:r>
          </w:p>
        </w:tc>
        <w:tc>
          <w:tcPr>
            <w:tcW w:w="964"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6B3562">
            <w:pPr>
              <w:pStyle w:val="SingleTxtG"/>
              <w:suppressAutoHyphens w:val="0"/>
              <w:spacing w:before="80" w:after="80" w:line="200" w:lineRule="exact"/>
              <w:ind w:left="0" w:right="0"/>
              <w:jc w:val="right"/>
              <w:rPr>
                <w:i/>
                <w:sz w:val="16"/>
                <w:lang w:val="en-US"/>
              </w:rPr>
            </w:pPr>
            <w:r w:rsidRPr="00222917">
              <w:rPr>
                <w:bCs/>
                <w:i/>
                <w:sz w:val="16"/>
                <w:lang w:val="en-US"/>
              </w:rPr>
              <w:t>2006</w:t>
            </w:r>
          </w:p>
        </w:tc>
        <w:tc>
          <w:tcPr>
            <w:tcW w:w="964"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6B3562">
            <w:pPr>
              <w:pStyle w:val="SingleTxtG"/>
              <w:suppressAutoHyphens w:val="0"/>
              <w:spacing w:before="80" w:after="80" w:line="200" w:lineRule="exact"/>
              <w:ind w:left="0" w:right="0"/>
              <w:jc w:val="right"/>
              <w:rPr>
                <w:i/>
                <w:sz w:val="16"/>
                <w:lang w:val="en-US"/>
              </w:rPr>
            </w:pPr>
            <w:r w:rsidRPr="00222917">
              <w:rPr>
                <w:bCs/>
                <w:i/>
                <w:sz w:val="16"/>
                <w:lang w:val="en-US"/>
              </w:rPr>
              <w:t>2007</w:t>
            </w:r>
          </w:p>
        </w:tc>
        <w:tc>
          <w:tcPr>
            <w:tcW w:w="964"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2D5BB0" w:rsidRPr="00222917" w:rsidRDefault="002D5BB0" w:rsidP="006B3562">
            <w:pPr>
              <w:pStyle w:val="SingleTxtG"/>
              <w:suppressAutoHyphens w:val="0"/>
              <w:spacing w:before="80" w:after="80" w:line="200" w:lineRule="exact"/>
              <w:ind w:left="0" w:right="0"/>
              <w:jc w:val="right"/>
              <w:rPr>
                <w:i/>
                <w:sz w:val="16"/>
                <w:lang w:val="en-US"/>
              </w:rPr>
            </w:pPr>
            <w:r w:rsidRPr="00222917">
              <w:rPr>
                <w:bCs/>
                <w:i/>
                <w:sz w:val="16"/>
                <w:lang w:val="en-US"/>
              </w:rPr>
              <w:t>2008</w:t>
            </w:r>
          </w:p>
        </w:tc>
        <w:tc>
          <w:tcPr>
            <w:tcW w:w="964" w:type="dxa"/>
            <w:tcBorders>
              <w:top w:val="single" w:sz="4" w:space="0" w:color="auto"/>
              <w:bottom w:val="single" w:sz="12" w:space="0" w:color="auto"/>
            </w:tcBorders>
            <w:shd w:val="clear" w:color="auto" w:fill="auto"/>
            <w:vAlign w:val="bottom"/>
          </w:tcPr>
          <w:p w:rsidR="002D5BB0" w:rsidRPr="00222917" w:rsidRDefault="002D5BB0" w:rsidP="006B3562">
            <w:pPr>
              <w:pStyle w:val="SingleTxtG"/>
              <w:suppressAutoHyphens w:val="0"/>
              <w:spacing w:before="80" w:after="80" w:line="200" w:lineRule="exact"/>
              <w:ind w:left="0" w:right="0"/>
              <w:jc w:val="right"/>
              <w:rPr>
                <w:bCs/>
                <w:i/>
                <w:sz w:val="16"/>
                <w:lang w:val="en-US"/>
              </w:rPr>
            </w:pPr>
            <w:r w:rsidRPr="00222917">
              <w:rPr>
                <w:bCs/>
                <w:i/>
                <w:sz w:val="16"/>
                <w:lang w:val="en-US"/>
              </w:rPr>
              <w:t>2009</w:t>
            </w:r>
          </w:p>
        </w:tc>
        <w:tc>
          <w:tcPr>
            <w:tcW w:w="964" w:type="dxa"/>
            <w:tcBorders>
              <w:top w:val="single" w:sz="4" w:space="0" w:color="auto"/>
              <w:bottom w:val="single" w:sz="12" w:space="0" w:color="auto"/>
            </w:tcBorders>
            <w:shd w:val="clear" w:color="auto" w:fill="auto"/>
            <w:vAlign w:val="bottom"/>
          </w:tcPr>
          <w:p w:rsidR="002D5BB0" w:rsidRPr="00222917" w:rsidRDefault="002D5BB0" w:rsidP="006B3562">
            <w:pPr>
              <w:pStyle w:val="SingleTxtG"/>
              <w:suppressAutoHyphens w:val="0"/>
              <w:spacing w:before="80" w:after="80" w:line="200" w:lineRule="exact"/>
              <w:ind w:left="0" w:right="0"/>
              <w:jc w:val="right"/>
              <w:rPr>
                <w:bCs/>
                <w:i/>
                <w:sz w:val="16"/>
                <w:lang w:val="en-US"/>
              </w:rPr>
            </w:pPr>
            <w:r w:rsidRPr="00222917">
              <w:rPr>
                <w:bCs/>
                <w:i/>
                <w:sz w:val="16"/>
                <w:lang w:val="en-US"/>
              </w:rPr>
              <w:t>2010</w:t>
            </w:r>
          </w:p>
        </w:tc>
      </w:tr>
      <w:tr w:rsidR="00047930" w:rsidRPr="00222917" w:rsidTr="006B3562">
        <w:tc>
          <w:tcPr>
            <w:tcW w:w="1588" w:type="dxa"/>
            <w:tcBorders>
              <w:top w:val="single" w:sz="12" w:space="0" w:color="auto"/>
            </w:tcBorders>
            <w:shd w:val="clear" w:color="auto" w:fill="auto"/>
            <w:tcMar>
              <w:top w:w="28" w:type="dxa"/>
              <w:left w:w="28" w:type="dxa"/>
              <w:bottom w:w="28" w:type="dxa"/>
              <w:right w:w="28" w:type="dxa"/>
            </w:tcMar>
          </w:tcPr>
          <w:p w:rsidR="002D5BB0" w:rsidRPr="00222917" w:rsidRDefault="002D5BB0" w:rsidP="006B3562">
            <w:pPr>
              <w:pStyle w:val="SingleTxtG"/>
              <w:suppressAutoHyphens w:val="0"/>
              <w:spacing w:before="40" w:after="40" w:line="220" w:lineRule="exact"/>
              <w:ind w:left="0" w:right="0"/>
              <w:jc w:val="left"/>
              <w:rPr>
                <w:sz w:val="18"/>
                <w:lang w:val="en-US"/>
              </w:rPr>
            </w:pPr>
            <w:r w:rsidRPr="00222917">
              <w:rPr>
                <w:sz w:val="18"/>
                <w:lang w:val="en-US"/>
              </w:rPr>
              <w:t>Cases under review</w:t>
            </w:r>
          </w:p>
        </w:tc>
        <w:tc>
          <w:tcPr>
            <w:tcW w:w="964" w:type="dxa"/>
            <w:tcBorders>
              <w:top w:val="single" w:sz="12" w:space="0" w:color="auto"/>
            </w:tcBorders>
            <w:shd w:val="clear" w:color="auto" w:fill="auto"/>
            <w:tcMar>
              <w:top w:w="28" w:type="dxa"/>
              <w:left w:w="28" w:type="dxa"/>
              <w:bottom w:w="28" w:type="dxa"/>
              <w:right w:w="28" w:type="dxa"/>
            </w:tcMar>
            <w:vAlign w:val="bottom"/>
          </w:tcPr>
          <w:p w:rsidR="002D5BB0" w:rsidRPr="00222917" w:rsidRDefault="002D5BB0" w:rsidP="006B3562">
            <w:pPr>
              <w:pStyle w:val="SingleTxtG"/>
              <w:suppressAutoHyphens w:val="0"/>
              <w:spacing w:before="40" w:after="40" w:line="220" w:lineRule="exact"/>
              <w:ind w:left="0" w:right="0"/>
              <w:jc w:val="right"/>
              <w:rPr>
                <w:sz w:val="18"/>
                <w:lang w:val="en-US"/>
              </w:rPr>
            </w:pPr>
            <w:r w:rsidRPr="00222917">
              <w:rPr>
                <w:sz w:val="18"/>
                <w:lang w:val="en-US"/>
              </w:rPr>
              <w:t>2,518</w:t>
            </w:r>
          </w:p>
        </w:tc>
        <w:tc>
          <w:tcPr>
            <w:tcW w:w="964" w:type="dxa"/>
            <w:tcBorders>
              <w:top w:val="single" w:sz="12" w:space="0" w:color="auto"/>
            </w:tcBorders>
            <w:shd w:val="clear" w:color="auto" w:fill="auto"/>
            <w:tcMar>
              <w:top w:w="28" w:type="dxa"/>
              <w:left w:w="28" w:type="dxa"/>
              <w:bottom w:w="28" w:type="dxa"/>
              <w:right w:w="28" w:type="dxa"/>
            </w:tcMar>
            <w:vAlign w:val="bottom"/>
          </w:tcPr>
          <w:p w:rsidR="002D5BB0" w:rsidRPr="00222917" w:rsidRDefault="002D5BB0" w:rsidP="006B3562">
            <w:pPr>
              <w:pStyle w:val="SingleTxtG"/>
              <w:suppressAutoHyphens w:val="0"/>
              <w:spacing w:before="40" w:after="40" w:line="220" w:lineRule="exact"/>
              <w:ind w:left="0" w:right="0"/>
              <w:jc w:val="right"/>
              <w:rPr>
                <w:sz w:val="18"/>
                <w:lang w:val="en-US"/>
              </w:rPr>
            </w:pPr>
            <w:r w:rsidRPr="00222917">
              <w:rPr>
                <w:sz w:val="18"/>
                <w:lang w:val="en-US"/>
              </w:rPr>
              <w:t>3,980</w:t>
            </w:r>
          </w:p>
        </w:tc>
        <w:tc>
          <w:tcPr>
            <w:tcW w:w="964" w:type="dxa"/>
            <w:tcBorders>
              <w:top w:val="single" w:sz="12" w:space="0" w:color="auto"/>
            </w:tcBorders>
            <w:shd w:val="clear" w:color="auto" w:fill="auto"/>
            <w:tcMar>
              <w:top w:w="28" w:type="dxa"/>
              <w:left w:w="28" w:type="dxa"/>
              <w:bottom w:w="28" w:type="dxa"/>
              <w:right w:w="28" w:type="dxa"/>
            </w:tcMar>
            <w:vAlign w:val="bottom"/>
          </w:tcPr>
          <w:p w:rsidR="002D5BB0" w:rsidRPr="00222917" w:rsidRDefault="002D5BB0" w:rsidP="006B3562">
            <w:pPr>
              <w:pStyle w:val="SingleTxtG"/>
              <w:suppressAutoHyphens w:val="0"/>
              <w:spacing w:before="40" w:after="40" w:line="220" w:lineRule="exact"/>
              <w:ind w:left="0" w:right="0"/>
              <w:jc w:val="right"/>
              <w:rPr>
                <w:sz w:val="18"/>
                <w:lang w:val="en-US"/>
              </w:rPr>
            </w:pPr>
            <w:r w:rsidRPr="00222917">
              <w:rPr>
                <w:sz w:val="18"/>
                <w:lang w:val="en-US"/>
              </w:rPr>
              <w:t>7,667</w:t>
            </w:r>
          </w:p>
        </w:tc>
        <w:tc>
          <w:tcPr>
            <w:tcW w:w="964" w:type="dxa"/>
            <w:tcBorders>
              <w:top w:val="single" w:sz="12" w:space="0" w:color="auto"/>
            </w:tcBorders>
            <w:shd w:val="clear" w:color="auto" w:fill="auto"/>
            <w:tcMar>
              <w:top w:w="28" w:type="dxa"/>
              <w:left w:w="28" w:type="dxa"/>
              <w:bottom w:w="28" w:type="dxa"/>
              <w:right w:w="28" w:type="dxa"/>
            </w:tcMar>
            <w:vAlign w:val="bottom"/>
          </w:tcPr>
          <w:p w:rsidR="002D5BB0" w:rsidRPr="00222917" w:rsidRDefault="002D5BB0" w:rsidP="006B3562">
            <w:pPr>
              <w:pStyle w:val="SingleTxtG"/>
              <w:suppressAutoHyphens w:val="0"/>
              <w:spacing w:before="40" w:after="40" w:line="220" w:lineRule="exact"/>
              <w:ind w:left="0" w:right="0"/>
              <w:jc w:val="right"/>
              <w:rPr>
                <w:sz w:val="18"/>
                <w:lang w:val="en-US"/>
              </w:rPr>
            </w:pPr>
            <w:r w:rsidRPr="00222917">
              <w:rPr>
                <w:sz w:val="18"/>
                <w:lang w:val="en-US"/>
              </w:rPr>
              <w:t>8,813</w:t>
            </w:r>
          </w:p>
        </w:tc>
        <w:tc>
          <w:tcPr>
            <w:tcW w:w="964" w:type="dxa"/>
            <w:tcBorders>
              <w:top w:val="single" w:sz="12" w:space="0" w:color="auto"/>
            </w:tcBorders>
            <w:shd w:val="clear" w:color="auto" w:fill="auto"/>
            <w:vAlign w:val="bottom"/>
          </w:tcPr>
          <w:p w:rsidR="002D5BB0" w:rsidRPr="00222917" w:rsidRDefault="002D5BB0" w:rsidP="006B3562">
            <w:pPr>
              <w:pStyle w:val="SingleTxtG"/>
              <w:suppressAutoHyphens w:val="0"/>
              <w:spacing w:before="40" w:after="40" w:line="220" w:lineRule="exact"/>
              <w:ind w:left="0" w:right="0"/>
              <w:jc w:val="right"/>
              <w:rPr>
                <w:sz w:val="18"/>
                <w:lang w:val="en-US"/>
              </w:rPr>
            </w:pPr>
            <w:r w:rsidRPr="00222917">
              <w:rPr>
                <w:sz w:val="18"/>
                <w:lang w:val="en-US"/>
              </w:rPr>
              <w:t>5,605</w:t>
            </w:r>
          </w:p>
        </w:tc>
        <w:tc>
          <w:tcPr>
            <w:tcW w:w="964" w:type="dxa"/>
            <w:tcBorders>
              <w:top w:val="single" w:sz="12" w:space="0" w:color="auto"/>
            </w:tcBorders>
            <w:shd w:val="clear" w:color="auto" w:fill="auto"/>
            <w:vAlign w:val="bottom"/>
          </w:tcPr>
          <w:p w:rsidR="002D5BB0" w:rsidRPr="00222917" w:rsidRDefault="002D5BB0" w:rsidP="006B3562">
            <w:pPr>
              <w:pStyle w:val="SingleTxtG"/>
              <w:suppressAutoHyphens w:val="0"/>
              <w:spacing w:before="40" w:after="40" w:line="220" w:lineRule="exact"/>
              <w:ind w:left="0" w:right="0"/>
              <w:jc w:val="right"/>
              <w:rPr>
                <w:sz w:val="18"/>
                <w:lang w:val="en-US"/>
              </w:rPr>
            </w:pPr>
            <w:r w:rsidRPr="00222917">
              <w:rPr>
                <w:sz w:val="18"/>
                <w:lang w:val="en-US"/>
              </w:rPr>
              <w:t>7,823</w:t>
            </w:r>
          </w:p>
        </w:tc>
      </w:tr>
      <w:tr w:rsidR="00047930" w:rsidRPr="00222917" w:rsidTr="006B3562">
        <w:tc>
          <w:tcPr>
            <w:tcW w:w="1588" w:type="dxa"/>
            <w:shd w:val="clear" w:color="auto" w:fill="auto"/>
            <w:tcMar>
              <w:top w:w="28" w:type="dxa"/>
              <w:left w:w="28" w:type="dxa"/>
              <w:bottom w:w="28" w:type="dxa"/>
              <w:right w:w="28" w:type="dxa"/>
            </w:tcMar>
          </w:tcPr>
          <w:p w:rsidR="002D5BB0" w:rsidRPr="00222917" w:rsidRDefault="002D5BB0" w:rsidP="006B3562">
            <w:pPr>
              <w:pStyle w:val="SingleTxtG"/>
              <w:suppressAutoHyphens w:val="0"/>
              <w:spacing w:before="40" w:after="40" w:line="220" w:lineRule="exact"/>
              <w:ind w:left="0" w:right="0"/>
              <w:jc w:val="left"/>
              <w:rPr>
                <w:sz w:val="18"/>
                <w:lang w:val="en-US"/>
              </w:rPr>
            </w:pPr>
            <w:r w:rsidRPr="00222917">
              <w:rPr>
                <w:sz w:val="18"/>
                <w:lang w:val="en-US"/>
              </w:rPr>
              <w:t>Student victims</w:t>
            </w:r>
          </w:p>
        </w:tc>
        <w:tc>
          <w:tcPr>
            <w:tcW w:w="964" w:type="dxa"/>
            <w:shd w:val="clear" w:color="auto" w:fill="auto"/>
            <w:tcMar>
              <w:top w:w="28" w:type="dxa"/>
              <w:left w:w="28" w:type="dxa"/>
              <w:bottom w:w="28" w:type="dxa"/>
              <w:right w:w="28" w:type="dxa"/>
            </w:tcMar>
            <w:vAlign w:val="bottom"/>
          </w:tcPr>
          <w:p w:rsidR="002D5BB0" w:rsidRPr="00222917" w:rsidRDefault="002D5BB0" w:rsidP="006B3562">
            <w:pPr>
              <w:pStyle w:val="SingleTxtG"/>
              <w:suppressAutoHyphens w:val="0"/>
              <w:spacing w:before="40" w:after="40" w:line="220" w:lineRule="exact"/>
              <w:ind w:left="0" w:right="0"/>
              <w:jc w:val="right"/>
              <w:rPr>
                <w:sz w:val="18"/>
                <w:lang w:val="en-US"/>
              </w:rPr>
            </w:pPr>
            <w:r w:rsidRPr="00222917">
              <w:rPr>
                <w:sz w:val="18"/>
                <w:lang w:val="en-US"/>
              </w:rPr>
              <w:t>4,567</w:t>
            </w:r>
          </w:p>
        </w:tc>
        <w:tc>
          <w:tcPr>
            <w:tcW w:w="964" w:type="dxa"/>
            <w:shd w:val="clear" w:color="auto" w:fill="auto"/>
            <w:tcMar>
              <w:top w:w="28" w:type="dxa"/>
              <w:left w:w="28" w:type="dxa"/>
              <w:bottom w:w="28" w:type="dxa"/>
              <w:right w:w="28" w:type="dxa"/>
            </w:tcMar>
            <w:vAlign w:val="bottom"/>
          </w:tcPr>
          <w:p w:rsidR="002D5BB0" w:rsidRPr="00222917" w:rsidRDefault="002D5BB0" w:rsidP="006B3562">
            <w:pPr>
              <w:pStyle w:val="SingleTxtG"/>
              <w:suppressAutoHyphens w:val="0"/>
              <w:spacing w:before="40" w:after="40" w:line="220" w:lineRule="exact"/>
              <w:ind w:left="0" w:right="0"/>
              <w:jc w:val="right"/>
              <w:rPr>
                <w:sz w:val="18"/>
                <w:lang w:val="en-US"/>
              </w:rPr>
            </w:pPr>
            <w:r w:rsidRPr="00222917">
              <w:rPr>
                <w:sz w:val="18"/>
                <w:lang w:val="en-US"/>
              </w:rPr>
              <w:t>5,752</w:t>
            </w:r>
          </w:p>
        </w:tc>
        <w:tc>
          <w:tcPr>
            <w:tcW w:w="964" w:type="dxa"/>
            <w:shd w:val="clear" w:color="auto" w:fill="auto"/>
            <w:tcMar>
              <w:top w:w="28" w:type="dxa"/>
              <w:left w:w="28" w:type="dxa"/>
              <w:bottom w:w="28" w:type="dxa"/>
              <w:right w:w="28" w:type="dxa"/>
            </w:tcMar>
            <w:vAlign w:val="bottom"/>
          </w:tcPr>
          <w:p w:rsidR="002D5BB0" w:rsidRPr="00222917" w:rsidRDefault="002D5BB0" w:rsidP="006B3562">
            <w:pPr>
              <w:pStyle w:val="SingleTxtG"/>
              <w:suppressAutoHyphens w:val="0"/>
              <w:spacing w:before="40" w:after="40" w:line="220" w:lineRule="exact"/>
              <w:ind w:left="0" w:right="0"/>
              <w:jc w:val="right"/>
              <w:rPr>
                <w:sz w:val="18"/>
                <w:lang w:val="en-US"/>
              </w:rPr>
            </w:pPr>
            <w:r w:rsidRPr="00222917">
              <w:rPr>
                <w:sz w:val="18"/>
                <w:lang w:val="en-US"/>
              </w:rPr>
              <w:t>14,190</w:t>
            </w:r>
          </w:p>
        </w:tc>
        <w:tc>
          <w:tcPr>
            <w:tcW w:w="964" w:type="dxa"/>
            <w:shd w:val="clear" w:color="auto" w:fill="auto"/>
            <w:tcMar>
              <w:top w:w="28" w:type="dxa"/>
              <w:left w:w="28" w:type="dxa"/>
              <w:bottom w:w="28" w:type="dxa"/>
              <w:right w:w="28" w:type="dxa"/>
            </w:tcMar>
            <w:vAlign w:val="bottom"/>
          </w:tcPr>
          <w:p w:rsidR="002D5BB0" w:rsidRPr="00222917" w:rsidRDefault="002D5BB0" w:rsidP="006B3562">
            <w:pPr>
              <w:pStyle w:val="SingleTxtG"/>
              <w:suppressAutoHyphens w:val="0"/>
              <w:spacing w:before="40" w:after="40" w:line="220" w:lineRule="exact"/>
              <w:ind w:left="0" w:right="0"/>
              <w:jc w:val="right"/>
              <w:rPr>
                <w:sz w:val="18"/>
                <w:lang w:val="en-US"/>
              </w:rPr>
            </w:pPr>
            <w:r w:rsidRPr="00222917">
              <w:rPr>
                <w:sz w:val="18"/>
                <w:lang w:val="en-US"/>
              </w:rPr>
              <w:t>16,320</w:t>
            </w:r>
          </w:p>
        </w:tc>
        <w:tc>
          <w:tcPr>
            <w:tcW w:w="964" w:type="dxa"/>
            <w:shd w:val="clear" w:color="auto" w:fill="auto"/>
            <w:vAlign w:val="bottom"/>
          </w:tcPr>
          <w:p w:rsidR="002D5BB0" w:rsidRPr="00222917" w:rsidRDefault="002D5BB0" w:rsidP="006B3562">
            <w:pPr>
              <w:pStyle w:val="SingleTxtG"/>
              <w:suppressAutoHyphens w:val="0"/>
              <w:spacing w:before="40" w:after="40" w:line="220" w:lineRule="exact"/>
              <w:ind w:left="0" w:right="0"/>
              <w:jc w:val="right"/>
              <w:rPr>
                <w:sz w:val="18"/>
                <w:lang w:val="en-US"/>
              </w:rPr>
            </w:pPr>
            <w:r w:rsidRPr="00222917">
              <w:rPr>
                <w:sz w:val="18"/>
                <w:lang w:val="en-US"/>
              </w:rPr>
              <w:t>11,708</w:t>
            </w:r>
          </w:p>
        </w:tc>
        <w:tc>
          <w:tcPr>
            <w:tcW w:w="964" w:type="dxa"/>
            <w:shd w:val="clear" w:color="auto" w:fill="auto"/>
            <w:vAlign w:val="bottom"/>
          </w:tcPr>
          <w:p w:rsidR="002D5BB0" w:rsidRPr="00222917" w:rsidRDefault="002D5BB0" w:rsidP="006B3562">
            <w:pPr>
              <w:pStyle w:val="SingleTxtG"/>
              <w:suppressAutoHyphens w:val="0"/>
              <w:spacing w:before="40" w:after="40" w:line="220" w:lineRule="exact"/>
              <w:ind w:left="0" w:right="0"/>
              <w:jc w:val="right"/>
              <w:rPr>
                <w:sz w:val="18"/>
                <w:lang w:val="en-US"/>
              </w:rPr>
            </w:pPr>
            <w:r w:rsidRPr="00222917">
              <w:rPr>
                <w:sz w:val="18"/>
                <w:lang w:val="en-US"/>
              </w:rPr>
              <w:t>13,748</w:t>
            </w:r>
          </w:p>
        </w:tc>
      </w:tr>
      <w:tr w:rsidR="00047930" w:rsidRPr="00222917" w:rsidTr="006B3562">
        <w:tc>
          <w:tcPr>
            <w:tcW w:w="1588" w:type="dxa"/>
            <w:tcBorders>
              <w:bottom w:val="single" w:sz="12" w:space="0" w:color="auto"/>
            </w:tcBorders>
            <w:shd w:val="clear" w:color="auto" w:fill="auto"/>
            <w:tcMar>
              <w:top w:w="28" w:type="dxa"/>
              <w:left w:w="28" w:type="dxa"/>
              <w:bottom w:w="28" w:type="dxa"/>
              <w:right w:w="28" w:type="dxa"/>
            </w:tcMar>
          </w:tcPr>
          <w:p w:rsidR="002D5BB0" w:rsidRPr="00222917" w:rsidRDefault="002D5BB0" w:rsidP="006B3562">
            <w:pPr>
              <w:pStyle w:val="SingleTxtG"/>
              <w:suppressAutoHyphens w:val="0"/>
              <w:spacing w:before="40" w:after="40" w:line="220" w:lineRule="exact"/>
              <w:ind w:left="0" w:right="0"/>
              <w:jc w:val="left"/>
              <w:rPr>
                <w:sz w:val="18"/>
                <w:lang w:val="en-US"/>
              </w:rPr>
            </w:pPr>
            <w:r w:rsidRPr="00222917">
              <w:rPr>
                <w:sz w:val="18"/>
                <w:lang w:val="en-US"/>
              </w:rPr>
              <w:t>Student offenders</w:t>
            </w:r>
          </w:p>
        </w:tc>
        <w:tc>
          <w:tcPr>
            <w:tcW w:w="964" w:type="dxa"/>
            <w:tcBorders>
              <w:bottom w:val="single" w:sz="12" w:space="0" w:color="auto"/>
            </w:tcBorders>
            <w:shd w:val="clear" w:color="auto" w:fill="auto"/>
            <w:tcMar>
              <w:top w:w="28" w:type="dxa"/>
              <w:left w:w="28" w:type="dxa"/>
              <w:bottom w:w="28" w:type="dxa"/>
              <w:right w:w="28" w:type="dxa"/>
            </w:tcMar>
            <w:vAlign w:val="bottom"/>
          </w:tcPr>
          <w:p w:rsidR="002D5BB0" w:rsidRPr="00222917" w:rsidRDefault="002D5BB0" w:rsidP="006B3562">
            <w:pPr>
              <w:pStyle w:val="SingleTxtG"/>
              <w:suppressAutoHyphens w:val="0"/>
              <w:spacing w:before="40" w:after="40" w:line="220" w:lineRule="exact"/>
              <w:ind w:left="0" w:right="0"/>
              <w:jc w:val="right"/>
              <w:rPr>
                <w:sz w:val="18"/>
                <w:lang w:val="en-US"/>
              </w:rPr>
            </w:pPr>
            <w:r w:rsidRPr="00222917">
              <w:rPr>
                <w:sz w:val="18"/>
                <w:lang w:val="en-US"/>
              </w:rPr>
              <w:t>6,604</w:t>
            </w:r>
          </w:p>
        </w:tc>
        <w:tc>
          <w:tcPr>
            <w:tcW w:w="964" w:type="dxa"/>
            <w:tcBorders>
              <w:bottom w:val="single" w:sz="12" w:space="0" w:color="auto"/>
            </w:tcBorders>
            <w:shd w:val="clear" w:color="auto" w:fill="auto"/>
            <w:tcMar>
              <w:top w:w="28" w:type="dxa"/>
              <w:left w:w="28" w:type="dxa"/>
              <w:bottom w:w="28" w:type="dxa"/>
              <w:right w:w="28" w:type="dxa"/>
            </w:tcMar>
            <w:vAlign w:val="bottom"/>
          </w:tcPr>
          <w:p w:rsidR="002D5BB0" w:rsidRPr="00222917" w:rsidRDefault="002D5BB0" w:rsidP="006B3562">
            <w:pPr>
              <w:pStyle w:val="SingleTxtG"/>
              <w:suppressAutoHyphens w:val="0"/>
              <w:spacing w:before="40" w:after="40" w:line="220" w:lineRule="exact"/>
              <w:ind w:left="0" w:right="0"/>
              <w:jc w:val="right"/>
              <w:rPr>
                <w:sz w:val="18"/>
                <w:lang w:val="en-US"/>
              </w:rPr>
            </w:pPr>
            <w:r w:rsidRPr="00222917">
              <w:rPr>
                <w:sz w:val="18"/>
                <w:lang w:val="en-US"/>
              </w:rPr>
              <w:t>6,267</w:t>
            </w:r>
          </w:p>
        </w:tc>
        <w:tc>
          <w:tcPr>
            <w:tcW w:w="964" w:type="dxa"/>
            <w:tcBorders>
              <w:bottom w:val="single" w:sz="12" w:space="0" w:color="auto"/>
            </w:tcBorders>
            <w:shd w:val="clear" w:color="auto" w:fill="auto"/>
            <w:tcMar>
              <w:top w:w="28" w:type="dxa"/>
              <w:left w:w="28" w:type="dxa"/>
              <w:bottom w:w="28" w:type="dxa"/>
              <w:right w:w="28" w:type="dxa"/>
            </w:tcMar>
            <w:vAlign w:val="bottom"/>
          </w:tcPr>
          <w:p w:rsidR="002D5BB0" w:rsidRPr="00222917" w:rsidRDefault="002D5BB0" w:rsidP="006B3562">
            <w:pPr>
              <w:pStyle w:val="SingleTxtG"/>
              <w:suppressAutoHyphens w:val="0"/>
              <w:spacing w:before="40" w:after="40" w:line="220" w:lineRule="exact"/>
              <w:ind w:left="0" w:right="0"/>
              <w:jc w:val="right"/>
              <w:rPr>
                <w:sz w:val="18"/>
                <w:lang w:val="en-US"/>
              </w:rPr>
            </w:pPr>
            <w:r w:rsidRPr="00222917">
              <w:rPr>
                <w:sz w:val="18"/>
                <w:lang w:val="en-US"/>
              </w:rPr>
              <w:t>20,323</w:t>
            </w:r>
          </w:p>
        </w:tc>
        <w:tc>
          <w:tcPr>
            <w:tcW w:w="964" w:type="dxa"/>
            <w:tcBorders>
              <w:bottom w:val="single" w:sz="12" w:space="0" w:color="auto"/>
            </w:tcBorders>
            <w:shd w:val="clear" w:color="auto" w:fill="auto"/>
            <w:tcMar>
              <w:top w:w="28" w:type="dxa"/>
              <w:left w:w="28" w:type="dxa"/>
              <w:bottom w:w="28" w:type="dxa"/>
              <w:right w:w="28" w:type="dxa"/>
            </w:tcMar>
            <w:vAlign w:val="bottom"/>
          </w:tcPr>
          <w:p w:rsidR="002D5BB0" w:rsidRPr="00222917" w:rsidRDefault="002D5BB0" w:rsidP="006B3562">
            <w:pPr>
              <w:pStyle w:val="SingleTxtG"/>
              <w:suppressAutoHyphens w:val="0"/>
              <w:spacing w:before="40" w:after="40" w:line="220" w:lineRule="exact"/>
              <w:ind w:left="0" w:right="0"/>
              <w:jc w:val="right"/>
              <w:rPr>
                <w:sz w:val="18"/>
                <w:lang w:val="en-US"/>
              </w:rPr>
            </w:pPr>
            <w:r w:rsidRPr="00222917">
              <w:rPr>
                <w:sz w:val="18"/>
                <w:lang w:val="en-US"/>
              </w:rPr>
              <w:t>24,018</w:t>
            </w:r>
          </w:p>
        </w:tc>
        <w:tc>
          <w:tcPr>
            <w:tcW w:w="964" w:type="dxa"/>
            <w:tcBorders>
              <w:bottom w:val="single" w:sz="12" w:space="0" w:color="auto"/>
            </w:tcBorders>
            <w:shd w:val="clear" w:color="auto" w:fill="auto"/>
            <w:vAlign w:val="bottom"/>
          </w:tcPr>
          <w:p w:rsidR="002D5BB0" w:rsidRPr="00222917" w:rsidRDefault="002D5BB0" w:rsidP="006B3562">
            <w:pPr>
              <w:pStyle w:val="SingleTxtG"/>
              <w:suppressAutoHyphens w:val="0"/>
              <w:spacing w:before="40" w:after="40" w:line="220" w:lineRule="exact"/>
              <w:ind w:left="0" w:right="0"/>
              <w:jc w:val="right"/>
              <w:rPr>
                <w:sz w:val="18"/>
                <w:lang w:val="en-US"/>
              </w:rPr>
            </w:pPr>
            <w:r w:rsidRPr="00222917">
              <w:rPr>
                <w:sz w:val="18"/>
                <w:lang w:val="en-US"/>
              </w:rPr>
              <w:t>14.605</w:t>
            </w:r>
          </w:p>
        </w:tc>
        <w:tc>
          <w:tcPr>
            <w:tcW w:w="964" w:type="dxa"/>
            <w:tcBorders>
              <w:bottom w:val="single" w:sz="12" w:space="0" w:color="auto"/>
            </w:tcBorders>
            <w:shd w:val="clear" w:color="auto" w:fill="auto"/>
            <w:vAlign w:val="bottom"/>
          </w:tcPr>
          <w:p w:rsidR="002D5BB0" w:rsidRPr="00222917" w:rsidRDefault="002D5BB0" w:rsidP="006B3562">
            <w:pPr>
              <w:pStyle w:val="SingleTxtG"/>
              <w:suppressAutoHyphens w:val="0"/>
              <w:spacing w:before="40" w:after="40" w:line="220" w:lineRule="exact"/>
              <w:ind w:left="0" w:right="0"/>
              <w:jc w:val="right"/>
              <w:rPr>
                <w:sz w:val="18"/>
                <w:lang w:val="en-US"/>
              </w:rPr>
            </w:pPr>
            <w:r w:rsidRPr="00222917">
              <w:rPr>
                <w:sz w:val="18"/>
                <w:lang w:val="en-US"/>
              </w:rPr>
              <w:t>19,949</w:t>
            </w:r>
          </w:p>
        </w:tc>
      </w:tr>
    </w:tbl>
    <w:p w:rsidR="002D5BB0" w:rsidRPr="00222917" w:rsidRDefault="00547908" w:rsidP="00547908">
      <w:pPr>
        <w:pStyle w:val="SingleTxtG"/>
        <w:spacing w:before="240"/>
        <w:rPr>
          <w:lang w:val="en-US"/>
        </w:rPr>
      </w:pPr>
      <w:r w:rsidRPr="00222917">
        <w:rPr>
          <w:lang w:val="en-US"/>
        </w:rPr>
        <w:t>348.</w:t>
      </w:r>
      <w:r w:rsidRPr="00222917">
        <w:rPr>
          <w:lang w:val="en-US"/>
        </w:rPr>
        <w:tab/>
      </w:r>
      <w:r w:rsidR="002D5BB0" w:rsidRPr="00222917">
        <w:rPr>
          <w:lang w:val="en-US"/>
        </w:rPr>
        <w:t xml:space="preserve">On 29 January 2004, the Government enacted the </w:t>
      </w:r>
      <w:r w:rsidR="002D5BB0" w:rsidRPr="0005151A">
        <w:rPr>
          <w:iCs/>
          <w:lang w:val="en-US"/>
        </w:rPr>
        <w:t>Act on the Prevention of and Countermeasures against Violence in Schools</w:t>
      </w:r>
      <w:r w:rsidR="002D5BB0" w:rsidRPr="00222917">
        <w:rPr>
          <w:lang w:val="en-US"/>
        </w:rPr>
        <w:t>. In order to effectively achieve the purpose of the Act, the Government devised the first master plan (2005-2009) of the “Master Plan to Prevent and Handle Violence in Schools (“Master Plan”),” which is to be formulated every five years. Involved ministries including the Ministry of Education, Science and Technology carried out five major tasks of the first Master Plan: to actively operate supportive entities to prevent and eradicate violence in schools; to strengthen education and support to prevent and eradicate violence in schools; to enhance teachers’ expertise on guidance of students; to strengthen protection of victims and guidance of offenders; and to carry on government-wide campaigns to raise public awareness.</w:t>
      </w:r>
    </w:p>
    <w:p w:rsidR="002D5BB0" w:rsidRPr="00222917" w:rsidRDefault="00547908" w:rsidP="00547908">
      <w:pPr>
        <w:pStyle w:val="SingleTxtG"/>
        <w:rPr>
          <w:lang w:val="en-US"/>
        </w:rPr>
      </w:pPr>
      <w:r w:rsidRPr="00222917">
        <w:rPr>
          <w:lang w:val="en-US"/>
        </w:rPr>
        <w:t>349.</w:t>
      </w:r>
      <w:r w:rsidRPr="00222917">
        <w:rPr>
          <w:lang w:val="en-US"/>
        </w:rPr>
        <w:tab/>
      </w:r>
      <w:r w:rsidR="002D5BB0" w:rsidRPr="00222917">
        <w:rPr>
          <w:lang w:val="en-US"/>
        </w:rPr>
        <w:t xml:space="preserve">In accordance with the first Master Plan, institutional systems to prevent and stop violence in schools were established by organizing the “Planning Committee for Measures on Violence in Schools” under the Ministry of Education, Science and Technology, the “Regional Committee for Measures on Violence in Schools” in a </w:t>
      </w:r>
      <w:r w:rsidR="002D5BB0" w:rsidRPr="00222917">
        <w:rPr>
          <w:i/>
          <w:lang w:val="en-US"/>
        </w:rPr>
        <w:t>Si/Do</w:t>
      </w:r>
      <w:r w:rsidR="002D5BB0" w:rsidRPr="00222917">
        <w:rPr>
          <w:lang w:val="en-US"/>
        </w:rPr>
        <w:t>, and the “Autonomous Committee for Measures on Violence in Schools” at schools, and setting up a division exclusively for violence in schools at Metropolitan and Provincial Offices of Education, and a center exclusively for violence in schools. School wardens are assigned to schools and an increasing number of closed-circuit televisions are installed in danger zones within a school to reinforce education and support for prevention of violence in schools. Private support services are also provided for victims of school violence through SOS support team.</w:t>
      </w:r>
    </w:p>
    <w:p w:rsidR="002D5BB0" w:rsidRPr="00222917" w:rsidRDefault="00547908" w:rsidP="00547908">
      <w:pPr>
        <w:pStyle w:val="SingleTxtG"/>
        <w:rPr>
          <w:lang w:val="en-US"/>
        </w:rPr>
      </w:pPr>
      <w:r w:rsidRPr="00222917">
        <w:rPr>
          <w:lang w:val="en-US"/>
        </w:rPr>
        <w:t>350.</w:t>
      </w:r>
      <w:r w:rsidRPr="00222917">
        <w:rPr>
          <w:lang w:val="en-US"/>
        </w:rPr>
        <w:tab/>
      </w:r>
      <w:r w:rsidR="002D5BB0" w:rsidRPr="00222917">
        <w:rPr>
          <w:lang w:val="en-US"/>
        </w:rPr>
        <w:t>In December 2009, the second Master Plan (2010-2014) was devised to establish specific preventive and ex post facto measures in light of the rising social need for countermeasures against school violence due to the declining age of offenders and the increasingly brutal and varying forms of violence. The second Master Plan includes the six major policy tasks: to ensure safety infrastructure against violence in schools; to strengthen tailored preventive education; to secure countermeasure competence and accountability of individual schools; to improve the quality of protection of victims and guidance of offenders; and to build up school safety net.</w:t>
      </w:r>
    </w:p>
    <w:p w:rsidR="002D5BB0" w:rsidRPr="00222917" w:rsidRDefault="00547908" w:rsidP="00547908">
      <w:pPr>
        <w:pStyle w:val="SingleTxtG"/>
        <w:rPr>
          <w:lang w:val="en-US"/>
        </w:rPr>
      </w:pPr>
      <w:r w:rsidRPr="00222917">
        <w:rPr>
          <w:lang w:val="en-US"/>
        </w:rPr>
        <w:t>351.</w:t>
      </w:r>
      <w:r w:rsidRPr="00222917">
        <w:rPr>
          <w:lang w:val="en-US"/>
        </w:rPr>
        <w:tab/>
      </w:r>
      <w:r w:rsidR="002D5BB0" w:rsidRPr="0005151A">
        <w:rPr>
          <w:iCs/>
          <w:lang w:val="en-US"/>
        </w:rPr>
        <w:t>The Act on the Prevention of and Countermeasures against Violence in Schools</w:t>
      </w:r>
      <w:r w:rsidR="002D5BB0" w:rsidRPr="00222917">
        <w:rPr>
          <w:lang w:val="en-US"/>
        </w:rPr>
        <w:t xml:space="preserve">, which was wholly amended on 19 February 2008, substantially complements and modifies the previous </w:t>
      </w:r>
      <w:r w:rsidR="002D5BB0" w:rsidRPr="0005151A">
        <w:rPr>
          <w:iCs/>
          <w:lang w:val="en-US"/>
        </w:rPr>
        <w:t>Act</w:t>
      </w:r>
      <w:r w:rsidR="002D5BB0" w:rsidRPr="00222917">
        <w:rPr>
          <w:lang w:val="en-US"/>
        </w:rPr>
        <w:t xml:space="preserve">. </w:t>
      </w:r>
    </w:p>
    <w:tbl>
      <w:tblPr>
        <w:tblW w:w="7370" w:type="dxa"/>
        <w:tblInd w:w="1134" w:type="dxa"/>
        <w:tblBorders>
          <w:top w:val="single" w:sz="4" w:space="0" w:color="auto"/>
        </w:tblBorders>
        <w:tblCellMar>
          <w:left w:w="0" w:type="dxa"/>
          <w:right w:w="113" w:type="dxa"/>
        </w:tblCellMar>
        <w:tblLook w:val="00A0"/>
      </w:tblPr>
      <w:tblGrid>
        <w:gridCol w:w="1701"/>
        <w:gridCol w:w="5669"/>
      </w:tblGrid>
      <w:tr w:rsidR="00047930" w:rsidRPr="00222917" w:rsidTr="00993017">
        <w:trPr>
          <w:tblHeader/>
        </w:trPr>
        <w:tc>
          <w:tcPr>
            <w:tcW w:w="1701"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D5BB0" w:rsidRPr="00222917" w:rsidRDefault="002D5BB0" w:rsidP="00993017">
            <w:pPr>
              <w:pStyle w:val="SingleTxtG"/>
              <w:suppressAutoHyphens w:val="0"/>
              <w:spacing w:before="80" w:after="80" w:line="200" w:lineRule="exact"/>
              <w:ind w:left="0" w:right="0"/>
              <w:jc w:val="left"/>
              <w:rPr>
                <w:i/>
                <w:sz w:val="16"/>
                <w:lang w:val="en-US"/>
              </w:rPr>
            </w:pPr>
            <w:r w:rsidRPr="00222917">
              <w:rPr>
                <w:bCs/>
                <w:i/>
                <w:sz w:val="16"/>
                <w:lang w:val="en-US"/>
              </w:rPr>
              <w:t>Provisions</w:t>
            </w:r>
          </w:p>
        </w:tc>
        <w:tc>
          <w:tcPr>
            <w:tcW w:w="5670"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D5BB0" w:rsidRPr="00222917" w:rsidRDefault="002D5BB0" w:rsidP="00993017">
            <w:pPr>
              <w:pStyle w:val="SingleTxtG"/>
              <w:suppressAutoHyphens w:val="0"/>
              <w:spacing w:before="80" w:after="80" w:line="200" w:lineRule="exact"/>
              <w:ind w:left="0" w:right="0"/>
              <w:jc w:val="left"/>
              <w:rPr>
                <w:i/>
                <w:sz w:val="16"/>
                <w:lang w:val="en-US"/>
              </w:rPr>
            </w:pPr>
            <w:r w:rsidRPr="00222917">
              <w:rPr>
                <w:bCs/>
                <w:i/>
                <w:sz w:val="16"/>
                <w:lang w:val="en-US"/>
              </w:rPr>
              <w:t>Details (Proposed)</w:t>
            </w:r>
          </w:p>
        </w:tc>
      </w:tr>
      <w:tr w:rsidR="00047930" w:rsidRPr="00222917" w:rsidTr="00993017">
        <w:tc>
          <w:tcPr>
            <w:tcW w:w="1701" w:type="dxa"/>
            <w:tcBorders>
              <w:top w:val="single" w:sz="12" w:space="0" w:color="auto"/>
            </w:tcBorders>
            <w:shd w:val="clear" w:color="auto" w:fill="auto"/>
            <w:tcMar>
              <w:top w:w="0" w:type="dxa"/>
              <w:left w:w="0" w:type="dxa"/>
              <w:bottom w:w="0" w:type="dxa"/>
              <w:right w:w="0" w:type="dxa"/>
            </w:tcMar>
          </w:tcPr>
          <w:p w:rsidR="002D5BB0" w:rsidRPr="00222917" w:rsidRDefault="00993017" w:rsidP="00993017">
            <w:pPr>
              <w:pStyle w:val="SingleTxtG"/>
              <w:suppressAutoHyphens w:val="0"/>
              <w:spacing w:before="40" w:line="220" w:lineRule="atLeast"/>
              <w:ind w:left="0" w:right="0"/>
              <w:jc w:val="left"/>
              <w:rPr>
                <w:sz w:val="18"/>
                <w:szCs w:val="18"/>
                <w:lang w:val="en-US"/>
              </w:rPr>
            </w:pPr>
            <w:r w:rsidRPr="00222917">
              <w:rPr>
                <w:sz w:val="18"/>
                <w:szCs w:val="18"/>
                <w:lang w:val="en-US"/>
              </w:rPr>
              <w:t>Articles 2 and 21 </w:t>
            </w:r>
            <w:r w:rsidR="002D5BB0" w:rsidRPr="00222917">
              <w:rPr>
                <w:sz w:val="18"/>
                <w:szCs w:val="18"/>
                <w:lang w:val="en-US"/>
              </w:rPr>
              <w:t>(3)</w:t>
            </w:r>
          </w:p>
        </w:tc>
        <w:tc>
          <w:tcPr>
            <w:tcW w:w="5670" w:type="dxa"/>
            <w:tcBorders>
              <w:top w:val="single" w:sz="12" w:space="0" w:color="auto"/>
            </w:tcBorders>
            <w:shd w:val="clear" w:color="auto" w:fill="auto"/>
            <w:tcMar>
              <w:top w:w="0" w:type="dxa"/>
              <w:left w:w="0" w:type="dxa"/>
              <w:bottom w:w="0" w:type="dxa"/>
              <w:right w:w="0" w:type="dxa"/>
            </w:tcMar>
          </w:tcPr>
          <w:p w:rsidR="002D5BB0" w:rsidRPr="00222917" w:rsidRDefault="002D5BB0" w:rsidP="00993017">
            <w:pPr>
              <w:pStyle w:val="SingleTxtG"/>
              <w:suppressAutoHyphens w:val="0"/>
              <w:spacing w:before="40" w:line="220" w:lineRule="atLeast"/>
              <w:ind w:left="0" w:right="0"/>
              <w:jc w:val="left"/>
              <w:rPr>
                <w:sz w:val="18"/>
                <w:szCs w:val="18"/>
                <w:lang w:val="en-US"/>
              </w:rPr>
            </w:pPr>
            <w:r w:rsidRPr="00222917">
              <w:rPr>
                <w:sz w:val="18"/>
                <w:szCs w:val="18"/>
                <w:lang w:val="en-US"/>
              </w:rPr>
              <w:t>The concept of violence by students includes sexual violence.</w:t>
            </w:r>
          </w:p>
        </w:tc>
      </w:tr>
      <w:tr w:rsidR="00047930" w:rsidRPr="00222917" w:rsidTr="00993017">
        <w:tc>
          <w:tcPr>
            <w:tcW w:w="1701" w:type="dxa"/>
            <w:shd w:val="clear" w:color="auto" w:fill="auto"/>
            <w:tcMar>
              <w:top w:w="0" w:type="dxa"/>
              <w:left w:w="0" w:type="dxa"/>
              <w:bottom w:w="0" w:type="dxa"/>
              <w:right w:w="0" w:type="dxa"/>
            </w:tcMar>
          </w:tcPr>
          <w:p w:rsidR="002D5BB0" w:rsidRPr="00222917" w:rsidRDefault="002D5BB0" w:rsidP="00993017">
            <w:pPr>
              <w:pStyle w:val="SingleTxtG"/>
              <w:suppressAutoHyphens w:val="0"/>
              <w:spacing w:before="40" w:line="220" w:lineRule="atLeast"/>
              <w:ind w:left="0" w:right="0"/>
              <w:jc w:val="left"/>
              <w:rPr>
                <w:sz w:val="18"/>
                <w:szCs w:val="18"/>
                <w:lang w:val="en-US"/>
              </w:rPr>
            </w:pPr>
            <w:r w:rsidRPr="00222917">
              <w:rPr>
                <w:sz w:val="18"/>
                <w:szCs w:val="18"/>
                <w:lang w:val="en-US"/>
              </w:rPr>
              <w:t>Article 8 (3)</w:t>
            </w:r>
          </w:p>
        </w:tc>
        <w:tc>
          <w:tcPr>
            <w:tcW w:w="5670" w:type="dxa"/>
            <w:shd w:val="clear" w:color="auto" w:fill="auto"/>
            <w:tcMar>
              <w:top w:w="0" w:type="dxa"/>
              <w:left w:w="0" w:type="dxa"/>
              <w:bottom w:w="0" w:type="dxa"/>
              <w:right w:w="0" w:type="dxa"/>
            </w:tcMar>
          </w:tcPr>
          <w:p w:rsidR="002D5BB0" w:rsidRPr="00222917" w:rsidRDefault="002D5BB0" w:rsidP="00993017">
            <w:pPr>
              <w:pStyle w:val="SingleTxtG"/>
              <w:suppressAutoHyphens w:val="0"/>
              <w:spacing w:before="40" w:line="220" w:lineRule="atLeast"/>
              <w:ind w:left="0" w:right="0"/>
              <w:jc w:val="left"/>
              <w:rPr>
                <w:sz w:val="18"/>
                <w:szCs w:val="18"/>
                <w:lang w:val="en-US"/>
              </w:rPr>
            </w:pPr>
            <w:r w:rsidRPr="00222917">
              <w:rPr>
                <w:sz w:val="18"/>
                <w:szCs w:val="18"/>
                <w:lang w:val="en-US"/>
              </w:rPr>
              <w:t>Members of the Planning Committee for Measures on School Violence include teachers with more than ten years experience in student guidance, qualified physicians, and parents of students with extensive experience with school operation committees and juvenile protection.</w:t>
            </w:r>
            <w:r w:rsidR="00120D8B" w:rsidRPr="00222917">
              <w:rPr>
                <w:sz w:val="18"/>
                <w:szCs w:val="18"/>
                <w:lang w:val="en-US"/>
              </w:rPr>
              <w:t xml:space="preserve"> </w:t>
            </w:r>
          </w:p>
        </w:tc>
      </w:tr>
      <w:tr w:rsidR="00047930" w:rsidRPr="00222917" w:rsidTr="00993017">
        <w:tc>
          <w:tcPr>
            <w:tcW w:w="1701" w:type="dxa"/>
            <w:shd w:val="clear" w:color="auto" w:fill="auto"/>
            <w:tcMar>
              <w:top w:w="0" w:type="dxa"/>
              <w:left w:w="0" w:type="dxa"/>
              <w:bottom w:w="0" w:type="dxa"/>
              <w:right w:w="0" w:type="dxa"/>
            </w:tcMar>
          </w:tcPr>
          <w:p w:rsidR="002D5BB0" w:rsidRPr="00222917" w:rsidRDefault="002D5BB0" w:rsidP="00993017">
            <w:pPr>
              <w:pStyle w:val="SingleTxtG"/>
              <w:suppressAutoHyphens w:val="0"/>
              <w:spacing w:before="40" w:line="220" w:lineRule="atLeast"/>
              <w:ind w:left="0" w:right="0"/>
              <w:jc w:val="left"/>
              <w:rPr>
                <w:sz w:val="18"/>
                <w:szCs w:val="18"/>
                <w:lang w:val="en-US"/>
              </w:rPr>
            </w:pPr>
            <w:r w:rsidRPr="00222917">
              <w:rPr>
                <w:sz w:val="18"/>
                <w:szCs w:val="18"/>
                <w:lang w:val="en-US"/>
              </w:rPr>
              <w:t>Article 14 (3) and (5)</w:t>
            </w:r>
          </w:p>
        </w:tc>
        <w:tc>
          <w:tcPr>
            <w:tcW w:w="5670" w:type="dxa"/>
            <w:shd w:val="clear" w:color="auto" w:fill="auto"/>
            <w:tcMar>
              <w:top w:w="0" w:type="dxa"/>
              <w:left w:w="0" w:type="dxa"/>
              <w:bottom w:w="0" w:type="dxa"/>
              <w:right w:w="0" w:type="dxa"/>
            </w:tcMar>
          </w:tcPr>
          <w:p w:rsidR="002D5BB0" w:rsidRPr="00222917" w:rsidRDefault="002D5BB0" w:rsidP="00993017">
            <w:pPr>
              <w:pStyle w:val="SingleTxtG"/>
              <w:suppressAutoHyphens w:val="0"/>
              <w:spacing w:before="40" w:line="220" w:lineRule="atLeast"/>
              <w:ind w:left="0" w:right="0"/>
              <w:jc w:val="left"/>
              <w:rPr>
                <w:sz w:val="18"/>
                <w:szCs w:val="18"/>
                <w:lang w:val="en-US"/>
              </w:rPr>
            </w:pPr>
            <w:r w:rsidRPr="00222917">
              <w:rPr>
                <w:sz w:val="18"/>
                <w:szCs w:val="18"/>
                <w:lang w:val="en-US"/>
              </w:rPr>
              <w:t>The principal of a school should form a body that exclusively addresses school violence and provide administrative support and funding therefor.</w:t>
            </w:r>
          </w:p>
        </w:tc>
      </w:tr>
      <w:tr w:rsidR="00047930" w:rsidRPr="00222917" w:rsidTr="00993017">
        <w:tc>
          <w:tcPr>
            <w:tcW w:w="1701" w:type="dxa"/>
            <w:shd w:val="clear" w:color="auto" w:fill="auto"/>
            <w:tcMar>
              <w:top w:w="0" w:type="dxa"/>
              <w:left w:w="0" w:type="dxa"/>
              <w:bottom w:w="0" w:type="dxa"/>
              <w:right w:w="0" w:type="dxa"/>
            </w:tcMar>
          </w:tcPr>
          <w:p w:rsidR="002D5BB0" w:rsidRPr="00222917" w:rsidRDefault="002D5BB0" w:rsidP="00993017">
            <w:pPr>
              <w:pStyle w:val="SingleTxtG"/>
              <w:suppressAutoHyphens w:val="0"/>
              <w:spacing w:before="40" w:line="220" w:lineRule="atLeast"/>
              <w:ind w:left="0" w:right="0"/>
              <w:jc w:val="left"/>
              <w:rPr>
                <w:sz w:val="18"/>
                <w:szCs w:val="18"/>
                <w:lang w:val="en-US"/>
              </w:rPr>
            </w:pPr>
            <w:r w:rsidRPr="00222917">
              <w:rPr>
                <w:sz w:val="18"/>
                <w:szCs w:val="18"/>
                <w:lang w:val="en-US"/>
              </w:rPr>
              <w:t>Article 16 (5)</w:t>
            </w:r>
          </w:p>
        </w:tc>
        <w:tc>
          <w:tcPr>
            <w:tcW w:w="5670" w:type="dxa"/>
            <w:shd w:val="clear" w:color="auto" w:fill="auto"/>
            <w:tcMar>
              <w:top w:w="0" w:type="dxa"/>
              <w:left w:w="0" w:type="dxa"/>
              <w:bottom w:w="0" w:type="dxa"/>
              <w:right w:w="0" w:type="dxa"/>
            </w:tcMar>
          </w:tcPr>
          <w:p w:rsidR="002D5BB0" w:rsidRPr="00222917" w:rsidRDefault="002D5BB0" w:rsidP="00993017">
            <w:pPr>
              <w:pStyle w:val="SingleTxtG"/>
              <w:suppressAutoHyphens w:val="0"/>
              <w:spacing w:before="40" w:line="220" w:lineRule="atLeast"/>
              <w:ind w:left="0" w:right="0"/>
              <w:jc w:val="left"/>
              <w:rPr>
                <w:sz w:val="18"/>
                <w:szCs w:val="18"/>
                <w:lang w:val="en-US"/>
              </w:rPr>
            </w:pPr>
            <w:r w:rsidRPr="00222917">
              <w:rPr>
                <w:sz w:val="18"/>
                <w:szCs w:val="18"/>
                <w:lang w:val="en-US"/>
              </w:rPr>
              <w:t>The cost of medical treatment for student victims should be borne by the parents of student offenders. If they fail to cover the cost, the School Safety Mutual Aid Association or the Municipal or Provincial Offices of Education bear the cost and exercise the right to demand indemnity.</w:t>
            </w:r>
            <w:r w:rsidR="00120D8B" w:rsidRPr="00222917">
              <w:rPr>
                <w:sz w:val="18"/>
                <w:szCs w:val="18"/>
                <w:lang w:val="en-US"/>
              </w:rPr>
              <w:t xml:space="preserve"> </w:t>
            </w:r>
          </w:p>
        </w:tc>
      </w:tr>
      <w:tr w:rsidR="00047930" w:rsidRPr="00222917" w:rsidTr="00993017">
        <w:tc>
          <w:tcPr>
            <w:tcW w:w="1701" w:type="dxa"/>
            <w:tcBorders>
              <w:bottom w:val="single" w:sz="12" w:space="0" w:color="auto"/>
            </w:tcBorders>
            <w:shd w:val="clear" w:color="auto" w:fill="auto"/>
            <w:tcMar>
              <w:top w:w="0" w:type="dxa"/>
              <w:left w:w="0" w:type="dxa"/>
              <w:bottom w:w="0" w:type="dxa"/>
              <w:right w:w="0" w:type="dxa"/>
            </w:tcMar>
          </w:tcPr>
          <w:p w:rsidR="002D5BB0" w:rsidRPr="00222917" w:rsidRDefault="002D5BB0" w:rsidP="00993017">
            <w:pPr>
              <w:pStyle w:val="SingleTxtG"/>
              <w:suppressAutoHyphens w:val="0"/>
              <w:spacing w:before="40" w:line="220" w:lineRule="atLeast"/>
              <w:ind w:left="0" w:right="0"/>
              <w:jc w:val="left"/>
              <w:rPr>
                <w:sz w:val="18"/>
                <w:szCs w:val="18"/>
                <w:lang w:val="en-US"/>
              </w:rPr>
            </w:pPr>
            <w:r w:rsidRPr="00222917">
              <w:rPr>
                <w:sz w:val="18"/>
                <w:szCs w:val="18"/>
                <w:lang w:val="en-US"/>
              </w:rPr>
              <w:t>Article 17 (8)</w:t>
            </w:r>
          </w:p>
        </w:tc>
        <w:tc>
          <w:tcPr>
            <w:tcW w:w="5670" w:type="dxa"/>
            <w:tcBorders>
              <w:bottom w:val="single" w:sz="12" w:space="0" w:color="auto"/>
            </w:tcBorders>
            <w:shd w:val="clear" w:color="auto" w:fill="auto"/>
            <w:tcMar>
              <w:top w:w="0" w:type="dxa"/>
              <w:left w:w="0" w:type="dxa"/>
              <w:bottom w:w="0" w:type="dxa"/>
              <w:right w:w="0" w:type="dxa"/>
            </w:tcMar>
          </w:tcPr>
          <w:p w:rsidR="002D5BB0" w:rsidRPr="00222917" w:rsidRDefault="002D5BB0" w:rsidP="00993017">
            <w:pPr>
              <w:pStyle w:val="SingleTxtG"/>
              <w:suppressAutoHyphens w:val="0"/>
              <w:spacing w:before="40" w:line="220" w:lineRule="atLeast"/>
              <w:ind w:left="0" w:right="0"/>
              <w:jc w:val="left"/>
              <w:rPr>
                <w:sz w:val="18"/>
                <w:szCs w:val="18"/>
                <w:lang w:val="en-US"/>
              </w:rPr>
            </w:pPr>
            <w:r w:rsidRPr="00222917">
              <w:rPr>
                <w:sz w:val="18"/>
                <w:szCs w:val="18"/>
                <w:lang w:val="en-US"/>
              </w:rPr>
              <w:t>Where a student offender undergoes a special education program, the</w:t>
            </w:r>
            <w:r w:rsidR="00993017" w:rsidRPr="00222917">
              <w:rPr>
                <w:sz w:val="18"/>
                <w:szCs w:val="18"/>
                <w:lang w:val="en-US"/>
              </w:rPr>
              <w:t> </w:t>
            </w:r>
            <w:r w:rsidRPr="00222917">
              <w:rPr>
                <w:sz w:val="18"/>
                <w:szCs w:val="18"/>
                <w:lang w:val="en-US"/>
              </w:rPr>
              <w:t>Autonomous Committee for Measures on School Violence may mandate the student’s parents to take it, too.</w:t>
            </w:r>
            <w:r w:rsidR="00120D8B" w:rsidRPr="00222917">
              <w:rPr>
                <w:sz w:val="18"/>
                <w:szCs w:val="18"/>
                <w:lang w:val="en-US"/>
              </w:rPr>
              <w:t xml:space="preserve"> </w:t>
            </w:r>
          </w:p>
        </w:tc>
      </w:tr>
    </w:tbl>
    <w:p w:rsidR="002D5BB0" w:rsidRPr="00222917" w:rsidRDefault="00547908" w:rsidP="00547908">
      <w:pPr>
        <w:pStyle w:val="SingleTxtG"/>
        <w:keepNext/>
        <w:keepLines/>
        <w:spacing w:before="240"/>
        <w:rPr>
          <w:lang w:val="en-US"/>
        </w:rPr>
      </w:pPr>
      <w:r w:rsidRPr="00222917">
        <w:rPr>
          <w:lang w:val="en-US"/>
        </w:rPr>
        <w:t>352.</w:t>
      </w:r>
      <w:r w:rsidRPr="00222917">
        <w:rPr>
          <w:lang w:val="en-US"/>
        </w:rPr>
        <w:tab/>
      </w:r>
      <w:r w:rsidR="002D5BB0" w:rsidRPr="00222917">
        <w:rPr>
          <w:lang w:val="en-US"/>
        </w:rPr>
        <w:t xml:space="preserve">On 8 May 2009, the </w:t>
      </w:r>
      <w:r w:rsidR="002D5BB0" w:rsidRPr="0005151A">
        <w:rPr>
          <w:iCs/>
          <w:lang w:val="en-US"/>
        </w:rPr>
        <w:t>Act on the Prevention of and Countermeasures against Violence in Schools</w:t>
      </w:r>
      <w:r w:rsidR="002D5BB0" w:rsidRPr="00222917">
        <w:rPr>
          <w:lang w:val="en-US"/>
        </w:rPr>
        <w:t xml:space="preserve"> was partially amended as follows: </w:t>
      </w:r>
    </w:p>
    <w:tbl>
      <w:tblPr>
        <w:tblW w:w="7370" w:type="dxa"/>
        <w:tblInd w:w="1134" w:type="dxa"/>
        <w:tblBorders>
          <w:top w:val="single" w:sz="4" w:space="0" w:color="auto"/>
        </w:tblBorders>
        <w:tblCellMar>
          <w:left w:w="0" w:type="dxa"/>
          <w:right w:w="113" w:type="dxa"/>
        </w:tblCellMar>
        <w:tblLook w:val="00A0"/>
      </w:tblPr>
      <w:tblGrid>
        <w:gridCol w:w="1701"/>
        <w:gridCol w:w="5669"/>
      </w:tblGrid>
      <w:tr w:rsidR="00047930" w:rsidRPr="00222917" w:rsidTr="00993017">
        <w:trPr>
          <w:tblHeader/>
        </w:trPr>
        <w:tc>
          <w:tcPr>
            <w:tcW w:w="1701"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D5BB0" w:rsidRPr="00222917" w:rsidRDefault="002D5BB0" w:rsidP="00993017">
            <w:pPr>
              <w:pStyle w:val="SingleTxtG"/>
              <w:keepNext/>
              <w:suppressAutoHyphens w:val="0"/>
              <w:spacing w:before="80" w:after="80" w:line="200" w:lineRule="exact"/>
              <w:ind w:left="0" w:right="0"/>
              <w:jc w:val="left"/>
              <w:rPr>
                <w:i/>
                <w:sz w:val="16"/>
                <w:lang w:val="en-US"/>
              </w:rPr>
            </w:pPr>
            <w:r w:rsidRPr="00222917">
              <w:rPr>
                <w:bCs/>
                <w:i/>
                <w:sz w:val="16"/>
                <w:lang w:val="en-US"/>
              </w:rPr>
              <w:t>Provisions</w:t>
            </w:r>
          </w:p>
        </w:tc>
        <w:tc>
          <w:tcPr>
            <w:tcW w:w="5670"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D5BB0" w:rsidRPr="00222917" w:rsidRDefault="002D5BB0" w:rsidP="00993017">
            <w:pPr>
              <w:pStyle w:val="SingleTxtG"/>
              <w:keepNext/>
              <w:suppressAutoHyphens w:val="0"/>
              <w:spacing w:before="80" w:after="80" w:line="200" w:lineRule="exact"/>
              <w:ind w:left="0" w:right="0"/>
              <w:jc w:val="left"/>
              <w:rPr>
                <w:i/>
                <w:sz w:val="16"/>
                <w:lang w:val="en-US"/>
              </w:rPr>
            </w:pPr>
            <w:r w:rsidRPr="00222917">
              <w:rPr>
                <w:bCs/>
                <w:i/>
                <w:sz w:val="16"/>
                <w:lang w:val="en-US"/>
              </w:rPr>
              <w:t>Details (Proposed)</w:t>
            </w:r>
          </w:p>
        </w:tc>
      </w:tr>
      <w:tr w:rsidR="00047930" w:rsidRPr="00222917" w:rsidTr="00993017">
        <w:tc>
          <w:tcPr>
            <w:tcW w:w="1701" w:type="dxa"/>
            <w:tcBorders>
              <w:top w:val="single" w:sz="12" w:space="0" w:color="auto"/>
            </w:tcBorders>
            <w:shd w:val="clear" w:color="auto" w:fill="auto"/>
            <w:tcMar>
              <w:top w:w="0" w:type="dxa"/>
              <w:left w:w="0" w:type="dxa"/>
              <w:bottom w:w="0" w:type="dxa"/>
              <w:right w:w="0" w:type="dxa"/>
            </w:tcMar>
          </w:tcPr>
          <w:p w:rsidR="002D5BB0" w:rsidRPr="00222917" w:rsidRDefault="00C23090" w:rsidP="00C23090">
            <w:pPr>
              <w:pStyle w:val="SingleTxtG"/>
              <w:keepNext/>
              <w:suppressAutoHyphens w:val="0"/>
              <w:spacing w:before="40" w:line="220" w:lineRule="atLeast"/>
              <w:ind w:left="0" w:right="0"/>
              <w:jc w:val="left"/>
              <w:rPr>
                <w:sz w:val="18"/>
                <w:szCs w:val="18"/>
                <w:lang w:val="en-US"/>
              </w:rPr>
            </w:pPr>
            <w:r w:rsidRPr="00222917">
              <w:rPr>
                <w:sz w:val="18"/>
                <w:szCs w:val="18"/>
                <w:lang w:val="en-US"/>
              </w:rPr>
              <w:t>Article 2, s</w:t>
            </w:r>
            <w:r w:rsidR="002D5BB0" w:rsidRPr="00222917">
              <w:rPr>
                <w:sz w:val="18"/>
                <w:szCs w:val="18"/>
                <w:lang w:val="en-US"/>
              </w:rPr>
              <w:t>ubparagraph</w:t>
            </w:r>
            <w:r w:rsidRPr="00222917">
              <w:rPr>
                <w:sz w:val="18"/>
                <w:szCs w:val="18"/>
                <w:lang w:val="en-US"/>
              </w:rPr>
              <w:t> </w:t>
            </w:r>
            <w:r w:rsidR="002D5BB0" w:rsidRPr="00222917">
              <w:rPr>
                <w:sz w:val="18"/>
                <w:szCs w:val="18"/>
                <w:lang w:val="en-US"/>
              </w:rPr>
              <w:t xml:space="preserve">5; </w:t>
            </w:r>
            <w:r w:rsidR="00AE0F13" w:rsidRPr="00222917">
              <w:rPr>
                <w:sz w:val="18"/>
                <w:szCs w:val="18"/>
                <w:lang w:val="en-US"/>
              </w:rPr>
              <w:t>a</w:t>
            </w:r>
            <w:r w:rsidR="002D5BB0" w:rsidRPr="00222917">
              <w:rPr>
                <w:sz w:val="18"/>
                <w:szCs w:val="18"/>
                <w:lang w:val="en-US"/>
              </w:rPr>
              <w:t xml:space="preserve">rticles 11 (8) </w:t>
            </w:r>
            <w:r w:rsidR="00993017" w:rsidRPr="00222917">
              <w:rPr>
                <w:sz w:val="18"/>
                <w:szCs w:val="18"/>
                <w:lang w:val="en-US"/>
              </w:rPr>
              <w:br/>
            </w:r>
            <w:r w:rsidR="002D5BB0" w:rsidRPr="00222917">
              <w:rPr>
                <w:sz w:val="18"/>
                <w:szCs w:val="18"/>
                <w:lang w:val="en-US"/>
              </w:rPr>
              <w:t>and 16-2</w:t>
            </w:r>
          </w:p>
        </w:tc>
        <w:tc>
          <w:tcPr>
            <w:tcW w:w="5670" w:type="dxa"/>
            <w:tcBorders>
              <w:top w:val="single" w:sz="12" w:space="0" w:color="auto"/>
            </w:tcBorders>
            <w:shd w:val="clear" w:color="auto" w:fill="auto"/>
            <w:tcMar>
              <w:top w:w="0" w:type="dxa"/>
              <w:left w:w="0" w:type="dxa"/>
              <w:bottom w:w="0" w:type="dxa"/>
              <w:right w:w="0" w:type="dxa"/>
            </w:tcMar>
          </w:tcPr>
          <w:p w:rsidR="002D5BB0" w:rsidRPr="00222917" w:rsidRDefault="002D5BB0" w:rsidP="00993017">
            <w:pPr>
              <w:pStyle w:val="SingleTxtG"/>
              <w:keepNext/>
              <w:suppressAutoHyphens w:val="0"/>
              <w:spacing w:before="40" w:line="220" w:lineRule="atLeast"/>
              <w:ind w:left="0" w:right="0"/>
              <w:jc w:val="left"/>
              <w:rPr>
                <w:sz w:val="18"/>
                <w:szCs w:val="18"/>
                <w:lang w:val="en-US"/>
              </w:rPr>
            </w:pPr>
            <w:r w:rsidRPr="00222917">
              <w:rPr>
                <w:sz w:val="18"/>
                <w:szCs w:val="18"/>
                <w:lang w:val="en-US"/>
              </w:rPr>
              <w:t>Counseling services by counselors specialized in the disabled, or treatment at a medical institution specialized in the disabled become available; and the superintendents of the Offices of Education are required to take measures to raise awareness of eradication of violence against disabled students.</w:t>
            </w:r>
          </w:p>
        </w:tc>
      </w:tr>
      <w:tr w:rsidR="00047930" w:rsidRPr="00222917" w:rsidTr="00993017">
        <w:tc>
          <w:tcPr>
            <w:tcW w:w="1701" w:type="dxa"/>
            <w:shd w:val="clear" w:color="auto" w:fill="auto"/>
            <w:tcMar>
              <w:top w:w="0" w:type="dxa"/>
              <w:left w:w="0" w:type="dxa"/>
              <w:bottom w:w="0" w:type="dxa"/>
              <w:right w:w="0" w:type="dxa"/>
            </w:tcMar>
          </w:tcPr>
          <w:p w:rsidR="002D5BB0" w:rsidRPr="00222917" w:rsidRDefault="002D5BB0" w:rsidP="00993017">
            <w:pPr>
              <w:pStyle w:val="SingleTxtG"/>
              <w:suppressAutoHyphens w:val="0"/>
              <w:spacing w:before="40" w:line="220" w:lineRule="atLeast"/>
              <w:ind w:left="0" w:right="0"/>
              <w:jc w:val="left"/>
              <w:rPr>
                <w:sz w:val="18"/>
                <w:szCs w:val="18"/>
                <w:lang w:val="en-US"/>
              </w:rPr>
            </w:pPr>
            <w:r w:rsidRPr="00222917">
              <w:rPr>
                <w:sz w:val="18"/>
                <w:szCs w:val="18"/>
                <w:lang w:val="en-US"/>
              </w:rPr>
              <w:t>Article 14 (4)</w:t>
            </w:r>
          </w:p>
        </w:tc>
        <w:tc>
          <w:tcPr>
            <w:tcW w:w="5670" w:type="dxa"/>
            <w:shd w:val="clear" w:color="auto" w:fill="auto"/>
            <w:tcMar>
              <w:top w:w="0" w:type="dxa"/>
              <w:left w:w="0" w:type="dxa"/>
              <w:bottom w:w="0" w:type="dxa"/>
              <w:right w:w="0" w:type="dxa"/>
            </w:tcMar>
          </w:tcPr>
          <w:p w:rsidR="002D5BB0" w:rsidRPr="00222917" w:rsidRDefault="002D5BB0" w:rsidP="00993017">
            <w:pPr>
              <w:pStyle w:val="SingleTxtG"/>
              <w:suppressAutoHyphens w:val="0"/>
              <w:spacing w:before="40" w:line="220" w:lineRule="atLeast"/>
              <w:ind w:left="0" w:right="0"/>
              <w:jc w:val="left"/>
              <w:rPr>
                <w:sz w:val="18"/>
                <w:szCs w:val="18"/>
                <w:lang w:val="en-US"/>
              </w:rPr>
            </w:pPr>
            <w:r w:rsidRPr="00222917">
              <w:rPr>
                <w:sz w:val="18"/>
                <w:szCs w:val="18"/>
                <w:lang w:val="en-US"/>
              </w:rPr>
              <w:t>Upon the request of a class teacher, the center exclusively dedicated to addressing violence in schools should report results of investigation into school violence to the class teacher.</w:t>
            </w:r>
          </w:p>
        </w:tc>
      </w:tr>
      <w:tr w:rsidR="00047930" w:rsidRPr="00222917" w:rsidTr="00993017">
        <w:tc>
          <w:tcPr>
            <w:tcW w:w="1701" w:type="dxa"/>
            <w:shd w:val="clear" w:color="auto" w:fill="auto"/>
            <w:tcMar>
              <w:top w:w="0" w:type="dxa"/>
              <w:left w:w="0" w:type="dxa"/>
              <w:bottom w:w="0" w:type="dxa"/>
              <w:right w:w="0" w:type="dxa"/>
            </w:tcMar>
          </w:tcPr>
          <w:p w:rsidR="002D5BB0" w:rsidRPr="00222917" w:rsidRDefault="002D5BB0" w:rsidP="00993017">
            <w:pPr>
              <w:pStyle w:val="SingleTxtG"/>
              <w:suppressAutoHyphens w:val="0"/>
              <w:spacing w:before="40" w:line="220" w:lineRule="atLeast"/>
              <w:ind w:left="0" w:right="0"/>
              <w:jc w:val="left"/>
              <w:rPr>
                <w:sz w:val="18"/>
                <w:szCs w:val="18"/>
                <w:lang w:val="en-US"/>
              </w:rPr>
            </w:pPr>
            <w:r w:rsidRPr="00222917">
              <w:rPr>
                <w:sz w:val="18"/>
                <w:szCs w:val="18"/>
                <w:lang w:val="en-US"/>
              </w:rPr>
              <w:t>Article 14 (5)</w:t>
            </w:r>
          </w:p>
        </w:tc>
        <w:tc>
          <w:tcPr>
            <w:tcW w:w="5670" w:type="dxa"/>
            <w:shd w:val="clear" w:color="auto" w:fill="auto"/>
            <w:tcMar>
              <w:top w:w="0" w:type="dxa"/>
              <w:left w:w="0" w:type="dxa"/>
              <w:bottom w:w="0" w:type="dxa"/>
              <w:right w:w="0" w:type="dxa"/>
            </w:tcMar>
          </w:tcPr>
          <w:p w:rsidR="002D5BB0" w:rsidRPr="00222917" w:rsidRDefault="002D5BB0" w:rsidP="00993017">
            <w:pPr>
              <w:pStyle w:val="SingleTxtG"/>
              <w:suppressAutoHyphens w:val="0"/>
              <w:spacing w:before="40" w:line="220" w:lineRule="atLeast"/>
              <w:ind w:left="0" w:right="0"/>
              <w:jc w:val="left"/>
              <w:rPr>
                <w:sz w:val="18"/>
                <w:szCs w:val="18"/>
                <w:lang w:val="en-US"/>
              </w:rPr>
            </w:pPr>
            <w:r w:rsidRPr="00222917">
              <w:rPr>
                <w:sz w:val="18"/>
                <w:szCs w:val="18"/>
                <w:lang w:val="en-US"/>
              </w:rPr>
              <w:t>Student victims may require the center exclusively dedicated to addressing school violence to investigate damages for confirmation.</w:t>
            </w:r>
          </w:p>
        </w:tc>
      </w:tr>
      <w:tr w:rsidR="00047930" w:rsidRPr="00222917" w:rsidTr="00993017">
        <w:tc>
          <w:tcPr>
            <w:tcW w:w="1701" w:type="dxa"/>
            <w:shd w:val="clear" w:color="auto" w:fill="auto"/>
            <w:tcMar>
              <w:top w:w="0" w:type="dxa"/>
              <w:left w:w="0" w:type="dxa"/>
              <w:bottom w:w="0" w:type="dxa"/>
              <w:right w:w="0" w:type="dxa"/>
            </w:tcMar>
          </w:tcPr>
          <w:p w:rsidR="002D5BB0" w:rsidRPr="00222917" w:rsidRDefault="002D5BB0" w:rsidP="00993017">
            <w:pPr>
              <w:pStyle w:val="SingleTxtG"/>
              <w:suppressAutoHyphens w:val="0"/>
              <w:spacing w:before="40" w:line="220" w:lineRule="atLeast"/>
              <w:ind w:left="0" w:right="0"/>
              <w:jc w:val="left"/>
              <w:rPr>
                <w:sz w:val="18"/>
                <w:szCs w:val="18"/>
                <w:lang w:val="en-US"/>
              </w:rPr>
            </w:pPr>
            <w:r w:rsidRPr="00222917">
              <w:rPr>
                <w:sz w:val="18"/>
                <w:szCs w:val="18"/>
                <w:lang w:val="en-US"/>
              </w:rPr>
              <w:t>Article 17 (1) 2</w:t>
            </w:r>
          </w:p>
        </w:tc>
        <w:tc>
          <w:tcPr>
            <w:tcW w:w="5670" w:type="dxa"/>
            <w:shd w:val="clear" w:color="auto" w:fill="auto"/>
            <w:tcMar>
              <w:top w:w="0" w:type="dxa"/>
              <w:left w:w="0" w:type="dxa"/>
              <w:bottom w:w="0" w:type="dxa"/>
              <w:right w:w="0" w:type="dxa"/>
            </w:tcMar>
          </w:tcPr>
          <w:p w:rsidR="002D5BB0" w:rsidRPr="00222917" w:rsidRDefault="002D5BB0" w:rsidP="00993017">
            <w:pPr>
              <w:pStyle w:val="SingleTxtG"/>
              <w:suppressAutoHyphens w:val="0"/>
              <w:spacing w:before="40" w:line="220" w:lineRule="atLeast"/>
              <w:ind w:left="0" w:right="0"/>
              <w:jc w:val="left"/>
              <w:rPr>
                <w:sz w:val="18"/>
                <w:szCs w:val="18"/>
                <w:lang w:val="en-US"/>
              </w:rPr>
            </w:pPr>
            <w:r w:rsidRPr="00222917">
              <w:rPr>
                <w:sz w:val="18"/>
                <w:szCs w:val="18"/>
                <w:lang w:val="en-US"/>
              </w:rPr>
              <w:t>Retribution of any kind against student victims is prohibited.</w:t>
            </w:r>
          </w:p>
        </w:tc>
      </w:tr>
      <w:tr w:rsidR="00047930" w:rsidRPr="00222917" w:rsidTr="00993017">
        <w:tc>
          <w:tcPr>
            <w:tcW w:w="1701" w:type="dxa"/>
            <w:shd w:val="clear" w:color="auto" w:fill="auto"/>
            <w:tcMar>
              <w:top w:w="0" w:type="dxa"/>
              <w:left w:w="0" w:type="dxa"/>
              <w:bottom w:w="0" w:type="dxa"/>
              <w:right w:w="0" w:type="dxa"/>
            </w:tcMar>
          </w:tcPr>
          <w:p w:rsidR="002D5BB0" w:rsidRPr="00222917" w:rsidRDefault="002D5BB0" w:rsidP="00993017">
            <w:pPr>
              <w:pStyle w:val="SingleTxtG"/>
              <w:suppressAutoHyphens w:val="0"/>
              <w:spacing w:before="40" w:line="220" w:lineRule="atLeast"/>
              <w:ind w:left="0" w:right="0"/>
              <w:jc w:val="left"/>
              <w:rPr>
                <w:sz w:val="18"/>
                <w:szCs w:val="18"/>
                <w:lang w:val="en-US"/>
              </w:rPr>
            </w:pPr>
            <w:r w:rsidRPr="00222917">
              <w:rPr>
                <w:sz w:val="18"/>
                <w:szCs w:val="18"/>
                <w:lang w:val="en-US"/>
              </w:rPr>
              <w:t xml:space="preserve">Article 20 (2) </w:t>
            </w:r>
            <w:r w:rsidR="00993017" w:rsidRPr="00222917">
              <w:rPr>
                <w:sz w:val="18"/>
                <w:szCs w:val="18"/>
                <w:lang w:val="en-US"/>
              </w:rPr>
              <w:br/>
            </w:r>
            <w:r w:rsidRPr="00222917">
              <w:rPr>
                <w:sz w:val="18"/>
                <w:szCs w:val="18"/>
                <w:lang w:val="en-US"/>
              </w:rPr>
              <w:t>and (3)</w:t>
            </w:r>
          </w:p>
        </w:tc>
        <w:tc>
          <w:tcPr>
            <w:tcW w:w="5670" w:type="dxa"/>
            <w:shd w:val="clear" w:color="auto" w:fill="auto"/>
            <w:tcMar>
              <w:top w:w="0" w:type="dxa"/>
              <w:left w:w="0" w:type="dxa"/>
              <w:bottom w:w="0" w:type="dxa"/>
              <w:right w:w="0" w:type="dxa"/>
            </w:tcMar>
          </w:tcPr>
          <w:p w:rsidR="002D5BB0" w:rsidRPr="00222917" w:rsidRDefault="002D5BB0" w:rsidP="00993017">
            <w:pPr>
              <w:pStyle w:val="SingleTxtG"/>
              <w:suppressAutoHyphens w:val="0"/>
              <w:spacing w:before="40" w:line="220" w:lineRule="atLeast"/>
              <w:ind w:left="0" w:right="0"/>
              <w:jc w:val="left"/>
              <w:rPr>
                <w:sz w:val="18"/>
                <w:szCs w:val="18"/>
                <w:lang w:val="en-US"/>
              </w:rPr>
            </w:pPr>
            <w:r w:rsidRPr="00222917">
              <w:rPr>
                <w:sz w:val="18"/>
                <w:szCs w:val="18"/>
                <w:lang w:val="en-US"/>
              </w:rPr>
              <w:t>An agency that receives reports of school violence is obligated to notify such reports to the principal of the school.</w:t>
            </w:r>
          </w:p>
        </w:tc>
      </w:tr>
      <w:tr w:rsidR="00047930" w:rsidRPr="00222917" w:rsidTr="00993017">
        <w:tc>
          <w:tcPr>
            <w:tcW w:w="1701" w:type="dxa"/>
            <w:tcBorders>
              <w:bottom w:val="single" w:sz="12" w:space="0" w:color="auto"/>
            </w:tcBorders>
            <w:shd w:val="clear" w:color="auto" w:fill="auto"/>
            <w:tcMar>
              <w:top w:w="0" w:type="dxa"/>
              <w:left w:w="0" w:type="dxa"/>
              <w:bottom w:w="0" w:type="dxa"/>
              <w:right w:w="0" w:type="dxa"/>
            </w:tcMar>
          </w:tcPr>
          <w:p w:rsidR="002D5BB0" w:rsidRPr="00222917" w:rsidRDefault="002D5BB0" w:rsidP="00993017">
            <w:pPr>
              <w:pStyle w:val="SingleTxtG"/>
              <w:suppressAutoHyphens w:val="0"/>
              <w:spacing w:before="40" w:line="220" w:lineRule="atLeast"/>
              <w:ind w:left="0" w:right="0"/>
              <w:jc w:val="left"/>
              <w:rPr>
                <w:sz w:val="18"/>
                <w:szCs w:val="18"/>
                <w:lang w:val="en-US"/>
              </w:rPr>
            </w:pPr>
            <w:r w:rsidRPr="00222917">
              <w:rPr>
                <w:sz w:val="18"/>
                <w:szCs w:val="18"/>
                <w:lang w:val="en-US"/>
              </w:rPr>
              <w:t>Article 20- 2</w:t>
            </w:r>
          </w:p>
        </w:tc>
        <w:tc>
          <w:tcPr>
            <w:tcW w:w="5670" w:type="dxa"/>
            <w:tcBorders>
              <w:bottom w:val="single" w:sz="12" w:space="0" w:color="auto"/>
            </w:tcBorders>
            <w:shd w:val="clear" w:color="auto" w:fill="auto"/>
            <w:tcMar>
              <w:top w:w="0" w:type="dxa"/>
              <w:left w:w="0" w:type="dxa"/>
              <w:bottom w:w="0" w:type="dxa"/>
              <w:right w:w="0" w:type="dxa"/>
            </w:tcMar>
          </w:tcPr>
          <w:p w:rsidR="002D5BB0" w:rsidRPr="00222917" w:rsidRDefault="002D5BB0" w:rsidP="00993017">
            <w:pPr>
              <w:pStyle w:val="SingleTxtG"/>
              <w:suppressAutoHyphens w:val="0"/>
              <w:spacing w:before="40" w:line="220" w:lineRule="atLeast"/>
              <w:ind w:left="0" w:right="0"/>
              <w:jc w:val="left"/>
              <w:rPr>
                <w:sz w:val="18"/>
                <w:szCs w:val="18"/>
                <w:lang w:val="en-US"/>
              </w:rPr>
            </w:pPr>
            <w:r w:rsidRPr="00222917">
              <w:rPr>
                <w:sz w:val="18"/>
                <w:szCs w:val="18"/>
                <w:lang w:val="en-US"/>
              </w:rPr>
              <w:t xml:space="preserve">Hotline for reports and counseling for school violence is required to be established. </w:t>
            </w:r>
          </w:p>
        </w:tc>
      </w:tr>
    </w:tbl>
    <w:p w:rsidR="002D5BB0" w:rsidRPr="00222917" w:rsidRDefault="00547908" w:rsidP="00547908">
      <w:pPr>
        <w:pStyle w:val="SingleTxtG"/>
        <w:spacing w:before="240"/>
        <w:rPr>
          <w:lang w:val="en-US"/>
        </w:rPr>
      </w:pPr>
      <w:r w:rsidRPr="00222917">
        <w:rPr>
          <w:lang w:val="en-US"/>
        </w:rPr>
        <w:t>353.</w:t>
      </w:r>
      <w:r w:rsidRPr="00222917">
        <w:rPr>
          <w:lang w:val="en-US"/>
        </w:rPr>
        <w:tab/>
      </w:r>
      <w:r w:rsidR="002D5BB0" w:rsidRPr="00222917">
        <w:rPr>
          <w:lang w:val="en-US"/>
        </w:rPr>
        <w:t xml:space="preserve">In 2008, the Ministry of Education, Science and Technology began to carry out the </w:t>
      </w:r>
      <w:r w:rsidR="002D5BB0" w:rsidRPr="00222917">
        <w:rPr>
          <w:i/>
          <w:lang w:val="en-US"/>
        </w:rPr>
        <w:t>Wee</w:t>
      </w:r>
      <w:r w:rsidR="002D5BB0" w:rsidRPr="00222917">
        <w:rPr>
          <w:lang w:val="en-US"/>
        </w:rPr>
        <w:t xml:space="preserve"> Project aiming to improve school violence preventive counseling services and guide both student offenders and victims. The </w:t>
      </w:r>
      <w:r w:rsidR="002D5BB0" w:rsidRPr="00222917">
        <w:rPr>
          <w:i/>
          <w:lang w:val="en-US"/>
        </w:rPr>
        <w:t xml:space="preserve">Wee </w:t>
      </w:r>
      <w:r w:rsidR="002D5BB0" w:rsidRPr="00222917">
        <w:rPr>
          <w:lang w:val="en-US"/>
        </w:rPr>
        <w:t xml:space="preserve">Class is to be set up at schools to detect students in danger and offer counseling services. The </w:t>
      </w:r>
      <w:smartTag w:uri="urn:schemas-microsoft-com:office:smarttags" w:element="place">
        <w:smartTag w:uri="urn:schemas-microsoft-com:office:smarttags" w:element="PlaceName">
          <w:r w:rsidR="002D5BB0" w:rsidRPr="00222917">
            <w:rPr>
              <w:i/>
              <w:lang w:val="en-US"/>
            </w:rPr>
            <w:t>Wee</w:t>
          </w:r>
        </w:smartTag>
        <w:r w:rsidR="002D5BB0" w:rsidRPr="00222917">
          <w:rPr>
            <w:lang w:val="en-US"/>
          </w:rPr>
          <w:t xml:space="preserve"> </w:t>
        </w:r>
        <w:smartTag w:uri="urn:schemas-microsoft-com:office:smarttags" w:element="PlaceType">
          <w:r w:rsidR="002D5BB0" w:rsidRPr="00222917">
            <w:rPr>
              <w:lang w:val="en-US"/>
            </w:rPr>
            <w:t>Center</w:t>
          </w:r>
        </w:smartTag>
      </w:smartTag>
      <w:r w:rsidR="002D5BB0" w:rsidRPr="00222917">
        <w:rPr>
          <w:lang w:val="en-US"/>
        </w:rPr>
        <w:t xml:space="preserve"> will also be established at regional Offices of Education to provide professional assessment and counseling services for students who cannot be guided by a school. These services will be more widely rendered in phases. </w:t>
      </w:r>
    </w:p>
    <w:p w:rsidR="002D5BB0" w:rsidRPr="00222917" w:rsidRDefault="00547908" w:rsidP="00547908">
      <w:pPr>
        <w:pStyle w:val="SingleTxtG"/>
        <w:rPr>
          <w:lang w:val="en-US"/>
        </w:rPr>
      </w:pPr>
      <w:r w:rsidRPr="00222917">
        <w:rPr>
          <w:lang w:val="en-US"/>
        </w:rPr>
        <w:t>354.</w:t>
      </w:r>
      <w:r w:rsidRPr="00222917">
        <w:rPr>
          <w:lang w:val="en-US"/>
        </w:rPr>
        <w:tab/>
      </w:r>
      <w:r w:rsidR="002D5BB0" w:rsidRPr="00222917">
        <w:rPr>
          <w:lang w:val="en-US"/>
        </w:rPr>
        <w:t xml:space="preserve">The </w:t>
      </w:r>
      <w:r w:rsidR="0005151A">
        <w:rPr>
          <w:lang w:val="en-US"/>
        </w:rPr>
        <w:t>G</w:t>
      </w:r>
      <w:r w:rsidR="002D5BB0" w:rsidRPr="00222917">
        <w:rPr>
          <w:lang w:val="en-US"/>
        </w:rPr>
        <w:t xml:space="preserve">overnment strengthened protective systems for student victims by operating the </w:t>
      </w:r>
      <w:smartTag w:uri="urn:schemas-microsoft-com:office:smarttags" w:element="place">
        <w:smartTag w:uri="urn:schemas-microsoft-com:office:smarttags" w:element="PlaceName">
          <w:r w:rsidR="002D5BB0" w:rsidRPr="00222917">
            <w:rPr>
              <w:lang w:val="en-US"/>
            </w:rPr>
            <w:t>One-stop</w:t>
          </w:r>
        </w:smartTag>
        <w:r w:rsidR="002D5BB0" w:rsidRPr="00222917">
          <w:rPr>
            <w:lang w:val="en-US"/>
          </w:rPr>
          <w:t xml:space="preserve"> </w:t>
        </w:r>
        <w:smartTag w:uri="urn:schemas-microsoft-com:office:smarttags" w:element="PlaceName">
          <w:r w:rsidR="002D5BB0" w:rsidRPr="00222917">
            <w:rPr>
              <w:lang w:val="en-US"/>
            </w:rPr>
            <w:t>Support</w:t>
          </w:r>
        </w:smartTag>
        <w:r w:rsidR="002D5BB0" w:rsidRPr="00222917">
          <w:rPr>
            <w:lang w:val="en-US"/>
          </w:rPr>
          <w:t xml:space="preserve"> </w:t>
        </w:r>
        <w:smartTag w:uri="urn:schemas-microsoft-com:office:smarttags" w:element="PlaceType">
          <w:r w:rsidR="002D5BB0" w:rsidRPr="00222917">
            <w:rPr>
              <w:lang w:val="en-US"/>
            </w:rPr>
            <w:t>Center</w:t>
          </w:r>
        </w:smartTag>
      </w:smartTag>
      <w:r w:rsidR="002D5BB0" w:rsidRPr="00222917">
        <w:rPr>
          <w:lang w:val="en-US"/>
        </w:rPr>
        <w:t xml:space="preserve"> for Women and School Violence Victims and the School Violence Student Victim Supporters System, and developing and distributing other recovery programs for student victims of various kinds. Guidance programs for students causing school violence were also diversified to include the </w:t>
      </w:r>
      <w:smartTag w:uri="urn:schemas-microsoft-com:office:smarttags" w:element="place">
        <w:smartTag w:uri="urn:schemas-microsoft-com:office:smarttags" w:element="PlaceName">
          <w:r w:rsidR="002D5BB0" w:rsidRPr="00222917">
            <w:rPr>
              <w:i/>
              <w:lang w:val="en-US"/>
            </w:rPr>
            <w:t>Wee</w:t>
          </w:r>
        </w:smartTag>
        <w:r w:rsidR="002D5BB0" w:rsidRPr="00222917">
          <w:rPr>
            <w:i/>
            <w:lang w:val="en-US"/>
          </w:rPr>
          <w:t xml:space="preserve"> </w:t>
        </w:r>
        <w:smartTag w:uri="urn:schemas-microsoft-com:office:smarttags" w:element="PlaceType">
          <w:r w:rsidR="002D5BB0" w:rsidRPr="00222917">
            <w:rPr>
              <w:lang w:val="en-US"/>
            </w:rPr>
            <w:t>Center</w:t>
          </w:r>
        </w:smartTag>
      </w:smartTag>
      <w:r w:rsidR="002D5BB0" w:rsidRPr="00222917">
        <w:rPr>
          <w:lang w:val="en-US"/>
        </w:rPr>
        <w:t>, entrusted alternative education institutions, juvenile counseling support centers, delinquency prevention centers, various systems for stay of indictment, and the one-on-one mentoring system for students on probation.</w:t>
      </w:r>
      <w:r w:rsidR="00120D8B" w:rsidRPr="00222917">
        <w:rPr>
          <w:lang w:val="en-US"/>
        </w:rPr>
        <w:t xml:space="preserve"> </w:t>
      </w:r>
    </w:p>
    <w:p w:rsidR="002D5BB0" w:rsidRPr="00222917" w:rsidRDefault="00984B6F" w:rsidP="00984B6F">
      <w:pPr>
        <w:pStyle w:val="H23G"/>
        <w:rPr>
          <w:lang w:val="en-US"/>
        </w:rPr>
      </w:pPr>
      <w:bookmarkStart w:id="297" w:name="_Toc307504170"/>
      <w:bookmarkStart w:id="298" w:name="_Toc336435942"/>
      <w:r w:rsidRPr="00222917">
        <w:rPr>
          <w:lang w:val="en-US"/>
        </w:rPr>
        <w:tab/>
      </w:r>
      <w:r w:rsidRPr="00222917">
        <w:rPr>
          <w:lang w:val="en-US"/>
        </w:rPr>
        <w:tab/>
      </w:r>
      <w:r w:rsidR="002D5BB0" w:rsidRPr="00222917">
        <w:rPr>
          <w:lang w:val="en-US"/>
        </w:rPr>
        <w:t>Social Policies to Protect Children</w:t>
      </w:r>
      <w:bookmarkEnd w:id="297"/>
      <w:bookmarkEnd w:id="298"/>
    </w:p>
    <w:p w:rsidR="002D5BB0" w:rsidRPr="00222917" w:rsidRDefault="00984B6F" w:rsidP="00984B6F">
      <w:pPr>
        <w:pStyle w:val="H4G"/>
        <w:rPr>
          <w:lang w:val="en-US"/>
        </w:rPr>
      </w:pPr>
      <w:bookmarkStart w:id="299" w:name="_Toc307504171"/>
      <w:bookmarkStart w:id="300" w:name="_Toc336435943"/>
      <w:r w:rsidRPr="00222917">
        <w:rPr>
          <w:lang w:val="en-US"/>
        </w:rPr>
        <w:tab/>
      </w:r>
      <w:r w:rsidRPr="00222917">
        <w:rPr>
          <w:lang w:val="en-US"/>
        </w:rPr>
        <w:tab/>
      </w:r>
      <w:r w:rsidR="002D5BB0" w:rsidRPr="00222917">
        <w:rPr>
          <w:lang w:val="en-US"/>
        </w:rPr>
        <w:t>Dream Start Project for Children in Poverty</w:t>
      </w:r>
      <w:bookmarkEnd w:id="299"/>
      <w:bookmarkEnd w:id="300"/>
    </w:p>
    <w:p w:rsidR="002D5BB0" w:rsidRPr="00222917" w:rsidRDefault="00547908" w:rsidP="00547908">
      <w:pPr>
        <w:pStyle w:val="SingleTxtG"/>
        <w:rPr>
          <w:lang w:val="en-US"/>
        </w:rPr>
      </w:pPr>
      <w:r w:rsidRPr="00222917">
        <w:rPr>
          <w:lang w:val="en-US"/>
        </w:rPr>
        <w:t>355.</w:t>
      </w:r>
      <w:r w:rsidRPr="00222917">
        <w:rPr>
          <w:lang w:val="en-US"/>
        </w:rPr>
        <w:tab/>
      </w:r>
      <w:r w:rsidR="002D5BB0" w:rsidRPr="00222917">
        <w:rPr>
          <w:lang w:val="en-US"/>
        </w:rPr>
        <w:t xml:space="preserve">In 2007, the Korean </w:t>
      </w:r>
      <w:r w:rsidR="0005151A">
        <w:rPr>
          <w:lang w:val="en-US"/>
        </w:rPr>
        <w:t>G</w:t>
      </w:r>
      <w:r w:rsidR="002D5BB0" w:rsidRPr="00222917">
        <w:rPr>
          <w:lang w:val="en-US"/>
        </w:rPr>
        <w:t xml:space="preserve">overnment started the Dream Start Project designed to focus government assistance on children with underprivileged family environment. The Dream Start Project provides children in need with comprehensive services intended to address their individual needs and circumstances in partnership with public health centers, medical centers, private institutions, and social welfare centers in the community. </w:t>
      </w:r>
    </w:p>
    <w:p w:rsidR="002D5BB0" w:rsidRPr="00222917" w:rsidRDefault="00547908" w:rsidP="00547908">
      <w:pPr>
        <w:pStyle w:val="SingleTxtG"/>
        <w:rPr>
          <w:lang w:val="en-US"/>
        </w:rPr>
      </w:pPr>
      <w:r w:rsidRPr="00222917">
        <w:rPr>
          <w:lang w:val="en-US"/>
        </w:rPr>
        <w:t>356.</w:t>
      </w:r>
      <w:r w:rsidRPr="00222917">
        <w:rPr>
          <w:lang w:val="en-US"/>
        </w:rPr>
        <w:tab/>
      </w:r>
      <w:r w:rsidR="002D5BB0" w:rsidRPr="00222917">
        <w:rPr>
          <w:lang w:val="en-US"/>
        </w:rPr>
        <w:t xml:space="preserve">The Dream Start Project provides the assistance services for 300 pregnant women and children aged up to 12 per each local area, who are from households receiving basic livelihood benefits and near-poor households in poor neighborhoods in </w:t>
      </w:r>
      <w:r w:rsidR="002D5BB0" w:rsidRPr="00222917">
        <w:rPr>
          <w:i/>
          <w:lang w:val="en-US"/>
        </w:rPr>
        <w:t>Si/Gun/Gu</w:t>
      </w:r>
      <w:r w:rsidR="002D5BB0" w:rsidRPr="00222917">
        <w:rPr>
          <w:lang w:val="en-US"/>
        </w:rPr>
        <w:t>. The</w:t>
      </w:r>
      <w:r w:rsidR="005A53EA" w:rsidRPr="00222917">
        <w:rPr>
          <w:lang w:val="en-US"/>
        </w:rPr>
        <w:t> </w:t>
      </w:r>
      <w:r w:rsidR="002D5BB0" w:rsidRPr="00222917">
        <w:rPr>
          <w:lang w:val="en-US"/>
        </w:rPr>
        <w:t xml:space="preserve">legal basis for the Dream Start Project will be provided by amending the </w:t>
      </w:r>
      <w:r w:rsidR="002D5BB0" w:rsidRPr="0005151A">
        <w:rPr>
          <w:iCs/>
          <w:lang w:val="en-US"/>
        </w:rPr>
        <w:t xml:space="preserve">Child Welfare Act </w:t>
      </w:r>
      <w:r w:rsidR="002D5BB0" w:rsidRPr="00222917">
        <w:rPr>
          <w:lang w:val="en-US"/>
        </w:rPr>
        <w:t>and eligibility for the Dream Start Project will be determined based on appropriate review criteria to ensure intensive services for eligible children.</w:t>
      </w:r>
      <w:r w:rsidR="00120D8B" w:rsidRPr="00222917">
        <w:rPr>
          <w:lang w:val="en-US"/>
        </w:rPr>
        <w:t xml:space="preserve"> </w:t>
      </w:r>
    </w:p>
    <w:p w:rsidR="002D5BB0" w:rsidRPr="00222917" w:rsidRDefault="00984B6F" w:rsidP="00984B6F">
      <w:pPr>
        <w:pStyle w:val="H23G"/>
        <w:rPr>
          <w:b w:val="0"/>
          <w:sz w:val="16"/>
          <w:szCs w:val="16"/>
          <w:lang w:val="en-US"/>
        </w:rPr>
      </w:pPr>
      <w:r w:rsidRPr="00222917">
        <w:rPr>
          <w:lang w:val="en-US"/>
        </w:rPr>
        <w:tab/>
      </w:r>
      <w:r w:rsidRPr="00222917">
        <w:rPr>
          <w:lang w:val="en-US"/>
        </w:rPr>
        <w:tab/>
      </w:r>
      <w:r w:rsidR="002D5BB0" w:rsidRPr="00222917">
        <w:rPr>
          <w:lang w:val="en-US"/>
        </w:rPr>
        <w:t>Implementation of the Dream Start Project</w:t>
      </w:r>
      <w:r w:rsidRPr="00222917">
        <w:rPr>
          <w:lang w:val="en-US"/>
        </w:rPr>
        <w:br/>
      </w:r>
      <w:r w:rsidR="002D5BB0" w:rsidRPr="00222917">
        <w:rPr>
          <w:b w:val="0"/>
          <w:sz w:val="16"/>
          <w:szCs w:val="16"/>
          <w:lang w:val="en-US"/>
        </w:rPr>
        <w:t>(Number of areas; persons)</w:t>
      </w:r>
    </w:p>
    <w:tbl>
      <w:tblPr>
        <w:tblW w:w="0" w:type="auto"/>
        <w:tblInd w:w="1134" w:type="dxa"/>
        <w:tblBorders>
          <w:top w:val="single" w:sz="4" w:space="0" w:color="auto"/>
        </w:tblBorders>
        <w:tblLayout w:type="fixed"/>
        <w:tblCellMar>
          <w:left w:w="0" w:type="dxa"/>
          <w:right w:w="0" w:type="dxa"/>
        </w:tblCellMar>
        <w:tblLook w:val="00A0"/>
      </w:tblPr>
      <w:tblGrid>
        <w:gridCol w:w="2834"/>
        <w:gridCol w:w="1134"/>
        <w:gridCol w:w="1134"/>
        <w:gridCol w:w="1134"/>
        <w:gridCol w:w="1134"/>
      </w:tblGrid>
      <w:tr w:rsidR="00047930" w:rsidRPr="00222917" w:rsidTr="005A53EA">
        <w:trPr>
          <w:tblHeader/>
        </w:trPr>
        <w:tc>
          <w:tcPr>
            <w:tcW w:w="2834" w:type="dxa"/>
            <w:tcBorders>
              <w:top w:val="single" w:sz="4" w:space="0" w:color="auto"/>
              <w:bottom w:val="single" w:sz="12" w:space="0" w:color="auto"/>
            </w:tcBorders>
            <w:shd w:val="clear" w:color="auto" w:fill="auto"/>
            <w:tcMar>
              <w:top w:w="28" w:type="dxa"/>
              <w:left w:w="102" w:type="dxa"/>
              <w:bottom w:w="28" w:type="dxa"/>
              <w:right w:w="102" w:type="dxa"/>
            </w:tcMar>
            <w:vAlign w:val="bottom"/>
          </w:tcPr>
          <w:p w:rsidR="002D5BB0" w:rsidRPr="00222917" w:rsidRDefault="002D5BB0" w:rsidP="005A53EA">
            <w:pPr>
              <w:pStyle w:val="SingleTxtG"/>
              <w:suppressAutoHyphens w:val="0"/>
              <w:spacing w:before="80" w:after="80" w:line="200" w:lineRule="exact"/>
              <w:ind w:left="0" w:right="0"/>
              <w:jc w:val="left"/>
              <w:rPr>
                <w:i/>
                <w:sz w:val="16"/>
                <w:lang w:val="en-US"/>
              </w:rPr>
            </w:pPr>
            <w:r w:rsidRPr="00222917">
              <w:rPr>
                <w:bCs/>
                <w:i/>
                <w:sz w:val="16"/>
                <w:lang w:val="en-US"/>
              </w:rPr>
              <w:t>Year</w:t>
            </w:r>
          </w:p>
        </w:tc>
        <w:tc>
          <w:tcPr>
            <w:tcW w:w="1134" w:type="dxa"/>
            <w:tcBorders>
              <w:top w:val="single" w:sz="4" w:space="0" w:color="auto"/>
              <w:bottom w:val="single" w:sz="12" w:space="0" w:color="auto"/>
            </w:tcBorders>
            <w:shd w:val="clear" w:color="auto" w:fill="auto"/>
            <w:tcMar>
              <w:top w:w="28" w:type="dxa"/>
              <w:left w:w="102" w:type="dxa"/>
              <w:bottom w:w="28" w:type="dxa"/>
              <w:right w:w="102" w:type="dxa"/>
            </w:tcMar>
            <w:vAlign w:val="bottom"/>
          </w:tcPr>
          <w:p w:rsidR="002D5BB0" w:rsidRPr="00222917" w:rsidRDefault="002D5BB0" w:rsidP="005A53EA">
            <w:pPr>
              <w:pStyle w:val="SingleTxtG"/>
              <w:suppressAutoHyphens w:val="0"/>
              <w:spacing w:before="80" w:after="80" w:line="200" w:lineRule="exact"/>
              <w:ind w:left="0" w:right="0"/>
              <w:jc w:val="right"/>
              <w:rPr>
                <w:i/>
                <w:sz w:val="16"/>
                <w:lang w:val="en-US"/>
              </w:rPr>
            </w:pPr>
            <w:r w:rsidRPr="00222917">
              <w:rPr>
                <w:bCs/>
                <w:i/>
                <w:sz w:val="16"/>
                <w:lang w:val="en-US"/>
              </w:rPr>
              <w:t>2007</w:t>
            </w:r>
          </w:p>
        </w:tc>
        <w:tc>
          <w:tcPr>
            <w:tcW w:w="1134" w:type="dxa"/>
            <w:tcBorders>
              <w:top w:val="single" w:sz="4" w:space="0" w:color="auto"/>
              <w:bottom w:val="single" w:sz="12" w:space="0" w:color="auto"/>
            </w:tcBorders>
            <w:shd w:val="clear" w:color="auto" w:fill="auto"/>
            <w:tcMar>
              <w:top w:w="28" w:type="dxa"/>
              <w:left w:w="102" w:type="dxa"/>
              <w:bottom w:w="28" w:type="dxa"/>
              <w:right w:w="102" w:type="dxa"/>
            </w:tcMar>
            <w:vAlign w:val="bottom"/>
          </w:tcPr>
          <w:p w:rsidR="002D5BB0" w:rsidRPr="00222917" w:rsidRDefault="002D5BB0" w:rsidP="005A53EA">
            <w:pPr>
              <w:pStyle w:val="SingleTxtG"/>
              <w:suppressAutoHyphens w:val="0"/>
              <w:spacing w:before="80" w:after="80" w:line="200" w:lineRule="exact"/>
              <w:ind w:left="0" w:right="0"/>
              <w:jc w:val="right"/>
              <w:rPr>
                <w:i/>
                <w:sz w:val="16"/>
                <w:lang w:val="en-US"/>
              </w:rPr>
            </w:pPr>
            <w:r w:rsidRPr="00222917">
              <w:rPr>
                <w:bCs/>
                <w:i/>
                <w:sz w:val="16"/>
                <w:lang w:val="en-US"/>
              </w:rPr>
              <w:t>2008</w:t>
            </w:r>
          </w:p>
        </w:tc>
        <w:tc>
          <w:tcPr>
            <w:tcW w:w="1134" w:type="dxa"/>
            <w:tcBorders>
              <w:top w:val="single" w:sz="4" w:space="0" w:color="auto"/>
              <w:bottom w:val="single" w:sz="12" w:space="0" w:color="auto"/>
            </w:tcBorders>
            <w:shd w:val="clear" w:color="auto" w:fill="auto"/>
            <w:tcMar>
              <w:top w:w="28" w:type="dxa"/>
              <w:left w:w="102" w:type="dxa"/>
              <w:bottom w:w="28" w:type="dxa"/>
              <w:right w:w="102" w:type="dxa"/>
            </w:tcMar>
            <w:vAlign w:val="bottom"/>
          </w:tcPr>
          <w:p w:rsidR="002D5BB0" w:rsidRPr="00222917" w:rsidRDefault="002D5BB0" w:rsidP="005A53EA">
            <w:pPr>
              <w:pStyle w:val="SingleTxtG"/>
              <w:suppressAutoHyphens w:val="0"/>
              <w:spacing w:before="80" w:after="80" w:line="200" w:lineRule="exact"/>
              <w:ind w:left="0" w:right="0"/>
              <w:jc w:val="right"/>
              <w:rPr>
                <w:i/>
                <w:sz w:val="16"/>
                <w:lang w:val="en-US"/>
              </w:rPr>
            </w:pPr>
            <w:r w:rsidRPr="00222917">
              <w:rPr>
                <w:bCs/>
                <w:i/>
                <w:sz w:val="16"/>
                <w:lang w:val="en-US"/>
              </w:rPr>
              <w:t>2009</w:t>
            </w:r>
          </w:p>
        </w:tc>
        <w:tc>
          <w:tcPr>
            <w:tcW w:w="1134" w:type="dxa"/>
            <w:tcBorders>
              <w:top w:val="single" w:sz="4" w:space="0" w:color="auto"/>
              <w:bottom w:val="single" w:sz="12" w:space="0" w:color="auto"/>
            </w:tcBorders>
            <w:shd w:val="clear" w:color="auto" w:fill="auto"/>
            <w:vAlign w:val="bottom"/>
          </w:tcPr>
          <w:p w:rsidR="002D5BB0" w:rsidRPr="00222917" w:rsidRDefault="002D5BB0" w:rsidP="005A53EA">
            <w:pPr>
              <w:pStyle w:val="SingleTxtG"/>
              <w:suppressAutoHyphens w:val="0"/>
              <w:spacing w:before="80" w:after="80" w:line="200" w:lineRule="exact"/>
              <w:ind w:left="0" w:right="0"/>
              <w:jc w:val="right"/>
              <w:rPr>
                <w:bCs/>
                <w:i/>
                <w:sz w:val="16"/>
                <w:lang w:val="en-US"/>
              </w:rPr>
            </w:pPr>
            <w:r w:rsidRPr="00222917">
              <w:rPr>
                <w:bCs/>
                <w:i/>
                <w:sz w:val="16"/>
                <w:lang w:val="en-US"/>
              </w:rPr>
              <w:t>2010</w:t>
            </w:r>
          </w:p>
        </w:tc>
      </w:tr>
      <w:tr w:rsidR="00047930" w:rsidRPr="00222917" w:rsidTr="005A53EA">
        <w:tc>
          <w:tcPr>
            <w:tcW w:w="2834" w:type="dxa"/>
            <w:tcBorders>
              <w:top w:val="single" w:sz="12" w:space="0" w:color="auto"/>
            </w:tcBorders>
            <w:shd w:val="clear" w:color="auto" w:fill="auto"/>
            <w:tcMar>
              <w:top w:w="28" w:type="dxa"/>
              <w:left w:w="102" w:type="dxa"/>
              <w:bottom w:w="28" w:type="dxa"/>
              <w:right w:w="102" w:type="dxa"/>
            </w:tcMar>
          </w:tcPr>
          <w:p w:rsidR="002D5BB0" w:rsidRPr="00222917" w:rsidRDefault="002D5BB0" w:rsidP="005A53EA">
            <w:pPr>
              <w:pStyle w:val="SingleTxtG"/>
              <w:suppressAutoHyphens w:val="0"/>
              <w:spacing w:before="40" w:after="40" w:line="220" w:lineRule="exact"/>
              <w:ind w:left="0" w:right="0"/>
              <w:jc w:val="left"/>
              <w:rPr>
                <w:sz w:val="18"/>
                <w:lang w:val="en-US"/>
              </w:rPr>
            </w:pPr>
            <w:r w:rsidRPr="00222917">
              <w:rPr>
                <w:sz w:val="18"/>
                <w:lang w:val="en-US"/>
              </w:rPr>
              <w:t>Eligible areas</w:t>
            </w:r>
          </w:p>
        </w:tc>
        <w:tc>
          <w:tcPr>
            <w:tcW w:w="1134" w:type="dxa"/>
            <w:tcBorders>
              <w:top w:val="single" w:sz="12" w:space="0" w:color="auto"/>
            </w:tcBorders>
            <w:shd w:val="clear" w:color="auto" w:fill="auto"/>
            <w:tcMar>
              <w:top w:w="28" w:type="dxa"/>
              <w:left w:w="102" w:type="dxa"/>
              <w:bottom w:w="28" w:type="dxa"/>
              <w:right w:w="102" w:type="dxa"/>
            </w:tcMar>
            <w:vAlign w:val="bottom"/>
          </w:tcPr>
          <w:p w:rsidR="002D5BB0" w:rsidRPr="00222917" w:rsidRDefault="002D5BB0" w:rsidP="005A53EA">
            <w:pPr>
              <w:pStyle w:val="SingleTxtG"/>
              <w:suppressAutoHyphens w:val="0"/>
              <w:spacing w:before="40" w:after="40" w:line="220" w:lineRule="exact"/>
              <w:ind w:left="0" w:right="0"/>
              <w:jc w:val="right"/>
              <w:rPr>
                <w:sz w:val="18"/>
                <w:lang w:val="en-US"/>
              </w:rPr>
            </w:pPr>
            <w:r w:rsidRPr="00222917">
              <w:rPr>
                <w:sz w:val="18"/>
                <w:lang w:val="en-US"/>
              </w:rPr>
              <w:t>16</w:t>
            </w:r>
          </w:p>
        </w:tc>
        <w:tc>
          <w:tcPr>
            <w:tcW w:w="1134" w:type="dxa"/>
            <w:tcBorders>
              <w:top w:val="single" w:sz="12" w:space="0" w:color="auto"/>
            </w:tcBorders>
            <w:shd w:val="clear" w:color="auto" w:fill="auto"/>
            <w:tcMar>
              <w:top w:w="28" w:type="dxa"/>
              <w:left w:w="102" w:type="dxa"/>
              <w:bottom w:w="28" w:type="dxa"/>
              <w:right w:w="102" w:type="dxa"/>
            </w:tcMar>
            <w:vAlign w:val="bottom"/>
          </w:tcPr>
          <w:p w:rsidR="002D5BB0" w:rsidRPr="00222917" w:rsidRDefault="002D5BB0" w:rsidP="005A53EA">
            <w:pPr>
              <w:pStyle w:val="SingleTxtG"/>
              <w:suppressAutoHyphens w:val="0"/>
              <w:spacing w:before="40" w:after="40" w:line="220" w:lineRule="exact"/>
              <w:ind w:left="0" w:right="0"/>
              <w:jc w:val="right"/>
              <w:rPr>
                <w:sz w:val="18"/>
                <w:lang w:val="en-US"/>
              </w:rPr>
            </w:pPr>
            <w:r w:rsidRPr="00222917">
              <w:rPr>
                <w:sz w:val="18"/>
                <w:lang w:val="en-US"/>
              </w:rPr>
              <w:t>32</w:t>
            </w:r>
          </w:p>
        </w:tc>
        <w:tc>
          <w:tcPr>
            <w:tcW w:w="1134" w:type="dxa"/>
            <w:tcBorders>
              <w:top w:val="single" w:sz="12" w:space="0" w:color="auto"/>
            </w:tcBorders>
            <w:shd w:val="clear" w:color="auto" w:fill="auto"/>
            <w:tcMar>
              <w:top w:w="28" w:type="dxa"/>
              <w:left w:w="102" w:type="dxa"/>
              <w:bottom w:w="28" w:type="dxa"/>
              <w:right w:w="102" w:type="dxa"/>
            </w:tcMar>
            <w:vAlign w:val="bottom"/>
          </w:tcPr>
          <w:p w:rsidR="002D5BB0" w:rsidRPr="00222917" w:rsidRDefault="002D5BB0" w:rsidP="005A53EA">
            <w:pPr>
              <w:pStyle w:val="SingleTxtG"/>
              <w:suppressAutoHyphens w:val="0"/>
              <w:spacing w:before="40" w:after="40" w:line="220" w:lineRule="exact"/>
              <w:ind w:left="0" w:right="0"/>
              <w:jc w:val="right"/>
              <w:rPr>
                <w:sz w:val="18"/>
                <w:lang w:val="en-US"/>
              </w:rPr>
            </w:pPr>
            <w:r w:rsidRPr="00222917">
              <w:rPr>
                <w:sz w:val="18"/>
                <w:lang w:val="en-US"/>
              </w:rPr>
              <w:t>75</w:t>
            </w:r>
          </w:p>
        </w:tc>
        <w:tc>
          <w:tcPr>
            <w:tcW w:w="1134" w:type="dxa"/>
            <w:tcBorders>
              <w:top w:val="single" w:sz="12" w:space="0" w:color="auto"/>
            </w:tcBorders>
            <w:shd w:val="clear" w:color="auto" w:fill="auto"/>
            <w:vAlign w:val="bottom"/>
          </w:tcPr>
          <w:p w:rsidR="002D5BB0" w:rsidRPr="00222917" w:rsidRDefault="002D5BB0" w:rsidP="005A53EA">
            <w:pPr>
              <w:pStyle w:val="SingleTxtG"/>
              <w:suppressAutoHyphens w:val="0"/>
              <w:spacing w:before="40" w:after="40" w:line="220" w:lineRule="exact"/>
              <w:ind w:left="0" w:right="0"/>
              <w:jc w:val="right"/>
              <w:rPr>
                <w:sz w:val="18"/>
                <w:lang w:val="en-US"/>
              </w:rPr>
            </w:pPr>
            <w:r w:rsidRPr="00222917">
              <w:rPr>
                <w:sz w:val="18"/>
                <w:lang w:val="en-US"/>
              </w:rPr>
              <w:t>101</w:t>
            </w:r>
          </w:p>
        </w:tc>
      </w:tr>
      <w:tr w:rsidR="00047930" w:rsidRPr="00222917" w:rsidTr="005A53EA">
        <w:tc>
          <w:tcPr>
            <w:tcW w:w="2834" w:type="dxa"/>
            <w:shd w:val="clear" w:color="auto" w:fill="auto"/>
            <w:tcMar>
              <w:top w:w="28" w:type="dxa"/>
              <w:left w:w="102" w:type="dxa"/>
              <w:bottom w:w="28" w:type="dxa"/>
              <w:right w:w="102" w:type="dxa"/>
            </w:tcMar>
          </w:tcPr>
          <w:p w:rsidR="002D5BB0" w:rsidRPr="00222917" w:rsidRDefault="002D5BB0" w:rsidP="005A53EA">
            <w:pPr>
              <w:pStyle w:val="SingleTxtG"/>
              <w:suppressAutoHyphens w:val="0"/>
              <w:spacing w:before="40" w:after="40" w:line="220" w:lineRule="exact"/>
              <w:ind w:left="0" w:right="0"/>
              <w:jc w:val="left"/>
              <w:rPr>
                <w:sz w:val="18"/>
                <w:lang w:val="en-US"/>
              </w:rPr>
            </w:pPr>
            <w:r w:rsidRPr="00222917">
              <w:rPr>
                <w:sz w:val="18"/>
                <w:lang w:val="en-US"/>
              </w:rPr>
              <w:t>Eligible children</w:t>
            </w:r>
          </w:p>
        </w:tc>
        <w:tc>
          <w:tcPr>
            <w:tcW w:w="1134" w:type="dxa"/>
            <w:shd w:val="clear" w:color="auto" w:fill="auto"/>
            <w:tcMar>
              <w:top w:w="28" w:type="dxa"/>
              <w:left w:w="102" w:type="dxa"/>
              <w:bottom w:w="28" w:type="dxa"/>
              <w:right w:w="102" w:type="dxa"/>
            </w:tcMar>
            <w:vAlign w:val="bottom"/>
          </w:tcPr>
          <w:p w:rsidR="002D5BB0" w:rsidRPr="00222917" w:rsidRDefault="002D5BB0" w:rsidP="005A53EA">
            <w:pPr>
              <w:pStyle w:val="SingleTxtG"/>
              <w:suppressAutoHyphens w:val="0"/>
              <w:spacing w:before="40" w:after="40" w:line="220" w:lineRule="exact"/>
              <w:ind w:left="0" w:right="0"/>
              <w:jc w:val="right"/>
              <w:rPr>
                <w:sz w:val="18"/>
                <w:lang w:val="en-US"/>
              </w:rPr>
            </w:pPr>
            <w:r w:rsidRPr="00222917">
              <w:rPr>
                <w:sz w:val="18"/>
                <w:lang w:val="en-US"/>
              </w:rPr>
              <w:t>4,800</w:t>
            </w:r>
          </w:p>
        </w:tc>
        <w:tc>
          <w:tcPr>
            <w:tcW w:w="1134" w:type="dxa"/>
            <w:shd w:val="clear" w:color="auto" w:fill="auto"/>
            <w:tcMar>
              <w:top w:w="28" w:type="dxa"/>
              <w:left w:w="102" w:type="dxa"/>
              <w:bottom w:w="28" w:type="dxa"/>
              <w:right w:w="102" w:type="dxa"/>
            </w:tcMar>
            <w:vAlign w:val="bottom"/>
          </w:tcPr>
          <w:p w:rsidR="002D5BB0" w:rsidRPr="00222917" w:rsidRDefault="002D5BB0" w:rsidP="005A53EA">
            <w:pPr>
              <w:pStyle w:val="SingleTxtG"/>
              <w:suppressAutoHyphens w:val="0"/>
              <w:spacing w:before="40" w:after="40" w:line="220" w:lineRule="exact"/>
              <w:ind w:left="0" w:right="0"/>
              <w:jc w:val="right"/>
              <w:rPr>
                <w:sz w:val="18"/>
                <w:lang w:val="en-US"/>
              </w:rPr>
            </w:pPr>
            <w:r w:rsidRPr="00222917">
              <w:rPr>
                <w:sz w:val="18"/>
                <w:lang w:val="en-US"/>
              </w:rPr>
              <w:t>9,600</w:t>
            </w:r>
          </w:p>
        </w:tc>
        <w:tc>
          <w:tcPr>
            <w:tcW w:w="1134" w:type="dxa"/>
            <w:shd w:val="clear" w:color="auto" w:fill="auto"/>
            <w:tcMar>
              <w:top w:w="28" w:type="dxa"/>
              <w:left w:w="102" w:type="dxa"/>
              <w:bottom w:w="28" w:type="dxa"/>
              <w:right w:w="102" w:type="dxa"/>
            </w:tcMar>
            <w:vAlign w:val="bottom"/>
          </w:tcPr>
          <w:p w:rsidR="002D5BB0" w:rsidRPr="00222917" w:rsidRDefault="002D5BB0" w:rsidP="005A53EA">
            <w:pPr>
              <w:pStyle w:val="SingleTxtG"/>
              <w:suppressAutoHyphens w:val="0"/>
              <w:spacing w:before="40" w:after="40" w:line="220" w:lineRule="exact"/>
              <w:ind w:left="0" w:right="0"/>
              <w:jc w:val="right"/>
              <w:rPr>
                <w:sz w:val="18"/>
                <w:lang w:val="en-US"/>
              </w:rPr>
            </w:pPr>
            <w:r w:rsidRPr="00222917">
              <w:rPr>
                <w:sz w:val="18"/>
                <w:lang w:val="en-US"/>
              </w:rPr>
              <w:t>25,954</w:t>
            </w:r>
          </w:p>
        </w:tc>
        <w:tc>
          <w:tcPr>
            <w:tcW w:w="1134" w:type="dxa"/>
            <w:shd w:val="clear" w:color="auto" w:fill="auto"/>
            <w:vAlign w:val="bottom"/>
          </w:tcPr>
          <w:p w:rsidR="002D5BB0" w:rsidRPr="00222917" w:rsidRDefault="002D5BB0" w:rsidP="005A53EA">
            <w:pPr>
              <w:pStyle w:val="SingleTxtG"/>
              <w:suppressAutoHyphens w:val="0"/>
              <w:spacing w:before="40" w:after="40" w:line="220" w:lineRule="exact"/>
              <w:ind w:left="0" w:right="0"/>
              <w:jc w:val="right"/>
              <w:rPr>
                <w:sz w:val="18"/>
                <w:lang w:val="en-US"/>
              </w:rPr>
            </w:pPr>
            <w:r w:rsidRPr="00222917">
              <w:rPr>
                <w:sz w:val="18"/>
                <w:lang w:val="en-US"/>
              </w:rPr>
              <w:t>31,924</w:t>
            </w:r>
          </w:p>
        </w:tc>
      </w:tr>
      <w:tr w:rsidR="00047930" w:rsidRPr="00222917" w:rsidTr="005A53EA">
        <w:tc>
          <w:tcPr>
            <w:tcW w:w="2834" w:type="dxa"/>
            <w:tcBorders>
              <w:bottom w:val="single" w:sz="12" w:space="0" w:color="auto"/>
            </w:tcBorders>
            <w:shd w:val="clear" w:color="auto" w:fill="auto"/>
            <w:tcMar>
              <w:top w:w="28" w:type="dxa"/>
              <w:left w:w="102" w:type="dxa"/>
              <w:bottom w:w="28" w:type="dxa"/>
              <w:right w:w="102" w:type="dxa"/>
            </w:tcMar>
          </w:tcPr>
          <w:p w:rsidR="002D5BB0" w:rsidRPr="00222917" w:rsidRDefault="002D5BB0" w:rsidP="005A53EA">
            <w:pPr>
              <w:pStyle w:val="SingleTxtG"/>
              <w:suppressAutoHyphens w:val="0"/>
              <w:spacing w:before="40" w:after="40" w:line="220" w:lineRule="exact"/>
              <w:ind w:left="0" w:right="0"/>
              <w:jc w:val="left"/>
              <w:rPr>
                <w:sz w:val="18"/>
                <w:lang w:val="en-US"/>
              </w:rPr>
            </w:pPr>
            <w:r w:rsidRPr="00222917">
              <w:rPr>
                <w:sz w:val="18"/>
                <w:lang w:val="en-US"/>
              </w:rPr>
              <w:t xml:space="preserve">Eligible persons </w:t>
            </w:r>
            <w:r w:rsidR="005A53EA" w:rsidRPr="00222917">
              <w:rPr>
                <w:sz w:val="18"/>
                <w:lang w:val="en-US"/>
              </w:rPr>
              <w:br/>
            </w:r>
            <w:r w:rsidRPr="00222917">
              <w:rPr>
                <w:sz w:val="18"/>
                <w:lang w:val="en-US"/>
              </w:rPr>
              <w:t>(children + family members)</w:t>
            </w:r>
          </w:p>
        </w:tc>
        <w:tc>
          <w:tcPr>
            <w:tcW w:w="1134" w:type="dxa"/>
            <w:tcBorders>
              <w:bottom w:val="single" w:sz="12" w:space="0" w:color="auto"/>
            </w:tcBorders>
            <w:shd w:val="clear" w:color="auto" w:fill="auto"/>
            <w:tcMar>
              <w:top w:w="28" w:type="dxa"/>
              <w:left w:w="102" w:type="dxa"/>
              <w:bottom w:w="28" w:type="dxa"/>
              <w:right w:w="102" w:type="dxa"/>
            </w:tcMar>
            <w:vAlign w:val="bottom"/>
          </w:tcPr>
          <w:p w:rsidR="002D5BB0" w:rsidRPr="00222917" w:rsidRDefault="002D5BB0" w:rsidP="005A53EA">
            <w:pPr>
              <w:pStyle w:val="SingleTxtG"/>
              <w:suppressAutoHyphens w:val="0"/>
              <w:spacing w:before="40" w:after="40" w:line="220" w:lineRule="exact"/>
              <w:ind w:left="0" w:right="0"/>
              <w:jc w:val="right"/>
              <w:rPr>
                <w:sz w:val="18"/>
                <w:lang w:val="en-US"/>
              </w:rPr>
            </w:pPr>
            <w:r w:rsidRPr="00222917">
              <w:rPr>
                <w:sz w:val="18"/>
                <w:lang w:val="en-US"/>
              </w:rPr>
              <w:t>4,800</w:t>
            </w:r>
          </w:p>
        </w:tc>
        <w:tc>
          <w:tcPr>
            <w:tcW w:w="1134" w:type="dxa"/>
            <w:tcBorders>
              <w:bottom w:val="single" w:sz="12" w:space="0" w:color="auto"/>
            </w:tcBorders>
            <w:shd w:val="clear" w:color="auto" w:fill="auto"/>
            <w:tcMar>
              <w:top w:w="28" w:type="dxa"/>
              <w:left w:w="102" w:type="dxa"/>
              <w:bottom w:w="28" w:type="dxa"/>
              <w:right w:w="102" w:type="dxa"/>
            </w:tcMar>
            <w:vAlign w:val="bottom"/>
          </w:tcPr>
          <w:p w:rsidR="002D5BB0" w:rsidRPr="00222917" w:rsidRDefault="002D5BB0" w:rsidP="005A53EA">
            <w:pPr>
              <w:pStyle w:val="SingleTxtG"/>
              <w:suppressAutoHyphens w:val="0"/>
              <w:spacing w:before="40" w:after="40" w:line="220" w:lineRule="exact"/>
              <w:ind w:left="0" w:right="0"/>
              <w:jc w:val="right"/>
              <w:rPr>
                <w:sz w:val="18"/>
                <w:lang w:val="en-US"/>
              </w:rPr>
            </w:pPr>
            <w:r w:rsidRPr="00222917">
              <w:rPr>
                <w:sz w:val="18"/>
                <w:lang w:val="en-US"/>
              </w:rPr>
              <w:t>22,000</w:t>
            </w:r>
          </w:p>
        </w:tc>
        <w:tc>
          <w:tcPr>
            <w:tcW w:w="1134" w:type="dxa"/>
            <w:tcBorders>
              <w:bottom w:val="single" w:sz="12" w:space="0" w:color="auto"/>
            </w:tcBorders>
            <w:shd w:val="clear" w:color="auto" w:fill="auto"/>
            <w:tcMar>
              <w:top w:w="28" w:type="dxa"/>
              <w:left w:w="102" w:type="dxa"/>
              <w:bottom w:w="28" w:type="dxa"/>
              <w:right w:w="102" w:type="dxa"/>
            </w:tcMar>
            <w:vAlign w:val="bottom"/>
          </w:tcPr>
          <w:p w:rsidR="002D5BB0" w:rsidRPr="00222917" w:rsidRDefault="002D5BB0" w:rsidP="005A53EA">
            <w:pPr>
              <w:pStyle w:val="SingleTxtG"/>
              <w:suppressAutoHyphens w:val="0"/>
              <w:spacing w:before="40" w:after="40" w:line="220" w:lineRule="exact"/>
              <w:ind w:left="0" w:right="0"/>
              <w:jc w:val="right"/>
              <w:rPr>
                <w:sz w:val="18"/>
                <w:lang w:val="en-US"/>
              </w:rPr>
            </w:pPr>
            <w:r w:rsidRPr="00222917">
              <w:rPr>
                <w:sz w:val="18"/>
                <w:lang w:val="en-US"/>
              </w:rPr>
              <w:t>60,471</w:t>
            </w:r>
          </w:p>
        </w:tc>
        <w:tc>
          <w:tcPr>
            <w:tcW w:w="1134" w:type="dxa"/>
            <w:tcBorders>
              <w:bottom w:val="single" w:sz="12" w:space="0" w:color="auto"/>
            </w:tcBorders>
            <w:shd w:val="clear" w:color="auto" w:fill="auto"/>
            <w:vAlign w:val="bottom"/>
          </w:tcPr>
          <w:p w:rsidR="002D5BB0" w:rsidRPr="00222917" w:rsidRDefault="002D5BB0" w:rsidP="005A53EA">
            <w:pPr>
              <w:pStyle w:val="SingleTxtG"/>
              <w:suppressAutoHyphens w:val="0"/>
              <w:spacing w:before="40" w:after="40" w:line="220" w:lineRule="exact"/>
              <w:ind w:left="0" w:right="0"/>
              <w:jc w:val="right"/>
              <w:rPr>
                <w:sz w:val="18"/>
                <w:lang w:val="en-US"/>
              </w:rPr>
            </w:pPr>
            <w:r w:rsidRPr="00222917">
              <w:rPr>
                <w:sz w:val="18"/>
                <w:lang w:val="en-US"/>
              </w:rPr>
              <w:t>76,652</w:t>
            </w:r>
          </w:p>
        </w:tc>
      </w:tr>
    </w:tbl>
    <w:p w:rsidR="002D5BB0" w:rsidRPr="00222917" w:rsidRDefault="00984B6F" w:rsidP="00984B6F">
      <w:pPr>
        <w:pStyle w:val="H4G"/>
        <w:rPr>
          <w:lang w:val="en-US"/>
        </w:rPr>
      </w:pPr>
      <w:bookmarkStart w:id="301" w:name="_Toc307504172"/>
      <w:bookmarkStart w:id="302" w:name="_Toc336435944"/>
      <w:r w:rsidRPr="00222917">
        <w:rPr>
          <w:lang w:val="en-US"/>
        </w:rPr>
        <w:tab/>
      </w:r>
      <w:r w:rsidRPr="00222917">
        <w:rPr>
          <w:lang w:val="en-US"/>
        </w:rPr>
        <w:tab/>
      </w:r>
      <w:r w:rsidR="002D5BB0" w:rsidRPr="00222917">
        <w:rPr>
          <w:lang w:val="en-US"/>
        </w:rPr>
        <w:t>Protection of Children Requiring Protection</w:t>
      </w:r>
      <w:bookmarkEnd w:id="301"/>
      <w:bookmarkEnd w:id="302"/>
      <w:r w:rsidR="002D5BB0" w:rsidRPr="00222917">
        <w:rPr>
          <w:lang w:val="en-US"/>
        </w:rPr>
        <w:t xml:space="preserve"> </w:t>
      </w:r>
    </w:p>
    <w:p w:rsidR="002D5BB0" w:rsidRPr="00222917" w:rsidRDefault="00547908" w:rsidP="00547908">
      <w:pPr>
        <w:pStyle w:val="SingleTxtG"/>
        <w:rPr>
          <w:lang w:val="en-US"/>
        </w:rPr>
      </w:pPr>
      <w:r w:rsidRPr="00222917">
        <w:rPr>
          <w:lang w:val="en-US"/>
        </w:rPr>
        <w:t>357.</w:t>
      </w:r>
      <w:r w:rsidRPr="00222917">
        <w:rPr>
          <w:lang w:val="en-US"/>
        </w:rPr>
        <w:tab/>
      </w:r>
      <w:r w:rsidR="002D5BB0" w:rsidRPr="00222917">
        <w:rPr>
          <w:lang w:val="en-US"/>
        </w:rPr>
        <w:t xml:space="preserve">With regards to protective measures at child welfare facilities for children requiring protection, the punitive provisions against child abuse, abandonment, and trafficking; the provisions on prohibition of harmful acts under the </w:t>
      </w:r>
      <w:r w:rsidR="002D5BB0" w:rsidRPr="0005151A">
        <w:rPr>
          <w:iCs/>
          <w:lang w:val="en-US"/>
        </w:rPr>
        <w:t>Child Welfare Act</w:t>
      </w:r>
      <w:r w:rsidR="002D5BB0" w:rsidRPr="00222917">
        <w:rPr>
          <w:lang w:val="en-US"/>
        </w:rPr>
        <w:t xml:space="preserve">; the amendment of the </w:t>
      </w:r>
      <w:r w:rsidR="002D5BB0" w:rsidRPr="0005151A">
        <w:rPr>
          <w:iCs/>
          <w:lang w:val="en-US"/>
        </w:rPr>
        <w:t>Juvenile Protection Act</w:t>
      </w:r>
      <w:r w:rsidR="002D5BB0" w:rsidRPr="00222917">
        <w:rPr>
          <w:lang w:val="en-US"/>
        </w:rPr>
        <w:t xml:space="preserve">; and the environments harmful to juveniles as defined by the </w:t>
      </w:r>
      <w:r w:rsidR="002D5BB0" w:rsidRPr="0005151A">
        <w:rPr>
          <w:iCs/>
          <w:lang w:val="en-US"/>
        </w:rPr>
        <w:t xml:space="preserve">Act </w:t>
      </w:r>
      <w:r w:rsidR="002D5BB0" w:rsidRPr="00222917">
        <w:rPr>
          <w:lang w:val="en-US"/>
        </w:rPr>
        <w:t>are as stated in the third re</w:t>
      </w:r>
      <w:r w:rsidR="009B3015" w:rsidRPr="00222917">
        <w:rPr>
          <w:lang w:val="en-US"/>
        </w:rPr>
        <w:t>port (CCPR/C/KOR/2005/3, paras. 345-</w:t>
      </w:r>
      <w:r w:rsidR="002D5BB0" w:rsidRPr="00222917">
        <w:rPr>
          <w:lang w:val="en-US"/>
        </w:rPr>
        <w:t>349).</w:t>
      </w:r>
    </w:p>
    <w:p w:rsidR="002D5BB0" w:rsidRPr="00222917" w:rsidRDefault="00547908" w:rsidP="00547908">
      <w:pPr>
        <w:pStyle w:val="SingleTxtG"/>
        <w:rPr>
          <w:lang w:val="en-US"/>
        </w:rPr>
      </w:pPr>
      <w:r w:rsidRPr="00222917">
        <w:rPr>
          <w:lang w:val="en-US"/>
        </w:rPr>
        <w:t>358.</w:t>
      </w:r>
      <w:r w:rsidRPr="00222917">
        <w:rPr>
          <w:lang w:val="en-US"/>
        </w:rPr>
        <w:tab/>
      </w:r>
      <w:r w:rsidR="002D5BB0" w:rsidRPr="00222917">
        <w:rPr>
          <w:lang w:val="en-US"/>
        </w:rPr>
        <w:t xml:space="preserve">Child welfare centers provide food, clothing, housing and shelter, medical treatment, education, and support for self-reliance for children requiring protection who do not have a guardian or who need to be protected from family dissolution or abuse by a guardian. In 2007, unregistered child homes were abolished to bolster protection of the human rights of children requiring protection, and child homes are only approved and subsidized when their facilities satisfy certain requirements. </w:t>
      </w:r>
    </w:p>
    <w:p w:rsidR="002D5BB0" w:rsidRPr="00222917" w:rsidRDefault="002D5BB0" w:rsidP="0023735B">
      <w:pPr>
        <w:pStyle w:val="H23G"/>
        <w:ind w:left="0" w:firstLine="0"/>
        <w:rPr>
          <w:b w:val="0"/>
          <w:sz w:val="16"/>
          <w:szCs w:val="16"/>
          <w:lang w:val="en-US"/>
        </w:rPr>
      </w:pPr>
      <w:r w:rsidRPr="00222917">
        <w:rPr>
          <w:lang w:val="en-US"/>
        </w:rPr>
        <w:t>Child Welfare Facilities</w:t>
      </w:r>
      <w:r w:rsidR="00984B6F" w:rsidRPr="00222917">
        <w:rPr>
          <w:lang w:val="en-US"/>
        </w:rPr>
        <w:br/>
      </w:r>
      <w:r w:rsidRPr="00222917">
        <w:rPr>
          <w:b w:val="0"/>
          <w:sz w:val="16"/>
          <w:szCs w:val="16"/>
          <w:lang w:val="en-US"/>
        </w:rPr>
        <w:t>(As of December 2010)</w:t>
      </w:r>
    </w:p>
    <w:tbl>
      <w:tblPr>
        <w:tblW w:w="9639" w:type="dxa"/>
        <w:tblBorders>
          <w:top w:val="single" w:sz="4" w:space="0" w:color="auto"/>
        </w:tblBorders>
        <w:tblLayout w:type="fixed"/>
        <w:tblCellMar>
          <w:left w:w="0" w:type="dxa"/>
          <w:right w:w="0" w:type="dxa"/>
        </w:tblCellMar>
        <w:tblLook w:val="00A0"/>
      </w:tblPr>
      <w:tblGrid>
        <w:gridCol w:w="627"/>
        <w:gridCol w:w="627"/>
        <w:gridCol w:w="627"/>
        <w:gridCol w:w="627"/>
        <w:gridCol w:w="627"/>
        <w:gridCol w:w="628"/>
        <w:gridCol w:w="628"/>
        <w:gridCol w:w="684"/>
        <w:gridCol w:w="684"/>
        <w:gridCol w:w="684"/>
        <w:gridCol w:w="684"/>
        <w:gridCol w:w="628"/>
        <w:gridCol w:w="628"/>
        <w:gridCol w:w="628"/>
        <w:gridCol w:w="628"/>
      </w:tblGrid>
      <w:tr w:rsidR="00047930" w:rsidRPr="00222917" w:rsidTr="00936860">
        <w:trPr>
          <w:trHeight w:val="240"/>
          <w:tblHeader/>
        </w:trPr>
        <w:tc>
          <w:tcPr>
            <w:tcW w:w="627" w:type="dxa"/>
            <w:vMerge w:val="restart"/>
            <w:tcBorders>
              <w:top w:val="single" w:sz="4" w:space="0" w:color="auto"/>
              <w:bottom w:val="single" w:sz="12" w:space="0" w:color="auto"/>
            </w:tcBorders>
            <w:shd w:val="clear" w:color="auto" w:fill="auto"/>
            <w:tcMar>
              <w:top w:w="28" w:type="dxa"/>
              <w:left w:w="28" w:type="dxa"/>
              <w:bottom w:w="28" w:type="dxa"/>
              <w:right w:w="28" w:type="dxa"/>
            </w:tcMar>
            <w:vAlign w:val="bottom"/>
          </w:tcPr>
          <w:p w:rsidR="00047930" w:rsidRPr="00222917" w:rsidRDefault="00047930" w:rsidP="005A53EA">
            <w:pPr>
              <w:suppressAutoHyphens w:val="0"/>
              <w:spacing w:before="80" w:after="80" w:line="180" w:lineRule="exact"/>
              <w:rPr>
                <w:i/>
                <w:sz w:val="14"/>
                <w:szCs w:val="14"/>
                <w:lang w:val="en-US"/>
              </w:rPr>
            </w:pPr>
            <w:r w:rsidRPr="00222917">
              <w:rPr>
                <w:i/>
                <w:sz w:val="14"/>
                <w:szCs w:val="14"/>
                <w:lang w:val="en-US"/>
              </w:rPr>
              <w:t>Year</w:t>
            </w:r>
          </w:p>
        </w:tc>
        <w:tc>
          <w:tcPr>
            <w:tcW w:w="1254" w:type="dxa"/>
            <w:gridSpan w:val="2"/>
            <w:tcBorders>
              <w:top w:val="single" w:sz="4" w:space="0" w:color="auto"/>
              <w:bottom w:val="single" w:sz="4" w:space="0" w:color="000000"/>
              <w:right w:val="single" w:sz="24" w:space="0" w:color="FFFFFF"/>
            </w:tcBorders>
            <w:shd w:val="clear" w:color="auto" w:fill="auto"/>
            <w:tcMar>
              <w:top w:w="28" w:type="dxa"/>
              <w:left w:w="28" w:type="dxa"/>
              <w:bottom w:w="28" w:type="dxa"/>
              <w:right w:w="28" w:type="dxa"/>
            </w:tcMar>
            <w:vAlign w:val="bottom"/>
          </w:tcPr>
          <w:p w:rsidR="00047930" w:rsidRPr="00222917" w:rsidRDefault="00047930" w:rsidP="00E3444E">
            <w:pPr>
              <w:suppressAutoHyphens w:val="0"/>
              <w:spacing w:before="80" w:after="80" w:line="180" w:lineRule="exact"/>
              <w:jc w:val="center"/>
              <w:rPr>
                <w:rFonts w:eastAsia="#태그래픽"/>
                <w:b/>
                <w:i/>
                <w:sz w:val="14"/>
                <w:szCs w:val="14"/>
                <w:lang w:val="en-US"/>
              </w:rPr>
            </w:pPr>
            <w:r w:rsidRPr="00222917">
              <w:rPr>
                <w:b/>
                <w:i/>
                <w:sz w:val="14"/>
                <w:szCs w:val="14"/>
                <w:lang w:val="en-US"/>
              </w:rPr>
              <w:t>Total</w:t>
            </w:r>
          </w:p>
        </w:tc>
        <w:tc>
          <w:tcPr>
            <w:tcW w:w="1254" w:type="dxa"/>
            <w:gridSpan w:val="2"/>
            <w:tcBorders>
              <w:top w:val="single" w:sz="4" w:space="0" w:color="auto"/>
              <w:left w:val="single" w:sz="24" w:space="0" w:color="FFFFFF"/>
              <w:bottom w:val="single" w:sz="4" w:space="0" w:color="000000"/>
              <w:right w:val="single" w:sz="24" w:space="0" w:color="FFFFFF"/>
            </w:tcBorders>
            <w:shd w:val="clear" w:color="auto" w:fill="auto"/>
            <w:tcMar>
              <w:top w:w="28" w:type="dxa"/>
              <w:left w:w="28" w:type="dxa"/>
              <w:bottom w:w="28" w:type="dxa"/>
              <w:right w:w="28" w:type="dxa"/>
            </w:tcMar>
            <w:vAlign w:val="bottom"/>
          </w:tcPr>
          <w:p w:rsidR="00047930" w:rsidRPr="00222917" w:rsidRDefault="00047930" w:rsidP="00E3444E">
            <w:pPr>
              <w:suppressAutoHyphens w:val="0"/>
              <w:spacing w:before="80" w:after="80" w:line="180" w:lineRule="exact"/>
              <w:jc w:val="center"/>
              <w:rPr>
                <w:i/>
                <w:sz w:val="14"/>
                <w:szCs w:val="14"/>
                <w:lang w:val="en-US"/>
              </w:rPr>
            </w:pPr>
            <w:r w:rsidRPr="00222917">
              <w:rPr>
                <w:i/>
                <w:sz w:val="14"/>
                <w:szCs w:val="14"/>
                <w:lang w:val="en-US"/>
              </w:rPr>
              <w:t>Child homes (protection, rearing)</w:t>
            </w:r>
          </w:p>
        </w:tc>
        <w:tc>
          <w:tcPr>
            <w:tcW w:w="1256" w:type="dxa"/>
            <w:gridSpan w:val="2"/>
            <w:tcBorders>
              <w:top w:val="single" w:sz="4" w:space="0" w:color="auto"/>
              <w:left w:val="single" w:sz="24" w:space="0" w:color="FFFFFF"/>
              <w:bottom w:val="single" w:sz="4" w:space="0" w:color="000000"/>
              <w:right w:val="single" w:sz="24" w:space="0" w:color="FFFFFF"/>
            </w:tcBorders>
            <w:shd w:val="clear" w:color="auto" w:fill="auto"/>
            <w:tcMar>
              <w:top w:w="28" w:type="dxa"/>
              <w:left w:w="28" w:type="dxa"/>
              <w:bottom w:w="28" w:type="dxa"/>
              <w:right w:w="28" w:type="dxa"/>
            </w:tcMar>
            <w:vAlign w:val="bottom"/>
          </w:tcPr>
          <w:p w:rsidR="00047930" w:rsidRPr="00222917" w:rsidRDefault="00047930" w:rsidP="007F7F95">
            <w:pPr>
              <w:suppressAutoHyphens w:val="0"/>
              <w:spacing w:before="80" w:after="80" w:line="180" w:lineRule="exact"/>
              <w:jc w:val="center"/>
              <w:rPr>
                <w:i/>
                <w:sz w:val="14"/>
                <w:szCs w:val="14"/>
                <w:lang w:val="en-US"/>
              </w:rPr>
            </w:pPr>
            <w:r w:rsidRPr="00222917">
              <w:rPr>
                <w:i/>
                <w:sz w:val="14"/>
                <w:szCs w:val="14"/>
                <w:lang w:val="en-US"/>
              </w:rPr>
              <w:t>Vocational training facilities (self-reliance knowledge and skills for</w:t>
            </w:r>
            <w:r w:rsidR="007F7F95" w:rsidRPr="00222917">
              <w:rPr>
                <w:i/>
                <w:sz w:val="14"/>
                <w:szCs w:val="14"/>
                <w:lang w:val="en-US"/>
              </w:rPr>
              <w:t> </w:t>
            </w:r>
            <w:r w:rsidRPr="00222917">
              <w:rPr>
                <w:i/>
                <w:sz w:val="14"/>
                <w:szCs w:val="14"/>
                <w:lang w:val="en-US"/>
              </w:rPr>
              <w:t xml:space="preserve">children </w:t>
            </w:r>
            <w:r w:rsidR="007F7F95" w:rsidRPr="00222917">
              <w:rPr>
                <w:i/>
                <w:sz w:val="14"/>
                <w:szCs w:val="14"/>
                <w:lang w:val="en-US"/>
              </w:rPr>
              <w:br/>
            </w:r>
            <w:r w:rsidRPr="00222917">
              <w:rPr>
                <w:i/>
                <w:sz w:val="14"/>
                <w:szCs w:val="14"/>
                <w:lang w:val="en-US"/>
              </w:rPr>
              <w:t>of age 15 +)</w:t>
            </w:r>
          </w:p>
        </w:tc>
        <w:tc>
          <w:tcPr>
            <w:tcW w:w="1368" w:type="dxa"/>
            <w:gridSpan w:val="2"/>
            <w:tcBorders>
              <w:top w:val="single" w:sz="4" w:space="0" w:color="auto"/>
              <w:left w:val="single" w:sz="24" w:space="0" w:color="FFFFFF"/>
              <w:bottom w:val="single" w:sz="4" w:space="0" w:color="000000"/>
              <w:right w:val="single" w:sz="24" w:space="0" w:color="FFFFFF"/>
            </w:tcBorders>
            <w:shd w:val="clear" w:color="auto" w:fill="auto"/>
            <w:tcMar>
              <w:top w:w="28" w:type="dxa"/>
              <w:left w:w="28" w:type="dxa"/>
              <w:bottom w:w="28" w:type="dxa"/>
              <w:right w:w="28" w:type="dxa"/>
            </w:tcMar>
            <w:vAlign w:val="bottom"/>
          </w:tcPr>
          <w:p w:rsidR="00047930" w:rsidRPr="00222917" w:rsidRDefault="00047930" w:rsidP="00E3444E">
            <w:pPr>
              <w:suppressAutoHyphens w:val="0"/>
              <w:spacing w:before="80" w:after="80" w:line="180" w:lineRule="exact"/>
              <w:jc w:val="center"/>
              <w:rPr>
                <w:i/>
                <w:sz w:val="14"/>
                <w:szCs w:val="14"/>
                <w:lang w:val="en-US"/>
              </w:rPr>
            </w:pPr>
            <w:r w:rsidRPr="00222917">
              <w:rPr>
                <w:i/>
                <w:sz w:val="14"/>
                <w:szCs w:val="14"/>
                <w:lang w:val="en-US"/>
              </w:rPr>
              <w:t>Protection and treatment facilities (guidance, protection, and rearing of delinquent children and children under foster care by a court)</w:t>
            </w:r>
          </w:p>
        </w:tc>
        <w:tc>
          <w:tcPr>
            <w:tcW w:w="1368" w:type="dxa"/>
            <w:gridSpan w:val="2"/>
            <w:tcBorders>
              <w:top w:val="single" w:sz="4" w:space="0" w:color="auto"/>
              <w:left w:val="single" w:sz="24" w:space="0" w:color="FFFFFF"/>
              <w:bottom w:val="single" w:sz="4" w:space="0" w:color="000000"/>
              <w:right w:val="single" w:sz="24" w:space="0" w:color="FFFFFF"/>
            </w:tcBorders>
            <w:shd w:val="clear" w:color="auto" w:fill="auto"/>
            <w:tcMar>
              <w:top w:w="28" w:type="dxa"/>
              <w:left w:w="28" w:type="dxa"/>
              <w:bottom w:w="28" w:type="dxa"/>
              <w:right w:w="28" w:type="dxa"/>
            </w:tcMar>
            <w:vAlign w:val="bottom"/>
          </w:tcPr>
          <w:p w:rsidR="00047930" w:rsidRPr="00222917" w:rsidRDefault="00047930" w:rsidP="00E3444E">
            <w:pPr>
              <w:suppressAutoHyphens w:val="0"/>
              <w:spacing w:before="80" w:after="80" w:line="180" w:lineRule="exact"/>
              <w:jc w:val="center"/>
              <w:rPr>
                <w:i/>
                <w:sz w:val="14"/>
                <w:szCs w:val="14"/>
                <w:lang w:val="en-US"/>
              </w:rPr>
            </w:pPr>
            <w:smartTag w:uri="urn:schemas-microsoft-com:office:smarttags" w:element="place">
              <w:smartTag w:uri="urn:schemas-microsoft-com:office:smarttags" w:element="City">
                <w:r w:rsidRPr="00222917">
                  <w:rPr>
                    <w:i/>
                    <w:sz w:val="14"/>
                    <w:szCs w:val="14"/>
                    <w:lang w:val="en-US"/>
                  </w:rPr>
                  <w:t>Independence</w:t>
                </w:r>
              </w:smartTag>
            </w:smartTag>
            <w:r w:rsidRPr="00222917">
              <w:rPr>
                <w:i/>
                <w:sz w:val="14"/>
                <w:szCs w:val="14"/>
                <w:lang w:val="en-US"/>
              </w:rPr>
              <w:t xml:space="preserve"> support facilities (protecting and helping children discharged from child homes with employment)</w:t>
            </w:r>
          </w:p>
        </w:tc>
        <w:tc>
          <w:tcPr>
            <w:tcW w:w="1256" w:type="dxa"/>
            <w:gridSpan w:val="2"/>
            <w:tcBorders>
              <w:top w:val="single" w:sz="4" w:space="0" w:color="auto"/>
              <w:left w:val="single" w:sz="24" w:space="0" w:color="FFFFFF"/>
              <w:bottom w:val="single" w:sz="4" w:space="0" w:color="000000"/>
              <w:right w:val="single" w:sz="24" w:space="0" w:color="FFFFFF"/>
            </w:tcBorders>
            <w:shd w:val="clear" w:color="auto" w:fill="auto"/>
            <w:tcMar>
              <w:top w:w="28" w:type="dxa"/>
              <w:left w:w="28" w:type="dxa"/>
              <w:bottom w:w="28" w:type="dxa"/>
              <w:right w:w="28" w:type="dxa"/>
            </w:tcMar>
            <w:vAlign w:val="bottom"/>
          </w:tcPr>
          <w:p w:rsidR="00047930" w:rsidRPr="00222917" w:rsidRDefault="00047930" w:rsidP="00E3444E">
            <w:pPr>
              <w:suppressAutoHyphens w:val="0"/>
              <w:spacing w:before="80" w:after="80" w:line="180" w:lineRule="exact"/>
              <w:jc w:val="center"/>
              <w:rPr>
                <w:i/>
                <w:sz w:val="14"/>
                <w:szCs w:val="14"/>
                <w:lang w:val="en-US"/>
              </w:rPr>
            </w:pPr>
            <w:r w:rsidRPr="00222917">
              <w:rPr>
                <w:i/>
                <w:sz w:val="14"/>
                <w:szCs w:val="14"/>
                <w:lang w:val="en-US"/>
              </w:rPr>
              <w:t>Temporary</w:t>
            </w:r>
            <w:r w:rsidR="0023735B" w:rsidRPr="00222917">
              <w:rPr>
                <w:i/>
                <w:sz w:val="14"/>
                <w:szCs w:val="14"/>
                <w:lang w:val="en-US"/>
              </w:rPr>
              <w:br/>
            </w:r>
            <w:r w:rsidRPr="00222917">
              <w:rPr>
                <w:i/>
                <w:sz w:val="14"/>
                <w:szCs w:val="14"/>
                <w:lang w:val="en-US"/>
              </w:rPr>
              <w:t>protective facilities</w:t>
            </w:r>
            <w:r w:rsidR="0023735B" w:rsidRPr="00222917">
              <w:rPr>
                <w:i/>
                <w:sz w:val="14"/>
                <w:szCs w:val="14"/>
                <w:lang w:val="en-US"/>
              </w:rPr>
              <w:br/>
            </w:r>
            <w:r w:rsidRPr="00222917">
              <w:rPr>
                <w:i/>
                <w:sz w:val="14"/>
                <w:szCs w:val="14"/>
                <w:lang w:val="en-US"/>
              </w:rPr>
              <w:t xml:space="preserve">(temporary protection </w:t>
            </w:r>
            <w:r w:rsidR="0023735B" w:rsidRPr="00222917">
              <w:rPr>
                <w:i/>
                <w:sz w:val="14"/>
                <w:szCs w:val="14"/>
                <w:lang w:val="en-US"/>
              </w:rPr>
              <w:br/>
            </w:r>
            <w:r w:rsidRPr="00222917">
              <w:rPr>
                <w:i/>
                <w:sz w:val="14"/>
                <w:szCs w:val="14"/>
                <w:lang w:val="en-US"/>
              </w:rPr>
              <w:t>and</w:t>
            </w:r>
            <w:r w:rsidR="0023735B" w:rsidRPr="00222917">
              <w:rPr>
                <w:i/>
                <w:sz w:val="14"/>
                <w:szCs w:val="14"/>
                <w:lang w:val="en-US"/>
              </w:rPr>
              <w:t xml:space="preserve"> </w:t>
            </w:r>
            <w:r w:rsidRPr="00222917">
              <w:rPr>
                <w:i/>
                <w:sz w:val="14"/>
                <w:szCs w:val="14"/>
                <w:lang w:val="en-US"/>
              </w:rPr>
              <w:t>rearing)</w:t>
            </w:r>
          </w:p>
        </w:tc>
        <w:tc>
          <w:tcPr>
            <w:tcW w:w="1256" w:type="dxa"/>
            <w:gridSpan w:val="2"/>
            <w:tcBorders>
              <w:top w:val="single" w:sz="4" w:space="0" w:color="auto"/>
              <w:left w:val="single" w:sz="24" w:space="0" w:color="FFFFFF"/>
              <w:bottom w:val="single" w:sz="4" w:space="0" w:color="000000"/>
            </w:tcBorders>
            <w:shd w:val="clear" w:color="auto" w:fill="auto"/>
            <w:tcMar>
              <w:top w:w="28" w:type="dxa"/>
              <w:left w:w="28" w:type="dxa"/>
              <w:bottom w:w="28" w:type="dxa"/>
              <w:right w:w="28" w:type="dxa"/>
            </w:tcMar>
            <w:vAlign w:val="bottom"/>
          </w:tcPr>
          <w:p w:rsidR="00047930" w:rsidRPr="00222917" w:rsidRDefault="0023735B" w:rsidP="00E3444E">
            <w:pPr>
              <w:suppressAutoHyphens w:val="0"/>
              <w:spacing w:before="80" w:after="80" w:line="180" w:lineRule="exact"/>
              <w:jc w:val="center"/>
              <w:rPr>
                <w:i/>
                <w:sz w:val="14"/>
                <w:szCs w:val="14"/>
                <w:lang w:val="en-US"/>
              </w:rPr>
            </w:pPr>
            <w:r w:rsidRPr="00222917">
              <w:rPr>
                <w:i/>
                <w:sz w:val="14"/>
                <w:szCs w:val="14"/>
                <w:lang w:val="en-US"/>
              </w:rPr>
              <w:t>Comprehensive</w:t>
            </w:r>
            <w:r w:rsidR="00047930" w:rsidRPr="00222917">
              <w:rPr>
                <w:i/>
                <w:sz w:val="14"/>
                <w:szCs w:val="14"/>
                <w:lang w:val="en-US"/>
              </w:rPr>
              <w:t xml:space="preserve"> facilities</w:t>
            </w:r>
            <w:r w:rsidRPr="00222917">
              <w:rPr>
                <w:i/>
                <w:sz w:val="14"/>
                <w:szCs w:val="14"/>
                <w:lang w:val="en-US"/>
              </w:rPr>
              <w:br/>
            </w:r>
            <w:r w:rsidR="00047930" w:rsidRPr="00222917">
              <w:rPr>
                <w:i/>
                <w:sz w:val="14"/>
                <w:szCs w:val="14"/>
                <w:lang w:val="en-US"/>
              </w:rPr>
              <w:t xml:space="preserve">(Children </w:t>
            </w:r>
            <w:r w:rsidRPr="00222917">
              <w:rPr>
                <w:i/>
                <w:sz w:val="14"/>
                <w:szCs w:val="14"/>
                <w:lang w:val="en-US"/>
              </w:rPr>
              <w:t>counselling</w:t>
            </w:r>
            <w:r w:rsidR="00047930" w:rsidRPr="00222917">
              <w:rPr>
                <w:i/>
                <w:sz w:val="14"/>
                <w:szCs w:val="14"/>
                <w:lang w:val="en-US"/>
              </w:rPr>
              <w:t xml:space="preserve"> centers with protection and rearing facilities)</w:t>
            </w:r>
          </w:p>
        </w:tc>
      </w:tr>
      <w:tr w:rsidR="00E3444E" w:rsidRPr="00222917" w:rsidTr="00936860">
        <w:trPr>
          <w:trHeight w:val="240"/>
          <w:tblHeader/>
        </w:trPr>
        <w:tc>
          <w:tcPr>
            <w:tcW w:w="627" w:type="dxa"/>
            <w:vMerge/>
            <w:tcBorders>
              <w:top w:val="single" w:sz="12" w:space="0" w:color="auto"/>
              <w:bottom w:val="single" w:sz="12" w:space="0" w:color="000000"/>
            </w:tcBorders>
            <w:shd w:val="clear" w:color="auto" w:fill="auto"/>
            <w:vAlign w:val="bottom"/>
          </w:tcPr>
          <w:p w:rsidR="00047930" w:rsidRPr="00222917" w:rsidRDefault="00047930" w:rsidP="005A53EA">
            <w:pPr>
              <w:suppressAutoHyphens w:val="0"/>
              <w:spacing w:before="80" w:after="80" w:line="180" w:lineRule="exact"/>
              <w:rPr>
                <w:i/>
                <w:sz w:val="14"/>
                <w:szCs w:val="14"/>
                <w:lang w:val="en-US"/>
              </w:rPr>
            </w:pPr>
          </w:p>
        </w:tc>
        <w:tc>
          <w:tcPr>
            <w:tcW w:w="627" w:type="dxa"/>
            <w:tcBorders>
              <w:top w:val="single" w:sz="4" w:space="0" w:color="000000"/>
              <w:bottom w:val="single" w:sz="12" w:space="0" w:color="000000"/>
            </w:tcBorders>
            <w:shd w:val="clear" w:color="auto" w:fill="auto"/>
            <w:tcMar>
              <w:top w:w="28" w:type="dxa"/>
              <w:left w:w="28" w:type="dxa"/>
              <w:bottom w:w="28" w:type="dxa"/>
              <w:right w:w="28" w:type="dxa"/>
            </w:tcMar>
            <w:vAlign w:val="bottom"/>
          </w:tcPr>
          <w:p w:rsidR="00047930" w:rsidRPr="00222917" w:rsidRDefault="0023735B" w:rsidP="005A53EA">
            <w:pPr>
              <w:suppressAutoHyphens w:val="0"/>
              <w:snapToGrid w:val="0"/>
              <w:spacing w:before="80" w:after="80" w:line="180" w:lineRule="exact"/>
              <w:jc w:val="right"/>
              <w:rPr>
                <w:b/>
                <w:i/>
                <w:sz w:val="14"/>
                <w:szCs w:val="14"/>
                <w:lang w:val="en-US"/>
              </w:rPr>
            </w:pPr>
            <w:r w:rsidRPr="00222917">
              <w:rPr>
                <w:b/>
                <w:bCs/>
                <w:i/>
                <w:sz w:val="14"/>
                <w:szCs w:val="14"/>
                <w:lang w:val="en-US"/>
              </w:rPr>
              <w:t>Facili</w:t>
            </w:r>
            <w:r w:rsidR="00047930" w:rsidRPr="00222917">
              <w:rPr>
                <w:b/>
                <w:bCs/>
                <w:i/>
                <w:sz w:val="14"/>
                <w:szCs w:val="14"/>
                <w:lang w:val="en-US"/>
              </w:rPr>
              <w:t>ties</w:t>
            </w:r>
          </w:p>
        </w:tc>
        <w:tc>
          <w:tcPr>
            <w:tcW w:w="627" w:type="dxa"/>
            <w:tcBorders>
              <w:top w:val="single" w:sz="4" w:space="0" w:color="000000"/>
              <w:bottom w:val="single" w:sz="12" w:space="0" w:color="000000"/>
              <w:right w:val="single" w:sz="24" w:space="0" w:color="FFFFFF"/>
            </w:tcBorders>
            <w:shd w:val="clear" w:color="auto" w:fill="auto"/>
            <w:tcMar>
              <w:top w:w="28" w:type="dxa"/>
              <w:left w:w="28" w:type="dxa"/>
              <w:bottom w:w="28" w:type="dxa"/>
              <w:right w:w="28" w:type="dxa"/>
            </w:tcMar>
            <w:vAlign w:val="bottom"/>
          </w:tcPr>
          <w:p w:rsidR="00047930" w:rsidRPr="00222917" w:rsidRDefault="00047930" w:rsidP="005A53EA">
            <w:pPr>
              <w:suppressAutoHyphens w:val="0"/>
              <w:snapToGrid w:val="0"/>
              <w:spacing w:before="80" w:after="80" w:line="180" w:lineRule="exact"/>
              <w:jc w:val="right"/>
              <w:rPr>
                <w:b/>
                <w:i/>
                <w:sz w:val="14"/>
                <w:szCs w:val="14"/>
                <w:lang w:val="en-US"/>
              </w:rPr>
            </w:pPr>
            <w:r w:rsidRPr="00222917">
              <w:rPr>
                <w:b/>
                <w:bCs/>
                <w:i/>
                <w:sz w:val="14"/>
                <w:szCs w:val="14"/>
                <w:lang w:val="en-US"/>
              </w:rPr>
              <w:t>Persons</w:t>
            </w:r>
          </w:p>
        </w:tc>
        <w:tc>
          <w:tcPr>
            <w:tcW w:w="627" w:type="dxa"/>
            <w:tcBorders>
              <w:top w:val="single" w:sz="4" w:space="0" w:color="000000"/>
              <w:left w:val="single" w:sz="24" w:space="0" w:color="FFFFFF"/>
              <w:bottom w:val="single" w:sz="12" w:space="0" w:color="000000"/>
            </w:tcBorders>
            <w:shd w:val="clear" w:color="auto" w:fill="auto"/>
            <w:tcMar>
              <w:top w:w="28" w:type="dxa"/>
              <w:left w:w="28" w:type="dxa"/>
              <w:bottom w:w="28" w:type="dxa"/>
              <w:right w:w="28" w:type="dxa"/>
            </w:tcMar>
            <w:vAlign w:val="bottom"/>
          </w:tcPr>
          <w:p w:rsidR="00047930" w:rsidRPr="00222917" w:rsidRDefault="0023735B" w:rsidP="005A53EA">
            <w:pPr>
              <w:suppressAutoHyphens w:val="0"/>
              <w:snapToGrid w:val="0"/>
              <w:spacing w:before="80" w:after="80" w:line="180" w:lineRule="exact"/>
              <w:jc w:val="right"/>
              <w:rPr>
                <w:i/>
                <w:sz w:val="14"/>
                <w:szCs w:val="14"/>
                <w:lang w:val="en-US"/>
              </w:rPr>
            </w:pPr>
            <w:r w:rsidRPr="00222917">
              <w:rPr>
                <w:bCs/>
                <w:i/>
                <w:sz w:val="14"/>
                <w:szCs w:val="14"/>
                <w:lang w:val="en-US"/>
              </w:rPr>
              <w:t>Facilities</w:t>
            </w:r>
          </w:p>
        </w:tc>
        <w:tc>
          <w:tcPr>
            <w:tcW w:w="627" w:type="dxa"/>
            <w:tcBorders>
              <w:top w:val="single" w:sz="4" w:space="0" w:color="000000"/>
              <w:bottom w:val="single" w:sz="12" w:space="0" w:color="000000"/>
              <w:right w:val="single" w:sz="24" w:space="0" w:color="FFFFFF"/>
            </w:tcBorders>
            <w:shd w:val="clear" w:color="auto" w:fill="auto"/>
            <w:tcMar>
              <w:top w:w="28" w:type="dxa"/>
              <w:left w:w="28" w:type="dxa"/>
              <w:bottom w:w="28" w:type="dxa"/>
              <w:right w:w="28" w:type="dxa"/>
            </w:tcMar>
            <w:vAlign w:val="bottom"/>
          </w:tcPr>
          <w:p w:rsidR="00047930" w:rsidRPr="00222917" w:rsidRDefault="00047930" w:rsidP="005A53EA">
            <w:pPr>
              <w:suppressAutoHyphens w:val="0"/>
              <w:snapToGrid w:val="0"/>
              <w:spacing w:before="80" w:after="80" w:line="180" w:lineRule="exact"/>
              <w:jc w:val="right"/>
              <w:rPr>
                <w:i/>
                <w:sz w:val="14"/>
                <w:szCs w:val="14"/>
                <w:lang w:val="en-US"/>
              </w:rPr>
            </w:pPr>
            <w:r w:rsidRPr="00222917">
              <w:rPr>
                <w:bCs/>
                <w:i/>
                <w:sz w:val="14"/>
                <w:szCs w:val="14"/>
                <w:lang w:val="en-US"/>
              </w:rPr>
              <w:t>Persons</w:t>
            </w:r>
          </w:p>
        </w:tc>
        <w:tc>
          <w:tcPr>
            <w:tcW w:w="628" w:type="dxa"/>
            <w:tcBorders>
              <w:top w:val="single" w:sz="4" w:space="0" w:color="000000"/>
              <w:left w:val="single" w:sz="24" w:space="0" w:color="FFFFFF"/>
              <w:bottom w:val="single" w:sz="12" w:space="0" w:color="000000"/>
            </w:tcBorders>
            <w:shd w:val="clear" w:color="auto" w:fill="auto"/>
            <w:tcMar>
              <w:top w:w="28" w:type="dxa"/>
              <w:left w:w="28" w:type="dxa"/>
              <w:bottom w:w="28" w:type="dxa"/>
              <w:right w:w="28" w:type="dxa"/>
            </w:tcMar>
            <w:vAlign w:val="bottom"/>
          </w:tcPr>
          <w:p w:rsidR="00047930" w:rsidRPr="00222917" w:rsidRDefault="0023735B" w:rsidP="005A53EA">
            <w:pPr>
              <w:suppressAutoHyphens w:val="0"/>
              <w:snapToGrid w:val="0"/>
              <w:spacing w:before="80" w:after="80" w:line="180" w:lineRule="exact"/>
              <w:jc w:val="right"/>
              <w:rPr>
                <w:i/>
                <w:sz w:val="14"/>
                <w:szCs w:val="14"/>
                <w:lang w:val="en-US"/>
              </w:rPr>
            </w:pPr>
            <w:r w:rsidRPr="00222917">
              <w:rPr>
                <w:bCs/>
                <w:i/>
                <w:sz w:val="14"/>
                <w:szCs w:val="14"/>
                <w:lang w:val="en-US"/>
              </w:rPr>
              <w:t>Facilities</w:t>
            </w:r>
          </w:p>
        </w:tc>
        <w:tc>
          <w:tcPr>
            <w:tcW w:w="628" w:type="dxa"/>
            <w:tcBorders>
              <w:top w:val="single" w:sz="4" w:space="0" w:color="000000"/>
              <w:bottom w:val="single" w:sz="12" w:space="0" w:color="000000"/>
              <w:right w:val="single" w:sz="24" w:space="0" w:color="FFFFFF"/>
            </w:tcBorders>
            <w:shd w:val="clear" w:color="auto" w:fill="auto"/>
            <w:tcMar>
              <w:top w:w="28" w:type="dxa"/>
              <w:left w:w="28" w:type="dxa"/>
              <w:bottom w:w="28" w:type="dxa"/>
              <w:right w:w="28" w:type="dxa"/>
            </w:tcMar>
            <w:vAlign w:val="bottom"/>
          </w:tcPr>
          <w:p w:rsidR="00047930" w:rsidRPr="00222917" w:rsidRDefault="00047930" w:rsidP="005A53EA">
            <w:pPr>
              <w:suppressAutoHyphens w:val="0"/>
              <w:snapToGrid w:val="0"/>
              <w:spacing w:before="80" w:after="80" w:line="180" w:lineRule="exact"/>
              <w:jc w:val="right"/>
              <w:rPr>
                <w:i/>
                <w:sz w:val="14"/>
                <w:szCs w:val="14"/>
                <w:lang w:val="en-US"/>
              </w:rPr>
            </w:pPr>
            <w:r w:rsidRPr="00222917">
              <w:rPr>
                <w:bCs/>
                <w:i/>
                <w:sz w:val="14"/>
                <w:szCs w:val="14"/>
                <w:lang w:val="en-US"/>
              </w:rPr>
              <w:t>Persons</w:t>
            </w:r>
          </w:p>
        </w:tc>
        <w:tc>
          <w:tcPr>
            <w:tcW w:w="684" w:type="dxa"/>
            <w:tcBorders>
              <w:top w:val="single" w:sz="4" w:space="0" w:color="000000"/>
              <w:left w:val="single" w:sz="24" w:space="0" w:color="FFFFFF"/>
              <w:bottom w:val="single" w:sz="12" w:space="0" w:color="000000"/>
            </w:tcBorders>
            <w:shd w:val="clear" w:color="auto" w:fill="auto"/>
            <w:tcMar>
              <w:top w:w="28" w:type="dxa"/>
              <w:left w:w="28" w:type="dxa"/>
              <w:bottom w:w="28" w:type="dxa"/>
              <w:right w:w="28" w:type="dxa"/>
            </w:tcMar>
            <w:vAlign w:val="bottom"/>
          </w:tcPr>
          <w:p w:rsidR="00047930" w:rsidRPr="00222917" w:rsidRDefault="0023735B" w:rsidP="005A53EA">
            <w:pPr>
              <w:suppressAutoHyphens w:val="0"/>
              <w:snapToGrid w:val="0"/>
              <w:spacing w:before="80" w:after="80" w:line="180" w:lineRule="exact"/>
              <w:jc w:val="right"/>
              <w:rPr>
                <w:i/>
                <w:sz w:val="14"/>
                <w:szCs w:val="14"/>
                <w:lang w:val="en-US"/>
              </w:rPr>
            </w:pPr>
            <w:r w:rsidRPr="00222917">
              <w:rPr>
                <w:bCs/>
                <w:i/>
                <w:sz w:val="14"/>
                <w:szCs w:val="14"/>
                <w:lang w:val="en-US"/>
              </w:rPr>
              <w:t>Facilities</w:t>
            </w:r>
          </w:p>
        </w:tc>
        <w:tc>
          <w:tcPr>
            <w:tcW w:w="684" w:type="dxa"/>
            <w:tcBorders>
              <w:top w:val="single" w:sz="4" w:space="0" w:color="000000"/>
              <w:bottom w:val="single" w:sz="12" w:space="0" w:color="000000"/>
              <w:right w:val="single" w:sz="24" w:space="0" w:color="FFFFFF"/>
            </w:tcBorders>
            <w:shd w:val="clear" w:color="auto" w:fill="auto"/>
            <w:tcMar>
              <w:top w:w="28" w:type="dxa"/>
              <w:left w:w="28" w:type="dxa"/>
              <w:bottom w:w="28" w:type="dxa"/>
              <w:right w:w="28" w:type="dxa"/>
            </w:tcMar>
            <w:vAlign w:val="bottom"/>
          </w:tcPr>
          <w:p w:rsidR="00047930" w:rsidRPr="00222917" w:rsidRDefault="00047930" w:rsidP="005A53EA">
            <w:pPr>
              <w:suppressAutoHyphens w:val="0"/>
              <w:snapToGrid w:val="0"/>
              <w:spacing w:before="80" w:after="80" w:line="180" w:lineRule="exact"/>
              <w:jc w:val="right"/>
              <w:rPr>
                <w:i/>
                <w:sz w:val="14"/>
                <w:szCs w:val="14"/>
                <w:lang w:val="en-US"/>
              </w:rPr>
            </w:pPr>
            <w:r w:rsidRPr="00222917">
              <w:rPr>
                <w:bCs/>
                <w:i/>
                <w:sz w:val="14"/>
                <w:szCs w:val="14"/>
                <w:lang w:val="en-US"/>
              </w:rPr>
              <w:t>Persons</w:t>
            </w:r>
          </w:p>
        </w:tc>
        <w:tc>
          <w:tcPr>
            <w:tcW w:w="684" w:type="dxa"/>
            <w:tcBorders>
              <w:top w:val="single" w:sz="4" w:space="0" w:color="000000"/>
              <w:left w:val="single" w:sz="24" w:space="0" w:color="FFFFFF"/>
              <w:bottom w:val="single" w:sz="12" w:space="0" w:color="000000"/>
            </w:tcBorders>
            <w:shd w:val="clear" w:color="auto" w:fill="auto"/>
            <w:tcMar>
              <w:top w:w="28" w:type="dxa"/>
              <w:left w:w="28" w:type="dxa"/>
              <w:bottom w:w="28" w:type="dxa"/>
              <w:right w:w="28" w:type="dxa"/>
            </w:tcMar>
            <w:vAlign w:val="bottom"/>
          </w:tcPr>
          <w:p w:rsidR="00047930" w:rsidRPr="00222917" w:rsidRDefault="0023735B" w:rsidP="005A53EA">
            <w:pPr>
              <w:suppressAutoHyphens w:val="0"/>
              <w:snapToGrid w:val="0"/>
              <w:spacing w:before="80" w:after="80" w:line="180" w:lineRule="exact"/>
              <w:jc w:val="right"/>
              <w:rPr>
                <w:i/>
                <w:sz w:val="14"/>
                <w:szCs w:val="14"/>
                <w:lang w:val="en-US"/>
              </w:rPr>
            </w:pPr>
            <w:r w:rsidRPr="00222917">
              <w:rPr>
                <w:bCs/>
                <w:i/>
                <w:sz w:val="14"/>
                <w:szCs w:val="14"/>
                <w:lang w:val="en-US"/>
              </w:rPr>
              <w:t>Facilities</w:t>
            </w:r>
          </w:p>
        </w:tc>
        <w:tc>
          <w:tcPr>
            <w:tcW w:w="684" w:type="dxa"/>
            <w:tcBorders>
              <w:top w:val="single" w:sz="4" w:space="0" w:color="000000"/>
              <w:bottom w:val="single" w:sz="12" w:space="0" w:color="000000"/>
              <w:right w:val="single" w:sz="24" w:space="0" w:color="FFFFFF"/>
            </w:tcBorders>
            <w:shd w:val="clear" w:color="auto" w:fill="auto"/>
            <w:tcMar>
              <w:top w:w="28" w:type="dxa"/>
              <w:left w:w="28" w:type="dxa"/>
              <w:bottom w:w="28" w:type="dxa"/>
              <w:right w:w="28" w:type="dxa"/>
            </w:tcMar>
            <w:vAlign w:val="bottom"/>
          </w:tcPr>
          <w:p w:rsidR="00047930" w:rsidRPr="00222917" w:rsidRDefault="00047930" w:rsidP="005A53EA">
            <w:pPr>
              <w:suppressAutoHyphens w:val="0"/>
              <w:snapToGrid w:val="0"/>
              <w:spacing w:before="80" w:after="80" w:line="180" w:lineRule="exact"/>
              <w:jc w:val="right"/>
              <w:rPr>
                <w:i/>
                <w:sz w:val="14"/>
                <w:szCs w:val="14"/>
                <w:lang w:val="en-US"/>
              </w:rPr>
            </w:pPr>
            <w:r w:rsidRPr="00222917">
              <w:rPr>
                <w:bCs/>
                <w:i/>
                <w:sz w:val="14"/>
                <w:szCs w:val="14"/>
                <w:lang w:val="en-US"/>
              </w:rPr>
              <w:t>Persons</w:t>
            </w:r>
          </w:p>
        </w:tc>
        <w:tc>
          <w:tcPr>
            <w:tcW w:w="628" w:type="dxa"/>
            <w:tcBorders>
              <w:top w:val="single" w:sz="4" w:space="0" w:color="000000"/>
              <w:left w:val="single" w:sz="24" w:space="0" w:color="FFFFFF"/>
              <w:bottom w:val="single" w:sz="12" w:space="0" w:color="000000"/>
            </w:tcBorders>
            <w:shd w:val="clear" w:color="auto" w:fill="auto"/>
            <w:tcMar>
              <w:top w:w="28" w:type="dxa"/>
              <w:left w:w="28" w:type="dxa"/>
              <w:bottom w:w="28" w:type="dxa"/>
              <w:right w:w="28" w:type="dxa"/>
            </w:tcMar>
            <w:vAlign w:val="bottom"/>
          </w:tcPr>
          <w:p w:rsidR="00047930" w:rsidRPr="00222917" w:rsidRDefault="0023735B" w:rsidP="005A53EA">
            <w:pPr>
              <w:suppressAutoHyphens w:val="0"/>
              <w:snapToGrid w:val="0"/>
              <w:spacing w:before="80" w:after="80" w:line="180" w:lineRule="exact"/>
              <w:jc w:val="right"/>
              <w:rPr>
                <w:i/>
                <w:sz w:val="14"/>
                <w:szCs w:val="14"/>
                <w:lang w:val="en-US"/>
              </w:rPr>
            </w:pPr>
            <w:r w:rsidRPr="00222917">
              <w:rPr>
                <w:bCs/>
                <w:i/>
                <w:sz w:val="14"/>
                <w:szCs w:val="14"/>
                <w:lang w:val="en-US"/>
              </w:rPr>
              <w:t>Facilities</w:t>
            </w:r>
          </w:p>
        </w:tc>
        <w:tc>
          <w:tcPr>
            <w:tcW w:w="628" w:type="dxa"/>
            <w:tcBorders>
              <w:top w:val="single" w:sz="4" w:space="0" w:color="000000"/>
              <w:bottom w:val="single" w:sz="12" w:space="0" w:color="000000"/>
              <w:right w:val="single" w:sz="24" w:space="0" w:color="FFFFFF"/>
            </w:tcBorders>
            <w:shd w:val="clear" w:color="auto" w:fill="auto"/>
            <w:tcMar>
              <w:top w:w="28" w:type="dxa"/>
              <w:left w:w="28" w:type="dxa"/>
              <w:bottom w:w="28" w:type="dxa"/>
              <w:right w:w="28" w:type="dxa"/>
            </w:tcMar>
            <w:vAlign w:val="bottom"/>
          </w:tcPr>
          <w:p w:rsidR="00047930" w:rsidRPr="00222917" w:rsidRDefault="00047930" w:rsidP="005A53EA">
            <w:pPr>
              <w:suppressAutoHyphens w:val="0"/>
              <w:snapToGrid w:val="0"/>
              <w:spacing w:before="80" w:after="80" w:line="180" w:lineRule="exact"/>
              <w:jc w:val="right"/>
              <w:rPr>
                <w:i/>
                <w:sz w:val="14"/>
                <w:szCs w:val="14"/>
                <w:lang w:val="en-US"/>
              </w:rPr>
            </w:pPr>
            <w:r w:rsidRPr="00222917">
              <w:rPr>
                <w:bCs/>
                <w:i/>
                <w:sz w:val="14"/>
                <w:szCs w:val="14"/>
                <w:lang w:val="en-US"/>
              </w:rPr>
              <w:t>Persons</w:t>
            </w:r>
          </w:p>
        </w:tc>
        <w:tc>
          <w:tcPr>
            <w:tcW w:w="628" w:type="dxa"/>
            <w:tcBorders>
              <w:top w:val="single" w:sz="4" w:space="0" w:color="000000"/>
              <w:left w:val="single" w:sz="24" w:space="0" w:color="FFFFFF"/>
              <w:bottom w:val="single" w:sz="12" w:space="0" w:color="000000"/>
            </w:tcBorders>
            <w:shd w:val="clear" w:color="auto" w:fill="auto"/>
            <w:tcMar>
              <w:top w:w="28" w:type="dxa"/>
              <w:left w:w="28" w:type="dxa"/>
              <w:bottom w:w="28" w:type="dxa"/>
              <w:right w:w="28" w:type="dxa"/>
            </w:tcMar>
            <w:vAlign w:val="bottom"/>
          </w:tcPr>
          <w:p w:rsidR="00047930" w:rsidRPr="00222917" w:rsidRDefault="0023735B" w:rsidP="005A53EA">
            <w:pPr>
              <w:suppressAutoHyphens w:val="0"/>
              <w:snapToGrid w:val="0"/>
              <w:spacing w:before="80" w:after="80" w:line="180" w:lineRule="exact"/>
              <w:jc w:val="right"/>
              <w:rPr>
                <w:i/>
                <w:sz w:val="14"/>
                <w:szCs w:val="14"/>
                <w:lang w:val="en-US"/>
              </w:rPr>
            </w:pPr>
            <w:r w:rsidRPr="00222917">
              <w:rPr>
                <w:bCs/>
                <w:i/>
                <w:sz w:val="14"/>
                <w:szCs w:val="14"/>
                <w:lang w:val="en-US"/>
              </w:rPr>
              <w:t>Facilities</w:t>
            </w:r>
          </w:p>
        </w:tc>
        <w:tc>
          <w:tcPr>
            <w:tcW w:w="628" w:type="dxa"/>
            <w:tcBorders>
              <w:top w:val="single" w:sz="4" w:space="0" w:color="000000"/>
              <w:bottom w:val="single" w:sz="12" w:space="0" w:color="000000"/>
            </w:tcBorders>
            <w:shd w:val="clear" w:color="auto" w:fill="auto"/>
            <w:tcMar>
              <w:top w:w="28" w:type="dxa"/>
              <w:left w:w="28" w:type="dxa"/>
              <w:bottom w:w="28" w:type="dxa"/>
              <w:right w:w="28" w:type="dxa"/>
            </w:tcMar>
            <w:vAlign w:val="bottom"/>
          </w:tcPr>
          <w:p w:rsidR="00047930" w:rsidRPr="00222917" w:rsidRDefault="00047930" w:rsidP="005A53EA">
            <w:pPr>
              <w:suppressAutoHyphens w:val="0"/>
              <w:snapToGrid w:val="0"/>
              <w:spacing w:before="80" w:after="80" w:line="180" w:lineRule="exact"/>
              <w:jc w:val="right"/>
              <w:rPr>
                <w:i/>
                <w:sz w:val="14"/>
                <w:szCs w:val="14"/>
                <w:lang w:val="en-US"/>
              </w:rPr>
            </w:pPr>
            <w:r w:rsidRPr="00222917">
              <w:rPr>
                <w:bCs/>
                <w:i/>
                <w:sz w:val="14"/>
                <w:szCs w:val="14"/>
                <w:lang w:val="en-US"/>
              </w:rPr>
              <w:t>Persons</w:t>
            </w:r>
          </w:p>
        </w:tc>
      </w:tr>
      <w:tr w:rsidR="00047930" w:rsidRPr="00222917" w:rsidTr="007F7F95">
        <w:trPr>
          <w:trHeight w:val="240"/>
        </w:trPr>
        <w:tc>
          <w:tcPr>
            <w:tcW w:w="627" w:type="dxa"/>
            <w:tcBorders>
              <w:top w:val="single" w:sz="12" w:space="0" w:color="000000"/>
            </w:tcBorders>
            <w:shd w:val="clear" w:color="auto" w:fill="auto"/>
            <w:tcMar>
              <w:top w:w="28" w:type="dxa"/>
              <w:left w:w="28" w:type="dxa"/>
              <w:bottom w:w="28" w:type="dxa"/>
              <w:right w:w="28" w:type="dxa"/>
            </w:tcMar>
          </w:tcPr>
          <w:p w:rsidR="00047930" w:rsidRPr="00222917" w:rsidRDefault="00047930" w:rsidP="005A53EA">
            <w:pPr>
              <w:suppressAutoHyphens w:val="0"/>
              <w:snapToGrid w:val="0"/>
              <w:spacing w:before="40" w:after="40" w:line="200" w:lineRule="exact"/>
              <w:rPr>
                <w:sz w:val="16"/>
                <w:szCs w:val="16"/>
                <w:lang w:val="en-US"/>
              </w:rPr>
            </w:pPr>
            <w:r w:rsidRPr="00222917">
              <w:rPr>
                <w:sz w:val="16"/>
                <w:szCs w:val="16"/>
                <w:lang w:val="en-US"/>
              </w:rPr>
              <w:t>2007</w:t>
            </w:r>
          </w:p>
        </w:tc>
        <w:tc>
          <w:tcPr>
            <w:tcW w:w="627" w:type="dxa"/>
            <w:tcBorders>
              <w:top w:val="single" w:sz="12" w:space="0" w:color="000000"/>
            </w:tcBorders>
            <w:shd w:val="clear" w:color="auto" w:fill="auto"/>
            <w:tcMar>
              <w:top w:w="28" w:type="dxa"/>
              <w:left w:w="28" w:type="dxa"/>
              <w:bottom w:w="28" w:type="dxa"/>
              <w:right w:w="28" w:type="dxa"/>
            </w:tcMar>
            <w:vAlign w:val="bottom"/>
          </w:tcPr>
          <w:p w:rsidR="00047930" w:rsidRPr="00222917" w:rsidRDefault="00047930" w:rsidP="005A53EA">
            <w:pPr>
              <w:suppressAutoHyphens w:val="0"/>
              <w:snapToGrid w:val="0"/>
              <w:spacing w:before="40" w:after="40" w:line="200" w:lineRule="exact"/>
              <w:jc w:val="right"/>
              <w:rPr>
                <w:b/>
                <w:sz w:val="16"/>
                <w:szCs w:val="16"/>
                <w:lang w:val="en-US"/>
              </w:rPr>
            </w:pPr>
            <w:r w:rsidRPr="00222917">
              <w:rPr>
                <w:b/>
                <w:sz w:val="16"/>
                <w:szCs w:val="16"/>
                <w:lang w:val="en-US"/>
              </w:rPr>
              <w:t>282</w:t>
            </w:r>
          </w:p>
        </w:tc>
        <w:tc>
          <w:tcPr>
            <w:tcW w:w="627" w:type="dxa"/>
            <w:tcBorders>
              <w:top w:val="single" w:sz="12" w:space="0" w:color="000000"/>
            </w:tcBorders>
            <w:shd w:val="clear" w:color="auto" w:fill="auto"/>
            <w:tcMar>
              <w:top w:w="28" w:type="dxa"/>
              <w:left w:w="28" w:type="dxa"/>
              <w:bottom w:w="28" w:type="dxa"/>
              <w:right w:w="28" w:type="dxa"/>
            </w:tcMar>
            <w:vAlign w:val="bottom"/>
          </w:tcPr>
          <w:p w:rsidR="00047930" w:rsidRPr="00222917" w:rsidRDefault="00047930" w:rsidP="005A53EA">
            <w:pPr>
              <w:suppressAutoHyphens w:val="0"/>
              <w:snapToGrid w:val="0"/>
              <w:spacing w:before="40" w:after="40" w:line="200" w:lineRule="exact"/>
              <w:jc w:val="right"/>
              <w:rPr>
                <w:b/>
                <w:sz w:val="16"/>
                <w:szCs w:val="16"/>
                <w:lang w:val="en-US"/>
              </w:rPr>
            </w:pPr>
            <w:r w:rsidRPr="00222917">
              <w:rPr>
                <w:b/>
                <w:sz w:val="16"/>
                <w:szCs w:val="16"/>
                <w:lang w:val="en-US"/>
              </w:rPr>
              <w:t>18,426</w:t>
            </w:r>
          </w:p>
        </w:tc>
        <w:tc>
          <w:tcPr>
            <w:tcW w:w="627" w:type="dxa"/>
            <w:tcBorders>
              <w:top w:val="single" w:sz="12" w:space="0" w:color="000000"/>
            </w:tcBorders>
            <w:shd w:val="clear" w:color="auto" w:fill="auto"/>
            <w:tcMar>
              <w:top w:w="28" w:type="dxa"/>
              <w:left w:w="28" w:type="dxa"/>
              <w:bottom w:w="28" w:type="dxa"/>
              <w:right w:w="28" w:type="dxa"/>
            </w:tcMar>
            <w:vAlign w:val="bottom"/>
          </w:tcPr>
          <w:p w:rsidR="00047930" w:rsidRPr="00222917" w:rsidRDefault="00047930" w:rsidP="005A53EA">
            <w:pPr>
              <w:suppressAutoHyphens w:val="0"/>
              <w:snapToGrid w:val="0"/>
              <w:spacing w:before="40" w:after="40" w:line="200" w:lineRule="exact"/>
              <w:jc w:val="right"/>
              <w:rPr>
                <w:sz w:val="16"/>
                <w:szCs w:val="16"/>
                <w:lang w:val="en-US"/>
              </w:rPr>
            </w:pPr>
            <w:r w:rsidRPr="00222917">
              <w:rPr>
                <w:sz w:val="16"/>
                <w:szCs w:val="16"/>
                <w:lang w:val="en-US"/>
              </w:rPr>
              <w:t>243</w:t>
            </w:r>
          </w:p>
        </w:tc>
        <w:tc>
          <w:tcPr>
            <w:tcW w:w="627" w:type="dxa"/>
            <w:tcBorders>
              <w:top w:val="single" w:sz="12" w:space="0" w:color="000000"/>
            </w:tcBorders>
            <w:shd w:val="clear" w:color="auto" w:fill="auto"/>
            <w:tcMar>
              <w:top w:w="28" w:type="dxa"/>
              <w:left w:w="28" w:type="dxa"/>
              <w:bottom w:w="28" w:type="dxa"/>
              <w:right w:w="28" w:type="dxa"/>
            </w:tcMar>
            <w:vAlign w:val="bottom"/>
          </w:tcPr>
          <w:p w:rsidR="00047930" w:rsidRPr="00222917" w:rsidRDefault="00047930" w:rsidP="005A53EA">
            <w:pPr>
              <w:suppressAutoHyphens w:val="0"/>
              <w:snapToGrid w:val="0"/>
              <w:spacing w:before="40" w:after="40" w:line="200" w:lineRule="exact"/>
              <w:jc w:val="right"/>
              <w:rPr>
                <w:sz w:val="16"/>
                <w:szCs w:val="16"/>
                <w:lang w:val="en-US"/>
              </w:rPr>
            </w:pPr>
            <w:r w:rsidRPr="00222917">
              <w:rPr>
                <w:sz w:val="16"/>
                <w:szCs w:val="16"/>
                <w:lang w:val="en-US"/>
              </w:rPr>
              <w:t>17,161</w:t>
            </w:r>
          </w:p>
        </w:tc>
        <w:tc>
          <w:tcPr>
            <w:tcW w:w="628" w:type="dxa"/>
            <w:tcBorders>
              <w:top w:val="single" w:sz="12" w:space="0" w:color="000000"/>
            </w:tcBorders>
            <w:shd w:val="clear" w:color="auto" w:fill="auto"/>
            <w:tcMar>
              <w:top w:w="28" w:type="dxa"/>
              <w:left w:w="28" w:type="dxa"/>
              <w:bottom w:w="28" w:type="dxa"/>
              <w:right w:w="28" w:type="dxa"/>
            </w:tcMar>
            <w:vAlign w:val="bottom"/>
          </w:tcPr>
          <w:p w:rsidR="00047930" w:rsidRPr="00222917" w:rsidRDefault="00047930" w:rsidP="005A53EA">
            <w:pPr>
              <w:suppressAutoHyphens w:val="0"/>
              <w:snapToGrid w:val="0"/>
              <w:spacing w:before="40" w:after="40" w:line="200" w:lineRule="exact"/>
              <w:jc w:val="right"/>
              <w:rPr>
                <w:sz w:val="16"/>
                <w:szCs w:val="16"/>
                <w:lang w:val="en-US"/>
              </w:rPr>
            </w:pPr>
            <w:r w:rsidRPr="00222917">
              <w:rPr>
                <w:sz w:val="16"/>
                <w:szCs w:val="16"/>
                <w:lang w:val="en-US"/>
              </w:rPr>
              <w:t>3</w:t>
            </w:r>
          </w:p>
        </w:tc>
        <w:tc>
          <w:tcPr>
            <w:tcW w:w="628" w:type="dxa"/>
            <w:tcBorders>
              <w:top w:val="single" w:sz="12" w:space="0" w:color="000000"/>
            </w:tcBorders>
            <w:shd w:val="clear" w:color="auto" w:fill="auto"/>
            <w:tcMar>
              <w:top w:w="28" w:type="dxa"/>
              <w:left w:w="28" w:type="dxa"/>
              <w:bottom w:w="28" w:type="dxa"/>
              <w:right w:w="28" w:type="dxa"/>
            </w:tcMar>
            <w:vAlign w:val="bottom"/>
          </w:tcPr>
          <w:p w:rsidR="00047930" w:rsidRPr="00222917" w:rsidRDefault="00047930" w:rsidP="005A53EA">
            <w:pPr>
              <w:suppressAutoHyphens w:val="0"/>
              <w:snapToGrid w:val="0"/>
              <w:spacing w:before="40" w:after="40" w:line="200" w:lineRule="exact"/>
              <w:jc w:val="right"/>
              <w:rPr>
                <w:sz w:val="16"/>
                <w:szCs w:val="16"/>
                <w:lang w:val="en-US"/>
              </w:rPr>
            </w:pPr>
            <w:r w:rsidRPr="00222917">
              <w:rPr>
                <w:sz w:val="16"/>
                <w:szCs w:val="16"/>
                <w:lang w:val="en-US"/>
              </w:rPr>
              <w:t>72</w:t>
            </w:r>
          </w:p>
        </w:tc>
        <w:tc>
          <w:tcPr>
            <w:tcW w:w="684" w:type="dxa"/>
            <w:tcBorders>
              <w:top w:val="single" w:sz="12" w:space="0" w:color="000000"/>
            </w:tcBorders>
            <w:shd w:val="clear" w:color="auto" w:fill="auto"/>
            <w:tcMar>
              <w:top w:w="28" w:type="dxa"/>
              <w:left w:w="28" w:type="dxa"/>
              <w:bottom w:w="28" w:type="dxa"/>
              <w:right w:w="28" w:type="dxa"/>
            </w:tcMar>
            <w:vAlign w:val="bottom"/>
          </w:tcPr>
          <w:p w:rsidR="00047930" w:rsidRPr="00222917" w:rsidRDefault="00047930" w:rsidP="005A53EA">
            <w:pPr>
              <w:suppressAutoHyphens w:val="0"/>
              <w:snapToGrid w:val="0"/>
              <w:spacing w:before="40" w:after="40" w:line="200" w:lineRule="exact"/>
              <w:jc w:val="right"/>
              <w:rPr>
                <w:sz w:val="16"/>
                <w:szCs w:val="16"/>
                <w:lang w:val="en-US"/>
              </w:rPr>
            </w:pPr>
            <w:r w:rsidRPr="00222917">
              <w:rPr>
                <w:sz w:val="16"/>
                <w:szCs w:val="16"/>
                <w:lang w:val="en-US"/>
              </w:rPr>
              <w:t>8</w:t>
            </w:r>
          </w:p>
        </w:tc>
        <w:tc>
          <w:tcPr>
            <w:tcW w:w="684" w:type="dxa"/>
            <w:tcBorders>
              <w:top w:val="single" w:sz="12" w:space="0" w:color="000000"/>
            </w:tcBorders>
            <w:shd w:val="clear" w:color="auto" w:fill="auto"/>
            <w:tcMar>
              <w:top w:w="28" w:type="dxa"/>
              <w:left w:w="28" w:type="dxa"/>
              <w:bottom w:w="28" w:type="dxa"/>
              <w:right w:w="28" w:type="dxa"/>
            </w:tcMar>
            <w:vAlign w:val="bottom"/>
          </w:tcPr>
          <w:p w:rsidR="00047930" w:rsidRPr="00222917" w:rsidRDefault="00047930" w:rsidP="005A53EA">
            <w:pPr>
              <w:suppressAutoHyphens w:val="0"/>
              <w:snapToGrid w:val="0"/>
              <w:spacing w:before="40" w:after="40" w:line="200" w:lineRule="exact"/>
              <w:jc w:val="right"/>
              <w:rPr>
                <w:sz w:val="16"/>
                <w:szCs w:val="16"/>
                <w:lang w:val="en-US"/>
              </w:rPr>
            </w:pPr>
            <w:r w:rsidRPr="00222917">
              <w:rPr>
                <w:sz w:val="16"/>
                <w:szCs w:val="16"/>
                <w:lang w:val="en-US"/>
              </w:rPr>
              <w:t>404</w:t>
            </w:r>
          </w:p>
        </w:tc>
        <w:tc>
          <w:tcPr>
            <w:tcW w:w="684" w:type="dxa"/>
            <w:tcBorders>
              <w:top w:val="single" w:sz="12" w:space="0" w:color="000000"/>
            </w:tcBorders>
            <w:shd w:val="clear" w:color="auto" w:fill="auto"/>
            <w:tcMar>
              <w:top w:w="28" w:type="dxa"/>
              <w:left w:w="28" w:type="dxa"/>
              <w:bottom w:w="28" w:type="dxa"/>
              <w:right w:w="28" w:type="dxa"/>
            </w:tcMar>
            <w:vAlign w:val="bottom"/>
          </w:tcPr>
          <w:p w:rsidR="00047930" w:rsidRPr="00222917" w:rsidRDefault="00047930" w:rsidP="005A53EA">
            <w:pPr>
              <w:suppressAutoHyphens w:val="0"/>
              <w:snapToGrid w:val="0"/>
              <w:spacing w:before="40" w:after="40" w:line="200" w:lineRule="exact"/>
              <w:jc w:val="right"/>
              <w:rPr>
                <w:sz w:val="16"/>
                <w:szCs w:val="16"/>
                <w:lang w:val="en-US"/>
              </w:rPr>
            </w:pPr>
            <w:r w:rsidRPr="00222917">
              <w:rPr>
                <w:sz w:val="16"/>
                <w:szCs w:val="16"/>
                <w:lang w:val="en-US"/>
              </w:rPr>
              <w:t>13</w:t>
            </w:r>
          </w:p>
        </w:tc>
        <w:tc>
          <w:tcPr>
            <w:tcW w:w="684" w:type="dxa"/>
            <w:tcBorders>
              <w:top w:val="single" w:sz="12" w:space="0" w:color="000000"/>
            </w:tcBorders>
            <w:shd w:val="clear" w:color="auto" w:fill="auto"/>
            <w:tcMar>
              <w:top w:w="28" w:type="dxa"/>
              <w:left w:w="28" w:type="dxa"/>
              <w:bottom w:w="28" w:type="dxa"/>
              <w:right w:w="28" w:type="dxa"/>
            </w:tcMar>
            <w:vAlign w:val="bottom"/>
          </w:tcPr>
          <w:p w:rsidR="00047930" w:rsidRPr="00222917" w:rsidRDefault="00047930" w:rsidP="005A53EA">
            <w:pPr>
              <w:suppressAutoHyphens w:val="0"/>
              <w:snapToGrid w:val="0"/>
              <w:spacing w:before="40" w:after="40" w:line="200" w:lineRule="exact"/>
              <w:jc w:val="right"/>
              <w:rPr>
                <w:sz w:val="16"/>
                <w:szCs w:val="16"/>
                <w:lang w:val="en-US"/>
              </w:rPr>
            </w:pPr>
            <w:r w:rsidRPr="00222917">
              <w:rPr>
                <w:sz w:val="16"/>
                <w:szCs w:val="16"/>
                <w:lang w:val="en-US"/>
              </w:rPr>
              <w:t>269</w:t>
            </w:r>
          </w:p>
        </w:tc>
        <w:tc>
          <w:tcPr>
            <w:tcW w:w="628" w:type="dxa"/>
            <w:tcBorders>
              <w:top w:val="single" w:sz="12" w:space="0" w:color="000000"/>
            </w:tcBorders>
            <w:shd w:val="clear" w:color="auto" w:fill="auto"/>
            <w:tcMar>
              <w:top w:w="28" w:type="dxa"/>
              <w:left w:w="28" w:type="dxa"/>
              <w:bottom w:w="28" w:type="dxa"/>
              <w:right w:w="28" w:type="dxa"/>
            </w:tcMar>
            <w:vAlign w:val="bottom"/>
          </w:tcPr>
          <w:p w:rsidR="00047930" w:rsidRPr="00222917" w:rsidRDefault="00047930" w:rsidP="005A53EA">
            <w:pPr>
              <w:suppressAutoHyphens w:val="0"/>
              <w:snapToGrid w:val="0"/>
              <w:spacing w:before="40" w:after="40" w:line="200" w:lineRule="exact"/>
              <w:jc w:val="right"/>
              <w:rPr>
                <w:sz w:val="16"/>
                <w:szCs w:val="16"/>
                <w:lang w:val="en-US"/>
              </w:rPr>
            </w:pPr>
            <w:r w:rsidRPr="00222917">
              <w:rPr>
                <w:sz w:val="16"/>
                <w:szCs w:val="16"/>
                <w:lang w:val="en-US"/>
              </w:rPr>
              <w:t>13</w:t>
            </w:r>
          </w:p>
        </w:tc>
        <w:tc>
          <w:tcPr>
            <w:tcW w:w="628" w:type="dxa"/>
            <w:tcBorders>
              <w:top w:val="single" w:sz="12" w:space="0" w:color="000000"/>
            </w:tcBorders>
            <w:shd w:val="clear" w:color="auto" w:fill="auto"/>
            <w:tcMar>
              <w:top w:w="28" w:type="dxa"/>
              <w:left w:w="28" w:type="dxa"/>
              <w:bottom w:w="28" w:type="dxa"/>
              <w:right w:w="28" w:type="dxa"/>
            </w:tcMar>
            <w:vAlign w:val="bottom"/>
          </w:tcPr>
          <w:p w:rsidR="00047930" w:rsidRPr="00222917" w:rsidRDefault="00047930" w:rsidP="005A53EA">
            <w:pPr>
              <w:suppressAutoHyphens w:val="0"/>
              <w:snapToGrid w:val="0"/>
              <w:spacing w:before="40" w:after="40" w:line="200" w:lineRule="exact"/>
              <w:jc w:val="right"/>
              <w:rPr>
                <w:sz w:val="16"/>
                <w:szCs w:val="16"/>
                <w:lang w:val="en-US"/>
              </w:rPr>
            </w:pPr>
            <w:r w:rsidRPr="00222917">
              <w:rPr>
                <w:sz w:val="16"/>
                <w:szCs w:val="16"/>
                <w:lang w:val="en-US"/>
              </w:rPr>
              <w:t>365</w:t>
            </w:r>
          </w:p>
        </w:tc>
        <w:tc>
          <w:tcPr>
            <w:tcW w:w="628" w:type="dxa"/>
            <w:tcBorders>
              <w:top w:val="single" w:sz="12" w:space="0" w:color="000000"/>
            </w:tcBorders>
            <w:shd w:val="clear" w:color="auto" w:fill="auto"/>
            <w:tcMar>
              <w:top w:w="28" w:type="dxa"/>
              <w:left w:w="28" w:type="dxa"/>
              <w:bottom w:w="28" w:type="dxa"/>
              <w:right w:w="28" w:type="dxa"/>
            </w:tcMar>
            <w:vAlign w:val="bottom"/>
          </w:tcPr>
          <w:p w:rsidR="00047930" w:rsidRPr="00222917" w:rsidRDefault="00047930" w:rsidP="005A53EA">
            <w:pPr>
              <w:suppressAutoHyphens w:val="0"/>
              <w:snapToGrid w:val="0"/>
              <w:spacing w:before="40" w:after="40" w:line="200" w:lineRule="exact"/>
              <w:jc w:val="right"/>
              <w:rPr>
                <w:sz w:val="16"/>
                <w:szCs w:val="16"/>
                <w:lang w:val="en-US"/>
              </w:rPr>
            </w:pPr>
            <w:r w:rsidRPr="00222917">
              <w:rPr>
                <w:sz w:val="16"/>
                <w:szCs w:val="16"/>
                <w:lang w:val="en-US"/>
              </w:rPr>
              <w:t>2</w:t>
            </w:r>
          </w:p>
        </w:tc>
        <w:tc>
          <w:tcPr>
            <w:tcW w:w="628" w:type="dxa"/>
            <w:tcBorders>
              <w:top w:val="single" w:sz="12" w:space="0" w:color="000000"/>
            </w:tcBorders>
            <w:shd w:val="clear" w:color="auto" w:fill="auto"/>
            <w:tcMar>
              <w:top w:w="28" w:type="dxa"/>
              <w:left w:w="28" w:type="dxa"/>
              <w:bottom w:w="28" w:type="dxa"/>
              <w:right w:w="28" w:type="dxa"/>
            </w:tcMar>
            <w:vAlign w:val="bottom"/>
          </w:tcPr>
          <w:p w:rsidR="00047930" w:rsidRPr="00222917" w:rsidRDefault="00047930" w:rsidP="005A53EA">
            <w:pPr>
              <w:suppressAutoHyphens w:val="0"/>
              <w:snapToGrid w:val="0"/>
              <w:spacing w:before="40" w:after="40" w:line="200" w:lineRule="exact"/>
              <w:jc w:val="right"/>
              <w:rPr>
                <w:sz w:val="16"/>
                <w:szCs w:val="16"/>
                <w:lang w:val="en-US"/>
              </w:rPr>
            </w:pPr>
            <w:r w:rsidRPr="00222917">
              <w:rPr>
                <w:sz w:val="16"/>
                <w:szCs w:val="16"/>
                <w:lang w:val="en-US"/>
              </w:rPr>
              <w:t>155</w:t>
            </w:r>
          </w:p>
        </w:tc>
      </w:tr>
      <w:tr w:rsidR="00047930" w:rsidRPr="00222917" w:rsidTr="007F7F95">
        <w:trPr>
          <w:trHeight w:val="240"/>
        </w:trPr>
        <w:tc>
          <w:tcPr>
            <w:tcW w:w="627" w:type="dxa"/>
            <w:shd w:val="clear" w:color="auto" w:fill="auto"/>
            <w:tcMar>
              <w:top w:w="28" w:type="dxa"/>
              <w:left w:w="28" w:type="dxa"/>
              <w:bottom w:w="28" w:type="dxa"/>
              <w:right w:w="28" w:type="dxa"/>
            </w:tcMar>
          </w:tcPr>
          <w:p w:rsidR="00047930" w:rsidRPr="00222917" w:rsidRDefault="00047930" w:rsidP="005A53EA">
            <w:pPr>
              <w:suppressAutoHyphens w:val="0"/>
              <w:snapToGrid w:val="0"/>
              <w:spacing w:before="40" w:after="40" w:line="200" w:lineRule="exact"/>
              <w:rPr>
                <w:sz w:val="16"/>
                <w:szCs w:val="16"/>
                <w:lang w:val="en-US"/>
              </w:rPr>
            </w:pPr>
            <w:r w:rsidRPr="00222917">
              <w:rPr>
                <w:sz w:val="16"/>
                <w:szCs w:val="16"/>
                <w:lang w:val="en-US"/>
              </w:rPr>
              <w:t>2008</w:t>
            </w:r>
          </w:p>
        </w:tc>
        <w:tc>
          <w:tcPr>
            <w:tcW w:w="627" w:type="dxa"/>
            <w:shd w:val="clear" w:color="auto" w:fill="auto"/>
            <w:tcMar>
              <w:top w:w="28" w:type="dxa"/>
              <w:left w:w="28" w:type="dxa"/>
              <w:bottom w:w="28" w:type="dxa"/>
              <w:right w:w="28" w:type="dxa"/>
            </w:tcMar>
            <w:vAlign w:val="bottom"/>
          </w:tcPr>
          <w:p w:rsidR="00047930" w:rsidRPr="00222917" w:rsidRDefault="00047930" w:rsidP="005A53EA">
            <w:pPr>
              <w:suppressAutoHyphens w:val="0"/>
              <w:snapToGrid w:val="0"/>
              <w:spacing w:before="40" w:after="40" w:line="200" w:lineRule="exact"/>
              <w:jc w:val="right"/>
              <w:rPr>
                <w:b/>
                <w:sz w:val="16"/>
                <w:szCs w:val="16"/>
                <w:lang w:val="en-US"/>
              </w:rPr>
            </w:pPr>
            <w:r w:rsidRPr="00222917">
              <w:rPr>
                <w:b/>
                <w:sz w:val="16"/>
                <w:szCs w:val="16"/>
                <w:lang w:val="en-US"/>
              </w:rPr>
              <w:t>285</w:t>
            </w:r>
          </w:p>
        </w:tc>
        <w:tc>
          <w:tcPr>
            <w:tcW w:w="627" w:type="dxa"/>
            <w:shd w:val="clear" w:color="auto" w:fill="auto"/>
            <w:tcMar>
              <w:top w:w="28" w:type="dxa"/>
              <w:left w:w="28" w:type="dxa"/>
              <w:bottom w:w="28" w:type="dxa"/>
              <w:right w:w="28" w:type="dxa"/>
            </w:tcMar>
            <w:vAlign w:val="bottom"/>
          </w:tcPr>
          <w:p w:rsidR="00047930" w:rsidRPr="00222917" w:rsidRDefault="00047930" w:rsidP="005A53EA">
            <w:pPr>
              <w:suppressAutoHyphens w:val="0"/>
              <w:snapToGrid w:val="0"/>
              <w:spacing w:before="40" w:after="40" w:line="200" w:lineRule="exact"/>
              <w:jc w:val="right"/>
              <w:rPr>
                <w:b/>
                <w:sz w:val="16"/>
                <w:szCs w:val="16"/>
                <w:lang w:val="en-US"/>
              </w:rPr>
            </w:pPr>
            <w:r w:rsidRPr="00222917">
              <w:rPr>
                <w:b/>
                <w:sz w:val="16"/>
                <w:szCs w:val="16"/>
                <w:lang w:val="en-US"/>
              </w:rPr>
              <w:t>17,992</w:t>
            </w:r>
          </w:p>
        </w:tc>
        <w:tc>
          <w:tcPr>
            <w:tcW w:w="627" w:type="dxa"/>
            <w:shd w:val="clear" w:color="auto" w:fill="auto"/>
            <w:tcMar>
              <w:top w:w="28" w:type="dxa"/>
              <w:left w:w="28" w:type="dxa"/>
              <w:bottom w:w="28" w:type="dxa"/>
              <w:right w:w="28" w:type="dxa"/>
            </w:tcMar>
            <w:vAlign w:val="bottom"/>
          </w:tcPr>
          <w:p w:rsidR="00047930" w:rsidRPr="00222917" w:rsidRDefault="00047930" w:rsidP="005A53EA">
            <w:pPr>
              <w:suppressAutoHyphens w:val="0"/>
              <w:snapToGrid w:val="0"/>
              <w:spacing w:before="40" w:after="40" w:line="200" w:lineRule="exact"/>
              <w:jc w:val="right"/>
              <w:rPr>
                <w:sz w:val="16"/>
                <w:szCs w:val="16"/>
                <w:lang w:val="en-US"/>
              </w:rPr>
            </w:pPr>
            <w:r w:rsidRPr="00222917">
              <w:rPr>
                <w:sz w:val="16"/>
                <w:szCs w:val="16"/>
                <w:lang w:val="en-US"/>
              </w:rPr>
              <w:t>242</w:t>
            </w:r>
          </w:p>
        </w:tc>
        <w:tc>
          <w:tcPr>
            <w:tcW w:w="627" w:type="dxa"/>
            <w:shd w:val="clear" w:color="auto" w:fill="auto"/>
            <w:tcMar>
              <w:top w:w="28" w:type="dxa"/>
              <w:left w:w="28" w:type="dxa"/>
              <w:bottom w:w="28" w:type="dxa"/>
              <w:right w:w="28" w:type="dxa"/>
            </w:tcMar>
            <w:vAlign w:val="bottom"/>
          </w:tcPr>
          <w:p w:rsidR="00047930" w:rsidRPr="00222917" w:rsidRDefault="00047930" w:rsidP="005A53EA">
            <w:pPr>
              <w:suppressAutoHyphens w:val="0"/>
              <w:snapToGrid w:val="0"/>
              <w:spacing w:before="40" w:after="40" w:line="200" w:lineRule="exact"/>
              <w:jc w:val="right"/>
              <w:rPr>
                <w:sz w:val="16"/>
                <w:szCs w:val="16"/>
                <w:lang w:val="en-US"/>
              </w:rPr>
            </w:pPr>
            <w:r w:rsidRPr="00222917">
              <w:rPr>
                <w:sz w:val="16"/>
                <w:szCs w:val="16"/>
                <w:lang w:val="en-US"/>
              </w:rPr>
              <w:t>16,706</w:t>
            </w:r>
          </w:p>
        </w:tc>
        <w:tc>
          <w:tcPr>
            <w:tcW w:w="628" w:type="dxa"/>
            <w:shd w:val="clear" w:color="auto" w:fill="auto"/>
            <w:tcMar>
              <w:top w:w="28" w:type="dxa"/>
              <w:left w:w="28" w:type="dxa"/>
              <w:bottom w:w="28" w:type="dxa"/>
              <w:right w:w="28" w:type="dxa"/>
            </w:tcMar>
            <w:vAlign w:val="bottom"/>
          </w:tcPr>
          <w:p w:rsidR="00047930" w:rsidRPr="00222917" w:rsidRDefault="00047930" w:rsidP="005A53EA">
            <w:pPr>
              <w:suppressAutoHyphens w:val="0"/>
              <w:snapToGrid w:val="0"/>
              <w:spacing w:before="40" w:after="40" w:line="200" w:lineRule="exact"/>
              <w:jc w:val="right"/>
              <w:rPr>
                <w:sz w:val="16"/>
                <w:szCs w:val="16"/>
                <w:lang w:val="en-US"/>
              </w:rPr>
            </w:pPr>
            <w:r w:rsidRPr="00222917">
              <w:rPr>
                <w:sz w:val="16"/>
                <w:szCs w:val="16"/>
                <w:lang w:val="en-US"/>
              </w:rPr>
              <w:t>2</w:t>
            </w:r>
          </w:p>
        </w:tc>
        <w:tc>
          <w:tcPr>
            <w:tcW w:w="628" w:type="dxa"/>
            <w:shd w:val="clear" w:color="auto" w:fill="auto"/>
            <w:tcMar>
              <w:top w:w="28" w:type="dxa"/>
              <w:left w:w="28" w:type="dxa"/>
              <w:bottom w:w="28" w:type="dxa"/>
              <w:right w:w="28" w:type="dxa"/>
            </w:tcMar>
            <w:vAlign w:val="bottom"/>
          </w:tcPr>
          <w:p w:rsidR="00047930" w:rsidRPr="00222917" w:rsidRDefault="00047930" w:rsidP="005A53EA">
            <w:pPr>
              <w:suppressAutoHyphens w:val="0"/>
              <w:snapToGrid w:val="0"/>
              <w:spacing w:before="40" w:after="40" w:line="200" w:lineRule="exact"/>
              <w:jc w:val="right"/>
              <w:rPr>
                <w:sz w:val="16"/>
                <w:szCs w:val="16"/>
                <w:lang w:val="en-US"/>
              </w:rPr>
            </w:pPr>
            <w:r w:rsidRPr="00222917">
              <w:rPr>
                <w:sz w:val="16"/>
                <w:szCs w:val="16"/>
                <w:lang w:val="en-US"/>
              </w:rPr>
              <w:t>69</w:t>
            </w:r>
          </w:p>
        </w:tc>
        <w:tc>
          <w:tcPr>
            <w:tcW w:w="684" w:type="dxa"/>
            <w:shd w:val="clear" w:color="auto" w:fill="auto"/>
            <w:tcMar>
              <w:top w:w="28" w:type="dxa"/>
              <w:left w:w="28" w:type="dxa"/>
              <w:bottom w:w="28" w:type="dxa"/>
              <w:right w:w="28" w:type="dxa"/>
            </w:tcMar>
            <w:vAlign w:val="bottom"/>
          </w:tcPr>
          <w:p w:rsidR="00047930" w:rsidRPr="00222917" w:rsidRDefault="00047930" w:rsidP="005A53EA">
            <w:pPr>
              <w:suppressAutoHyphens w:val="0"/>
              <w:snapToGrid w:val="0"/>
              <w:spacing w:before="40" w:after="40" w:line="200" w:lineRule="exact"/>
              <w:jc w:val="right"/>
              <w:rPr>
                <w:sz w:val="16"/>
                <w:szCs w:val="16"/>
                <w:lang w:val="en-US"/>
              </w:rPr>
            </w:pPr>
            <w:r w:rsidRPr="00222917">
              <w:rPr>
                <w:sz w:val="16"/>
                <w:szCs w:val="16"/>
                <w:lang w:val="en-US"/>
              </w:rPr>
              <w:t>10</w:t>
            </w:r>
          </w:p>
        </w:tc>
        <w:tc>
          <w:tcPr>
            <w:tcW w:w="684" w:type="dxa"/>
            <w:shd w:val="clear" w:color="auto" w:fill="auto"/>
            <w:tcMar>
              <w:top w:w="28" w:type="dxa"/>
              <w:left w:w="28" w:type="dxa"/>
              <w:bottom w:w="28" w:type="dxa"/>
              <w:right w:w="28" w:type="dxa"/>
            </w:tcMar>
            <w:vAlign w:val="bottom"/>
          </w:tcPr>
          <w:p w:rsidR="00047930" w:rsidRPr="00222917" w:rsidRDefault="00047930" w:rsidP="005A53EA">
            <w:pPr>
              <w:suppressAutoHyphens w:val="0"/>
              <w:snapToGrid w:val="0"/>
              <w:spacing w:before="40" w:after="40" w:line="200" w:lineRule="exact"/>
              <w:jc w:val="right"/>
              <w:rPr>
                <w:sz w:val="16"/>
                <w:szCs w:val="16"/>
                <w:lang w:val="en-US"/>
              </w:rPr>
            </w:pPr>
            <w:r w:rsidRPr="00222917">
              <w:rPr>
                <w:sz w:val="16"/>
                <w:szCs w:val="16"/>
                <w:lang w:val="en-US"/>
              </w:rPr>
              <w:t>447</w:t>
            </w:r>
          </w:p>
        </w:tc>
        <w:tc>
          <w:tcPr>
            <w:tcW w:w="684" w:type="dxa"/>
            <w:shd w:val="clear" w:color="auto" w:fill="auto"/>
            <w:tcMar>
              <w:top w:w="28" w:type="dxa"/>
              <w:left w:w="28" w:type="dxa"/>
              <w:bottom w:w="28" w:type="dxa"/>
              <w:right w:w="28" w:type="dxa"/>
            </w:tcMar>
            <w:vAlign w:val="bottom"/>
          </w:tcPr>
          <w:p w:rsidR="00047930" w:rsidRPr="00222917" w:rsidRDefault="00047930" w:rsidP="005A53EA">
            <w:pPr>
              <w:suppressAutoHyphens w:val="0"/>
              <w:snapToGrid w:val="0"/>
              <w:spacing w:before="40" w:after="40" w:line="200" w:lineRule="exact"/>
              <w:jc w:val="right"/>
              <w:rPr>
                <w:sz w:val="16"/>
                <w:szCs w:val="16"/>
                <w:lang w:val="en-US"/>
              </w:rPr>
            </w:pPr>
            <w:r w:rsidRPr="00222917">
              <w:rPr>
                <w:sz w:val="16"/>
                <w:szCs w:val="16"/>
                <w:lang w:val="en-US"/>
              </w:rPr>
              <w:t>12</w:t>
            </w:r>
          </w:p>
        </w:tc>
        <w:tc>
          <w:tcPr>
            <w:tcW w:w="684" w:type="dxa"/>
            <w:shd w:val="clear" w:color="auto" w:fill="auto"/>
            <w:tcMar>
              <w:top w:w="28" w:type="dxa"/>
              <w:left w:w="28" w:type="dxa"/>
              <w:bottom w:w="28" w:type="dxa"/>
              <w:right w:w="28" w:type="dxa"/>
            </w:tcMar>
            <w:vAlign w:val="bottom"/>
          </w:tcPr>
          <w:p w:rsidR="00047930" w:rsidRPr="00222917" w:rsidRDefault="00047930" w:rsidP="005A53EA">
            <w:pPr>
              <w:suppressAutoHyphens w:val="0"/>
              <w:snapToGrid w:val="0"/>
              <w:spacing w:before="40" w:after="40" w:line="200" w:lineRule="exact"/>
              <w:jc w:val="right"/>
              <w:rPr>
                <w:sz w:val="16"/>
                <w:szCs w:val="16"/>
                <w:lang w:val="en-US"/>
              </w:rPr>
            </w:pPr>
            <w:r w:rsidRPr="00222917">
              <w:rPr>
                <w:sz w:val="16"/>
                <w:szCs w:val="16"/>
                <w:lang w:val="en-US"/>
              </w:rPr>
              <w:t>257</w:t>
            </w:r>
          </w:p>
        </w:tc>
        <w:tc>
          <w:tcPr>
            <w:tcW w:w="628" w:type="dxa"/>
            <w:shd w:val="clear" w:color="auto" w:fill="auto"/>
            <w:tcMar>
              <w:top w:w="28" w:type="dxa"/>
              <w:left w:w="28" w:type="dxa"/>
              <w:bottom w:w="28" w:type="dxa"/>
              <w:right w:w="28" w:type="dxa"/>
            </w:tcMar>
            <w:vAlign w:val="bottom"/>
          </w:tcPr>
          <w:p w:rsidR="00047930" w:rsidRPr="00222917" w:rsidRDefault="00047930" w:rsidP="005A53EA">
            <w:pPr>
              <w:suppressAutoHyphens w:val="0"/>
              <w:snapToGrid w:val="0"/>
              <w:spacing w:before="40" w:after="40" w:line="200" w:lineRule="exact"/>
              <w:jc w:val="right"/>
              <w:rPr>
                <w:sz w:val="16"/>
                <w:szCs w:val="16"/>
                <w:lang w:val="en-US"/>
              </w:rPr>
            </w:pPr>
            <w:r w:rsidRPr="00222917">
              <w:rPr>
                <w:sz w:val="16"/>
                <w:szCs w:val="16"/>
                <w:lang w:val="en-US"/>
              </w:rPr>
              <w:t>14</w:t>
            </w:r>
          </w:p>
        </w:tc>
        <w:tc>
          <w:tcPr>
            <w:tcW w:w="628" w:type="dxa"/>
            <w:shd w:val="clear" w:color="auto" w:fill="auto"/>
            <w:tcMar>
              <w:top w:w="28" w:type="dxa"/>
              <w:left w:w="28" w:type="dxa"/>
              <w:bottom w:w="28" w:type="dxa"/>
              <w:right w:w="28" w:type="dxa"/>
            </w:tcMar>
            <w:vAlign w:val="bottom"/>
          </w:tcPr>
          <w:p w:rsidR="00047930" w:rsidRPr="00222917" w:rsidRDefault="00047930" w:rsidP="005A53EA">
            <w:pPr>
              <w:suppressAutoHyphens w:val="0"/>
              <w:snapToGrid w:val="0"/>
              <w:spacing w:before="40" w:after="40" w:line="200" w:lineRule="exact"/>
              <w:jc w:val="right"/>
              <w:rPr>
                <w:sz w:val="16"/>
                <w:szCs w:val="16"/>
                <w:lang w:val="en-US"/>
              </w:rPr>
            </w:pPr>
            <w:r w:rsidRPr="00222917">
              <w:rPr>
                <w:sz w:val="16"/>
                <w:szCs w:val="16"/>
                <w:lang w:val="en-US"/>
              </w:rPr>
              <w:t>341</w:t>
            </w:r>
          </w:p>
        </w:tc>
        <w:tc>
          <w:tcPr>
            <w:tcW w:w="628" w:type="dxa"/>
            <w:shd w:val="clear" w:color="auto" w:fill="auto"/>
            <w:tcMar>
              <w:top w:w="28" w:type="dxa"/>
              <w:left w:w="28" w:type="dxa"/>
              <w:bottom w:w="28" w:type="dxa"/>
              <w:right w:w="28" w:type="dxa"/>
            </w:tcMar>
            <w:vAlign w:val="bottom"/>
          </w:tcPr>
          <w:p w:rsidR="00047930" w:rsidRPr="00222917" w:rsidRDefault="00047930" w:rsidP="005A53EA">
            <w:pPr>
              <w:suppressAutoHyphens w:val="0"/>
              <w:snapToGrid w:val="0"/>
              <w:spacing w:before="40" w:after="40" w:line="200" w:lineRule="exact"/>
              <w:jc w:val="right"/>
              <w:rPr>
                <w:sz w:val="16"/>
                <w:szCs w:val="16"/>
                <w:lang w:val="en-US"/>
              </w:rPr>
            </w:pPr>
            <w:r w:rsidRPr="00222917">
              <w:rPr>
                <w:sz w:val="16"/>
                <w:szCs w:val="16"/>
                <w:lang w:val="en-US"/>
              </w:rPr>
              <w:t>5</w:t>
            </w:r>
          </w:p>
        </w:tc>
        <w:tc>
          <w:tcPr>
            <w:tcW w:w="628" w:type="dxa"/>
            <w:shd w:val="clear" w:color="auto" w:fill="auto"/>
            <w:tcMar>
              <w:top w:w="28" w:type="dxa"/>
              <w:left w:w="28" w:type="dxa"/>
              <w:bottom w:w="28" w:type="dxa"/>
              <w:right w:w="28" w:type="dxa"/>
            </w:tcMar>
            <w:vAlign w:val="bottom"/>
          </w:tcPr>
          <w:p w:rsidR="00047930" w:rsidRPr="00222917" w:rsidRDefault="00047930" w:rsidP="005A53EA">
            <w:pPr>
              <w:suppressAutoHyphens w:val="0"/>
              <w:snapToGrid w:val="0"/>
              <w:spacing w:before="40" w:after="40" w:line="200" w:lineRule="exact"/>
              <w:jc w:val="right"/>
              <w:rPr>
                <w:sz w:val="16"/>
                <w:szCs w:val="16"/>
                <w:lang w:val="en-US"/>
              </w:rPr>
            </w:pPr>
            <w:r w:rsidRPr="00222917">
              <w:rPr>
                <w:sz w:val="16"/>
                <w:szCs w:val="16"/>
                <w:lang w:val="en-US"/>
              </w:rPr>
              <w:t>142</w:t>
            </w:r>
          </w:p>
        </w:tc>
      </w:tr>
      <w:tr w:rsidR="00047930" w:rsidRPr="00222917" w:rsidTr="007F7F95">
        <w:trPr>
          <w:trHeight w:val="240"/>
        </w:trPr>
        <w:tc>
          <w:tcPr>
            <w:tcW w:w="627" w:type="dxa"/>
            <w:shd w:val="clear" w:color="auto" w:fill="auto"/>
            <w:tcMar>
              <w:top w:w="28" w:type="dxa"/>
              <w:left w:w="28" w:type="dxa"/>
              <w:bottom w:w="28" w:type="dxa"/>
              <w:right w:w="28" w:type="dxa"/>
            </w:tcMar>
          </w:tcPr>
          <w:p w:rsidR="00047930" w:rsidRPr="00222917" w:rsidRDefault="00047930" w:rsidP="005A53EA">
            <w:pPr>
              <w:suppressAutoHyphens w:val="0"/>
              <w:snapToGrid w:val="0"/>
              <w:spacing w:before="40" w:after="40" w:line="200" w:lineRule="exact"/>
              <w:rPr>
                <w:sz w:val="16"/>
                <w:szCs w:val="16"/>
                <w:lang w:val="en-US"/>
              </w:rPr>
            </w:pPr>
            <w:r w:rsidRPr="00222917">
              <w:rPr>
                <w:sz w:val="16"/>
                <w:szCs w:val="16"/>
                <w:lang w:val="en-US"/>
              </w:rPr>
              <w:t>2009</w:t>
            </w:r>
          </w:p>
        </w:tc>
        <w:tc>
          <w:tcPr>
            <w:tcW w:w="627" w:type="dxa"/>
            <w:shd w:val="clear" w:color="auto" w:fill="auto"/>
            <w:tcMar>
              <w:top w:w="28" w:type="dxa"/>
              <w:left w:w="28" w:type="dxa"/>
              <w:bottom w:w="28" w:type="dxa"/>
              <w:right w:w="28" w:type="dxa"/>
            </w:tcMar>
            <w:vAlign w:val="bottom"/>
          </w:tcPr>
          <w:p w:rsidR="00047930" w:rsidRPr="00222917" w:rsidRDefault="00047930" w:rsidP="005A53EA">
            <w:pPr>
              <w:suppressAutoHyphens w:val="0"/>
              <w:snapToGrid w:val="0"/>
              <w:spacing w:before="40" w:after="40" w:line="200" w:lineRule="exact"/>
              <w:jc w:val="right"/>
              <w:rPr>
                <w:b/>
                <w:sz w:val="16"/>
                <w:szCs w:val="16"/>
                <w:lang w:val="en-US"/>
              </w:rPr>
            </w:pPr>
            <w:r w:rsidRPr="00222917">
              <w:rPr>
                <w:b/>
                <w:sz w:val="16"/>
                <w:szCs w:val="16"/>
                <w:lang w:val="en-US"/>
              </w:rPr>
              <w:t>280</w:t>
            </w:r>
          </w:p>
        </w:tc>
        <w:tc>
          <w:tcPr>
            <w:tcW w:w="627" w:type="dxa"/>
            <w:shd w:val="clear" w:color="auto" w:fill="auto"/>
            <w:tcMar>
              <w:top w:w="28" w:type="dxa"/>
              <w:left w:w="28" w:type="dxa"/>
              <w:bottom w:w="28" w:type="dxa"/>
              <w:right w:w="28" w:type="dxa"/>
            </w:tcMar>
            <w:vAlign w:val="bottom"/>
          </w:tcPr>
          <w:p w:rsidR="00047930" w:rsidRPr="00222917" w:rsidRDefault="00047930" w:rsidP="005A53EA">
            <w:pPr>
              <w:suppressAutoHyphens w:val="0"/>
              <w:snapToGrid w:val="0"/>
              <w:spacing w:before="40" w:after="40" w:line="200" w:lineRule="exact"/>
              <w:jc w:val="right"/>
              <w:rPr>
                <w:b/>
                <w:sz w:val="16"/>
                <w:szCs w:val="16"/>
                <w:lang w:val="en-US"/>
              </w:rPr>
            </w:pPr>
            <w:r w:rsidRPr="00222917">
              <w:rPr>
                <w:b/>
                <w:sz w:val="16"/>
                <w:szCs w:val="16"/>
                <w:lang w:val="en-US"/>
              </w:rPr>
              <w:t>17,586</w:t>
            </w:r>
          </w:p>
        </w:tc>
        <w:tc>
          <w:tcPr>
            <w:tcW w:w="627" w:type="dxa"/>
            <w:shd w:val="clear" w:color="auto" w:fill="auto"/>
            <w:tcMar>
              <w:top w:w="28" w:type="dxa"/>
              <w:left w:w="28" w:type="dxa"/>
              <w:bottom w:w="28" w:type="dxa"/>
              <w:right w:w="28" w:type="dxa"/>
            </w:tcMar>
            <w:vAlign w:val="bottom"/>
          </w:tcPr>
          <w:p w:rsidR="00047930" w:rsidRPr="00222917" w:rsidRDefault="00047930" w:rsidP="005A53EA">
            <w:pPr>
              <w:suppressAutoHyphens w:val="0"/>
              <w:snapToGrid w:val="0"/>
              <w:spacing w:before="40" w:after="40" w:line="200" w:lineRule="exact"/>
              <w:jc w:val="right"/>
              <w:rPr>
                <w:sz w:val="16"/>
                <w:szCs w:val="16"/>
                <w:lang w:val="en-US"/>
              </w:rPr>
            </w:pPr>
            <w:r w:rsidRPr="00222917">
              <w:rPr>
                <w:sz w:val="16"/>
                <w:szCs w:val="16"/>
                <w:lang w:val="en-US"/>
              </w:rPr>
              <w:t>239</w:t>
            </w:r>
          </w:p>
        </w:tc>
        <w:tc>
          <w:tcPr>
            <w:tcW w:w="627" w:type="dxa"/>
            <w:shd w:val="clear" w:color="auto" w:fill="auto"/>
            <w:tcMar>
              <w:top w:w="28" w:type="dxa"/>
              <w:left w:w="28" w:type="dxa"/>
              <w:bottom w:w="28" w:type="dxa"/>
              <w:right w:w="28" w:type="dxa"/>
            </w:tcMar>
            <w:vAlign w:val="bottom"/>
          </w:tcPr>
          <w:p w:rsidR="00047930" w:rsidRPr="00222917" w:rsidRDefault="00047930" w:rsidP="005A53EA">
            <w:pPr>
              <w:suppressAutoHyphens w:val="0"/>
              <w:snapToGrid w:val="0"/>
              <w:spacing w:before="40" w:after="40" w:line="200" w:lineRule="exact"/>
              <w:jc w:val="right"/>
              <w:rPr>
                <w:sz w:val="16"/>
                <w:szCs w:val="16"/>
                <w:lang w:val="en-US"/>
              </w:rPr>
            </w:pPr>
            <w:r w:rsidRPr="00222917">
              <w:rPr>
                <w:sz w:val="16"/>
                <w:szCs w:val="16"/>
                <w:lang w:val="en-US"/>
              </w:rPr>
              <w:t>16,239</w:t>
            </w:r>
          </w:p>
        </w:tc>
        <w:tc>
          <w:tcPr>
            <w:tcW w:w="628" w:type="dxa"/>
            <w:shd w:val="clear" w:color="auto" w:fill="auto"/>
            <w:tcMar>
              <w:top w:w="28" w:type="dxa"/>
              <w:left w:w="28" w:type="dxa"/>
              <w:bottom w:w="28" w:type="dxa"/>
              <w:right w:w="28" w:type="dxa"/>
            </w:tcMar>
            <w:vAlign w:val="bottom"/>
          </w:tcPr>
          <w:p w:rsidR="00047930" w:rsidRPr="00222917" w:rsidRDefault="00047930" w:rsidP="005A53EA">
            <w:pPr>
              <w:suppressAutoHyphens w:val="0"/>
              <w:snapToGrid w:val="0"/>
              <w:spacing w:before="40" w:after="40" w:line="200" w:lineRule="exact"/>
              <w:jc w:val="right"/>
              <w:rPr>
                <w:sz w:val="16"/>
                <w:szCs w:val="16"/>
                <w:lang w:val="en-US"/>
              </w:rPr>
            </w:pPr>
            <w:r w:rsidRPr="00222917">
              <w:rPr>
                <w:sz w:val="16"/>
                <w:szCs w:val="16"/>
                <w:lang w:val="en-US"/>
              </w:rPr>
              <w:t>2</w:t>
            </w:r>
          </w:p>
        </w:tc>
        <w:tc>
          <w:tcPr>
            <w:tcW w:w="628" w:type="dxa"/>
            <w:shd w:val="clear" w:color="auto" w:fill="auto"/>
            <w:tcMar>
              <w:top w:w="28" w:type="dxa"/>
              <w:left w:w="28" w:type="dxa"/>
              <w:bottom w:w="28" w:type="dxa"/>
              <w:right w:w="28" w:type="dxa"/>
            </w:tcMar>
            <w:vAlign w:val="bottom"/>
          </w:tcPr>
          <w:p w:rsidR="00047930" w:rsidRPr="00222917" w:rsidRDefault="00047930" w:rsidP="005A53EA">
            <w:pPr>
              <w:suppressAutoHyphens w:val="0"/>
              <w:snapToGrid w:val="0"/>
              <w:spacing w:before="40" w:after="40" w:line="200" w:lineRule="exact"/>
              <w:jc w:val="right"/>
              <w:rPr>
                <w:sz w:val="16"/>
                <w:szCs w:val="16"/>
                <w:lang w:val="en-US"/>
              </w:rPr>
            </w:pPr>
            <w:r w:rsidRPr="00222917">
              <w:rPr>
                <w:sz w:val="16"/>
                <w:szCs w:val="16"/>
                <w:lang w:val="en-US"/>
              </w:rPr>
              <w:t>65</w:t>
            </w:r>
          </w:p>
        </w:tc>
        <w:tc>
          <w:tcPr>
            <w:tcW w:w="684" w:type="dxa"/>
            <w:shd w:val="clear" w:color="auto" w:fill="auto"/>
            <w:tcMar>
              <w:top w:w="28" w:type="dxa"/>
              <w:left w:w="28" w:type="dxa"/>
              <w:bottom w:w="28" w:type="dxa"/>
              <w:right w:w="28" w:type="dxa"/>
            </w:tcMar>
            <w:vAlign w:val="bottom"/>
          </w:tcPr>
          <w:p w:rsidR="00047930" w:rsidRPr="00222917" w:rsidRDefault="00047930" w:rsidP="005A53EA">
            <w:pPr>
              <w:suppressAutoHyphens w:val="0"/>
              <w:snapToGrid w:val="0"/>
              <w:spacing w:before="40" w:after="40" w:line="200" w:lineRule="exact"/>
              <w:jc w:val="right"/>
              <w:rPr>
                <w:sz w:val="16"/>
                <w:szCs w:val="16"/>
                <w:lang w:val="en-US"/>
              </w:rPr>
            </w:pPr>
            <w:r w:rsidRPr="00222917">
              <w:rPr>
                <w:sz w:val="16"/>
                <w:szCs w:val="16"/>
                <w:lang w:val="en-US"/>
              </w:rPr>
              <w:t>11</w:t>
            </w:r>
          </w:p>
        </w:tc>
        <w:tc>
          <w:tcPr>
            <w:tcW w:w="684" w:type="dxa"/>
            <w:shd w:val="clear" w:color="auto" w:fill="auto"/>
            <w:tcMar>
              <w:top w:w="28" w:type="dxa"/>
              <w:left w:w="28" w:type="dxa"/>
              <w:bottom w:w="28" w:type="dxa"/>
              <w:right w:w="28" w:type="dxa"/>
            </w:tcMar>
            <w:vAlign w:val="bottom"/>
          </w:tcPr>
          <w:p w:rsidR="00047930" w:rsidRPr="00222917" w:rsidRDefault="00047930" w:rsidP="005A53EA">
            <w:pPr>
              <w:suppressAutoHyphens w:val="0"/>
              <w:snapToGrid w:val="0"/>
              <w:spacing w:before="40" w:after="40" w:line="200" w:lineRule="exact"/>
              <w:jc w:val="right"/>
              <w:rPr>
                <w:sz w:val="16"/>
                <w:szCs w:val="16"/>
                <w:lang w:val="en-US"/>
              </w:rPr>
            </w:pPr>
            <w:r w:rsidRPr="00222917">
              <w:rPr>
                <w:sz w:val="16"/>
                <w:szCs w:val="16"/>
                <w:lang w:val="en-US"/>
              </w:rPr>
              <w:t>514</w:t>
            </w:r>
          </w:p>
        </w:tc>
        <w:tc>
          <w:tcPr>
            <w:tcW w:w="684" w:type="dxa"/>
            <w:shd w:val="clear" w:color="auto" w:fill="auto"/>
            <w:tcMar>
              <w:top w:w="28" w:type="dxa"/>
              <w:left w:w="28" w:type="dxa"/>
              <w:bottom w:w="28" w:type="dxa"/>
              <w:right w:w="28" w:type="dxa"/>
            </w:tcMar>
            <w:vAlign w:val="bottom"/>
          </w:tcPr>
          <w:p w:rsidR="00047930" w:rsidRPr="00222917" w:rsidRDefault="00047930" w:rsidP="005A53EA">
            <w:pPr>
              <w:suppressAutoHyphens w:val="0"/>
              <w:snapToGrid w:val="0"/>
              <w:spacing w:before="40" w:after="40" w:line="200" w:lineRule="exact"/>
              <w:jc w:val="right"/>
              <w:rPr>
                <w:sz w:val="16"/>
                <w:szCs w:val="16"/>
                <w:lang w:val="en-US"/>
              </w:rPr>
            </w:pPr>
            <w:r w:rsidRPr="00222917">
              <w:rPr>
                <w:sz w:val="16"/>
                <w:szCs w:val="16"/>
                <w:lang w:val="en-US"/>
              </w:rPr>
              <w:t>12</w:t>
            </w:r>
          </w:p>
        </w:tc>
        <w:tc>
          <w:tcPr>
            <w:tcW w:w="684" w:type="dxa"/>
            <w:shd w:val="clear" w:color="auto" w:fill="auto"/>
            <w:tcMar>
              <w:top w:w="28" w:type="dxa"/>
              <w:left w:w="28" w:type="dxa"/>
              <w:bottom w:w="28" w:type="dxa"/>
              <w:right w:w="28" w:type="dxa"/>
            </w:tcMar>
            <w:vAlign w:val="bottom"/>
          </w:tcPr>
          <w:p w:rsidR="00047930" w:rsidRPr="00222917" w:rsidRDefault="00047930" w:rsidP="005A53EA">
            <w:pPr>
              <w:suppressAutoHyphens w:val="0"/>
              <w:snapToGrid w:val="0"/>
              <w:spacing w:before="40" w:after="40" w:line="200" w:lineRule="exact"/>
              <w:jc w:val="right"/>
              <w:rPr>
                <w:sz w:val="16"/>
                <w:szCs w:val="16"/>
                <w:lang w:val="en-US"/>
              </w:rPr>
            </w:pPr>
            <w:r w:rsidRPr="00222917">
              <w:rPr>
                <w:sz w:val="16"/>
                <w:szCs w:val="16"/>
                <w:lang w:val="en-US"/>
              </w:rPr>
              <w:t>262</w:t>
            </w:r>
          </w:p>
        </w:tc>
        <w:tc>
          <w:tcPr>
            <w:tcW w:w="628" w:type="dxa"/>
            <w:shd w:val="clear" w:color="auto" w:fill="auto"/>
            <w:tcMar>
              <w:top w:w="28" w:type="dxa"/>
              <w:left w:w="28" w:type="dxa"/>
              <w:bottom w:w="28" w:type="dxa"/>
              <w:right w:w="28" w:type="dxa"/>
            </w:tcMar>
            <w:vAlign w:val="bottom"/>
          </w:tcPr>
          <w:p w:rsidR="00047930" w:rsidRPr="00222917" w:rsidRDefault="00047930" w:rsidP="005A53EA">
            <w:pPr>
              <w:suppressAutoHyphens w:val="0"/>
              <w:snapToGrid w:val="0"/>
              <w:spacing w:before="40" w:after="40" w:line="200" w:lineRule="exact"/>
              <w:jc w:val="right"/>
              <w:rPr>
                <w:sz w:val="16"/>
                <w:szCs w:val="16"/>
                <w:lang w:val="en-US"/>
              </w:rPr>
            </w:pPr>
            <w:r w:rsidRPr="00222917">
              <w:rPr>
                <w:sz w:val="16"/>
                <w:szCs w:val="16"/>
                <w:lang w:val="en-US"/>
              </w:rPr>
              <w:t>13</w:t>
            </w:r>
          </w:p>
        </w:tc>
        <w:tc>
          <w:tcPr>
            <w:tcW w:w="628" w:type="dxa"/>
            <w:shd w:val="clear" w:color="auto" w:fill="auto"/>
            <w:tcMar>
              <w:top w:w="28" w:type="dxa"/>
              <w:left w:w="28" w:type="dxa"/>
              <w:bottom w:w="28" w:type="dxa"/>
              <w:right w:w="28" w:type="dxa"/>
            </w:tcMar>
            <w:vAlign w:val="bottom"/>
          </w:tcPr>
          <w:p w:rsidR="00047930" w:rsidRPr="00222917" w:rsidRDefault="00047930" w:rsidP="005A53EA">
            <w:pPr>
              <w:suppressAutoHyphens w:val="0"/>
              <w:snapToGrid w:val="0"/>
              <w:spacing w:before="40" w:after="40" w:line="200" w:lineRule="exact"/>
              <w:jc w:val="right"/>
              <w:rPr>
                <w:sz w:val="16"/>
                <w:szCs w:val="16"/>
                <w:lang w:val="en-US"/>
              </w:rPr>
            </w:pPr>
            <w:r w:rsidRPr="00222917">
              <w:rPr>
                <w:sz w:val="16"/>
                <w:szCs w:val="16"/>
                <w:lang w:val="en-US"/>
              </w:rPr>
              <w:t>368</w:t>
            </w:r>
          </w:p>
        </w:tc>
        <w:tc>
          <w:tcPr>
            <w:tcW w:w="628" w:type="dxa"/>
            <w:shd w:val="clear" w:color="auto" w:fill="auto"/>
            <w:tcMar>
              <w:top w:w="28" w:type="dxa"/>
              <w:left w:w="28" w:type="dxa"/>
              <w:bottom w:w="28" w:type="dxa"/>
              <w:right w:w="28" w:type="dxa"/>
            </w:tcMar>
            <w:vAlign w:val="bottom"/>
          </w:tcPr>
          <w:p w:rsidR="00047930" w:rsidRPr="00222917" w:rsidRDefault="00047930" w:rsidP="005A53EA">
            <w:pPr>
              <w:suppressAutoHyphens w:val="0"/>
              <w:snapToGrid w:val="0"/>
              <w:spacing w:before="40" w:after="40" w:line="200" w:lineRule="exact"/>
              <w:jc w:val="right"/>
              <w:rPr>
                <w:sz w:val="16"/>
                <w:szCs w:val="16"/>
                <w:lang w:val="en-US"/>
              </w:rPr>
            </w:pPr>
            <w:r w:rsidRPr="00222917">
              <w:rPr>
                <w:sz w:val="16"/>
                <w:szCs w:val="16"/>
                <w:lang w:val="en-US"/>
              </w:rPr>
              <w:t>3</w:t>
            </w:r>
          </w:p>
        </w:tc>
        <w:tc>
          <w:tcPr>
            <w:tcW w:w="628" w:type="dxa"/>
            <w:shd w:val="clear" w:color="auto" w:fill="auto"/>
            <w:tcMar>
              <w:top w:w="28" w:type="dxa"/>
              <w:left w:w="28" w:type="dxa"/>
              <w:bottom w:w="28" w:type="dxa"/>
              <w:right w:w="28" w:type="dxa"/>
            </w:tcMar>
            <w:vAlign w:val="bottom"/>
          </w:tcPr>
          <w:p w:rsidR="00047930" w:rsidRPr="00222917" w:rsidRDefault="00047930" w:rsidP="005A53EA">
            <w:pPr>
              <w:suppressAutoHyphens w:val="0"/>
              <w:snapToGrid w:val="0"/>
              <w:spacing w:before="40" w:after="40" w:line="200" w:lineRule="exact"/>
              <w:jc w:val="right"/>
              <w:rPr>
                <w:sz w:val="16"/>
                <w:szCs w:val="16"/>
                <w:lang w:val="en-US"/>
              </w:rPr>
            </w:pPr>
            <w:r w:rsidRPr="00222917">
              <w:rPr>
                <w:sz w:val="16"/>
                <w:szCs w:val="16"/>
                <w:lang w:val="en-US"/>
              </w:rPr>
              <w:t>138</w:t>
            </w:r>
          </w:p>
        </w:tc>
      </w:tr>
      <w:tr w:rsidR="00047930" w:rsidRPr="00222917" w:rsidTr="007F7F95">
        <w:trPr>
          <w:trHeight w:val="240"/>
        </w:trPr>
        <w:tc>
          <w:tcPr>
            <w:tcW w:w="627" w:type="dxa"/>
            <w:tcBorders>
              <w:bottom w:val="single" w:sz="12" w:space="0" w:color="auto"/>
            </w:tcBorders>
            <w:shd w:val="clear" w:color="auto" w:fill="auto"/>
            <w:tcMar>
              <w:top w:w="28" w:type="dxa"/>
              <w:left w:w="28" w:type="dxa"/>
              <w:bottom w:w="28" w:type="dxa"/>
              <w:right w:w="28" w:type="dxa"/>
            </w:tcMar>
          </w:tcPr>
          <w:p w:rsidR="00047930" w:rsidRPr="00222917" w:rsidRDefault="00047930" w:rsidP="005A53EA">
            <w:pPr>
              <w:suppressAutoHyphens w:val="0"/>
              <w:snapToGrid w:val="0"/>
              <w:spacing w:before="40" w:after="40" w:line="200" w:lineRule="exact"/>
              <w:rPr>
                <w:sz w:val="16"/>
                <w:szCs w:val="16"/>
                <w:lang w:val="en-US"/>
              </w:rPr>
            </w:pPr>
            <w:r w:rsidRPr="00222917">
              <w:rPr>
                <w:sz w:val="16"/>
                <w:szCs w:val="16"/>
                <w:lang w:val="en-US"/>
              </w:rPr>
              <w:t>2010</w:t>
            </w:r>
          </w:p>
        </w:tc>
        <w:tc>
          <w:tcPr>
            <w:tcW w:w="627" w:type="dxa"/>
            <w:tcBorders>
              <w:bottom w:val="single" w:sz="12" w:space="0" w:color="auto"/>
            </w:tcBorders>
            <w:shd w:val="clear" w:color="auto" w:fill="auto"/>
            <w:tcMar>
              <w:top w:w="28" w:type="dxa"/>
              <w:left w:w="28" w:type="dxa"/>
              <w:bottom w:w="28" w:type="dxa"/>
              <w:right w:w="28" w:type="dxa"/>
            </w:tcMar>
            <w:vAlign w:val="bottom"/>
          </w:tcPr>
          <w:p w:rsidR="00047930" w:rsidRPr="00222917" w:rsidRDefault="00047930" w:rsidP="005A53EA">
            <w:pPr>
              <w:suppressAutoHyphens w:val="0"/>
              <w:snapToGrid w:val="0"/>
              <w:spacing w:before="40" w:after="40" w:line="200" w:lineRule="exact"/>
              <w:jc w:val="right"/>
              <w:rPr>
                <w:b/>
                <w:sz w:val="16"/>
                <w:szCs w:val="16"/>
                <w:lang w:val="en-US"/>
              </w:rPr>
            </w:pPr>
            <w:r w:rsidRPr="00222917">
              <w:rPr>
                <w:b/>
                <w:sz w:val="16"/>
                <w:szCs w:val="16"/>
                <w:lang w:val="en-US"/>
              </w:rPr>
              <w:t>280</w:t>
            </w:r>
          </w:p>
        </w:tc>
        <w:tc>
          <w:tcPr>
            <w:tcW w:w="627" w:type="dxa"/>
            <w:tcBorders>
              <w:bottom w:val="single" w:sz="12" w:space="0" w:color="auto"/>
            </w:tcBorders>
            <w:shd w:val="clear" w:color="auto" w:fill="auto"/>
            <w:tcMar>
              <w:top w:w="28" w:type="dxa"/>
              <w:left w:w="28" w:type="dxa"/>
              <w:bottom w:w="28" w:type="dxa"/>
              <w:right w:w="28" w:type="dxa"/>
            </w:tcMar>
            <w:vAlign w:val="bottom"/>
          </w:tcPr>
          <w:p w:rsidR="00047930" w:rsidRPr="00222917" w:rsidRDefault="00047930" w:rsidP="005A53EA">
            <w:pPr>
              <w:suppressAutoHyphens w:val="0"/>
              <w:snapToGrid w:val="0"/>
              <w:spacing w:before="40" w:after="40" w:line="200" w:lineRule="exact"/>
              <w:jc w:val="right"/>
              <w:rPr>
                <w:b/>
                <w:sz w:val="16"/>
                <w:szCs w:val="16"/>
                <w:lang w:val="en-US"/>
              </w:rPr>
            </w:pPr>
            <w:r w:rsidRPr="00222917">
              <w:rPr>
                <w:b/>
                <w:sz w:val="16"/>
                <w:szCs w:val="16"/>
                <w:lang w:val="en-US"/>
              </w:rPr>
              <w:t>17,119</w:t>
            </w:r>
          </w:p>
        </w:tc>
        <w:tc>
          <w:tcPr>
            <w:tcW w:w="627" w:type="dxa"/>
            <w:tcBorders>
              <w:bottom w:val="single" w:sz="12" w:space="0" w:color="auto"/>
            </w:tcBorders>
            <w:shd w:val="clear" w:color="auto" w:fill="auto"/>
            <w:tcMar>
              <w:top w:w="28" w:type="dxa"/>
              <w:left w:w="28" w:type="dxa"/>
              <w:bottom w:w="28" w:type="dxa"/>
              <w:right w:w="28" w:type="dxa"/>
            </w:tcMar>
            <w:vAlign w:val="bottom"/>
          </w:tcPr>
          <w:p w:rsidR="00047930" w:rsidRPr="00222917" w:rsidRDefault="00047930" w:rsidP="005A53EA">
            <w:pPr>
              <w:suppressAutoHyphens w:val="0"/>
              <w:snapToGrid w:val="0"/>
              <w:spacing w:before="40" w:after="40" w:line="200" w:lineRule="exact"/>
              <w:jc w:val="right"/>
              <w:rPr>
                <w:sz w:val="16"/>
                <w:szCs w:val="16"/>
                <w:lang w:val="en-US"/>
              </w:rPr>
            </w:pPr>
            <w:r w:rsidRPr="00222917">
              <w:rPr>
                <w:sz w:val="16"/>
                <w:szCs w:val="16"/>
                <w:lang w:val="en-US"/>
              </w:rPr>
              <w:t>238</w:t>
            </w:r>
          </w:p>
        </w:tc>
        <w:tc>
          <w:tcPr>
            <w:tcW w:w="627" w:type="dxa"/>
            <w:tcBorders>
              <w:bottom w:val="single" w:sz="12" w:space="0" w:color="auto"/>
            </w:tcBorders>
            <w:shd w:val="clear" w:color="auto" w:fill="auto"/>
            <w:tcMar>
              <w:top w:w="28" w:type="dxa"/>
              <w:left w:w="28" w:type="dxa"/>
              <w:bottom w:w="28" w:type="dxa"/>
              <w:right w:w="28" w:type="dxa"/>
            </w:tcMar>
            <w:vAlign w:val="bottom"/>
          </w:tcPr>
          <w:p w:rsidR="00047930" w:rsidRPr="00222917" w:rsidRDefault="00047930" w:rsidP="005A53EA">
            <w:pPr>
              <w:suppressAutoHyphens w:val="0"/>
              <w:snapToGrid w:val="0"/>
              <w:spacing w:before="40" w:after="40" w:line="200" w:lineRule="exact"/>
              <w:jc w:val="right"/>
              <w:rPr>
                <w:sz w:val="16"/>
                <w:szCs w:val="16"/>
                <w:lang w:val="en-US"/>
              </w:rPr>
            </w:pPr>
            <w:r w:rsidRPr="00222917">
              <w:rPr>
                <w:sz w:val="16"/>
                <w:szCs w:val="16"/>
                <w:lang w:val="en-US"/>
              </w:rPr>
              <w:t>15,787</w:t>
            </w:r>
          </w:p>
        </w:tc>
        <w:tc>
          <w:tcPr>
            <w:tcW w:w="628" w:type="dxa"/>
            <w:tcBorders>
              <w:bottom w:val="single" w:sz="12" w:space="0" w:color="auto"/>
            </w:tcBorders>
            <w:shd w:val="clear" w:color="auto" w:fill="auto"/>
            <w:tcMar>
              <w:top w:w="28" w:type="dxa"/>
              <w:left w:w="28" w:type="dxa"/>
              <w:bottom w:w="28" w:type="dxa"/>
              <w:right w:w="28" w:type="dxa"/>
            </w:tcMar>
            <w:vAlign w:val="bottom"/>
          </w:tcPr>
          <w:p w:rsidR="00047930" w:rsidRPr="00222917" w:rsidRDefault="00047930" w:rsidP="005A53EA">
            <w:pPr>
              <w:suppressAutoHyphens w:val="0"/>
              <w:snapToGrid w:val="0"/>
              <w:spacing w:before="40" w:after="40" w:line="200" w:lineRule="exact"/>
              <w:jc w:val="right"/>
              <w:rPr>
                <w:sz w:val="16"/>
                <w:szCs w:val="16"/>
                <w:lang w:val="en-US"/>
              </w:rPr>
            </w:pPr>
            <w:r w:rsidRPr="00222917">
              <w:rPr>
                <w:sz w:val="16"/>
                <w:szCs w:val="16"/>
                <w:lang w:val="en-US"/>
              </w:rPr>
              <w:t>2</w:t>
            </w:r>
          </w:p>
        </w:tc>
        <w:tc>
          <w:tcPr>
            <w:tcW w:w="628" w:type="dxa"/>
            <w:tcBorders>
              <w:bottom w:val="single" w:sz="12" w:space="0" w:color="auto"/>
            </w:tcBorders>
            <w:shd w:val="clear" w:color="auto" w:fill="auto"/>
            <w:tcMar>
              <w:top w:w="28" w:type="dxa"/>
              <w:left w:w="28" w:type="dxa"/>
              <w:bottom w:w="28" w:type="dxa"/>
              <w:right w:w="28" w:type="dxa"/>
            </w:tcMar>
            <w:vAlign w:val="bottom"/>
          </w:tcPr>
          <w:p w:rsidR="00047930" w:rsidRPr="00222917" w:rsidRDefault="00047930" w:rsidP="005A53EA">
            <w:pPr>
              <w:suppressAutoHyphens w:val="0"/>
              <w:snapToGrid w:val="0"/>
              <w:spacing w:before="40" w:after="40" w:line="200" w:lineRule="exact"/>
              <w:jc w:val="right"/>
              <w:rPr>
                <w:sz w:val="16"/>
                <w:szCs w:val="16"/>
                <w:lang w:val="en-US"/>
              </w:rPr>
            </w:pPr>
            <w:r w:rsidRPr="00222917">
              <w:rPr>
                <w:sz w:val="16"/>
                <w:szCs w:val="16"/>
                <w:lang w:val="en-US"/>
              </w:rPr>
              <w:t>69</w:t>
            </w:r>
          </w:p>
        </w:tc>
        <w:tc>
          <w:tcPr>
            <w:tcW w:w="684" w:type="dxa"/>
            <w:tcBorders>
              <w:bottom w:val="single" w:sz="12" w:space="0" w:color="auto"/>
            </w:tcBorders>
            <w:shd w:val="clear" w:color="auto" w:fill="auto"/>
            <w:tcMar>
              <w:top w:w="28" w:type="dxa"/>
              <w:left w:w="28" w:type="dxa"/>
              <w:bottom w:w="28" w:type="dxa"/>
              <w:right w:w="28" w:type="dxa"/>
            </w:tcMar>
            <w:vAlign w:val="bottom"/>
          </w:tcPr>
          <w:p w:rsidR="00047930" w:rsidRPr="00222917" w:rsidRDefault="00047930" w:rsidP="005A53EA">
            <w:pPr>
              <w:suppressAutoHyphens w:val="0"/>
              <w:snapToGrid w:val="0"/>
              <w:spacing w:before="40" w:after="40" w:line="200" w:lineRule="exact"/>
              <w:jc w:val="right"/>
              <w:rPr>
                <w:sz w:val="16"/>
                <w:szCs w:val="16"/>
                <w:lang w:val="en-US"/>
              </w:rPr>
            </w:pPr>
            <w:r w:rsidRPr="00222917">
              <w:rPr>
                <w:sz w:val="16"/>
                <w:szCs w:val="16"/>
                <w:lang w:val="en-US"/>
              </w:rPr>
              <w:t>11</w:t>
            </w:r>
          </w:p>
        </w:tc>
        <w:tc>
          <w:tcPr>
            <w:tcW w:w="684" w:type="dxa"/>
            <w:tcBorders>
              <w:bottom w:val="single" w:sz="12" w:space="0" w:color="auto"/>
            </w:tcBorders>
            <w:shd w:val="clear" w:color="auto" w:fill="auto"/>
            <w:tcMar>
              <w:top w:w="28" w:type="dxa"/>
              <w:left w:w="28" w:type="dxa"/>
              <w:bottom w:w="28" w:type="dxa"/>
              <w:right w:w="28" w:type="dxa"/>
            </w:tcMar>
            <w:vAlign w:val="bottom"/>
          </w:tcPr>
          <w:p w:rsidR="00047930" w:rsidRPr="00222917" w:rsidRDefault="00047930" w:rsidP="005A53EA">
            <w:pPr>
              <w:suppressAutoHyphens w:val="0"/>
              <w:snapToGrid w:val="0"/>
              <w:spacing w:before="40" w:after="40" w:line="200" w:lineRule="exact"/>
              <w:jc w:val="right"/>
              <w:rPr>
                <w:sz w:val="16"/>
                <w:szCs w:val="16"/>
                <w:lang w:val="en-US"/>
              </w:rPr>
            </w:pPr>
            <w:r w:rsidRPr="00222917">
              <w:rPr>
                <w:sz w:val="16"/>
                <w:szCs w:val="16"/>
                <w:lang w:val="en-US"/>
              </w:rPr>
              <w:t>495</w:t>
            </w:r>
          </w:p>
        </w:tc>
        <w:tc>
          <w:tcPr>
            <w:tcW w:w="684" w:type="dxa"/>
            <w:tcBorders>
              <w:bottom w:val="single" w:sz="12" w:space="0" w:color="auto"/>
            </w:tcBorders>
            <w:shd w:val="clear" w:color="auto" w:fill="auto"/>
            <w:tcMar>
              <w:top w:w="28" w:type="dxa"/>
              <w:left w:w="28" w:type="dxa"/>
              <w:bottom w:w="28" w:type="dxa"/>
              <w:right w:w="28" w:type="dxa"/>
            </w:tcMar>
            <w:vAlign w:val="bottom"/>
          </w:tcPr>
          <w:p w:rsidR="00047930" w:rsidRPr="00222917" w:rsidRDefault="00047930" w:rsidP="005A53EA">
            <w:pPr>
              <w:suppressAutoHyphens w:val="0"/>
              <w:snapToGrid w:val="0"/>
              <w:spacing w:before="40" w:after="40" w:line="200" w:lineRule="exact"/>
              <w:jc w:val="right"/>
              <w:rPr>
                <w:sz w:val="16"/>
                <w:szCs w:val="16"/>
                <w:lang w:val="en-US"/>
              </w:rPr>
            </w:pPr>
            <w:r w:rsidRPr="00222917">
              <w:rPr>
                <w:sz w:val="16"/>
                <w:szCs w:val="16"/>
                <w:lang w:val="en-US"/>
              </w:rPr>
              <w:t>12</w:t>
            </w:r>
          </w:p>
        </w:tc>
        <w:tc>
          <w:tcPr>
            <w:tcW w:w="684" w:type="dxa"/>
            <w:tcBorders>
              <w:bottom w:val="single" w:sz="12" w:space="0" w:color="auto"/>
            </w:tcBorders>
            <w:shd w:val="clear" w:color="auto" w:fill="auto"/>
            <w:tcMar>
              <w:top w:w="28" w:type="dxa"/>
              <w:left w:w="28" w:type="dxa"/>
              <w:bottom w:w="28" w:type="dxa"/>
              <w:right w:w="28" w:type="dxa"/>
            </w:tcMar>
            <w:vAlign w:val="bottom"/>
          </w:tcPr>
          <w:p w:rsidR="00047930" w:rsidRPr="00222917" w:rsidRDefault="00047930" w:rsidP="005A53EA">
            <w:pPr>
              <w:suppressAutoHyphens w:val="0"/>
              <w:snapToGrid w:val="0"/>
              <w:spacing w:before="40" w:after="40" w:line="200" w:lineRule="exact"/>
              <w:jc w:val="right"/>
              <w:rPr>
                <w:sz w:val="16"/>
                <w:szCs w:val="16"/>
                <w:lang w:val="en-US"/>
              </w:rPr>
            </w:pPr>
            <w:r w:rsidRPr="00222917">
              <w:rPr>
                <w:sz w:val="16"/>
                <w:szCs w:val="16"/>
                <w:lang w:val="en-US"/>
              </w:rPr>
              <w:t>235</w:t>
            </w:r>
          </w:p>
        </w:tc>
        <w:tc>
          <w:tcPr>
            <w:tcW w:w="628" w:type="dxa"/>
            <w:tcBorders>
              <w:bottom w:val="single" w:sz="12" w:space="0" w:color="auto"/>
            </w:tcBorders>
            <w:shd w:val="clear" w:color="auto" w:fill="auto"/>
            <w:tcMar>
              <w:top w:w="28" w:type="dxa"/>
              <w:left w:w="28" w:type="dxa"/>
              <w:bottom w:w="28" w:type="dxa"/>
              <w:right w:w="28" w:type="dxa"/>
            </w:tcMar>
            <w:vAlign w:val="bottom"/>
          </w:tcPr>
          <w:p w:rsidR="00047930" w:rsidRPr="00222917" w:rsidRDefault="00047930" w:rsidP="005A53EA">
            <w:pPr>
              <w:suppressAutoHyphens w:val="0"/>
              <w:snapToGrid w:val="0"/>
              <w:spacing w:before="40" w:after="40" w:line="200" w:lineRule="exact"/>
              <w:jc w:val="right"/>
              <w:rPr>
                <w:sz w:val="16"/>
                <w:szCs w:val="16"/>
                <w:lang w:val="en-US"/>
              </w:rPr>
            </w:pPr>
            <w:r w:rsidRPr="00222917">
              <w:rPr>
                <w:sz w:val="16"/>
                <w:szCs w:val="16"/>
                <w:lang w:val="en-US"/>
              </w:rPr>
              <w:t>14</w:t>
            </w:r>
          </w:p>
        </w:tc>
        <w:tc>
          <w:tcPr>
            <w:tcW w:w="628" w:type="dxa"/>
            <w:tcBorders>
              <w:bottom w:val="single" w:sz="12" w:space="0" w:color="auto"/>
            </w:tcBorders>
            <w:shd w:val="clear" w:color="auto" w:fill="auto"/>
            <w:tcMar>
              <w:top w:w="28" w:type="dxa"/>
              <w:left w:w="28" w:type="dxa"/>
              <w:bottom w:w="28" w:type="dxa"/>
              <w:right w:w="28" w:type="dxa"/>
            </w:tcMar>
            <w:vAlign w:val="bottom"/>
          </w:tcPr>
          <w:p w:rsidR="00047930" w:rsidRPr="00222917" w:rsidRDefault="00047930" w:rsidP="005A53EA">
            <w:pPr>
              <w:suppressAutoHyphens w:val="0"/>
              <w:snapToGrid w:val="0"/>
              <w:spacing w:before="40" w:after="40" w:line="200" w:lineRule="exact"/>
              <w:jc w:val="right"/>
              <w:rPr>
                <w:sz w:val="16"/>
                <w:szCs w:val="16"/>
                <w:lang w:val="en-US"/>
              </w:rPr>
            </w:pPr>
            <w:r w:rsidRPr="00222917">
              <w:rPr>
                <w:sz w:val="16"/>
                <w:szCs w:val="16"/>
                <w:lang w:val="en-US"/>
              </w:rPr>
              <w:t>402</w:t>
            </w:r>
          </w:p>
        </w:tc>
        <w:tc>
          <w:tcPr>
            <w:tcW w:w="628" w:type="dxa"/>
            <w:tcBorders>
              <w:bottom w:val="single" w:sz="12" w:space="0" w:color="auto"/>
            </w:tcBorders>
            <w:shd w:val="clear" w:color="auto" w:fill="auto"/>
            <w:tcMar>
              <w:top w:w="28" w:type="dxa"/>
              <w:left w:w="28" w:type="dxa"/>
              <w:bottom w:w="28" w:type="dxa"/>
              <w:right w:w="28" w:type="dxa"/>
            </w:tcMar>
            <w:vAlign w:val="bottom"/>
          </w:tcPr>
          <w:p w:rsidR="00047930" w:rsidRPr="00222917" w:rsidRDefault="00047930" w:rsidP="005A53EA">
            <w:pPr>
              <w:suppressAutoHyphens w:val="0"/>
              <w:snapToGrid w:val="0"/>
              <w:spacing w:before="40" w:after="40" w:line="200" w:lineRule="exact"/>
              <w:jc w:val="right"/>
              <w:rPr>
                <w:sz w:val="16"/>
                <w:szCs w:val="16"/>
                <w:lang w:val="en-US"/>
              </w:rPr>
            </w:pPr>
            <w:r w:rsidRPr="00222917">
              <w:rPr>
                <w:sz w:val="16"/>
                <w:szCs w:val="16"/>
                <w:lang w:val="en-US"/>
              </w:rPr>
              <w:t>3</w:t>
            </w:r>
          </w:p>
        </w:tc>
        <w:tc>
          <w:tcPr>
            <w:tcW w:w="628" w:type="dxa"/>
            <w:tcBorders>
              <w:bottom w:val="single" w:sz="12" w:space="0" w:color="auto"/>
            </w:tcBorders>
            <w:shd w:val="clear" w:color="auto" w:fill="auto"/>
            <w:tcMar>
              <w:top w:w="28" w:type="dxa"/>
              <w:left w:w="28" w:type="dxa"/>
              <w:bottom w:w="28" w:type="dxa"/>
              <w:right w:w="28" w:type="dxa"/>
            </w:tcMar>
            <w:vAlign w:val="bottom"/>
          </w:tcPr>
          <w:p w:rsidR="00047930" w:rsidRPr="00222917" w:rsidRDefault="00047930" w:rsidP="005A53EA">
            <w:pPr>
              <w:suppressAutoHyphens w:val="0"/>
              <w:snapToGrid w:val="0"/>
              <w:spacing w:before="40" w:after="40" w:line="200" w:lineRule="exact"/>
              <w:jc w:val="right"/>
              <w:rPr>
                <w:sz w:val="16"/>
                <w:szCs w:val="16"/>
                <w:lang w:val="en-US"/>
              </w:rPr>
            </w:pPr>
            <w:r w:rsidRPr="00222917">
              <w:rPr>
                <w:sz w:val="16"/>
                <w:szCs w:val="16"/>
                <w:lang w:val="en-US"/>
              </w:rPr>
              <w:t>131</w:t>
            </w:r>
          </w:p>
        </w:tc>
      </w:tr>
    </w:tbl>
    <w:p w:rsidR="002D5BB0" w:rsidRPr="00222917" w:rsidRDefault="00547908" w:rsidP="00547908">
      <w:pPr>
        <w:pStyle w:val="SingleTxtG"/>
        <w:spacing w:before="240"/>
        <w:rPr>
          <w:lang w:val="en-US"/>
        </w:rPr>
      </w:pPr>
      <w:r w:rsidRPr="00222917">
        <w:rPr>
          <w:lang w:val="en-US"/>
        </w:rPr>
        <w:t>359.</w:t>
      </w:r>
      <w:r w:rsidRPr="00222917">
        <w:rPr>
          <w:lang w:val="en-US"/>
        </w:rPr>
        <w:tab/>
      </w:r>
      <w:r w:rsidR="002D5BB0" w:rsidRPr="00222917">
        <w:rPr>
          <w:lang w:val="en-US"/>
        </w:rPr>
        <w:t xml:space="preserve">To facilitate preparation for coming of age of low-income children requiring protection, the </w:t>
      </w:r>
      <w:r w:rsidR="0005151A">
        <w:rPr>
          <w:lang w:val="en-US"/>
        </w:rPr>
        <w:t>G</w:t>
      </w:r>
      <w:r w:rsidR="002D5BB0" w:rsidRPr="00222917">
        <w:rPr>
          <w:lang w:val="en-US"/>
        </w:rPr>
        <w:t>overnment provides 42,000 children and youths aged up to 17 who are accommodated in child welfare facilities or welfare facilities for the disabled, or children breadwinners or foster children with up to KRW 30,000 per month to subsidize their upfront education fees, employment, commencement of business, or housing through one-to-one (1:1) matching of their savings. The children discharged from a facility are given counseling services regarding admission to a school, employment, and livelihood by offering them self-reliance education, qualifying them to move into a permanent rental housing, providing a group home, subsidizing deposits for the lease of a house, or giving them preferential treatment for acceptance into boarding in school.</w:t>
      </w:r>
    </w:p>
    <w:p w:rsidR="002D5BB0" w:rsidRPr="00222917" w:rsidRDefault="00984B6F" w:rsidP="00984B6F">
      <w:pPr>
        <w:pStyle w:val="H23G"/>
        <w:rPr>
          <w:lang w:val="en-US"/>
        </w:rPr>
      </w:pPr>
      <w:r w:rsidRPr="00222917">
        <w:rPr>
          <w:lang w:val="en-US"/>
        </w:rPr>
        <w:tab/>
      </w:r>
      <w:r w:rsidRPr="00222917">
        <w:rPr>
          <w:lang w:val="en-US"/>
        </w:rPr>
        <w:tab/>
      </w:r>
      <w:r w:rsidR="002D5BB0" w:rsidRPr="00222917">
        <w:rPr>
          <w:lang w:val="en-US"/>
        </w:rPr>
        <w:t>Support for Self-reliance for Children Requiring Protection</w:t>
      </w:r>
    </w:p>
    <w:tbl>
      <w:tblPr>
        <w:tblW w:w="0" w:type="auto"/>
        <w:tblInd w:w="1134" w:type="dxa"/>
        <w:tblBorders>
          <w:top w:val="single" w:sz="4" w:space="0" w:color="auto"/>
        </w:tblBorders>
        <w:tblLayout w:type="fixed"/>
        <w:tblCellMar>
          <w:left w:w="0" w:type="dxa"/>
          <w:right w:w="113" w:type="dxa"/>
        </w:tblCellMar>
        <w:tblLook w:val="00A0"/>
      </w:tblPr>
      <w:tblGrid>
        <w:gridCol w:w="2835"/>
        <w:gridCol w:w="4535"/>
      </w:tblGrid>
      <w:tr w:rsidR="00047930" w:rsidRPr="00222917" w:rsidTr="002C5118">
        <w:trPr>
          <w:tblHeader/>
        </w:trPr>
        <w:tc>
          <w:tcPr>
            <w:tcW w:w="283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D5BB0" w:rsidRPr="00222917" w:rsidRDefault="002D5BB0" w:rsidP="000D6CAA">
            <w:pPr>
              <w:pStyle w:val="SingleTxtG"/>
              <w:suppressAutoHyphens w:val="0"/>
              <w:spacing w:before="80" w:after="80" w:line="200" w:lineRule="exact"/>
              <w:ind w:left="0" w:right="0"/>
              <w:jc w:val="left"/>
              <w:rPr>
                <w:i/>
                <w:sz w:val="16"/>
                <w:lang w:val="en-US"/>
              </w:rPr>
            </w:pPr>
            <w:r w:rsidRPr="00222917">
              <w:rPr>
                <w:bCs/>
                <w:i/>
                <w:sz w:val="16"/>
                <w:lang w:val="en-US"/>
              </w:rPr>
              <w:t>Content of Support</w:t>
            </w:r>
          </w:p>
        </w:tc>
        <w:tc>
          <w:tcPr>
            <w:tcW w:w="453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D5BB0" w:rsidRPr="00222917" w:rsidRDefault="002D5BB0" w:rsidP="000D6CAA">
            <w:pPr>
              <w:pStyle w:val="SingleTxtG"/>
              <w:suppressAutoHyphens w:val="0"/>
              <w:spacing w:before="80" w:after="80" w:line="200" w:lineRule="exact"/>
              <w:ind w:left="0" w:right="0"/>
              <w:jc w:val="left"/>
              <w:rPr>
                <w:i/>
                <w:sz w:val="16"/>
                <w:lang w:val="en-US"/>
              </w:rPr>
            </w:pPr>
            <w:r w:rsidRPr="00222917">
              <w:rPr>
                <w:bCs/>
                <w:i/>
                <w:sz w:val="16"/>
                <w:lang w:val="en-US"/>
              </w:rPr>
              <w:t>Details</w:t>
            </w:r>
            <w:r w:rsidRPr="00222917">
              <w:rPr>
                <w:i/>
                <w:sz w:val="16"/>
                <w:lang w:val="en-US"/>
              </w:rPr>
              <w:t xml:space="preserve"> of Benefits</w:t>
            </w:r>
          </w:p>
        </w:tc>
      </w:tr>
      <w:tr w:rsidR="00047930" w:rsidRPr="00222917" w:rsidTr="002C5118">
        <w:tc>
          <w:tcPr>
            <w:tcW w:w="2835" w:type="dxa"/>
            <w:tcBorders>
              <w:top w:val="single" w:sz="12" w:space="0" w:color="auto"/>
            </w:tcBorders>
            <w:shd w:val="clear" w:color="auto" w:fill="auto"/>
            <w:tcMar>
              <w:top w:w="0" w:type="dxa"/>
              <w:left w:w="0" w:type="dxa"/>
              <w:bottom w:w="0" w:type="dxa"/>
              <w:right w:w="0" w:type="dxa"/>
            </w:tcMar>
          </w:tcPr>
          <w:p w:rsidR="002D5BB0" w:rsidRPr="00222917" w:rsidRDefault="002D5BB0" w:rsidP="008612C0">
            <w:pPr>
              <w:pStyle w:val="SingleTxtG"/>
              <w:suppressAutoHyphens w:val="0"/>
              <w:spacing w:before="40" w:line="220" w:lineRule="atLeast"/>
              <w:ind w:left="0" w:right="0"/>
              <w:jc w:val="left"/>
              <w:rPr>
                <w:sz w:val="18"/>
                <w:szCs w:val="18"/>
                <w:lang w:val="en-US"/>
              </w:rPr>
            </w:pPr>
            <w:r w:rsidRPr="00222917">
              <w:rPr>
                <w:sz w:val="18"/>
                <w:szCs w:val="18"/>
                <w:lang w:val="en-US"/>
              </w:rPr>
              <w:t>Granting qualifications for moving into a</w:t>
            </w:r>
            <w:r w:rsidR="008612C0" w:rsidRPr="00222917">
              <w:rPr>
                <w:sz w:val="18"/>
                <w:szCs w:val="18"/>
                <w:lang w:val="en-US"/>
              </w:rPr>
              <w:t> </w:t>
            </w:r>
            <w:r w:rsidRPr="00222917">
              <w:rPr>
                <w:sz w:val="18"/>
                <w:szCs w:val="18"/>
                <w:lang w:val="en-US"/>
              </w:rPr>
              <w:t xml:space="preserve">permanent rental house </w:t>
            </w:r>
          </w:p>
        </w:tc>
        <w:tc>
          <w:tcPr>
            <w:tcW w:w="4535" w:type="dxa"/>
            <w:tcBorders>
              <w:top w:val="single" w:sz="12" w:space="0" w:color="auto"/>
            </w:tcBorders>
            <w:shd w:val="clear" w:color="auto" w:fill="auto"/>
            <w:tcMar>
              <w:top w:w="0" w:type="dxa"/>
              <w:left w:w="0" w:type="dxa"/>
              <w:bottom w:w="0" w:type="dxa"/>
              <w:right w:w="0" w:type="dxa"/>
            </w:tcMar>
          </w:tcPr>
          <w:p w:rsidR="002D5BB0" w:rsidRPr="00222917" w:rsidRDefault="002D5BB0" w:rsidP="000D6CAA">
            <w:pPr>
              <w:pStyle w:val="SingleTxtG"/>
              <w:suppressAutoHyphens w:val="0"/>
              <w:spacing w:before="40" w:line="220" w:lineRule="atLeast"/>
              <w:ind w:left="0" w:right="0"/>
              <w:jc w:val="left"/>
              <w:rPr>
                <w:sz w:val="18"/>
                <w:szCs w:val="18"/>
                <w:lang w:val="en-US"/>
              </w:rPr>
            </w:pPr>
            <w:r w:rsidRPr="00222917">
              <w:rPr>
                <w:sz w:val="18"/>
                <w:szCs w:val="18"/>
                <w:lang w:val="en-US"/>
              </w:rPr>
              <w:t>Rules on housing provision amended (Aug 18, 2006)</w:t>
            </w:r>
          </w:p>
          <w:p w:rsidR="002D5BB0" w:rsidRPr="00222917" w:rsidRDefault="002D5BB0" w:rsidP="008612C0">
            <w:pPr>
              <w:pStyle w:val="SingleTxtG"/>
              <w:suppressAutoHyphens w:val="0"/>
              <w:spacing w:before="40" w:line="220" w:lineRule="atLeast"/>
              <w:ind w:left="0" w:right="0"/>
              <w:jc w:val="left"/>
              <w:rPr>
                <w:sz w:val="18"/>
                <w:szCs w:val="18"/>
                <w:lang w:val="en-US"/>
              </w:rPr>
            </w:pPr>
            <w:r w:rsidRPr="00222917">
              <w:rPr>
                <w:sz w:val="18"/>
                <w:szCs w:val="18"/>
                <w:lang w:val="en-US"/>
              </w:rPr>
              <w:t>Beneficiaries: Seven persons from five households (2008) →</w:t>
            </w:r>
            <w:r w:rsidR="008612C0" w:rsidRPr="00222917">
              <w:rPr>
                <w:sz w:val="18"/>
                <w:szCs w:val="18"/>
                <w:lang w:val="en-US"/>
              </w:rPr>
              <w:t> </w:t>
            </w:r>
            <w:r w:rsidRPr="00222917">
              <w:rPr>
                <w:sz w:val="18"/>
                <w:szCs w:val="18"/>
                <w:lang w:val="en-US"/>
              </w:rPr>
              <w:t>4 persons (2009) → 14 persons (2010)</w:t>
            </w:r>
          </w:p>
        </w:tc>
      </w:tr>
      <w:tr w:rsidR="00047930" w:rsidRPr="00222917" w:rsidTr="002C5118">
        <w:tc>
          <w:tcPr>
            <w:tcW w:w="2835" w:type="dxa"/>
            <w:shd w:val="clear" w:color="auto" w:fill="auto"/>
            <w:tcMar>
              <w:top w:w="0" w:type="dxa"/>
              <w:left w:w="0" w:type="dxa"/>
              <w:bottom w:w="0" w:type="dxa"/>
              <w:right w:w="0" w:type="dxa"/>
            </w:tcMar>
          </w:tcPr>
          <w:p w:rsidR="002D5BB0" w:rsidRPr="00222917" w:rsidRDefault="002D5BB0" w:rsidP="008612C0">
            <w:pPr>
              <w:pStyle w:val="SingleTxtG"/>
              <w:suppressAutoHyphens w:val="0"/>
              <w:spacing w:before="40" w:line="220" w:lineRule="atLeast"/>
              <w:ind w:left="0" w:right="0"/>
              <w:jc w:val="left"/>
              <w:rPr>
                <w:sz w:val="18"/>
                <w:szCs w:val="18"/>
                <w:lang w:val="en-US"/>
              </w:rPr>
            </w:pPr>
            <w:r w:rsidRPr="00222917">
              <w:rPr>
                <w:sz w:val="18"/>
                <w:szCs w:val="18"/>
                <w:lang w:val="en-US"/>
              </w:rPr>
              <w:t>Support for moving</w:t>
            </w:r>
            <w:r w:rsidR="008612C0" w:rsidRPr="00222917">
              <w:rPr>
                <w:sz w:val="18"/>
                <w:szCs w:val="18"/>
                <w:lang w:val="en-US"/>
              </w:rPr>
              <w:br/>
            </w:r>
            <w:r w:rsidRPr="00222917">
              <w:rPr>
                <w:sz w:val="18"/>
                <w:szCs w:val="18"/>
                <w:lang w:val="en-US"/>
              </w:rPr>
              <w:t>into a group home</w:t>
            </w:r>
          </w:p>
        </w:tc>
        <w:tc>
          <w:tcPr>
            <w:tcW w:w="4535" w:type="dxa"/>
            <w:shd w:val="clear" w:color="auto" w:fill="auto"/>
            <w:tcMar>
              <w:top w:w="0" w:type="dxa"/>
              <w:left w:w="0" w:type="dxa"/>
              <w:bottom w:w="0" w:type="dxa"/>
              <w:right w:w="0" w:type="dxa"/>
            </w:tcMar>
          </w:tcPr>
          <w:p w:rsidR="002D5BB0" w:rsidRPr="00222917" w:rsidRDefault="002D5BB0" w:rsidP="008612C0">
            <w:pPr>
              <w:pStyle w:val="SingleTxtG"/>
              <w:suppressAutoHyphens w:val="0"/>
              <w:spacing w:before="40" w:line="220" w:lineRule="atLeast"/>
              <w:ind w:left="0" w:right="0"/>
              <w:jc w:val="left"/>
              <w:rPr>
                <w:sz w:val="18"/>
                <w:szCs w:val="18"/>
                <w:lang w:val="en-US"/>
              </w:rPr>
            </w:pPr>
            <w:r w:rsidRPr="00222917">
              <w:rPr>
                <w:sz w:val="18"/>
                <w:szCs w:val="18"/>
                <w:lang w:val="en-US"/>
              </w:rPr>
              <w:t>Beneficiaries: 24 pers</w:t>
            </w:r>
            <w:r w:rsidR="000D6CAA" w:rsidRPr="00222917">
              <w:rPr>
                <w:sz w:val="18"/>
                <w:szCs w:val="18"/>
                <w:lang w:val="en-US"/>
              </w:rPr>
              <w:t>ons (2007) → 5 persons (2008) → </w:t>
            </w:r>
            <w:r w:rsidRPr="00222917">
              <w:rPr>
                <w:sz w:val="18"/>
                <w:szCs w:val="18"/>
                <w:lang w:val="en-US"/>
              </w:rPr>
              <w:t>9</w:t>
            </w:r>
            <w:r w:rsidR="008612C0" w:rsidRPr="00222917">
              <w:rPr>
                <w:sz w:val="18"/>
                <w:szCs w:val="18"/>
                <w:lang w:val="en-US"/>
              </w:rPr>
              <w:t> </w:t>
            </w:r>
            <w:r w:rsidRPr="00222917">
              <w:rPr>
                <w:sz w:val="18"/>
                <w:szCs w:val="18"/>
                <w:lang w:val="en-US"/>
              </w:rPr>
              <w:t>persons (2009) → 8 persons (2010)</w:t>
            </w:r>
          </w:p>
        </w:tc>
      </w:tr>
      <w:tr w:rsidR="00047930" w:rsidRPr="00222917" w:rsidTr="002C5118">
        <w:tc>
          <w:tcPr>
            <w:tcW w:w="2835" w:type="dxa"/>
            <w:shd w:val="clear" w:color="auto" w:fill="auto"/>
            <w:tcMar>
              <w:top w:w="0" w:type="dxa"/>
              <w:left w:w="0" w:type="dxa"/>
              <w:bottom w:w="0" w:type="dxa"/>
              <w:right w:w="0" w:type="dxa"/>
            </w:tcMar>
          </w:tcPr>
          <w:p w:rsidR="002D5BB0" w:rsidRPr="00222917" w:rsidRDefault="002D5BB0" w:rsidP="000D6CAA">
            <w:pPr>
              <w:pStyle w:val="SingleTxtG"/>
              <w:suppressAutoHyphens w:val="0"/>
              <w:spacing w:before="40" w:line="220" w:lineRule="atLeast"/>
              <w:ind w:left="0" w:right="0"/>
              <w:jc w:val="left"/>
              <w:rPr>
                <w:sz w:val="18"/>
                <w:szCs w:val="18"/>
                <w:lang w:val="en-US"/>
              </w:rPr>
            </w:pPr>
            <w:r w:rsidRPr="00222917">
              <w:rPr>
                <w:sz w:val="18"/>
                <w:szCs w:val="18"/>
                <w:lang w:val="en-US"/>
              </w:rPr>
              <w:t>Support for rental housing</w:t>
            </w:r>
          </w:p>
        </w:tc>
        <w:tc>
          <w:tcPr>
            <w:tcW w:w="4535" w:type="dxa"/>
            <w:shd w:val="clear" w:color="auto" w:fill="auto"/>
            <w:tcMar>
              <w:top w:w="0" w:type="dxa"/>
              <w:left w:w="0" w:type="dxa"/>
              <w:bottom w:w="0" w:type="dxa"/>
              <w:right w:w="0" w:type="dxa"/>
            </w:tcMar>
          </w:tcPr>
          <w:p w:rsidR="002D5BB0" w:rsidRPr="00222917" w:rsidRDefault="002D5BB0" w:rsidP="000D6CAA">
            <w:pPr>
              <w:pStyle w:val="SingleTxtG"/>
              <w:suppressAutoHyphens w:val="0"/>
              <w:spacing w:before="40" w:line="220" w:lineRule="atLeast"/>
              <w:ind w:left="0" w:right="0"/>
              <w:jc w:val="left"/>
              <w:rPr>
                <w:sz w:val="18"/>
                <w:szCs w:val="18"/>
                <w:lang w:val="en-US"/>
              </w:rPr>
            </w:pPr>
            <w:r w:rsidRPr="00222917">
              <w:rPr>
                <w:sz w:val="18"/>
                <w:szCs w:val="18"/>
                <w:lang w:val="en-US"/>
              </w:rPr>
              <w:t>Beneficiaries: 66 persons from 40 households (2007) →</w:t>
            </w:r>
            <w:r w:rsidR="008612C0" w:rsidRPr="00222917">
              <w:rPr>
                <w:sz w:val="18"/>
                <w:szCs w:val="18"/>
                <w:lang w:val="en-US"/>
              </w:rPr>
              <w:t> </w:t>
            </w:r>
            <w:r w:rsidRPr="00222917">
              <w:rPr>
                <w:sz w:val="18"/>
                <w:szCs w:val="18"/>
                <w:lang w:val="en-US"/>
              </w:rPr>
              <w:t>74</w:t>
            </w:r>
            <w:r w:rsidR="008612C0" w:rsidRPr="00222917">
              <w:rPr>
                <w:sz w:val="18"/>
                <w:szCs w:val="18"/>
                <w:lang w:val="en-US"/>
              </w:rPr>
              <w:t> </w:t>
            </w:r>
            <w:r w:rsidRPr="00222917">
              <w:rPr>
                <w:sz w:val="18"/>
                <w:szCs w:val="18"/>
                <w:lang w:val="en-US"/>
              </w:rPr>
              <w:t>persons from 73 households (2008)</w:t>
            </w:r>
          </w:p>
          <w:p w:rsidR="002D5BB0" w:rsidRPr="00222917" w:rsidRDefault="002D5BB0" w:rsidP="000D6CAA">
            <w:pPr>
              <w:pStyle w:val="SingleTxtG"/>
              <w:suppressAutoHyphens w:val="0"/>
              <w:spacing w:before="40" w:line="220" w:lineRule="atLeast"/>
              <w:ind w:left="0" w:right="0"/>
              <w:jc w:val="left"/>
              <w:rPr>
                <w:sz w:val="18"/>
                <w:szCs w:val="18"/>
                <w:lang w:val="en-US"/>
              </w:rPr>
            </w:pPr>
            <w:r w:rsidRPr="00222917">
              <w:rPr>
                <w:sz w:val="18"/>
                <w:szCs w:val="18"/>
                <w:lang w:val="en-US"/>
              </w:rPr>
              <w:t>→</w:t>
            </w:r>
            <w:r w:rsidR="008612C0" w:rsidRPr="00222917">
              <w:rPr>
                <w:sz w:val="18"/>
                <w:szCs w:val="18"/>
                <w:lang w:val="en-US"/>
              </w:rPr>
              <w:t> </w:t>
            </w:r>
            <w:r w:rsidRPr="00222917">
              <w:rPr>
                <w:sz w:val="18"/>
                <w:szCs w:val="18"/>
                <w:lang w:val="en-US"/>
              </w:rPr>
              <w:t>89 persons (2009) → 88 persons (2010)</w:t>
            </w:r>
          </w:p>
        </w:tc>
      </w:tr>
      <w:tr w:rsidR="00047930" w:rsidRPr="00222917" w:rsidTr="002C5118">
        <w:tc>
          <w:tcPr>
            <w:tcW w:w="2835" w:type="dxa"/>
            <w:shd w:val="clear" w:color="auto" w:fill="auto"/>
            <w:tcMar>
              <w:top w:w="0" w:type="dxa"/>
              <w:left w:w="0" w:type="dxa"/>
              <w:bottom w:w="0" w:type="dxa"/>
              <w:right w:w="0" w:type="dxa"/>
            </w:tcMar>
          </w:tcPr>
          <w:p w:rsidR="002D5BB0" w:rsidRPr="00222917" w:rsidRDefault="002D5BB0" w:rsidP="008612C0">
            <w:pPr>
              <w:pStyle w:val="SingleTxtG"/>
              <w:suppressAutoHyphens w:val="0"/>
              <w:spacing w:before="40" w:line="220" w:lineRule="atLeast"/>
              <w:ind w:left="0" w:right="0"/>
              <w:jc w:val="left"/>
              <w:rPr>
                <w:sz w:val="18"/>
                <w:szCs w:val="18"/>
                <w:lang w:val="en-US"/>
              </w:rPr>
            </w:pPr>
            <w:r w:rsidRPr="00222917">
              <w:rPr>
                <w:sz w:val="18"/>
                <w:szCs w:val="18"/>
                <w:lang w:val="en-US"/>
              </w:rPr>
              <w:t>Support for deposit for the lease</w:t>
            </w:r>
            <w:r w:rsidR="008612C0" w:rsidRPr="00222917">
              <w:rPr>
                <w:sz w:val="18"/>
                <w:szCs w:val="18"/>
                <w:lang w:val="en-US"/>
              </w:rPr>
              <w:br/>
            </w:r>
            <w:r w:rsidRPr="00222917">
              <w:rPr>
                <w:sz w:val="18"/>
                <w:szCs w:val="18"/>
                <w:lang w:val="en-US"/>
              </w:rPr>
              <w:t>of a house</w:t>
            </w:r>
          </w:p>
        </w:tc>
        <w:tc>
          <w:tcPr>
            <w:tcW w:w="4535" w:type="dxa"/>
            <w:shd w:val="clear" w:color="auto" w:fill="auto"/>
            <w:tcMar>
              <w:top w:w="0" w:type="dxa"/>
              <w:left w:w="0" w:type="dxa"/>
              <w:bottom w:w="0" w:type="dxa"/>
              <w:right w:w="0" w:type="dxa"/>
            </w:tcMar>
          </w:tcPr>
          <w:p w:rsidR="002D5BB0" w:rsidRPr="00222917" w:rsidRDefault="002D5BB0" w:rsidP="008612C0">
            <w:pPr>
              <w:pStyle w:val="SingleTxtG"/>
              <w:suppressAutoHyphens w:val="0"/>
              <w:spacing w:before="40" w:line="220" w:lineRule="atLeast"/>
              <w:ind w:left="0" w:right="0"/>
              <w:jc w:val="left"/>
              <w:rPr>
                <w:sz w:val="18"/>
                <w:szCs w:val="18"/>
                <w:lang w:val="en-US"/>
              </w:rPr>
            </w:pPr>
            <w:r w:rsidRPr="00222917">
              <w:rPr>
                <w:sz w:val="18"/>
                <w:szCs w:val="18"/>
                <w:lang w:val="en-US"/>
              </w:rPr>
              <w:t>Beneficiaries: 31 persons (2007)→24 persons (2008)</w:t>
            </w:r>
            <w:r w:rsidR="000D6CAA" w:rsidRPr="00222917">
              <w:rPr>
                <w:sz w:val="18"/>
                <w:szCs w:val="18"/>
                <w:lang w:val="en-US"/>
              </w:rPr>
              <w:t xml:space="preserve"> </w:t>
            </w:r>
            <w:r w:rsidRPr="00222917">
              <w:rPr>
                <w:sz w:val="18"/>
                <w:szCs w:val="18"/>
                <w:lang w:val="en-US"/>
              </w:rPr>
              <w:t>→</w:t>
            </w:r>
            <w:r w:rsidR="000D6CAA" w:rsidRPr="00222917">
              <w:rPr>
                <w:sz w:val="18"/>
                <w:szCs w:val="18"/>
                <w:lang w:val="en-US"/>
              </w:rPr>
              <w:t> </w:t>
            </w:r>
            <w:r w:rsidRPr="00222917">
              <w:rPr>
                <w:sz w:val="18"/>
                <w:szCs w:val="18"/>
                <w:lang w:val="en-US"/>
              </w:rPr>
              <w:t>13</w:t>
            </w:r>
            <w:r w:rsidR="008612C0" w:rsidRPr="00222917">
              <w:rPr>
                <w:sz w:val="18"/>
                <w:szCs w:val="18"/>
                <w:lang w:val="en-US"/>
              </w:rPr>
              <w:t> </w:t>
            </w:r>
            <w:r w:rsidRPr="00222917">
              <w:rPr>
                <w:sz w:val="18"/>
                <w:szCs w:val="18"/>
                <w:lang w:val="en-US"/>
              </w:rPr>
              <w:t>persons(2010)</w:t>
            </w:r>
          </w:p>
        </w:tc>
      </w:tr>
      <w:tr w:rsidR="00047930" w:rsidRPr="00222917" w:rsidTr="002C5118">
        <w:tc>
          <w:tcPr>
            <w:tcW w:w="2835" w:type="dxa"/>
            <w:shd w:val="clear" w:color="auto" w:fill="auto"/>
            <w:tcMar>
              <w:top w:w="0" w:type="dxa"/>
              <w:left w:w="0" w:type="dxa"/>
              <w:bottom w:w="0" w:type="dxa"/>
              <w:right w:w="0" w:type="dxa"/>
            </w:tcMar>
          </w:tcPr>
          <w:p w:rsidR="002D5BB0" w:rsidRPr="00222917" w:rsidRDefault="002D5BB0" w:rsidP="000D6CAA">
            <w:pPr>
              <w:pStyle w:val="SingleTxtG"/>
              <w:suppressAutoHyphens w:val="0"/>
              <w:spacing w:before="40" w:line="220" w:lineRule="atLeast"/>
              <w:ind w:left="0" w:right="0"/>
              <w:jc w:val="left"/>
              <w:rPr>
                <w:sz w:val="18"/>
                <w:szCs w:val="18"/>
                <w:lang w:val="en-US"/>
              </w:rPr>
            </w:pPr>
            <w:r w:rsidRPr="00222917">
              <w:rPr>
                <w:sz w:val="18"/>
                <w:szCs w:val="18"/>
                <w:lang w:val="en-US"/>
              </w:rPr>
              <w:t xml:space="preserve">Preferential assignment </w:t>
            </w:r>
            <w:r w:rsidR="008612C0" w:rsidRPr="00222917">
              <w:rPr>
                <w:sz w:val="18"/>
                <w:szCs w:val="18"/>
                <w:lang w:val="en-US"/>
              </w:rPr>
              <w:br/>
            </w:r>
            <w:r w:rsidRPr="00222917">
              <w:rPr>
                <w:sz w:val="18"/>
                <w:szCs w:val="18"/>
                <w:lang w:val="en-US"/>
              </w:rPr>
              <w:t>to a dormitory</w:t>
            </w:r>
          </w:p>
        </w:tc>
        <w:tc>
          <w:tcPr>
            <w:tcW w:w="4535" w:type="dxa"/>
            <w:shd w:val="clear" w:color="auto" w:fill="auto"/>
            <w:tcMar>
              <w:top w:w="0" w:type="dxa"/>
              <w:left w:w="0" w:type="dxa"/>
              <w:bottom w:w="0" w:type="dxa"/>
              <w:right w:w="0" w:type="dxa"/>
            </w:tcMar>
          </w:tcPr>
          <w:p w:rsidR="002D5BB0" w:rsidRPr="00222917" w:rsidRDefault="002D5BB0" w:rsidP="000D6CAA">
            <w:pPr>
              <w:pStyle w:val="SingleTxtG"/>
              <w:suppressAutoHyphens w:val="0"/>
              <w:spacing w:before="40" w:line="220" w:lineRule="atLeast"/>
              <w:ind w:left="0" w:right="0"/>
              <w:jc w:val="left"/>
              <w:rPr>
                <w:sz w:val="18"/>
                <w:szCs w:val="18"/>
                <w:lang w:val="en-US"/>
              </w:rPr>
            </w:pPr>
            <w:r w:rsidRPr="00222917">
              <w:rPr>
                <w:sz w:val="18"/>
                <w:szCs w:val="18"/>
                <w:lang w:val="en-US"/>
              </w:rPr>
              <w:t>Beneficiaries: 31 persons of 21 universities (2007) →89</w:t>
            </w:r>
            <w:r w:rsidR="000D6CAA" w:rsidRPr="00222917">
              <w:rPr>
                <w:sz w:val="18"/>
                <w:szCs w:val="18"/>
                <w:lang w:val="en-US"/>
              </w:rPr>
              <w:t> </w:t>
            </w:r>
            <w:r w:rsidRPr="00222917">
              <w:rPr>
                <w:sz w:val="18"/>
                <w:szCs w:val="18"/>
                <w:lang w:val="en-US"/>
              </w:rPr>
              <w:t xml:space="preserve">persons of 35 universities (2008) → 90 persons </w:t>
            </w:r>
            <w:r w:rsidR="008612C0" w:rsidRPr="00222917">
              <w:rPr>
                <w:sz w:val="18"/>
                <w:szCs w:val="18"/>
                <w:lang w:val="en-US"/>
              </w:rPr>
              <w:br/>
            </w:r>
            <w:r w:rsidRPr="00222917">
              <w:rPr>
                <w:sz w:val="18"/>
                <w:szCs w:val="18"/>
                <w:lang w:val="en-US"/>
              </w:rPr>
              <w:t>of</w:t>
            </w:r>
            <w:r w:rsidR="000D6CAA" w:rsidRPr="00222917">
              <w:rPr>
                <w:sz w:val="18"/>
                <w:szCs w:val="18"/>
                <w:lang w:val="en-US"/>
              </w:rPr>
              <w:t> </w:t>
            </w:r>
            <w:r w:rsidRPr="00222917">
              <w:rPr>
                <w:sz w:val="18"/>
                <w:szCs w:val="18"/>
                <w:lang w:val="en-US"/>
              </w:rPr>
              <w:t>46 universities (2009) → 121 persons (2010)</w:t>
            </w:r>
          </w:p>
        </w:tc>
      </w:tr>
      <w:tr w:rsidR="00047930" w:rsidRPr="00222917" w:rsidTr="002C5118">
        <w:tc>
          <w:tcPr>
            <w:tcW w:w="2835" w:type="dxa"/>
            <w:tcBorders>
              <w:bottom w:val="single" w:sz="12" w:space="0" w:color="auto"/>
            </w:tcBorders>
            <w:shd w:val="clear" w:color="auto" w:fill="auto"/>
            <w:tcMar>
              <w:top w:w="0" w:type="dxa"/>
              <w:left w:w="0" w:type="dxa"/>
              <w:bottom w:w="0" w:type="dxa"/>
              <w:right w:w="0" w:type="dxa"/>
            </w:tcMar>
          </w:tcPr>
          <w:p w:rsidR="002D5BB0" w:rsidRPr="00222917" w:rsidRDefault="002D5BB0" w:rsidP="000D6CAA">
            <w:pPr>
              <w:pStyle w:val="SingleTxtG"/>
              <w:suppressAutoHyphens w:val="0"/>
              <w:spacing w:before="40" w:line="220" w:lineRule="atLeast"/>
              <w:ind w:left="0" w:right="0"/>
              <w:jc w:val="left"/>
              <w:rPr>
                <w:sz w:val="18"/>
                <w:szCs w:val="18"/>
                <w:lang w:val="en-US"/>
              </w:rPr>
            </w:pPr>
            <w:r w:rsidRPr="00222917">
              <w:rPr>
                <w:sz w:val="18"/>
                <w:szCs w:val="18"/>
                <w:lang w:val="en-US"/>
              </w:rPr>
              <w:t>Increasing effectiveness of operation of self-reliance support facilities</w:t>
            </w:r>
          </w:p>
        </w:tc>
        <w:tc>
          <w:tcPr>
            <w:tcW w:w="4535" w:type="dxa"/>
            <w:tcBorders>
              <w:bottom w:val="single" w:sz="12" w:space="0" w:color="auto"/>
            </w:tcBorders>
            <w:shd w:val="clear" w:color="auto" w:fill="auto"/>
            <w:tcMar>
              <w:top w:w="0" w:type="dxa"/>
              <w:left w:w="0" w:type="dxa"/>
              <w:bottom w:w="0" w:type="dxa"/>
              <w:right w:w="0" w:type="dxa"/>
            </w:tcMar>
          </w:tcPr>
          <w:p w:rsidR="002D5BB0" w:rsidRPr="00222917" w:rsidRDefault="002D5BB0" w:rsidP="000D6CAA">
            <w:pPr>
              <w:pStyle w:val="SingleTxtG"/>
              <w:suppressAutoHyphens w:val="0"/>
              <w:spacing w:before="40" w:line="220" w:lineRule="atLeast"/>
              <w:ind w:left="0" w:right="0"/>
              <w:jc w:val="left"/>
              <w:rPr>
                <w:sz w:val="18"/>
                <w:szCs w:val="18"/>
                <w:lang w:val="en-US"/>
              </w:rPr>
            </w:pPr>
            <w:r w:rsidRPr="00222917">
              <w:rPr>
                <w:sz w:val="18"/>
                <w:szCs w:val="18"/>
                <w:lang w:val="en-US"/>
              </w:rPr>
              <w:t>Rules for eligibility (age 24→age 25) amended (Jan</w:t>
            </w:r>
            <w:r w:rsidR="000D6CAA" w:rsidRPr="00222917">
              <w:rPr>
                <w:sz w:val="18"/>
                <w:szCs w:val="18"/>
                <w:lang w:val="en-US"/>
              </w:rPr>
              <w:t> </w:t>
            </w:r>
            <w:r w:rsidRPr="00222917">
              <w:rPr>
                <w:sz w:val="18"/>
                <w:szCs w:val="18"/>
                <w:lang w:val="en-US"/>
              </w:rPr>
              <w:t>2006)</w:t>
            </w:r>
          </w:p>
          <w:p w:rsidR="002D5BB0" w:rsidRPr="00222917" w:rsidRDefault="002D5BB0" w:rsidP="008612C0">
            <w:pPr>
              <w:pStyle w:val="SingleTxtG"/>
              <w:suppressAutoHyphens w:val="0"/>
              <w:spacing w:before="40" w:line="220" w:lineRule="atLeast"/>
              <w:ind w:left="0" w:right="0"/>
              <w:jc w:val="left"/>
              <w:rPr>
                <w:sz w:val="18"/>
                <w:szCs w:val="18"/>
                <w:lang w:val="en-US"/>
              </w:rPr>
            </w:pPr>
            <w:r w:rsidRPr="00222917">
              <w:rPr>
                <w:sz w:val="18"/>
                <w:szCs w:val="18"/>
                <w:lang w:val="en-US"/>
              </w:rPr>
              <w:t>Beneficiaries: 229 persons (2005) →266 persons (2008) →</w:t>
            </w:r>
            <w:r w:rsidR="008612C0" w:rsidRPr="00222917">
              <w:rPr>
                <w:sz w:val="18"/>
                <w:szCs w:val="18"/>
                <w:lang w:val="en-US"/>
              </w:rPr>
              <w:t> </w:t>
            </w:r>
            <w:r w:rsidRPr="00222917">
              <w:rPr>
                <w:sz w:val="18"/>
                <w:szCs w:val="18"/>
                <w:lang w:val="en-US"/>
              </w:rPr>
              <w:t>269 persons (2009) → 296 persons (2010)</w:t>
            </w:r>
          </w:p>
        </w:tc>
      </w:tr>
    </w:tbl>
    <w:p w:rsidR="002D5BB0" w:rsidRPr="00222917" w:rsidRDefault="00984B6F" w:rsidP="00984B6F">
      <w:pPr>
        <w:pStyle w:val="H4G"/>
        <w:rPr>
          <w:lang w:val="en-US"/>
        </w:rPr>
      </w:pPr>
      <w:bookmarkStart w:id="303" w:name="_Toc307504173"/>
      <w:bookmarkStart w:id="304" w:name="_Toc336435945"/>
      <w:r w:rsidRPr="00222917">
        <w:rPr>
          <w:lang w:val="en-US"/>
        </w:rPr>
        <w:tab/>
      </w:r>
      <w:r w:rsidRPr="00222917">
        <w:rPr>
          <w:lang w:val="en-US"/>
        </w:rPr>
        <w:tab/>
      </w:r>
      <w:r w:rsidR="002D5BB0" w:rsidRPr="00222917">
        <w:rPr>
          <w:lang w:val="en-US"/>
        </w:rPr>
        <w:t>Establishment of Social Security Net (CYS-net) for Juveniles in a Crisis</w:t>
      </w:r>
      <w:bookmarkEnd w:id="303"/>
      <w:bookmarkEnd w:id="304"/>
    </w:p>
    <w:p w:rsidR="002D5BB0" w:rsidRPr="00222917" w:rsidRDefault="00547908" w:rsidP="00547908">
      <w:pPr>
        <w:pStyle w:val="SingleTxtG"/>
        <w:rPr>
          <w:lang w:val="en-US"/>
        </w:rPr>
      </w:pPr>
      <w:r w:rsidRPr="00222917">
        <w:rPr>
          <w:lang w:val="en-US"/>
        </w:rPr>
        <w:t>360.</w:t>
      </w:r>
      <w:r w:rsidRPr="00222917">
        <w:rPr>
          <w:lang w:val="en-US"/>
        </w:rPr>
        <w:tab/>
      </w:r>
      <w:r w:rsidR="002D5BB0" w:rsidRPr="00222917">
        <w:rPr>
          <w:lang w:val="en-US"/>
        </w:rPr>
        <w:t xml:space="preserve">In 2005, the central </w:t>
      </w:r>
      <w:r w:rsidR="0005151A">
        <w:rPr>
          <w:lang w:val="en-US"/>
        </w:rPr>
        <w:t>G</w:t>
      </w:r>
      <w:r w:rsidR="002D5BB0" w:rsidRPr="00222917">
        <w:rPr>
          <w:lang w:val="en-US"/>
        </w:rPr>
        <w:t>overnment, local governments, and regional youth counseling support centers established the Community Youth Safety Net (CYS-Net) to provide juvenile runaways, school dropouts, or Internet addicts with personalized services for counseling, protection, education, and self-reliance assistance so that they could return to their homes or society. Through the CYS-Net, public institutions protecting juveniles in crisis such as the Offices of Education, police offices, labor offices, public medical centers, and shelters are required to render collaboration and cooperation. They provide a wide range of services including counseling, emotional support, social protection, basic livelihood assistance, financial aid, and the like. The number of juvenile beneficiaries of the CYS</w:t>
      </w:r>
      <w:r w:rsidR="006903AC" w:rsidRPr="00222917">
        <w:rPr>
          <w:lang w:val="en-US"/>
        </w:rPr>
        <w:t xml:space="preserve">-Net services increased 131% </w:t>
      </w:r>
      <w:r w:rsidR="002D5BB0" w:rsidRPr="00222917">
        <w:rPr>
          <w:lang w:val="en-US"/>
        </w:rPr>
        <w:t xml:space="preserve">from 98,020 persons in 2009 to 128,426 persons in 2010. The number of cases of CYS-Net </w:t>
      </w:r>
      <w:r w:rsidR="006903AC" w:rsidRPr="00222917">
        <w:rPr>
          <w:lang w:val="en-US"/>
        </w:rPr>
        <w:t xml:space="preserve">services rendered increased 196% </w:t>
      </w:r>
      <w:r w:rsidR="002D5BB0" w:rsidRPr="00222917">
        <w:rPr>
          <w:lang w:val="en-US"/>
        </w:rPr>
        <w:t xml:space="preserve">year on year from 715,589 in 2009 to 1,403,494 in 2010. </w:t>
      </w:r>
    </w:p>
    <w:p w:rsidR="002D5BB0" w:rsidRPr="00222917" w:rsidRDefault="00984B6F" w:rsidP="00984B6F">
      <w:pPr>
        <w:pStyle w:val="H23G"/>
        <w:rPr>
          <w:b w:val="0"/>
          <w:sz w:val="16"/>
          <w:szCs w:val="16"/>
          <w:lang w:val="en-US"/>
        </w:rPr>
      </w:pPr>
      <w:r w:rsidRPr="00222917">
        <w:rPr>
          <w:lang w:val="en-US"/>
        </w:rPr>
        <w:tab/>
      </w:r>
      <w:r w:rsidRPr="00222917">
        <w:rPr>
          <w:lang w:val="en-US"/>
        </w:rPr>
        <w:tab/>
      </w:r>
      <w:r w:rsidR="002D5BB0" w:rsidRPr="00222917">
        <w:rPr>
          <w:lang w:val="en-US"/>
        </w:rPr>
        <w:t>Number of Youths Receiving CYS-Net Services</w:t>
      </w:r>
      <w:r w:rsidRPr="00222917">
        <w:rPr>
          <w:lang w:val="en-US"/>
        </w:rPr>
        <w:br/>
      </w:r>
      <w:r w:rsidR="002D5BB0" w:rsidRPr="00222917">
        <w:rPr>
          <w:b w:val="0"/>
          <w:sz w:val="16"/>
          <w:szCs w:val="16"/>
          <w:lang w:val="en-US"/>
        </w:rPr>
        <w:t>(In persons)</w:t>
      </w:r>
    </w:p>
    <w:tbl>
      <w:tblPr>
        <w:tblW w:w="0" w:type="auto"/>
        <w:tblInd w:w="1134" w:type="dxa"/>
        <w:tblBorders>
          <w:top w:val="single" w:sz="4" w:space="0" w:color="auto"/>
        </w:tblBorders>
        <w:tblLayout w:type="fixed"/>
        <w:tblCellMar>
          <w:left w:w="0" w:type="dxa"/>
          <w:right w:w="0" w:type="dxa"/>
        </w:tblCellMar>
        <w:tblLook w:val="00A0"/>
      </w:tblPr>
      <w:tblGrid>
        <w:gridCol w:w="2267"/>
        <w:gridCol w:w="1701"/>
        <w:gridCol w:w="1701"/>
        <w:gridCol w:w="1701"/>
      </w:tblGrid>
      <w:tr w:rsidR="00047930" w:rsidRPr="00222917" w:rsidTr="002C5118">
        <w:trPr>
          <w:tblHeader/>
        </w:trPr>
        <w:tc>
          <w:tcPr>
            <w:tcW w:w="2267"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D5BB0" w:rsidRPr="00222917" w:rsidRDefault="002D5BB0" w:rsidP="004753AA">
            <w:pPr>
              <w:pStyle w:val="SingleTxtG"/>
              <w:suppressAutoHyphens w:val="0"/>
              <w:spacing w:before="80" w:after="80" w:line="200" w:lineRule="exact"/>
              <w:ind w:left="0" w:right="0"/>
              <w:jc w:val="left"/>
              <w:rPr>
                <w:i/>
                <w:sz w:val="16"/>
                <w:lang w:val="en-US"/>
              </w:rPr>
            </w:pPr>
            <w:r w:rsidRPr="00222917">
              <w:rPr>
                <w:bCs/>
                <w:i/>
                <w:sz w:val="16"/>
                <w:lang w:val="en-US"/>
              </w:rPr>
              <w:t>Year</w:t>
            </w:r>
          </w:p>
        </w:tc>
        <w:tc>
          <w:tcPr>
            <w:tcW w:w="1701"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D5BB0" w:rsidRPr="00222917" w:rsidRDefault="002D5BB0" w:rsidP="004753AA">
            <w:pPr>
              <w:pStyle w:val="SingleTxtG"/>
              <w:suppressAutoHyphens w:val="0"/>
              <w:spacing w:before="80" w:after="80" w:line="200" w:lineRule="exact"/>
              <w:ind w:left="0" w:right="0"/>
              <w:jc w:val="right"/>
              <w:rPr>
                <w:i/>
                <w:sz w:val="16"/>
                <w:lang w:val="en-US"/>
              </w:rPr>
            </w:pPr>
            <w:r w:rsidRPr="00222917">
              <w:rPr>
                <w:bCs/>
                <w:i/>
                <w:sz w:val="16"/>
                <w:lang w:val="en-US"/>
              </w:rPr>
              <w:t>Boys</w:t>
            </w:r>
          </w:p>
        </w:tc>
        <w:tc>
          <w:tcPr>
            <w:tcW w:w="1701"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D5BB0" w:rsidRPr="00222917" w:rsidRDefault="002D5BB0" w:rsidP="004753AA">
            <w:pPr>
              <w:pStyle w:val="SingleTxtG"/>
              <w:suppressAutoHyphens w:val="0"/>
              <w:spacing w:before="80" w:after="80" w:line="200" w:lineRule="exact"/>
              <w:ind w:left="0" w:right="0"/>
              <w:jc w:val="right"/>
              <w:rPr>
                <w:i/>
                <w:sz w:val="16"/>
                <w:lang w:val="en-US"/>
              </w:rPr>
            </w:pPr>
            <w:r w:rsidRPr="00222917">
              <w:rPr>
                <w:bCs/>
                <w:i/>
                <w:sz w:val="16"/>
                <w:lang w:val="en-US"/>
              </w:rPr>
              <w:t>Girls</w:t>
            </w:r>
          </w:p>
        </w:tc>
        <w:tc>
          <w:tcPr>
            <w:tcW w:w="1701"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2D5BB0" w:rsidRPr="00222917" w:rsidRDefault="002D5BB0" w:rsidP="004753AA">
            <w:pPr>
              <w:pStyle w:val="SingleTxtG"/>
              <w:suppressAutoHyphens w:val="0"/>
              <w:spacing w:before="80" w:after="80" w:line="200" w:lineRule="exact"/>
              <w:ind w:left="0" w:right="0"/>
              <w:jc w:val="right"/>
              <w:rPr>
                <w:b/>
                <w:i/>
                <w:sz w:val="16"/>
                <w:lang w:val="en-US"/>
              </w:rPr>
            </w:pPr>
            <w:r w:rsidRPr="00222917">
              <w:rPr>
                <w:b/>
                <w:bCs/>
                <w:i/>
                <w:sz w:val="16"/>
                <w:lang w:val="en-US"/>
              </w:rPr>
              <w:t>Total</w:t>
            </w:r>
          </w:p>
        </w:tc>
      </w:tr>
      <w:tr w:rsidR="00047930" w:rsidRPr="00222917" w:rsidTr="002C5118">
        <w:tc>
          <w:tcPr>
            <w:tcW w:w="2267" w:type="dxa"/>
            <w:tcBorders>
              <w:top w:val="single" w:sz="12" w:space="0" w:color="auto"/>
            </w:tcBorders>
            <w:shd w:val="clear" w:color="auto" w:fill="auto"/>
            <w:tcMar>
              <w:top w:w="0" w:type="dxa"/>
              <w:left w:w="0" w:type="dxa"/>
              <w:bottom w:w="0" w:type="dxa"/>
              <w:right w:w="0" w:type="dxa"/>
            </w:tcMar>
          </w:tcPr>
          <w:p w:rsidR="002D5BB0" w:rsidRPr="00222917" w:rsidRDefault="002D5BB0" w:rsidP="004753AA">
            <w:pPr>
              <w:pStyle w:val="SingleTxtG"/>
              <w:suppressAutoHyphens w:val="0"/>
              <w:spacing w:before="40" w:after="40" w:line="220" w:lineRule="exact"/>
              <w:ind w:left="0" w:right="0"/>
              <w:jc w:val="left"/>
              <w:rPr>
                <w:sz w:val="18"/>
                <w:lang w:val="en-US"/>
              </w:rPr>
            </w:pPr>
            <w:r w:rsidRPr="00222917">
              <w:rPr>
                <w:sz w:val="18"/>
                <w:lang w:val="en-US"/>
              </w:rPr>
              <w:t>2007</w:t>
            </w:r>
          </w:p>
        </w:tc>
        <w:tc>
          <w:tcPr>
            <w:tcW w:w="1701" w:type="dxa"/>
            <w:tcBorders>
              <w:top w:val="single" w:sz="12" w:space="0" w:color="auto"/>
            </w:tcBorders>
            <w:shd w:val="clear" w:color="auto" w:fill="auto"/>
            <w:tcMar>
              <w:top w:w="0" w:type="dxa"/>
              <w:left w:w="0" w:type="dxa"/>
              <w:bottom w:w="0" w:type="dxa"/>
              <w:right w:w="0" w:type="dxa"/>
            </w:tcMar>
            <w:vAlign w:val="bottom"/>
          </w:tcPr>
          <w:p w:rsidR="002D5BB0" w:rsidRPr="00222917" w:rsidRDefault="002D5BB0" w:rsidP="004753AA">
            <w:pPr>
              <w:pStyle w:val="SingleTxtG"/>
              <w:suppressAutoHyphens w:val="0"/>
              <w:spacing w:before="40" w:after="40" w:line="220" w:lineRule="exact"/>
              <w:ind w:left="0" w:right="0"/>
              <w:jc w:val="right"/>
              <w:rPr>
                <w:sz w:val="18"/>
                <w:lang w:val="en-US"/>
              </w:rPr>
            </w:pPr>
            <w:r w:rsidRPr="00222917">
              <w:rPr>
                <w:sz w:val="18"/>
                <w:lang w:val="en-US"/>
              </w:rPr>
              <w:t>27,845</w:t>
            </w:r>
          </w:p>
        </w:tc>
        <w:tc>
          <w:tcPr>
            <w:tcW w:w="1701" w:type="dxa"/>
            <w:tcBorders>
              <w:top w:val="single" w:sz="12" w:space="0" w:color="auto"/>
            </w:tcBorders>
            <w:shd w:val="clear" w:color="auto" w:fill="auto"/>
            <w:tcMar>
              <w:top w:w="0" w:type="dxa"/>
              <w:left w:w="0" w:type="dxa"/>
              <w:bottom w:w="0" w:type="dxa"/>
              <w:right w:w="0" w:type="dxa"/>
            </w:tcMar>
            <w:vAlign w:val="bottom"/>
          </w:tcPr>
          <w:p w:rsidR="002D5BB0" w:rsidRPr="00222917" w:rsidRDefault="002D5BB0" w:rsidP="004753AA">
            <w:pPr>
              <w:pStyle w:val="SingleTxtG"/>
              <w:suppressAutoHyphens w:val="0"/>
              <w:spacing w:before="40" w:after="40" w:line="220" w:lineRule="exact"/>
              <w:ind w:left="0" w:right="0"/>
              <w:jc w:val="right"/>
              <w:rPr>
                <w:sz w:val="18"/>
                <w:lang w:val="en-US"/>
              </w:rPr>
            </w:pPr>
            <w:r w:rsidRPr="00222917">
              <w:rPr>
                <w:sz w:val="18"/>
                <w:lang w:val="en-US"/>
              </w:rPr>
              <w:t>29,054</w:t>
            </w:r>
          </w:p>
        </w:tc>
        <w:tc>
          <w:tcPr>
            <w:tcW w:w="1701" w:type="dxa"/>
            <w:tcBorders>
              <w:top w:val="single" w:sz="12" w:space="0" w:color="auto"/>
            </w:tcBorders>
            <w:shd w:val="clear" w:color="auto" w:fill="auto"/>
            <w:tcMar>
              <w:top w:w="0" w:type="dxa"/>
              <w:left w:w="0" w:type="dxa"/>
              <w:bottom w:w="0" w:type="dxa"/>
              <w:right w:w="0" w:type="dxa"/>
            </w:tcMar>
            <w:vAlign w:val="bottom"/>
          </w:tcPr>
          <w:p w:rsidR="002D5BB0" w:rsidRPr="00222917" w:rsidRDefault="002D5BB0" w:rsidP="004753AA">
            <w:pPr>
              <w:pStyle w:val="SingleTxtG"/>
              <w:suppressAutoHyphens w:val="0"/>
              <w:spacing w:before="40" w:after="40" w:line="220" w:lineRule="exact"/>
              <w:ind w:left="0" w:right="0"/>
              <w:jc w:val="right"/>
              <w:rPr>
                <w:b/>
                <w:sz w:val="18"/>
                <w:lang w:val="en-US"/>
              </w:rPr>
            </w:pPr>
            <w:r w:rsidRPr="00222917">
              <w:rPr>
                <w:b/>
                <w:bCs/>
                <w:sz w:val="18"/>
                <w:lang w:val="en-US"/>
              </w:rPr>
              <w:t>56,899</w:t>
            </w:r>
          </w:p>
        </w:tc>
      </w:tr>
      <w:tr w:rsidR="00047930" w:rsidRPr="00222917" w:rsidTr="002C5118">
        <w:tc>
          <w:tcPr>
            <w:tcW w:w="2267" w:type="dxa"/>
            <w:shd w:val="clear" w:color="auto" w:fill="auto"/>
            <w:tcMar>
              <w:top w:w="0" w:type="dxa"/>
              <w:left w:w="0" w:type="dxa"/>
              <w:bottom w:w="0" w:type="dxa"/>
              <w:right w:w="0" w:type="dxa"/>
            </w:tcMar>
          </w:tcPr>
          <w:p w:rsidR="002D5BB0" w:rsidRPr="00222917" w:rsidRDefault="002D5BB0" w:rsidP="004753AA">
            <w:pPr>
              <w:pStyle w:val="SingleTxtG"/>
              <w:suppressAutoHyphens w:val="0"/>
              <w:spacing w:before="40" w:after="40" w:line="220" w:lineRule="exact"/>
              <w:ind w:left="0" w:right="0"/>
              <w:jc w:val="left"/>
              <w:rPr>
                <w:sz w:val="18"/>
                <w:lang w:val="en-US"/>
              </w:rPr>
            </w:pPr>
            <w:r w:rsidRPr="00222917">
              <w:rPr>
                <w:sz w:val="18"/>
                <w:lang w:val="en-US"/>
              </w:rPr>
              <w:t>2008</w:t>
            </w:r>
          </w:p>
        </w:tc>
        <w:tc>
          <w:tcPr>
            <w:tcW w:w="1701" w:type="dxa"/>
            <w:shd w:val="clear" w:color="auto" w:fill="auto"/>
            <w:tcMar>
              <w:top w:w="0" w:type="dxa"/>
              <w:left w:w="0" w:type="dxa"/>
              <w:bottom w:w="0" w:type="dxa"/>
              <w:right w:w="0" w:type="dxa"/>
            </w:tcMar>
            <w:vAlign w:val="bottom"/>
          </w:tcPr>
          <w:p w:rsidR="002D5BB0" w:rsidRPr="00222917" w:rsidRDefault="002D5BB0" w:rsidP="004753AA">
            <w:pPr>
              <w:pStyle w:val="SingleTxtG"/>
              <w:suppressAutoHyphens w:val="0"/>
              <w:spacing w:before="40" w:after="40" w:line="220" w:lineRule="exact"/>
              <w:ind w:left="0" w:right="0"/>
              <w:jc w:val="right"/>
              <w:rPr>
                <w:sz w:val="18"/>
                <w:lang w:val="en-US"/>
              </w:rPr>
            </w:pPr>
            <w:r w:rsidRPr="00222917">
              <w:rPr>
                <w:sz w:val="18"/>
                <w:lang w:val="en-US"/>
              </w:rPr>
              <w:t>40,977</w:t>
            </w:r>
          </w:p>
        </w:tc>
        <w:tc>
          <w:tcPr>
            <w:tcW w:w="1701" w:type="dxa"/>
            <w:shd w:val="clear" w:color="auto" w:fill="auto"/>
            <w:tcMar>
              <w:top w:w="0" w:type="dxa"/>
              <w:left w:w="0" w:type="dxa"/>
              <w:bottom w:w="0" w:type="dxa"/>
              <w:right w:w="0" w:type="dxa"/>
            </w:tcMar>
            <w:vAlign w:val="bottom"/>
          </w:tcPr>
          <w:p w:rsidR="002D5BB0" w:rsidRPr="00222917" w:rsidRDefault="002D5BB0" w:rsidP="004753AA">
            <w:pPr>
              <w:pStyle w:val="SingleTxtG"/>
              <w:suppressAutoHyphens w:val="0"/>
              <w:spacing w:before="40" w:after="40" w:line="220" w:lineRule="exact"/>
              <w:ind w:left="0" w:right="0"/>
              <w:jc w:val="right"/>
              <w:rPr>
                <w:sz w:val="18"/>
                <w:lang w:val="en-US"/>
              </w:rPr>
            </w:pPr>
            <w:r w:rsidRPr="00222917">
              <w:rPr>
                <w:sz w:val="18"/>
                <w:lang w:val="en-US"/>
              </w:rPr>
              <w:t>40,025</w:t>
            </w:r>
          </w:p>
        </w:tc>
        <w:tc>
          <w:tcPr>
            <w:tcW w:w="1701" w:type="dxa"/>
            <w:shd w:val="clear" w:color="auto" w:fill="auto"/>
            <w:tcMar>
              <w:top w:w="0" w:type="dxa"/>
              <w:left w:w="0" w:type="dxa"/>
              <w:bottom w:w="0" w:type="dxa"/>
              <w:right w:w="0" w:type="dxa"/>
            </w:tcMar>
            <w:vAlign w:val="bottom"/>
          </w:tcPr>
          <w:p w:rsidR="002D5BB0" w:rsidRPr="00222917" w:rsidRDefault="002D5BB0" w:rsidP="004753AA">
            <w:pPr>
              <w:pStyle w:val="SingleTxtG"/>
              <w:suppressAutoHyphens w:val="0"/>
              <w:spacing w:before="40" w:after="40" w:line="220" w:lineRule="exact"/>
              <w:ind w:left="0" w:right="0"/>
              <w:jc w:val="right"/>
              <w:rPr>
                <w:b/>
                <w:sz w:val="18"/>
                <w:lang w:val="en-US"/>
              </w:rPr>
            </w:pPr>
            <w:r w:rsidRPr="00222917">
              <w:rPr>
                <w:b/>
                <w:bCs/>
                <w:sz w:val="18"/>
                <w:lang w:val="en-US"/>
              </w:rPr>
              <w:t>79,933</w:t>
            </w:r>
          </w:p>
        </w:tc>
      </w:tr>
      <w:tr w:rsidR="00047930" w:rsidRPr="00222917" w:rsidTr="002C5118">
        <w:tc>
          <w:tcPr>
            <w:tcW w:w="2267" w:type="dxa"/>
            <w:shd w:val="clear" w:color="auto" w:fill="auto"/>
            <w:tcMar>
              <w:top w:w="0" w:type="dxa"/>
              <w:left w:w="0" w:type="dxa"/>
              <w:bottom w:w="0" w:type="dxa"/>
              <w:right w:w="0" w:type="dxa"/>
            </w:tcMar>
          </w:tcPr>
          <w:p w:rsidR="002D5BB0" w:rsidRPr="00222917" w:rsidRDefault="002D5BB0" w:rsidP="004753AA">
            <w:pPr>
              <w:pStyle w:val="SingleTxtG"/>
              <w:suppressAutoHyphens w:val="0"/>
              <w:spacing w:before="40" w:after="40" w:line="220" w:lineRule="exact"/>
              <w:ind w:left="0" w:right="0"/>
              <w:jc w:val="left"/>
              <w:rPr>
                <w:sz w:val="18"/>
                <w:lang w:val="en-US"/>
              </w:rPr>
            </w:pPr>
            <w:r w:rsidRPr="00222917">
              <w:rPr>
                <w:sz w:val="18"/>
                <w:lang w:val="en-US"/>
              </w:rPr>
              <w:t>2009</w:t>
            </w:r>
          </w:p>
        </w:tc>
        <w:tc>
          <w:tcPr>
            <w:tcW w:w="1701" w:type="dxa"/>
            <w:shd w:val="clear" w:color="auto" w:fill="auto"/>
            <w:tcMar>
              <w:top w:w="0" w:type="dxa"/>
              <w:left w:w="0" w:type="dxa"/>
              <w:bottom w:w="0" w:type="dxa"/>
              <w:right w:w="0" w:type="dxa"/>
            </w:tcMar>
            <w:vAlign w:val="bottom"/>
          </w:tcPr>
          <w:p w:rsidR="002D5BB0" w:rsidRPr="00222917" w:rsidRDefault="002D5BB0" w:rsidP="004753AA">
            <w:pPr>
              <w:pStyle w:val="SingleTxtG"/>
              <w:suppressAutoHyphens w:val="0"/>
              <w:spacing w:before="40" w:after="40" w:line="220" w:lineRule="exact"/>
              <w:ind w:left="0" w:right="0"/>
              <w:jc w:val="right"/>
              <w:rPr>
                <w:sz w:val="18"/>
                <w:lang w:val="en-US"/>
              </w:rPr>
            </w:pPr>
            <w:r w:rsidRPr="00222917">
              <w:rPr>
                <w:sz w:val="18"/>
                <w:lang w:val="en-US"/>
              </w:rPr>
              <w:t>47,825</w:t>
            </w:r>
          </w:p>
        </w:tc>
        <w:tc>
          <w:tcPr>
            <w:tcW w:w="1701" w:type="dxa"/>
            <w:shd w:val="clear" w:color="auto" w:fill="auto"/>
            <w:tcMar>
              <w:top w:w="0" w:type="dxa"/>
              <w:left w:w="0" w:type="dxa"/>
              <w:bottom w:w="0" w:type="dxa"/>
              <w:right w:w="0" w:type="dxa"/>
            </w:tcMar>
            <w:vAlign w:val="bottom"/>
          </w:tcPr>
          <w:p w:rsidR="002D5BB0" w:rsidRPr="00222917" w:rsidRDefault="002D5BB0" w:rsidP="004753AA">
            <w:pPr>
              <w:pStyle w:val="SingleTxtG"/>
              <w:suppressAutoHyphens w:val="0"/>
              <w:spacing w:before="40" w:after="40" w:line="220" w:lineRule="exact"/>
              <w:ind w:left="0" w:right="0"/>
              <w:jc w:val="right"/>
              <w:rPr>
                <w:sz w:val="18"/>
                <w:lang w:val="en-US"/>
              </w:rPr>
            </w:pPr>
            <w:r w:rsidRPr="00222917">
              <w:rPr>
                <w:sz w:val="18"/>
                <w:lang w:val="en-US"/>
              </w:rPr>
              <w:t>50,195</w:t>
            </w:r>
          </w:p>
        </w:tc>
        <w:tc>
          <w:tcPr>
            <w:tcW w:w="1701" w:type="dxa"/>
            <w:shd w:val="clear" w:color="auto" w:fill="auto"/>
            <w:tcMar>
              <w:top w:w="0" w:type="dxa"/>
              <w:left w:w="0" w:type="dxa"/>
              <w:bottom w:w="0" w:type="dxa"/>
              <w:right w:w="0" w:type="dxa"/>
            </w:tcMar>
            <w:vAlign w:val="bottom"/>
          </w:tcPr>
          <w:p w:rsidR="002D5BB0" w:rsidRPr="00222917" w:rsidRDefault="002D5BB0" w:rsidP="004753AA">
            <w:pPr>
              <w:pStyle w:val="SingleTxtG"/>
              <w:suppressAutoHyphens w:val="0"/>
              <w:spacing w:before="40" w:after="40" w:line="220" w:lineRule="exact"/>
              <w:ind w:left="0" w:right="0"/>
              <w:jc w:val="right"/>
              <w:rPr>
                <w:b/>
                <w:sz w:val="18"/>
                <w:lang w:val="en-US"/>
              </w:rPr>
            </w:pPr>
            <w:r w:rsidRPr="00222917">
              <w:rPr>
                <w:b/>
                <w:bCs/>
                <w:sz w:val="18"/>
                <w:lang w:val="en-US"/>
              </w:rPr>
              <w:t>98,020</w:t>
            </w:r>
          </w:p>
        </w:tc>
      </w:tr>
      <w:tr w:rsidR="00047930" w:rsidRPr="00222917" w:rsidTr="002C5118">
        <w:tc>
          <w:tcPr>
            <w:tcW w:w="2267" w:type="dxa"/>
            <w:tcBorders>
              <w:bottom w:val="single" w:sz="12" w:space="0" w:color="auto"/>
            </w:tcBorders>
            <w:shd w:val="clear" w:color="auto" w:fill="auto"/>
            <w:tcMar>
              <w:top w:w="0" w:type="dxa"/>
              <w:left w:w="0" w:type="dxa"/>
              <w:bottom w:w="0" w:type="dxa"/>
              <w:right w:w="0" w:type="dxa"/>
            </w:tcMar>
          </w:tcPr>
          <w:p w:rsidR="002D5BB0" w:rsidRPr="00222917" w:rsidRDefault="002D5BB0" w:rsidP="004753AA">
            <w:pPr>
              <w:pStyle w:val="SingleTxtG"/>
              <w:suppressAutoHyphens w:val="0"/>
              <w:spacing w:before="40" w:after="40" w:line="220" w:lineRule="exact"/>
              <w:ind w:left="0" w:right="0"/>
              <w:jc w:val="left"/>
              <w:rPr>
                <w:sz w:val="18"/>
                <w:lang w:val="en-US"/>
              </w:rPr>
            </w:pPr>
            <w:r w:rsidRPr="00222917">
              <w:rPr>
                <w:sz w:val="18"/>
                <w:lang w:val="en-US"/>
              </w:rPr>
              <w:t>2010</w:t>
            </w:r>
          </w:p>
        </w:tc>
        <w:tc>
          <w:tcPr>
            <w:tcW w:w="1701" w:type="dxa"/>
            <w:tcBorders>
              <w:bottom w:val="single" w:sz="12" w:space="0" w:color="auto"/>
            </w:tcBorders>
            <w:shd w:val="clear" w:color="auto" w:fill="auto"/>
            <w:tcMar>
              <w:top w:w="0" w:type="dxa"/>
              <w:left w:w="0" w:type="dxa"/>
              <w:bottom w:w="0" w:type="dxa"/>
              <w:right w:w="0" w:type="dxa"/>
            </w:tcMar>
            <w:vAlign w:val="bottom"/>
          </w:tcPr>
          <w:p w:rsidR="002D5BB0" w:rsidRPr="00222917" w:rsidRDefault="002D5BB0" w:rsidP="004753AA">
            <w:pPr>
              <w:pStyle w:val="SingleTxtG"/>
              <w:suppressAutoHyphens w:val="0"/>
              <w:spacing w:before="40" w:after="40" w:line="220" w:lineRule="exact"/>
              <w:ind w:left="0" w:right="0"/>
              <w:jc w:val="right"/>
              <w:rPr>
                <w:sz w:val="18"/>
                <w:lang w:val="en-US"/>
              </w:rPr>
            </w:pPr>
            <w:r w:rsidRPr="00222917">
              <w:rPr>
                <w:sz w:val="18"/>
                <w:lang w:val="en-US"/>
              </w:rPr>
              <w:t>67,035</w:t>
            </w:r>
          </w:p>
        </w:tc>
        <w:tc>
          <w:tcPr>
            <w:tcW w:w="1701" w:type="dxa"/>
            <w:tcBorders>
              <w:bottom w:val="single" w:sz="12" w:space="0" w:color="auto"/>
            </w:tcBorders>
            <w:shd w:val="clear" w:color="auto" w:fill="auto"/>
            <w:tcMar>
              <w:top w:w="0" w:type="dxa"/>
              <w:left w:w="0" w:type="dxa"/>
              <w:bottom w:w="0" w:type="dxa"/>
              <w:right w:w="0" w:type="dxa"/>
            </w:tcMar>
            <w:vAlign w:val="bottom"/>
          </w:tcPr>
          <w:p w:rsidR="002D5BB0" w:rsidRPr="00222917" w:rsidRDefault="002D5BB0" w:rsidP="004753AA">
            <w:pPr>
              <w:pStyle w:val="SingleTxtG"/>
              <w:suppressAutoHyphens w:val="0"/>
              <w:spacing w:before="40" w:after="40" w:line="220" w:lineRule="exact"/>
              <w:ind w:left="0" w:right="0"/>
              <w:jc w:val="right"/>
              <w:rPr>
                <w:sz w:val="18"/>
                <w:lang w:val="en-US"/>
              </w:rPr>
            </w:pPr>
            <w:r w:rsidRPr="00222917">
              <w:rPr>
                <w:sz w:val="18"/>
                <w:lang w:val="en-US"/>
              </w:rPr>
              <w:t>61,391</w:t>
            </w:r>
          </w:p>
        </w:tc>
        <w:tc>
          <w:tcPr>
            <w:tcW w:w="1701" w:type="dxa"/>
            <w:tcBorders>
              <w:bottom w:val="single" w:sz="12" w:space="0" w:color="auto"/>
            </w:tcBorders>
            <w:shd w:val="clear" w:color="auto" w:fill="auto"/>
            <w:tcMar>
              <w:top w:w="0" w:type="dxa"/>
              <w:left w:w="0" w:type="dxa"/>
              <w:bottom w:w="0" w:type="dxa"/>
              <w:right w:w="0" w:type="dxa"/>
            </w:tcMar>
            <w:vAlign w:val="bottom"/>
          </w:tcPr>
          <w:p w:rsidR="002D5BB0" w:rsidRPr="00222917" w:rsidRDefault="002D5BB0" w:rsidP="004753AA">
            <w:pPr>
              <w:pStyle w:val="SingleTxtG"/>
              <w:suppressAutoHyphens w:val="0"/>
              <w:spacing w:before="40" w:after="40" w:line="220" w:lineRule="exact"/>
              <w:ind w:left="0" w:right="0"/>
              <w:jc w:val="right"/>
              <w:rPr>
                <w:b/>
                <w:bCs/>
                <w:sz w:val="18"/>
                <w:lang w:val="en-US"/>
              </w:rPr>
            </w:pPr>
            <w:r w:rsidRPr="00222917">
              <w:rPr>
                <w:b/>
                <w:bCs/>
                <w:sz w:val="18"/>
                <w:lang w:val="en-US"/>
              </w:rPr>
              <w:t>128,426</w:t>
            </w:r>
          </w:p>
        </w:tc>
      </w:tr>
    </w:tbl>
    <w:p w:rsidR="002D5BB0" w:rsidRPr="00222917" w:rsidRDefault="00984B6F" w:rsidP="00984B6F">
      <w:pPr>
        <w:pStyle w:val="H23G"/>
        <w:rPr>
          <w:b w:val="0"/>
          <w:sz w:val="16"/>
          <w:szCs w:val="16"/>
          <w:lang w:val="en-US"/>
        </w:rPr>
      </w:pPr>
      <w:r w:rsidRPr="00222917">
        <w:rPr>
          <w:lang w:val="en-US"/>
        </w:rPr>
        <w:tab/>
      </w:r>
      <w:r w:rsidRPr="00222917">
        <w:rPr>
          <w:lang w:val="en-US"/>
        </w:rPr>
        <w:tab/>
      </w:r>
      <w:r w:rsidR="002D5BB0" w:rsidRPr="00222917">
        <w:rPr>
          <w:lang w:val="en-US"/>
        </w:rPr>
        <w:t>Types of CYS-Net Services</w:t>
      </w:r>
      <w:r w:rsidRPr="00222917">
        <w:rPr>
          <w:lang w:val="en-US"/>
        </w:rPr>
        <w:br/>
      </w:r>
      <w:r w:rsidR="002D5BB0" w:rsidRPr="00222917">
        <w:rPr>
          <w:b w:val="0"/>
          <w:sz w:val="16"/>
          <w:szCs w:val="16"/>
          <w:lang w:val="en-US"/>
        </w:rPr>
        <w:t>(Number of cases)</w:t>
      </w:r>
    </w:p>
    <w:tbl>
      <w:tblPr>
        <w:tblW w:w="8505" w:type="dxa"/>
        <w:tblInd w:w="1134" w:type="dxa"/>
        <w:tblBorders>
          <w:top w:val="single" w:sz="4" w:space="0" w:color="auto"/>
        </w:tblBorders>
        <w:tblLayout w:type="fixed"/>
        <w:tblCellMar>
          <w:left w:w="0" w:type="dxa"/>
          <w:right w:w="0" w:type="dxa"/>
        </w:tblCellMar>
        <w:tblLook w:val="00A0"/>
      </w:tblPr>
      <w:tblGrid>
        <w:gridCol w:w="851"/>
        <w:gridCol w:w="851"/>
        <w:gridCol w:w="851"/>
        <w:gridCol w:w="851"/>
        <w:gridCol w:w="851"/>
        <w:gridCol w:w="850"/>
        <w:gridCol w:w="850"/>
        <w:gridCol w:w="850"/>
        <w:gridCol w:w="850"/>
        <w:gridCol w:w="850"/>
      </w:tblGrid>
      <w:tr w:rsidR="00047930" w:rsidRPr="00222917" w:rsidTr="004731D0">
        <w:trPr>
          <w:tblHeader/>
        </w:trPr>
        <w:tc>
          <w:tcPr>
            <w:tcW w:w="851"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047930" w:rsidRPr="00222917" w:rsidRDefault="00047930" w:rsidP="004731D0">
            <w:pPr>
              <w:suppressAutoHyphens w:val="0"/>
              <w:snapToGrid w:val="0"/>
              <w:spacing w:before="80" w:after="80" w:line="200" w:lineRule="exact"/>
              <w:rPr>
                <w:i/>
                <w:sz w:val="16"/>
                <w:lang w:val="en-US"/>
              </w:rPr>
            </w:pPr>
            <w:r w:rsidRPr="00222917">
              <w:rPr>
                <w:bCs/>
                <w:i/>
                <w:sz w:val="16"/>
                <w:lang w:val="en-US"/>
              </w:rPr>
              <w:t>Description</w:t>
            </w:r>
          </w:p>
        </w:tc>
        <w:tc>
          <w:tcPr>
            <w:tcW w:w="851"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047930" w:rsidRPr="00222917" w:rsidRDefault="004731D0" w:rsidP="004731D0">
            <w:pPr>
              <w:suppressAutoHyphens w:val="0"/>
              <w:snapToGrid w:val="0"/>
              <w:spacing w:before="80" w:after="80" w:line="200" w:lineRule="exact"/>
              <w:jc w:val="right"/>
              <w:rPr>
                <w:i/>
                <w:sz w:val="16"/>
                <w:lang w:val="en-US"/>
              </w:rPr>
            </w:pPr>
            <w:r w:rsidRPr="00222917">
              <w:rPr>
                <w:bCs/>
                <w:i/>
                <w:sz w:val="16"/>
                <w:lang w:val="en-US"/>
              </w:rPr>
              <w:t>Counselling</w:t>
            </w:r>
            <w:r w:rsidR="00047930" w:rsidRPr="00222917">
              <w:rPr>
                <w:bCs/>
                <w:i/>
                <w:sz w:val="16"/>
                <w:lang w:val="en-US"/>
              </w:rPr>
              <w:t xml:space="preserve"> and emotional support</w:t>
            </w:r>
          </w:p>
        </w:tc>
        <w:tc>
          <w:tcPr>
            <w:tcW w:w="851"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047930" w:rsidRPr="00222917" w:rsidRDefault="00047930" w:rsidP="004731D0">
            <w:pPr>
              <w:suppressAutoHyphens w:val="0"/>
              <w:snapToGrid w:val="0"/>
              <w:spacing w:before="80" w:after="80" w:line="200" w:lineRule="exact"/>
              <w:jc w:val="right"/>
              <w:rPr>
                <w:i/>
                <w:sz w:val="16"/>
                <w:lang w:val="en-US"/>
              </w:rPr>
            </w:pPr>
            <w:r w:rsidRPr="00222917">
              <w:rPr>
                <w:bCs/>
                <w:i/>
                <w:sz w:val="16"/>
                <w:lang w:val="en-US"/>
              </w:rPr>
              <w:t>Social protection</w:t>
            </w:r>
          </w:p>
        </w:tc>
        <w:tc>
          <w:tcPr>
            <w:tcW w:w="851"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047930" w:rsidRPr="00222917" w:rsidRDefault="00047930" w:rsidP="004731D0">
            <w:pPr>
              <w:suppressAutoHyphens w:val="0"/>
              <w:snapToGrid w:val="0"/>
              <w:spacing w:before="80" w:after="80" w:line="200" w:lineRule="exact"/>
              <w:jc w:val="right"/>
              <w:rPr>
                <w:i/>
                <w:sz w:val="16"/>
                <w:lang w:val="en-US"/>
              </w:rPr>
            </w:pPr>
            <w:r w:rsidRPr="00222917">
              <w:rPr>
                <w:bCs/>
                <w:i/>
                <w:sz w:val="16"/>
                <w:lang w:val="en-US"/>
              </w:rPr>
              <w:t xml:space="preserve">Basic </w:t>
            </w:r>
            <w:r w:rsidR="000151D3" w:rsidRPr="00222917">
              <w:rPr>
                <w:bCs/>
                <w:i/>
                <w:sz w:val="16"/>
                <w:lang w:val="en-US"/>
              </w:rPr>
              <w:t>lively-</w:t>
            </w:r>
            <w:r w:rsidR="000151D3" w:rsidRPr="00222917">
              <w:rPr>
                <w:bCs/>
                <w:i/>
                <w:sz w:val="16"/>
                <w:lang w:val="en-US"/>
              </w:rPr>
              <w:br/>
            </w:r>
            <w:r w:rsidRPr="00222917">
              <w:rPr>
                <w:bCs/>
                <w:i/>
                <w:sz w:val="16"/>
                <w:lang w:val="en-US"/>
              </w:rPr>
              <w:t>hood and financial assistance</w:t>
            </w:r>
          </w:p>
        </w:tc>
        <w:tc>
          <w:tcPr>
            <w:tcW w:w="851"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047930" w:rsidRPr="00222917" w:rsidRDefault="00047930" w:rsidP="004731D0">
            <w:pPr>
              <w:suppressAutoHyphens w:val="0"/>
              <w:snapToGrid w:val="0"/>
              <w:spacing w:before="80" w:after="80" w:line="200" w:lineRule="exact"/>
              <w:jc w:val="right"/>
              <w:rPr>
                <w:i/>
                <w:sz w:val="16"/>
                <w:lang w:val="en-US"/>
              </w:rPr>
            </w:pPr>
            <w:r w:rsidRPr="00222917">
              <w:rPr>
                <w:bCs/>
                <w:i/>
                <w:sz w:val="16"/>
                <w:lang w:val="en-US"/>
              </w:rPr>
              <w:t>Educa</w:t>
            </w:r>
            <w:r w:rsidR="004731D0" w:rsidRPr="00222917">
              <w:rPr>
                <w:bCs/>
                <w:i/>
                <w:sz w:val="16"/>
                <w:lang w:val="en-US"/>
              </w:rPr>
              <w:t>-</w:t>
            </w:r>
            <w:r w:rsidR="004731D0" w:rsidRPr="00222917">
              <w:rPr>
                <w:bCs/>
                <w:i/>
                <w:sz w:val="16"/>
                <w:lang w:val="en-US"/>
              </w:rPr>
              <w:br/>
            </w:r>
            <w:r w:rsidRPr="00222917">
              <w:rPr>
                <w:bCs/>
                <w:i/>
                <w:sz w:val="16"/>
                <w:lang w:val="en-US"/>
              </w:rPr>
              <w:t>tional and academic support</w:t>
            </w:r>
          </w:p>
        </w:tc>
        <w:tc>
          <w:tcPr>
            <w:tcW w:w="851"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047930" w:rsidRPr="00222917" w:rsidRDefault="00047930" w:rsidP="004731D0">
            <w:pPr>
              <w:suppressAutoHyphens w:val="0"/>
              <w:snapToGrid w:val="0"/>
              <w:spacing w:before="80" w:after="80" w:line="200" w:lineRule="exact"/>
              <w:jc w:val="right"/>
              <w:rPr>
                <w:i/>
                <w:sz w:val="16"/>
                <w:lang w:val="en-US"/>
              </w:rPr>
            </w:pPr>
            <w:r w:rsidRPr="00222917">
              <w:rPr>
                <w:bCs/>
                <w:i/>
                <w:sz w:val="16"/>
                <w:lang w:val="en-US"/>
              </w:rPr>
              <w:t>Self-</w:t>
            </w:r>
            <w:r w:rsidR="000151D3" w:rsidRPr="00222917">
              <w:rPr>
                <w:bCs/>
                <w:i/>
                <w:sz w:val="16"/>
                <w:lang w:val="en-US"/>
              </w:rPr>
              <w:br/>
            </w:r>
            <w:r w:rsidRPr="00222917">
              <w:rPr>
                <w:bCs/>
                <w:i/>
                <w:sz w:val="16"/>
                <w:lang w:val="en-US"/>
              </w:rPr>
              <w:t>reliance support</w:t>
            </w:r>
          </w:p>
        </w:tc>
        <w:tc>
          <w:tcPr>
            <w:tcW w:w="851"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047930" w:rsidRPr="00222917" w:rsidRDefault="00047930" w:rsidP="004731D0">
            <w:pPr>
              <w:suppressAutoHyphens w:val="0"/>
              <w:snapToGrid w:val="0"/>
              <w:spacing w:before="80" w:after="80" w:line="200" w:lineRule="exact"/>
              <w:jc w:val="right"/>
              <w:rPr>
                <w:i/>
                <w:sz w:val="16"/>
                <w:lang w:val="en-US"/>
              </w:rPr>
            </w:pPr>
            <w:r w:rsidRPr="00222917">
              <w:rPr>
                <w:bCs/>
                <w:i/>
                <w:sz w:val="16"/>
                <w:lang w:val="en-US"/>
              </w:rPr>
              <w:t>Medical support</w:t>
            </w:r>
          </w:p>
        </w:tc>
        <w:tc>
          <w:tcPr>
            <w:tcW w:w="851"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047930" w:rsidRPr="00222917" w:rsidRDefault="00047930" w:rsidP="004731D0">
            <w:pPr>
              <w:suppressAutoHyphens w:val="0"/>
              <w:snapToGrid w:val="0"/>
              <w:spacing w:before="80" w:after="80" w:line="200" w:lineRule="exact"/>
              <w:jc w:val="right"/>
              <w:rPr>
                <w:i/>
                <w:sz w:val="16"/>
                <w:lang w:val="en-US"/>
              </w:rPr>
            </w:pPr>
            <w:r w:rsidRPr="00222917">
              <w:rPr>
                <w:bCs/>
                <w:i/>
                <w:sz w:val="16"/>
                <w:lang w:val="en-US"/>
              </w:rPr>
              <w:t xml:space="preserve">Legal </w:t>
            </w:r>
            <w:r w:rsidR="004731D0" w:rsidRPr="00222917">
              <w:rPr>
                <w:bCs/>
                <w:i/>
                <w:sz w:val="16"/>
                <w:lang w:val="en-US"/>
              </w:rPr>
              <w:t>counselling</w:t>
            </w:r>
            <w:r w:rsidRPr="00222917">
              <w:rPr>
                <w:bCs/>
                <w:i/>
                <w:sz w:val="16"/>
                <w:lang w:val="en-US"/>
              </w:rPr>
              <w:t xml:space="preserve"> and remedy of right infringement</w:t>
            </w:r>
          </w:p>
        </w:tc>
        <w:tc>
          <w:tcPr>
            <w:tcW w:w="851"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047930" w:rsidRPr="00222917" w:rsidRDefault="004731D0" w:rsidP="004731D0">
            <w:pPr>
              <w:suppressAutoHyphens w:val="0"/>
              <w:snapToGrid w:val="0"/>
              <w:spacing w:before="80" w:after="80" w:line="200" w:lineRule="exact"/>
              <w:jc w:val="right"/>
              <w:rPr>
                <w:i/>
                <w:sz w:val="16"/>
                <w:lang w:val="en-US"/>
              </w:rPr>
            </w:pPr>
            <w:r w:rsidRPr="00222917">
              <w:rPr>
                <w:bCs/>
                <w:i/>
                <w:sz w:val="16"/>
                <w:lang w:val="en-US"/>
              </w:rPr>
              <w:t xml:space="preserve">Leisure </w:t>
            </w:r>
            <w:r w:rsidR="00047930" w:rsidRPr="00222917">
              <w:rPr>
                <w:bCs/>
                <w:i/>
                <w:sz w:val="16"/>
                <w:lang w:val="en-US"/>
              </w:rPr>
              <w:t>and cultural activity support</w:t>
            </w:r>
          </w:p>
        </w:tc>
        <w:tc>
          <w:tcPr>
            <w:tcW w:w="851"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047930" w:rsidRPr="00222917" w:rsidRDefault="00047930" w:rsidP="004731D0">
            <w:pPr>
              <w:suppressAutoHyphens w:val="0"/>
              <w:snapToGrid w:val="0"/>
              <w:spacing w:before="80" w:after="80" w:line="200" w:lineRule="exact"/>
              <w:jc w:val="right"/>
              <w:rPr>
                <w:b/>
                <w:i/>
                <w:sz w:val="16"/>
                <w:lang w:val="en-US"/>
              </w:rPr>
            </w:pPr>
            <w:r w:rsidRPr="00222917">
              <w:rPr>
                <w:b/>
                <w:bCs/>
                <w:i/>
                <w:sz w:val="16"/>
                <w:lang w:val="en-US"/>
              </w:rPr>
              <w:t>Total</w:t>
            </w:r>
          </w:p>
        </w:tc>
      </w:tr>
      <w:tr w:rsidR="00047930" w:rsidRPr="00222917" w:rsidTr="004731D0">
        <w:tc>
          <w:tcPr>
            <w:tcW w:w="851" w:type="dxa"/>
            <w:tcBorders>
              <w:top w:val="single" w:sz="12" w:space="0" w:color="auto"/>
            </w:tcBorders>
            <w:shd w:val="clear" w:color="auto" w:fill="auto"/>
            <w:tcMar>
              <w:top w:w="0" w:type="dxa"/>
              <w:left w:w="0" w:type="dxa"/>
              <w:bottom w:w="0" w:type="dxa"/>
              <w:right w:w="0" w:type="dxa"/>
            </w:tcMar>
          </w:tcPr>
          <w:p w:rsidR="00047930" w:rsidRPr="00222917" w:rsidRDefault="00047930" w:rsidP="004731D0">
            <w:pPr>
              <w:suppressAutoHyphens w:val="0"/>
              <w:snapToGrid w:val="0"/>
              <w:spacing w:before="40" w:after="40" w:line="220" w:lineRule="exact"/>
              <w:rPr>
                <w:rFonts w:eastAsia="휴먼명조"/>
                <w:sz w:val="18"/>
                <w:szCs w:val="22"/>
                <w:lang w:val="en-US"/>
              </w:rPr>
            </w:pPr>
            <w:r w:rsidRPr="00222917">
              <w:rPr>
                <w:sz w:val="18"/>
                <w:szCs w:val="22"/>
                <w:lang w:val="en-US"/>
              </w:rPr>
              <w:t>2007</w:t>
            </w:r>
          </w:p>
        </w:tc>
        <w:tc>
          <w:tcPr>
            <w:tcW w:w="851" w:type="dxa"/>
            <w:tcBorders>
              <w:top w:val="single" w:sz="12" w:space="0" w:color="auto"/>
            </w:tcBorders>
            <w:shd w:val="clear" w:color="auto" w:fill="auto"/>
            <w:tcMar>
              <w:top w:w="0" w:type="dxa"/>
              <w:left w:w="0" w:type="dxa"/>
              <w:bottom w:w="0" w:type="dxa"/>
              <w:right w:w="0" w:type="dxa"/>
            </w:tcMar>
            <w:vAlign w:val="bottom"/>
          </w:tcPr>
          <w:p w:rsidR="00047930" w:rsidRPr="00222917" w:rsidRDefault="00047930" w:rsidP="004731D0">
            <w:pPr>
              <w:suppressAutoHyphens w:val="0"/>
              <w:snapToGrid w:val="0"/>
              <w:spacing w:before="40" w:after="40" w:line="220" w:lineRule="exact"/>
              <w:jc w:val="right"/>
              <w:rPr>
                <w:sz w:val="18"/>
                <w:szCs w:val="22"/>
                <w:lang w:val="en-US"/>
              </w:rPr>
            </w:pPr>
            <w:r w:rsidRPr="00222917">
              <w:rPr>
                <w:sz w:val="18"/>
                <w:szCs w:val="22"/>
                <w:lang w:val="en-US"/>
              </w:rPr>
              <w:t>303,356</w:t>
            </w:r>
          </w:p>
        </w:tc>
        <w:tc>
          <w:tcPr>
            <w:tcW w:w="851" w:type="dxa"/>
            <w:tcBorders>
              <w:top w:val="single" w:sz="12" w:space="0" w:color="auto"/>
            </w:tcBorders>
            <w:shd w:val="clear" w:color="auto" w:fill="auto"/>
            <w:tcMar>
              <w:top w:w="0" w:type="dxa"/>
              <w:left w:w="0" w:type="dxa"/>
              <w:bottom w:w="0" w:type="dxa"/>
              <w:right w:w="0" w:type="dxa"/>
            </w:tcMar>
            <w:vAlign w:val="bottom"/>
          </w:tcPr>
          <w:p w:rsidR="00047930" w:rsidRPr="00222917" w:rsidRDefault="00047930" w:rsidP="004731D0">
            <w:pPr>
              <w:suppressAutoHyphens w:val="0"/>
              <w:snapToGrid w:val="0"/>
              <w:spacing w:before="40" w:after="40" w:line="220" w:lineRule="exact"/>
              <w:jc w:val="right"/>
              <w:rPr>
                <w:sz w:val="18"/>
                <w:szCs w:val="22"/>
                <w:lang w:val="en-US"/>
              </w:rPr>
            </w:pPr>
            <w:r w:rsidRPr="00222917">
              <w:rPr>
                <w:sz w:val="18"/>
                <w:szCs w:val="22"/>
                <w:lang w:val="en-US"/>
              </w:rPr>
              <w:t>25,176</w:t>
            </w:r>
          </w:p>
        </w:tc>
        <w:tc>
          <w:tcPr>
            <w:tcW w:w="851" w:type="dxa"/>
            <w:tcBorders>
              <w:top w:val="single" w:sz="12" w:space="0" w:color="auto"/>
            </w:tcBorders>
            <w:shd w:val="clear" w:color="auto" w:fill="auto"/>
            <w:tcMar>
              <w:top w:w="0" w:type="dxa"/>
              <w:left w:w="0" w:type="dxa"/>
              <w:bottom w:w="0" w:type="dxa"/>
              <w:right w:w="0" w:type="dxa"/>
            </w:tcMar>
            <w:vAlign w:val="bottom"/>
          </w:tcPr>
          <w:p w:rsidR="00047930" w:rsidRPr="00222917" w:rsidRDefault="00047930" w:rsidP="004731D0">
            <w:pPr>
              <w:suppressAutoHyphens w:val="0"/>
              <w:snapToGrid w:val="0"/>
              <w:spacing w:before="40" w:after="40" w:line="220" w:lineRule="exact"/>
              <w:jc w:val="right"/>
              <w:rPr>
                <w:sz w:val="18"/>
                <w:szCs w:val="22"/>
                <w:lang w:val="en-US"/>
              </w:rPr>
            </w:pPr>
            <w:r w:rsidRPr="00222917">
              <w:rPr>
                <w:sz w:val="18"/>
                <w:szCs w:val="22"/>
                <w:lang w:val="en-US"/>
              </w:rPr>
              <w:t>55,035</w:t>
            </w:r>
          </w:p>
        </w:tc>
        <w:tc>
          <w:tcPr>
            <w:tcW w:w="851" w:type="dxa"/>
            <w:tcBorders>
              <w:top w:val="single" w:sz="12" w:space="0" w:color="auto"/>
            </w:tcBorders>
            <w:shd w:val="clear" w:color="auto" w:fill="auto"/>
            <w:tcMar>
              <w:top w:w="0" w:type="dxa"/>
              <w:left w:w="0" w:type="dxa"/>
              <w:bottom w:w="0" w:type="dxa"/>
              <w:right w:w="0" w:type="dxa"/>
            </w:tcMar>
            <w:vAlign w:val="bottom"/>
          </w:tcPr>
          <w:p w:rsidR="00047930" w:rsidRPr="00222917" w:rsidRDefault="00047930" w:rsidP="004731D0">
            <w:pPr>
              <w:suppressAutoHyphens w:val="0"/>
              <w:snapToGrid w:val="0"/>
              <w:spacing w:before="40" w:after="40" w:line="220" w:lineRule="exact"/>
              <w:jc w:val="right"/>
              <w:rPr>
                <w:sz w:val="18"/>
                <w:szCs w:val="22"/>
                <w:lang w:val="en-US"/>
              </w:rPr>
            </w:pPr>
            <w:r w:rsidRPr="00222917">
              <w:rPr>
                <w:sz w:val="18"/>
                <w:szCs w:val="22"/>
                <w:lang w:val="en-US"/>
              </w:rPr>
              <w:t>6,986</w:t>
            </w:r>
          </w:p>
        </w:tc>
        <w:tc>
          <w:tcPr>
            <w:tcW w:w="851" w:type="dxa"/>
            <w:tcBorders>
              <w:top w:val="single" w:sz="12" w:space="0" w:color="auto"/>
            </w:tcBorders>
            <w:shd w:val="clear" w:color="auto" w:fill="auto"/>
            <w:tcMar>
              <w:top w:w="0" w:type="dxa"/>
              <w:left w:w="0" w:type="dxa"/>
              <w:bottom w:w="0" w:type="dxa"/>
              <w:right w:w="0" w:type="dxa"/>
            </w:tcMar>
            <w:vAlign w:val="bottom"/>
          </w:tcPr>
          <w:p w:rsidR="00047930" w:rsidRPr="00222917" w:rsidRDefault="00047930" w:rsidP="004731D0">
            <w:pPr>
              <w:suppressAutoHyphens w:val="0"/>
              <w:snapToGrid w:val="0"/>
              <w:spacing w:before="40" w:after="40" w:line="220" w:lineRule="exact"/>
              <w:jc w:val="right"/>
              <w:rPr>
                <w:sz w:val="18"/>
                <w:szCs w:val="22"/>
                <w:lang w:val="en-US"/>
              </w:rPr>
            </w:pPr>
            <w:r w:rsidRPr="00222917">
              <w:rPr>
                <w:sz w:val="18"/>
                <w:szCs w:val="22"/>
                <w:lang w:val="en-US"/>
              </w:rPr>
              <w:t>2,463</w:t>
            </w:r>
          </w:p>
        </w:tc>
        <w:tc>
          <w:tcPr>
            <w:tcW w:w="851" w:type="dxa"/>
            <w:tcBorders>
              <w:top w:val="single" w:sz="12" w:space="0" w:color="auto"/>
            </w:tcBorders>
            <w:shd w:val="clear" w:color="auto" w:fill="auto"/>
            <w:tcMar>
              <w:top w:w="0" w:type="dxa"/>
              <w:left w:w="0" w:type="dxa"/>
              <w:bottom w:w="0" w:type="dxa"/>
              <w:right w:w="0" w:type="dxa"/>
            </w:tcMar>
            <w:vAlign w:val="bottom"/>
          </w:tcPr>
          <w:p w:rsidR="00047930" w:rsidRPr="00222917" w:rsidRDefault="00047930" w:rsidP="004731D0">
            <w:pPr>
              <w:suppressAutoHyphens w:val="0"/>
              <w:snapToGrid w:val="0"/>
              <w:spacing w:before="40" w:after="40" w:line="220" w:lineRule="exact"/>
              <w:jc w:val="right"/>
              <w:rPr>
                <w:sz w:val="18"/>
                <w:szCs w:val="22"/>
                <w:lang w:val="en-US"/>
              </w:rPr>
            </w:pPr>
            <w:r w:rsidRPr="00222917">
              <w:rPr>
                <w:sz w:val="18"/>
                <w:szCs w:val="22"/>
                <w:lang w:val="en-US"/>
              </w:rPr>
              <w:t>4,902</w:t>
            </w:r>
          </w:p>
        </w:tc>
        <w:tc>
          <w:tcPr>
            <w:tcW w:w="851" w:type="dxa"/>
            <w:tcBorders>
              <w:top w:val="single" w:sz="12" w:space="0" w:color="auto"/>
            </w:tcBorders>
            <w:shd w:val="clear" w:color="auto" w:fill="auto"/>
            <w:tcMar>
              <w:top w:w="0" w:type="dxa"/>
              <w:left w:w="0" w:type="dxa"/>
              <w:bottom w:w="0" w:type="dxa"/>
              <w:right w:w="0" w:type="dxa"/>
            </w:tcMar>
            <w:vAlign w:val="bottom"/>
          </w:tcPr>
          <w:p w:rsidR="00047930" w:rsidRPr="00222917" w:rsidRDefault="00047930" w:rsidP="004731D0">
            <w:pPr>
              <w:suppressAutoHyphens w:val="0"/>
              <w:snapToGrid w:val="0"/>
              <w:spacing w:before="40" w:after="40" w:line="220" w:lineRule="exact"/>
              <w:jc w:val="right"/>
              <w:rPr>
                <w:sz w:val="18"/>
                <w:szCs w:val="22"/>
                <w:lang w:val="en-US"/>
              </w:rPr>
            </w:pPr>
            <w:r w:rsidRPr="00222917">
              <w:rPr>
                <w:sz w:val="18"/>
                <w:szCs w:val="22"/>
                <w:lang w:val="en-US"/>
              </w:rPr>
              <w:t>1,800</w:t>
            </w:r>
          </w:p>
        </w:tc>
        <w:tc>
          <w:tcPr>
            <w:tcW w:w="851" w:type="dxa"/>
            <w:tcBorders>
              <w:top w:val="single" w:sz="12" w:space="0" w:color="auto"/>
            </w:tcBorders>
            <w:shd w:val="clear" w:color="auto" w:fill="auto"/>
            <w:tcMar>
              <w:top w:w="0" w:type="dxa"/>
              <w:left w:w="0" w:type="dxa"/>
              <w:bottom w:w="0" w:type="dxa"/>
              <w:right w:w="0" w:type="dxa"/>
            </w:tcMar>
            <w:vAlign w:val="bottom"/>
          </w:tcPr>
          <w:p w:rsidR="00047930" w:rsidRPr="00222917" w:rsidRDefault="00047930" w:rsidP="004731D0">
            <w:pPr>
              <w:suppressAutoHyphens w:val="0"/>
              <w:snapToGrid w:val="0"/>
              <w:spacing w:before="40" w:after="40" w:line="220" w:lineRule="exact"/>
              <w:jc w:val="right"/>
              <w:rPr>
                <w:sz w:val="18"/>
                <w:szCs w:val="22"/>
                <w:lang w:val="en-US"/>
              </w:rPr>
            </w:pPr>
            <w:r w:rsidRPr="00222917">
              <w:rPr>
                <w:sz w:val="18"/>
                <w:szCs w:val="22"/>
                <w:lang w:val="en-US"/>
              </w:rPr>
              <w:t>13,093</w:t>
            </w:r>
          </w:p>
        </w:tc>
        <w:tc>
          <w:tcPr>
            <w:tcW w:w="851" w:type="dxa"/>
            <w:tcBorders>
              <w:top w:val="single" w:sz="12" w:space="0" w:color="auto"/>
            </w:tcBorders>
            <w:shd w:val="clear" w:color="auto" w:fill="auto"/>
            <w:tcMar>
              <w:top w:w="0" w:type="dxa"/>
              <w:left w:w="0" w:type="dxa"/>
              <w:bottom w:w="0" w:type="dxa"/>
              <w:right w:w="0" w:type="dxa"/>
            </w:tcMar>
            <w:vAlign w:val="bottom"/>
          </w:tcPr>
          <w:p w:rsidR="00047930" w:rsidRPr="00222917" w:rsidRDefault="00047930" w:rsidP="004731D0">
            <w:pPr>
              <w:suppressAutoHyphens w:val="0"/>
              <w:snapToGrid w:val="0"/>
              <w:spacing w:before="40" w:after="40" w:line="220" w:lineRule="exact"/>
              <w:jc w:val="right"/>
              <w:rPr>
                <w:b/>
                <w:sz w:val="18"/>
                <w:szCs w:val="22"/>
                <w:lang w:val="en-US"/>
              </w:rPr>
            </w:pPr>
            <w:r w:rsidRPr="00222917">
              <w:rPr>
                <w:b/>
                <w:bCs/>
                <w:sz w:val="18"/>
                <w:szCs w:val="22"/>
                <w:lang w:val="en-US"/>
              </w:rPr>
              <w:t>412,811</w:t>
            </w:r>
          </w:p>
        </w:tc>
      </w:tr>
      <w:tr w:rsidR="00047930" w:rsidRPr="00222917" w:rsidTr="004731D0">
        <w:tc>
          <w:tcPr>
            <w:tcW w:w="851" w:type="dxa"/>
            <w:shd w:val="clear" w:color="auto" w:fill="auto"/>
            <w:tcMar>
              <w:top w:w="0" w:type="dxa"/>
              <w:left w:w="0" w:type="dxa"/>
              <w:bottom w:w="0" w:type="dxa"/>
              <w:right w:w="0" w:type="dxa"/>
            </w:tcMar>
          </w:tcPr>
          <w:p w:rsidR="00047930" w:rsidRPr="00222917" w:rsidRDefault="00047930" w:rsidP="004731D0">
            <w:pPr>
              <w:suppressAutoHyphens w:val="0"/>
              <w:snapToGrid w:val="0"/>
              <w:spacing w:before="40" w:after="40" w:line="220" w:lineRule="exact"/>
              <w:rPr>
                <w:sz w:val="18"/>
                <w:szCs w:val="22"/>
                <w:lang w:val="en-US"/>
              </w:rPr>
            </w:pPr>
            <w:r w:rsidRPr="00222917">
              <w:rPr>
                <w:sz w:val="18"/>
                <w:szCs w:val="22"/>
                <w:lang w:val="en-US"/>
              </w:rPr>
              <w:t>2008</w:t>
            </w:r>
          </w:p>
        </w:tc>
        <w:tc>
          <w:tcPr>
            <w:tcW w:w="851" w:type="dxa"/>
            <w:shd w:val="clear" w:color="auto" w:fill="auto"/>
            <w:tcMar>
              <w:top w:w="0" w:type="dxa"/>
              <w:left w:w="0" w:type="dxa"/>
              <w:bottom w:w="0" w:type="dxa"/>
              <w:right w:w="0" w:type="dxa"/>
            </w:tcMar>
            <w:vAlign w:val="bottom"/>
          </w:tcPr>
          <w:p w:rsidR="00047930" w:rsidRPr="00222917" w:rsidRDefault="00047930" w:rsidP="004731D0">
            <w:pPr>
              <w:suppressAutoHyphens w:val="0"/>
              <w:snapToGrid w:val="0"/>
              <w:spacing w:before="40" w:after="40" w:line="220" w:lineRule="exact"/>
              <w:jc w:val="right"/>
              <w:rPr>
                <w:sz w:val="18"/>
                <w:szCs w:val="22"/>
                <w:lang w:val="en-US"/>
              </w:rPr>
            </w:pPr>
            <w:r w:rsidRPr="00222917">
              <w:rPr>
                <w:sz w:val="18"/>
                <w:szCs w:val="22"/>
                <w:lang w:val="en-US"/>
              </w:rPr>
              <w:t>286,069</w:t>
            </w:r>
          </w:p>
        </w:tc>
        <w:tc>
          <w:tcPr>
            <w:tcW w:w="851" w:type="dxa"/>
            <w:shd w:val="clear" w:color="auto" w:fill="auto"/>
            <w:tcMar>
              <w:top w:w="0" w:type="dxa"/>
              <w:left w:w="0" w:type="dxa"/>
              <w:bottom w:w="0" w:type="dxa"/>
              <w:right w:w="0" w:type="dxa"/>
            </w:tcMar>
            <w:vAlign w:val="bottom"/>
          </w:tcPr>
          <w:p w:rsidR="00047930" w:rsidRPr="00222917" w:rsidRDefault="00047930" w:rsidP="004731D0">
            <w:pPr>
              <w:suppressAutoHyphens w:val="0"/>
              <w:snapToGrid w:val="0"/>
              <w:spacing w:before="40" w:after="40" w:line="220" w:lineRule="exact"/>
              <w:jc w:val="right"/>
              <w:rPr>
                <w:sz w:val="18"/>
                <w:szCs w:val="22"/>
                <w:lang w:val="en-US"/>
              </w:rPr>
            </w:pPr>
            <w:r w:rsidRPr="00222917">
              <w:rPr>
                <w:sz w:val="18"/>
                <w:szCs w:val="22"/>
                <w:lang w:val="en-US"/>
              </w:rPr>
              <w:t>30,497</w:t>
            </w:r>
          </w:p>
        </w:tc>
        <w:tc>
          <w:tcPr>
            <w:tcW w:w="851" w:type="dxa"/>
            <w:shd w:val="clear" w:color="auto" w:fill="auto"/>
            <w:tcMar>
              <w:top w:w="0" w:type="dxa"/>
              <w:left w:w="0" w:type="dxa"/>
              <w:bottom w:w="0" w:type="dxa"/>
              <w:right w:w="0" w:type="dxa"/>
            </w:tcMar>
            <w:vAlign w:val="bottom"/>
          </w:tcPr>
          <w:p w:rsidR="00047930" w:rsidRPr="00222917" w:rsidRDefault="00047930" w:rsidP="004731D0">
            <w:pPr>
              <w:suppressAutoHyphens w:val="0"/>
              <w:snapToGrid w:val="0"/>
              <w:spacing w:before="40" w:after="40" w:line="220" w:lineRule="exact"/>
              <w:jc w:val="right"/>
              <w:rPr>
                <w:sz w:val="18"/>
                <w:szCs w:val="22"/>
                <w:lang w:val="en-US"/>
              </w:rPr>
            </w:pPr>
            <w:r w:rsidRPr="00222917">
              <w:rPr>
                <w:sz w:val="18"/>
                <w:szCs w:val="22"/>
                <w:lang w:val="en-US"/>
              </w:rPr>
              <w:t>80,857</w:t>
            </w:r>
          </w:p>
        </w:tc>
        <w:tc>
          <w:tcPr>
            <w:tcW w:w="851" w:type="dxa"/>
            <w:shd w:val="clear" w:color="auto" w:fill="auto"/>
            <w:tcMar>
              <w:top w:w="0" w:type="dxa"/>
              <w:left w:w="0" w:type="dxa"/>
              <w:bottom w:w="0" w:type="dxa"/>
              <w:right w:w="0" w:type="dxa"/>
            </w:tcMar>
            <w:vAlign w:val="bottom"/>
          </w:tcPr>
          <w:p w:rsidR="00047930" w:rsidRPr="00222917" w:rsidRDefault="00047930" w:rsidP="004731D0">
            <w:pPr>
              <w:suppressAutoHyphens w:val="0"/>
              <w:snapToGrid w:val="0"/>
              <w:spacing w:before="40" w:after="40" w:line="220" w:lineRule="exact"/>
              <w:jc w:val="right"/>
              <w:rPr>
                <w:sz w:val="18"/>
                <w:szCs w:val="22"/>
                <w:lang w:val="en-US"/>
              </w:rPr>
            </w:pPr>
            <w:r w:rsidRPr="00222917">
              <w:rPr>
                <w:sz w:val="18"/>
                <w:szCs w:val="22"/>
                <w:lang w:val="en-US"/>
              </w:rPr>
              <w:t>10,740</w:t>
            </w:r>
          </w:p>
        </w:tc>
        <w:tc>
          <w:tcPr>
            <w:tcW w:w="851" w:type="dxa"/>
            <w:shd w:val="clear" w:color="auto" w:fill="auto"/>
            <w:tcMar>
              <w:top w:w="0" w:type="dxa"/>
              <w:left w:w="0" w:type="dxa"/>
              <w:bottom w:w="0" w:type="dxa"/>
              <w:right w:w="0" w:type="dxa"/>
            </w:tcMar>
            <w:vAlign w:val="bottom"/>
          </w:tcPr>
          <w:p w:rsidR="00047930" w:rsidRPr="00222917" w:rsidRDefault="00047930" w:rsidP="004731D0">
            <w:pPr>
              <w:suppressAutoHyphens w:val="0"/>
              <w:snapToGrid w:val="0"/>
              <w:spacing w:before="40" w:after="40" w:line="220" w:lineRule="exact"/>
              <w:jc w:val="right"/>
              <w:rPr>
                <w:sz w:val="18"/>
                <w:szCs w:val="22"/>
                <w:lang w:val="en-US"/>
              </w:rPr>
            </w:pPr>
            <w:r w:rsidRPr="00222917">
              <w:rPr>
                <w:sz w:val="18"/>
                <w:szCs w:val="22"/>
                <w:lang w:val="en-US"/>
              </w:rPr>
              <w:t>2,754</w:t>
            </w:r>
          </w:p>
        </w:tc>
        <w:tc>
          <w:tcPr>
            <w:tcW w:w="851" w:type="dxa"/>
            <w:shd w:val="clear" w:color="auto" w:fill="auto"/>
            <w:tcMar>
              <w:top w:w="0" w:type="dxa"/>
              <w:left w:w="0" w:type="dxa"/>
              <w:bottom w:w="0" w:type="dxa"/>
              <w:right w:w="0" w:type="dxa"/>
            </w:tcMar>
            <w:vAlign w:val="bottom"/>
          </w:tcPr>
          <w:p w:rsidR="00047930" w:rsidRPr="00222917" w:rsidRDefault="00047930" w:rsidP="004731D0">
            <w:pPr>
              <w:suppressAutoHyphens w:val="0"/>
              <w:snapToGrid w:val="0"/>
              <w:spacing w:before="40" w:after="40" w:line="220" w:lineRule="exact"/>
              <w:jc w:val="right"/>
              <w:rPr>
                <w:sz w:val="18"/>
                <w:szCs w:val="22"/>
                <w:lang w:val="en-US"/>
              </w:rPr>
            </w:pPr>
            <w:r w:rsidRPr="00222917">
              <w:rPr>
                <w:sz w:val="18"/>
                <w:szCs w:val="22"/>
                <w:lang w:val="en-US"/>
              </w:rPr>
              <w:t>5,759</w:t>
            </w:r>
          </w:p>
        </w:tc>
        <w:tc>
          <w:tcPr>
            <w:tcW w:w="851" w:type="dxa"/>
            <w:shd w:val="clear" w:color="auto" w:fill="auto"/>
            <w:tcMar>
              <w:top w:w="0" w:type="dxa"/>
              <w:left w:w="0" w:type="dxa"/>
              <w:bottom w:w="0" w:type="dxa"/>
              <w:right w:w="0" w:type="dxa"/>
            </w:tcMar>
            <w:vAlign w:val="bottom"/>
          </w:tcPr>
          <w:p w:rsidR="00047930" w:rsidRPr="00222917" w:rsidRDefault="00047930" w:rsidP="004731D0">
            <w:pPr>
              <w:suppressAutoHyphens w:val="0"/>
              <w:snapToGrid w:val="0"/>
              <w:spacing w:before="40" w:after="40" w:line="220" w:lineRule="exact"/>
              <w:jc w:val="right"/>
              <w:rPr>
                <w:sz w:val="18"/>
                <w:szCs w:val="22"/>
                <w:lang w:val="en-US"/>
              </w:rPr>
            </w:pPr>
            <w:r w:rsidRPr="00222917">
              <w:rPr>
                <w:sz w:val="18"/>
                <w:szCs w:val="22"/>
                <w:lang w:val="en-US"/>
              </w:rPr>
              <w:t>1,362</w:t>
            </w:r>
          </w:p>
        </w:tc>
        <w:tc>
          <w:tcPr>
            <w:tcW w:w="851" w:type="dxa"/>
            <w:shd w:val="clear" w:color="auto" w:fill="auto"/>
            <w:tcMar>
              <w:top w:w="0" w:type="dxa"/>
              <w:left w:w="0" w:type="dxa"/>
              <w:bottom w:w="0" w:type="dxa"/>
              <w:right w:w="0" w:type="dxa"/>
            </w:tcMar>
            <w:vAlign w:val="bottom"/>
          </w:tcPr>
          <w:p w:rsidR="00047930" w:rsidRPr="00222917" w:rsidRDefault="00047930" w:rsidP="004731D0">
            <w:pPr>
              <w:suppressAutoHyphens w:val="0"/>
              <w:snapToGrid w:val="0"/>
              <w:spacing w:before="40" w:after="40" w:line="220" w:lineRule="exact"/>
              <w:jc w:val="right"/>
              <w:rPr>
                <w:sz w:val="18"/>
                <w:szCs w:val="22"/>
                <w:lang w:val="en-US"/>
              </w:rPr>
            </w:pPr>
            <w:r w:rsidRPr="00222917">
              <w:rPr>
                <w:sz w:val="18"/>
                <w:szCs w:val="22"/>
                <w:lang w:val="en-US"/>
              </w:rPr>
              <w:t>16,243</w:t>
            </w:r>
          </w:p>
        </w:tc>
        <w:tc>
          <w:tcPr>
            <w:tcW w:w="851" w:type="dxa"/>
            <w:shd w:val="clear" w:color="auto" w:fill="auto"/>
            <w:tcMar>
              <w:top w:w="0" w:type="dxa"/>
              <w:left w:w="0" w:type="dxa"/>
              <w:bottom w:w="0" w:type="dxa"/>
              <w:right w:w="0" w:type="dxa"/>
            </w:tcMar>
            <w:vAlign w:val="bottom"/>
          </w:tcPr>
          <w:p w:rsidR="00047930" w:rsidRPr="00222917" w:rsidRDefault="00047930" w:rsidP="004731D0">
            <w:pPr>
              <w:suppressAutoHyphens w:val="0"/>
              <w:snapToGrid w:val="0"/>
              <w:spacing w:before="40" w:after="40" w:line="220" w:lineRule="exact"/>
              <w:jc w:val="right"/>
              <w:rPr>
                <w:b/>
                <w:sz w:val="18"/>
                <w:szCs w:val="22"/>
                <w:lang w:val="en-US"/>
              </w:rPr>
            </w:pPr>
            <w:r w:rsidRPr="00222917">
              <w:rPr>
                <w:b/>
                <w:bCs/>
                <w:sz w:val="18"/>
                <w:szCs w:val="22"/>
                <w:lang w:val="en-US"/>
              </w:rPr>
              <w:t>434,281</w:t>
            </w:r>
          </w:p>
        </w:tc>
      </w:tr>
      <w:tr w:rsidR="00047930" w:rsidRPr="00222917" w:rsidTr="004731D0">
        <w:tc>
          <w:tcPr>
            <w:tcW w:w="851" w:type="dxa"/>
            <w:shd w:val="clear" w:color="auto" w:fill="auto"/>
            <w:tcMar>
              <w:top w:w="0" w:type="dxa"/>
              <w:left w:w="0" w:type="dxa"/>
              <w:bottom w:w="0" w:type="dxa"/>
              <w:right w:w="0" w:type="dxa"/>
            </w:tcMar>
          </w:tcPr>
          <w:p w:rsidR="00047930" w:rsidRPr="00222917" w:rsidRDefault="00047930" w:rsidP="004731D0">
            <w:pPr>
              <w:suppressAutoHyphens w:val="0"/>
              <w:snapToGrid w:val="0"/>
              <w:spacing w:before="40" w:after="40" w:line="220" w:lineRule="exact"/>
              <w:rPr>
                <w:sz w:val="18"/>
                <w:szCs w:val="22"/>
                <w:lang w:val="en-US"/>
              </w:rPr>
            </w:pPr>
            <w:r w:rsidRPr="00222917">
              <w:rPr>
                <w:sz w:val="18"/>
                <w:szCs w:val="22"/>
                <w:lang w:val="en-US"/>
              </w:rPr>
              <w:t>2009</w:t>
            </w:r>
          </w:p>
        </w:tc>
        <w:tc>
          <w:tcPr>
            <w:tcW w:w="851" w:type="dxa"/>
            <w:shd w:val="clear" w:color="auto" w:fill="auto"/>
            <w:tcMar>
              <w:top w:w="0" w:type="dxa"/>
              <w:left w:w="0" w:type="dxa"/>
              <w:bottom w:w="0" w:type="dxa"/>
              <w:right w:w="0" w:type="dxa"/>
            </w:tcMar>
            <w:vAlign w:val="bottom"/>
          </w:tcPr>
          <w:p w:rsidR="00047930" w:rsidRPr="00222917" w:rsidRDefault="00047930" w:rsidP="004731D0">
            <w:pPr>
              <w:suppressAutoHyphens w:val="0"/>
              <w:snapToGrid w:val="0"/>
              <w:spacing w:before="40" w:after="40" w:line="220" w:lineRule="exact"/>
              <w:jc w:val="right"/>
              <w:rPr>
                <w:sz w:val="18"/>
                <w:szCs w:val="22"/>
                <w:lang w:val="en-US"/>
              </w:rPr>
            </w:pPr>
            <w:r w:rsidRPr="00222917">
              <w:rPr>
                <w:sz w:val="18"/>
                <w:szCs w:val="22"/>
                <w:lang w:val="en-US"/>
              </w:rPr>
              <w:t>504,540</w:t>
            </w:r>
          </w:p>
        </w:tc>
        <w:tc>
          <w:tcPr>
            <w:tcW w:w="851" w:type="dxa"/>
            <w:shd w:val="clear" w:color="auto" w:fill="auto"/>
            <w:tcMar>
              <w:top w:w="0" w:type="dxa"/>
              <w:left w:w="0" w:type="dxa"/>
              <w:bottom w:w="0" w:type="dxa"/>
              <w:right w:w="0" w:type="dxa"/>
            </w:tcMar>
            <w:vAlign w:val="bottom"/>
          </w:tcPr>
          <w:p w:rsidR="00047930" w:rsidRPr="00222917" w:rsidRDefault="00047930" w:rsidP="004731D0">
            <w:pPr>
              <w:suppressAutoHyphens w:val="0"/>
              <w:snapToGrid w:val="0"/>
              <w:spacing w:before="40" w:after="40" w:line="220" w:lineRule="exact"/>
              <w:jc w:val="right"/>
              <w:rPr>
                <w:sz w:val="18"/>
                <w:szCs w:val="22"/>
                <w:lang w:val="en-US"/>
              </w:rPr>
            </w:pPr>
            <w:r w:rsidRPr="00222917">
              <w:rPr>
                <w:sz w:val="18"/>
                <w:szCs w:val="22"/>
                <w:lang w:val="en-US"/>
              </w:rPr>
              <w:t>43,517</w:t>
            </w:r>
          </w:p>
        </w:tc>
        <w:tc>
          <w:tcPr>
            <w:tcW w:w="851" w:type="dxa"/>
            <w:shd w:val="clear" w:color="auto" w:fill="auto"/>
            <w:tcMar>
              <w:top w:w="0" w:type="dxa"/>
              <w:left w:w="0" w:type="dxa"/>
              <w:bottom w:w="0" w:type="dxa"/>
              <w:right w:w="0" w:type="dxa"/>
            </w:tcMar>
            <w:vAlign w:val="bottom"/>
          </w:tcPr>
          <w:p w:rsidR="00047930" w:rsidRPr="00222917" w:rsidRDefault="00047930" w:rsidP="004731D0">
            <w:pPr>
              <w:suppressAutoHyphens w:val="0"/>
              <w:snapToGrid w:val="0"/>
              <w:spacing w:before="40" w:after="40" w:line="220" w:lineRule="exact"/>
              <w:jc w:val="right"/>
              <w:rPr>
                <w:sz w:val="18"/>
                <w:szCs w:val="22"/>
                <w:lang w:val="en-US"/>
              </w:rPr>
            </w:pPr>
            <w:r w:rsidRPr="00222917">
              <w:rPr>
                <w:sz w:val="18"/>
                <w:szCs w:val="22"/>
                <w:lang w:val="en-US"/>
              </w:rPr>
              <w:t>109,428</w:t>
            </w:r>
          </w:p>
        </w:tc>
        <w:tc>
          <w:tcPr>
            <w:tcW w:w="851" w:type="dxa"/>
            <w:shd w:val="clear" w:color="auto" w:fill="auto"/>
            <w:tcMar>
              <w:top w:w="0" w:type="dxa"/>
              <w:left w:w="0" w:type="dxa"/>
              <w:bottom w:w="0" w:type="dxa"/>
              <w:right w:w="0" w:type="dxa"/>
            </w:tcMar>
            <w:vAlign w:val="bottom"/>
          </w:tcPr>
          <w:p w:rsidR="00047930" w:rsidRPr="00222917" w:rsidRDefault="00047930" w:rsidP="004731D0">
            <w:pPr>
              <w:suppressAutoHyphens w:val="0"/>
              <w:snapToGrid w:val="0"/>
              <w:spacing w:before="40" w:after="40" w:line="220" w:lineRule="exact"/>
              <w:jc w:val="right"/>
              <w:rPr>
                <w:sz w:val="18"/>
                <w:szCs w:val="22"/>
                <w:lang w:val="en-US"/>
              </w:rPr>
            </w:pPr>
            <w:r w:rsidRPr="00222917">
              <w:rPr>
                <w:sz w:val="18"/>
                <w:szCs w:val="22"/>
                <w:lang w:val="en-US"/>
              </w:rPr>
              <w:t>18,210</w:t>
            </w:r>
          </w:p>
        </w:tc>
        <w:tc>
          <w:tcPr>
            <w:tcW w:w="851" w:type="dxa"/>
            <w:shd w:val="clear" w:color="auto" w:fill="auto"/>
            <w:tcMar>
              <w:top w:w="0" w:type="dxa"/>
              <w:left w:w="0" w:type="dxa"/>
              <w:bottom w:w="0" w:type="dxa"/>
              <w:right w:w="0" w:type="dxa"/>
            </w:tcMar>
            <w:vAlign w:val="bottom"/>
          </w:tcPr>
          <w:p w:rsidR="00047930" w:rsidRPr="00222917" w:rsidRDefault="00047930" w:rsidP="004731D0">
            <w:pPr>
              <w:suppressAutoHyphens w:val="0"/>
              <w:snapToGrid w:val="0"/>
              <w:spacing w:before="40" w:after="40" w:line="220" w:lineRule="exact"/>
              <w:jc w:val="right"/>
              <w:rPr>
                <w:sz w:val="18"/>
                <w:szCs w:val="22"/>
                <w:lang w:val="en-US"/>
              </w:rPr>
            </w:pPr>
            <w:r w:rsidRPr="00222917">
              <w:rPr>
                <w:sz w:val="18"/>
                <w:szCs w:val="22"/>
                <w:lang w:val="en-US"/>
              </w:rPr>
              <w:t>3,387</w:t>
            </w:r>
          </w:p>
        </w:tc>
        <w:tc>
          <w:tcPr>
            <w:tcW w:w="851" w:type="dxa"/>
            <w:shd w:val="clear" w:color="auto" w:fill="auto"/>
            <w:tcMar>
              <w:top w:w="0" w:type="dxa"/>
              <w:left w:w="0" w:type="dxa"/>
              <w:bottom w:w="0" w:type="dxa"/>
              <w:right w:w="0" w:type="dxa"/>
            </w:tcMar>
            <w:vAlign w:val="bottom"/>
          </w:tcPr>
          <w:p w:rsidR="00047930" w:rsidRPr="00222917" w:rsidRDefault="00047930" w:rsidP="004731D0">
            <w:pPr>
              <w:suppressAutoHyphens w:val="0"/>
              <w:snapToGrid w:val="0"/>
              <w:spacing w:before="40" w:after="40" w:line="220" w:lineRule="exact"/>
              <w:jc w:val="right"/>
              <w:rPr>
                <w:sz w:val="18"/>
                <w:szCs w:val="22"/>
                <w:lang w:val="en-US"/>
              </w:rPr>
            </w:pPr>
            <w:r w:rsidRPr="00222917">
              <w:rPr>
                <w:sz w:val="18"/>
                <w:szCs w:val="22"/>
                <w:lang w:val="en-US"/>
              </w:rPr>
              <w:t>5,431</w:t>
            </w:r>
          </w:p>
        </w:tc>
        <w:tc>
          <w:tcPr>
            <w:tcW w:w="851" w:type="dxa"/>
            <w:shd w:val="clear" w:color="auto" w:fill="auto"/>
            <w:tcMar>
              <w:top w:w="0" w:type="dxa"/>
              <w:left w:w="0" w:type="dxa"/>
              <w:bottom w:w="0" w:type="dxa"/>
              <w:right w:w="0" w:type="dxa"/>
            </w:tcMar>
            <w:vAlign w:val="bottom"/>
          </w:tcPr>
          <w:p w:rsidR="00047930" w:rsidRPr="00222917" w:rsidRDefault="00047930" w:rsidP="004731D0">
            <w:pPr>
              <w:suppressAutoHyphens w:val="0"/>
              <w:snapToGrid w:val="0"/>
              <w:spacing w:before="40" w:after="40" w:line="220" w:lineRule="exact"/>
              <w:jc w:val="right"/>
              <w:rPr>
                <w:sz w:val="18"/>
                <w:szCs w:val="22"/>
                <w:lang w:val="en-US"/>
              </w:rPr>
            </w:pPr>
            <w:r w:rsidRPr="00222917">
              <w:rPr>
                <w:sz w:val="18"/>
                <w:szCs w:val="22"/>
                <w:lang w:val="en-US"/>
              </w:rPr>
              <w:t>1,283</w:t>
            </w:r>
          </w:p>
        </w:tc>
        <w:tc>
          <w:tcPr>
            <w:tcW w:w="851" w:type="dxa"/>
            <w:shd w:val="clear" w:color="auto" w:fill="auto"/>
            <w:tcMar>
              <w:top w:w="0" w:type="dxa"/>
              <w:left w:w="0" w:type="dxa"/>
              <w:bottom w:w="0" w:type="dxa"/>
              <w:right w:w="0" w:type="dxa"/>
            </w:tcMar>
            <w:vAlign w:val="bottom"/>
          </w:tcPr>
          <w:p w:rsidR="00047930" w:rsidRPr="00222917" w:rsidRDefault="00047930" w:rsidP="004731D0">
            <w:pPr>
              <w:suppressAutoHyphens w:val="0"/>
              <w:snapToGrid w:val="0"/>
              <w:spacing w:before="40" w:after="40" w:line="220" w:lineRule="exact"/>
              <w:jc w:val="right"/>
              <w:rPr>
                <w:sz w:val="18"/>
                <w:szCs w:val="22"/>
                <w:lang w:val="en-US"/>
              </w:rPr>
            </w:pPr>
            <w:r w:rsidRPr="00222917">
              <w:rPr>
                <w:sz w:val="18"/>
                <w:szCs w:val="22"/>
                <w:lang w:val="en-US"/>
              </w:rPr>
              <w:t>29,793</w:t>
            </w:r>
          </w:p>
        </w:tc>
        <w:tc>
          <w:tcPr>
            <w:tcW w:w="851" w:type="dxa"/>
            <w:shd w:val="clear" w:color="auto" w:fill="auto"/>
            <w:tcMar>
              <w:top w:w="0" w:type="dxa"/>
              <w:left w:w="0" w:type="dxa"/>
              <w:bottom w:w="0" w:type="dxa"/>
              <w:right w:w="0" w:type="dxa"/>
            </w:tcMar>
            <w:vAlign w:val="bottom"/>
          </w:tcPr>
          <w:p w:rsidR="00047930" w:rsidRPr="00222917" w:rsidRDefault="00047930" w:rsidP="004731D0">
            <w:pPr>
              <w:suppressAutoHyphens w:val="0"/>
              <w:snapToGrid w:val="0"/>
              <w:spacing w:before="40" w:after="40" w:line="220" w:lineRule="exact"/>
              <w:jc w:val="right"/>
              <w:rPr>
                <w:b/>
                <w:sz w:val="18"/>
                <w:szCs w:val="22"/>
                <w:lang w:val="en-US"/>
              </w:rPr>
            </w:pPr>
            <w:r w:rsidRPr="00222917">
              <w:rPr>
                <w:b/>
                <w:bCs/>
                <w:sz w:val="18"/>
                <w:szCs w:val="22"/>
                <w:lang w:val="en-US"/>
              </w:rPr>
              <w:t>715,589</w:t>
            </w:r>
          </w:p>
        </w:tc>
      </w:tr>
      <w:tr w:rsidR="00047930" w:rsidRPr="00222917" w:rsidTr="004731D0">
        <w:tc>
          <w:tcPr>
            <w:tcW w:w="851" w:type="dxa"/>
            <w:tcBorders>
              <w:bottom w:val="single" w:sz="12" w:space="0" w:color="auto"/>
            </w:tcBorders>
            <w:shd w:val="clear" w:color="auto" w:fill="auto"/>
            <w:tcMar>
              <w:top w:w="0" w:type="dxa"/>
              <w:left w:w="0" w:type="dxa"/>
              <w:bottom w:w="0" w:type="dxa"/>
              <w:right w:w="0" w:type="dxa"/>
            </w:tcMar>
          </w:tcPr>
          <w:p w:rsidR="00047930" w:rsidRPr="00222917" w:rsidRDefault="00047930" w:rsidP="004731D0">
            <w:pPr>
              <w:suppressAutoHyphens w:val="0"/>
              <w:snapToGrid w:val="0"/>
              <w:spacing w:before="40" w:after="40" w:line="220" w:lineRule="exact"/>
              <w:rPr>
                <w:sz w:val="18"/>
                <w:szCs w:val="22"/>
                <w:lang w:val="en-US"/>
              </w:rPr>
            </w:pPr>
            <w:r w:rsidRPr="00222917">
              <w:rPr>
                <w:sz w:val="18"/>
                <w:szCs w:val="22"/>
                <w:lang w:val="en-US"/>
              </w:rPr>
              <w:t>2010</w:t>
            </w:r>
          </w:p>
        </w:tc>
        <w:tc>
          <w:tcPr>
            <w:tcW w:w="851" w:type="dxa"/>
            <w:tcBorders>
              <w:bottom w:val="single" w:sz="12" w:space="0" w:color="auto"/>
            </w:tcBorders>
            <w:shd w:val="clear" w:color="auto" w:fill="auto"/>
            <w:tcMar>
              <w:top w:w="0" w:type="dxa"/>
              <w:left w:w="0" w:type="dxa"/>
              <w:bottom w:w="0" w:type="dxa"/>
              <w:right w:w="0" w:type="dxa"/>
            </w:tcMar>
            <w:vAlign w:val="bottom"/>
          </w:tcPr>
          <w:p w:rsidR="00047930" w:rsidRPr="00222917" w:rsidRDefault="00047930" w:rsidP="004731D0">
            <w:pPr>
              <w:suppressAutoHyphens w:val="0"/>
              <w:snapToGrid w:val="0"/>
              <w:spacing w:before="40" w:after="40" w:line="220" w:lineRule="exact"/>
              <w:jc w:val="right"/>
              <w:rPr>
                <w:sz w:val="18"/>
                <w:szCs w:val="22"/>
                <w:lang w:val="en-US"/>
              </w:rPr>
            </w:pPr>
            <w:r w:rsidRPr="00222917">
              <w:rPr>
                <w:sz w:val="18"/>
                <w:szCs w:val="22"/>
                <w:lang w:val="en-US"/>
              </w:rPr>
              <w:t>822,001</w:t>
            </w:r>
          </w:p>
        </w:tc>
        <w:tc>
          <w:tcPr>
            <w:tcW w:w="851" w:type="dxa"/>
            <w:tcBorders>
              <w:bottom w:val="single" w:sz="12" w:space="0" w:color="auto"/>
            </w:tcBorders>
            <w:shd w:val="clear" w:color="auto" w:fill="auto"/>
            <w:tcMar>
              <w:top w:w="0" w:type="dxa"/>
              <w:left w:w="0" w:type="dxa"/>
              <w:bottom w:w="0" w:type="dxa"/>
              <w:right w:w="0" w:type="dxa"/>
            </w:tcMar>
            <w:vAlign w:val="bottom"/>
          </w:tcPr>
          <w:p w:rsidR="00047930" w:rsidRPr="00222917" w:rsidRDefault="00047930" w:rsidP="004731D0">
            <w:pPr>
              <w:suppressAutoHyphens w:val="0"/>
              <w:snapToGrid w:val="0"/>
              <w:spacing w:before="40" w:after="40" w:line="220" w:lineRule="exact"/>
              <w:jc w:val="right"/>
              <w:rPr>
                <w:sz w:val="18"/>
                <w:szCs w:val="22"/>
                <w:lang w:val="en-US"/>
              </w:rPr>
            </w:pPr>
            <w:r w:rsidRPr="00222917">
              <w:rPr>
                <w:sz w:val="18"/>
                <w:szCs w:val="22"/>
                <w:lang w:val="en-US"/>
              </w:rPr>
              <w:t>62,456</w:t>
            </w:r>
          </w:p>
        </w:tc>
        <w:tc>
          <w:tcPr>
            <w:tcW w:w="851" w:type="dxa"/>
            <w:tcBorders>
              <w:bottom w:val="single" w:sz="12" w:space="0" w:color="auto"/>
            </w:tcBorders>
            <w:shd w:val="clear" w:color="auto" w:fill="auto"/>
            <w:tcMar>
              <w:top w:w="0" w:type="dxa"/>
              <w:left w:w="0" w:type="dxa"/>
              <w:bottom w:w="0" w:type="dxa"/>
              <w:right w:w="0" w:type="dxa"/>
            </w:tcMar>
            <w:vAlign w:val="bottom"/>
          </w:tcPr>
          <w:p w:rsidR="00047930" w:rsidRPr="00222917" w:rsidRDefault="00047930" w:rsidP="004731D0">
            <w:pPr>
              <w:suppressAutoHyphens w:val="0"/>
              <w:snapToGrid w:val="0"/>
              <w:spacing w:before="40" w:after="40" w:line="220" w:lineRule="exact"/>
              <w:jc w:val="right"/>
              <w:rPr>
                <w:sz w:val="18"/>
                <w:szCs w:val="22"/>
                <w:lang w:val="en-US"/>
              </w:rPr>
            </w:pPr>
            <w:r w:rsidRPr="00222917">
              <w:rPr>
                <w:sz w:val="18"/>
                <w:szCs w:val="22"/>
                <w:lang w:val="en-US"/>
              </w:rPr>
              <w:t>225,721</w:t>
            </w:r>
          </w:p>
        </w:tc>
        <w:tc>
          <w:tcPr>
            <w:tcW w:w="851" w:type="dxa"/>
            <w:tcBorders>
              <w:bottom w:val="single" w:sz="12" w:space="0" w:color="auto"/>
            </w:tcBorders>
            <w:shd w:val="clear" w:color="auto" w:fill="auto"/>
            <w:tcMar>
              <w:top w:w="0" w:type="dxa"/>
              <w:left w:w="0" w:type="dxa"/>
              <w:bottom w:w="0" w:type="dxa"/>
              <w:right w:w="0" w:type="dxa"/>
            </w:tcMar>
            <w:vAlign w:val="bottom"/>
          </w:tcPr>
          <w:p w:rsidR="00047930" w:rsidRPr="00222917" w:rsidRDefault="00047930" w:rsidP="004731D0">
            <w:pPr>
              <w:suppressAutoHyphens w:val="0"/>
              <w:snapToGrid w:val="0"/>
              <w:spacing w:before="40" w:after="40" w:line="220" w:lineRule="exact"/>
              <w:jc w:val="right"/>
              <w:rPr>
                <w:sz w:val="18"/>
                <w:szCs w:val="22"/>
                <w:lang w:val="en-US"/>
              </w:rPr>
            </w:pPr>
            <w:r w:rsidRPr="00222917">
              <w:rPr>
                <w:sz w:val="18"/>
                <w:szCs w:val="22"/>
                <w:lang w:val="en-US"/>
              </w:rPr>
              <w:t>84,535</w:t>
            </w:r>
          </w:p>
        </w:tc>
        <w:tc>
          <w:tcPr>
            <w:tcW w:w="851" w:type="dxa"/>
            <w:tcBorders>
              <w:bottom w:val="single" w:sz="12" w:space="0" w:color="auto"/>
            </w:tcBorders>
            <w:shd w:val="clear" w:color="auto" w:fill="auto"/>
            <w:tcMar>
              <w:top w:w="0" w:type="dxa"/>
              <w:left w:w="0" w:type="dxa"/>
              <w:bottom w:w="0" w:type="dxa"/>
              <w:right w:w="0" w:type="dxa"/>
            </w:tcMar>
            <w:vAlign w:val="bottom"/>
          </w:tcPr>
          <w:p w:rsidR="00047930" w:rsidRPr="00222917" w:rsidRDefault="00047930" w:rsidP="004731D0">
            <w:pPr>
              <w:suppressAutoHyphens w:val="0"/>
              <w:snapToGrid w:val="0"/>
              <w:spacing w:before="40" w:after="40" w:line="220" w:lineRule="exact"/>
              <w:jc w:val="right"/>
              <w:rPr>
                <w:sz w:val="18"/>
                <w:szCs w:val="22"/>
                <w:lang w:val="en-US"/>
              </w:rPr>
            </w:pPr>
            <w:r w:rsidRPr="00222917">
              <w:rPr>
                <w:sz w:val="18"/>
                <w:szCs w:val="22"/>
                <w:lang w:val="en-US"/>
              </w:rPr>
              <w:t>11,544</w:t>
            </w:r>
          </w:p>
        </w:tc>
        <w:tc>
          <w:tcPr>
            <w:tcW w:w="851" w:type="dxa"/>
            <w:tcBorders>
              <w:bottom w:val="single" w:sz="12" w:space="0" w:color="auto"/>
            </w:tcBorders>
            <w:shd w:val="clear" w:color="auto" w:fill="auto"/>
            <w:tcMar>
              <w:top w:w="0" w:type="dxa"/>
              <w:left w:w="0" w:type="dxa"/>
              <w:bottom w:w="0" w:type="dxa"/>
              <w:right w:w="0" w:type="dxa"/>
            </w:tcMar>
            <w:vAlign w:val="bottom"/>
          </w:tcPr>
          <w:p w:rsidR="00047930" w:rsidRPr="00222917" w:rsidRDefault="00047930" w:rsidP="004731D0">
            <w:pPr>
              <w:suppressAutoHyphens w:val="0"/>
              <w:snapToGrid w:val="0"/>
              <w:spacing w:before="40" w:after="40" w:line="220" w:lineRule="exact"/>
              <w:jc w:val="right"/>
              <w:rPr>
                <w:sz w:val="18"/>
                <w:szCs w:val="22"/>
                <w:lang w:val="en-US"/>
              </w:rPr>
            </w:pPr>
            <w:r w:rsidRPr="00222917">
              <w:rPr>
                <w:sz w:val="18"/>
                <w:szCs w:val="22"/>
                <w:lang w:val="en-US"/>
              </w:rPr>
              <w:t>6,254</w:t>
            </w:r>
          </w:p>
        </w:tc>
        <w:tc>
          <w:tcPr>
            <w:tcW w:w="851" w:type="dxa"/>
            <w:tcBorders>
              <w:bottom w:val="single" w:sz="12" w:space="0" w:color="auto"/>
            </w:tcBorders>
            <w:shd w:val="clear" w:color="auto" w:fill="auto"/>
            <w:tcMar>
              <w:top w:w="0" w:type="dxa"/>
              <w:left w:w="0" w:type="dxa"/>
              <w:bottom w:w="0" w:type="dxa"/>
              <w:right w:w="0" w:type="dxa"/>
            </w:tcMar>
            <w:vAlign w:val="bottom"/>
          </w:tcPr>
          <w:p w:rsidR="00047930" w:rsidRPr="00222917" w:rsidRDefault="00047930" w:rsidP="004731D0">
            <w:pPr>
              <w:suppressAutoHyphens w:val="0"/>
              <w:snapToGrid w:val="0"/>
              <w:spacing w:before="40" w:after="40" w:line="220" w:lineRule="exact"/>
              <w:jc w:val="right"/>
              <w:rPr>
                <w:sz w:val="18"/>
                <w:szCs w:val="22"/>
                <w:lang w:val="en-US"/>
              </w:rPr>
            </w:pPr>
            <w:r w:rsidRPr="00222917">
              <w:rPr>
                <w:sz w:val="18"/>
                <w:szCs w:val="22"/>
                <w:lang w:val="en-US"/>
              </w:rPr>
              <w:t>1,728</w:t>
            </w:r>
          </w:p>
        </w:tc>
        <w:tc>
          <w:tcPr>
            <w:tcW w:w="851" w:type="dxa"/>
            <w:tcBorders>
              <w:bottom w:val="single" w:sz="12" w:space="0" w:color="auto"/>
            </w:tcBorders>
            <w:shd w:val="clear" w:color="auto" w:fill="auto"/>
            <w:tcMar>
              <w:top w:w="0" w:type="dxa"/>
              <w:left w:w="0" w:type="dxa"/>
              <w:bottom w:w="0" w:type="dxa"/>
              <w:right w:w="0" w:type="dxa"/>
            </w:tcMar>
            <w:vAlign w:val="bottom"/>
          </w:tcPr>
          <w:p w:rsidR="00047930" w:rsidRPr="00222917" w:rsidRDefault="00047930" w:rsidP="004731D0">
            <w:pPr>
              <w:suppressAutoHyphens w:val="0"/>
              <w:snapToGrid w:val="0"/>
              <w:spacing w:before="40" w:after="40" w:line="220" w:lineRule="exact"/>
              <w:jc w:val="right"/>
              <w:rPr>
                <w:sz w:val="18"/>
                <w:szCs w:val="22"/>
                <w:lang w:val="en-US"/>
              </w:rPr>
            </w:pPr>
            <w:r w:rsidRPr="00222917">
              <w:rPr>
                <w:sz w:val="18"/>
                <w:szCs w:val="22"/>
                <w:lang w:val="en-US"/>
              </w:rPr>
              <w:t>129,255</w:t>
            </w:r>
          </w:p>
        </w:tc>
        <w:tc>
          <w:tcPr>
            <w:tcW w:w="851" w:type="dxa"/>
            <w:tcBorders>
              <w:bottom w:val="single" w:sz="12" w:space="0" w:color="auto"/>
            </w:tcBorders>
            <w:shd w:val="clear" w:color="auto" w:fill="auto"/>
            <w:tcMar>
              <w:top w:w="0" w:type="dxa"/>
              <w:left w:w="0" w:type="dxa"/>
              <w:bottom w:w="0" w:type="dxa"/>
              <w:right w:w="0" w:type="dxa"/>
            </w:tcMar>
            <w:vAlign w:val="bottom"/>
          </w:tcPr>
          <w:p w:rsidR="00047930" w:rsidRPr="00222917" w:rsidRDefault="00047930" w:rsidP="004731D0">
            <w:pPr>
              <w:suppressAutoHyphens w:val="0"/>
              <w:snapToGrid w:val="0"/>
              <w:spacing w:before="40" w:after="40" w:line="220" w:lineRule="exact"/>
              <w:jc w:val="right"/>
              <w:rPr>
                <w:b/>
                <w:bCs/>
                <w:sz w:val="18"/>
                <w:szCs w:val="22"/>
                <w:lang w:val="en-US"/>
              </w:rPr>
            </w:pPr>
            <w:r w:rsidRPr="00222917">
              <w:rPr>
                <w:b/>
                <w:bCs/>
                <w:sz w:val="18"/>
                <w:szCs w:val="22"/>
                <w:lang w:val="en-US"/>
              </w:rPr>
              <w:t>1,403,494</w:t>
            </w:r>
          </w:p>
        </w:tc>
      </w:tr>
    </w:tbl>
    <w:p w:rsidR="002D5BB0" w:rsidRPr="00222917" w:rsidRDefault="00984B6F" w:rsidP="00984B6F">
      <w:pPr>
        <w:pStyle w:val="H1G"/>
        <w:rPr>
          <w:lang w:val="en-US"/>
        </w:rPr>
      </w:pPr>
      <w:bookmarkStart w:id="305" w:name="_Toc307504174"/>
      <w:bookmarkStart w:id="306" w:name="_Toc336435946"/>
      <w:r w:rsidRPr="00222917">
        <w:rPr>
          <w:lang w:val="en-US"/>
        </w:rPr>
        <w:tab/>
      </w:r>
      <w:r w:rsidRPr="00222917">
        <w:rPr>
          <w:lang w:val="en-US"/>
        </w:rPr>
        <w:tab/>
      </w:r>
      <w:r w:rsidR="002D5BB0" w:rsidRPr="00222917">
        <w:rPr>
          <w:lang w:val="en-US"/>
        </w:rPr>
        <w:t>Paragraph 2</w:t>
      </w:r>
      <w:bookmarkEnd w:id="305"/>
      <w:bookmarkEnd w:id="306"/>
    </w:p>
    <w:p w:rsidR="002D5BB0" w:rsidRPr="00222917" w:rsidRDefault="00984B6F" w:rsidP="00984B6F">
      <w:pPr>
        <w:pStyle w:val="H23G"/>
        <w:rPr>
          <w:lang w:val="en-US"/>
        </w:rPr>
      </w:pPr>
      <w:bookmarkStart w:id="307" w:name="_Toc307504175"/>
      <w:bookmarkStart w:id="308" w:name="_Toc336435947"/>
      <w:r w:rsidRPr="00222917">
        <w:rPr>
          <w:lang w:val="en-US"/>
        </w:rPr>
        <w:tab/>
      </w:r>
      <w:r w:rsidRPr="00222917">
        <w:rPr>
          <w:lang w:val="en-US"/>
        </w:rPr>
        <w:tab/>
      </w:r>
      <w:r w:rsidR="002D5BB0" w:rsidRPr="00222917">
        <w:rPr>
          <w:lang w:val="en-US"/>
        </w:rPr>
        <w:t>Right to be Registered and to Name of a Child</w:t>
      </w:r>
      <w:bookmarkEnd w:id="307"/>
      <w:bookmarkEnd w:id="308"/>
    </w:p>
    <w:p w:rsidR="002D5BB0" w:rsidRPr="00222917" w:rsidRDefault="00547908" w:rsidP="00547908">
      <w:pPr>
        <w:pStyle w:val="SingleTxtG"/>
        <w:rPr>
          <w:lang w:val="en-US"/>
        </w:rPr>
      </w:pPr>
      <w:r w:rsidRPr="00222917">
        <w:rPr>
          <w:lang w:val="en-US"/>
        </w:rPr>
        <w:t>361.</w:t>
      </w:r>
      <w:r w:rsidRPr="00222917">
        <w:rPr>
          <w:lang w:val="en-US"/>
        </w:rPr>
        <w:tab/>
      </w:r>
      <w:r w:rsidR="002D5BB0" w:rsidRPr="00222917">
        <w:rPr>
          <w:lang w:val="en-US"/>
        </w:rPr>
        <w:t xml:space="preserve">Pursuant to the </w:t>
      </w:r>
      <w:r w:rsidR="002D5BB0" w:rsidRPr="0005151A">
        <w:rPr>
          <w:iCs/>
          <w:lang w:val="en-US"/>
        </w:rPr>
        <w:t>Act on the Registration, etc. of Family Relationship</w:t>
      </w:r>
      <w:r w:rsidR="002D5BB0" w:rsidRPr="00222917">
        <w:rPr>
          <w:lang w:val="en-US"/>
        </w:rPr>
        <w:t>, a child’s birth should be registered within one month from birth by submitting a birth report to a competent administrative agency (</w:t>
      </w:r>
      <w:r w:rsidR="00AE0F13" w:rsidRPr="00222917">
        <w:rPr>
          <w:lang w:val="en-US"/>
        </w:rPr>
        <w:t>a</w:t>
      </w:r>
      <w:r w:rsidR="002D5BB0" w:rsidRPr="00222917">
        <w:rPr>
          <w:lang w:val="en-US"/>
        </w:rPr>
        <w:t>rticle</w:t>
      </w:r>
      <w:r w:rsidR="00A3338C" w:rsidRPr="00222917">
        <w:rPr>
          <w:lang w:val="en-US"/>
        </w:rPr>
        <w:t> </w:t>
      </w:r>
      <w:r w:rsidR="002D5BB0" w:rsidRPr="00222917">
        <w:rPr>
          <w:lang w:val="en-US"/>
        </w:rPr>
        <w:t>44). The obligation to register a birth should be assumed by the father or mother if the child is born in wedlock, or by the mo</w:t>
      </w:r>
      <w:r w:rsidR="00A3338C" w:rsidRPr="00222917">
        <w:rPr>
          <w:lang w:val="en-US"/>
        </w:rPr>
        <w:t>ther if out of wedlock (</w:t>
      </w:r>
      <w:r w:rsidR="00AE0F13" w:rsidRPr="00222917">
        <w:rPr>
          <w:lang w:val="en-US"/>
        </w:rPr>
        <w:t>a</w:t>
      </w:r>
      <w:r w:rsidR="00A3338C" w:rsidRPr="00222917">
        <w:rPr>
          <w:lang w:val="en-US"/>
        </w:rPr>
        <w:t>rticle </w:t>
      </w:r>
      <w:r w:rsidR="002D5BB0" w:rsidRPr="00222917">
        <w:rPr>
          <w:lang w:val="en-US"/>
        </w:rPr>
        <w:t xml:space="preserve">46). For an abandoned child, the head of a </w:t>
      </w:r>
      <w:r w:rsidR="002D5BB0" w:rsidRPr="00222917">
        <w:rPr>
          <w:i/>
          <w:lang w:val="en-US"/>
        </w:rPr>
        <w:t>Si/Eup/Myeon</w:t>
      </w:r>
      <w:r w:rsidR="002D5BB0" w:rsidRPr="00222917">
        <w:rPr>
          <w:lang w:val="en-US"/>
        </w:rPr>
        <w:t xml:space="preserve"> should determine the child’s surname and family origin with the approval of the Court and record the name and location of regist</w:t>
      </w:r>
      <w:r w:rsidR="00A3338C" w:rsidRPr="00222917">
        <w:rPr>
          <w:lang w:val="en-US"/>
        </w:rPr>
        <w:t>ration in the registry (</w:t>
      </w:r>
      <w:r w:rsidR="00AE0F13" w:rsidRPr="00222917">
        <w:rPr>
          <w:lang w:val="en-US"/>
        </w:rPr>
        <w:t>a</w:t>
      </w:r>
      <w:r w:rsidR="00A3338C" w:rsidRPr="00222917">
        <w:rPr>
          <w:lang w:val="en-US"/>
        </w:rPr>
        <w:t>rticle </w:t>
      </w:r>
      <w:r w:rsidR="002D5BB0" w:rsidRPr="00222917">
        <w:rPr>
          <w:lang w:val="en-US"/>
        </w:rPr>
        <w:t>52).</w:t>
      </w:r>
    </w:p>
    <w:p w:rsidR="002D5BB0" w:rsidRPr="00222917" w:rsidRDefault="00547908" w:rsidP="00547908">
      <w:pPr>
        <w:pStyle w:val="SingleTxtG"/>
        <w:rPr>
          <w:lang w:val="en-US"/>
        </w:rPr>
      </w:pPr>
      <w:r w:rsidRPr="00222917">
        <w:rPr>
          <w:lang w:val="en-US"/>
        </w:rPr>
        <w:t>362.</w:t>
      </w:r>
      <w:r w:rsidRPr="00222917">
        <w:rPr>
          <w:lang w:val="en-US"/>
        </w:rPr>
        <w:tab/>
      </w:r>
      <w:r w:rsidR="002D5BB0" w:rsidRPr="00222917">
        <w:rPr>
          <w:lang w:val="en-US"/>
        </w:rPr>
        <w:t>As stated in the second report, a child shall inherit the surname and family origin of the father. Where the father of a child is unknown, the child shall inherit the surname and family origin of the mother (CCPR /C/114/Add.1, paras.</w:t>
      </w:r>
      <w:r w:rsidR="00984B6F" w:rsidRPr="00222917">
        <w:rPr>
          <w:lang w:val="en-US"/>
        </w:rPr>
        <w:t> </w:t>
      </w:r>
      <w:r w:rsidR="006F4CA0" w:rsidRPr="00222917">
        <w:rPr>
          <w:lang w:val="en-US"/>
        </w:rPr>
        <w:t>246 and</w:t>
      </w:r>
      <w:r w:rsidR="002D5BB0" w:rsidRPr="00222917">
        <w:rPr>
          <w:lang w:val="en-US"/>
        </w:rPr>
        <w:t xml:space="preserve"> 247). On 31 March 2005, the </w:t>
      </w:r>
      <w:r w:rsidR="002D5BB0" w:rsidRPr="00222917">
        <w:rPr>
          <w:iCs/>
          <w:lang w:val="en-US"/>
        </w:rPr>
        <w:t xml:space="preserve">Civil Act </w:t>
      </w:r>
      <w:r w:rsidR="002D5BB0" w:rsidRPr="00222917">
        <w:rPr>
          <w:lang w:val="en-US"/>
        </w:rPr>
        <w:t>was amended to allow a child to inherit the surname and family origin of the mother if the child’s parents agreed thereto in the marriage report, and to change the surname and family origin afterwards, if necessary to ensure the welfare of the child, upon the request of either parent or the child with the p</w:t>
      </w:r>
      <w:r w:rsidR="00A3338C" w:rsidRPr="00222917">
        <w:rPr>
          <w:lang w:val="en-US"/>
        </w:rPr>
        <w:t>ermission of the Court (</w:t>
      </w:r>
      <w:r w:rsidR="00AE0F13" w:rsidRPr="00222917">
        <w:rPr>
          <w:lang w:val="en-US"/>
        </w:rPr>
        <w:t>a</w:t>
      </w:r>
      <w:r w:rsidR="00A3338C" w:rsidRPr="00222917">
        <w:rPr>
          <w:lang w:val="en-US"/>
        </w:rPr>
        <w:t>rticle </w:t>
      </w:r>
      <w:r w:rsidR="002D5BB0" w:rsidRPr="00222917">
        <w:rPr>
          <w:lang w:val="en-US"/>
        </w:rPr>
        <w:t>781</w:t>
      </w:r>
      <w:r w:rsidR="006F4CA0" w:rsidRPr="00222917">
        <w:rPr>
          <w:lang w:val="en-US"/>
        </w:rPr>
        <w:t> </w:t>
      </w:r>
      <w:r w:rsidR="002D5BB0" w:rsidRPr="00222917">
        <w:rPr>
          <w:lang w:val="en-US"/>
        </w:rPr>
        <w:t xml:space="preserve">(6)). </w:t>
      </w:r>
    </w:p>
    <w:p w:rsidR="002D5BB0" w:rsidRPr="00222917" w:rsidRDefault="00984B6F" w:rsidP="00984B6F">
      <w:pPr>
        <w:pStyle w:val="H1G"/>
        <w:rPr>
          <w:lang w:val="en-US"/>
        </w:rPr>
      </w:pPr>
      <w:bookmarkStart w:id="309" w:name="_Toc307504176"/>
      <w:bookmarkStart w:id="310" w:name="_Toc336435948"/>
      <w:r w:rsidRPr="00222917">
        <w:rPr>
          <w:lang w:val="en-US"/>
        </w:rPr>
        <w:tab/>
      </w:r>
      <w:r w:rsidRPr="00222917">
        <w:rPr>
          <w:lang w:val="en-US"/>
        </w:rPr>
        <w:tab/>
      </w:r>
      <w:r w:rsidR="002D5BB0" w:rsidRPr="00222917">
        <w:rPr>
          <w:lang w:val="en-US"/>
        </w:rPr>
        <w:t>Paragraph 3</w:t>
      </w:r>
      <w:bookmarkEnd w:id="309"/>
      <w:bookmarkEnd w:id="310"/>
    </w:p>
    <w:p w:rsidR="002D5BB0" w:rsidRPr="00222917" w:rsidRDefault="00984B6F" w:rsidP="00984B6F">
      <w:pPr>
        <w:pStyle w:val="H23G"/>
        <w:rPr>
          <w:lang w:val="en-US"/>
        </w:rPr>
      </w:pPr>
      <w:bookmarkStart w:id="311" w:name="_Toc307504177"/>
      <w:bookmarkStart w:id="312" w:name="_Toc336435949"/>
      <w:r w:rsidRPr="00222917">
        <w:rPr>
          <w:lang w:val="en-US"/>
        </w:rPr>
        <w:tab/>
      </w:r>
      <w:r w:rsidRPr="00222917">
        <w:rPr>
          <w:lang w:val="en-US"/>
        </w:rPr>
        <w:tab/>
      </w:r>
      <w:r w:rsidR="002D5BB0" w:rsidRPr="00222917">
        <w:rPr>
          <w:lang w:val="en-US"/>
        </w:rPr>
        <w:t>Nationality of a Child</w:t>
      </w:r>
      <w:bookmarkEnd w:id="311"/>
      <w:bookmarkEnd w:id="312"/>
    </w:p>
    <w:p w:rsidR="002D5BB0" w:rsidRPr="00222917" w:rsidRDefault="00547908" w:rsidP="00547908">
      <w:pPr>
        <w:pStyle w:val="SingleTxtG"/>
        <w:rPr>
          <w:lang w:val="en-US"/>
        </w:rPr>
      </w:pPr>
      <w:r w:rsidRPr="00222917">
        <w:rPr>
          <w:lang w:val="en-US"/>
        </w:rPr>
        <w:t>363.</w:t>
      </w:r>
      <w:r w:rsidRPr="00222917">
        <w:rPr>
          <w:lang w:val="en-US"/>
        </w:rPr>
        <w:tab/>
      </w:r>
      <w:r w:rsidR="002D5BB0" w:rsidRPr="00222917">
        <w:rPr>
          <w:lang w:val="en-US"/>
        </w:rPr>
        <w:t>As explained in the second report, all children including children born out of wedlock, abandoned children, and children of no nationality are allowed to obtain a nationality by birth. As stated in the second and third reports (CCPR/C/68/Add.1, paras.</w:t>
      </w:r>
      <w:r w:rsidR="0090271C" w:rsidRPr="00222917">
        <w:rPr>
          <w:lang w:val="en-US"/>
        </w:rPr>
        <w:t> 246 and 247; CCPR/C/KOR/2005/3, para. </w:t>
      </w:r>
      <w:r w:rsidR="002D5BB0" w:rsidRPr="00222917">
        <w:rPr>
          <w:lang w:val="en-US"/>
        </w:rPr>
        <w:t xml:space="preserve">358), the </w:t>
      </w:r>
      <w:r w:rsidR="002D5BB0" w:rsidRPr="00222917">
        <w:rPr>
          <w:iCs/>
          <w:lang w:val="en-US"/>
        </w:rPr>
        <w:t xml:space="preserve">Civil Act </w:t>
      </w:r>
      <w:r w:rsidR="002D5BB0" w:rsidRPr="00222917">
        <w:rPr>
          <w:lang w:val="en-US"/>
        </w:rPr>
        <w:t>was amended to uphold the paternal and maternal double lineage, through which the child of a woman of Korean nationality married to an illegal migrant becomes a Korean national.</w:t>
      </w:r>
    </w:p>
    <w:p w:rsidR="002D5BB0" w:rsidRPr="0087497F" w:rsidRDefault="00984B6F" w:rsidP="00984B6F">
      <w:pPr>
        <w:pStyle w:val="HChG"/>
        <w:rPr>
          <w:sz w:val="24"/>
          <w:szCs w:val="24"/>
          <w:lang w:val="en-US"/>
        </w:rPr>
      </w:pPr>
      <w:bookmarkStart w:id="313" w:name="_Toc307504178"/>
      <w:bookmarkStart w:id="314" w:name="_Toc336435950"/>
      <w:r w:rsidRPr="00222917">
        <w:rPr>
          <w:lang w:val="en-US"/>
        </w:rPr>
        <w:tab/>
      </w:r>
      <w:r w:rsidRPr="00222917">
        <w:rPr>
          <w:lang w:val="en-US"/>
        </w:rPr>
        <w:tab/>
      </w:r>
      <w:r w:rsidR="002D5BB0" w:rsidRPr="0087497F">
        <w:rPr>
          <w:sz w:val="24"/>
          <w:szCs w:val="24"/>
          <w:lang w:val="en-US"/>
        </w:rPr>
        <w:t>Article 25</w:t>
      </w:r>
      <w:bookmarkEnd w:id="313"/>
      <w:bookmarkEnd w:id="314"/>
    </w:p>
    <w:p w:rsidR="002D5BB0" w:rsidRPr="00222917" w:rsidRDefault="00547908" w:rsidP="00547908">
      <w:pPr>
        <w:pStyle w:val="SingleTxtG"/>
        <w:rPr>
          <w:lang w:val="en-US"/>
        </w:rPr>
      </w:pPr>
      <w:r w:rsidRPr="00222917">
        <w:rPr>
          <w:lang w:val="en-US"/>
        </w:rPr>
        <w:t>364.</w:t>
      </w:r>
      <w:r w:rsidRPr="00222917">
        <w:rPr>
          <w:lang w:val="en-US"/>
        </w:rPr>
        <w:tab/>
      </w:r>
      <w:r w:rsidR="002D5BB0" w:rsidRPr="00222917">
        <w:rPr>
          <w:lang w:val="en-US"/>
        </w:rPr>
        <w:t>The Constitution provides for the principle of</w:t>
      </w:r>
      <w:r w:rsidR="00A3338C" w:rsidRPr="00222917">
        <w:rPr>
          <w:lang w:val="en-US"/>
        </w:rPr>
        <w:t xml:space="preserve"> popular sovereignty in </w:t>
      </w:r>
      <w:r w:rsidR="00AE0F13" w:rsidRPr="00222917">
        <w:rPr>
          <w:lang w:val="en-US"/>
        </w:rPr>
        <w:t>a</w:t>
      </w:r>
      <w:r w:rsidR="00A3338C" w:rsidRPr="00222917">
        <w:rPr>
          <w:lang w:val="en-US"/>
        </w:rPr>
        <w:t>rticle </w:t>
      </w:r>
      <w:r w:rsidR="002D5BB0" w:rsidRPr="00222917">
        <w:rPr>
          <w:lang w:val="en-US"/>
        </w:rPr>
        <w:t>1</w:t>
      </w:r>
      <w:r w:rsidR="00A3338C" w:rsidRPr="00222917">
        <w:rPr>
          <w:lang w:val="en-US"/>
        </w:rPr>
        <w:t> </w:t>
      </w:r>
      <w:r w:rsidR="002D5BB0" w:rsidRPr="00222917">
        <w:rPr>
          <w:lang w:val="en-US"/>
        </w:rPr>
        <w:t xml:space="preserve">(2), people’s right to vote in </w:t>
      </w:r>
      <w:r w:rsidR="00AE0F13" w:rsidRPr="00222917">
        <w:rPr>
          <w:lang w:val="en-US"/>
        </w:rPr>
        <w:t>a</w:t>
      </w:r>
      <w:r w:rsidR="002D5BB0" w:rsidRPr="00222917">
        <w:rPr>
          <w:lang w:val="en-US"/>
        </w:rPr>
        <w:t>rticle 24, people’s right t</w:t>
      </w:r>
      <w:r w:rsidR="00A3338C" w:rsidRPr="00222917">
        <w:rPr>
          <w:lang w:val="en-US"/>
        </w:rPr>
        <w:t xml:space="preserve">o hold public office in </w:t>
      </w:r>
      <w:r w:rsidR="00AE0F13" w:rsidRPr="00222917">
        <w:rPr>
          <w:lang w:val="en-US"/>
        </w:rPr>
        <w:t>a</w:t>
      </w:r>
      <w:r w:rsidR="00A3338C" w:rsidRPr="00222917">
        <w:rPr>
          <w:lang w:val="en-US"/>
        </w:rPr>
        <w:t>rticle </w:t>
      </w:r>
      <w:r w:rsidR="002D5BB0" w:rsidRPr="00222917">
        <w:rPr>
          <w:lang w:val="en-US"/>
        </w:rPr>
        <w:t>25, and prohibition of restrictions on people’s right to vote by means of ret</w:t>
      </w:r>
      <w:r w:rsidR="00A3338C" w:rsidRPr="00222917">
        <w:rPr>
          <w:lang w:val="en-US"/>
        </w:rPr>
        <w:t xml:space="preserve">roactive legislation in </w:t>
      </w:r>
      <w:r w:rsidR="00AE0F13" w:rsidRPr="00222917">
        <w:rPr>
          <w:lang w:val="en-US"/>
        </w:rPr>
        <w:t>a</w:t>
      </w:r>
      <w:r w:rsidR="00A3338C" w:rsidRPr="00222917">
        <w:rPr>
          <w:lang w:val="en-US"/>
        </w:rPr>
        <w:t>rticle </w:t>
      </w:r>
      <w:r w:rsidR="002D5BB0" w:rsidRPr="00222917">
        <w:rPr>
          <w:lang w:val="en-US"/>
        </w:rPr>
        <w:t>13</w:t>
      </w:r>
      <w:r w:rsidR="00A3338C" w:rsidRPr="00222917">
        <w:rPr>
          <w:lang w:val="en-US"/>
        </w:rPr>
        <w:t> </w:t>
      </w:r>
      <w:r w:rsidR="002D5BB0" w:rsidRPr="00222917">
        <w:rPr>
          <w:lang w:val="en-US"/>
        </w:rPr>
        <w:t xml:space="preserve">(2). These provisions in the Constitution; details of the right to vote and the right to hold public office; and principles of the universal, equal, direct and secret ballot are as stated in the first </w:t>
      </w:r>
      <w:r w:rsidR="0090271C" w:rsidRPr="00222917">
        <w:rPr>
          <w:lang w:val="en-US"/>
        </w:rPr>
        <w:t>report (CCPR/C/68/Add.1, paras. 313-</w:t>
      </w:r>
      <w:r w:rsidR="002D5BB0" w:rsidRPr="00222917">
        <w:rPr>
          <w:lang w:val="en-US"/>
        </w:rPr>
        <w:t>318).</w:t>
      </w:r>
    </w:p>
    <w:p w:rsidR="002D5BB0" w:rsidRPr="00222917" w:rsidRDefault="00463FDC" w:rsidP="00463FDC">
      <w:pPr>
        <w:pStyle w:val="H23G"/>
        <w:rPr>
          <w:lang w:val="en-US"/>
        </w:rPr>
      </w:pPr>
      <w:bookmarkStart w:id="315" w:name="_Toc307504179"/>
      <w:bookmarkStart w:id="316" w:name="_Toc336435951"/>
      <w:r w:rsidRPr="00222917">
        <w:rPr>
          <w:lang w:val="en-US"/>
        </w:rPr>
        <w:tab/>
      </w:r>
      <w:r w:rsidRPr="00222917">
        <w:rPr>
          <w:lang w:val="en-US"/>
        </w:rPr>
        <w:tab/>
      </w:r>
      <w:r w:rsidR="002D5BB0" w:rsidRPr="00222917">
        <w:rPr>
          <w:lang w:val="en-US"/>
        </w:rPr>
        <w:t>Amendment of the Public Official Election Act</w:t>
      </w:r>
      <w:bookmarkEnd w:id="315"/>
      <w:bookmarkEnd w:id="316"/>
    </w:p>
    <w:p w:rsidR="002D5BB0" w:rsidRPr="00222917" w:rsidRDefault="00547908" w:rsidP="00547908">
      <w:pPr>
        <w:pStyle w:val="SingleTxtG"/>
        <w:rPr>
          <w:lang w:val="en-US"/>
        </w:rPr>
      </w:pPr>
      <w:r w:rsidRPr="00222917">
        <w:rPr>
          <w:lang w:val="en-US"/>
        </w:rPr>
        <w:t>365.</w:t>
      </w:r>
      <w:r w:rsidRPr="00222917">
        <w:rPr>
          <w:lang w:val="en-US"/>
        </w:rPr>
        <w:tab/>
      </w:r>
      <w:r w:rsidR="002D5BB0" w:rsidRPr="00222917">
        <w:rPr>
          <w:lang w:val="en-US"/>
        </w:rPr>
        <w:t>As mentioned in the third report (CCPR/C/KOR/2005/3,</w:t>
      </w:r>
      <w:r w:rsidR="006D7B40" w:rsidRPr="00222917">
        <w:rPr>
          <w:lang w:val="en-US"/>
        </w:rPr>
        <w:t xml:space="preserve"> paras. 360-</w:t>
      </w:r>
      <w:r w:rsidR="002D5BB0" w:rsidRPr="00222917">
        <w:rPr>
          <w:lang w:val="en-US"/>
        </w:rPr>
        <w:t xml:space="preserve">362), the </w:t>
      </w:r>
      <w:r w:rsidR="002D5BB0" w:rsidRPr="0005151A">
        <w:rPr>
          <w:iCs/>
          <w:lang w:val="en-US"/>
        </w:rPr>
        <w:t>Act on the Election of Public Officials and the Prevention of Election Malpractice</w:t>
      </w:r>
      <w:r w:rsidR="002D5BB0" w:rsidRPr="00222917">
        <w:rPr>
          <w:lang w:val="en-US"/>
        </w:rPr>
        <w:t xml:space="preserve"> was wholly amended and renamed the </w:t>
      </w:r>
      <w:r w:rsidR="002D5BB0" w:rsidRPr="0005151A">
        <w:rPr>
          <w:iCs/>
          <w:lang w:val="en-US"/>
        </w:rPr>
        <w:t xml:space="preserve">Public Official Election Act </w:t>
      </w:r>
      <w:r w:rsidR="002D5BB0" w:rsidRPr="00222917">
        <w:rPr>
          <w:lang w:val="en-US"/>
        </w:rPr>
        <w:t xml:space="preserve">on 14 August 2005. </w:t>
      </w:r>
    </w:p>
    <w:p w:rsidR="002D5BB0" w:rsidRPr="00222917" w:rsidRDefault="00547908" w:rsidP="00547908">
      <w:pPr>
        <w:pStyle w:val="SingleTxtG"/>
        <w:rPr>
          <w:lang w:val="en-US"/>
        </w:rPr>
      </w:pPr>
      <w:r w:rsidRPr="00222917">
        <w:rPr>
          <w:lang w:val="en-US"/>
        </w:rPr>
        <w:t>366.</w:t>
      </w:r>
      <w:r w:rsidRPr="00222917">
        <w:rPr>
          <w:lang w:val="en-US"/>
        </w:rPr>
        <w:tab/>
      </w:r>
      <w:r w:rsidR="002D5BB0" w:rsidRPr="00222917">
        <w:rPr>
          <w:lang w:val="en-US"/>
        </w:rPr>
        <w:t>Through such amendment, the voting age was lowered from age 20 to 19, and foreigners of age 19 or above for whom three years have passed from the date of obtaining qualification for stay may exercise the right to vote in elections of the approp</w:t>
      </w:r>
      <w:r w:rsidR="00A3338C" w:rsidRPr="00222917">
        <w:rPr>
          <w:lang w:val="en-US"/>
        </w:rPr>
        <w:t>riate local government (</w:t>
      </w:r>
      <w:r w:rsidR="00AE0F13" w:rsidRPr="00222917">
        <w:rPr>
          <w:lang w:val="en-US"/>
        </w:rPr>
        <w:t>a</w:t>
      </w:r>
      <w:r w:rsidR="00A3338C" w:rsidRPr="00222917">
        <w:rPr>
          <w:lang w:val="en-US"/>
        </w:rPr>
        <w:t>rticle </w:t>
      </w:r>
      <w:r w:rsidR="002D5BB0" w:rsidRPr="00222917">
        <w:rPr>
          <w:lang w:val="en-US"/>
        </w:rPr>
        <w:t>15). Recommendation of female candidates has become compulsory in an election of lawmakers by proportional representation. Where a political party intends to recommend its members as candidates to run in an election by proportional representation and in an election of local council members by proportional representation, the political party should recommend at least 50/100 of the candidates from among women, and put the female candidates under every odd-numbered slot on</w:t>
      </w:r>
      <w:r w:rsidR="00A3338C" w:rsidRPr="00222917">
        <w:rPr>
          <w:lang w:val="en-US"/>
        </w:rPr>
        <w:t xml:space="preserve"> a slate of candidates (</w:t>
      </w:r>
      <w:r w:rsidR="00AE0F13" w:rsidRPr="00222917">
        <w:rPr>
          <w:lang w:val="en-US"/>
        </w:rPr>
        <w:t>a</w:t>
      </w:r>
      <w:r w:rsidR="00A3338C" w:rsidRPr="00222917">
        <w:rPr>
          <w:lang w:val="en-US"/>
        </w:rPr>
        <w:t>rticle </w:t>
      </w:r>
      <w:r w:rsidR="002D5BB0" w:rsidRPr="00222917">
        <w:rPr>
          <w:lang w:val="en-US"/>
        </w:rPr>
        <w:t>47). In</w:t>
      </w:r>
      <w:r w:rsidR="00A3338C" w:rsidRPr="00222917">
        <w:rPr>
          <w:lang w:val="en-US"/>
        </w:rPr>
        <w:t> </w:t>
      </w:r>
      <w:r w:rsidR="002D5BB0" w:rsidRPr="00222917">
        <w:rPr>
          <w:lang w:val="en-US"/>
        </w:rPr>
        <w:t>order to prevent groundless slander from being posted over the Internet and provide an environment conducive to clean elections, all Internet press agencies are required to take measures to have their users identify their real name when posting comments on forums or message boards. Where Internet press agencies wish to allow users to post comments in opposition to or in favor of a certain political party or candidate on message boards or chat rooms of their websites, they should have their users identify their real names by a means of real-name authentication provided by the Minister of Public Administration and Security, and delete any post that has no “real-name authenticatio</w:t>
      </w:r>
      <w:r w:rsidR="00A3338C" w:rsidRPr="00222917">
        <w:rPr>
          <w:lang w:val="en-US"/>
        </w:rPr>
        <w:t>n” mark (</w:t>
      </w:r>
      <w:r w:rsidR="00AE0F13" w:rsidRPr="00222917">
        <w:rPr>
          <w:lang w:val="en-US"/>
        </w:rPr>
        <w:t>a</w:t>
      </w:r>
      <w:r w:rsidR="00A3338C" w:rsidRPr="00222917">
        <w:rPr>
          <w:lang w:val="en-US"/>
        </w:rPr>
        <w:t>rticle </w:t>
      </w:r>
      <w:r w:rsidR="002D5BB0" w:rsidRPr="00222917">
        <w:rPr>
          <w:lang w:val="en-US"/>
        </w:rPr>
        <w:t xml:space="preserve">82-6). </w:t>
      </w:r>
    </w:p>
    <w:p w:rsidR="002D5BB0" w:rsidRPr="00222917" w:rsidRDefault="00547908" w:rsidP="00547908">
      <w:pPr>
        <w:pStyle w:val="SingleTxtG"/>
        <w:rPr>
          <w:lang w:val="en-US"/>
        </w:rPr>
      </w:pPr>
      <w:r w:rsidRPr="00222917">
        <w:rPr>
          <w:lang w:val="en-US"/>
        </w:rPr>
        <w:t>367.</w:t>
      </w:r>
      <w:r w:rsidRPr="00222917">
        <w:rPr>
          <w:lang w:val="en-US"/>
        </w:rPr>
        <w:tab/>
      </w:r>
      <w:r w:rsidR="002D5BB0" w:rsidRPr="00222917">
        <w:rPr>
          <w:lang w:val="en-US"/>
        </w:rPr>
        <w:t xml:space="preserve">In light of the controversy surrounding the setting up of polling stations in religious facilities such as churches, the </w:t>
      </w:r>
      <w:r w:rsidR="002D5BB0" w:rsidRPr="00222917">
        <w:rPr>
          <w:iCs/>
          <w:lang w:val="en-US"/>
        </w:rPr>
        <w:t xml:space="preserve">Act </w:t>
      </w:r>
      <w:r w:rsidR="002D5BB0" w:rsidRPr="00222917">
        <w:rPr>
          <w:lang w:val="en-US"/>
        </w:rPr>
        <w:t>was amended on 25 January 2010 to prohibit polling stations from being established within religious facili</w:t>
      </w:r>
      <w:r w:rsidR="00A3338C" w:rsidRPr="00222917">
        <w:rPr>
          <w:lang w:val="en-US"/>
        </w:rPr>
        <w:t>ties (</w:t>
      </w:r>
      <w:r w:rsidR="00AE0F13" w:rsidRPr="00222917">
        <w:rPr>
          <w:lang w:val="en-US"/>
        </w:rPr>
        <w:t>a</w:t>
      </w:r>
      <w:r w:rsidR="00A3338C" w:rsidRPr="00222917">
        <w:rPr>
          <w:lang w:val="en-US"/>
        </w:rPr>
        <w:t>rticle 147 </w:t>
      </w:r>
      <w:r w:rsidR="002D5BB0" w:rsidRPr="00222917">
        <w:rPr>
          <w:lang w:val="en-US"/>
        </w:rPr>
        <w:t xml:space="preserve">(4)). Following public concerns that recommendation of female candidates was not guaranteed by compulsory provisions, with the result that the purpose of the legislation to expand women’s political participation could not be fulfilled, the </w:t>
      </w:r>
      <w:r w:rsidR="002D5BB0" w:rsidRPr="00222917">
        <w:rPr>
          <w:iCs/>
          <w:lang w:val="en-US"/>
        </w:rPr>
        <w:t xml:space="preserve">Act </w:t>
      </w:r>
      <w:r w:rsidR="002D5BB0" w:rsidRPr="00222917">
        <w:rPr>
          <w:lang w:val="en-US"/>
        </w:rPr>
        <w:t>was amended on 12 March 2010 to establish a new provision to make recommendation of female</w:t>
      </w:r>
      <w:r w:rsidR="00A3338C" w:rsidRPr="00222917">
        <w:rPr>
          <w:lang w:val="en-US"/>
        </w:rPr>
        <w:t xml:space="preserve"> candidates compulsory (</w:t>
      </w:r>
      <w:r w:rsidR="00AE0F13" w:rsidRPr="00222917">
        <w:rPr>
          <w:lang w:val="en-US"/>
        </w:rPr>
        <w:t>a</w:t>
      </w:r>
      <w:r w:rsidR="00A3338C" w:rsidRPr="00222917">
        <w:rPr>
          <w:lang w:val="en-US"/>
        </w:rPr>
        <w:t>rticle </w:t>
      </w:r>
      <w:r w:rsidR="002D5BB0" w:rsidRPr="00222917">
        <w:rPr>
          <w:lang w:val="en-US"/>
        </w:rPr>
        <w:t>52</w:t>
      </w:r>
      <w:r w:rsidR="00A3338C" w:rsidRPr="00222917">
        <w:rPr>
          <w:lang w:val="en-US"/>
        </w:rPr>
        <w:t> </w:t>
      </w:r>
      <w:r w:rsidR="002D5BB0" w:rsidRPr="00222917">
        <w:rPr>
          <w:lang w:val="en-US"/>
        </w:rPr>
        <w:t>(2)).</w:t>
      </w:r>
    </w:p>
    <w:p w:rsidR="002D5BB0" w:rsidRPr="00222917" w:rsidRDefault="00463FDC" w:rsidP="00463FDC">
      <w:pPr>
        <w:pStyle w:val="H23G"/>
        <w:rPr>
          <w:lang w:val="en-US"/>
        </w:rPr>
      </w:pPr>
      <w:bookmarkStart w:id="317" w:name="_Toc307504180"/>
      <w:bookmarkStart w:id="318" w:name="_Toc336435952"/>
      <w:r w:rsidRPr="00222917">
        <w:rPr>
          <w:lang w:val="en-US"/>
        </w:rPr>
        <w:tab/>
      </w:r>
      <w:r w:rsidRPr="00222917">
        <w:rPr>
          <w:lang w:val="en-US"/>
        </w:rPr>
        <w:tab/>
      </w:r>
      <w:r w:rsidR="002D5BB0" w:rsidRPr="00222917">
        <w:rPr>
          <w:lang w:val="en-US"/>
        </w:rPr>
        <w:t>Granting Right to Vote to Aliens and Overseas Koreans</w:t>
      </w:r>
      <w:bookmarkEnd w:id="317"/>
      <w:bookmarkEnd w:id="318"/>
    </w:p>
    <w:p w:rsidR="002D5BB0" w:rsidRPr="00222917" w:rsidRDefault="00547908" w:rsidP="00547908">
      <w:pPr>
        <w:pStyle w:val="SingleTxtG"/>
        <w:rPr>
          <w:lang w:val="en-US"/>
        </w:rPr>
      </w:pPr>
      <w:r w:rsidRPr="00222917">
        <w:rPr>
          <w:lang w:val="en-US"/>
        </w:rPr>
        <w:t>368.</w:t>
      </w:r>
      <w:r w:rsidRPr="00222917">
        <w:rPr>
          <w:lang w:val="en-US"/>
        </w:rPr>
        <w:tab/>
      </w:r>
      <w:r w:rsidR="002D5BB0" w:rsidRPr="00222917">
        <w:rPr>
          <w:lang w:val="en-US"/>
        </w:rPr>
        <w:t>As explained in the third re</w:t>
      </w:r>
      <w:r w:rsidR="00670E22" w:rsidRPr="00222917">
        <w:rPr>
          <w:lang w:val="en-US"/>
        </w:rPr>
        <w:t>port (CCPR/C/KOR/2005/3, paras. </w:t>
      </w:r>
      <w:r w:rsidR="002D5BB0" w:rsidRPr="00222917">
        <w:rPr>
          <w:lang w:val="en-US"/>
        </w:rPr>
        <w:t>363</w:t>
      </w:r>
      <w:r w:rsidR="00670E22" w:rsidRPr="00222917">
        <w:rPr>
          <w:lang w:val="en-US"/>
        </w:rPr>
        <w:t xml:space="preserve"> and </w:t>
      </w:r>
      <w:r w:rsidR="002D5BB0" w:rsidRPr="00222917">
        <w:rPr>
          <w:lang w:val="en-US"/>
        </w:rPr>
        <w:t xml:space="preserve">364), the </w:t>
      </w:r>
      <w:r w:rsidR="002D5BB0" w:rsidRPr="00222917">
        <w:rPr>
          <w:iCs/>
          <w:lang w:val="en-US"/>
        </w:rPr>
        <w:t xml:space="preserve">Local Referendum Act </w:t>
      </w:r>
      <w:r w:rsidR="002D5BB0" w:rsidRPr="00222917">
        <w:rPr>
          <w:lang w:val="en-US"/>
        </w:rPr>
        <w:t xml:space="preserve">was enacted to allow alien sojourners living in the </w:t>
      </w:r>
      <w:smartTag w:uri="urn:schemas-microsoft-com:office:smarttags" w:element="place">
        <w:smartTag w:uri="urn:schemas-microsoft-com:office:smarttags" w:element="PlaceType">
          <w:r w:rsidR="002D5BB0" w:rsidRPr="00222917">
            <w:rPr>
              <w:lang w:val="en-US"/>
            </w:rPr>
            <w:t>Republic</w:t>
          </w:r>
        </w:smartTag>
        <w:r w:rsidR="002D5BB0" w:rsidRPr="00222917">
          <w:rPr>
            <w:lang w:val="en-US"/>
          </w:rPr>
          <w:t xml:space="preserve"> of </w:t>
        </w:r>
        <w:smartTag w:uri="urn:schemas-microsoft-com:office:smarttags" w:element="PlaceName">
          <w:r w:rsidR="002D5BB0" w:rsidRPr="00222917">
            <w:rPr>
              <w:lang w:val="en-US"/>
            </w:rPr>
            <w:t>Korea</w:t>
          </w:r>
        </w:smartTag>
      </w:smartTag>
      <w:r w:rsidR="002D5BB0" w:rsidRPr="00222917">
        <w:rPr>
          <w:lang w:val="en-US"/>
        </w:rPr>
        <w:t xml:space="preserve"> to participate in important decision-making processes of local governments as residents.</w:t>
      </w:r>
    </w:p>
    <w:p w:rsidR="002D5BB0" w:rsidRPr="00222917" w:rsidRDefault="00547908" w:rsidP="00547908">
      <w:pPr>
        <w:pStyle w:val="SingleTxtG"/>
        <w:rPr>
          <w:lang w:val="en-US"/>
        </w:rPr>
      </w:pPr>
      <w:r w:rsidRPr="00222917">
        <w:rPr>
          <w:lang w:val="en-US"/>
        </w:rPr>
        <w:t>369.</w:t>
      </w:r>
      <w:r w:rsidRPr="00222917">
        <w:rPr>
          <w:lang w:val="en-US"/>
        </w:rPr>
        <w:tab/>
      </w:r>
      <w:r w:rsidR="002D5BB0" w:rsidRPr="00222917">
        <w:rPr>
          <w:lang w:val="en-US"/>
        </w:rPr>
        <w:t xml:space="preserve">On 28 June 2007, the </w:t>
      </w:r>
      <w:smartTag w:uri="urn:schemas-microsoft-com:office:smarttags" w:element="Street">
        <w:smartTag w:uri="urn:schemas-microsoft-com:office:smarttags" w:element="address">
          <w:r w:rsidR="002D5BB0" w:rsidRPr="00222917">
            <w:rPr>
              <w:lang w:val="en-US"/>
            </w:rPr>
            <w:t>Constitutional Court</w:t>
          </w:r>
        </w:smartTag>
      </w:smartTag>
      <w:r w:rsidR="002D5BB0" w:rsidRPr="00222917">
        <w:rPr>
          <w:lang w:val="en-US"/>
        </w:rPr>
        <w:t xml:space="preserve"> ruled </w:t>
      </w:r>
      <w:r w:rsidR="00AE0F13" w:rsidRPr="00222917">
        <w:rPr>
          <w:lang w:val="en-US"/>
        </w:rPr>
        <w:t>a</w:t>
      </w:r>
      <w:r w:rsidR="002D5BB0" w:rsidRPr="00222917">
        <w:rPr>
          <w:lang w:val="en-US"/>
        </w:rPr>
        <w:t>rticle</w:t>
      </w:r>
      <w:r w:rsidR="00670E22" w:rsidRPr="00222917">
        <w:rPr>
          <w:lang w:val="en-US"/>
        </w:rPr>
        <w:t> </w:t>
      </w:r>
      <w:r w:rsidR="002D5BB0" w:rsidRPr="00222917">
        <w:rPr>
          <w:lang w:val="en-US"/>
        </w:rPr>
        <w:t xml:space="preserve">37 (1) of the </w:t>
      </w:r>
      <w:r w:rsidR="002D5BB0" w:rsidRPr="00222917">
        <w:rPr>
          <w:iCs/>
          <w:lang w:val="en-US"/>
        </w:rPr>
        <w:t>Public Official Election Act,</w:t>
      </w:r>
      <w:r w:rsidR="002D5BB0" w:rsidRPr="00222917">
        <w:rPr>
          <w:lang w:val="en-US"/>
        </w:rPr>
        <w:t xml:space="preserve"> which did not guarantee overseas Koreans’ participation in elections, unconstitutional (2004 HUN-MA 644; 2005</w:t>
      </w:r>
      <w:r w:rsidR="002D5BB0" w:rsidRPr="00222917">
        <w:rPr>
          <w:i/>
          <w:lang w:val="en-US"/>
        </w:rPr>
        <w:t xml:space="preserve"> </w:t>
      </w:r>
      <w:r w:rsidR="002D5BB0" w:rsidRPr="00222917">
        <w:rPr>
          <w:lang w:val="en-US"/>
        </w:rPr>
        <w:t>HUN-MA 360). Under that provision, the possibility for entry in the electoral registry and exercise of right to vote was determined depending on whether a person was registered as a res</w:t>
      </w:r>
      <w:r w:rsidR="00670E22" w:rsidRPr="00222917">
        <w:rPr>
          <w:lang w:val="en-US"/>
        </w:rPr>
        <w:t xml:space="preserve">ident. Therefore, under </w:t>
      </w:r>
      <w:r w:rsidR="00AE0F13" w:rsidRPr="00222917">
        <w:rPr>
          <w:lang w:val="en-US"/>
        </w:rPr>
        <w:t>a</w:t>
      </w:r>
      <w:r w:rsidR="00670E22" w:rsidRPr="00222917">
        <w:rPr>
          <w:lang w:val="en-US"/>
        </w:rPr>
        <w:t>rticle </w:t>
      </w:r>
      <w:r w:rsidR="002D5BB0" w:rsidRPr="00222917">
        <w:rPr>
          <w:lang w:val="en-US"/>
        </w:rPr>
        <w:t>37</w:t>
      </w:r>
      <w:r w:rsidR="00670E22" w:rsidRPr="00222917">
        <w:rPr>
          <w:lang w:val="en-US"/>
        </w:rPr>
        <w:t> </w:t>
      </w:r>
      <w:r w:rsidR="002D5BB0" w:rsidRPr="00222917">
        <w:rPr>
          <w:lang w:val="en-US"/>
        </w:rPr>
        <w:t xml:space="preserve">(1) of the </w:t>
      </w:r>
      <w:r w:rsidR="002D5BB0" w:rsidRPr="00222917">
        <w:rPr>
          <w:iCs/>
          <w:lang w:val="en-US"/>
        </w:rPr>
        <w:t>Public Official Election Act</w:t>
      </w:r>
      <w:r w:rsidR="002D5BB0" w:rsidRPr="00222917">
        <w:rPr>
          <w:lang w:val="en-US"/>
        </w:rPr>
        <w:t xml:space="preserve">, overseas Koreans, who could not be registered as residents under the </w:t>
      </w:r>
      <w:r w:rsidR="002D5BB0" w:rsidRPr="00222917">
        <w:rPr>
          <w:iCs/>
          <w:lang w:val="en-US"/>
        </w:rPr>
        <w:t>Resident Registration Act</w:t>
      </w:r>
      <w:r w:rsidR="002D5BB0" w:rsidRPr="00222917">
        <w:rPr>
          <w:lang w:val="en-US"/>
        </w:rPr>
        <w:t xml:space="preserve"> even though they were Korean nationals, were not able to exercise their right to vote. The Constitutional Court decided that such provisions did not have an</w:t>
      </w:r>
      <w:r w:rsidR="00670E22" w:rsidRPr="00222917">
        <w:rPr>
          <w:lang w:val="en-US"/>
        </w:rPr>
        <w:t xml:space="preserve">y merit and violated </w:t>
      </w:r>
      <w:r w:rsidR="00AE0F13" w:rsidRPr="00222917">
        <w:rPr>
          <w:lang w:val="en-US"/>
        </w:rPr>
        <w:t>a</w:t>
      </w:r>
      <w:r w:rsidR="00670E22" w:rsidRPr="00222917">
        <w:rPr>
          <w:lang w:val="en-US"/>
        </w:rPr>
        <w:t>rticle 37 </w:t>
      </w:r>
      <w:r w:rsidR="002D5BB0" w:rsidRPr="00222917">
        <w:rPr>
          <w:lang w:val="en-US"/>
        </w:rPr>
        <w:t xml:space="preserve">(2) of the Constitution by infringing upon overseas Koreans’ right to vote and right to equality, and breaching the principle of universal ballot. The </w:t>
      </w:r>
      <w:r w:rsidR="002D5BB0" w:rsidRPr="00222917">
        <w:rPr>
          <w:iCs/>
          <w:lang w:val="en-US"/>
        </w:rPr>
        <w:t xml:space="preserve">Public Official Election Act </w:t>
      </w:r>
      <w:r w:rsidR="002D5BB0" w:rsidRPr="00222917">
        <w:rPr>
          <w:lang w:val="en-US"/>
        </w:rPr>
        <w:t xml:space="preserve">was amended to guarantee their right to vote accordingly. </w:t>
      </w:r>
    </w:p>
    <w:p w:rsidR="002D5BB0" w:rsidRPr="00222917" w:rsidRDefault="00547908" w:rsidP="00547908">
      <w:pPr>
        <w:pStyle w:val="SingleTxtG"/>
        <w:rPr>
          <w:lang w:val="en-US"/>
        </w:rPr>
      </w:pPr>
      <w:r w:rsidRPr="00222917">
        <w:rPr>
          <w:lang w:val="en-US"/>
        </w:rPr>
        <w:t>370.</w:t>
      </w:r>
      <w:r w:rsidRPr="00222917">
        <w:rPr>
          <w:lang w:val="en-US"/>
        </w:rPr>
        <w:tab/>
      </w:r>
      <w:r w:rsidR="002D5BB0" w:rsidRPr="00222917">
        <w:rPr>
          <w:lang w:val="en-US"/>
        </w:rPr>
        <w:t xml:space="preserve">On 12 February 2009, the </w:t>
      </w:r>
      <w:r w:rsidR="0005151A">
        <w:rPr>
          <w:lang w:val="en-US"/>
        </w:rPr>
        <w:t>G</w:t>
      </w:r>
      <w:r w:rsidR="002D5BB0" w:rsidRPr="00222917">
        <w:rPr>
          <w:lang w:val="en-US"/>
        </w:rPr>
        <w:t xml:space="preserve">overnment amended the </w:t>
      </w:r>
      <w:r w:rsidR="002D5BB0" w:rsidRPr="00222917">
        <w:rPr>
          <w:iCs/>
          <w:lang w:val="en-US"/>
        </w:rPr>
        <w:t>Public Official Election Act</w:t>
      </w:r>
      <w:r w:rsidR="002D5BB0" w:rsidRPr="00222917">
        <w:rPr>
          <w:lang w:val="en-US"/>
        </w:rPr>
        <w:t xml:space="preserve"> to newly establish provisions to grant the right to vote in a presidential election and an election of lawmakers in electoral districts due to the termination of the term thereof to a Korean national of age 19 or older whose resident registration has been made or whose domestic domicile has been reported, and who stays overseas only temporarily (</w:t>
      </w:r>
      <w:r w:rsidR="00AE0F13" w:rsidRPr="00222917">
        <w:rPr>
          <w:lang w:val="en-US"/>
        </w:rPr>
        <w:t>a</w:t>
      </w:r>
      <w:r w:rsidR="002D5BB0" w:rsidRPr="00222917">
        <w:rPr>
          <w:lang w:val="en-US"/>
        </w:rPr>
        <w:t>rticle</w:t>
      </w:r>
      <w:r w:rsidR="006D7B40" w:rsidRPr="00222917">
        <w:rPr>
          <w:lang w:val="en-US"/>
        </w:rPr>
        <w:t> </w:t>
      </w:r>
      <w:r w:rsidR="002D5BB0" w:rsidRPr="00222917">
        <w:rPr>
          <w:lang w:val="en-US"/>
        </w:rPr>
        <w:t>218-4 (1)) and to grant the right to vote in a presidential election and an election of lawmakers by proportional representation due to the termination of the term thereof to a Korean national of age 19 or older whose resident registration has not been made and whose domestic domicile has not been reported, and who resides permanentl</w:t>
      </w:r>
      <w:r w:rsidR="00670E22" w:rsidRPr="00222917">
        <w:rPr>
          <w:lang w:val="en-US"/>
        </w:rPr>
        <w:t>y in a foreign country (</w:t>
      </w:r>
      <w:r w:rsidR="00AE0F13" w:rsidRPr="00222917">
        <w:rPr>
          <w:lang w:val="en-US"/>
        </w:rPr>
        <w:t>a</w:t>
      </w:r>
      <w:r w:rsidR="00670E22" w:rsidRPr="00222917">
        <w:rPr>
          <w:lang w:val="en-US"/>
        </w:rPr>
        <w:t>rticle </w:t>
      </w:r>
      <w:r w:rsidR="002D5BB0" w:rsidRPr="00222917">
        <w:rPr>
          <w:lang w:val="en-US"/>
        </w:rPr>
        <w:t xml:space="preserve">218-5 (2)). </w:t>
      </w:r>
    </w:p>
    <w:p w:rsidR="002D5BB0" w:rsidRPr="00222917" w:rsidRDefault="00547908" w:rsidP="00547908">
      <w:pPr>
        <w:pStyle w:val="SingleTxtG"/>
        <w:rPr>
          <w:lang w:val="en-US"/>
        </w:rPr>
      </w:pPr>
      <w:r w:rsidRPr="00222917">
        <w:rPr>
          <w:lang w:val="en-US"/>
        </w:rPr>
        <w:t>371.</w:t>
      </w:r>
      <w:r w:rsidRPr="00222917">
        <w:rPr>
          <w:lang w:val="en-US"/>
        </w:rPr>
        <w:tab/>
      </w:r>
      <w:r w:rsidR="002D5BB0" w:rsidRPr="00222917">
        <w:rPr>
          <w:lang w:val="en-US"/>
        </w:rPr>
        <w:t xml:space="preserve">Where overseas Koreans conduct illegal election campaigns, Korean public officials are limited in their capacity to exert governmental authority in performing examination, crackdown, and investigation to collect criminal evidence in a foreign territory. This calls for strengthening of preventive measures led by overseas election commissions. In addition, the </w:t>
      </w:r>
      <w:r w:rsidR="0005151A">
        <w:rPr>
          <w:lang w:val="en-US"/>
        </w:rPr>
        <w:t>G</w:t>
      </w:r>
      <w:r w:rsidR="0005151A" w:rsidRPr="00222917">
        <w:rPr>
          <w:lang w:val="en-US"/>
        </w:rPr>
        <w:t xml:space="preserve">overnment </w:t>
      </w:r>
      <w:r w:rsidR="002D5BB0" w:rsidRPr="00222917">
        <w:rPr>
          <w:lang w:val="en-US"/>
        </w:rPr>
        <w:t xml:space="preserve">is searching for ways to examine and investigate any electoral crime in violation of the </w:t>
      </w:r>
      <w:r w:rsidR="002D5BB0" w:rsidRPr="00222917">
        <w:rPr>
          <w:iCs/>
          <w:lang w:val="en-US"/>
        </w:rPr>
        <w:t>Public Official Election Act</w:t>
      </w:r>
      <w:r w:rsidR="002D5BB0" w:rsidRPr="00222917">
        <w:rPr>
          <w:lang w:val="en-US"/>
        </w:rPr>
        <w:t xml:space="preserve"> that is committed in a foreign country by means of the </w:t>
      </w:r>
      <w:r w:rsidR="002D5BB0" w:rsidRPr="00222917">
        <w:rPr>
          <w:iCs/>
          <w:lang w:val="en-US"/>
        </w:rPr>
        <w:t>Act on International Judicial Mutual Assistance in Criminal Matters</w:t>
      </w:r>
      <w:r w:rsidR="002D5BB0" w:rsidRPr="00222917">
        <w:rPr>
          <w:lang w:val="en-US"/>
        </w:rPr>
        <w:t xml:space="preserve">, and the </w:t>
      </w:r>
      <w:r w:rsidR="002D5BB0" w:rsidRPr="00222917">
        <w:rPr>
          <w:iCs/>
          <w:lang w:val="en-US"/>
        </w:rPr>
        <w:t>Extradition Act</w:t>
      </w:r>
      <w:r w:rsidR="002D5BB0" w:rsidRPr="00222917">
        <w:rPr>
          <w:lang w:val="en-US"/>
        </w:rPr>
        <w:t xml:space="preserve">, and through the treaties on mutual legal assistance in criminal matters and the bilateral extradition treaties signed between the Republic of Korea and other countries. </w:t>
      </w:r>
    </w:p>
    <w:p w:rsidR="002D5BB0" w:rsidRPr="00222917" w:rsidRDefault="00463FDC" w:rsidP="00463FDC">
      <w:pPr>
        <w:pStyle w:val="H23G"/>
        <w:rPr>
          <w:lang w:val="en-US"/>
        </w:rPr>
      </w:pPr>
      <w:bookmarkStart w:id="319" w:name="_Toc307504181"/>
      <w:bookmarkStart w:id="320" w:name="_Toc336435953"/>
      <w:r w:rsidRPr="00222917">
        <w:rPr>
          <w:lang w:val="en-US"/>
        </w:rPr>
        <w:tab/>
      </w:r>
      <w:r w:rsidRPr="00222917">
        <w:rPr>
          <w:lang w:val="en-US"/>
        </w:rPr>
        <w:tab/>
      </w:r>
      <w:r w:rsidR="002D5BB0" w:rsidRPr="00222917">
        <w:rPr>
          <w:lang w:val="en-US"/>
        </w:rPr>
        <w:t>Equal Right to Hold Public Office</w:t>
      </w:r>
      <w:bookmarkEnd w:id="319"/>
      <w:bookmarkEnd w:id="320"/>
    </w:p>
    <w:p w:rsidR="002D5BB0" w:rsidRPr="00222917" w:rsidRDefault="00547908" w:rsidP="00547908">
      <w:pPr>
        <w:pStyle w:val="SingleTxtG"/>
        <w:rPr>
          <w:lang w:val="en-US"/>
        </w:rPr>
      </w:pPr>
      <w:r w:rsidRPr="00222917">
        <w:rPr>
          <w:lang w:val="en-US"/>
        </w:rPr>
        <w:t>372.</w:t>
      </w:r>
      <w:r w:rsidRPr="00222917">
        <w:rPr>
          <w:lang w:val="en-US"/>
        </w:rPr>
        <w:tab/>
      </w:r>
      <w:r w:rsidR="002D5BB0" w:rsidRPr="00222917">
        <w:rPr>
          <w:lang w:val="en-US"/>
        </w:rPr>
        <w:t>The increase in women’s participation in politics and public post</w:t>
      </w:r>
      <w:r w:rsidR="005F5775" w:rsidRPr="00222917">
        <w:rPr>
          <w:lang w:val="en-US"/>
        </w:rPr>
        <w:t>s is as explained in paragraphs </w:t>
      </w:r>
      <w:r w:rsidR="002D5BB0" w:rsidRPr="00222917">
        <w:rPr>
          <w:lang w:val="en-US"/>
        </w:rPr>
        <w:t xml:space="preserve">55 through 58 above. </w:t>
      </w:r>
    </w:p>
    <w:p w:rsidR="002D5BB0" w:rsidRPr="00222917" w:rsidRDefault="00547908" w:rsidP="00547908">
      <w:pPr>
        <w:pStyle w:val="SingleTxtG"/>
        <w:rPr>
          <w:lang w:val="en-US"/>
        </w:rPr>
      </w:pPr>
      <w:r w:rsidRPr="00222917">
        <w:rPr>
          <w:lang w:val="en-US"/>
        </w:rPr>
        <w:t>373.</w:t>
      </w:r>
      <w:r w:rsidRPr="00222917">
        <w:rPr>
          <w:lang w:val="en-US"/>
        </w:rPr>
        <w:tab/>
      </w:r>
      <w:r w:rsidR="002D5BB0" w:rsidRPr="00222917">
        <w:rPr>
          <w:lang w:val="en-US"/>
        </w:rPr>
        <w:t xml:space="preserve">On 18 January 2010, the </w:t>
      </w:r>
      <w:r w:rsidR="002D5BB0" w:rsidRPr="00222917">
        <w:rPr>
          <w:iCs/>
          <w:lang w:val="en-US"/>
        </w:rPr>
        <w:t xml:space="preserve">Employment Promotion and Vocational Rehabilitation of Disabled Persons Act </w:t>
      </w:r>
      <w:r w:rsidR="002D5BB0" w:rsidRPr="00222917">
        <w:rPr>
          <w:lang w:val="en-US"/>
        </w:rPr>
        <w:t xml:space="preserve">was amended to guarantee balanced opportunities for the disabled to obtain public posts. Under the amended </w:t>
      </w:r>
      <w:r w:rsidR="002D5BB0" w:rsidRPr="00222917">
        <w:rPr>
          <w:iCs/>
          <w:lang w:val="en-US"/>
        </w:rPr>
        <w:t>Act</w:t>
      </w:r>
      <w:r w:rsidR="002D5BB0" w:rsidRPr="00222917">
        <w:rPr>
          <w:lang w:val="en-US"/>
        </w:rPr>
        <w:t xml:space="preserve">, the compulsory employment rate of the disabled at government-owned companies and quasi-government agencies was adjusted upward from </w:t>
      </w:r>
      <w:r w:rsidR="006903AC" w:rsidRPr="00222917">
        <w:rPr>
          <w:lang w:val="en-US"/>
        </w:rPr>
        <w:t>2%</w:t>
      </w:r>
      <w:r w:rsidR="002D5BB0" w:rsidRPr="00222917">
        <w:rPr>
          <w:lang w:val="en-US"/>
        </w:rPr>
        <w:t xml:space="preserve"> to </w:t>
      </w:r>
      <w:r w:rsidR="006903AC" w:rsidRPr="00222917">
        <w:rPr>
          <w:lang w:val="en-US"/>
        </w:rPr>
        <w:t>3%</w:t>
      </w:r>
      <w:r w:rsidR="00670E22" w:rsidRPr="00222917">
        <w:rPr>
          <w:lang w:val="en-US"/>
        </w:rPr>
        <w:t xml:space="preserve"> (</w:t>
      </w:r>
      <w:r w:rsidR="00AE0F13" w:rsidRPr="00222917">
        <w:rPr>
          <w:lang w:val="en-US"/>
        </w:rPr>
        <w:t>a</w:t>
      </w:r>
      <w:r w:rsidR="00670E22" w:rsidRPr="00222917">
        <w:rPr>
          <w:lang w:val="en-US"/>
        </w:rPr>
        <w:t>rticle </w:t>
      </w:r>
      <w:r w:rsidR="002D5BB0" w:rsidRPr="00222917">
        <w:rPr>
          <w:lang w:val="en-US"/>
        </w:rPr>
        <w:t>28-2); and private companies and public institutions that fail to fulfill the employmen</w:t>
      </w:r>
      <w:r w:rsidR="00670E22" w:rsidRPr="00222917">
        <w:rPr>
          <w:lang w:val="en-US"/>
        </w:rPr>
        <w:t>t obligation are fined (</w:t>
      </w:r>
      <w:r w:rsidR="00AE0F13" w:rsidRPr="00222917">
        <w:rPr>
          <w:lang w:val="en-US"/>
        </w:rPr>
        <w:t>a</w:t>
      </w:r>
      <w:r w:rsidR="00670E22" w:rsidRPr="00222917">
        <w:rPr>
          <w:lang w:val="en-US"/>
        </w:rPr>
        <w:t>rticle </w:t>
      </w:r>
      <w:r w:rsidR="002D5BB0" w:rsidRPr="00222917">
        <w:rPr>
          <w:lang w:val="en-US"/>
        </w:rPr>
        <w:t xml:space="preserve">33). Government institutions are required to employ </w:t>
      </w:r>
      <w:r w:rsidR="006903AC" w:rsidRPr="00222917">
        <w:rPr>
          <w:lang w:val="en-US"/>
        </w:rPr>
        <w:t>6%</w:t>
      </w:r>
      <w:r w:rsidR="002D5BB0" w:rsidRPr="00222917">
        <w:rPr>
          <w:lang w:val="en-US"/>
        </w:rPr>
        <w:t xml:space="preserve"> of new hires from disabled until the disabled account for </w:t>
      </w:r>
      <w:r w:rsidR="006903AC" w:rsidRPr="00222917">
        <w:rPr>
          <w:lang w:val="en-US"/>
        </w:rPr>
        <w:t>3%</w:t>
      </w:r>
      <w:r w:rsidR="002D5BB0" w:rsidRPr="00222917">
        <w:rPr>
          <w:lang w:val="en-US"/>
        </w:rPr>
        <w:t xml:space="preserve"> o</w:t>
      </w:r>
      <w:r w:rsidR="00670E22" w:rsidRPr="00222917">
        <w:rPr>
          <w:lang w:val="en-US"/>
        </w:rPr>
        <w:t>f all public officials (</w:t>
      </w:r>
      <w:r w:rsidR="00AE0F13" w:rsidRPr="00222917">
        <w:rPr>
          <w:lang w:val="en-US"/>
        </w:rPr>
        <w:t>a</w:t>
      </w:r>
      <w:r w:rsidR="00670E22" w:rsidRPr="00222917">
        <w:rPr>
          <w:lang w:val="en-US"/>
        </w:rPr>
        <w:t>rticle </w:t>
      </w:r>
      <w:r w:rsidR="002D5BB0" w:rsidRPr="00222917">
        <w:rPr>
          <w:lang w:val="en-US"/>
        </w:rPr>
        <w:t xml:space="preserve">27 (2)). In order to put more people with severe disabilities in public posts, the </w:t>
      </w:r>
      <w:r w:rsidR="0005151A">
        <w:rPr>
          <w:lang w:val="en-US"/>
        </w:rPr>
        <w:t>G</w:t>
      </w:r>
      <w:r w:rsidR="002D5BB0" w:rsidRPr="00222917">
        <w:rPr>
          <w:lang w:val="en-US"/>
        </w:rPr>
        <w:t xml:space="preserve">overnment amended the </w:t>
      </w:r>
      <w:r w:rsidR="002D5BB0" w:rsidRPr="00222917">
        <w:rPr>
          <w:iCs/>
          <w:lang w:val="en-US"/>
        </w:rPr>
        <w:t xml:space="preserve">Decree on the Appointment Examination for Public Officials </w:t>
      </w:r>
      <w:r w:rsidR="002D5BB0" w:rsidRPr="00222917">
        <w:rPr>
          <w:lang w:val="en-US"/>
        </w:rPr>
        <w:t>on December 28, 2007 to provide a legal basis for the introduction of a special employment system for the seriously disabled and started to enforc</w:t>
      </w:r>
      <w:r w:rsidR="00670E22" w:rsidRPr="00222917">
        <w:rPr>
          <w:lang w:val="en-US"/>
        </w:rPr>
        <w:t>e it in September 2008 (</w:t>
      </w:r>
      <w:r w:rsidR="00AE0F13" w:rsidRPr="00222917">
        <w:rPr>
          <w:lang w:val="en-US"/>
        </w:rPr>
        <w:t>a</w:t>
      </w:r>
      <w:r w:rsidR="00670E22" w:rsidRPr="00222917">
        <w:rPr>
          <w:lang w:val="en-US"/>
        </w:rPr>
        <w:t>rticle </w:t>
      </w:r>
      <w:r w:rsidR="002D5BB0" w:rsidRPr="00222917">
        <w:rPr>
          <w:lang w:val="en-US"/>
        </w:rPr>
        <w:t xml:space="preserve">20-3). </w:t>
      </w:r>
    </w:p>
    <w:p w:rsidR="002D5BB0" w:rsidRPr="00222917" w:rsidRDefault="00463FDC" w:rsidP="00463FDC">
      <w:pPr>
        <w:pStyle w:val="H23G"/>
        <w:rPr>
          <w:b w:val="0"/>
          <w:sz w:val="16"/>
          <w:szCs w:val="16"/>
          <w:lang w:val="en-US"/>
        </w:rPr>
      </w:pPr>
      <w:r w:rsidRPr="00222917">
        <w:rPr>
          <w:lang w:val="en-US"/>
        </w:rPr>
        <w:tab/>
      </w:r>
      <w:r w:rsidRPr="00222917">
        <w:rPr>
          <w:lang w:val="en-US"/>
        </w:rPr>
        <w:tab/>
      </w:r>
      <w:r w:rsidR="002D5BB0" w:rsidRPr="00222917">
        <w:rPr>
          <w:lang w:val="en-US"/>
        </w:rPr>
        <w:t>Quota of Disabled People Employed by Public Agencies and Employment Rate</w:t>
      </w:r>
      <w:r w:rsidRPr="00222917">
        <w:rPr>
          <w:lang w:val="en-US"/>
        </w:rPr>
        <w:br/>
      </w:r>
      <w:r w:rsidR="002D5BB0" w:rsidRPr="00222917">
        <w:rPr>
          <w:b w:val="0"/>
          <w:sz w:val="16"/>
          <w:szCs w:val="16"/>
          <w:lang w:val="en-US"/>
        </w:rPr>
        <w:t>(As of 31 December 2010)</w:t>
      </w:r>
    </w:p>
    <w:tbl>
      <w:tblPr>
        <w:tblW w:w="0" w:type="auto"/>
        <w:tblInd w:w="1134" w:type="dxa"/>
        <w:tblBorders>
          <w:top w:val="single" w:sz="4" w:space="0" w:color="auto"/>
        </w:tblBorders>
        <w:tblLayout w:type="fixed"/>
        <w:tblCellMar>
          <w:left w:w="0" w:type="dxa"/>
          <w:right w:w="0" w:type="dxa"/>
        </w:tblCellMar>
        <w:tblLook w:val="00A0"/>
      </w:tblPr>
      <w:tblGrid>
        <w:gridCol w:w="1701"/>
        <w:gridCol w:w="1134"/>
        <w:gridCol w:w="1134"/>
        <w:gridCol w:w="1134"/>
        <w:gridCol w:w="1134"/>
        <w:gridCol w:w="1134"/>
      </w:tblGrid>
      <w:tr w:rsidR="00047930" w:rsidRPr="00222917" w:rsidTr="001C4E4C">
        <w:trPr>
          <w:tblHeader/>
        </w:trPr>
        <w:tc>
          <w:tcPr>
            <w:tcW w:w="1701" w:type="dxa"/>
            <w:tcBorders>
              <w:top w:val="single" w:sz="4" w:space="0" w:color="auto"/>
              <w:bottom w:val="single" w:sz="12" w:space="0" w:color="000000"/>
            </w:tcBorders>
            <w:shd w:val="clear" w:color="auto" w:fill="auto"/>
            <w:tcMar>
              <w:top w:w="0" w:type="dxa"/>
              <w:left w:w="0" w:type="dxa"/>
              <w:bottom w:w="0" w:type="dxa"/>
              <w:right w:w="0" w:type="dxa"/>
            </w:tcMar>
            <w:vAlign w:val="bottom"/>
          </w:tcPr>
          <w:p w:rsidR="002D5BB0" w:rsidRPr="00222917" w:rsidRDefault="002D5BB0" w:rsidP="00881031">
            <w:pPr>
              <w:pStyle w:val="SingleTxtG"/>
              <w:suppressAutoHyphens w:val="0"/>
              <w:spacing w:before="80" w:after="80" w:line="200" w:lineRule="exact"/>
              <w:ind w:left="0" w:right="0"/>
              <w:jc w:val="left"/>
              <w:rPr>
                <w:i/>
                <w:sz w:val="16"/>
                <w:lang w:val="en-US"/>
              </w:rPr>
            </w:pPr>
            <w:r w:rsidRPr="00222917">
              <w:rPr>
                <w:bCs/>
                <w:i/>
                <w:sz w:val="16"/>
                <w:lang w:val="en-US"/>
              </w:rPr>
              <w:t>Description</w:t>
            </w:r>
          </w:p>
        </w:tc>
        <w:tc>
          <w:tcPr>
            <w:tcW w:w="1134" w:type="dxa"/>
            <w:tcBorders>
              <w:top w:val="single" w:sz="4" w:space="0" w:color="auto"/>
              <w:bottom w:val="single" w:sz="12" w:space="0" w:color="000000"/>
            </w:tcBorders>
            <w:shd w:val="clear" w:color="auto" w:fill="auto"/>
            <w:tcMar>
              <w:top w:w="0" w:type="dxa"/>
              <w:left w:w="0" w:type="dxa"/>
              <w:bottom w:w="0" w:type="dxa"/>
              <w:right w:w="0" w:type="dxa"/>
            </w:tcMar>
            <w:vAlign w:val="bottom"/>
          </w:tcPr>
          <w:p w:rsidR="002D5BB0" w:rsidRPr="00222917" w:rsidRDefault="002D5BB0" w:rsidP="00881031">
            <w:pPr>
              <w:pStyle w:val="SingleTxtG"/>
              <w:suppressAutoHyphens w:val="0"/>
              <w:spacing w:before="80" w:after="80" w:line="200" w:lineRule="exact"/>
              <w:ind w:left="0" w:right="0"/>
              <w:jc w:val="right"/>
              <w:rPr>
                <w:i/>
                <w:sz w:val="16"/>
                <w:lang w:val="en-US"/>
              </w:rPr>
            </w:pPr>
            <w:r w:rsidRPr="00222917">
              <w:rPr>
                <w:bCs/>
                <w:i/>
                <w:sz w:val="16"/>
                <w:lang w:val="en-US"/>
              </w:rPr>
              <w:t xml:space="preserve">Number </w:t>
            </w:r>
            <w:r w:rsidR="00881031" w:rsidRPr="00222917">
              <w:rPr>
                <w:bCs/>
                <w:i/>
                <w:sz w:val="16"/>
                <w:lang w:val="en-US"/>
              </w:rPr>
              <w:br/>
            </w:r>
            <w:r w:rsidRPr="00222917">
              <w:rPr>
                <w:bCs/>
                <w:i/>
                <w:sz w:val="16"/>
                <w:lang w:val="en-US"/>
              </w:rPr>
              <w:t>of subject businesses</w:t>
            </w:r>
          </w:p>
        </w:tc>
        <w:tc>
          <w:tcPr>
            <w:tcW w:w="1134" w:type="dxa"/>
            <w:tcBorders>
              <w:top w:val="single" w:sz="4" w:space="0" w:color="auto"/>
              <w:bottom w:val="single" w:sz="12" w:space="0" w:color="000000"/>
            </w:tcBorders>
            <w:shd w:val="clear" w:color="auto" w:fill="auto"/>
            <w:tcMar>
              <w:top w:w="0" w:type="dxa"/>
              <w:left w:w="0" w:type="dxa"/>
              <w:bottom w:w="0" w:type="dxa"/>
              <w:right w:w="0" w:type="dxa"/>
            </w:tcMar>
            <w:vAlign w:val="bottom"/>
          </w:tcPr>
          <w:p w:rsidR="002D5BB0" w:rsidRPr="00222917" w:rsidRDefault="002D5BB0" w:rsidP="00881031">
            <w:pPr>
              <w:pStyle w:val="SingleTxtG"/>
              <w:suppressAutoHyphens w:val="0"/>
              <w:spacing w:before="80" w:after="80" w:line="200" w:lineRule="exact"/>
              <w:ind w:left="0" w:right="0"/>
              <w:jc w:val="right"/>
              <w:rPr>
                <w:i/>
                <w:sz w:val="16"/>
                <w:lang w:val="en-US"/>
              </w:rPr>
            </w:pPr>
            <w:r w:rsidRPr="00222917">
              <w:rPr>
                <w:bCs/>
                <w:i/>
                <w:sz w:val="16"/>
                <w:lang w:val="en-US"/>
              </w:rPr>
              <w:t xml:space="preserve">Number </w:t>
            </w:r>
            <w:r w:rsidR="00881031" w:rsidRPr="00222917">
              <w:rPr>
                <w:bCs/>
                <w:i/>
                <w:sz w:val="16"/>
                <w:lang w:val="en-US"/>
              </w:rPr>
              <w:br/>
            </w:r>
            <w:r w:rsidRPr="00222917">
              <w:rPr>
                <w:bCs/>
                <w:i/>
                <w:sz w:val="16"/>
                <w:lang w:val="en-US"/>
              </w:rPr>
              <w:t>of</w:t>
            </w:r>
            <w:r w:rsidR="00120D8B" w:rsidRPr="00222917">
              <w:rPr>
                <w:bCs/>
                <w:i/>
                <w:sz w:val="16"/>
                <w:lang w:val="en-US"/>
              </w:rPr>
              <w:t xml:space="preserve"> </w:t>
            </w:r>
            <w:r w:rsidRPr="00222917">
              <w:rPr>
                <w:bCs/>
                <w:i/>
                <w:sz w:val="16"/>
                <w:lang w:val="en-US"/>
              </w:rPr>
              <w:t>subject employees</w:t>
            </w:r>
          </w:p>
        </w:tc>
        <w:tc>
          <w:tcPr>
            <w:tcW w:w="1134" w:type="dxa"/>
            <w:tcBorders>
              <w:top w:val="single" w:sz="4" w:space="0" w:color="auto"/>
              <w:bottom w:val="single" w:sz="12" w:space="0" w:color="000000"/>
            </w:tcBorders>
            <w:shd w:val="clear" w:color="auto" w:fill="auto"/>
            <w:tcMar>
              <w:top w:w="0" w:type="dxa"/>
              <w:left w:w="0" w:type="dxa"/>
              <w:bottom w:w="0" w:type="dxa"/>
              <w:right w:w="0" w:type="dxa"/>
            </w:tcMar>
            <w:vAlign w:val="bottom"/>
          </w:tcPr>
          <w:p w:rsidR="002D5BB0" w:rsidRPr="00222917" w:rsidRDefault="002D5BB0" w:rsidP="00881031">
            <w:pPr>
              <w:pStyle w:val="SingleTxtG"/>
              <w:suppressAutoHyphens w:val="0"/>
              <w:spacing w:before="80" w:after="80" w:line="200" w:lineRule="exact"/>
              <w:ind w:left="0" w:right="0"/>
              <w:jc w:val="right"/>
              <w:rPr>
                <w:i/>
                <w:sz w:val="16"/>
                <w:lang w:val="en-US"/>
              </w:rPr>
            </w:pPr>
            <w:r w:rsidRPr="00222917">
              <w:rPr>
                <w:bCs/>
                <w:i/>
                <w:sz w:val="16"/>
                <w:lang w:val="en-US"/>
              </w:rPr>
              <w:t>Quota</w:t>
            </w:r>
          </w:p>
        </w:tc>
        <w:tc>
          <w:tcPr>
            <w:tcW w:w="1134" w:type="dxa"/>
            <w:tcBorders>
              <w:top w:val="single" w:sz="4" w:space="0" w:color="auto"/>
              <w:bottom w:val="single" w:sz="12" w:space="0" w:color="000000"/>
            </w:tcBorders>
            <w:shd w:val="clear" w:color="auto" w:fill="auto"/>
            <w:tcMar>
              <w:top w:w="0" w:type="dxa"/>
              <w:left w:w="0" w:type="dxa"/>
              <w:bottom w:w="0" w:type="dxa"/>
              <w:right w:w="0" w:type="dxa"/>
            </w:tcMar>
            <w:vAlign w:val="bottom"/>
          </w:tcPr>
          <w:p w:rsidR="002D5BB0" w:rsidRPr="00222917" w:rsidRDefault="002D5BB0" w:rsidP="00881031">
            <w:pPr>
              <w:pStyle w:val="SingleTxtG"/>
              <w:suppressAutoHyphens w:val="0"/>
              <w:spacing w:before="80" w:after="80" w:line="200" w:lineRule="exact"/>
              <w:ind w:left="0" w:right="0"/>
              <w:jc w:val="right"/>
              <w:rPr>
                <w:i/>
                <w:sz w:val="16"/>
                <w:lang w:val="en-US"/>
              </w:rPr>
            </w:pPr>
            <w:r w:rsidRPr="00222917">
              <w:rPr>
                <w:bCs/>
                <w:i/>
                <w:sz w:val="16"/>
                <w:lang w:val="en-US"/>
              </w:rPr>
              <w:t xml:space="preserve">Number </w:t>
            </w:r>
            <w:r w:rsidR="00881031" w:rsidRPr="00222917">
              <w:rPr>
                <w:bCs/>
                <w:i/>
                <w:sz w:val="16"/>
                <w:lang w:val="en-US"/>
              </w:rPr>
              <w:br/>
            </w:r>
            <w:r w:rsidRPr="00222917">
              <w:rPr>
                <w:bCs/>
                <w:i/>
                <w:sz w:val="16"/>
                <w:lang w:val="en-US"/>
              </w:rPr>
              <w:t>of employees with disabilities</w:t>
            </w:r>
          </w:p>
        </w:tc>
        <w:tc>
          <w:tcPr>
            <w:tcW w:w="1134" w:type="dxa"/>
            <w:tcBorders>
              <w:top w:val="single" w:sz="4" w:space="0" w:color="auto"/>
              <w:bottom w:val="single" w:sz="12" w:space="0" w:color="000000"/>
            </w:tcBorders>
            <w:shd w:val="clear" w:color="auto" w:fill="auto"/>
            <w:tcMar>
              <w:top w:w="0" w:type="dxa"/>
              <w:left w:w="0" w:type="dxa"/>
              <w:bottom w:w="0" w:type="dxa"/>
              <w:right w:w="0" w:type="dxa"/>
            </w:tcMar>
            <w:vAlign w:val="bottom"/>
          </w:tcPr>
          <w:p w:rsidR="002D5BB0" w:rsidRPr="00222917" w:rsidRDefault="002D5BB0" w:rsidP="00881031">
            <w:pPr>
              <w:pStyle w:val="SingleTxtG"/>
              <w:suppressAutoHyphens w:val="0"/>
              <w:spacing w:before="80" w:after="80" w:line="200" w:lineRule="exact"/>
              <w:ind w:left="0" w:right="0"/>
              <w:jc w:val="right"/>
              <w:rPr>
                <w:i/>
                <w:sz w:val="16"/>
                <w:lang w:val="en-US"/>
              </w:rPr>
            </w:pPr>
            <w:r w:rsidRPr="00222917">
              <w:rPr>
                <w:bCs/>
                <w:i/>
                <w:sz w:val="16"/>
                <w:lang w:val="en-US"/>
              </w:rPr>
              <w:t xml:space="preserve">Employment </w:t>
            </w:r>
            <w:r w:rsidR="00881031" w:rsidRPr="00222917">
              <w:rPr>
                <w:bCs/>
                <w:i/>
                <w:sz w:val="16"/>
                <w:lang w:val="en-US"/>
              </w:rPr>
              <w:br/>
            </w:r>
            <w:r w:rsidRPr="00222917">
              <w:rPr>
                <w:bCs/>
                <w:i/>
                <w:sz w:val="16"/>
                <w:lang w:val="en-US"/>
              </w:rPr>
              <w:t>rate (%)</w:t>
            </w:r>
          </w:p>
        </w:tc>
      </w:tr>
      <w:tr w:rsidR="00047930" w:rsidRPr="00222917" w:rsidTr="001C4E4C">
        <w:tc>
          <w:tcPr>
            <w:tcW w:w="1701" w:type="dxa"/>
            <w:tcBorders>
              <w:top w:val="single" w:sz="12" w:space="0" w:color="000000"/>
              <w:bottom w:val="single" w:sz="4" w:space="0" w:color="000000"/>
            </w:tcBorders>
            <w:shd w:val="clear" w:color="auto" w:fill="auto"/>
            <w:tcMar>
              <w:top w:w="0" w:type="dxa"/>
              <w:left w:w="0" w:type="dxa"/>
              <w:bottom w:w="0" w:type="dxa"/>
              <w:right w:w="0" w:type="dxa"/>
            </w:tcMar>
          </w:tcPr>
          <w:p w:rsidR="002D5BB0" w:rsidRPr="00222917" w:rsidRDefault="002D5BB0" w:rsidP="00881031">
            <w:pPr>
              <w:pStyle w:val="SingleTxtG"/>
              <w:suppressAutoHyphens w:val="0"/>
              <w:spacing w:before="80" w:after="80" w:line="220" w:lineRule="exact"/>
              <w:ind w:left="284" w:right="0"/>
              <w:jc w:val="left"/>
              <w:rPr>
                <w:b/>
                <w:sz w:val="18"/>
                <w:lang w:val="en-US"/>
              </w:rPr>
            </w:pPr>
            <w:r w:rsidRPr="00222917">
              <w:rPr>
                <w:b/>
                <w:bCs/>
                <w:sz w:val="18"/>
                <w:lang w:val="en-US"/>
              </w:rPr>
              <w:t>Total</w:t>
            </w:r>
          </w:p>
        </w:tc>
        <w:tc>
          <w:tcPr>
            <w:tcW w:w="1134" w:type="dxa"/>
            <w:tcBorders>
              <w:top w:val="single" w:sz="12" w:space="0" w:color="000000"/>
              <w:bottom w:val="single" w:sz="4" w:space="0" w:color="000000"/>
            </w:tcBorders>
            <w:shd w:val="clear" w:color="auto" w:fill="auto"/>
            <w:tcMar>
              <w:top w:w="0" w:type="dxa"/>
              <w:left w:w="0" w:type="dxa"/>
              <w:bottom w:w="0" w:type="dxa"/>
              <w:right w:w="0" w:type="dxa"/>
            </w:tcMar>
            <w:vAlign w:val="bottom"/>
          </w:tcPr>
          <w:p w:rsidR="002D5BB0" w:rsidRPr="00222917" w:rsidRDefault="002D5BB0" w:rsidP="00881031">
            <w:pPr>
              <w:pStyle w:val="SingleTxtG"/>
              <w:suppressAutoHyphens w:val="0"/>
              <w:spacing w:before="80" w:after="80" w:line="220" w:lineRule="exact"/>
              <w:ind w:left="0" w:right="0"/>
              <w:jc w:val="right"/>
              <w:rPr>
                <w:b/>
                <w:sz w:val="18"/>
                <w:lang w:val="en-US"/>
              </w:rPr>
            </w:pPr>
            <w:r w:rsidRPr="00222917">
              <w:rPr>
                <w:b/>
                <w:sz w:val="18"/>
                <w:lang w:val="en-US"/>
              </w:rPr>
              <w:t>331</w:t>
            </w:r>
          </w:p>
        </w:tc>
        <w:tc>
          <w:tcPr>
            <w:tcW w:w="1134" w:type="dxa"/>
            <w:tcBorders>
              <w:top w:val="single" w:sz="12" w:space="0" w:color="000000"/>
              <w:bottom w:val="single" w:sz="4" w:space="0" w:color="000000"/>
            </w:tcBorders>
            <w:shd w:val="clear" w:color="auto" w:fill="auto"/>
            <w:tcMar>
              <w:top w:w="0" w:type="dxa"/>
              <w:left w:w="0" w:type="dxa"/>
              <w:bottom w:w="0" w:type="dxa"/>
              <w:right w:w="0" w:type="dxa"/>
            </w:tcMar>
            <w:vAlign w:val="bottom"/>
          </w:tcPr>
          <w:p w:rsidR="002D5BB0" w:rsidRPr="00222917" w:rsidRDefault="002D5BB0" w:rsidP="00881031">
            <w:pPr>
              <w:pStyle w:val="SingleTxtG"/>
              <w:suppressAutoHyphens w:val="0"/>
              <w:spacing w:before="80" w:after="80" w:line="220" w:lineRule="exact"/>
              <w:ind w:left="0" w:right="0"/>
              <w:jc w:val="right"/>
              <w:rPr>
                <w:b/>
                <w:sz w:val="18"/>
                <w:lang w:val="en-US"/>
              </w:rPr>
            </w:pPr>
            <w:r w:rsidRPr="00222917">
              <w:rPr>
                <w:b/>
                <w:sz w:val="18"/>
                <w:lang w:val="en-US"/>
              </w:rPr>
              <w:t>1,114,835</w:t>
            </w:r>
          </w:p>
        </w:tc>
        <w:tc>
          <w:tcPr>
            <w:tcW w:w="1134" w:type="dxa"/>
            <w:tcBorders>
              <w:top w:val="single" w:sz="12" w:space="0" w:color="000000"/>
              <w:bottom w:val="single" w:sz="4" w:space="0" w:color="000000"/>
            </w:tcBorders>
            <w:shd w:val="clear" w:color="auto" w:fill="auto"/>
            <w:tcMar>
              <w:top w:w="0" w:type="dxa"/>
              <w:left w:w="0" w:type="dxa"/>
              <w:bottom w:w="0" w:type="dxa"/>
              <w:right w:w="0" w:type="dxa"/>
            </w:tcMar>
            <w:vAlign w:val="bottom"/>
          </w:tcPr>
          <w:p w:rsidR="002D5BB0" w:rsidRPr="00222917" w:rsidRDefault="002D5BB0" w:rsidP="00881031">
            <w:pPr>
              <w:pStyle w:val="SingleTxtG"/>
              <w:suppressAutoHyphens w:val="0"/>
              <w:spacing w:before="80" w:after="80" w:line="220" w:lineRule="exact"/>
              <w:ind w:left="0" w:right="0"/>
              <w:jc w:val="right"/>
              <w:rPr>
                <w:b/>
                <w:sz w:val="18"/>
                <w:lang w:val="en-US"/>
              </w:rPr>
            </w:pPr>
            <w:r w:rsidRPr="00222917">
              <w:rPr>
                <w:b/>
                <w:sz w:val="18"/>
                <w:lang w:val="en-US"/>
              </w:rPr>
              <w:t>30,446</w:t>
            </w:r>
          </w:p>
        </w:tc>
        <w:tc>
          <w:tcPr>
            <w:tcW w:w="1134" w:type="dxa"/>
            <w:tcBorders>
              <w:top w:val="single" w:sz="12" w:space="0" w:color="000000"/>
              <w:bottom w:val="single" w:sz="4" w:space="0" w:color="000000"/>
            </w:tcBorders>
            <w:shd w:val="clear" w:color="auto" w:fill="auto"/>
            <w:tcMar>
              <w:top w:w="0" w:type="dxa"/>
              <w:left w:w="0" w:type="dxa"/>
              <w:bottom w:w="0" w:type="dxa"/>
              <w:right w:w="0" w:type="dxa"/>
            </w:tcMar>
            <w:vAlign w:val="bottom"/>
          </w:tcPr>
          <w:p w:rsidR="002D5BB0" w:rsidRPr="00222917" w:rsidRDefault="002D5BB0" w:rsidP="00881031">
            <w:pPr>
              <w:pStyle w:val="SingleTxtG"/>
              <w:suppressAutoHyphens w:val="0"/>
              <w:spacing w:before="80" w:after="80" w:line="220" w:lineRule="exact"/>
              <w:ind w:left="0" w:right="0"/>
              <w:jc w:val="right"/>
              <w:rPr>
                <w:b/>
                <w:sz w:val="18"/>
                <w:lang w:val="en-US"/>
              </w:rPr>
            </w:pPr>
            <w:r w:rsidRPr="00222917">
              <w:rPr>
                <w:b/>
                <w:sz w:val="18"/>
                <w:lang w:val="en-US"/>
              </w:rPr>
              <w:t>22,388</w:t>
            </w:r>
          </w:p>
        </w:tc>
        <w:tc>
          <w:tcPr>
            <w:tcW w:w="1134" w:type="dxa"/>
            <w:tcBorders>
              <w:top w:val="single" w:sz="12" w:space="0" w:color="000000"/>
              <w:bottom w:val="single" w:sz="4" w:space="0" w:color="000000"/>
            </w:tcBorders>
            <w:shd w:val="clear" w:color="auto" w:fill="auto"/>
            <w:tcMar>
              <w:top w:w="0" w:type="dxa"/>
              <w:left w:w="0" w:type="dxa"/>
              <w:bottom w:w="0" w:type="dxa"/>
              <w:right w:w="0" w:type="dxa"/>
            </w:tcMar>
            <w:vAlign w:val="bottom"/>
          </w:tcPr>
          <w:p w:rsidR="002D5BB0" w:rsidRPr="00222917" w:rsidRDefault="002D5BB0" w:rsidP="00881031">
            <w:pPr>
              <w:pStyle w:val="SingleTxtG"/>
              <w:suppressAutoHyphens w:val="0"/>
              <w:spacing w:before="80" w:after="80" w:line="220" w:lineRule="exact"/>
              <w:ind w:left="0" w:right="0"/>
              <w:jc w:val="right"/>
              <w:rPr>
                <w:b/>
                <w:sz w:val="18"/>
                <w:lang w:val="en-US"/>
              </w:rPr>
            </w:pPr>
            <w:r w:rsidRPr="00222917">
              <w:rPr>
                <w:b/>
                <w:bCs/>
                <w:sz w:val="18"/>
                <w:lang w:val="en-US"/>
              </w:rPr>
              <w:t>2.01</w:t>
            </w:r>
          </w:p>
        </w:tc>
      </w:tr>
      <w:tr w:rsidR="00047930" w:rsidRPr="00222917" w:rsidTr="001C4E4C">
        <w:tc>
          <w:tcPr>
            <w:tcW w:w="1701" w:type="dxa"/>
            <w:tcBorders>
              <w:top w:val="single" w:sz="4" w:space="0" w:color="000000"/>
            </w:tcBorders>
            <w:shd w:val="clear" w:color="auto" w:fill="auto"/>
            <w:tcMar>
              <w:top w:w="0" w:type="dxa"/>
              <w:left w:w="0" w:type="dxa"/>
              <w:bottom w:w="0" w:type="dxa"/>
              <w:right w:w="0" w:type="dxa"/>
            </w:tcMar>
          </w:tcPr>
          <w:p w:rsidR="002D5BB0" w:rsidRPr="00222917" w:rsidRDefault="002D5BB0" w:rsidP="00881031">
            <w:pPr>
              <w:pStyle w:val="SingleTxtG"/>
              <w:suppressAutoHyphens w:val="0"/>
              <w:spacing w:before="40" w:after="40" w:line="220" w:lineRule="exact"/>
              <w:ind w:left="0" w:right="0"/>
              <w:jc w:val="left"/>
              <w:rPr>
                <w:sz w:val="18"/>
                <w:lang w:val="en-US"/>
              </w:rPr>
            </w:pPr>
            <w:r w:rsidRPr="00222917">
              <w:rPr>
                <w:sz w:val="18"/>
                <w:lang w:val="en-US"/>
              </w:rPr>
              <w:t>Government</w:t>
            </w:r>
          </w:p>
        </w:tc>
        <w:tc>
          <w:tcPr>
            <w:tcW w:w="1134" w:type="dxa"/>
            <w:tcBorders>
              <w:top w:val="single" w:sz="4" w:space="0" w:color="000000"/>
            </w:tcBorders>
            <w:shd w:val="clear" w:color="auto" w:fill="auto"/>
            <w:tcMar>
              <w:top w:w="0" w:type="dxa"/>
              <w:left w:w="0" w:type="dxa"/>
              <w:bottom w:w="0" w:type="dxa"/>
              <w:right w:w="0" w:type="dxa"/>
            </w:tcMar>
            <w:vAlign w:val="bottom"/>
          </w:tcPr>
          <w:p w:rsidR="002D5BB0" w:rsidRPr="00222917" w:rsidRDefault="002D5BB0" w:rsidP="00881031">
            <w:pPr>
              <w:pStyle w:val="SingleTxtG"/>
              <w:suppressAutoHyphens w:val="0"/>
              <w:spacing w:before="40" w:after="40" w:line="220" w:lineRule="exact"/>
              <w:ind w:left="0" w:right="0"/>
              <w:jc w:val="right"/>
              <w:rPr>
                <w:sz w:val="18"/>
                <w:lang w:val="en-US"/>
              </w:rPr>
            </w:pPr>
            <w:r w:rsidRPr="00222917">
              <w:rPr>
                <w:sz w:val="18"/>
                <w:lang w:val="en-US"/>
              </w:rPr>
              <w:t>81</w:t>
            </w:r>
          </w:p>
        </w:tc>
        <w:tc>
          <w:tcPr>
            <w:tcW w:w="1134" w:type="dxa"/>
            <w:tcBorders>
              <w:top w:val="single" w:sz="4" w:space="0" w:color="000000"/>
            </w:tcBorders>
            <w:shd w:val="clear" w:color="auto" w:fill="auto"/>
            <w:tcMar>
              <w:top w:w="0" w:type="dxa"/>
              <w:left w:w="0" w:type="dxa"/>
              <w:bottom w:w="0" w:type="dxa"/>
              <w:right w:w="0" w:type="dxa"/>
            </w:tcMar>
            <w:vAlign w:val="bottom"/>
          </w:tcPr>
          <w:p w:rsidR="002D5BB0" w:rsidRPr="00222917" w:rsidRDefault="002D5BB0" w:rsidP="00881031">
            <w:pPr>
              <w:pStyle w:val="SingleTxtG"/>
              <w:suppressAutoHyphens w:val="0"/>
              <w:spacing w:before="40" w:after="40" w:line="220" w:lineRule="exact"/>
              <w:ind w:left="0" w:right="0"/>
              <w:jc w:val="right"/>
              <w:rPr>
                <w:sz w:val="18"/>
                <w:lang w:val="en-US"/>
              </w:rPr>
            </w:pPr>
            <w:r w:rsidRPr="00222917">
              <w:rPr>
                <w:sz w:val="18"/>
                <w:lang w:val="en-US"/>
              </w:rPr>
              <w:t>821,794</w:t>
            </w:r>
          </w:p>
        </w:tc>
        <w:tc>
          <w:tcPr>
            <w:tcW w:w="1134" w:type="dxa"/>
            <w:tcBorders>
              <w:top w:val="single" w:sz="4" w:space="0" w:color="000000"/>
            </w:tcBorders>
            <w:shd w:val="clear" w:color="auto" w:fill="auto"/>
            <w:tcMar>
              <w:top w:w="0" w:type="dxa"/>
              <w:left w:w="0" w:type="dxa"/>
              <w:bottom w:w="0" w:type="dxa"/>
              <w:right w:w="0" w:type="dxa"/>
            </w:tcMar>
            <w:vAlign w:val="bottom"/>
          </w:tcPr>
          <w:p w:rsidR="002D5BB0" w:rsidRPr="00222917" w:rsidRDefault="002D5BB0" w:rsidP="00881031">
            <w:pPr>
              <w:pStyle w:val="SingleTxtG"/>
              <w:suppressAutoHyphens w:val="0"/>
              <w:spacing w:before="40" w:after="40" w:line="220" w:lineRule="exact"/>
              <w:ind w:left="0" w:right="0"/>
              <w:jc w:val="right"/>
              <w:rPr>
                <w:sz w:val="18"/>
                <w:lang w:val="en-US"/>
              </w:rPr>
            </w:pPr>
            <w:r w:rsidRPr="00222917">
              <w:rPr>
                <w:sz w:val="18"/>
                <w:lang w:val="en-US"/>
              </w:rPr>
              <w:t>24,653</w:t>
            </w:r>
          </w:p>
        </w:tc>
        <w:tc>
          <w:tcPr>
            <w:tcW w:w="1134" w:type="dxa"/>
            <w:tcBorders>
              <w:top w:val="single" w:sz="4" w:space="0" w:color="000000"/>
            </w:tcBorders>
            <w:shd w:val="clear" w:color="auto" w:fill="auto"/>
            <w:tcMar>
              <w:top w:w="0" w:type="dxa"/>
              <w:left w:w="0" w:type="dxa"/>
              <w:bottom w:w="0" w:type="dxa"/>
              <w:right w:w="0" w:type="dxa"/>
            </w:tcMar>
            <w:vAlign w:val="bottom"/>
          </w:tcPr>
          <w:p w:rsidR="002D5BB0" w:rsidRPr="00222917" w:rsidRDefault="002D5BB0" w:rsidP="00881031">
            <w:pPr>
              <w:pStyle w:val="SingleTxtG"/>
              <w:suppressAutoHyphens w:val="0"/>
              <w:spacing w:before="40" w:after="40" w:line="220" w:lineRule="exact"/>
              <w:ind w:left="0" w:right="0"/>
              <w:jc w:val="right"/>
              <w:rPr>
                <w:sz w:val="18"/>
                <w:lang w:val="en-US"/>
              </w:rPr>
            </w:pPr>
            <w:r w:rsidRPr="00222917">
              <w:rPr>
                <w:sz w:val="18"/>
                <w:lang w:val="en-US"/>
              </w:rPr>
              <w:t>17,207</w:t>
            </w:r>
          </w:p>
        </w:tc>
        <w:tc>
          <w:tcPr>
            <w:tcW w:w="1134" w:type="dxa"/>
            <w:tcBorders>
              <w:top w:val="single" w:sz="4" w:space="0" w:color="000000"/>
            </w:tcBorders>
            <w:shd w:val="clear" w:color="auto" w:fill="auto"/>
            <w:tcMar>
              <w:top w:w="0" w:type="dxa"/>
              <w:left w:w="0" w:type="dxa"/>
              <w:bottom w:w="0" w:type="dxa"/>
              <w:right w:w="0" w:type="dxa"/>
            </w:tcMar>
            <w:vAlign w:val="bottom"/>
          </w:tcPr>
          <w:p w:rsidR="002D5BB0" w:rsidRPr="00222917" w:rsidRDefault="002D5BB0" w:rsidP="00881031">
            <w:pPr>
              <w:pStyle w:val="SingleTxtG"/>
              <w:suppressAutoHyphens w:val="0"/>
              <w:spacing w:before="40" w:after="40" w:line="220" w:lineRule="exact"/>
              <w:ind w:left="0" w:right="0"/>
              <w:jc w:val="right"/>
              <w:rPr>
                <w:sz w:val="18"/>
                <w:lang w:val="en-US"/>
              </w:rPr>
            </w:pPr>
            <w:r w:rsidRPr="00222917">
              <w:rPr>
                <w:bCs/>
                <w:sz w:val="18"/>
                <w:lang w:val="en-US"/>
              </w:rPr>
              <w:t>2.40</w:t>
            </w:r>
          </w:p>
        </w:tc>
      </w:tr>
      <w:tr w:rsidR="00047930" w:rsidRPr="00222917" w:rsidTr="00881031">
        <w:tc>
          <w:tcPr>
            <w:tcW w:w="1701" w:type="dxa"/>
            <w:tcBorders>
              <w:bottom w:val="single" w:sz="12" w:space="0" w:color="auto"/>
            </w:tcBorders>
            <w:shd w:val="clear" w:color="auto" w:fill="auto"/>
            <w:tcMar>
              <w:top w:w="0" w:type="dxa"/>
              <w:left w:w="0" w:type="dxa"/>
              <w:bottom w:w="0" w:type="dxa"/>
              <w:right w:w="0" w:type="dxa"/>
            </w:tcMar>
          </w:tcPr>
          <w:p w:rsidR="002D5BB0" w:rsidRPr="00222917" w:rsidRDefault="002D5BB0" w:rsidP="00881031">
            <w:pPr>
              <w:pStyle w:val="SingleTxtG"/>
              <w:suppressAutoHyphens w:val="0"/>
              <w:spacing w:before="40" w:after="40" w:line="220" w:lineRule="exact"/>
              <w:ind w:left="0" w:right="0"/>
              <w:jc w:val="left"/>
              <w:rPr>
                <w:sz w:val="18"/>
                <w:lang w:val="en-US"/>
              </w:rPr>
            </w:pPr>
            <w:r w:rsidRPr="00222917">
              <w:rPr>
                <w:sz w:val="18"/>
                <w:lang w:val="en-US"/>
              </w:rPr>
              <w:t>Public</w:t>
            </w:r>
          </w:p>
        </w:tc>
        <w:tc>
          <w:tcPr>
            <w:tcW w:w="1134" w:type="dxa"/>
            <w:tcBorders>
              <w:bottom w:val="single" w:sz="12" w:space="0" w:color="auto"/>
            </w:tcBorders>
            <w:shd w:val="clear" w:color="auto" w:fill="auto"/>
            <w:tcMar>
              <w:top w:w="0" w:type="dxa"/>
              <w:left w:w="0" w:type="dxa"/>
              <w:bottom w:w="0" w:type="dxa"/>
              <w:right w:w="0" w:type="dxa"/>
            </w:tcMar>
            <w:vAlign w:val="bottom"/>
          </w:tcPr>
          <w:p w:rsidR="002D5BB0" w:rsidRPr="00222917" w:rsidRDefault="002D5BB0" w:rsidP="00881031">
            <w:pPr>
              <w:pStyle w:val="SingleTxtG"/>
              <w:suppressAutoHyphens w:val="0"/>
              <w:spacing w:before="40" w:after="40" w:line="220" w:lineRule="exact"/>
              <w:ind w:left="0" w:right="0"/>
              <w:jc w:val="right"/>
              <w:rPr>
                <w:sz w:val="18"/>
                <w:lang w:val="en-US"/>
              </w:rPr>
            </w:pPr>
            <w:r w:rsidRPr="00222917">
              <w:rPr>
                <w:sz w:val="18"/>
                <w:lang w:val="en-US"/>
              </w:rPr>
              <w:t>260</w:t>
            </w:r>
          </w:p>
        </w:tc>
        <w:tc>
          <w:tcPr>
            <w:tcW w:w="1134" w:type="dxa"/>
            <w:tcBorders>
              <w:bottom w:val="single" w:sz="12" w:space="0" w:color="auto"/>
            </w:tcBorders>
            <w:shd w:val="clear" w:color="auto" w:fill="auto"/>
            <w:tcMar>
              <w:top w:w="0" w:type="dxa"/>
              <w:left w:w="0" w:type="dxa"/>
              <w:bottom w:w="0" w:type="dxa"/>
              <w:right w:w="0" w:type="dxa"/>
            </w:tcMar>
            <w:vAlign w:val="bottom"/>
          </w:tcPr>
          <w:p w:rsidR="002D5BB0" w:rsidRPr="00222917" w:rsidRDefault="002D5BB0" w:rsidP="00881031">
            <w:pPr>
              <w:pStyle w:val="SingleTxtG"/>
              <w:suppressAutoHyphens w:val="0"/>
              <w:spacing w:before="40" w:after="40" w:line="220" w:lineRule="exact"/>
              <w:ind w:left="0" w:right="0"/>
              <w:jc w:val="right"/>
              <w:rPr>
                <w:sz w:val="18"/>
                <w:lang w:val="en-US"/>
              </w:rPr>
            </w:pPr>
            <w:r w:rsidRPr="00222917">
              <w:rPr>
                <w:sz w:val="18"/>
                <w:lang w:val="en-US"/>
              </w:rPr>
              <w:t>294,245</w:t>
            </w:r>
          </w:p>
        </w:tc>
        <w:tc>
          <w:tcPr>
            <w:tcW w:w="1134" w:type="dxa"/>
            <w:tcBorders>
              <w:bottom w:val="single" w:sz="12" w:space="0" w:color="auto"/>
            </w:tcBorders>
            <w:shd w:val="clear" w:color="auto" w:fill="auto"/>
            <w:tcMar>
              <w:top w:w="0" w:type="dxa"/>
              <w:left w:w="0" w:type="dxa"/>
              <w:bottom w:w="0" w:type="dxa"/>
              <w:right w:w="0" w:type="dxa"/>
            </w:tcMar>
            <w:vAlign w:val="bottom"/>
          </w:tcPr>
          <w:p w:rsidR="002D5BB0" w:rsidRPr="00222917" w:rsidRDefault="002D5BB0" w:rsidP="00881031">
            <w:pPr>
              <w:pStyle w:val="SingleTxtG"/>
              <w:suppressAutoHyphens w:val="0"/>
              <w:spacing w:before="40" w:after="40" w:line="220" w:lineRule="exact"/>
              <w:ind w:left="0" w:right="0"/>
              <w:jc w:val="right"/>
              <w:rPr>
                <w:sz w:val="18"/>
                <w:lang w:val="en-US"/>
              </w:rPr>
            </w:pPr>
            <w:r w:rsidRPr="00222917">
              <w:rPr>
                <w:sz w:val="18"/>
                <w:lang w:val="en-US"/>
              </w:rPr>
              <w:t>8,827</w:t>
            </w:r>
          </w:p>
        </w:tc>
        <w:tc>
          <w:tcPr>
            <w:tcW w:w="1134" w:type="dxa"/>
            <w:tcBorders>
              <w:bottom w:val="single" w:sz="12" w:space="0" w:color="auto"/>
            </w:tcBorders>
            <w:shd w:val="clear" w:color="auto" w:fill="auto"/>
            <w:tcMar>
              <w:top w:w="0" w:type="dxa"/>
              <w:left w:w="0" w:type="dxa"/>
              <w:bottom w:w="0" w:type="dxa"/>
              <w:right w:w="0" w:type="dxa"/>
            </w:tcMar>
            <w:vAlign w:val="bottom"/>
          </w:tcPr>
          <w:p w:rsidR="002D5BB0" w:rsidRPr="00222917" w:rsidRDefault="002D5BB0" w:rsidP="00881031">
            <w:pPr>
              <w:pStyle w:val="SingleTxtG"/>
              <w:suppressAutoHyphens w:val="0"/>
              <w:spacing w:before="40" w:after="40" w:line="220" w:lineRule="exact"/>
              <w:ind w:left="0" w:right="0"/>
              <w:jc w:val="right"/>
              <w:rPr>
                <w:sz w:val="18"/>
                <w:lang w:val="en-US"/>
              </w:rPr>
            </w:pPr>
            <w:r w:rsidRPr="00222917">
              <w:rPr>
                <w:sz w:val="18"/>
                <w:lang w:val="en-US"/>
              </w:rPr>
              <w:t>6,775</w:t>
            </w:r>
          </w:p>
        </w:tc>
        <w:tc>
          <w:tcPr>
            <w:tcW w:w="1134" w:type="dxa"/>
            <w:tcBorders>
              <w:bottom w:val="single" w:sz="12" w:space="0" w:color="auto"/>
            </w:tcBorders>
            <w:shd w:val="clear" w:color="auto" w:fill="auto"/>
            <w:tcMar>
              <w:top w:w="0" w:type="dxa"/>
              <w:left w:w="0" w:type="dxa"/>
              <w:bottom w:w="0" w:type="dxa"/>
              <w:right w:w="0" w:type="dxa"/>
            </w:tcMar>
            <w:vAlign w:val="bottom"/>
          </w:tcPr>
          <w:p w:rsidR="002D5BB0" w:rsidRPr="00222917" w:rsidRDefault="002D5BB0" w:rsidP="00881031">
            <w:pPr>
              <w:pStyle w:val="SingleTxtG"/>
              <w:suppressAutoHyphens w:val="0"/>
              <w:spacing w:before="40" w:after="40" w:line="220" w:lineRule="exact"/>
              <w:ind w:left="0" w:right="0"/>
              <w:jc w:val="right"/>
              <w:rPr>
                <w:sz w:val="18"/>
                <w:lang w:val="en-US"/>
              </w:rPr>
            </w:pPr>
            <w:r w:rsidRPr="00222917">
              <w:rPr>
                <w:bCs/>
                <w:sz w:val="18"/>
                <w:lang w:val="en-US"/>
              </w:rPr>
              <w:t>2.56</w:t>
            </w:r>
          </w:p>
        </w:tc>
      </w:tr>
    </w:tbl>
    <w:p w:rsidR="002D5BB0" w:rsidRPr="00222917" w:rsidRDefault="00463FDC" w:rsidP="00463FDC">
      <w:pPr>
        <w:pStyle w:val="H23G"/>
        <w:rPr>
          <w:lang w:val="en-US"/>
        </w:rPr>
      </w:pPr>
      <w:r w:rsidRPr="00222917">
        <w:rPr>
          <w:lang w:val="en-US"/>
        </w:rPr>
        <w:tab/>
      </w:r>
      <w:r w:rsidRPr="00222917">
        <w:rPr>
          <w:lang w:val="en-US"/>
        </w:rPr>
        <w:tab/>
      </w:r>
      <w:r w:rsidR="002D5BB0" w:rsidRPr="00222917">
        <w:rPr>
          <w:lang w:val="en-US"/>
        </w:rPr>
        <w:t>Compulsory Employment Rate of the Disabled by Central Administrative Agencies</w:t>
      </w:r>
    </w:p>
    <w:tbl>
      <w:tblPr>
        <w:tblW w:w="0" w:type="auto"/>
        <w:tblInd w:w="1134" w:type="dxa"/>
        <w:tblBorders>
          <w:top w:val="single" w:sz="4" w:space="0" w:color="auto"/>
          <w:bottom w:val="single" w:sz="12" w:space="0" w:color="auto"/>
          <w:insideH w:val="single" w:sz="12" w:space="0" w:color="auto"/>
        </w:tblBorders>
        <w:tblLayout w:type="fixed"/>
        <w:tblCellMar>
          <w:left w:w="0" w:type="dxa"/>
          <w:right w:w="0" w:type="dxa"/>
        </w:tblCellMar>
        <w:tblLook w:val="00A0"/>
      </w:tblPr>
      <w:tblGrid>
        <w:gridCol w:w="1021"/>
        <w:gridCol w:w="907"/>
        <w:gridCol w:w="907"/>
        <w:gridCol w:w="907"/>
        <w:gridCol w:w="907"/>
        <w:gridCol w:w="907"/>
        <w:gridCol w:w="907"/>
        <w:gridCol w:w="907"/>
      </w:tblGrid>
      <w:tr w:rsidR="00047930" w:rsidRPr="00222917" w:rsidTr="007C12A1">
        <w:trPr>
          <w:tblHeader/>
        </w:trPr>
        <w:tc>
          <w:tcPr>
            <w:tcW w:w="1021" w:type="dxa"/>
            <w:shd w:val="clear" w:color="auto" w:fill="auto"/>
            <w:tcMar>
              <w:top w:w="28" w:type="dxa"/>
              <w:left w:w="28" w:type="dxa"/>
              <w:bottom w:w="28" w:type="dxa"/>
              <w:right w:w="28" w:type="dxa"/>
            </w:tcMar>
            <w:vAlign w:val="bottom"/>
          </w:tcPr>
          <w:p w:rsidR="002D5BB0" w:rsidRPr="00222917" w:rsidRDefault="002D5BB0" w:rsidP="007C12A1">
            <w:pPr>
              <w:pStyle w:val="SingleTxtG"/>
              <w:suppressAutoHyphens w:val="0"/>
              <w:spacing w:before="80" w:after="80" w:line="200" w:lineRule="exact"/>
              <w:ind w:left="0" w:right="0"/>
              <w:jc w:val="left"/>
              <w:rPr>
                <w:i/>
                <w:sz w:val="16"/>
                <w:lang w:val="en-US"/>
              </w:rPr>
            </w:pPr>
            <w:r w:rsidRPr="00222917">
              <w:rPr>
                <w:bCs/>
                <w:i/>
                <w:sz w:val="16"/>
                <w:lang w:val="en-US"/>
              </w:rPr>
              <w:t>Description</w:t>
            </w:r>
          </w:p>
        </w:tc>
        <w:tc>
          <w:tcPr>
            <w:tcW w:w="907" w:type="dxa"/>
            <w:shd w:val="clear" w:color="auto" w:fill="auto"/>
            <w:tcMar>
              <w:top w:w="28" w:type="dxa"/>
              <w:left w:w="28" w:type="dxa"/>
              <w:bottom w:w="28" w:type="dxa"/>
              <w:right w:w="28" w:type="dxa"/>
            </w:tcMar>
            <w:vAlign w:val="bottom"/>
          </w:tcPr>
          <w:p w:rsidR="002D5BB0" w:rsidRPr="00222917" w:rsidRDefault="002D5BB0" w:rsidP="007C12A1">
            <w:pPr>
              <w:pStyle w:val="SingleTxtG"/>
              <w:suppressAutoHyphens w:val="0"/>
              <w:spacing w:before="80" w:after="80" w:line="200" w:lineRule="exact"/>
              <w:ind w:left="0" w:right="0"/>
              <w:jc w:val="right"/>
              <w:rPr>
                <w:i/>
                <w:sz w:val="16"/>
                <w:lang w:val="en-US"/>
              </w:rPr>
            </w:pPr>
            <w:r w:rsidRPr="00222917">
              <w:rPr>
                <w:bCs/>
                <w:i/>
                <w:sz w:val="16"/>
                <w:lang w:val="en-US"/>
              </w:rPr>
              <w:t>2004</w:t>
            </w:r>
          </w:p>
        </w:tc>
        <w:tc>
          <w:tcPr>
            <w:tcW w:w="907" w:type="dxa"/>
            <w:shd w:val="clear" w:color="auto" w:fill="auto"/>
            <w:tcMar>
              <w:top w:w="28" w:type="dxa"/>
              <w:left w:w="28" w:type="dxa"/>
              <w:bottom w:w="28" w:type="dxa"/>
              <w:right w:w="28" w:type="dxa"/>
            </w:tcMar>
            <w:vAlign w:val="bottom"/>
          </w:tcPr>
          <w:p w:rsidR="002D5BB0" w:rsidRPr="00222917" w:rsidRDefault="002D5BB0" w:rsidP="007C12A1">
            <w:pPr>
              <w:pStyle w:val="SingleTxtG"/>
              <w:suppressAutoHyphens w:val="0"/>
              <w:spacing w:before="80" w:after="80" w:line="200" w:lineRule="exact"/>
              <w:ind w:left="0" w:right="0"/>
              <w:jc w:val="right"/>
              <w:rPr>
                <w:i/>
                <w:sz w:val="16"/>
                <w:lang w:val="en-US"/>
              </w:rPr>
            </w:pPr>
            <w:r w:rsidRPr="00222917">
              <w:rPr>
                <w:bCs/>
                <w:i/>
                <w:sz w:val="16"/>
                <w:lang w:val="en-US"/>
              </w:rPr>
              <w:t>2005</w:t>
            </w:r>
          </w:p>
        </w:tc>
        <w:tc>
          <w:tcPr>
            <w:tcW w:w="907" w:type="dxa"/>
            <w:shd w:val="clear" w:color="auto" w:fill="auto"/>
            <w:tcMar>
              <w:top w:w="28" w:type="dxa"/>
              <w:left w:w="28" w:type="dxa"/>
              <w:bottom w:w="28" w:type="dxa"/>
              <w:right w:w="28" w:type="dxa"/>
            </w:tcMar>
            <w:vAlign w:val="bottom"/>
          </w:tcPr>
          <w:p w:rsidR="002D5BB0" w:rsidRPr="00222917" w:rsidRDefault="002D5BB0" w:rsidP="007C12A1">
            <w:pPr>
              <w:pStyle w:val="SingleTxtG"/>
              <w:suppressAutoHyphens w:val="0"/>
              <w:spacing w:before="80" w:after="80" w:line="200" w:lineRule="exact"/>
              <w:ind w:left="0" w:right="0"/>
              <w:jc w:val="right"/>
              <w:rPr>
                <w:i/>
                <w:sz w:val="16"/>
                <w:lang w:val="en-US"/>
              </w:rPr>
            </w:pPr>
            <w:r w:rsidRPr="00222917">
              <w:rPr>
                <w:bCs/>
                <w:i/>
                <w:sz w:val="16"/>
                <w:lang w:val="en-US"/>
              </w:rPr>
              <w:t>2006</w:t>
            </w:r>
          </w:p>
        </w:tc>
        <w:tc>
          <w:tcPr>
            <w:tcW w:w="907" w:type="dxa"/>
            <w:shd w:val="clear" w:color="auto" w:fill="auto"/>
            <w:tcMar>
              <w:top w:w="28" w:type="dxa"/>
              <w:left w:w="28" w:type="dxa"/>
              <w:bottom w:w="28" w:type="dxa"/>
              <w:right w:w="28" w:type="dxa"/>
            </w:tcMar>
            <w:vAlign w:val="bottom"/>
          </w:tcPr>
          <w:p w:rsidR="002D5BB0" w:rsidRPr="00222917" w:rsidRDefault="002D5BB0" w:rsidP="007C12A1">
            <w:pPr>
              <w:pStyle w:val="SingleTxtG"/>
              <w:suppressAutoHyphens w:val="0"/>
              <w:spacing w:before="80" w:after="80" w:line="200" w:lineRule="exact"/>
              <w:ind w:left="0" w:right="0"/>
              <w:jc w:val="right"/>
              <w:rPr>
                <w:i/>
                <w:sz w:val="16"/>
                <w:lang w:val="en-US"/>
              </w:rPr>
            </w:pPr>
            <w:r w:rsidRPr="00222917">
              <w:rPr>
                <w:bCs/>
                <w:i/>
                <w:sz w:val="16"/>
                <w:lang w:val="en-US"/>
              </w:rPr>
              <w:t>2007</w:t>
            </w:r>
          </w:p>
        </w:tc>
        <w:tc>
          <w:tcPr>
            <w:tcW w:w="907" w:type="dxa"/>
            <w:shd w:val="clear" w:color="auto" w:fill="auto"/>
            <w:tcMar>
              <w:top w:w="28" w:type="dxa"/>
              <w:left w:w="28" w:type="dxa"/>
              <w:bottom w:w="28" w:type="dxa"/>
              <w:right w:w="28" w:type="dxa"/>
            </w:tcMar>
            <w:vAlign w:val="bottom"/>
          </w:tcPr>
          <w:p w:rsidR="002D5BB0" w:rsidRPr="00222917" w:rsidRDefault="002D5BB0" w:rsidP="007C12A1">
            <w:pPr>
              <w:pStyle w:val="SingleTxtG"/>
              <w:suppressAutoHyphens w:val="0"/>
              <w:spacing w:before="80" w:after="80" w:line="200" w:lineRule="exact"/>
              <w:ind w:left="0" w:right="0"/>
              <w:jc w:val="right"/>
              <w:rPr>
                <w:i/>
                <w:sz w:val="16"/>
                <w:lang w:val="en-US"/>
              </w:rPr>
            </w:pPr>
            <w:r w:rsidRPr="00222917">
              <w:rPr>
                <w:bCs/>
                <w:i/>
                <w:sz w:val="16"/>
                <w:lang w:val="en-US"/>
              </w:rPr>
              <w:t>2008</w:t>
            </w:r>
          </w:p>
        </w:tc>
        <w:tc>
          <w:tcPr>
            <w:tcW w:w="907" w:type="dxa"/>
            <w:shd w:val="clear" w:color="auto" w:fill="auto"/>
            <w:tcMar>
              <w:top w:w="28" w:type="dxa"/>
              <w:left w:w="28" w:type="dxa"/>
              <w:bottom w:w="28" w:type="dxa"/>
              <w:right w:w="28" w:type="dxa"/>
            </w:tcMar>
            <w:vAlign w:val="bottom"/>
          </w:tcPr>
          <w:p w:rsidR="002D5BB0" w:rsidRPr="00222917" w:rsidRDefault="002D5BB0" w:rsidP="007C12A1">
            <w:pPr>
              <w:pStyle w:val="SingleTxtG"/>
              <w:suppressAutoHyphens w:val="0"/>
              <w:spacing w:before="80" w:after="80" w:line="200" w:lineRule="exact"/>
              <w:ind w:left="0" w:right="0"/>
              <w:jc w:val="right"/>
              <w:rPr>
                <w:i/>
                <w:sz w:val="16"/>
                <w:lang w:val="en-US"/>
              </w:rPr>
            </w:pPr>
            <w:r w:rsidRPr="00222917">
              <w:rPr>
                <w:bCs/>
                <w:i/>
                <w:sz w:val="16"/>
                <w:lang w:val="en-US"/>
              </w:rPr>
              <w:t>2009</w:t>
            </w:r>
          </w:p>
        </w:tc>
        <w:tc>
          <w:tcPr>
            <w:tcW w:w="907" w:type="dxa"/>
            <w:shd w:val="clear" w:color="auto" w:fill="auto"/>
            <w:vAlign w:val="bottom"/>
          </w:tcPr>
          <w:p w:rsidR="002D5BB0" w:rsidRPr="00222917" w:rsidRDefault="002D5BB0" w:rsidP="007C12A1">
            <w:pPr>
              <w:pStyle w:val="SingleTxtG"/>
              <w:suppressAutoHyphens w:val="0"/>
              <w:spacing w:before="80" w:after="80" w:line="200" w:lineRule="exact"/>
              <w:ind w:left="0" w:right="0"/>
              <w:jc w:val="right"/>
              <w:rPr>
                <w:bCs/>
                <w:i/>
                <w:sz w:val="16"/>
                <w:lang w:val="en-US"/>
              </w:rPr>
            </w:pPr>
            <w:r w:rsidRPr="00222917">
              <w:rPr>
                <w:bCs/>
                <w:i/>
                <w:sz w:val="16"/>
                <w:lang w:val="en-US"/>
              </w:rPr>
              <w:t>2010</w:t>
            </w:r>
          </w:p>
        </w:tc>
      </w:tr>
      <w:tr w:rsidR="00047930" w:rsidRPr="00222917" w:rsidTr="007C12A1">
        <w:tc>
          <w:tcPr>
            <w:tcW w:w="1021" w:type="dxa"/>
            <w:shd w:val="clear" w:color="auto" w:fill="auto"/>
            <w:tcMar>
              <w:top w:w="28" w:type="dxa"/>
              <w:left w:w="28" w:type="dxa"/>
              <w:bottom w:w="28" w:type="dxa"/>
              <w:right w:w="28" w:type="dxa"/>
            </w:tcMar>
          </w:tcPr>
          <w:p w:rsidR="002D5BB0" w:rsidRPr="00222917" w:rsidRDefault="002D5BB0" w:rsidP="007C12A1">
            <w:pPr>
              <w:pStyle w:val="SingleTxtG"/>
              <w:suppressAutoHyphens w:val="0"/>
              <w:spacing w:before="40" w:after="40" w:line="220" w:lineRule="exact"/>
              <w:ind w:left="0" w:right="0"/>
              <w:jc w:val="left"/>
              <w:rPr>
                <w:sz w:val="18"/>
                <w:lang w:val="en-US"/>
              </w:rPr>
            </w:pPr>
            <w:r w:rsidRPr="00222917">
              <w:rPr>
                <w:bCs/>
                <w:sz w:val="18"/>
                <w:lang w:val="en-US"/>
              </w:rPr>
              <w:t>Employment rate (%)</w:t>
            </w:r>
          </w:p>
        </w:tc>
        <w:tc>
          <w:tcPr>
            <w:tcW w:w="907" w:type="dxa"/>
            <w:shd w:val="clear" w:color="auto" w:fill="auto"/>
            <w:tcMar>
              <w:top w:w="28" w:type="dxa"/>
              <w:left w:w="28" w:type="dxa"/>
              <w:bottom w:w="28" w:type="dxa"/>
              <w:right w:w="28" w:type="dxa"/>
            </w:tcMar>
            <w:vAlign w:val="bottom"/>
          </w:tcPr>
          <w:p w:rsidR="002D5BB0" w:rsidRPr="00222917" w:rsidRDefault="002D5BB0" w:rsidP="007C12A1">
            <w:pPr>
              <w:pStyle w:val="SingleTxtG"/>
              <w:suppressAutoHyphens w:val="0"/>
              <w:spacing w:before="40" w:after="40" w:line="220" w:lineRule="exact"/>
              <w:ind w:left="0" w:right="0"/>
              <w:jc w:val="right"/>
              <w:rPr>
                <w:sz w:val="18"/>
                <w:lang w:val="en-US"/>
              </w:rPr>
            </w:pPr>
            <w:r w:rsidRPr="00222917">
              <w:rPr>
                <w:sz w:val="18"/>
                <w:lang w:val="en-US"/>
              </w:rPr>
              <w:t>1.96</w:t>
            </w:r>
          </w:p>
        </w:tc>
        <w:tc>
          <w:tcPr>
            <w:tcW w:w="907" w:type="dxa"/>
            <w:shd w:val="clear" w:color="auto" w:fill="auto"/>
            <w:tcMar>
              <w:top w:w="28" w:type="dxa"/>
              <w:left w:w="28" w:type="dxa"/>
              <w:bottom w:w="28" w:type="dxa"/>
              <w:right w:w="28" w:type="dxa"/>
            </w:tcMar>
            <w:vAlign w:val="bottom"/>
          </w:tcPr>
          <w:p w:rsidR="002D5BB0" w:rsidRPr="00222917" w:rsidRDefault="002D5BB0" w:rsidP="007C12A1">
            <w:pPr>
              <w:pStyle w:val="SingleTxtG"/>
              <w:suppressAutoHyphens w:val="0"/>
              <w:spacing w:before="40" w:after="40" w:line="220" w:lineRule="exact"/>
              <w:ind w:left="0" w:right="0"/>
              <w:jc w:val="right"/>
              <w:rPr>
                <w:sz w:val="18"/>
                <w:lang w:val="en-US"/>
              </w:rPr>
            </w:pPr>
            <w:r w:rsidRPr="00222917">
              <w:rPr>
                <w:sz w:val="18"/>
                <w:lang w:val="en-US"/>
              </w:rPr>
              <w:t>2.15</w:t>
            </w:r>
          </w:p>
        </w:tc>
        <w:tc>
          <w:tcPr>
            <w:tcW w:w="907" w:type="dxa"/>
            <w:shd w:val="clear" w:color="auto" w:fill="auto"/>
            <w:tcMar>
              <w:top w:w="28" w:type="dxa"/>
              <w:left w:w="28" w:type="dxa"/>
              <w:bottom w:w="28" w:type="dxa"/>
              <w:right w:w="28" w:type="dxa"/>
            </w:tcMar>
            <w:vAlign w:val="bottom"/>
          </w:tcPr>
          <w:p w:rsidR="002D5BB0" w:rsidRPr="00222917" w:rsidRDefault="002D5BB0" w:rsidP="007C12A1">
            <w:pPr>
              <w:pStyle w:val="SingleTxtG"/>
              <w:suppressAutoHyphens w:val="0"/>
              <w:spacing w:before="40" w:after="40" w:line="220" w:lineRule="exact"/>
              <w:ind w:left="0" w:right="0"/>
              <w:jc w:val="right"/>
              <w:rPr>
                <w:sz w:val="18"/>
                <w:lang w:val="en-US"/>
              </w:rPr>
            </w:pPr>
            <w:r w:rsidRPr="00222917">
              <w:rPr>
                <w:sz w:val="18"/>
                <w:lang w:val="en-US"/>
              </w:rPr>
              <w:t>1.95</w:t>
            </w:r>
          </w:p>
        </w:tc>
        <w:tc>
          <w:tcPr>
            <w:tcW w:w="907" w:type="dxa"/>
            <w:shd w:val="clear" w:color="auto" w:fill="auto"/>
            <w:tcMar>
              <w:top w:w="28" w:type="dxa"/>
              <w:left w:w="28" w:type="dxa"/>
              <w:bottom w:w="28" w:type="dxa"/>
              <w:right w:w="28" w:type="dxa"/>
            </w:tcMar>
            <w:vAlign w:val="bottom"/>
          </w:tcPr>
          <w:p w:rsidR="002D5BB0" w:rsidRPr="00222917" w:rsidRDefault="002D5BB0" w:rsidP="007C12A1">
            <w:pPr>
              <w:pStyle w:val="SingleTxtG"/>
              <w:suppressAutoHyphens w:val="0"/>
              <w:spacing w:before="40" w:after="40" w:line="220" w:lineRule="exact"/>
              <w:ind w:left="0" w:right="0"/>
              <w:jc w:val="right"/>
              <w:rPr>
                <w:sz w:val="18"/>
                <w:lang w:val="en-US"/>
              </w:rPr>
            </w:pPr>
            <w:r w:rsidRPr="00222917">
              <w:rPr>
                <w:sz w:val="18"/>
                <w:lang w:val="en-US"/>
              </w:rPr>
              <w:t>2.02</w:t>
            </w:r>
          </w:p>
        </w:tc>
        <w:tc>
          <w:tcPr>
            <w:tcW w:w="907" w:type="dxa"/>
            <w:shd w:val="clear" w:color="auto" w:fill="auto"/>
            <w:tcMar>
              <w:top w:w="28" w:type="dxa"/>
              <w:left w:w="28" w:type="dxa"/>
              <w:bottom w:w="28" w:type="dxa"/>
              <w:right w:w="28" w:type="dxa"/>
            </w:tcMar>
            <w:vAlign w:val="bottom"/>
          </w:tcPr>
          <w:p w:rsidR="002D5BB0" w:rsidRPr="00222917" w:rsidRDefault="002D5BB0" w:rsidP="007C12A1">
            <w:pPr>
              <w:pStyle w:val="SingleTxtG"/>
              <w:suppressAutoHyphens w:val="0"/>
              <w:spacing w:before="40" w:after="40" w:line="220" w:lineRule="exact"/>
              <w:ind w:left="0" w:right="0"/>
              <w:jc w:val="right"/>
              <w:rPr>
                <w:sz w:val="18"/>
                <w:lang w:val="en-US"/>
              </w:rPr>
            </w:pPr>
            <w:r w:rsidRPr="00222917">
              <w:rPr>
                <w:sz w:val="18"/>
                <w:lang w:val="en-US"/>
              </w:rPr>
              <w:t>2.18</w:t>
            </w:r>
          </w:p>
        </w:tc>
        <w:tc>
          <w:tcPr>
            <w:tcW w:w="907" w:type="dxa"/>
            <w:shd w:val="clear" w:color="auto" w:fill="auto"/>
            <w:tcMar>
              <w:top w:w="28" w:type="dxa"/>
              <w:left w:w="28" w:type="dxa"/>
              <w:bottom w:w="28" w:type="dxa"/>
              <w:right w:w="28" w:type="dxa"/>
            </w:tcMar>
            <w:vAlign w:val="bottom"/>
          </w:tcPr>
          <w:p w:rsidR="002D5BB0" w:rsidRPr="00222917" w:rsidRDefault="002D5BB0" w:rsidP="007C12A1">
            <w:pPr>
              <w:pStyle w:val="SingleTxtG"/>
              <w:suppressAutoHyphens w:val="0"/>
              <w:spacing w:before="40" w:after="40" w:line="220" w:lineRule="exact"/>
              <w:ind w:left="0" w:right="0"/>
              <w:jc w:val="right"/>
              <w:rPr>
                <w:sz w:val="18"/>
                <w:lang w:val="en-US"/>
              </w:rPr>
            </w:pPr>
            <w:r w:rsidRPr="00222917">
              <w:rPr>
                <w:sz w:val="18"/>
                <w:lang w:val="en-US"/>
              </w:rPr>
              <w:t>2.35</w:t>
            </w:r>
          </w:p>
        </w:tc>
        <w:tc>
          <w:tcPr>
            <w:tcW w:w="907" w:type="dxa"/>
            <w:shd w:val="clear" w:color="auto" w:fill="auto"/>
            <w:vAlign w:val="bottom"/>
          </w:tcPr>
          <w:p w:rsidR="002D5BB0" w:rsidRPr="00222917" w:rsidRDefault="002D5BB0" w:rsidP="007C12A1">
            <w:pPr>
              <w:pStyle w:val="SingleTxtG"/>
              <w:suppressAutoHyphens w:val="0"/>
              <w:spacing w:before="40" w:after="40" w:line="220" w:lineRule="exact"/>
              <w:ind w:left="0" w:right="0"/>
              <w:jc w:val="right"/>
              <w:rPr>
                <w:sz w:val="18"/>
                <w:lang w:val="en-US"/>
              </w:rPr>
            </w:pPr>
            <w:r w:rsidRPr="00222917">
              <w:rPr>
                <w:sz w:val="18"/>
                <w:lang w:val="en-US"/>
              </w:rPr>
              <w:t>3.01</w:t>
            </w:r>
          </w:p>
        </w:tc>
      </w:tr>
    </w:tbl>
    <w:p w:rsidR="002D5BB0" w:rsidRPr="00222917" w:rsidRDefault="00547908" w:rsidP="00547908">
      <w:pPr>
        <w:pStyle w:val="SingleTxtG"/>
        <w:keepLines/>
        <w:spacing w:before="240"/>
        <w:rPr>
          <w:lang w:val="en-US"/>
        </w:rPr>
      </w:pPr>
      <w:r w:rsidRPr="00222917">
        <w:rPr>
          <w:lang w:val="en-US"/>
        </w:rPr>
        <w:t>374.</w:t>
      </w:r>
      <w:r w:rsidRPr="00222917">
        <w:rPr>
          <w:lang w:val="en-US"/>
        </w:rPr>
        <w:tab/>
      </w:r>
      <w:r w:rsidR="002D5BB0" w:rsidRPr="00222917">
        <w:rPr>
          <w:lang w:val="en-US"/>
        </w:rPr>
        <w:t xml:space="preserve">In order to expand opportunities for low-income members of society to hold public office, the </w:t>
      </w:r>
      <w:r w:rsidR="0005151A">
        <w:rPr>
          <w:lang w:val="en-US"/>
        </w:rPr>
        <w:t>G</w:t>
      </w:r>
      <w:r w:rsidR="002D5BB0" w:rsidRPr="00222917">
        <w:rPr>
          <w:lang w:val="en-US"/>
        </w:rPr>
        <w:t>overnment finalized the “Master Plan to Support Low-Income Groups in Holding Public Office” and enforced “Plans to Utilize Low-Income Groups as Administrative Support Personnel” in March 2008. On 31 December 2008, the State Public Officials Act was amended to provide a legal basis for active preferential treatment in appointment of low-income members of socie</w:t>
      </w:r>
      <w:r w:rsidR="00670E22" w:rsidRPr="00222917">
        <w:rPr>
          <w:lang w:val="en-US"/>
        </w:rPr>
        <w:t>ty as public officials (</w:t>
      </w:r>
      <w:r w:rsidR="00AE0F13" w:rsidRPr="00222917">
        <w:rPr>
          <w:lang w:val="en-US"/>
        </w:rPr>
        <w:t>a</w:t>
      </w:r>
      <w:r w:rsidR="00670E22" w:rsidRPr="00222917">
        <w:rPr>
          <w:lang w:val="en-US"/>
        </w:rPr>
        <w:t>rticle </w:t>
      </w:r>
      <w:r w:rsidR="002D5BB0" w:rsidRPr="00222917">
        <w:rPr>
          <w:lang w:val="en-US"/>
        </w:rPr>
        <w:t>26). The</w:t>
      </w:r>
      <w:r w:rsidR="006D7B40" w:rsidRPr="00222917">
        <w:rPr>
          <w:lang w:val="en-US"/>
        </w:rPr>
        <w:t> </w:t>
      </w:r>
      <w:r w:rsidR="002D5BB0" w:rsidRPr="00222917">
        <w:rPr>
          <w:lang w:val="en-US"/>
        </w:rPr>
        <w:t xml:space="preserve">preferences were applied to the examination for appointment of public officials for 2009 and are under enforcement as of 2010. </w:t>
      </w:r>
    </w:p>
    <w:p w:rsidR="002D5BB0" w:rsidRPr="00222917" w:rsidRDefault="00463FDC" w:rsidP="00463FDC">
      <w:pPr>
        <w:pStyle w:val="H23G"/>
        <w:rPr>
          <w:lang w:val="en-US"/>
        </w:rPr>
      </w:pPr>
      <w:bookmarkStart w:id="321" w:name="_Toc307504182"/>
      <w:bookmarkStart w:id="322" w:name="_Toc336435954"/>
      <w:r w:rsidRPr="00222917">
        <w:rPr>
          <w:lang w:val="en-US"/>
        </w:rPr>
        <w:tab/>
      </w:r>
      <w:r w:rsidRPr="00222917">
        <w:rPr>
          <w:lang w:val="en-US"/>
        </w:rPr>
        <w:tab/>
      </w:r>
      <w:r w:rsidR="002D5BB0" w:rsidRPr="00222917">
        <w:rPr>
          <w:lang w:val="en-US"/>
        </w:rPr>
        <w:t>Right to Vote of the Disabled</w:t>
      </w:r>
      <w:bookmarkEnd w:id="321"/>
      <w:bookmarkEnd w:id="322"/>
    </w:p>
    <w:p w:rsidR="002D5BB0" w:rsidRPr="00222917" w:rsidRDefault="00547908" w:rsidP="00547908">
      <w:pPr>
        <w:pStyle w:val="SingleTxtG"/>
        <w:rPr>
          <w:lang w:val="en-US"/>
        </w:rPr>
      </w:pPr>
      <w:r w:rsidRPr="00222917">
        <w:rPr>
          <w:lang w:val="en-US"/>
        </w:rPr>
        <w:t>375.</w:t>
      </w:r>
      <w:r w:rsidRPr="00222917">
        <w:rPr>
          <w:lang w:val="en-US"/>
        </w:rPr>
        <w:tab/>
      </w:r>
      <w:r w:rsidR="002D5BB0" w:rsidRPr="00222917">
        <w:rPr>
          <w:lang w:val="en-US"/>
        </w:rPr>
        <w:t xml:space="preserve">The National Election Commission actively provides voting conveniences for the disabled to guarantee their political rights. The Commission has set up facilities to improve accessibility of the disabled, and guided and supported installation of required voting booths for the disabled. It also printed voter’s guide in braille, ballot support stationery, and the like, and installed voting booths for the disabled and assigned assistants for the disabled at polling stations. </w:t>
      </w:r>
    </w:p>
    <w:p w:rsidR="002D5BB0" w:rsidRPr="0084463C" w:rsidRDefault="00463FDC" w:rsidP="00463FDC">
      <w:pPr>
        <w:pStyle w:val="HChG"/>
        <w:rPr>
          <w:sz w:val="24"/>
          <w:szCs w:val="24"/>
          <w:lang w:val="en-US"/>
        </w:rPr>
      </w:pPr>
      <w:bookmarkStart w:id="323" w:name="_Toc307504183"/>
      <w:bookmarkStart w:id="324" w:name="_Toc336435955"/>
      <w:r w:rsidRPr="00222917">
        <w:rPr>
          <w:lang w:val="en-US"/>
        </w:rPr>
        <w:tab/>
      </w:r>
      <w:r w:rsidRPr="00222917">
        <w:rPr>
          <w:lang w:val="en-US"/>
        </w:rPr>
        <w:tab/>
      </w:r>
      <w:r w:rsidR="002D5BB0" w:rsidRPr="0084463C">
        <w:rPr>
          <w:sz w:val="24"/>
          <w:szCs w:val="24"/>
          <w:lang w:val="en-US"/>
        </w:rPr>
        <w:t>Article 26</w:t>
      </w:r>
      <w:bookmarkEnd w:id="323"/>
      <w:bookmarkEnd w:id="324"/>
    </w:p>
    <w:p w:rsidR="002D5BB0" w:rsidRPr="00222917" w:rsidRDefault="00463FDC" w:rsidP="00463FDC">
      <w:pPr>
        <w:pStyle w:val="H23G"/>
        <w:rPr>
          <w:lang w:val="en-US"/>
        </w:rPr>
      </w:pPr>
      <w:bookmarkStart w:id="325" w:name="_Toc307504184"/>
      <w:bookmarkStart w:id="326" w:name="_Toc336435956"/>
      <w:r w:rsidRPr="00222917">
        <w:rPr>
          <w:lang w:val="en-US"/>
        </w:rPr>
        <w:tab/>
      </w:r>
      <w:r w:rsidRPr="00222917">
        <w:rPr>
          <w:lang w:val="en-US"/>
        </w:rPr>
        <w:tab/>
      </w:r>
      <w:r w:rsidR="002D5BB0" w:rsidRPr="00222917">
        <w:rPr>
          <w:lang w:val="en-US"/>
        </w:rPr>
        <w:t>Laws Prohibiting Discrimination</w:t>
      </w:r>
      <w:bookmarkEnd w:id="325"/>
      <w:bookmarkEnd w:id="326"/>
      <w:r w:rsidR="002D5BB0" w:rsidRPr="00222917">
        <w:rPr>
          <w:lang w:val="en-US"/>
        </w:rPr>
        <w:t xml:space="preserve"> </w:t>
      </w:r>
    </w:p>
    <w:p w:rsidR="002D5BB0" w:rsidRPr="00222917" w:rsidRDefault="00547908" w:rsidP="00547908">
      <w:pPr>
        <w:pStyle w:val="SingleTxtG"/>
        <w:rPr>
          <w:lang w:val="en-US"/>
        </w:rPr>
      </w:pPr>
      <w:r w:rsidRPr="00222917">
        <w:rPr>
          <w:lang w:val="en-US"/>
        </w:rPr>
        <w:t>376.</w:t>
      </w:r>
      <w:r w:rsidRPr="00222917">
        <w:rPr>
          <w:lang w:val="en-US"/>
        </w:rPr>
        <w:tab/>
      </w:r>
      <w:r w:rsidR="002D5BB0" w:rsidRPr="00222917">
        <w:rPr>
          <w:lang w:val="en-US"/>
        </w:rPr>
        <w:t>The Constitution stipulates principles of equality including equa</w:t>
      </w:r>
      <w:r w:rsidR="00670E22" w:rsidRPr="00222917">
        <w:rPr>
          <w:lang w:val="en-US"/>
        </w:rPr>
        <w:t>lity before the law (</w:t>
      </w:r>
      <w:r w:rsidR="00AE0F13" w:rsidRPr="00222917">
        <w:rPr>
          <w:lang w:val="en-US"/>
        </w:rPr>
        <w:t>a</w:t>
      </w:r>
      <w:r w:rsidR="00670E22" w:rsidRPr="00222917">
        <w:rPr>
          <w:lang w:val="en-US"/>
        </w:rPr>
        <w:t>rticle 11 </w:t>
      </w:r>
      <w:r w:rsidR="002D5BB0" w:rsidRPr="00222917">
        <w:rPr>
          <w:lang w:val="en-US"/>
        </w:rPr>
        <w:t>(1)), equal oppor</w:t>
      </w:r>
      <w:r w:rsidR="00670E22" w:rsidRPr="00222917">
        <w:rPr>
          <w:lang w:val="en-US"/>
        </w:rPr>
        <w:t>tunities for education (</w:t>
      </w:r>
      <w:r w:rsidR="00AE0F13" w:rsidRPr="00222917">
        <w:rPr>
          <w:lang w:val="en-US"/>
        </w:rPr>
        <w:t>a</w:t>
      </w:r>
      <w:r w:rsidR="00670E22" w:rsidRPr="00222917">
        <w:rPr>
          <w:lang w:val="en-US"/>
        </w:rPr>
        <w:t>rticle 31 </w:t>
      </w:r>
      <w:r w:rsidR="002D5BB0" w:rsidRPr="00222917">
        <w:rPr>
          <w:lang w:val="en-US"/>
        </w:rPr>
        <w:t>(1)), protection of female workers and prohibi</w:t>
      </w:r>
      <w:r w:rsidR="00670E22" w:rsidRPr="00222917">
        <w:rPr>
          <w:lang w:val="en-US"/>
        </w:rPr>
        <w:t>tion of discrimination (</w:t>
      </w:r>
      <w:r w:rsidR="00AE0F13" w:rsidRPr="00222917">
        <w:rPr>
          <w:lang w:val="en-US"/>
        </w:rPr>
        <w:t>a</w:t>
      </w:r>
      <w:r w:rsidR="00670E22" w:rsidRPr="00222917">
        <w:rPr>
          <w:lang w:val="en-US"/>
        </w:rPr>
        <w:t>rticle </w:t>
      </w:r>
      <w:r w:rsidR="002D5BB0" w:rsidRPr="00222917">
        <w:rPr>
          <w:lang w:val="en-US"/>
        </w:rPr>
        <w:t>32</w:t>
      </w:r>
      <w:r w:rsidR="00670E22" w:rsidRPr="00222917">
        <w:rPr>
          <w:lang w:val="en-US"/>
        </w:rPr>
        <w:t> </w:t>
      </w:r>
      <w:r w:rsidR="002D5BB0" w:rsidRPr="00222917">
        <w:rPr>
          <w:lang w:val="en-US"/>
        </w:rPr>
        <w:t>(4)), and gender equality in marri</w:t>
      </w:r>
      <w:r w:rsidR="00670E22" w:rsidRPr="00222917">
        <w:rPr>
          <w:lang w:val="en-US"/>
        </w:rPr>
        <w:t>age and family life (</w:t>
      </w:r>
      <w:r w:rsidR="00AE0F13" w:rsidRPr="00222917">
        <w:rPr>
          <w:lang w:val="en-US"/>
        </w:rPr>
        <w:t>a</w:t>
      </w:r>
      <w:r w:rsidR="00670E22" w:rsidRPr="00222917">
        <w:rPr>
          <w:lang w:val="en-US"/>
        </w:rPr>
        <w:t>rticle 36 </w:t>
      </w:r>
      <w:r w:rsidR="002D5BB0" w:rsidRPr="00222917">
        <w:rPr>
          <w:lang w:val="en-US"/>
        </w:rPr>
        <w:t xml:space="preserve">(1)). There is no framework law setting forth provisions on the principles of equality guaranteed under the Constitution while a number of individual laws prohibiting discriminations exist. </w:t>
      </w:r>
    </w:p>
    <w:p w:rsidR="002D5BB0" w:rsidRPr="00222917" w:rsidRDefault="00463FDC" w:rsidP="00463FDC">
      <w:pPr>
        <w:pStyle w:val="H23G"/>
        <w:rPr>
          <w:lang w:val="en-US"/>
        </w:rPr>
      </w:pPr>
      <w:bookmarkStart w:id="327" w:name="_Toc307504185"/>
      <w:bookmarkStart w:id="328" w:name="_Toc336435957"/>
      <w:r w:rsidRPr="00222917">
        <w:rPr>
          <w:lang w:val="en-US"/>
        </w:rPr>
        <w:tab/>
      </w:r>
      <w:r w:rsidRPr="00222917">
        <w:rPr>
          <w:lang w:val="en-US"/>
        </w:rPr>
        <w:tab/>
      </w:r>
      <w:r w:rsidR="002D5BB0" w:rsidRPr="00222917">
        <w:rPr>
          <w:lang w:val="en-US"/>
        </w:rPr>
        <w:t>Plans to Legislate Anti-Discrimination Law</w:t>
      </w:r>
      <w:bookmarkEnd w:id="327"/>
      <w:bookmarkEnd w:id="328"/>
    </w:p>
    <w:p w:rsidR="002D5BB0" w:rsidRPr="00222917" w:rsidRDefault="00547908" w:rsidP="00547908">
      <w:pPr>
        <w:pStyle w:val="SingleTxtG"/>
        <w:rPr>
          <w:lang w:val="en-US"/>
        </w:rPr>
      </w:pPr>
      <w:r w:rsidRPr="00222917">
        <w:rPr>
          <w:lang w:val="en-US"/>
        </w:rPr>
        <w:t>377.</w:t>
      </w:r>
      <w:r w:rsidRPr="00222917">
        <w:rPr>
          <w:lang w:val="en-US"/>
        </w:rPr>
        <w:tab/>
      </w:r>
      <w:r w:rsidR="002D5BB0" w:rsidRPr="00222917">
        <w:rPr>
          <w:lang w:val="en-US"/>
        </w:rPr>
        <w:t>The Ministry of Justice presented a bill banning discriminations to the National Assembly in December 2007. However, the bill failed due to termination of the 17</w:t>
      </w:r>
      <w:r w:rsidR="002D5BB0" w:rsidRPr="00222917">
        <w:rPr>
          <w:vertAlign w:val="superscript"/>
          <w:lang w:val="en-US"/>
        </w:rPr>
        <w:t>th</w:t>
      </w:r>
      <w:r w:rsidR="002D5BB0" w:rsidRPr="00222917">
        <w:rPr>
          <w:lang w:val="en-US"/>
        </w:rPr>
        <w:t xml:space="preserve"> session of the National Assembly in May 2008. No Anti-Discrimination bill is pending in the National Assembly as of the end of 2010. </w:t>
      </w:r>
    </w:p>
    <w:p w:rsidR="002D5BB0" w:rsidRPr="00222917" w:rsidRDefault="00547908" w:rsidP="00547908">
      <w:pPr>
        <w:pStyle w:val="SingleTxtG"/>
        <w:rPr>
          <w:lang w:val="en-US"/>
        </w:rPr>
      </w:pPr>
      <w:r w:rsidRPr="00222917">
        <w:rPr>
          <w:lang w:val="en-US"/>
        </w:rPr>
        <w:t>378.</w:t>
      </w:r>
      <w:r w:rsidRPr="00222917">
        <w:rPr>
          <w:lang w:val="en-US"/>
        </w:rPr>
        <w:tab/>
      </w:r>
      <w:r w:rsidR="002D5BB0" w:rsidRPr="00222917">
        <w:rPr>
          <w:lang w:val="en-US"/>
        </w:rPr>
        <w:t>The Ministry of Justice formed a task force team to review domestic laws, international standards, and legislative cases of foreign countries in relation to anti-discriminations in 2008 and 2009. The Ministry organized a commission made up of experts on anti-discriminations, interested people from relevant organizations, and public officials from government ministries in April 2010. Since then, the commission has held 13</w:t>
      </w:r>
      <w:r w:rsidR="00D52962" w:rsidRPr="00222917">
        <w:rPr>
          <w:lang w:val="en-US"/>
        </w:rPr>
        <w:t> </w:t>
      </w:r>
      <w:r w:rsidR="002D5BB0" w:rsidRPr="00222917">
        <w:rPr>
          <w:lang w:val="en-US"/>
        </w:rPr>
        <w:t xml:space="preserve">meetings to refer to the review results of the task force team, thoroughly discuss issues of discrimination, and carefully review whether to pursue enactment of a framework law prohibiting discriminations in consideration of legal balance with other domestic laws prohibiting discriminations. </w:t>
      </w:r>
    </w:p>
    <w:p w:rsidR="002D5BB0" w:rsidRPr="00222917" w:rsidRDefault="00463FDC" w:rsidP="00463FDC">
      <w:pPr>
        <w:pStyle w:val="H23G"/>
        <w:rPr>
          <w:lang w:val="en-US"/>
        </w:rPr>
      </w:pPr>
      <w:bookmarkStart w:id="329" w:name="_Toc307504186"/>
      <w:bookmarkStart w:id="330" w:name="_Toc336435958"/>
      <w:r w:rsidRPr="00222917">
        <w:rPr>
          <w:lang w:val="en-US"/>
        </w:rPr>
        <w:tab/>
      </w:r>
      <w:r w:rsidRPr="00222917">
        <w:rPr>
          <w:lang w:val="en-US"/>
        </w:rPr>
        <w:tab/>
      </w:r>
      <w:r w:rsidR="002D5BB0" w:rsidRPr="00222917">
        <w:rPr>
          <w:lang w:val="en-US"/>
        </w:rPr>
        <w:t xml:space="preserve">Enactment and Enforcement of the Framework Act on Treatment of Foreigners Residing in the </w:t>
      </w:r>
      <w:smartTag w:uri="urn:schemas-microsoft-com:office:smarttags" w:element="place">
        <w:smartTag w:uri="urn:schemas-microsoft-com:office:smarttags" w:element="PlaceType">
          <w:r w:rsidR="002D5BB0" w:rsidRPr="00222917">
            <w:rPr>
              <w:lang w:val="en-US"/>
            </w:rPr>
            <w:t>Republic</w:t>
          </w:r>
        </w:smartTag>
        <w:r w:rsidR="002D5BB0" w:rsidRPr="00222917">
          <w:rPr>
            <w:lang w:val="en-US"/>
          </w:rPr>
          <w:t xml:space="preserve"> of </w:t>
        </w:r>
        <w:smartTag w:uri="urn:schemas-microsoft-com:office:smarttags" w:element="PlaceName">
          <w:r w:rsidR="002D5BB0" w:rsidRPr="00222917">
            <w:rPr>
              <w:lang w:val="en-US"/>
            </w:rPr>
            <w:t>Korea</w:t>
          </w:r>
        </w:smartTag>
      </w:smartTag>
      <w:bookmarkEnd w:id="329"/>
      <w:bookmarkEnd w:id="330"/>
    </w:p>
    <w:p w:rsidR="002D5BB0" w:rsidRPr="00222917" w:rsidRDefault="00547908" w:rsidP="00547908">
      <w:pPr>
        <w:pStyle w:val="SingleTxtG"/>
        <w:rPr>
          <w:lang w:val="en-US"/>
        </w:rPr>
      </w:pPr>
      <w:r w:rsidRPr="00222917">
        <w:rPr>
          <w:lang w:val="en-US"/>
        </w:rPr>
        <w:t>379.</w:t>
      </w:r>
      <w:r w:rsidRPr="00222917">
        <w:rPr>
          <w:lang w:val="en-US"/>
        </w:rPr>
        <w:tab/>
      </w:r>
      <w:r w:rsidR="002D5BB0" w:rsidRPr="00222917">
        <w:rPr>
          <w:lang w:val="en-US"/>
        </w:rPr>
        <w:t xml:space="preserve">The Government enacted the </w:t>
      </w:r>
      <w:r w:rsidR="002D5BB0" w:rsidRPr="0005151A">
        <w:rPr>
          <w:iCs/>
          <w:lang w:val="en-US"/>
        </w:rPr>
        <w:t xml:space="preserve">Framework Act on Treatment of Foreigners Residing in the </w:t>
      </w:r>
      <w:smartTag w:uri="urn:schemas-microsoft-com:office:smarttags" w:element="PlaceType">
        <w:r w:rsidR="002D5BB0" w:rsidRPr="0005151A">
          <w:rPr>
            <w:iCs/>
            <w:lang w:val="en-US"/>
          </w:rPr>
          <w:t>Republic</w:t>
        </w:r>
      </w:smartTag>
      <w:r w:rsidR="002D5BB0" w:rsidRPr="0005151A">
        <w:rPr>
          <w:iCs/>
          <w:lang w:val="en-US"/>
        </w:rPr>
        <w:t xml:space="preserve"> of </w:t>
      </w:r>
      <w:smartTag w:uri="urn:schemas-microsoft-com:office:smarttags" w:element="PlaceName">
        <w:r w:rsidR="002D5BB0" w:rsidRPr="0005151A">
          <w:rPr>
            <w:iCs/>
            <w:lang w:val="en-US"/>
          </w:rPr>
          <w:t>Korea</w:t>
        </w:r>
      </w:smartTag>
      <w:r w:rsidR="002D5BB0" w:rsidRPr="00222917">
        <w:rPr>
          <w:i/>
          <w:lang w:val="en-US"/>
        </w:rPr>
        <w:t xml:space="preserve"> </w:t>
      </w:r>
      <w:r w:rsidR="002D5BB0" w:rsidRPr="00222917">
        <w:rPr>
          <w:lang w:val="en-US"/>
        </w:rPr>
        <w:t xml:space="preserve">on 17 May 2007 to prescribe fundamental provisions pertaining to the treatment of foreigners residing in </w:t>
      </w:r>
      <w:smartTag w:uri="urn:schemas-microsoft-com:office:smarttags" w:element="place">
        <w:smartTag w:uri="urn:schemas-microsoft-com:office:smarttags" w:element="country-region">
          <w:r w:rsidR="002D5BB0" w:rsidRPr="00222917">
            <w:rPr>
              <w:lang w:val="en-US"/>
            </w:rPr>
            <w:t>Korea</w:t>
          </w:r>
        </w:smartTag>
      </w:smartTag>
      <w:r w:rsidR="002D5BB0" w:rsidRPr="00222917">
        <w:rPr>
          <w:lang w:val="en-US"/>
        </w:rPr>
        <w:t xml:space="preserve">. The </w:t>
      </w:r>
      <w:r w:rsidR="002D5BB0" w:rsidRPr="0005151A">
        <w:rPr>
          <w:iCs/>
          <w:lang w:val="en-US"/>
        </w:rPr>
        <w:t>Act</w:t>
      </w:r>
      <w:r w:rsidR="002D5BB0" w:rsidRPr="00222917">
        <w:rPr>
          <w:lang w:val="en-US"/>
        </w:rPr>
        <w:t xml:space="preserve"> is designed to help the foreigners and marriage migrants without Korean nationality, who legally reside in </w:t>
      </w:r>
      <w:smartTag w:uri="urn:schemas-microsoft-com:office:smarttags" w:element="country-region">
        <w:r w:rsidR="002D5BB0" w:rsidRPr="00222917">
          <w:rPr>
            <w:lang w:val="en-US"/>
          </w:rPr>
          <w:t>Korea</w:t>
        </w:r>
      </w:smartTag>
      <w:r w:rsidR="002D5BB0" w:rsidRPr="00222917">
        <w:rPr>
          <w:lang w:val="en-US"/>
        </w:rPr>
        <w:t xml:space="preserve">, with their adaptation to Korean society and achieve their individual potentials, and create a social environment where Koreans and foreigners residing in </w:t>
      </w:r>
      <w:smartTag w:uri="urn:schemas-microsoft-com:office:smarttags" w:element="place">
        <w:smartTag w:uri="urn:schemas-microsoft-com:office:smarttags" w:element="country-region">
          <w:r w:rsidR="002D5BB0" w:rsidRPr="00222917">
            <w:rPr>
              <w:lang w:val="en-US"/>
            </w:rPr>
            <w:t>Korea</w:t>
          </w:r>
        </w:smartTag>
      </w:smartTag>
      <w:r w:rsidR="002D5BB0" w:rsidRPr="00222917">
        <w:rPr>
          <w:lang w:val="en-US"/>
        </w:rPr>
        <w:t xml:space="preserve"> mutually understand and respect each other.</w:t>
      </w:r>
    </w:p>
    <w:p w:rsidR="002D5BB0" w:rsidRPr="00222917" w:rsidRDefault="00547908" w:rsidP="00547908">
      <w:pPr>
        <w:pStyle w:val="SingleTxtG"/>
        <w:rPr>
          <w:lang w:val="en-US"/>
        </w:rPr>
      </w:pPr>
      <w:r w:rsidRPr="00222917">
        <w:rPr>
          <w:lang w:val="en-US"/>
        </w:rPr>
        <w:t>380.</w:t>
      </w:r>
      <w:r w:rsidRPr="00222917">
        <w:rPr>
          <w:lang w:val="en-US"/>
        </w:rPr>
        <w:tab/>
      </w:r>
      <w:r w:rsidR="002D5BB0" w:rsidRPr="00222917">
        <w:rPr>
          <w:lang w:val="en-US"/>
        </w:rPr>
        <w:t xml:space="preserve">The </w:t>
      </w:r>
      <w:r w:rsidR="002D5BB0" w:rsidRPr="0005151A">
        <w:rPr>
          <w:iCs/>
          <w:lang w:val="en-US"/>
        </w:rPr>
        <w:t>Act</w:t>
      </w:r>
      <w:r w:rsidR="002D5BB0" w:rsidRPr="00222917">
        <w:rPr>
          <w:i/>
          <w:lang w:val="en-US"/>
        </w:rPr>
        <w:t xml:space="preserve"> </w:t>
      </w:r>
      <w:r w:rsidR="002D5BB0" w:rsidRPr="00222917">
        <w:rPr>
          <w:lang w:val="en-US"/>
        </w:rPr>
        <w:t>stipulates that the Minister of Justice must formulate a master plan for policies on foreigners every five years in consultation with heads of central administrative institutions, which are, in turn, required to devise and implement annual action plans based on the master plan (</w:t>
      </w:r>
      <w:r w:rsidR="00AE0F13" w:rsidRPr="00222917">
        <w:rPr>
          <w:lang w:val="en-US"/>
        </w:rPr>
        <w:t>a</w:t>
      </w:r>
      <w:r w:rsidR="002D5BB0" w:rsidRPr="00222917">
        <w:rPr>
          <w:lang w:val="en-US"/>
        </w:rPr>
        <w:t>rticles</w:t>
      </w:r>
      <w:r w:rsidR="006D7B40" w:rsidRPr="00222917">
        <w:rPr>
          <w:lang w:val="en-US"/>
        </w:rPr>
        <w:t> </w:t>
      </w:r>
      <w:r w:rsidR="002D5BB0" w:rsidRPr="00222917">
        <w:rPr>
          <w:lang w:val="en-US"/>
        </w:rPr>
        <w:t xml:space="preserve">5 and 6). The </w:t>
      </w:r>
      <w:r w:rsidR="002D5BB0" w:rsidRPr="00222917">
        <w:rPr>
          <w:iCs/>
          <w:lang w:val="en-US"/>
        </w:rPr>
        <w:t>Act</w:t>
      </w:r>
      <w:r w:rsidR="002D5BB0" w:rsidRPr="00222917">
        <w:rPr>
          <w:lang w:val="en-US"/>
        </w:rPr>
        <w:t xml:space="preserve"> also provides that the Foreigner Policy Commission should be established under the Prime Minister to deliberate upon and coordinate important </w:t>
      </w:r>
      <w:r w:rsidR="00670E22" w:rsidRPr="00222917">
        <w:rPr>
          <w:lang w:val="en-US"/>
        </w:rPr>
        <w:t>policies on foreigners (</w:t>
      </w:r>
      <w:r w:rsidR="00643545" w:rsidRPr="00222917">
        <w:rPr>
          <w:lang w:val="en-US"/>
        </w:rPr>
        <w:t>a</w:t>
      </w:r>
      <w:r w:rsidR="00670E22" w:rsidRPr="00222917">
        <w:rPr>
          <w:lang w:val="en-US"/>
        </w:rPr>
        <w:t>rticle </w:t>
      </w:r>
      <w:r w:rsidR="002D5BB0" w:rsidRPr="00222917">
        <w:rPr>
          <w:lang w:val="en-US"/>
        </w:rPr>
        <w:t>8).</w:t>
      </w:r>
    </w:p>
    <w:p w:rsidR="002D5BB0" w:rsidRPr="00222917" w:rsidRDefault="00547908" w:rsidP="00547908">
      <w:pPr>
        <w:pStyle w:val="SingleTxtG"/>
        <w:rPr>
          <w:lang w:val="en-US"/>
        </w:rPr>
      </w:pPr>
      <w:r w:rsidRPr="00222917">
        <w:rPr>
          <w:lang w:val="en-US"/>
        </w:rPr>
        <w:t>381.</w:t>
      </w:r>
      <w:r w:rsidRPr="00222917">
        <w:rPr>
          <w:lang w:val="en-US"/>
        </w:rPr>
        <w:tab/>
      </w:r>
      <w:r w:rsidR="002D5BB0" w:rsidRPr="00222917">
        <w:rPr>
          <w:lang w:val="en-US"/>
        </w:rPr>
        <w:t xml:space="preserve">The </w:t>
      </w:r>
      <w:r w:rsidR="002D5BB0" w:rsidRPr="00222917">
        <w:rPr>
          <w:iCs/>
          <w:lang w:val="en-US"/>
        </w:rPr>
        <w:t xml:space="preserve">Act </w:t>
      </w:r>
      <w:r w:rsidR="002D5BB0" w:rsidRPr="00222917">
        <w:rPr>
          <w:lang w:val="en-US"/>
        </w:rPr>
        <w:t xml:space="preserve">stipulates that the State and local governments should make every effort to carry on education and public relations activities or take other necessary measures to prevent unreasonable discrimination against and protect the human rights of foreigners or their children residing in </w:t>
      </w:r>
      <w:smartTag w:uri="urn:schemas-microsoft-com:office:smarttags" w:element="place">
        <w:smartTag w:uri="urn:schemas-microsoft-com:office:smarttags" w:element="country-region">
          <w:r w:rsidR="002D5BB0" w:rsidRPr="00222917">
            <w:rPr>
              <w:lang w:val="en-US"/>
            </w:rPr>
            <w:t>Korea</w:t>
          </w:r>
        </w:smartTag>
      </w:smartTag>
      <w:r w:rsidR="002D5BB0" w:rsidRPr="00222917">
        <w:rPr>
          <w:lang w:val="en-US"/>
        </w:rPr>
        <w:t>. It also sets forth provisions concerning assistance for social adaptation of foreigners residing in Korea, support for education and child rearing for the marriage migrants and their children, support for persons recognized as refugees, promotion of understanding of multicultural diversity, designation of “Together Day (May 20),” complaint resolution guidance and counseling services, and so on.</w:t>
      </w:r>
      <w:r w:rsidR="00120D8B" w:rsidRPr="00222917">
        <w:rPr>
          <w:lang w:val="en-US"/>
        </w:rPr>
        <w:t xml:space="preserve"> </w:t>
      </w:r>
    </w:p>
    <w:p w:rsidR="002D5BB0" w:rsidRPr="00222917" w:rsidRDefault="00547908" w:rsidP="00547908">
      <w:pPr>
        <w:pStyle w:val="SingleTxtG"/>
        <w:rPr>
          <w:lang w:val="en-US"/>
        </w:rPr>
      </w:pPr>
      <w:r w:rsidRPr="00222917">
        <w:rPr>
          <w:lang w:val="en-US"/>
        </w:rPr>
        <w:t>382.</w:t>
      </w:r>
      <w:r w:rsidRPr="00222917">
        <w:rPr>
          <w:lang w:val="en-US"/>
        </w:rPr>
        <w:tab/>
      </w:r>
      <w:r w:rsidR="002D5BB0" w:rsidRPr="00222917">
        <w:rPr>
          <w:lang w:val="en-US"/>
        </w:rPr>
        <w:t xml:space="preserve">On 17 December 2008, based on the </w:t>
      </w:r>
      <w:r w:rsidR="002D5BB0" w:rsidRPr="00222917">
        <w:rPr>
          <w:iCs/>
          <w:lang w:val="en-US"/>
        </w:rPr>
        <w:t>Act</w:t>
      </w:r>
      <w:r w:rsidR="002D5BB0" w:rsidRPr="00222917">
        <w:rPr>
          <w:lang w:val="en-US"/>
        </w:rPr>
        <w:t xml:space="preserve">, the “First Master Plan for Policies on Foreigners (2008 – 2012)” was devised by the Foreigner Policy Commission. As the basic directions of immigration policies, it was proclaimed in the master plan that any direct discrimination against immigrants in society should be eliminated and that Korean society needs to evolve into a mature multicultural society by means of support for immigrants’ adaptation to </w:t>
      </w:r>
      <w:smartTag w:uri="urn:schemas-microsoft-com:office:smarttags" w:element="place">
        <w:smartTag w:uri="urn:schemas-microsoft-com:office:smarttags" w:element="country-region">
          <w:r w:rsidR="002D5BB0" w:rsidRPr="00222917">
            <w:rPr>
              <w:lang w:val="en-US"/>
            </w:rPr>
            <w:t>Korea</w:t>
          </w:r>
        </w:smartTag>
      </w:smartTag>
      <w:r w:rsidR="002D5BB0" w:rsidRPr="00222917">
        <w:rPr>
          <w:lang w:val="en-US"/>
        </w:rPr>
        <w:t xml:space="preserve"> society and enhancement of the public understanding of multicultural diversity. Through the master plan, immigrants can receive stronger support to avoid indirect discrimination that may arise due to their slow social adaptation. The “Social Integration Programs” are to be introduced to standardize various types of support policies. The infrastructure to provide multicultural families with various services such as support centers, schools, provincial culture centers, and social organizations will be expanded, and a broad range of self-reliance meetings and educational programs will be provided for the spouse and family members of marriage migrants.</w:t>
      </w:r>
    </w:p>
    <w:p w:rsidR="002D5BB0" w:rsidRPr="00463C7B" w:rsidRDefault="00463FDC" w:rsidP="00463FDC">
      <w:pPr>
        <w:pStyle w:val="HChG"/>
        <w:rPr>
          <w:sz w:val="24"/>
          <w:szCs w:val="24"/>
          <w:lang w:val="en-US"/>
        </w:rPr>
      </w:pPr>
      <w:bookmarkStart w:id="331" w:name="_Toc307504187"/>
      <w:bookmarkStart w:id="332" w:name="_Toc336435959"/>
      <w:r w:rsidRPr="00222917">
        <w:rPr>
          <w:lang w:val="en-US"/>
        </w:rPr>
        <w:tab/>
      </w:r>
      <w:r w:rsidRPr="00222917">
        <w:rPr>
          <w:lang w:val="en-US"/>
        </w:rPr>
        <w:tab/>
      </w:r>
      <w:r w:rsidR="002D5BB0" w:rsidRPr="00463C7B">
        <w:rPr>
          <w:sz w:val="24"/>
          <w:szCs w:val="24"/>
          <w:lang w:val="en-US"/>
        </w:rPr>
        <w:t>Article 27</w:t>
      </w:r>
      <w:bookmarkEnd w:id="331"/>
      <w:bookmarkEnd w:id="332"/>
    </w:p>
    <w:p w:rsidR="002D5BB0" w:rsidRPr="00222917" w:rsidRDefault="00547908" w:rsidP="00547908">
      <w:pPr>
        <w:pStyle w:val="SingleTxtG"/>
        <w:rPr>
          <w:lang w:val="en-US"/>
        </w:rPr>
      </w:pPr>
      <w:r w:rsidRPr="00222917">
        <w:rPr>
          <w:lang w:val="en-US"/>
        </w:rPr>
        <w:t>383.</w:t>
      </w:r>
      <w:r w:rsidRPr="00222917">
        <w:rPr>
          <w:lang w:val="en-US"/>
        </w:rPr>
        <w:tab/>
      </w:r>
      <w:r w:rsidR="002D5BB0" w:rsidRPr="00222917">
        <w:rPr>
          <w:lang w:val="en-US"/>
        </w:rPr>
        <w:t xml:space="preserve">In </w:t>
      </w:r>
      <w:smartTag w:uri="urn:schemas-microsoft-com:office:smarttags" w:element="place">
        <w:smartTag w:uri="urn:schemas-microsoft-com:office:smarttags" w:element="country-region">
          <w:r w:rsidR="002D5BB0" w:rsidRPr="00222917">
            <w:rPr>
              <w:lang w:val="en-US"/>
            </w:rPr>
            <w:t>Korea</w:t>
          </w:r>
        </w:smartTag>
      </w:smartTag>
      <w:r w:rsidR="002D5BB0" w:rsidRPr="00222917">
        <w:rPr>
          <w:lang w:val="en-US"/>
        </w:rPr>
        <w:t>, there is no distinctive minority that forms a group identity by maintaining its own culture, religion, and language. In the meantime, as stated in the second report, all naturalized foreigners and persons of foreign nationality including ethnic minorities can enjoy their own culture, religion, and language und</w:t>
      </w:r>
      <w:r w:rsidR="00670E22" w:rsidRPr="00222917">
        <w:rPr>
          <w:lang w:val="en-US"/>
        </w:rPr>
        <w:t xml:space="preserve">er the Constitution and </w:t>
      </w:r>
      <w:r w:rsidR="00AE0F13" w:rsidRPr="00222917">
        <w:rPr>
          <w:lang w:val="en-US"/>
        </w:rPr>
        <w:t>a</w:t>
      </w:r>
      <w:r w:rsidR="00670E22" w:rsidRPr="00222917">
        <w:rPr>
          <w:lang w:val="en-US"/>
        </w:rPr>
        <w:t>rticle </w:t>
      </w:r>
      <w:r w:rsidR="002D5BB0" w:rsidRPr="00222917">
        <w:rPr>
          <w:lang w:val="en-US"/>
        </w:rPr>
        <w:t>27 of the Cov</w:t>
      </w:r>
      <w:r w:rsidR="00463FDC" w:rsidRPr="00222917">
        <w:rPr>
          <w:lang w:val="en-US"/>
        </w:rPr>
        <w:t>enant (CCPR/C/114/Add.1, paras. </w:t>
      </w:r>
      <w:r w:rsidR="002D5BB0" w:rsidRPr="00222917">
        <w:rPr>
          <w:lang w:val="en-US"/>
        </w:rPr>
        <w:t>257</w:t>
      </w:r>
      <w:r w:rsidR="00463FDC" w:rsidRPr="00222917">
        <w:rPr>
          <w:lang w:val="en-US"/>
        </w:rPr>
        <w:t xml:space="preserve"> and</w:t>
      </w:r>
      <w:r w:rsidR="002D5BB0" w:rsidRPr="00222917">
        <w:rPr>
          <w:lang w:val="en-US"/>
        </w:rPr>
        <w:t xml:space="preserve"> 258). </w:t>
      </w:r>
    </w:p>
    <w:p w:rsidR="002D5BB0" w:rsidRPr="00222917" w:rsidRDefault="00463FDC" w:rsidP="00463FDC">
      <w:pPr>
        <w:pStyle w:val="H23G"/>
        <w:rPr>
          <w:lang w:val="en-US"/>
        </w:rPr>
      </w:pPr>
      <w:bookmarkStart w:id="333" w:name="_Toc307504188"/>
      <w:bookmarkStart w:id="334" w:name="_Toc336435960"/>
      <w:r w:rsidRPr="00222917">
        <w:rPr>
          <w:lang w:val="en-US"/>
        </w:rPr>
        <w:tab/>
      </w:r>
      <w:r w:rsidRPr="00222917">
        <w:rPr>
          <w:lang w:val="en-US"/>
        </w:rPr>
        <w:tab/>
      </w:r>
      <w:r w:rsidR="002D5BB0" w:rsidRPr="00222917">
        <w:rPr>
          <w:lang w:val="en-US"/>
        </w:rPr>
        <w:t xml:space="preserve">Treatment of Chinese Immigrants Living in </w:t>
      </w:r>
      <w:smartTag w:uri="urn:schemas-microsoft-com:office:smarttags" w:element="place">
        <w:smartTag w:uri="urn:schemas-microsoft-com:office:smarttags" w:element="country-region">
          <w:r w:rsidR="002D5BB0" w:rsidRPr="00222917">
            <w:rPr>
              <w:lang w:val="en-US"/>
            </w:rPr>
            <w:t>Korea</w:t>
          </w:r>
        </w:smartTag>
      </w:smartTag>
      <w:bookmarkEnd w:id="333"/>
      <w:bookmarkEnd w:id="334"/>
    </w:p>
    <w:p w:rsidR="002D5BB0" w:rsidRPr="00222917" w:rsidRDefault="00547908" w:rsidP="00547908">
      <w:pPr>
        <w:pStyle w:val="SingleTxtG"/>
        <w:rPr>
          <w:lang w:val="en-US"/>
        </w:rPr>
      </w:pPr>
      <w:r w:rsidRPr="00222917">
        <w:rPr>
          <w:lang w:val="en-US"/>
        </w:rPr>
        <w:t>384.</w:t>
      </w:r>
      <w:r w:rsidRPr="00222917">
        <w:rPr>
          <w:lang w:val="en-US"/>
        </w:rPr>
        <w:tab/>
      </w:r>
      <w:r w:rsidR="002D5BB0" w:rsidRPr="00222917">
        <w:rPr>
          <w:lang w:val="en-US"/>
        </w:rPr>
        <w:t xml:space="preserve">Statistical data on Chinese immigrants living in </w:t>
      </w:r>
      <w:smartTag w:uri="urn:schemas-microsoft-com:office:smarttags" w:element="place">
        <w:smartTag w:uri="urn:schemas-microsoft-com:office:smarttags" w:element="country-region">
          <w:r w:rsidR="002D5BB0" w:rsidRPr="00222917">
            <w:rPr>
              <w:lang w:val="en-US"/>
            </w:rPr>
            <w:t>Korea</w:t>
          </w:r>
        </w:smartTag>
      </w:smartTag>
      <w:r w:rsidR="002D5BB0" w:rsidRPr="00222917">
        <w:rPr>
          <w:lang w:val="en-US"/>
        </w:rPr>
        <w:t xml:space="preserve"> are not maintained or managed. As o</w:t>
      </w:r>
      <w:r w:rsidR="00670E22" w:rsidRPr="00222917">
        <w:rPr>
          <w:lang w:val="en-US"/>
        </w:rPr>
        <w:t>f April 2010, a total of 21,692 </w:t>
      </w:r>
      <w:r w:rsidR="002D5BB0" w:rsidRPr="00222917">
        <w:rPr>
          <w:lang w:val="en-US"/>
        </w:rPr>
        <w:t xml:space="preserve">Taiwanese in </w:t>
      </w:r>
      <w:smartTag w:uri="urn:schemas-microsoft-com:office:smarttags" w:element="place">
        <w:smartTag w:uri="urn:schemas-microsoft-com:office:smarttags" w:element="country-region">
          <w:r w:rsidR="002D5BB0" w:rsidRPr="00222917">
            <w:rPr>
              <w:lang w:val="en-US"/>
            </w:rPr>
            <w:t>Korea</w:t>
          </w:r>
        </w:smartTag>
      </w:smartTag>
      <w:r w:rsidR="002D5BB0" w:rsidRPr="00222917">
        <w:rPr>
          <w:lang w:val="en-US"/>
        </w:rPr>
        <w:t xml:space="preserve"> obtained either the status of long term (F-2 residence visa) or the status of permanent residence (F-5 permanent residence visa). </w:t>
      </w:r>
    </w:p>
    <w:p w:rsidR="002D5BB0" w:rsidRPr="00222917" w:rsidRDefault="00547908" w:rsidP="00547908">
      <w:pPr>
        <w:pStyle w:val="SingleTxtG"/>
        <w:rPr>
          <w:lang w:val="en-US"/>
        </w:rPr>
      </w:pPr>
      <w:r w:rsidRPr="00222917">
        <w:rPr>
          <w:lang w:val="en-US"/>
        </w:rPr>
        <w:t>385.</w:t>
      </w:r>
      <w:r w:rsidRPr="00222917">
        <w:rPr>
          <w:lang w:val="en-US"/>
        </w:rPr>
        <w:tab/>
      </w:r>
      <w:r w:rsidR="002D5BB0" w:rsidRPr="00222917">
        <w:rPr>
          <w:lang w:val="en-US"/>
        </w:rPr>
        <w:t xml:space="preserve">With the establishment of the permanent residence status (F-5) in April 2002 and the amendment of the </w:t>
      </w:r>
      <w:r w:rsidR="002D5BB0" w:rsidRPr="0005151A">
        <w:rPr>
          <w:iCs/>
          <w:lang w:val="en-US"/>
        </w:rPr>
        <w:t>Enforcement Decree of the Immigration Control Act</w:t>
      </w:r>
      <w:r w:rsidR="002D5BB0" w:rsidRPr="00222917">
        <w:rPr>
          <w:lang w:val="en-US"/>
        </w:rPr>
        <w:t xml:space="preserve"> and applicable regulations, sojourn qualifications for Chinese immigrants living in </w:t>
      </w:r>
      <w:smartTag w:uri="urn:schemas-microsoft-com:office:smarttags" w:element="place">
        <w:smartTag w:uri="urn:schemas-microsoft-com:office:smarttags" w:element="country-region">
          <w:r w:rsidR="002D5BB0" w:rsidRPr="00222917">
            <w:rPr>
              <w:lang w:val="en-US"/>
            </w:rPr>
            <w:t>Korea</w:t>
          </w:r>
        </w:smartTag>
      </w:smartTag>
      <w:r w:rsidR="002D5BB0" w:rsidRPr="00222917">
        <w:rPr>
          <w:lang w:val="en-US"/>
        </w:rPr>
        <w:t xml:space="preserve"> have been improved. Taiwanese with F-2 (residence) visas who have lived for more than five years in the </w:t>
      </w:r>
      <w:smartTag w:uri="urn:schemas-microsoft-com:office:smarttags" w:element="place">
        <w:smartTag w:uri="urn:schemas-microsoft-com:office:smarttags" w:element="PlaceType">
          <w:r w:rsidR="002D5BB0" w:rsidRPr="00222917">
            <w:rPr>
              <w:lang w:val="en-US"/>
            </w:rPr>
            <w:t>Republic</w:t>
          </w:r>
        </w:smartTag>
        <w:r w:rsidR="002D5BB0" w:rsidRPr="00222917">
          <w:rPr>
            <w:lang w:val="en-US"/>
          </w:rPr>
          <w:t xml:space="preserve"> of </w:t>
        </w:r>
        <w:smartTag w:uri="urn:schemas-microsoft-com:office:smarttags" w:element="PlaceName">
          <w:r w:rsidR="002D5BB0" w:rsidRPr="00222917">
            <w:rPr>
              <w:lang w:val="en-US"/>
            </w:rPr>
            <w:t>Korea</w:t>
          </w:r>
        </w:smartTag>
      </w:smartTag>
      <w:r w:rsidR="002D5BB0" w:rsidRPr="00222917">
        <w:rPr>
          <w:lang w:val="en-US"/>
        </w:rPr>
        <w:t xml:space="preserve">, are now able to apply for visas for permanent residence. Chinese immigrants living in </w:t>
      </w:r>
      <w:smartTag w:uri="urn:schemas-microsoft-com:office:smarttags" w:element="place">
        <w:smartTag w:uri="urn:schemas-microsoft-com:office:smarttags" w:element="country-region">
          <w:r w:rsidR="002D5BB0" w:rsidRPr="00222917">
            <w:rPr>
              <w:lang w:val="en-US"/>
            </w:rPr>
            <w:t>Korea</w:t>
          </w:r>
        </w:smartTag>
      </w:smartTag>
      <w:r w:rsidR="002D5BB0" w:rsidRPr="00222917">
        <w:rPr>
          <w:lang w:val="en-US"/>
        </w:rPr>
        <w:t xml:space="preserve"> with F-5 (permanent residence) visas do not need to apply for permits to extend their stays. If they return to </w:t>
      </w:r>
      <w:smartTag w:uri="urn:schemas-microsoft-com:office:smarttags" w:element="place">
        <w:smartTag w:uri="urn:schemas-microsoft-com:office:smarttags" w:element="country-region">
          <w:r w:rsidR="002D5BB0" w:rsidRPr="00222917">
            <w:rPr>
              <w:lang w:val="en-US"/>
            </w:rPr>
            <w:t>Korea</w:t>
          </w:r>
        </w:smartTag>
      </w:smartTag>
      <w:r w:rsidR="002D5BB0" w:rsidRPr="00222917">
        <w:rPr>
          <w:lang w:val="en-US"/>
        </w:rPr>
        <w:t xml:space="preserve"> within one year from departure, they can freely enter the country without reentry permits. Chinese immigrants living in </w:t>
      </w:r>
      <w:smartTag w:uri="urn:schemas-microsoft-com:office:smarttags" w:element="place">
        <w:smartTag w:uri="urn:schemas-microsoft-com:office:smarttags" w:element="country-region">
          <w:r w:rsidR="002D5BB0" w:rsidRPr="00222917">
            <w:rPr>
              <w:lang w:val="en-US"/>
            </w:rPr>
            <w:t>Korea</w:t>
          </w:r>
        </w:smartTag>
      </w:smartTag>
      <w:r w:rsidR="002D5BB0" w:rsidRPr="00222917">
        <w:rPr>
          <w:lang w:val="en-US"/>
        </w:rPr>
        <w:t xml:space="preserve"> with F-5 visas are not deported unless they commit crimes of insurrection or treason. </w:t>
      </w:r>
    </w:p>
    <w:p w:rsidR="002D5BB0" w:rsidRPr="00222917" w:rsidRDefault="00547908" w:rsidP="00547908">
      <w:pPr>
        <w:pStyle w:val="SingleTxtG"/>
        <w:rPr>
          <w:lang w:val="en-US"/>
        </w:rPr>
      </w:pPr>
      <w:r w:rsidRPr="00222917">
        <w:rPr>
          <w:lang w:val="en-US"/>
        </w:rPr>
        <w:t>386.</w:t>
      </w:r>
      <w:r w:rsidRPr="00222917">
        <w:rPr>
          <w:lang w:val="en-US"/>
        </w:rPr>
        <w:tab/>
      </w:r>
      <w:r w:rsidR="002D5BB0" w:rsidRPr="00222917">
        <w:rPr>
          <w:lang w:val="en-US"/>
        </w:rPr>
        <w:t xml:space="preserve">Chinese immigrants living in </w:t>
      </w:r>
      <w:smartTag w:uri="urn:schemas-microsoft-com:office:smarttags" w:element="place">
        <w:smartTag w:uri="urn:schemas-microsoft-com:office:smarttags" w:element="country-region">
          <w:r w:rsidR="002D5BB0" w:rsidRPr="00222917">
            <w:rPr>
              <w:lang w:val="en-US"/>
            </w:rPr>
            <w:t>Korea</w:t>
          </w:r>
        </w:smartTag>
      </w:smartTag>
      <w:r w:rsidR="002D5BB0" w:rsidRPr="00222917">
        <w:rPr>
          <w:lang w:val="en-US"/>
        </w:rPr>
        <w:t xml:space="preserve"> have no restriction on their occupat</w:t>
      </w:r>
      <w:r w:rsidR="00670E22" w:rsidRPr="00222917">
        <w:rPr>
          <w:lang w:val="en-US"/>
        </w:rPr>
        <w:t xml:space="preserve">ional activities. Under </w:t>
      </w:r>
      <w:r w:rsidR="00AE0F13" w:rsidRPr="00222917">
        <w:rPr>
          <w:lang w:val="en-US"/>
        </w:rPr>
        <w:t>a</w:t>
      </w:r>
      <w:r w:rsidR="00670E22" w:rsidRPr="00222917">
        <w:rPr>
          <w:lang w:val="en-US"/>
        </w:rPr>
        <w:t>rticle </w:t>
      </w:r>
      <w:r w:rsidR="002D5BB0" w:rsidRPr="00222917">
        <w:rPr>
          <w:lang w:val="en-US"/>
        </w:rPr>
        <w:t xml:space="preserve">15 of the </w:t>
      </w:r>
      <w:r w:rsidR="002D5BB0" w:rsidRPr="00222917">
        <w:rPr>
          <w:iCs/>
          <w:lang w:val="en-US"/>
        </w:rPr>
        <w:t>Public Official Election Act</w:t>
      </w:r>
      <w:r w:rsidR="00934DE9" w:rsidRPr="00222917">
        <w:rPr>
          <w:iCs/>
          <w:lang w:val="en-US"/>
        </w:rPr>
        <w:t xml:space="preserve"> </w:t>
      </w:r>
      <w:r w:rsidR="00934DE9" w:rsidRPr="00222917">
        <w:rPr>
          <w:lang w:val="en-US"/>
        </w:rPr>
        <w:t>amended on 12 </w:t>
      </w:r>
      <w:r w:rsidR="002D5BB0" w:rsidRPr="00222917">
        <w:rPr>
          <w:lang w:val="en-US"/>
        </w:rPr>
        <w:t xml:space="preserve">February 2009, foreigners of age 19 or above for whom three years have passed from the date when obtaining qualification for stay can exercise the right to vote for local council members and heads of local government. Chinese immigrants who were born in </w:t>
      </w:r>
      <w:smartTag w:uri="urn:schemas-microsoft-com:office:smarttags" w:element="country-region">
        <w:r w:rsidR="002D5BB0" w:rsidRPr="00222917">
          <w:rPr>
            <w:lang w:val="en-US"/>
          </w:rPr>
          <w:t>Korea</w:t>
        </w:r>
      </w:smartTag>
      <w:r w:rsidR="002D5BB0" w:rsidRPr="00222917">
        <w:rPr>
          <w:lang w:val="en-US"/>
        </w:rPr>
        <w:t xml:space="preserve"> and once had F-2 visas but emigrated to foreign countries are granted permanent residence status again if they wish to settle in </w:t>
      </w:r>
      <w:smartTag w:uri="urn:schemas-microsoft-com:office:smarttags" w:element="place">
        <w:smartTag w:uri="urn:schemas-microsoft-com:office:smarttags" w:element="country-region">
          <w:r w:rsidR="002D5BB0" w:rsidRPr="00222917">
            <w:rPr>
              <w:lang w:val="en-US"/>
            </w:rPr>
            <w:t>Kor</w:t>
          </w:r>
          <w:r w:rsidR="00965451" w:rsidRPr="00222917">
            <w:rPr>
              <w:lang w:val="en-US"/>
            </w:rPr>
            <w:t>ea</w:t>
          </w:r>
        </w:smartTag>
      </w:smartTag>
      <w:r w:rsidR="00965451" w:rsidRPr="00222917">
        <w:rPr>
          <w:lang w:val="en-US"/>
        </w:rPr>
        <w:t xml:space="preserve"> after returning from abroad.</w:t>
      </w:r>
    </w:p>
    <w:p w:rsidR="00965451" w:rsidRPr="00222917" w:rsidRDefault="00965451" w:rsidP="00965451">
      <w:pPr>
        <w:pStyle w:val="SingleTxtG"/>
        <w:spacing w:before="240" w:after="0"/>
        <w:jc w:val="center"/>
        <w:rPr>
          <w:u w:val="single"/>
          <w:lang w:val="en-US"/>
        </w:rPr>
      </w:pPr>
      <w:r w:rsidRPr="00222917">
        <w:rPr>
          <w:u w:val="single"/>
          <w:lang w:val="en-US"/>
        </w:rPr>
        <w:tab/>
      </w:r>
      <w:r w:rsidRPr="00222917">
        <w:rPr>
          <w:u w:val="single"/>
          <w:lang w:val="en-US"/>
        </w:rPr>
        <w:tab/>
      </w:r>
      <w:r w:rsidRPr="00222917">
        <w:rPr>
          <w:u w:val="single"/>
          <w:lang w:val="en-US"/>
        </w:rPr>
        <w:tab/>
      </w:r>
    </w:p>
    <w:sectPr w:rsidR="00965451" w:rsidRPr="00222917" w:rsidSect="00094FB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7E2" w:rsidRDefault="008E37E2"/>
  </w:endnote>
  <w:endnote w:type="continuationSeparator" w:id="0">
    <w:p w:rsidR="008E37E2" w:rsidRDefault="008E37E2"/>
  </w:endnote>
  <w:endnote w:type="continuationNotice" w:id="1">
    <w:p w:rsidR="008E37E2" w:rsidRDefault="008E37E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휴먼명조">
    <w:altName w:val="Arial Unicode MS"/>
    <w:panose1 w:val="00000000000000000000"/>
    <w:charset w:val="81"/>
    <w:family w:val="auto"/>
    <w:notTrueType/>
    <w:pitch w:val="variable"/>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YHeadLine-Medium">
    <w:altName w:val="Arial Unicode MS"/>
    <w:charset w:val="81"/>
    <w:family w:val="roman"/>
    <w:pitch w:val="variable"/>
    <w:sig w:usb0="00000000" w:usb1="09D77CF9" w:usb2="00000010" w:usb3="00000000" w:csb0="00080000" w:csb1="00000000"/>
  </w:font>
  <w:font w:name="휴먼명조,한컴돋움">
    <w:altName w:val="Batang"/>
    <w:panose1 w:val="00000000000000000000"/>
    <w:charset w:val="81"/>
    <w:family w:val="roman"/>
    <w:notTrueType/>
    <w:pitch w:val="default"/>
    <w:sig w:usb0="00000001" w:usb1="09060000" w:usb2="00000010" w:usb3="00000000" w:csb0="00080000" w:csb1="00000000"/>
  </w:font>
  <w:font w:name="Dotum">
    <w:altName w:val="돋움"/>
    <w:panose1 w:val="020B0600000101010101"/>
    <w:charset w:val="81"/>
    <w:family w:val="swiss"/>
    <w:pitch w:val="variable"/>
    <w:sig w:usb0="B00002AF" w:usb1="69D77CFB" w:usb2="00000030" w:usb3="00000000" w:csb0="0008009F" w:csb1="00000000"/>
  </w:font>
  <w:font w:name="II">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DotumChe">
    <w:panose1 w:val="020B0609000101010101"/>
    <w:charset w:val="81"/>
    <w:family w:val="modern"/>
    <w:pitch w:val="fixed"/>
    <w:sig w:usb0="B00002AF" w:usb1="69D77CFB" w:usb2="00000030" w:usb3="00000000" w:csb0="0008009F" w:csb1="00000000"/>
  </w:font>
  <w:font w:name="나눔고딕">
    <w:altName w:val="Batang"/>
    <w:panose1 w:val="00000000000000000000"/>
    <w:charset w:val="81"/>
    <w:family w:val="roman"/>
    <w:notTrueType/>
    <w:pitch w:val="default"/>
    <w:sig w:usb0="00000001" w:usb1="09060000" w:usb2="00000010" w:usb3="00000000" w:csb0="00080000" w:csb1="00000000"/>
  </w:font>
  <w:font w:name="#태그래픽">
    <w:altName w:val="Batang"/>
    <w:panose1 w:val="00000000000000000000"/>
    <w:charset w:val="81"/>
    <w:family w:val="roman"/>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C6F" w:rsidRPr="00094FB7" w:rsidRDefault="00332C6F" w:rsidP="00094FB7">
    <w:pPr>
      <w:pStyle w:val="Footer"/>
      <w:tabs>
        <w:tab w:val="right" w:pos="9638"/>
      </w:tabs>
    </w:pPr>
    <w:r w:rsidRPr="00094FB7">
      <w:rPr>
        <w:b/>
        <w:sz w:val="18"/>
      </w:rPr>
      <w:fldChar w:fldCharType="begin"/>
    </w:r>
    <w:r w:rsidRPr="00094FB7">
      <w:rPr>
        <w:b/>
        <w:sz w:val="18"/>
      </w:rPr>
      <w:instrText xml:space="preserve"> PAGE  \* MERGEFORMAT </w:instrText>
    </w:r>
    <w:r w:rsidRPr="00094FB7">
      <w:rPr>
        <w:b/>
        <w:sz w:val="18"/>
      </w:rPr>
      <w:fldChar w:fldCharType="separate"/>
    </w:r>
    <w:r w:rsidR="00234E3C">
      <w:rPr>
        <w:b/>
        <w:noProof/>
        <w:sz w:val="18"/>
      </w:rPr>
      <w:t>2</w:t>
    </w:r>
    <w:r w:rsidRPr="00094FB7">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C6F" w:rsidRPr="00094FB7" w:rsidRDefault="00332C6F" w:rsidP="00094FB7">
    <w:pPr>
      <w:pStyle w:val="Footer"/>
      <w:tabs>
        <w:tab w:val="right" w:pos="9638"/>
      </w:tabs>
      <w:rPr>
        <w:b/>
        <w:sz w:val="18"/>
      </w:rPr>
    </w:pPr>
    <w:r>
      <w:tab/>
    </w:r>
    <w:r w:rsidRPr="00094FB7">
      <w:rPr>
        <w:b/>
        <w:sz w:val="18"/>
      </w:rPr>
      <w:fldChar w:fldCharType="begin"/>
    </w:r>
    <w:r w:rsidRPr="00094FB7">
      <w:rPr>
        <w:b/>
        <w:sz w:val="18"/>
      </w:rPr>
      <w:instrText xml:space="preserve"> PAGE  \* MERGEFORMAT </w:instrText>
    </w:r>
    <w:r w:rsidRPr="00094FB7">
      <w:rPr>
        <w:b/>
        <w:sz w:val="18"/>
      </w:rPr>
      <w:fldChar w:fldCharType="separate"/>
    </w:r>
    <w:r w:rsidR="00234E3C">
      <w:rPr>
        <w:b/>
        <w:noProof/>
        <w:sz w:val="18"/>
      </w:rPr>
      <w:t>3</w:t>
    </w:r>
    <w:r w:rsidRPr="00094FB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C6F" w:rsidRPr="00094FB7" w:rsidRDefault="00332C6F">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GE.13-</w:t>
    </w:r>
    <w:r w:rsidR="00234E3C">
      <w:t>48167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7E2" w:rsidRPr="000B175B" w:rsidRDefault="008E37E2" w:rsidP="000B175B">
      <w:pPr>
        <w:tabs>
          <w:tab w:val="right" w:pos="2155"/>
        </w:tabs>
        <w:spacing w:after="80"/>
        <w:ind w:left="680"/>
        <w:rPr>
          <w:u w:val="single"/>
        </w:rPr>
      </w:pPr>
      <w:r>
        <w:rPr>
          <w:u w:val="single"/>
        </w:rPr>
        <w:tab/>
      </w:r>
    </w:p>
  </w:footnote>
  <w:footnote w:type="continuationSeparator" w:id="0">
    <w:p w:rsidR="008E37E2" w:rsidRPr="00FC68B7" w:rsidRDefault="008E37E2" w:rsidP="00FC68B7">
      <w:pPr>
        <w:tabs>
          <w:tab w:val="left" w:pos="2155"/>
        </w:tabs>
        <w:spacing w:after="80"/>
        <w:ind w:left="680"/>
        <w:rPr>
          <w:u w:val="single"/>
        </w:rPr>
      </w:pPr>
      <w:r>
        <w:rPr>
          <w:u w:val="single"/>
        </w:rPr>
        <w:tab/>
      </w:r>
    </w:p>
  </w:footnote>
  <w:footnote w:type="continuationNotice" w:id="1">
    <w:p w:rsidR="008E37E2" w:rsidRDefault="008E37E2"/>
  </w:footnote>
  <w:footnote w:id="2">
    <w:p w:rsidR="00332C6F" w:rsidRDefault="00332C6F" w:rsidP="002D5BB0">
      <w:pPr>
        <w:pStyle w:val="FootnoteText"/>
      </w:pPr>
      <w:r>
        <w:tab/>
      </w:r>
      <w:r w:rsidRPr="007E2146">
        <w:rPr>
          <w:rStyle w:val="FootnoteReference"/>
          <w:sz w:val="20"/>
          <w:vertAlign w:val="baseline"/>
        </w:rPr>
        <w:t>*</w:t>
      </w:r>
      <w:r>
        <w:tab/>
      </w:r>
      <w:r w:rsidRPr="0006265E">
        <w:rPr>
          <w:snapToGrid w:val="0"/>
        </w:rPr>
        <w:t>In accordance with the information transmitted to States parties regarding the processing of</w:t>
      </w:r>
      <w:r>
        <w:rPr>
          <w:snapToGrid w:val="0"/>
        </w:rPr>
        <w:t> </w:t>
      </w:r>
      <w:r w:rsidRPr="0006265E">
        <w:rPr>
          <w:snapToGrid w:val="0"/>
        </w:rPr>
        <w:t>their</w:t>
      </w:r>
      <w:r>
        <w:rPr>
          <w:snapToGrid w:val="0"/>
        </w:rPr>
        <w:t> </w:t>
      </w:r>
      <w:r w:rsidRPr="0006265E">
        <w:rPr>
          <w:snapToGrid w:val="0"/>
        </w:rPr>
        <w:t xml:space="preserve">reports, the present document </w:t>
      </w:r>
      <w:r>
        <w:rPr>
          <w:snapToGrid w:val="0"/>
        </w:rPr>
        <w:t>has</w:t>
      </w:r>
      <w:r w:rsidRPr="0006265E">
        <w:rPr>
          <w:snapToGrid w:val="0"/>
        </w:rPr>
        <w:t xml:space="preserve"> not </w:t>
      </w:r>
      <w:r>
        <w:rPr>
          <w:snapToGrid w:val="0"/>
        </w:rPr>
        <w:t>been formally edited.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C6F" w:rsidRPr="00094FB7" w:rsidRDefault="00332C6F">
    <w:pPr>
      <w:pStyle w:val="Header"/>
    </w:pPr>
    <w:r>
      <w:t>CCPR/C/KOR/4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C6F" w:rsidRPr="00094FB7" w:rsidRDefault="00332C6F" w:rsidP="00094FB7">
    <w:pPr>
      <w:pStyle w:val="Header"/>
      <w:jc w:val="right"/>
    </w:pPr>
    <w:r>
      <w:t>CCPR/C/KOR/4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E3C" w:rsidRDefault="00234E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60925E3"/>
    <w:multiLevelType w:val="hybridMultilevel"/>
    <w:tmpl w:val="5524CE7C"/>
    <w:lvl w:ilvl="0" w:tplc="DF207354">
      <w:start w:val="1"/>
      <w:numFmt w:val="decimal"/>
      <w:lvlText w:val="%1."/>
      <w:lvlJc w:val="left"/>
      <w:pPr>
        <w:tabs>
          <w:tab w:val="num" w:pos="1020"/>
        </w:tabs>
        <w:ind w:left="1020" w:hanging="400"/>
      </w:pPr>
    </w:lvl>
    <w:lvl w:ilvl="1" w:tplc="04090019" w:tentative="1">
      <w:start w:val="1"/>
      <w:numFmt w:val="upperLetter"/>
      <w:lvlText w:val="%2."/>
      <w:lvlJc w:val="left"/>
      <w:pPr>
        <w:tabs>
          <w:tab w:val="num" w:pos="1420"/>
        </w:tabs>
        <w:ind w:left="1420" w:hanging="400"/>
      </w:pPr>
    </w:lvl>
    <w:lvl w:ilvl="2" w:tplc="0409001B" w:tentative="1">
      <w:start w:val="1"/>
      <w:numFmt w:val="lowerRoman"/>
      <w:lvlText w:val="%3."/>
      <w:lvlJc w:val="right"/>
      <w:pPr>
        <w:tabs>
          <w:tab w:val="num" w:pos="1820"/>
        </w:tabs>
        <w:ind w:left="1820" w:hanging="400"/>
      </w:pPr>
    </w:lvl>
    <w:lvl w:ilvl="3" w:tplc="0409000F" w:tentative="1">
      <w:start w:val="1"/>
      <w:numFmt w:val="decimal"/>
      <w:lvlText w:val="%4."/>
      <w:lvlJc w:val="left"/>
      <w:pPr>
        <w:tabs>
          <w:tab w:val="num" w:pos="2220"/>
        </w:tabs>
        <w:ind w:left="2220" w:hanging="400"/>
      </w:pPr>
    </w:lvl>
    <w:lvl w:ilvl="4" w:tplc="04090019" w:tentative="1">
      <w:start w:val="1"/>
      <w:numFmt w:val="upperLetter"/>
      <w:lvlText w:val="%5."/>
      <w:lvlJc w:val="left"/>
      <w:pPr>
        <w:tabs>
          <w:tab w:val="num" w:pos="2620"/>
        </w:tabs>
        <w:ind w:left="2620" w:hanging="400"/>
      </w:pPr>
    </w:lvl>
    <w:lvl w:ilvl="5" w:tplc="0409001B" w:tentative="1">
      <w:start w:val="1"/>
      <w:numFmt w:val="lowerRoman"/>
      <w:lvlText w:val="%6."/>
      <w:lvlJc w:val="right"/>
      <w:pPr>
        <w:tabs>
          <w:tab w:val="num" w:pos="3020"/>
        </w:tabs>
        <w:ind w:left="3020" w:hanging="400"/>
      </w:pPr>
    </w:lvl>
    <w:lvl w:ilvl="6" w:tplc="0409000F" w:tentative="1">
      <w:start w:val="1"/>
      <w:numFmt w:val="decimal"/>
      <w:lvlText w:val="%7."/>
      <w:lvlJc w:val="left"/>
      <w:pPr>
        <w:tabs>
          <w:tab w:val="num" w:pos="3420"/>
        </w:tabs>
        <w:ind w:left="3420" w:hanging="400"/>
      </w:pPr>
    </w:lvl>
    <w:lvl w:ilvl="7" w:tplc="04090019" w:tentative="1">
      <w:start w:val="1"/>
      <w:numFmt w:val="upperLetter"/>
      <w:lvlText w:val="%8."/>
      <w:lvlJc w:val="left"/>
      <w:pPr>
        <w:tabs>
          <w:tab w:val="num" w:pos="3820"/>
        </w:tabs>
        <w:ind w:left="3820" w:hanging="400"/>
      </w:pPr>
    </w:lvl>
    <w:lvl w:ilvl="8" w:tplc="0409001B" w:tentative="1">
      <w:start w:val="1"/>
      <w:numFmt w:val="lowerRoman"/>
      <w:lvlText w:val="%9."/>
      <w:lvlJc w:val="right"/>
      <w:pPr>
        <w:tabs>
          <w:tab w:val="num" w:pos="4220"/>
        </w:tabs>
        <w:ind w:left="4220" w:hanging="400"/>
      </w:pPr>
    </w:lvl>
  </w:abstractNum>
  <w:abstractNum w:abstractNumId="2">
    <w:nsid w:val="07783145"/>
    <w:multiLevelType w:val="multilevel"/>
    <w:tmpl w:val="4D0E9522"/>
    <w:lvl w:ilvl="0">
      <w:start w:val="1"/>
      <w:numFmt w:val="decimal"/>
      <w:lvlText w:val="%1"/>
      <w:lvlJc w:val="left"/>
      <w:pPr>
        <w:tabs>
          <w:tab w:val="num" w:pos="425"/>
        </w:tabs>
        <w:ind w:left="425" w:hanging="425"/>
      </w:pPr>
      <w:rPr>
        <w:rFonts w:ascii="Times New Roman" w:hAnsi="Times New Roman" w:hint="default"/>
        <w:color w:val="auto"/>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9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nsid w:val="08B06CDF"/>
    <w:multiLevelType w:val="hybridMultilevel"/>
    <w:tmpl w:val="C97EA1CA"/>
    <w:lvl w:ilvl="0" w:tplc="79AE894C">
      <w:start w:val="1"/>
      <w:numFmt w:val="upperRoman"/>
      <w:lvlText w:val="%1."/>
      <w:lvlJc w:val="left"/>
      <w:pPr>
        <w:ind w:left="1215" w:hanging="855"/>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6E4C24"/>
    <w:multiLevelType w:val="hybridMultilevel"/>
    <w:tmpl w:val="67464370"/>
    <w:lvl w:ilvl="0" w:tplc="24367E52">
      <w:start w:val="1"/>
      <w:numFmt w:val="bullet"/>
      <w:lvlText w:val=""/>
      <w:lvlJc w:val="left"/>
      <w:pPr>
        <w:ind w:left="53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1F1BF0"/>
    <w:multiLevelType w:val="hybridMultilevel"/>
    <w:tmpl w:val="B57CEB96"/>
    <w:lvl w:ilvl="0" w:tplc="46C0A55E">
      <w:start w:val="1"/>
      <w:numFmt w:val="bullet"/>
      <w:lvlText w:val="•"/>
      <w:lvlJc w:val="left"/>
      <w:pPr>
        <w:tabs>
          <w:tab w:val="num" w:pos="567"/>
        </w:tabs>
        <w:ind w:left="567" w:hanging="340"/>
      </w:pPr>
      <w:rPr>
        <w:rFonts w:ascii="Gulim" w:eastAsia="Gulim" w:hAnsi="Gulim" w:cs="Palatino Linotype" w:hint="eastAsia"/>
        <w:caps w:val="0"/>
        <w:strike w:val="0"/>
        <w:dstrike w:val="0"/>
        <w:outline w:val="0"/>
        <w:shadow w:val="0"/>
        <w:emboss w:val="0"/>
        <w:imprint w:val="0"/>
        <w:vanish w:val="0"/>
        <w:color w:val="auto"/>
        <w:u w:val="none"/>
        <w:vertAlign w:val="baseline"/>
        <w:em w:val="none"/>
      </w:rPr>
    </w:lvl>
    <w:lvl w:ilvl="1" w:tplc="B694C542">
      <w:start w:val="1"/>
      <w:numFmt w:val="bullet"/>
      <w:lvlText w:val="-"/>
      <w:lvlJc w:val="left"/>
      <w:pPr>
        <w:tabs>
          <w:tab w:val="num" w:pos="1200"/>
        </w:tabs>
        <w:ind w:left="1200" w:hanging="400"/>
      </w:pPr>
      <w:rPr>
        <w:rFonts w:ascii="Times New Roman" w:hAnsi="Times New Roman" w:cs="Times New Roman" w:hint="default"/>
        <w:caps w:val="0"/>
        <w:strike w:val="0"/>
        <w:dstrike w:val="0"/>
        <w:outline w:val="0"/>
        <w:shadow w:val="0"/>
        <w:emboss w:val="0"/>
        <w:imprint w:val="0"/>
        <w:vanish w:val="0"/>
        <w:color w:val="auto"/>
        <w:u w:val="none"/>
        <w:vertAlign w:val="baseline"/>
        <w:em w:val="none"/>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nsid w:val="15616DC5"/>
    <w:multiLevelType w:val="hybridMultilevel"/>
    <w:tmpl w:val="C2CCC3D6"/>
    <w:lvl w:ilvl="0" w:tplc="04989EFC">
      <w:start w:val="1"/>
      <w:numFmt w:val="lowerLetter"/>
      <w:lvlText w:val="%1."/>
      <w:lvlJc w:val="left"/>
      <w:pPr>
        <w:ind w:left="760" w:hanging="360"/>
      </w:pPr>
      <w:rPr>
        <w:rFonts w:eastAsia="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1689412D"/>
    <w:multiLevelType w:val="multilevel"/>
    <w:tmpl w:val="1C926256"/>
    <w:lvl w:ilvl="0">
      <w:start w:val="1"/>
      <w:numFmt w:val="decimal"/>
      <w:lvlText w:val="%1."/>
      <w:lvlJc w:val="left"/>
      <w:pPr>
        <w:tabs>
          <w:tab w:val="num" w:pos="480"/>
        </w:tabs>
        <w:ind w:left="480" w:hanging="360"/>
      </w:pPr>
      <w:rPr>
        <w:rFonts w:ascii="Times New Roman" w:eastAsia="휴먼명조" w:hAnsi="Times New Roman" w:cs="Times New Roman" w:hint="default"/>
      </w:rPr>
    </w:lvl>
    <w:lvl w:ilvl="1">
      <w:start w:val="1"/>
      <w:numFmt w:val="upperLetter"/>
      <w:lvlText w:val="%2."/>
      <w:lvlJc w:val="left"/>
      <w:pPr>
        <w:tabs>
          <w:tab w:val="num" w:pos="1200"/>
        </w:tabs>
        <w:ind w:left="1200" w:hanging="400"/>
      </w:pPr>
    </w:lvl>
    <w:lvl w:ilvl="2">
      <w:start w:val="1"/>
      <w:numFmt w:val="lowerRoman"/>
      <w:lvlText w:val="%3."/>
      <w:lvlJc w:val="right"/>
      <w:pPr>
        <w:tabs>
          <w:tab w:val="num" w:pos="1600"/>
        </w:tabs>
        <w:ind w:left="1600" w:hanging="400"/>
      </w:pPr>
    </w:lvl>
    <w:lvl w:ilvl="3">
      <w:start w:val="1"/>
      <w:numFmt w:val="decimal"/>
      <w:lvlText w:val="%4."/>
      <w:lvlJc w:val="left"/>
      <w:pPr>
        <w:tabs>
          <w:tab w:val="num" w:pos="2000"/>
        </w:tabs>
        <w:ind w:left="2000" w:hanging="400"/>
      </w:p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8">
    <w:nsid w:val="16E4677A"/>
    <w:multiLevelType w:val="multilevel"/>
    <w:tmpl w:val="20166ACA"/>
    <w:lvl w:ilvl="0">
      <w:start w:val="1"/>
      <w:numFmt w:val="decimal"/>
      <w:lvlText w:val="%1"/>
      <w:lvlJc w:val="left"/>
      <w:pPr>
        <w:tabs>
          <w:tab w:val="num" w:pos="425"/>
        </w:tabs>
        <w:ind w:left="425" w:hanging="425"/>
      </w:pPr>
      <w:rPr>
        <w:rFonts w:ascii="Times New Roman" w:hAnsi="Times New Roman" w:hint="default"/>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9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nsid w:val="1BBB158C"/>
    <w:multiLevelType w:val="hybridMultilevel"/>
    <w:tmpl w:val="F23A2B74"/>
    <w:lvl w:ilvl="0" w:tplc="62086512">
      <w:start w:val="38"/>
      <w:numFmt w:val="bullet"/>
      <w:lvlText w:val="-"/>
      <w:lvlJc w:val="left"/>
      <w:pPr>
        <w:ind w:left="480" w:hanging="360"/>
      </w:pPr>
      <w:rPr>
        <w:rFonts w:ascii="Times New Roman" w:eastAsia="Gulim" w:hAnsi="Times New Roman" w:hint="default"/>
      </w:rPr>
    </w:lvl>
    <w:lvl w:ilvl="1" w:tplc="04090003">
      <w:start w:val="1"/>
      <w:numFmt w:val="bullet"/>
      <w:lvlText w:val=""/>
      <w:lvlJc w:val="left"/>
      <w:pPr>
        <w:ind w:left="920" w:hanging="400"/>
      </w:pPr>
      <w:rPr>
        <w:rFonts w:ascii="Wingdings" w:hAnsi="Wingdings" w:hint="default"/>
      </w:rPr>
    </w:lvl>
    <w:lvl w:ilvl="2" w:tplc="04090005">
      <w:start w:val="1"/>
      <w:numFmt w:val="bullet"/>
      <w:lvlText w:val=""/>
      <w:lvlJc w:val="left"/>
      <w:pPr>
        <w:ind w:left="1320" w:hanging="400"/>
      </w:pPr>
      <w:rPr>
        <w:rFonts w:ascii="Wingdings" w:hAnsi="Wingdings" w:hint="default"/>
      </w:rPr>
    </w:lvl>
    <w:lvl w:ilvl="3" w:tplc="04090001">
      <w:start w:val="1"/>
      <w:numFmt w:val="bullet"/>
      <w:lvlText w:val=""/>
      <w:lvlJc w:val="left"/>
      <w:pPr>
        <w:ind w:left="1720" w:hanging="400"/>
      </w:pPr>
      <w:rPr>
        <w:rFonts w:ascii="Wingdings" w:hAnsi="Wingdings" w:hint="default"/>
      </w:rPr>
    </w:lvl>
    <w:lvl w:ilvl="4" w:tplc="04090003">
      <w:start w:val="1"/>
      <w:numFmt w:val="bullet"/>
      <w:lvlText w:val=""/>
      <w:lvlJc w:val="left"/>
      <w:pPr>
        <w:ind w:left="2120" w:hanging="400"/>
      </w:pPr>
      <w:rPr>
        <w:rFonts w:ascii="Wingdings" w:hAnsi="Wingdings" w:hint="default"/>
      </w:rPr>
    </w:lvl>
    <w:lvl w:ilvl="5" w:tplc="04090005">
      <w:start w:val="1"/>
      <w:numFmt w:val="bullet"/>
      <w:lvlText w:val=""/>
      <w:lvlJc w:val="left"/>
      <w:pPr>
        <w:ind w:left="2520" w:hanging="400"/>
      </w:pPr>
      <w:rPr>
        <w:rFonts w:ascii="Wingdings" w:hAnsi="Wingdings" w:hint="default"/>
      </w:rPr>
    </w:lvl>
    <w:lvl w:ilvl="6" w:tplc="04090001">
      <w:start w:val="1"/>
      <w:numFmt w:val="bullet"/>
      <w:lvlText w:val=""/>
      <w:lvlJc w:val="left"/>
      <w:pPr>
        <w:ind w:left="2920" w:hanging="400"/>
      </w:pPr>
      <w:rPr>
        <w:rFonts w:ascii="Wingdings" w:hAnsi="Wingdings" w:hint="default"/>
      </w:rPr>
    </w:lvl>
    <w:lvl w:ilvl="7" w:tplc="04090003">
      <w:start w:val="1"/>
      <w:numFmt w:val="bullet"/>
      <w:lvlText w:val=""/>
      <w:lvlJc w:val="left"/>
      <w:pPr>
        <w:ind w:left="3320" w:hanging="400"/>
      </w:pPr>
      <w:rPr>
        <w:rFonts w:ascii="Wingdings" w:hAnsi="Wingdings" w:hint="default"/>
      </w:rPr>
    </w:lvl>
    <w:lvl w:ilvl="8" w:tplc="04090005">
      <w:start w:val="1"/>
      <w:numFmt w:val="bullet"/>
      <w:lvlText w:val=""/>
      <w:lvlJc w:val="left"/>
      <w:pPr>
        <w:ind w:left="3720" w:hanging="400"/>
      </w:pPr>
      <w:rPr>
        <w:rFonts w:ascii="Wingdings" w:hAnsi="Wingdings" w:hint="default"/>
      </w:rPr>
    </w:lvl>
  </w:abstractNum>
  <w:abstractNum w:abstractNumId="10">
    <w:nsid w:val="227C2CF7"/>
    <w:multiLevelType w:val="hybridMultilevel"/>
    <w:tmpl w:val="317CE554"/>
    <w:lvl w:ilvl="0" w:tplc="2C087732">
      <w:start w:val="7"/>
      <w:numFmt w:val="bullet"/>
      <w:lvlText w:val="-"/>
      <w:lvlJc w:val="left"/>
      <w:pPr>
        <w:ind w:left="530" w:hanging="360"/>
      </w:pPr>
      <w:rPr>
        <w:rFonts w:ascii="Times New Roman" w:eastAsia="Times New Roman" w:hAnsi="Times New Roman" w:cs="Times New Roman"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11">
    <w:nsid w:val="27300E25"/>
    <w:multiLevelType w:val="hybridMultilevel"/>
    <w:tmpl w:val="ABF0A5E4"/>
    <w:lvl w:ilvl="0" w:tplc="383240F0">
      <w:start w:val="1"/>
      <w:numFmt w:val="decimal"/>
      <w:lvlText w:val="%1."/>
      <w:lvlJc w:val="left"/>
      <w:pPr>
        <w:ind w:left="2115"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2D2C2F15"/>
    <w:multiLevelType w:val="hybridMultilevel"/>
    <w:tmpl w:val="D56AF4FA"/>
    <w:lvl w:ilvl="0" w:tplc="AEE041E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2DCD3C0C"/>
    <w:multiLevelType w:val="hybridMultilevel"/>
    <w:tmpl w:val="EE32A1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D25D41"/>
    <w:multiLevelType w:val="hybridMultilevel"/>
    <w:tmpl w:val="0176574A"/>
    <w:lvl w:ilvl="0" w:tplc="44D04C4A">
      <w:start w:val="1"/>
      <w:numFmt w:val="low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F612C1E"/>
    <w:multiLevelType w:val="hybridMultilevel"/>
    <w:tmpl w:val="7B56033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45650123"/>
    <w:multiLevelType w:val="hybridMultilevel"/>
    <w:tmpl w:val="A32A0272"/>
    <w:lvl w:ilvl="0" w:tplc="2C087732">
      <w:start w:val="7"/>
      <w:numFmt w:val="bullet"/>
      <w:lvlText w:val="-"/>
      <w:lvlJc w:val="left"/>
      <w:pPr>
        <w:ind w:left="53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AD0889"/>
    <w:multiLevelType w:val="multilevel"/>
    <w:tmpl w:val="20166ACA"/>
    <w:lvl w:ilvl="0">
      <w:start w:val="1"/>
      <w:numFmt w:val="decimal"/>
      <w:lvlText w:val="%1"/>
      <w:lvlJc w:val="left"/>
      <w:pPr>
        <w:tabs>
          <w:tab w:val="num" w:pos="425"/>
        </w:tabs>
        <w:ind w:left="425" w:hanging="425"/>
      </w:pPr>
      <w:rPr>
        <w:rFonts w:ascii="Times New Roman" w:hAnsi="Times New Roman" w:hint="default"/>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9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nsid w:val="4B123FFC"/>
    <w:multiLevelType w:val="hybridMultilevel"/>
    <w:tmpl w:val="6FD6F132"/>
    <w:lvl w:ilvl="0" w:tplc="BEECE554">
      <w:start w:val="1"/>
      <w:numFmt w:val="lowerLetter"/>
      <w:lvlText w:val="%1."/>
      <w:lvlJc w:val="left"/>
      <w:pPr>
        <w:ind w:left="760" w:hanging="360"/>
      </w:pPr>
      <w:rPr>
        <w:rFonts w:eastAsia="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4B832700"/>
    <w:multiLevelType w:val="hybridMultilevel"/>
    <w:tmpl w:val="CC323FAE"/>
    <w:lvl w:ilvl="0" w:tplc="5A1AED44">
      <w:start w:val="1"/>
      <w:numFmt w:val="upperRoman"/>
      <w:lvlText w:val="%1."/>
      <w:lvlJc w:val="left"/>
      <w:pPr>
        <w:tabs>
          <w:tab w:val="num" w:pos="1020"/>
        </w:tabs>
        <w:ind w:left="1020" w:hanging="400"/>
      </w:pPr>
      <w:rPr>
        <w:rFonts w:ascii="Times New Roman" w:hAnsi="Times New Roman" w:hint="default"/>
        <w:sz w:val="20"/>
        <w:szCs w:val="20"/>
      </w:rPr>
    </w:lvl>
    <w:lvl w:ilvl="1" w:tplc="04090019" w:tentative="1">
      <w:start w:val="1"/>
      <w:numFmt w:val="upperLetter"/>
      <w:lvlText w:val="%2."/>
      <w:lvlJc w:val="left"/>
      <w:pPr>
        <w:tabs>
          <w:tab w:val="num" w:pos="1420"/>
        </w:tabs>
        <w:ind w:left="1420" w:hanging="400"/>
      </w:pPr>
    </w:lvl>
    <w:lvl w:ilvl="2" w:tplc="0409001B" w:tentative="1">
      <w:start w:val="1"/>
      <w:numFmt w:val="lowerRoman"/>
      <w:lvlText w:val="%3."/>
      <w:lvlJc w:val="right"/>
      <w:pPr>
        <w:tabs>
          <w:tab w:val="num" w:pos="1820"/>
        </w:tabs>
        <w:ind w:left="1820" w:hanging="400"/>
      </w:pPr>
    </w:lvl>
    <w:lvl w:ilvl="3" w:tplc="0409000F" w:tentative="1">
      <w:start w:val="1"/>
      <w:numFmt w:val="decimal"/>
      <w:lvlText w:val="%4."/>
      <w:lvlJc w:val="left"/>
      <w:pPr>
        <w:tabs>
          <w:tab w:val="num" w:pos="2220"/>
        </w:tabs>
        <w:ind w:left="2220" w:hanging="400"/>
      </w:pPr>
    </w:lvl>
    <w:lvl w:ilvl="4" w:tplc="04090019" w:tentative="1">
      <w:start w:val="1"/>
      <w:numFmt w:val="upperLetter"/>
      <w:lvlText w:val="%5."/>
      <w:lvlJc w:val="left"/>
      <w:pPr>
        <w:tabs>
          <w:tab w:val="num" w:pos="2620"/>
        </w:tabs>
        <w:ind w:left="2620" w:hanging="400"/>
      </w:pPr>
    </w:lvl>
    <w:lvl w:ilvl="5" w:tplc="0409001B" w:tentative="1">
      <w:start w:val="1"/>
      <w:numFmt w:val="lowerRoman"/>
      <w:lvlText w:val="%6."/>
      <w:lvlJc w:val="right"/>
      <w:pPr>
        <w:tabs>
          <w:tab w:val="num" w:pos="3020"/>
        </w:tabs>
        <w:ind w:left="3020" w:hanging="400"/>
      </w:pPr>
    </w:lvl>
    <w:lvl w:ilvl="6" w:tplc="0409000F" w:tentative="1">
      <w:start w:val="1"/>
      <w:numFmt w:val="decimal"/>
      <w:lvlText w:val="%7."/>
      <w:lvlJc w:val="left"/>
      <w:pPr>
        <w:tabs>
          <w:tab w:val="num" w:pos="3420"/>
        </w:tabs>
        <w:ind w:left="3420" w:hanging="400"/>
      </w:pPr>
    </w:lvl>
    <w:lvl w:ilvl="7" w:tplc="04090019" w:tentative="1">
      <w:start w:val="1"/>
      <w:numFmt w:val="upperLetter"/>
      <w:lvlText w:val="%8."/>
      <w:lvlJc w:val="left"/>
      <w:pPr>
        <w:tabs>
          <w:tab w:val="num" w:pos="3820"/>
        </w:tabs>
        <w:ind w:left="3820" w:hanging="400"/>
      </w:pPr>
    </w:lvl>
    <w:lvl w:ilvl="8" w:tplc="0409001B" w:tentative="1">
      <w:start w:val="1"/>
      <w:numFmt w:val="lowerRoman"/>
      <w:lvlText w:val="%9."/>
      <w:lvlJc w:val="right"/>
      <w:pPr>
        <w:tabs>
          <w:tab w:val="num" w:pos="4220"/>
        </w:tabs>
        <w:ind w:left="4220" w:hanging="400"/>
      </w:pPr>
    </w:lvl>
  </w:abstractNum>
  <w:abstractNum w:abstractNumId="20">
    <w:nsid w:val="4B85648A"/>
    <w:multiLevelType w:val="hybridMultilevel"/>
    <w:tmpl w:val="F8BE246A"/>
    <w:lvl w:ilvl="0" w:tplc="91DA0068">
      <w:start w:val="1"/>
      <w:numFmt w:val="lowerLetter"/>
      <w:lvlText w:val="%1."/>
      <w:lvlJc w:val="left"/>
      <w:pPr>
        <w:ind w:left="760" w:hanging="360"/>
      </w:pPr>
      <w:rPr>
        <w:rFonts w:eastAsia="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4B8E51CB"/>
    <w:multiLevelType w:val="hybridMultilevel"/>
    <w:tmpl w:val="0F2672F6"/>
    <w:lvl w:ilvl="0" w:tplc="17289C1A">
      <w:start w:val="1"/>
      <w:numFmt w:val="lowerLetter"/>
      <w:lvlText w:val="%1."/>
      <w:lvlJc w:val="left"/>
      <w:pPr>
        <w:ind w:left="760" w:hanging="360"/>
      </w:pPr>
      <w:rPr>
        <w:rFonts w:eastAsia="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4E6F342C"/>
    <w:multiLevelType w:val="hybridMultilevel"/>
    <w:tmpl w:val="2F48531E"/>
    <w:lvl w:ilvl="0" w:tplc="7264FE24">
      <w:start w:val="1"/>
      <w:numFmt w:val="lowerLetter"/>
      <w:lvlText w:val="%1."/>
      <w:lvlJc w:val="left"/>
      <w:pPr>
        <w:ind w:left="760" w:hanging="360"/>
      </w:pPr>
      <w:rPr>
        <w:rFonts w:eastAsia="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4E765A47"/>
    <w:multiLevelType w:val="hybridMultilevel"/>
    <w:tmpl w:val="9EC43BFC"/>
    <w:lvl w:ilvl="0" w:tplc="46C0A55E">
      <w:start w:val="1"/>
      <w:numFmt w:val="bullet"/>
      <w:lvlText w:val="•"/>
      <w:lvlJc w:val="left"/>
      <w:pPr>
        <w:tabs>
          <w:tab w:val="num" w:pos="567"/>
        </w:tabs>
        <w:ind w:left="567" w:hanging="340"/>
      </w:pPr>
      <w:rPr>
        <w:rFonts w:ascii="Gulim" w:eastAsia="Gulim" w:hAnsi="Gulim" w:cs="Palatino Linotype" w:hint="eastAsia"/>
        <w:caps w:val="0"/>
        <w:strike w:val="0"/>
        <w:dstrike w:val="0"/>
        <w:outline w:val="0"/>
        <w:shadow w:val="0"/>
        <w:emboss w:val="0"/>
        <w:imprint w:val="0"/>
        <w:vanish w:val="0"/>
        <w:color w:val="auto"/>
        <w:u w:val="none"/>
        <w:vertAlign w:val="baseline"/>
        <w:em w:val="none"/>
      </w:rPr>
    </w:lvl>
    <w:lvl w:ilvl="1" w:tplc="04090003">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4">
    <w:nsid w:val="4EEF7DCB"/>
    <w:multiLevelType w:val="hybridMultilevel"/>
    <w:tmpl w:val="5F469278"/>
    <w:lvl w:ilvl="0" w:tplc="46C0A55E">
      <w:start w:val="1"/>
      <w:numFmt w:val="bullet"/>
      <w:lvlText w:val="•"/>
      <w:lvlJc w:val="left"/>
      <w:pPr>
        <w:tabs>
          <w:tab w:val="num" w:pos="567"/>
        </w:tabs>
        <w:ind w:left="567" w:hanging="340"/>
      </w:pPr>
      <w:rPr>
        <w:rFonts w:ascii="Gulim" w:eastAsia="Gulim" w:hAnsi="Gulim" w:cs="Palatino Linotype" w:hint="eastAsia"/>
        <w:caps w:val="0"/>
        <w:strike w:val="0"/>
        <w:dstrike w:val="0"/>
        <w:outline w:val="0"/>
        <w:shadow w:val="0"/>
        <w:emboss w:val="0"/>
        <w:imprint w:val="0"/>
        <w:vanish w:val="0"/>
        <w:color w:val="auto"/>
        <w:u w:val="none"/>
        <w:vertAlign w:val="baseline"/>
        <w:em w:val="none"/>
      </w:rPr>
    </w:lvl>
    <w:lvl w:ilvl="1" w:tplc="24367E52">
      <w:start w:val="1"/>
      <w:numFmt w:val="bullet"/>
      <w:lvlText w:val=""/>
      <w:lvlJc w:val="left"/>
      <w:pPr>
        <w:tabs>
          <w:tab w:val="num" w:pos="1160"/>
        </w:tabs>
        <w:ind w:left="1160" w:hanging="360"/>
      </w:pPr>
      <w:rPr>
        <w:rFonts w:ascii="Wingdings" w:hAnsi="Wingdings" w:hint="default"/>
      </w:rPr>
    </w:lvl>
    <w:lvl w:ilvl="2" w:tplc="411C227C">
      <w:start w:val="1"/>
      <w:numFmt w:val="bullet"/>
      <w:lvlText w:val=""/>
      <w:lvlJc w:val="left"/>
      <w:pPr>
        <w:ind w:left="1560" w:hanging="360"/>
      </w:pPr>
      <w:rPr>
        <w:rFonts w:ascii="Wingdings" w:eastAsia="휴먼명조" w:hAnsi="Wingdings" w:cs="Times New Roman"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5">
    <w:nsid w:val="4EF1428B"/>
    <w:multiLevelType w:val="hybridMultilevel"/>
    <w:tmpl w:val="212A92BC"/>
    <w:lvl w:ilvl="0" w:tplc="395E4396">
      <w:start w:val="1"/>
      <w:numFmt w:val="decimal"/>
      <w:lvlText w:val="%1."/>
      <w:lvlJc w:val="left"/>
      <w:pPr>
        <w:tabs>
          <w:tab w:val="num" w:pos="480"/>
        </w:tabs>
        <w:ind w:left="480" w:hanging="360"/>
      </w:pPr>
      <w:rPr>
        <w:rFonts w:ascii="Times New Roman" w:eastAsia="휴먼명조" w:hAnsi="Times New Roman" w:cs="Times New Roman" w:hint="default"/>
        <w:b w:val="0"/>
        <w:i w:val="0"/>
        <w:sz w:val="24"/>
        <w:szCs w:val="24"/>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6">
    <w:nsid w:val="4F886781"/>
    <w:multiLevelType w:val="hybridMultilevel"/>
    <w:tmpl w:val="56FA4F96"/>
    <w:lvl w:ilvl="0" w:tplc="03460056">
      <w:start w:val="73"/>
      <w:numFmt w:val="bullet"/>
      <w:lvlText w:val="-"/>
      <w:lvlJc w:val="left"/>
      <w:pPr>
        <w:ind w:left="405" w:hanging="360"/>
      </w:pPr>
      <w:rPr>
        <w:rFonts w:ascii="Times New Roman" w:eastAsia="Gulim" w:hAnsi="Times New Roman" w:hint="default"/>
      </w:rPr>
    </w:lvl>
    <w:lvl w:ilvl="1" w:tplc="04090003">
      <w:start w:val="1"/>
      <w:numFmt w:val="bullet"/>
      <w:lvlText w:val=""/>
      <w:lvlJc w:val="left"/>
      <w:pPr>
        <w:ind w:left="845" w:hanging="400"/>
      </w:pPr>
      <w:rPr>
        <w:rFonts w:ascii="Wingdings" w:hAnsi="Wingdings" w:hint="default"/>
      </w:rPr>
    </w:lvl>
    <w:lvl w:ilvl="2" w:tplc="04090005">
      <w:start w:val="1"/>
      <w:numFmt w:val="bullet"/>
      <w:lvlText w:val=""/>
      <w:lvlJc w:val="left"/>
      <w:pPr>
        <w:ind w:left="1245" w:hanging="400"/>
      </w:pPr>
      <w:rPr>
        <w:rFonts w:ascii="Wingdings" w:hAnsi="Wingdings" w:hint="default"/>
      </w:rPr>
    </w:lvl>
    <w:lvl w:ilvl="3" w:tplc="04090001">
      <w:start w:val="1"/>
      <w:numFmt w:val="bullet"/>
      <w:lvlText w:val=""/>
      <w:lvlJc w:val="left"/>
      <w:pPr>
        <w:ind w:left="1645" w:hanging="400"/>
      </w:pPr>
      <w:rPr>
        <w:rFonts w:ascii="Wingdings" w:hAnsi="Wingdings" w:hint="default"/>
      </w:rPr>
    </w:lvl>
    <w:lvl w:ilvl="4" w:tplc="04090003">
      <w:start w:val="1"/>
      <w:numFmt w:val="bullet"/>
      <w:lvlText w:val=""/>
      <w:lvlJc w:val="left"/>
      <w:pPr>
        <w:ind w:left="2045" w:hanging="400"/>
      </w:pPr>
      <w:rPr>
        <w:rFonts w:ascii="Wingdings" w:hAnsi="Wingdings" w:hint="default"/>
      </w:rPr>
    </w:lvl>
    <w:lvl w:ilvl="5" w:tplc="04090005">
      <w:start w:val="1"/>
      <w:numFmt w:val="bullet"/>
      <w:lvlText w:val=""/>
      <w:lvlJc w:val="left"/>
      <w:pPr>
        <w:ind w:left="2445" w:hanging="400"/>
      </w:pPr>
      <w:rPr>
        <w:rFonts w:ascii="Wingdings" w:hAnsi="Wingdings" w:hint="default"/>
      </w:rPr>
    </w:lvl>
    <w:lvl w:ilvl="6" w:tplc="04090001">
      <w:start w:val="1"/>
      <w:numFmt w:val="bullet"/>
      <w:lvlText w:val=""/>
      <w:lvlJc w:val="left"/>
      <w:pPr>
        <w:ind w:left="2845" w:hanging="400"/>
      </w:pPr>
      <w:rPr>
        <w:rFonts w:ascii="Wingdings" w:hAnsi="Wingdings" w:hint="default"/>
      </w:rPr>
    </w:lvl>
    <w:lvl w:ilvl="7" w:tplc="04090003">
      <w:start w:val="1"/>
      <w:numFmt w:val="bullet"/>
      <w:lvlText w:val=""/>
      <w:lvlJc w:val="left"/>
      <w:pPr>
        <w:ind w:left="3245" w:hanging="400"/>
      </w:pPr>
      <w:rPr>
        <w:rFonts w:ascii="Wingdings" w:hAnsi="Wingdings" w:hint="default"/>
      </w:rPr>
    </w:lvl>
    <w:lvl w:ilvl="8" w:tplc="04090005">
      <w:start w:val="1"/>
      <w:numFmt w:val="bullet"/>
      <w:lvlText w:val=""/>
      <w:lvlJc w:val="left"/>
      <w:pPr>
        <w:ind w:left="3645" w:hanging="400"/>
      </w:pPr>
      <w:rPr>
        <w:rFonts w:ascii="Wingdings" w:hAnsi="Wingdings" w:hint="default"/>
      </w:rPr>
    </w:lvl>
  </w:abstractNum>
  <w:abstractNum w:abstractNumId="27">
    <w:nsid w:val="578D74C0"/>
    <w:multiLevelType w:val="hybridMultilevel"/>
    <w:tmpl w:val="DC484284"/>
    <w:lvl w:ilvl="0" w:tplc="46C0A55E">
      <w:start w:val="1"/>
      <w:numFmt w:val="bullet"/>
      <w:lvlText w:val="•"/>
      <w:lvlJc w:val="left"/>
      <w:pPr>
        <w:tabs>
          <w:tab w:val="num" w:pos="567"/>
        </w:tabs>
        <w:ind w:left="567" w:hanging="340"/>
      </w:pPr>
      <w:rPr>
        <w:rFonts w:ascii="Gulim" w:eastAsia="Gulim" w:hAnsi="Gulim" w:cs="Palatino Linotype" w:hint="eastAsia"/>
        <w:caps w:val="0"/>
        <w:strike w:val="0"/>
        <w:dstrike w:val="0"/>
        <w:outline w:val="0"/>
        <w:shadow w:val="0"/>
        <w:emboss w:val="0"/>
        <w:imprint w:val="0"/>
        <w:vanish w:val="0"/>
        <w:color w:val="auto"/>
        <w:u w:val="none"/>
        <w:vertAlign w:val="baseline"/>
        <w:em w:val="none"/>
      </w:rPr>
    </w:lvl>
    <w:lvl w:ilvl="1" w:tplc="7D1C1642">
      <w:numFmt w:val="bullet"/>
      <w:lvlText w:val="-"/>
      <w:lvlJc w:val="left"/>
      <w:pPr>
        <w:tabs>
          <w:tab w:val="num" w:pos="1160"/>
        </w:tabs>
        <w:ind w:left="1160" w:hanging="360"/>
      </w:pPr>
      <w:rPr>
        <w:rFonts w:ascii="Times New Roman" w:eastAsia="Gulim" w:hAnsi="Times New Roman" w:cs="Times New Roman" w:hint="default"/>
      </w:rPr>
    </w:lvl>
    <w:lvl w:ilvl="2" w:tplc="411C227C">
      <w:start w:val="1"/>
      <w:numFmt w:val="bullet"/>
      <w:lvlText w:val=""/>
      <w:lvlJc w:val="left"/>
      <w:pPr>
        <w:ind w:left="1560" w:hanging="360"/>
      </w:pPr>
      <w:rPr>
        <w:rFonts w:ascii="Wingdings" w:eastAsia="휴먼명조" w:hAnsi="Wingdings" w:cs="Times New Roman"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8">
    <w:nsid w:val="5ECA304F"/>
    <w:multiLevelType w:val="hybridMultilevel"/>
    <w:tmpl w:val="6BFAD216"/>
    <w:lvl w:ilvl="0" w:tplc="65A61B04">
      <w:start w:val="1"/>
      <w:numFmt w:val="bullet"/>
      <w:lvlText w:val="○"/>
      <w:lvlJc w:val="left"/>
      <w:pPr>
        <w:tabs>
          <w:tab w:val="num" w:pos="800"/>
        </w:tabs>
        <w:ind w:left="800" w:hanging="400"/>
      </w:pPr>
      <w:rPr>
        <w:rFonts w:ascii="Arial" w:hAnsi="Arial" w:hint="default"/>
      </w:rPr>
    </w:lvl>
    <w:lvl w:ilvl="1" w:tplc="77FECE20">
      <w:numFmt w:val="bullet"/>
      <w:lvlText w:val="-"/>
      <w:lvlJc w:val="left"/>
      <w:pPr>
        <w:tabs>
          <w:tab w:val="num" w:pos="1160"/>
        </w:tabs>
        <w:ind w:left="1160" w:hanging="360"/>
      </w:pPr>
      <w:rPr>
        <w:rFonts w:ascii="Times New Roman" w:eastAsia="Gulim"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9">
    <w:nsid w:val="5FCB433C"/>
    <w:multiLevelType w:val="hybridMultilevel"/>
    <w:tmpl w:val="1D06DAD4"/>
    <w:lvl w:ilvl="0" w:tplc="0409000F">
      <w:start w:val="1"/>
      <w:numFmt w:val="decimal"/>
      <w:lvlText w:val="%1."/>
      <w:lvlJc w:val="left"/>
      <w:pPr>
        <w:tabs>
          <w:tab w:val="num" w:pos="800"/>
        </w:tabs>
        <w:ind w:left="800" w:hanging="400"/>
      </w:p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30">
    <w:nsid w:val="627A32DD"/>
    <w:multiLevelType w:val="hybridMultilevel"/>
    <w:tmpl w:val="12BE55A4"/>
    <w:lvl w:ilvl="0" w:tplc="04090005">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1">
    <w:nsid w:val="632845B0"/>
    <w:multiLevelType w:val="hybridMultilevel"/>
    <w:tmpl w:val="EB5E15D0"/>
    <w:lvl w:ilvl="0" w:tplc="4774A9C2">
      <w:start w:val="1"/>
      <w:numFmt w:val="lowerLetter"/>
      <w:lvlText w:val="%1."/>
      <w:lvlJc w:val="left"/>
      <w:pPr>
        <w:ind w:left="760" w:hanging="360"/>
      </w:pPr>
      <w:rPr>
        <w:rFonts w:eastAsia="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nsid w:val="63977331"/>
    <w:multiLevelType w:val="hybridMultilevel"/>
    <w:tmpl w:val="C804F286"/>
    <w:lvl w:ilvl="0" w:tplc="AB80F2F2">
      <w:start w:val="1"/>
      <w:numFmt w:val="lowerLetter"/>
      <w:lvlText w:val="%1."/>
      <w:lvlJc w:val="left"/>
      <w:pPr>
        <w:ind w:left="760" w:hanging="360"/>
      </w:pPr>
      <w:rPr>
        <w:rFonts w:eastAsia="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nsid w:val="65CE529E"/>
    <w:multiLevelType w:val="hybridMultilevel"/>
    <w:tmpl w:val="FFBA4B06"/>
    <w:lvl w:ilvl="0" w:tplc="B6509EE4">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9FD59B2"/>
    <w:multiLevelType w:val="multilevel"/>
    <w:tmpl w:val="E8BE4A00"/>
    <w:lvl w:ilvl="0">
      <w:start w:val="1"/>
      <w:numFmt w:val="upperRoman"/>
      <w:lvlText w:val="%1."/>
      <w:lvlJc w:val="left"/>
      <w:pPr>
        <w:tabs>
          <w:tab w:val="num" w:pos="1020"/>
        </w:tabs>
        <w:ind w:left="1020" w:hanging="400"/>
      </w:pPr>
    </w:lvl>
    <w:lvl w:ilvl="1">
      <w:start w:val="1"/>
      <w:numFmt w:val="upperLetter"/>
      <w:lvlText w:val="%2."/>
      <w:lvlJc w:val="left"/>
      <w:pPr>
        <w:tabs>
          <w:tab w:val="num" w:pos="1420"/>
        </w:tabs>
        <w:ind w:left="1420" w:hanging="400"/>
      </w:pPr>
    </w:lvl>
    <w:lvl w:ilvl="2">
      <w:start w:val="1"/>
      <w:numFmt w:val="lowerRoman"/>
      <w:lvlText w:val="%3."/>
      <w:lvlJc w:val="right"/>
      <w:pPr>
        <w:tabs>
          <w:tab w:val="num" w:pos="1820"/>
        </w:tabs>
        <w:ind w:left="1820" w:hanging="400"/>
      </w:pPr>
    </w:lvl>
    <w:lvl w:ilvl="3">
      <w:start w:val="1"/>
      <w:numFmt w:val="decimal"/>
      <w:lvlText w:val="%4."/>
      <w:lvlJc w:val="left"/>
      <w:pPr>
        <w:tabs>
          <w:tab w:val="num" w:pos="2220"/>
        </w:tabs>
        <w:ind w:left="2220" w:hanging="400"/>
      </w:pPr>
    </w:lvl>
    <w:lvl w:ilvl="4">
      <w:start w:val="1"/>
      <w:numFmt w:val="upperLetter"/>
      <w:lvlText w:val="%5."/>
      <w:lvlJc w:val="left"/>
      <w:pPr>
        <w:tabs>
          <w:tab w:val="num" w:pos="2620"/>
        </w:tabs>
        <w:ind w:left="2620" w:hanging="400"/>
      </w:pPr>
    </w:lvl>
    <w:lvl w:ilvl="5">
      <w:start w:val="1"/>
      <w:numFmt w:val="lowerRoman"/>
      <w:lvlText w:val="%6."/>
      <w:lvlJc w:val="right"/>
      <w:pPr>
        <w:tabs>
          <w:tab w:val="num" w:pos="3020"/>
        </w:tabs>
        <w:ind w:left="3020" w:hanging="400"/>
      </w:pPr>
    </w:lvl>
    <w:lvl w:ilvl="6">
      <w:start w:val="1"/>
      <w:numFmt w:val="decimal"/>
      <w:lvlText w:val="%7."/>
      <w:lvlJc w:val="left"/>
      <w:pPr>
        <w:tabs>
          <w:tab w:val="num" w:pos="3420"/>
        </w:tabs>
        <w:ind w:left="3420" w:hanging="400"/>
      </w:pPr>
    </w:lvl>
    <w:lvl w:ilvl="7">
      <w:start w:val="1"/>
      <w:numFmt w:val="upperLetter"/>
      <w:lvlText w:val="%8."/>
      <w:lvlJc w:val="left"/>
      <w:pPr>
        <w:tabs>
          <w:tab w:val="num" w:pos="3820"/>
        </w:tabs>
        <w:ind w:left="3820" w:hanging="400"/>
      </w:pPr>
    </w:lvl>
    <w:lvl w:ilvl="8">
      <w:start w:val="1"/>
      <w:numFmt w:val="lowerRoman"/>
      <w:lvlText w:val="%9."/>
      <w:lvlJc w:val="right"/>
      <w:pPr>
        <w:tabs>
          <w:tab w:val="num" w:pos="4220"/>
        </w:tabs>
        <w:ind w:left="4220" w:hanging="400"/>
      </w:pPr>
    </w:lvl>
  </w:abstractNum>
  <w:abstractNum w:abstractNumId="36">
    <w:nsid w:val="6A1B59DF"/>
    <w:multiLevelType w:val="hybridMultilevel"/>
    <w:tmpl w:val="FEE6699A"/>
    <w:lvl w:ilvl="0" w:tplc="E95AC7A2">
      <w:start w:val="1"/>
      <w:numFmt w:val="bullet"/>
      <w:lvlText w:val=""/>
      <w:lvlJc w:val="left"/>
      <w:pPr>
        <w:tabs>
          <w:tab w:val="num" w:pos="800"/>
        </w:tabs>
        <w:ind w:left="800" w:hanging="400"/>
      </w:pPr>
      <w:rPr>
        <w:rFonts w:ascii="Wingdings" w:hAnsi="Wingdings"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7">
    <w:nsid w:val="6FD21AB9"/>
    <w:multiLevelType w:val="multilevel"/>
    <w:tmpl w:val="E904C1B0"/>
    <w:lvl w:ilvl="0">
      <w:start w:val="1"/>
      <w:numFmt w:val="bullet"/>
      <w:lvlText w:val="○"/>
      <w:lvlJc w:val="left"/>
      <w:pPr>
        <w:tabs>
          <w:tab w:val="num" w:pos="800"/>
        </w:tabs>
        <w:ind w:left="800" w:hanging="400"/>
      </w:pPr>
      <w:rPr>
        <w:rFonts w:ascii="Arial" w:hAnsi="Arial" w:hint="default"/>
      </w:rPr>
    </w:lvl>
    <w:lvl w:ilvl="1">
      <w:start w:val="1"/>
      <w:numFmt w:val="bullet"/>
      <w:lvlText w:val=""/>
      <w:lvlJc w:val="left"/>
      <w:pPr>
        <w:tabs>
          <w:tab w:val="num" w:pos="1200"/>
        </w:tabs>
        <w:ind w:left="1200" w:hanging="400"/>
      </w:pPr>
      <w:rPr>
        <w:rFonts w:ascii="Wingdings" w:hAnsi="Wingdings" w:hint="default"/>
      </w:rPr>
    </w:lvl>
    <w:lvl w:ilvl="2">
      <w:start w:val="1"/>
      <w:numFmt w:val="bullet"/>
      <w:lvlText w:val=""/>
      <w:lvlJc w:val="left"/>
      <w:pPr>
        <w:tabs>
          <w:tab w:val="num" w:pos="1600"/>
        </w:tabs>
        <w:ind w:left="1600" w:hanging="400"/>
      </w:pPr>
      <w:rPr>
        <w:rFonts w:ascii="Wingdings" w:hAnsi="Wingdings" w:hint="default"/>
      </w:rPr>
    </w:lvl>
    <w:lvl w:ilvl="3">
      <w:start w:val="1"/>
      <w:numFmt w:val="bullet"/>
      <w:lvlText w:val=""/>
      <w:lvlJc w:val="left"/>
      <w:pPr>
        <w:tabs>
          <w:tab w:val="num" w:pos="2000"/>
        </w:tabs>
        <w:ind w:left="2000" w:hanging="400"/>
      </w:pPr>
      <w:rPr>
        <w:rFonts w:ascii="Wingdings" w:hAnsi="Wingdings" w:hint="default"/>
      </w:rPr>
    </w:lvl>
    <w:lvl w:ilvl="4">
      <w:start w:val="1"/>
      <w:numFmt w:val="bullet"/>
      <w:lvlText w:val=""/>
      <w:lvlJc w:val="left"/>
      <w:pPr>
        <w:tabs>
          <w:tab w:val="num" w:pos="2400"/>
        </w:tabs>
        <w:ind w:left="2400" w:hanging="400"/>
      </w:pPr>
      <w:rPr>
        <w:rFonts w:ascii="Wingdings" w:hAnsi="Wingdings" w:hint="default"/>
      </w:rPr>
    </w:lvl>
    <w:lvl w:ilvl="5">
      <w:start w:val="1"/>
      <w:numFmt w:val="bullet"/>
      <w:lvlText w:val=""/>
      <w:lvlJc w:val="left"/>
      <w:pPr>
        <w:tabs>
          <w:tab w:val="num" w:pos="2800"/>
        </w:tabs>
        <w:ind w:left="2800" w:hanging="400"/>
      </w:pPr>
      <w:rPr>
        <w:rFonts w:ascii="Wingdings" w:hAnsi="Wingdings" w:hint="default"/>
      </w:rPr>
    </w:lvl>
    <w:lvl w:ilvl="6">
      <w:start w:val="1"/>
      <w:numFmt w:val="bullet"/>
      <w:lvlText w:val=""/>
      <w:lvlJc w:val="left"/>
      <w:pPr>
        <w:tabs>
          <w:tab w:val="num" w:pos="3200"/>
        </w:tabs>
        <w:ind w:left="3200" w:hanging="400"/>
      </w:pPr>
      <w:rPr>
        <w:rFonts w:ascii="Wingdings" w:hAnsi="Wingdings" w:hint="default"/>
      </w:rPr>
    </w:lvl>
    <w:lvl w:ilvl="7">
      <w:start w:val="1"/>
      <w:numFmt w:val="bullet"/>
      <w:lvlText w:val=""/>
      <w:lvlJc w:val="left"/>
      <w:pPr>
        <w:tabs>
          <w:tab w:val="num" w:pos="3600"/>
        </w:tabs>
        <w:ind w:left="3600" w:hanging="400"/>
      </w:pPr>
      <w:rPr>
        <w:rFonts w:ascii="Wingdings" w:hAnsi="Wingdings" w:hint="default"/>
      </w:rPr>
    </w:lvl>
    <w:lvl w:ilvl="8">
      <w:start w:val="1"/>
      <w:numFmt w:val="bullet"/>
      <w:lvlText w:val=""/>
      <w:lvlJc w:val="left"/>
      <w:pPr>
        <w:tabs>
          <w:tab w:val="num" w:pos="4000"/>
        </w:tabs>
        <w:ind w:left="4000" w:hanging="400"/>
      </w:pPr>
      <w:rPr>
        <w:rFonts w:ascii="Wingdings" w:hAnsi="Wingdings" w:hint="default"/>
      </w:rPr>
    </w:lvl>
  </w:abstractNum>
  <w:abstractNum w:abstractNumId="38">
    <w:nsid w:val="75533ADA"/>
    <w:multiLevelType w:val="hybridMultilevel"/>
    <w:tmpl w:val="E904C1B0"/>
    <w:lvl w:ilvl="0" w:tplc="65A61B04">
      <w:start w:val="1"/>
      <w:numFmt w:val="bullet"/>
      <w:lvlText w:val="○"/>
      <w:lvlJc w:val="left"/>
      <w:pPr>
        <w:tabs>
          <w:tab w:val="num" w:pos="800"/>
        </w:tabs>
        <w:ind w:left="800" w:hanging="400"/>
      </w:pPr>
      <w:rPr>
        <w:rFonts w:ascii="Arial" w:hAnsi="Aria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9">
    <w:nsid w:val="79ED4A6D"/>
    <w:multiLevelType w:val="multilevel"/>
    <w:tmpl w:val="9EC43BFC"/>
    <w:lvl w:ilvl="0">
      <w:start w:val="1"/>
      <w:numFmt w:val="bullet"/>
      <w:lvlText w:val="•"/>
      <w:lvlJc w:val="left"/>
      <w:pPr>
        <w:tabs>
          <w:tab w:val="num" w:pos="567"/>
        </w:tabs>
        <w:ind w:left="567" w:hanging="340"/>
      </w:pPr>
      <w:rPr>
        <w:rFonts w:ascii="Gulim" w:eastAsia="Gulim" w:hAnsi="Gulim" w:cs="Palatino Linotype" w:hint="eastAsia"/>
        <w:caps w:val="0"/>
        <w:strike w:val="0"/>
        <w:dstrike w:val="0"/>
        <w:outline w:val="0"/>
        <w:shadow w:val="0"/>
        <w:emboss w:val="0"/>
        <w:imprint w:val="0"/>
        <w:vanish w:val="0"/>
        <w:color w:val="auto"/>
        <w:u w:val="none"/>
        <w:vertAlign w:val="baseline"/>
        <w:em w:val="none"/>
      </w:rPr>
    </w:lvl>
    <w:lvl w:ilvl="1">
      <w:start w:val="1"/>
      <w:numFmt w:val="bullet"/>
      <w:lvlText w:val=""/>
      <w:lvlJc w:val="left"/>
      <w:pPr>
        <w:tabs>
          <w:tab w:val="num" w:pos="1200"/>
        </w:tabs>
        <w:ind w:left="1200" w:hanging="400"/>
      </w:pPr>
      <w:rPr>
        <w:rFonts w:ascii="Wingdings" w:hAnsi="Wingdings" w:hint="default"/>
      </w:rPr>
    </w:lvl>
    <w:lvl w:ilvl="2">
      <w:start w:val="1"/>
      <w:numFmt w:val="bullet"/>
      <w:lvlText w:val=""/>
      <w:lvlJc w:val="left"/>
      <w:pPr>
        <w:tabs>
          <w:tab w:val="num" w:pos="1600"/>
        </w:tabs>
        <w:ind w:left="1600" w:hanging="400"/>
      </w:pPr>
      <w:rPr>
        <w:rFonts w:ascii="Wingdings" w:hAnsi="Wingdings" w:hint="default"/>
      </w:rPr>
    </w:lvl>
    <w:lvl w:ilvl="3">
      <w:start w:val="1"/>
      <w:numFmt w:val="bullet"/>
      <w:lvlText w:val=""/>
      <w:lvlJc w:val="left"/>
      <w:pPr>
        <w:tabs>
          <w:tab w:val="num" w:pos="2000"/>
        </w:tabs>
        <w:ind w:left="2000" w:hanging="400"/>
      </w:pPr>
      <w:rPr>
        <w:rFonts w:ascii="Wingdings" w:hAnsi="Wingdings" w:hint="default"/>
      </w:rPr>
    </w:lvl>
    <w:lvl w:ilvl="4">
      <w:start w:val="1"/>
      <w:numFmt w:val="bullet"/>
      <w:lvlText w:val=""/>
      <w:lvlJc w:val="left"/>
      <w:pPr>
        <w:tabs>
          <w:tab w:val="num" w:pos="2400"/>
        </w:tabs>
        <w:ind w:left="2400" w:hanging="400"/>
      </w:pPr>
      <w:rPr>
        <w:rFonts w:ascii="Wingdings" w:hAnsi="Wingdings" w:hint="default"/>
      </w:rPr>
    </w:lvl>
    <w:lvl w:ilvl="5">
      <w:start w:val="1"/>
      <w:numFmt w:val="bullet"/>
      <w:lvlText w:val=""/>
      <w:lvlJc w:val="left"/>
      <w:pPr>
        <w:tabs>
          <w:tab w:val="num" w:pos="2800"/>
        </w:tabs>
        <w:ind w:left="2800" w:hanging="400"/>
      </w:pPr>
      <w:rPr>
        <w:rFonts w:ascii="Wingdings" w:hAnsi="Wingdings" w:hint="default"/>
      </w:rPr>
    </w:lvl>
    <w:lvl w:ilvl="6">
      <w:start w:val="1"/>
      <w:numFmt w:val="bullet"/>
      <w:lvlText w:val=""/>
      <w:lvlJc w:val="left"/>
      <w:pPr>
        <w:tabs>
          <w:tab w:val="num" w:pos="3200"/>
        </w:tabs>
        <w:ind w:left="3200" w:hanging="400"/>
      </w:pPr>
      <w:rPr>
        <w:rFonts w:ascii="Wingdings" w:hAnsi="Wingdings" w:hint="default"/>
      </w:rPr>
    </w:lvl>
    <w:lvl w:ilvl="7">
      <w:start w:val="1"/>
      <w:numFmt w:val="bullet"/>
      <w:lvlText w:val=""/>
      <w:lvlJc w:val="left"/>
      <w:pPr>
        <w:tabs>
          <w:tab w:val="num" w:pos="3600"/>
        </w:tabs>
        <w:ind w:left="3600" w:hanging="400"/>
      </w:pPr>
      <w:rPr>
        <w:rFonts w:ascii="Wingdings" w:hAnsi="Wingdings" w:hint="default"/>
      </w:rPr>
    </w:lvl>
    <w:lvl w:ilvl="8">
      <w:start w:val="1"/>
      <w:numFmt w:val="bullet"/>
      <w:lvlText w:val=""/>
      <w:lvlJc w:val="left"/>
      <w:pPr>
        <w:tabs>
          <w:tab w:val="num" w:pos="4000"/>
        </w:tabs>
        <w:ind w:left="4000" w:hanging="400"/>
      </w:pPr>
      <w:rPr>
        <w:rFonts w:ascii="Wingdings" w:hAnsi="Wingdings" w:hint="default"/>
      </w:rPr>
    </w:lvl>
  </w:abstractNum>
  <w:abstractNum w:abstractNumId="40">
    <w:nsid w:val="7B9568EC"/>
    <w:multiLevelType w:val="hybridMultilevel"/>
    <w:tmpl w:val="6AA23B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C360303"/>
    <w:multiLevelType w:val="hybridMultilevel"/>
    <w:tmpl w:val="6AF6EEC4"/>
    <w:lvl w:ilvl="0" w:tplc="E778A084">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34"/>
  </w:num>
  <w:num w:numId="3">
    <w:abstractNumId w:val="9"/>
  </w:num>
  <w:num w:numId="4">
    <w:abstractNumId w:val="26"/>
  </w:num>
  <w:num w:numId="5">
    <w:abstractNumId w:val="29"/>
  </w:num>
  <w:num w:numId="6">
    <w:abstractNumId w:val="25"/>
  </w:num>
  <w:num w:numId="7">
    <w:abstractNumId w:val="7"/>
  </w:num>
  <w:num w:numId="8">
    <w:abstractNumId w:val="28"/>
  </w:num>
  <w:num w:numId="9">
    <w:abstractNumId w:val="38"/>
  </w:num>
  <w:num w:numId="10">
    <w:abstractNumId w:val="37"/>
  </w:num>
  <w:num w:numId="11">
    <w:abstractNumId w:val="36"/>
  </w:num>
  <w:num w:numId="12">
    <w:abstractNumId w:val="19"/>
  </w:num>
  <w:num w:numId="13">
    <w:abstractNumId w:val="35"/>
  </w:num>
  <w:num w:numId="14">
    <w:abstractNumId w:val="1"/>
  </w:num>
  <w:num w:numId="15">
    <w:abstractNumId w:val="30"/>
  </w:num>
  <w:num w:numId="16">
    <w:abstractNumId w:val="2"/>
  </w:num>
  <w:num w:numId="17">
    <w:abstractNumId w:val="17"/>
  </w:num>
  <w:num w:numId="18">
    <w:abstractNumId w:val="8"/>
  </w:num>
  <w:num w:numId="19">
    <w:abstractNumId w:val="27"/>
  </w:num>
  <w:num w:numId="20">
    <w:abstractNumId w:val="23"/>
  </w:num>
  <w:num w:numId="21">
    <w:abstractNumId w:val="39"/>
  </w:num>
  <w:num w:numId="22">
    <w:abstractNumId w:val="5"/>
  </w:num>
  <w:num w:numId="23">
    <w:abstractNumId w:val="12"/>
  </w:num>
  <w:num w:numId="24">
    <w:abstractNumId w:val="33"/>
  </w:num>
  <w:num w:numId="25">
    <w:abstractNumId w:val="41"/>
  </w:num>
  <w:num w:numId="26">
    <w:abstractNumId w:val="32"/>
  </w:num>
  <w:num w:numId="27">
    <w:abstractNumId w:val="22"/>
  </w:num>
  <w:num w:numId="28">
    <w:abstractNumId w:val="6"/>
  </w:num>
  <w:num w:numId="29">
    <w:abstractNumId w:val="18"/>
  </w:num>
  <w:num w:numId="30">
    <w:abstractNumId w:val="21"/>
  </w:num>
  <w:num w:numId="31">
    <w:abstractNumId w:val="31"/>
  </w:num>
  <w:num w:numId="32">
    <w:abstractNumId w:val="20"/>
  </w:num>
  <w:num w:numId="33">
    <w:abstractNumId w:val="15"/>
  </w:num>
  <w:num w:numId="34">
    <w:abstractNumId w:val="11"/>
  </w:num>
  <w:num w:numId="35">
    <w:abstractNumId w:val="40"/>
  </w:num>
  <w:num w:numId="36">
    <w:abstractNumId w:val="13"/>
  </w:num>
  <w:num w:numId="37">
    <w:abstractNumId w:val="3"/>
  </w:num>
  <w:num w:numId="38">
    <w:abstractNumId w:val="14"/>
  </w:num>
  <w:num w:numId="39">
    <w:abstractNumId w:val="10"/>
  </w:num>
  <w:num w:numId="40">
    <w:abstractNumId w:val="16"/>
  </w:num>
  <w:num w:numId="41">
    <w:abstractNumId w:val="4"/>
  </w:num>
  <w:num w:numId="42">
    <w:abstractNumId w:val="2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4FB7"/>
    <w:rsid w:val="00011DD9"/>
    <w:rsid w:val="000151D3"/>
    <w:rsid w:val="000175C8"/>
    <w:rsid w:val="00021C3F"/>
    <w:rsid w:val="000272B3"/>
    <w:rsid w:val="00042D4D"/>
    <w:rsid w:val="00044573"/>
    <w:rsid w:val="0004732E"/>
    <w:rsid w:val="00047930"/>
    <w:rsid w:val="00050F6B"/>
    <w:rsid w:val="0005151A"/>
    <w:rsid w:val="00056A00"/>
    <w:rsid w:val="00057E97"/>
    <w:rsid w:val="00060C3A"/>
    <w:rsid w:val="00065B6D"/>
    <w:rsid w:val="00072C8C"/>
    <w:rsid w:val="00072FB5"/>
    <w:rsid w:val="000733B5"/>
    <w:rsid w:val="000813CB"/>
    <w:rsid w:val="00081815"/>
    <w:rsid w:val="000850F5"/>
    <w:rsid w:val="00087B1C"/>
    <w:rsid w:val="000931C0"/>
    <w:rsid w:val="000946CF"/>
    <w:rsid w:val="00094FB7"/>
    <w:rsid w:val="000952DF"/>
    <w:rsid w:val="000A4BD1"/>
    <w:rsid w:val="000B175B"/>
    <w:rsid w:val="000B3A0F"/>
    <w:rsid w:val="000B4EF7"/>
    <w:rsid w:val="000B5136"/>
    <w:rsid w:val="000B6E5E"/>
    <w:rsid w:val="000C0464"/>
    <w:rsid w:val="000C2C03"/>
    <w:rsid w:val="000C2D2E"/>
    <w:rsid w:val="000C367E"/>
    <w:rsid w:val="000C7D72"/>
    <w:rsid w:val="000D4F69"/>
    <w:rsid w:val="000D60EE"/>
    <w:rsid w:val="000D6CAA"/>
    <w:rsid w:val="000E0415"/>
    <w:rsid w:val="000E6F57"/>
    <w:rsid w:val="0010529D"/>
    <w:rsid w:val="00105C1C"/>
    <w:rsid w:val="00105EEC"/>
    <w:rsid w:val="001103AA"/>
    <w:rsid w:val="00120D8B"/>
    <w:rsid w:val="001224A8"/>
    <w:rsid w:val="00127242"/>
    <w:rsid w:val="0013145C"/>
    <w:rsid w:val="001365BD"/>
    <w:rsid w:val="001442ED"/>
    <w:rsid w:val="001451C4"/>
    <w:rsid w:val="0014767D"/>
    <w:rsid w:val="00147D0E"/>
    <w:rsid w:val="00147FB0"/>
    <w:rsid w:val="00155803"/>
    <w:rsid w:val="001634E7"/>
    <w:rsid w:val="00165F3A"/>
    <w:rsid w:val="00171E83"/>
    <w:rsid w:val="001723CC"/>
    <w:rsid w:val="00177A55"/>
    <w:rsid w:val="001811E8"/>
    <w:rsid w:val="00183968"/>
    <w:rsid w:val="001854DF"/>
    <w:rsid w:val="001922C6"/>
    <w:rsid w:val="001A2BB2"/>
    <w:rsid w:val="001A6686"/>
    <w:rsid w:val="001B1829"/>
    <w:rsid w:val="001B1E94"/>
    <w:rsid w:val="001B4B04"/>
    <w:rsid w:val="001C18E1"/>
    <w:rsid w:val="001C4E4C"/>
    <w:rsid w:val="001C6663"/>
    <w:rsid w:val="001C6A29"/>
    <w:rsid w:val="001C7895"/>
    <w:rsid w:val="001C7BFF"/>
    <w:rsid w:val="001D0C8C"/>
    <w:rsid w:val="001D0DD8"/>
    <w:rsid w:val="001D2686"/>
    <w:rsid w:val="001D26DF"/>
    <w:rsid w:val="001D3A03"/>
    <w:rsid w:val="001D4669"/>
    <w:rsid w:val="001D47F7"/>
    <w:rsid w:val="001E2BBF"/>
    <w:rsid w:val="001E30C9"/>
    <w:rsid w:val="001F18A3"/>
    <w:rsid w:val="00201AC9"/>
    <w:rsid w:val="00202DA8"/>
    <w:rsid w:val="00202EC3"/>
    <w:rsid w:val="00204FF1"/>
    <w:rsid w:val="00205374"/>
    <w:rsid w:val="0020568A"/>
    <w:rsid w:val="00205BAB"/>
    <w:rsid w:val="00206747"/>
    <w:rsid w:val="00207251"/>
    <w:rsid w:val="002100E9"/>
    <w:rsid w:val="00210443"/>
    <w:rsid w:val="00211E0B"/>
    <w:rsid w:val="00215A6F"/>
    <w:rsid w:val="00221361"/>
    <w:rsid w:val="00222917"/>
    <w:rsid w:val="0022368D"/>
    <w:rsid w:val="00224E03"/>
    <w:rsid w:val="0023210C"/>
    <w:rsid w:val="00234E3C"/>
    <w:rsid w:val="0023735B"/>
    <w:rsid w:val="00237528"/>
    <w:rsid w:val="002377F4"/>
    <w:rsid w:val="00242694"/>
    <w:rsid w:val="0024358A"/>
    <w:rsid w:val="002440C4"/>
    <w:rsid w:val="0024745E"/>
    <w:rsid w:val="00267F5F"/>
    <w:rsid w:val="00277C2B"/>
    <w:rsid w:val="00283D3E"/>
    <w:rsid w:val="00284EE8"/>
    <w:rsid w:val="00286B4D"/>
    <w:rsid w:val="002906C3"/>
    <w:rsid w:val="002A065F"/>
    <w:rsid w:val="002A66C9"/>
    <w:rsid w:val="002B3B67"/>
    <w:rsid w:val="002C5118"/>
    <w:rsid w:val="002C70E9"/>
    <w:rsid w:val="002D14AF"/>
    <w:rsid w:val="002D5BB0"/>
    <w:rsid w:val="002D7FB6"/>
    <w:rsid w:val="002E76E8"/>
    <w:rsid w:val="002F175C"/>
    <w:rsid w:val="002F182D"/>
    <w:rsid w:val="00305274"/>
    <w:rsid w:val="00306D68"/>
    <w:rsid w:val="003137E5"/>
    <w:rsid w:val="00314387"/>
    <w:rsid w:val="003229D8"/>
    <w:rsid w:val="00326D59"/>
    <w:rsid w:val="00332C6F"/>
    <w:rsid w:val="00332D79"/>
    <w:rsid w:val="003347E1"/>
    <w:rsid w:val="0033610E"/>
    <w:rsid w:val="00336F8F"/>
    <w:rsid w:val="00352709"/>
    <w:rsid w:val="003536C9"/>
    <w:rsid w:val="00355282"/>
    <w:rsid w:val="00360CFA"/>
    <w:rsid w:val="0036176A"/>
    <w:rsid w:val="00363502"/>
    <w:rsid w:val="00364005"/>
    <w:rsid w:val="00366420"/>
    <w:rsid w:val="00367065"/>
    <w:rsid w:val="00367567"/>
    <w:rsid w:val="00370D72"/>
    <w:rsid w:val="00371178"/>
    <w:rsid w:val="00372906"/>
    <w:rsid w:val="003817E4"/>
    <w:rsid w:val="0038336C"/>
    <w:rsid w:val="003A1B0B"/>
    <w:rsid w:val="003A6810"/>
    <w:rsid w:val="003A68A5"/>
    <w:rsid w:val="003B0FAE"/>
    <w:rsid w:val="003C2CC4"/>
    <w:rsid w:val="003C751E"/>
    <w:rsid w:val="003D0168"/>
    <w:rsid w:val="003D242C"/>
    <w:rsid w:val="003D28C1"/>
    <w:rsid w:val="003D31C4"/>
    <w:rsid w:val="003D4B23"/>
    <w:rsid w:val="003D6010"/>
    <w:rsid w:val="003E2CEC"/>
    <w:rsid w:val="003F0702"/>
    <w:rsid w:val="003F1727"/>
    <w:rsid w:val="003F17B3"/>
    <w:rsid w:val="00403E88"/>
    <w:rsid w:val="00410C89"/>
    <w:rsid w:val="00411B58"/>
    <w:rsid w:val="00423A3F"/>
    <w:rsid w:val="00426B9B"/>
    <w:rsid w:val="0043215C"/>
    <w:rsid w:val="004325CB"/>
    <w:rsid w:val="00432DCF"/>
    <w:rsid w:val="0043669F"/>
    <w:rsid w:val="00436B33"/>
    <w:rsid w:val="00436CE6"/>
    <w:rsid w:val="00442170"/>
    <w:rsid w:val="00442A83"/>
    <w:rsid w:val="00444641"/>
    <w:rsid w:val="00451E64"/>
    <w:rsid w:val="00452614"/>
    <w:rsid w:val="00453C6E"/>
    <w:rsid w:val="0045495B"/>
    <w:rsid w:val="00455482"/>
    <w:rsid w:val="004632C2"/>
    <w:rsid w:val="00463C7B"/>
    <w:rsid w:val="00463FDC"/>
    <w:rsid w:val="0046548B"/>
    <w:rsid w:val="00465B4D"/>
    <w:rsid w:val="00466D87"/>
    <w:rsid w:val="00467899"/>
    <w:rsid w:val="004731D0"/>
    <w:rsid w:val="004753AA"/>
    <w:rsid w:val="00483046"/>
    <w:rsid w:val="00487488"/>
    <w:rsid w:val="004920BE"/>
    <w:rsid w:val="004950CA"/>
    <w:rsid w:val="00495AED"/>
    <w:rsid w:val="004A3006"/>
    <w:rsid w:val="004A5284"/>
    <w:rsid w:val="004A7217"/>
    <w:rsid w:val="004A75DE"/>
    <w:rsid w:val="004B1D85"/>
    <w:rsid w:val="004B67AC"/>
    <w:rsid w:val="004C5E4E"/>
    <w:rsid w:val="004D523B"/>
    <w:rsid w:val="004D566A"/>
    <w:rsid w:val="004E2434"/>
    <w:rsid w:val="004E3062"/>
    <w:rsid w:val="005012F4"/>
    <w:rsid w:val="00503D92"/>
    <w:rsid w:val="005041F8"/>
    <w:rsid w:val="00505C89"/>
    <w:rsid w:val="00507B75"/>
    <w:rsid w:val="00513E45"/>
    <w:rsid w:val="0052136D"/>
    <w:rsid w:val="00526D4E"/>
    <w:rsid w:val="0052775E"/>
    <w:rsid w:val="005334E7"/>
    <w:rsid w:val="00537E9A"/>
    <w:rsid w:val="0054076C"/>
    <w:rsid w:val="00540A5D"/>
    <w:rsid w:val="005420F2"/>
    <w:rsid w:val="00547908"/>
    <w:rsid w:val="00550FFF"/>
    <w:rsid w:val="005607E3"/>
    <w:rsid w:val="005628B6"/>
    <w:rsid w:val="005677CD"/>
    <w:rsid w:val="005727B1"/>
    <w:rsid w:val="00576EA0"/>
    <w:rsid w:val="00580C17"/>
    <w:rsid w:val="0058329C"/>
    <w:rsid w:val="005848B3"/>
    <w:rsid w:val="00590F87"/>
    <w:rsid w:val="005913D9"/>
    <w:rsid w:val="00592C4A"/>
    <w:rsid w:val="0059330C"/>
    <w:rsid w:val="0059738D"/>
    <w:rsid w:val="005A53EA"/>
    <w:rsid w:val="005A7462"/>
    <w:rsid w:val="005B3DB3"/>
    <w:rsid w:val="005C3620"/>
    <w:rsid w:val="005C3911"/>
    <w:rsid w:val="005C4802"/>
    <w:rsid w:val="005C6002"/>
    <w:rsid w:val="005D00CB"/>
    <w:rsid w:val="005D68BC"/>
    <w:rsid w:val="005E0277"/>
    <w:rsid w:val="005E11EE"/>
    <w:rsid w:val="005E2D0C"/>
    <w:rsid w:val="005F08E2"/>
    <w:rsid w:val="005F5775"/>
    <w:rsid w:val="005F7717"/>
    <w:rsid w:val="005F7B75"/>
    <w:rsid w:val="006001EE"/>
    <w:rsid w:val="00605042"/>
    <w:rsid w:val="00605700"/>
    <w:rsid w:val="0061169C"/>
    <w:rsid w:val="00611FC4"/>
    <w:rsid w:val="00614CA7"/>
    <w:rsid w:val="006170A2"/>
    <w:rsid w:val="006176FB"/>
    <w:rsid w:val="00631242"/>
    <w:rsid w:val="006327F6"/>
    <w:rsid w:val="006334E9"/>
    <w:rsid w:val="006368ED"/>
    <w:rsid w:val="00640B26"/>
    <w:rsid w:val="00640EDF"/>
    <w:rsid w:val="00641982"/>
    <w:rsid w:val="00643545"/>
    <w:rsid w:val="006441C2"/>
    <w:rsid w:val="00647F23"/>
    <w:rsid w:val="00652D0A"/>
    <w:rsid w:val="006548C0"/>
    <w:rsid w:val="0065523E"/>
    <w:rsid w:val="006566C3"/>
    <w:rsid w:val="00662BB6"/>
    <w:rsid w:val="00664558"/>
    <w:rsid w:val="00664A3D"/>
    <w:rsid w:val="00665BA9"/>
    <w:rsid w:val="00670E22"/>
    <w:rsid w:val="00680EB5"/>
    <w:rsid w:val="00681EC0"/>
    <w:rsid w:val="00682503"/>
    <w:rsid w:val="00683928"/>
    <w:rsid w:val="006849AA"/>
    <w:rsid w:val="00684C21"/>
    <w:rsid w:val="0068557D"/>
    <w:rsid w:val="006903AC"/>
    <w:rsid w:val="00693F5B"/>
    <w:rsid w:val="006A1E6C"/>
    <w:rsid w:val="006A3D3D"/>
    <w:rsid w:val="006A45BB"/>
    <w:rsid w:val="006A6ADD"/>
    <w:rsid w:val="006A787F"/>
    <w:rsid w:val="006A7B96"/>
    <w:rsid w:val="006B2659"/>
    <w:rsid w:val="006B3562"/>
    <w:rsid w:val="006C25D9"/>
    <w:rsid w:val="006C4F5C"/>
    <w:rsid w:val="006C52D3"/>
    <w:rsid w:val="006D37AF"/>
    <w:rsid w:val="006D51D0"/>
    <w:rsid w:val="006D7B40"/>
    <w:rsid w:val="006E1165"/>
    <w:rsid w:val="006E1F63"/>
    <w:rsid w:val="006E4019"/>
    <w:rsid w:val="006E564B"/>
    <w:rsid w:val="006E6AC9"/>
    <w:rsid w:val="006E7191"/>
    <w:rsid w:val="006F1E73"/>
    <w:rsid w:val="006F4CA0"/>
    <w:rsid w:val="006F5767"/>
    <w:rsid w:val="006F6440"/>
    <w:rsid w:val="0070125C"/>
    <w:rsid w:val="00701909"/>
    <w:rsid w:val="00703577"/>
    <w:rsid w:val="0071109D"/>
    <w:rsid w:val="00714874"/>
    <w:rsid w:val="007216C5"/>
    <w:rsid w:val="00722280"/>
    <w:rsid w:val="007227E9"/>
    <w:rsid w:val="00723634"/>
    <w:rsid w:val="00723D15"/>
    <w:rsid w:val="0072632A"/>
    <w:rsid w:val="00730E7A"/>
    <w:rsid w:val="007327D5"/>
    <w:rsid w:val="00741101"/>
    <w:rsid w:val="00754CF3"/>
    <w:rsid w:val="00762317"/>
    <w:rsid w:val="007629C8"/>
    <w:rsid w:val="00782275"/>
    <w:rsid w:val="007863B6"/>
    <w:rsid w:val="00787A6D"/>
    <w:rsid w:val="00792747"/>
    <w:rsid w:val="00794B5A"/>
    <w:rsid w:val="007951CD"/>
    <w:rsid w:val="007A00A1"/>
    <w:rsid w:val="007B4895"/>
    <w:rsid w:val="007B6BA5"/>
    <w:rsid w:val="007C12A1"/>
    <w:rsid w:val="007C12D2"/>
    <w:rsid w:val="007C3390"/>
    <w:rsid w:val="007C49AC"/>
    <w:rsid w:val="007C4C8F"/>
    <w:rsid w:val="007C4F4B"/>
    <w:rsid w:val="007C784F"/>
    <w:rsid w:val="007D6D73"/>
    <w:rsid w:val="007E0B2D"/>
    <w:rsid w:val="007E6F46"/>
    <w:rsid w:val="007E7669"/>
    <w:rsid w:val="007F3562"/>
    <w:rsid w:val="007F6611"/>
    <w:rsid w:val="007F6682"/>
    <w:rsid w:val="007F7F95"/>
    <w:rsid w:val="0080615C"/>
    <w:rsid w:val="008105B8"/>
    <w:rsid w:val="008119E3"/>
    <w:rsid w:val="0081517B"/>
    <w:rsid w:val="00820CC9"/>
    <w:rsid w:val="008234DC"/>
    <w:rsid w:val="008242D7"/>
    <w:rsid w:val="008257B1"/>
    <w:rsid w:val="00825E32"/>
    <w:rsid w:val="00827D25"/>
    <w:rsid w:val="00842A24"/>
    <w:rsid w:val="00843767"/>
    <w:rsid w:val="0084438C"/>
    <w:rsid w:val="0084463C"/>
    <w:rsid w:val="00846C8D"/>
    <w:rsid w:val="008612C0"/>
    <w:rsid w:val="008617A4"/>
    <w:rsid w:val="008679D9"/>
    <w:rsid w:val="0087497F"/>
    <w:rsid w:val="008751D7"/>
    <w:rsid w:val="00875411"/>
    <w:rsid w:val="00875B17"/>
    <w:rsid w:val="00880048"/>
    <w:rsid w:val="00881031"/>
    <w:rsid w:val="00881980"/>
    <w:rsid w:val="008872BF"/>
    <w:rsid w:val="008909B0"/>
    <w:rsid w:val="008979B1"/>
    <w:rsid w:val="00897A25"/>
    <w:rsid w:val="008A1DB2"/>
    <w:rsid w:val="008A6B25"/>
    <w:rsid w:val="008A6C4F"/>
    <w:rsid w:val="008B2335"/>
    <w:rsid w:val="008B2DCF"/>
    <w:rsid w:val="008B4C62"/>
    <w:rsid w:val="008C2CA1"/>
    <w:rsid w:val="008C6420"/>
    <w:rsid w:val="008D3863"/>
    <w:rsid w:val="008E0678"/>
    <w:rsid w:val="008E1491"/>
    <w:rsid w:val="008E15BD"/>
    <w:rsid w:val="008E37E2"/>
    <w:rsid w:val="008E73D3"/>
    <w:rsid w:val="008F5F21"/>
    <w:rsid w:val="008F6543"/>
    <w:rsid w:val="008F6588"/>
    <w:rsid w:val="00900CB6"/>
    <w:rsid w:val="0090271C"/>
    <w:rsid w:val="00905F4F"/>
    <w:rsid w:val="00910F40"/>
    <w:rsid w:val="00912C08"/>
    <w:rsid w:val="00913905"/>
    <w:rsid w:val="0091755F"/>
    <w:rsid w:val="00920219"/>
    <w:rsid w:val="009223CA"/>
    <w:rsid w:val="00922D4B"/>
    <w:rsid w:val="00934DE9"/>
    <w:rsid w:val="00936860"/>
    <w:rsid w:val="0094073E"/>
    <w:rsid w:val="00940F93"/>
    <w:rsid w:val="0094350B"/>
    <w:rsid w:val="009528CB"/>
    <w:rsid w:val="0095347F"/>
    <w:rsid w:val="009577C4"/>
    <w:rsid w:val="00957B55"/>
    <w:rsid w:val="00963D8F"/>
    <w:rsid w:val="00964458"/>
    <w:rsid w:val="00965451"/>
    <w:rsid w:val="0097252C"/>
    <w:rsid w:val="00974357"/>
    <w:rsid w:val="009760F3"/>
    <w:rsid w:val="00977FC8"/>
    <w:rsid w:val="00983C35"/>
    <w:rsid w:val="00984B6F"/>
    <w:rsid w:val="00990845"/>
    <w:rsid w:val="009909F5"/>
    <w:rsid w:val="00993017"/>
    <w:rsid w:val="00993957"/>
    <w:rsid w:val="009A0E8D"/>
    <w:rsid w:val="009A1673"/>
    <w:rsid w:val="009B0981"/>
    <w:rsid w:val="009B26E7"/>
    <w:rsid w:val="009B3015"/>
    <w:rsid w:val="009C13AB"/>
    <w:rsid w:val="009C53BB"/>
    <w:rsid w:val="009D6255"/>
    <w:rsid w:val="009D6326"/>
    <w:rsid w:val="009F2154"/>
    <w:rsid w:val="009F228A"/>
    <w:rsid w:val="009F2B57"/>
    <w:rsid w:val="009F3787"/>
    <w:rsid w:val="00A00A3F"/>
    <w:rsid w:val="00A01489"/>
    <w:rsid w:val="00A07D40"/>
    <w:rsid w:val="00A2131F"/>
    <w:rsid w:val="00A2410C"/>
    <w:rsid w:val="00A246F8"/>
    <w:rsid w:val="00A3338C"/>
    <w:rsid w:val="00A338F1"/>
    <w:rsid w:val="00A34665"/>
    <w:rsid w:val="00A44615"/>
    <w:rsid w:val="00A5088D"/>
    <w:rsid w:val="00A56B8C"/>
    <w:rsid w:val="00A61688"/>
    <w:rsid w:val="00A727C1"/>
    <w:rsid w:val="00A72F22"/>
    <w:rsid w:val="00A7360F"/>
    <w:rsid w:val="00A7440B"/>
    <w:rsid w:val="00A748A6"/>
    <w:rsid w:val="00A75340"/>
    <w:rsid w:val="00A7655C"/>
    <w:rsid w:val="00A769F4"/>
    <w:rsid w:val="00A776B4"/>
    <w:rsid w:val="00A77AB1"/>
    <w:rsid w:val="00A850D2"/>
    <w:rsid w:val="00A92938"/>
    <w:rsid w:val="00A94361"/>
    <w:rsid w:val="00A94611"/>
    <w:rsid w:val="00A95A19"/>
    <w:rsid w:val="00AA13A7"/>
    <w:rsid w:val="00AA17A9"/>
    <w:rsid w:val="00AA22D0"/>
    <w:rsid w:val="00AA293C"/>
    <w:rsid w:val="00AB5BF1"/>
    <w:rsid w:val="00AC00BC"/>
    <w:rsid w:val="00AC1FAB"/>
    <w:rsid w:val="00AC6F48"/>
    <w:rsid w:val="00AD0E1B"/>
    <w:rsid w:val="00AE0F13"/>
    <w:rsid w:val="00AE2635"/>
    <w:rsid w:val="00AE7531"/>
    <w:rsid w:val="00AF4C0E"/>
    <w:rsid w:val="00AF5C49"/>
    <w:rsid w:val="00B003BE"/>
    <w:rsid w:val="00B03638"/>
    <w:rsid w:val="00B13E9B"/>
    <w:rsid w:val="00B226C8"/>
    <w:rsid w:val="00B30179"/>
    <w:rsid w:val="00B339A7"/>
    <w:rsid w:val="00B35FAF"/>
    <w:rsid w:val="00B40CE1"/>
    <w:rsid w:val="00B44ECE"/>
    <w:rsid w:val="00B45184"/>
    <w:rsid w:val="00B46E82"/>
    <w:rsid w:val="00B47534"/>
    <w:rsid w:val="00B51F2A"/>
    <w:rsid w:val="00B56875"/>
    <w:rsid w:val="00B56E4A"/>
    <w:rsid w:val="00B56E9C"/>
    <w:rsid w:val="00B61B0B"/>
    <w:rsid w:val="00B6392D"/>
    <w:rsid w:val="00B64B1F"/>
    <w:rsid w:val="00B6553F"/>
    <w:rsid w:val="00B65D59"/>
    <w:rsid w:val="00B66E5E"/>
    <w:rsid w:val="00B679B4"/>
    <w:rsid w:val="00B75C28"/>
    <w:rsid w:val="00B77D05"/>
    <w:rsid w:val="00B81206"/>
    <w:rsid w:val="00B817ED"/>
    <w:rsid w:val="00B81E12"/>
    <w:rsid w:val="00B85BA4"/>
    <w:rsid w:val="00B9067B"/>
    <w:rsid w:val="00B97CDB"/>
    <w:rsid w:val="00BA237E"/>
    <w:rsid w:val="00BA39D5"/>
    <w:rsid w:val="00BB328E"/>
    <w:rsid w:val="00BC01D1"/>
    <w:rsid w:val="00BC2760"/>
    <w:rsid w:val="00BC2C23"/>
    <w:rsid w:val="00BC6886"/>
    <w:rsid w:val="00BC74E9"/>
    <w:rsid w:val="00BC7A16"/>
    <w:rsid w:val="00BE0922"/>
    <w:rsid w:val="00BE1636"/>
    <w:rsid w:val="00BE6191"/>
    <w:rsid w:val="00BF0452"/>
    <w:rsid w:val="00BF38E1"/>
    <w:rsid w:val="00BF3911"/>
    <w:rsid w:val="00BF68A8"/>
    <w:rsid w:val="00C02269"/>
    <w:rsid w:val="00C05316"/>
    <w:rsid w:val="00C11A03"/>
    <w:rsid w:val="00C15028"/>
    <w:rsid w:val="00C23090"/>
    <w:rsid w:val="00C27A15"/>
    <w:rsid w:val="00C31E7E"/>
    <w:rsid w:val="00C36538"/>
    <w:rsid w:val="00C40F20"/>
    <w:rsid w:val="00C41D6F"/>
    <w:rsid w:val="00C4351E"/>
    <w:rsid w:val="00C463DD"/>
    <w:rsid w:val="00C4724C"/>
    <w:rsid w:val="00C54F21"/>
    <w:rsid w:val="00C629A0"/>
    <w:rsid w:val="00C64D20"/>
    <w:rsid w:val="00C66593"/>
    <w:rsid w:val="00C677E6"/>
    <w:rsid w:val="00C70182"/>
    <w:rsid w:val="00C745C3"/>
    <w:rsid w:val="00C754DF"/>
    <w:rsid w:val="00C759C3"/>
    <w:rsid w:val="00C81265"/>
    <w:rsid w:val="00C82A59"/>
    <w:rsid w:val="00C852D9"/>
    <w:rsid w:val="00C90BE6"/>
    <w:rsid w:val="00C91DD1"/>
    <w:rsid w:val="00C974F8"/>
    <w:rsid w:val="00CB160B"/>
    <w:rsid w:val="00CB2087"/>
    <w:rsid w:val="00CB5D38"/>
    <w:rsid w:val="00CB74BF"/>
    <w:rsid w:val="00CC6554"/>
    <w:rsid w:val="00CD0403"/>
    <w:rsid w:val="00CE4A8F"/>
    <w:rsid w:val="00CE5824"/>
    <w:rsid w:val="00CE6218"/>
    <w:rsid w:val="00D027B3"/>
    <w:rsid w:val="00D045EC"/>
    <w:rsid w:val="00D10A89"/>
    <w:rsid w:val="00D17669"/>
    <w:rsid w:val="00D2031B"/>
    <w:rsid w:val="00D25FE2"/>
    <w:rsid w:val="00D2636A"/>
    <w:rsid w:val="00D26808"/>
    <w:rsid w:val="00D300AA"/>
    <w:rsid w:val="00D30A6C"/>
    <w:rsid w:val="00D41B4F"/>
    <w:rsid w:val="00D43252"/>
    <w:rsid w:val="00D47AA4"/>
    <w:rsid w:val="00D47EEA"/>
    <w:rsid w:val="00D50C05"/>
    <w:rsid w:val="00D5222F"/>
    <w:rsid w:val="00D52962"/>
    <w:rsid w:val="00D53C1B"/>
    <w:rsid w:val="00D5649B"/>
    <w:rsid w:val="00D6334A"/>
    <w:rsid w:val="00D67481"/>
    <w:rsid w:val="00D704F7"/>
    <w:rsid w:val="00D8493A"/>
    <w:rsid w:val="00D902D8"/>
    <w:rsid w:val="00D95303"/>
    <w:rsid w:val="00D978C6"/>
    <w:rsid w:val="00DA3111"/>
    <w:rsid w:val="00DA3C1C"/>
    <w:rsid w:val="00DB0C79"/>
    <w:rsid w:val="00DB2C13"/>
    <w:rsid w:val="00DB431B"/>
    <w:rsid w:val="00DB4F65"/>
    <w:rsid w:val="00DB5371"/>
    <w:rsid w:val="00DC11AD"/>
    <w:rsid w:val="00DC7F48"/>
    <w:rsid w:val="00DD0EAE"/>
    <w:rsid w:val="00DE4CC8"/>
    <w:rsid w:val="00DE6606"/>
    <w:rsid w:val="00E024B6"/>
    <w:rsid w:val="00E07032"/>
    <w:rsid w:val="00E170DB"/>
    <w:rsid w:val="00E20938"/>
    <w:rsid w:val="00E213B3"/>
    <w:rsid w:val="00E27346"/>
    <w:rsid w:val="00E3444E"/>
    <w:rsid w:val="00E36B9B"/>
    <w:rsid w:val="00E37FD1"/>
    <w:rsid w:val="00E44AEB"/>
    <w:rsid w:val="00E5663D"/>
    <w:rsid w:val="00E623EE"/>
    <w:rsid w:val="00E66F59"/>
    <w:rsid w:val="00E71BC8"/>
    <w:rsid w:val="00E7260F"/>
    <w:rsid w:val="00E732E5"/>
    <w:rsid w:val="00E7550D"/>
    <w:rsid w:val="00E779FC"/>
    <w:rsid w:val="00E82FE4"/>
    <w:rsid w:val="00E83EE2"/>
    <w:rsid w:val="00E92293"/>
    <w:rsid w:val="00E96630"/>
    <w:rsid w:val="00E970CE"/>
    <w:rsid w:val="00EA2E29"/>
    <w:rsid w:val="00EA4A97"/>
    <w:rsid w:val="00EB1ABD"/>
    <w:rsid w:val="00EB2581"/>
    <w:rsid w:val="00EB3979"/>
    <w:rsid w:val="00EB4B4B"/>
    <w:rsid w:val="00EB5799"/>
    <w:rsid w:val="00EC1347"/>
    <w:rsid w:val="00EC46D5"/>
    <w:rsid w:val="00EC77E2"/>
    <w:rsid w:val="00ED7A04"/>
    <w:rsid w:val="00ED7A2A"/>
    <w:rsid w:val="00EE6AA5"/>
    <w:rsid w:val="00EF1CF3"/>
    <w:rsid w:val="00EF1D7F"/>
    <w:rsid w:val="00F016DF"/>
    <w:rsid w:val="00F06B97"/>
    <w:rsid w:val="00F11A14"/>
    <w:rsid w:val="00F12B5F"/>
    <w:rsid w:val="00F20C3D"/>
    <w:rsid w:val="00F22077"/>
    <w:rsid w:val="00F25750"/>
    <w:rsid w:val="00F43E9E"/>
    <w:rsid w:val="00F53846"/>
    <w:rsid w:val="00F651A1"/>
    <w:rsid w:val="00F662F0"/>
    <w:rsid w:val="00F67EFA"/>
    <w:rsid w:val="00F70FF4"/>
    <w:rsid w:val="00F71A43"/>
    <w:rsid w:val="00F8019D"/>
    <w:rsid w:val="00F80270"/>
    <w:rsid w:val="00F83934"/>
    <w:rsid w:val="00F9057C"/>
    <w:rsid w:val="00F906D7"/>
    <w:rsid w:val="00F93781"/>
    <w:rsid w:val="00F9392C"/>
    <w:rsid w:val="00F95A79"/>
    <w:rsid w:val="00FA004C"/>
    <w:rsid w:val="00FA321A"/>
    <w:rsid w:val="00FA326B"/>
    <w:rsid w:val="00FA5EC1"/>
    <w:rsid w:val="00FB46BA"/>
    <w:rsid w:val="00FB53D5"/>
    <w:rsid w:val="00FB613B"/>
    <w:rsid w:val="00FC68B7"/>
    <w:rsid w:val="00FD6374"/>
    <w:rsid w:val="00FE106A"/>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rPr>
      <w:lang/>
    </w:r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link w:val="Heading3Char"/>
    <w:qFormat/>
    <w:rsid w:val="000272B3"/>
    <w:pPr>
      <w:spacing w:line="240" w:lineRule="auto"/>
      <w:outlineLvl w:val="2"/>
    </w:pPr>
    <w:rPr>
      <w:lang/>
    </w:r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rsid w:val="000272B3"/>
    <w:pPr>
      <w:pBdr>
        <w:bottom w:val="single" w:sz="4" w:space="4" w:color="auto"/>
      </w:pBdr>
      <w:spacing w:line="240" w:lineRule="auto"/>
    </w:pPr>
    <w:rPr>
      <w:b/>
      <w:sz w:val="18"/>
      <w:lang/>
    </w:rPr>
  </w:style>
  <w:style w:type="table" w:styleId="TableGrid">
    <w:name w:val="Table Grid"/>
    <w:basedOn w:val="TableNormal"/>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Текст сноски Знак1,Текст сноски Знак Знак Знак Знак Знак Знак Знак1,Текст сноски Знак Знак Знак Знак1,Текст сноски Знак Знак Знак1,Текст сноски Знак Знак Знак Знак Знак Знак Зна, Char2,Char2,Footnote Text Char Char Char,5_GR,single spa"/>
    <w:basedOn w:val="Normal"/>
    <w:link w:val="FootnoteTextChar"/>
    <w:rsid w:val="000272B3"/>
    <w:pPr>
      <w:tabs>
        <w:tab w:val="right" w:pos="1021"/>
      </w:tabs>
      <w:spacing w:line="220" w:lineRule="exact"/>
      <w:ind w:left="1134" w:right="1134" w:hanging="1134"/>
    </w:pPr>
    <w:rPr>
      <w:sz w:val="18"/>
      <w:lang/>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4_GR,ftref,16 Point,Superscript 6 Point,Footnote Reference Number"/>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lang/>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Текст сноски Знак1 Char,Текст сноски Знак Знак Знак Знак Знак Знак Знак1 Char,Текст сноски Знак Знак Знак Знак1 Char,Текст сноски Знак Знак Знак1 Char,Текст сноски Знак Знак Знак Знак Знак Знак Зна Char, Char2 Char,Char2 Char"/>
    <w:link w:val="FootnoteText"/>
    <w:rsid w:val="002D5BB0"/>
    <w:rPr>
      <w:sz w:val="18"/>
      <w:lang w:eastAsia="en-US"/>
    </w:rPr>
  </w:style>
  <w:style w:type="character" w:customStyle="1" w:styleId="Heading1Char">
    <w:name w:val="Heading 1 Char"/>
    <w:aliases w:val="Table_G Char"/>
    <w:link w:val="Heading1"/>
    <w:locked/>
    <w:rsid w:val="002D5BB0"/>
    <w:rPr>
      <w:lang w:eastAsia="en-US"/>
    </w:rPr>
  </w:style>
  <w:style w:type="character" w:customStyle="1" w:styleId="Heading3Char">
    <w:name w:val="Heading 3 Char"/>
    <w:link w:val="Heading3"/>
    <w:locked/>
    <w:rsid w:val="002D5BB0"/>
    <w:rPr>
      <w:lang w:eastAsia="en-US"/>
    </w:rPr>
  </w:style>
  <w:style w:type="paragraph" w:styleId="NormalWeb">
    <w:name w:val="Normal (Web)"/>
    <w:basedOn w:val="Normal"/>
    <w:link w:val="NormalWebChar"/>
    <w:rsid w:val="002D5BB0"/>
    <w:pPr>
      <w:suppressAutoHyphens w:val="0"/>
      <w:spacing w:before="100" w:beforeAutospacing="1" w:after="100" w:afterAutospacing="1" w:line="240" w:lineRule="auto"/>
    </w:pPr>
    <w:rPr>
      <w:rFonts w:ascii="Gulim" w:eastAsia="Gulim" w:hAnsi="Gulim"/>
      <w:sz w:val="24"/>
      <w:szCs w:val="24"/>
      <w:lang/>
    </w:rPr>
  </w:style>
  <w:style w:type="character" w:customStyle="1" w:styleId="NormalWebChar">
    <w:name w:val="Normal (Web) Char"/>
    <w:link w:val="NormalWeb"/>
    <w:locked/>
    <w:rsid w:val="002D5BB0"/>
    <w:rPr>
      <w:rFonts w:ascii="Gulim" w:eastAsia="Gulim" w:hAnsi="Gulim"/>
      <w:sz w:val="24"/>
      <w:szCs w:val="24"/>
      <w:lang/>
    </w:rPr>
  </w:style>
  <w:style w:type="character" w:styleId="Strong">
    <w:name w:val="Strong"/>
    <w:qFormat/>
    <w:rsid w:val="002D5BB0"/>
    <w:rPr>
      <w:b/>
    </w:rPr>
  </w:style>
  <w:style w:type="paragraph" w:styleId="BalloonText">
    <w:name w:val="Balloon Text"/>
    <w:basedOn w:val="Normal"/>
    <w:link w:val="BalloonTextChar"/>
    <w:rsid w:val="002D5BB0"/>
    <w:pPr>
      <w:widowControl w:val="0"/>
      <w:suppressAutoHyphens w:val="0"/>
      <w:wordWrap w:val="0"/>
      <w:autoSpaceDE w:val="0"/>
      <w:autoSpaceDN w:val="0"/>
      <w:spacing w:line="240" w:lineRule="auto"/>
      <w:jc w:val="both"/>
    </w:pPr>
    <w:rPr>
      <w:rFonts w:ascii="Tahoma" w:eastAsia="Batang" w:hAnsi="Tahoma"/>
      <w:kern w:val="2"/>
      <w:sz w:val="16"/>
      <w:szCs w:val="16"/>
      <w:lang w:val="en-US" w:eastAsia="ko-KR"/>
    </w:rPr>
  </w:style>
  <w:style w:type="character" w:customStyle="1" w:styleId="BalloonTextChar">
    <w:name w:val="Balloon Text Char"/>
    <w:link w:val="BalloonText"/>
    <w:rsid w:val="002D5BB0"/>
    <w:rPr>
      <w:rFonts w:ascii="Tahoma" w:eastAsia="Batang" w:hAnsi="Tahoma"/>
      <w:kern w:val="2"/>
      <w:sz w:val="16"/>
      <w:szCs w:val="16"/>
      <w:lang w:val="en-US" w:eastAsia="ko-KR"/>
    </w:rPr>
  </w:style>
  <w:style w:type="character" w:styleId="CommentReference">
    <w:name w:val="annotation reference"/>
    <w:rsid w:val="002D5BB0"/>
    <w:rPr>
      <w:rFonts w:cs="Times New Roman"/>
      <w:sz w:val="16"/>
      <w:szCs w:val="16"/>
    </w:rPr>
  </w:style>
  <w:style w:type="paragraph" w:styleId="CommentText">
    <w:name w:val="annotation text"/>
    <w:basedOn w:val="Normal"/>
    <w:link w:val="CommentTextChar"/>
    <w:rsid w:val="002D5BB0"/>
    <w:pPr>
      <w:widowControl w:val="0"/>
      <w:suppressAutoHyphens w:val="0"/>
      <w:wordWrap w:val="0"/>
      <w:autoSpaceDE w:val="0"/>
      <w:autoSpaceDN w:val="0"/>
      <w:spacing w:line="240" w:lineRule="auto"/>
      <w:jc w:val="both"/>
    </w:pPr>
    <w:rPr>
      <w:rFonts w:ascii="Batang" w:eastAsia="Batang"/>
      <w:kern w:val="2"/>
      <w:lang w:val="en-US" w:eastAsia="ko-KR"/>
    </w:rPr>
  </w:style>
  <w:style w:type="character" w:customStyle="1" w:styleId="CommentTextChar">
    <w:name w:val="Comment Text Char"/>
    <w:link w:val="CommentText"/>
    <w:rsid w:val="002D5BB0"/>
    <w:rPr>
      <w:rFonts w:ascii="Batang" w:eastAsia="Batang"/>
      <w:kern w:val="2"/>
      <w:lang w:val="en-US" w:eastAsia="ko-KR"/>
    </w:rPr>
  </w:style>
  <w:style w:type="paragraph" w:styleId="CommentSubject">
    <w:name w:val="annotation subject"/>
    <w:basedOn w:val="CommentText"/>
    <w:next w:val="CommentText"/>
    <w:link w:val="CommentSubjectChar"/>
    <w:rsid w:val="002D5BB0"/>
    <w:rPr>
      <w:b/>
      <w:bCs/>
    </w:rPr>
  </w:style>
  <w:style w:type="character" w:customStyle="1" w:styleId="CommentSubjectChar">
    <w:name w:val="Comment Subject Char"/>
    <w:link w:val="CommentSubject"/>
    <w:rsid w:val="002D5BB0"/>
    <w:rPr>
      <w:rFonts w:ascii="Batang" w:eastAsia="Batang"/>
      <w:b/>
      <w:bCs/>
      <w:kern w:val="2"/>
      <w:lang w:val="en-US" w:eastAsia="ko-KR"/>
    </w:rPr>
  </w:style>
  <w:style w:type="character" w:customStyle="1" w:styleId="HeaderChar">
    <w:name w:val="Header Char"/>
    <w:aliases w:val="6_G Char"/>
    <w:link w:val="Header"/>
    <w:locked/>
    <w:rsid w:val="002D5BB0"/>
    <w:rPr>
      <w:b/>
      <w:sz w:val="18"/>
      <w:lang w:eastAsia="en-US"/>
    </w:rPr>
  </w:style>
  <w:style w:type="character" w:customStyle="1" w:styleId="FooterChar">
    <w:name w:val="Footer Char"/>
    <w:aliases w:val="3_G Char"/>
    <w:link w:val="Footer"/>
    <w:locked/>
    <w:rsid w:val="002D5BB0"/>
    <w:rPr>
      <w:sz w:val="16"/>
      <w:lang w:eastAsia="en-US"/>
    </w:rPr>
  </w:style>
  <w:style w:type="paragraph" w:customStyle="1" w:styleId="a">
    <w:name w:val="바탕글"/>
    <w:basedOn w:val="Normal"/>
    <w:rsid w:val="002D5BB0"/>
    <w:pPr>
      <w:suppressAutoHyphens w:val="0"/>
      <w:snapToGrid w:val="0"/>
      <w:spacing w:line="384" w:lineRule="auto"/>
      <w:jc w:val="both"/>
    </w:pPr>
    <w:rPr>
      <w:rFonts w:hAnsi="Batang" w:cs="Gulim"/>
      <w:color w:val="000000"/>
      <w:sz w:val="24"/>
      <w:lang w:val="en-US" w:eastAsia="ko-KR"/>
    </w:rPr>
  </w:style>
  <w:style w:type="paragraph" w:styleId="Revision">
    <w:name w:val="Revision"/>
    <w:hidden/>
    <w:semiHidden/>
    <w:rsid w:val="002D5BB0"/>
    <w:rPr>
      <w:rFonts w:ascii="Batang" w:eastAsia="Batang"/>
      <w:kern w:val="2"/>
      <w:szCs w:val="24"/>
      <w:lang w:eastAsia="ko-KR"/>
    </w:rPr>
  </w:style>
  <w:style w:type="character" w:customStyle="1" w:styleId="BodyTextChar">
    <w:name w:val="Body Text Char"/>
    <w:link w:val="BodyText"/>
    <w:locked/>
    <w:rsid w:val="002D5BB0"/>
    <w:rPr>
      <w:rFonts w:ascii="Batang" w:hAnsi="Batang" w:cs="Gulim"/>
      <w:color w:val="000000"/>
    </w:rPr>
  </w:style>
  <w:style w:type="paragraph" w:styleId="BodyText">
    <w:name w:val="Body Text"/>
    <w:basedOn w:val="Normal"/>
    <w:link w:val="BodyTextChar"/>
    <w:rsid w:val="002D5BB0"/>
    <w:pPr>
      <w:suppressAutoHyphens w:val="0"/>
      <w:snapToGrid w:val="0"/>
      <w:spacing w:line="384" w:lineRule="auto"/>
      <w:ind w:left="600"/>
      <w:jc w:val="both"/>
    </w:pPr>
    <w:rPr>
      <w:rFonts w:ascii="Batang" w:hAnsi="Batang"/>
      <w:color w:val="000000"/>
      <w:lang/>
    </w:rPr>
  </w:style>
  <w:style w:type="character" w:customStyle="1" w:styleId="BodyTextChar1">
    <w:name w:val="Body Text Char1"/>
    <w:rsid w:val="002D5BB0"/>
    <w:rPr>
      <w:lang w:eastAsia="en-US"/>
    </w:rPr>
  </w:style>
  <w:style w:type="character" w:customStyle="1" w:styleId="Char1">
    <w:name w:val="본문 Char1"/>
    <w:semiHidden/>
    <w:locked/>
    <w:rsid w:val="002D5BB0"/>
    <w:rPr>
      <w:rFonts w:ascii="Batang" w:eastAsia="Batang" w:hAnsi="Times New Roman" w:cs="Times New Roman"/>
      <w:kern w:val="2"/>
      <w:sz w:val="24"/>
      <w:szCs w:val="24"/>
    </w:rPr>
  </w:style>
  <w:style w:type="paragraph" w:customStyle="1" w:styleId="a0">
    <w:name w:val="쪽"/>
    <w:basedOn w:val="Normal"/>
    <w:rsid w:val="002D5BB0"/>
    <w:pPr>
      <w:suppressAutoHyphens w:val="0"/>
      <w:spacing w:before="100" w:beforeAutospacing="1" w:after="100" w:afterAutospacing="1" w:line="240" w:lineRule="auto"/>
    </w:pPr>
    <w:rPr>
      <w:rFonts w:ascii="Gulim" w:hAnsi="Gulim" w:cs="Gulim"/>
      <w:sz w:val="24"/>
      <w:szCs w:val="24"/>
      <w:lang w:val="en-US" w:eastAsia="ko-KR"/>
    </w:rPr>
  </w:style>
  <w:style w:type="character" w:styleId="LineNumber">
    <w:name w:val="line number"/>
    <w:rsid w:val="002D5BB0"/>
    <w:rPr>
      <w:rFonts w:cs="Times New Roman"/>
    </w:rPr>
  </w:style>
  <w:style w:type="paragraph" w:styleId="TOCHeading">
    <w:name w:val="TOC Heading"/>
    <w:basedOn w:val="Heading1"/>
    <w:next w:val="Normal"/>
    <w:qFormat/>
    <w:rsid w:val="002D5BB0"/>
    <w:pPr>
      <w:keepNext/>
      <w:keepLines/>
      <w:suppressAutoHyphens w:val="0"/>
      <w:spacing w:before="480" w:line="276" w:lineRule="auto"/>
      <w:ind w:left="0"/>
      <w:outlineLvl w:val="9"/>
    </w:pPr>
    <w:rPr>
      <w:rFonts w:ascii="Malgun Gothic" w:eastAsia="Malgun Gothic" w:hAnsi="Malgun Gothic"/>
      <w:b/>
      <w:bCs/>
      <w:color w:val="365F91"/>
      <w:sz w:val="28"/>
      <w:szCs w:val="28"/>
      <w:lang/>
    </w:rPr>
  </w:style>
  <w:style w:type="paragraph" w:styleId="TOC2">
    <w:name w:val="toc 2"/>
    <w:basedOn w:val="Normal"/>
    <w:next w:val="Normal"/>
    <w:autoRedefine/>
    <w:rsid w:val="002D5BB0"/>
    <w:pPr>
      <w:tabs>
        <w:tab w:val="right" w:leader="dot" w:pos="9016"/>
      </w:tabs>
      <w:suppressAutoHyphens w:val="0"/>
      <w:snapToGrid w:val="0"/>
      <w:spacing w:after="100" w:line="240" w:lineRule="auto"/>
    </w:pPr>
    <w:rPr>
      <w:rFonts w:eastAsia="Malgun Gothic"/>
      <w:noProof/>
      <w:spacing w:val="-4"/>
      <w:lang w:val="en-US" w:eastAsia="ko-KR"/>
    </w:rPr>
  </w:style>
  <w:style w:type="paragraph" w:styleId="TOC1">
    <w:name w:val="toc 1"/>
    <w:basedOn w:val="Normal"/>
    <w:next w:val="Normal"/>
    <w:autoRedefine/>
    <w:rsid w:val="002D5BB0"/>
    <w:pPr>
      <w:suppressAutoHyphens w:val="0"/>
      <w:spacing w:after="100" w:line="276" w:lineRule="auto"/>
    </w:pPr>
    <w:rPr>
      <w:rFonts w:ascii="Malgun Gothic" w:eastAsia="Malgun Gothic" w:hAnsi="Malgun Gothic"/>
      <w:sz w:val="22"/>
      <w:szCs w:val="22"/>
      <w:lang w:val="en-US" w:eastAsia="ko-KR"/>
    </w:rPr>
  </w:style>
  <w:style w:type="paragraph" w:styleId="TOC3">
    <w:name w:val="toc 3"/>
    <w:basedOn w:val="Normal"/>
    <w:next w:val="Normal"/>
    <w:autoRedefine/>
    <w:rsid w:val="002D5BB0"/>
    <w:pPr>
      <w:suppressAutoHyphens w:val="0"/>
      <w:spacing w:after="100" w:line="276" w:lineRule="auto"/>
      <w:ind w:left="440"/>
    </w:pPr>
    <w:rPr>
      <w:rFonts w:ascii="Malgun Gothic" w:eastAsia="Malgun Gothic" w:hAnsi="Malgun Gothic"/>
      <w:sz w:val="22"/>
      <w:szCs w:val="22"/>
      <w:lang w:val="en-US" w:eastAsia="ko-KR"/>
    </w:rPr>
  </w:style>
  <w:style w:type="paragraph" w:customStyle="1" w:styleId="1">
    <w:name w:val="제목1"/>
    <w:basedOn w:val="Normal"/>
    <w:link w:val="1Char"/>
    <w:rsid w:val="002D5BB0"/>
    <w:pPr>
      <w:suppressAutoHyphens w:val="0"/>
      <w:spacing w:before="60" w:line="276" w:lineRule="auto"/>
      <w:jc w:val="center"/>
    </w:pPr>
    <w:rPr>
      <w:rFonts w:eastAsia="HYHeadLine-Medium"/>
      <w:b/>
      <w:bCs/>
      <w:color w:val="000000"/>
      <w:sz w:val="28"/>
      <w:szCs w:val="28"/>
      <w:lang/>
    </w:rPr>
  </w:style>
  <w:style w:type="character" w:customStyle="1" w:styleId="1Char">
    <w:name w:val="제목1 Char"/>
    <w:link w:val="1"/>
    <w:locked/>
    <w:rsid w:val="002D5BB0"/>
    <w:rPr>
      <w:rFonts w:eastAsia="HYHeadLine-Medium"/>
      <w:b/>
      <w:bCs/>
      <w:color w:val="000000"/>
      <w:sz w:val="28"/>
      <w:szCs w:val="28"/>
      <w:lang/>
    </w:rPr>
  </w:style>
  <w:style w:type="paragraph" w:customStyle="1" w:styleId="2">
    <w:name w:val="제목2"/>
    <w:basedOn w:val="NormalWeb"/>
    <w:link w:val="2Char"/>
    <w:rsid w:val="002D5BB0"/>
    <w:pPr>
      <w:spacing w:before="60" w:beforeAutospacing="0" w:after="0" w:afterAutospacing="0" w:line="276" w:lineRule="auto"/>
      <w:jc w:val="center"/>
    </w:pPr>
    <w:rPr>
      <w:rFonts w:ascii="Times New Roman" w:eastAsia="휴먼명조,한컴돋움" w:hAnsi="Times New Roman"/>
      <w:b/>
      <w:bCs/>
      <w:color w:val="000000"/>
    </w:rPr>
  </w:style>
  <w:style w:type="character" w:customStyle="1" w:styleId="2Char">
    <w:name w:val="제목2 Char"/>
    <w:link w:val="2"/>
    <w:locked/>
    <w:rsid w:val="002D5BB0"/>
    <w:rPr>
      <w:rFonts w:eastAsia="휴먼명조,한컴돋움"/>
      <w:b/>
      <w:bCs/>
      <w:color w:val="000000"/>
      <w:sz w:val="24"/>
      <w:szCs w:val="24"/>
      <w:lang/>
    </w:rPr>
  </w:style>
  <w:style w:type="paragraph" w:customStyle="1" w:styleId="10">
    <w:name w:val="소제목1"/>
    <w:basedOn w:val="NormalWeb"/>
    <w:link w:val="1Char0"/>
    <w:rsid w:val="002D5BB0"/>
    <w:pPr>
      <w:spacing w:before="60" w:beforeAutospacing="0" w:after="0" w:afterAutospacing="0" w:line="276" w:lineRule="auto"/>
      <w:jc w:val="both"/>
    </w:pPr>
    <w:rPr>
      <w:rFonts w:ascii="Times New Roman" w:eastAsia="휴먼명조,한컴돋움" w:hAnsi="Times New Roman"/>
      <w:b/>
      <w:bCs/>
      <w:color w:val="000000"/>
    </w:rPr>
  </w:style>
  <w:style w:type="character" w:customStyle="1" w:styleId="1Char0">
    <w:name w:val="소제목1 Char"/>
    <w:link w:val="10"/>
    <w:locked/>
    <w:rsid w:val="002D5BB0"/>
    <w:rPr>
      <w:rFonts w:eastAsia="휴먼명조,한컴돋움"/>
      <w:b/>
      <w:bCs/>
      <w:color w:val="000000"/>
      <w:sz w:val="24"/>
      <w:szCs w:val="24"/>
      <w:lang/>
    </w:rPr>
  </w:style>
  <w:style w:type="character" w:customStyle="1" w:styleId="CharChar">
    <w:name w:val=" Char Char"/>
    <w:locked/>
    <w:rsid w:val="002D5BB0"/>
    <w:rPr>
      <w:rFonts w:cs="Times New Roman"/>
    </w:rPr>
  </w:style>
  <w:style w:type="character" w:customStyle="1" w:styleId="CharChar9">
    <w:name w:val=" Char Char9"/>
    <w:locked/>
    <w:rsid w:val="002D5BB0"/>
    <w:rPr>
      <w:rFonts w:ascii="Malgun Gothic" w:eastAsia="Malgun Gothic" w:hAnsi="Malgun Gothic"/>
      <w:kern w:val="2"/>
      <w:sz w:val="28"/>
      <w:szCs w:val="28"/>
      <w:lang w:val="en-US" w:eastAsia="ko-KR" w:bidi="ar-SA"/>
    </w:rPr>
  </w:style>
  <w:style w:type="character" w:customStyle="1" w:styleId="CharChar8">
    <w:name w:val=" Char Char8"/>
    <w:semiHidden/>
    <w:locked/>
    <w:rsid w:val="002D5BB0"/>
    <w:rPr>
      <w:rFonts w:ascii="Malgun Gothic" w:eastAsia="Malgun Gothic" w:hAnsi="Malgun Gothic"/>
      <w:kern w:val="2"/>
      <w:sz w:val="24"/>
      <w:szCs w:val="24"/>
      <w:lang w:val="en-US" w:eastAsia="ko-KR" w:bidi="ar-SA"/>
    </w:rPr>
  </w:style>
  <w:style w:type="character" w:customStyle="1" w:styleId="CharChar7">
    <w:name w:val=" Char Char7"/>
    <w:locked/>
    <w:rsid w:val="002D5BB0"/>
    <w:rPr>
      <w:rFonts w:ascii="Gulim" w:eastAsia="Gulim" w:hAnsi="Gulim" w:cs="Gulim"/>
      <w:sz w:val="24"/>
      <w:szCs w:val="24"/>
      <w:lang w:val="en-US" w:eastAsia="ko-KR" w:bidi="ar-SA"/>
    </w:rPr>
  </w:style>
  <w:style w:type="character" w:customStyle="1" w:styleId="CharChar6">
    <w:name w:val=" Char Char6"/>
    <w:locked/>
    <w:rsid w:val="002D5BB0"/>
    <w:rPr>
      <w:rFonts w:ascii="Arial" w:eastAsia="Dotum" w:hAnsi="Arial"/>
      <w:kern w:val="2"/>
      <w:sz w:val="18"/>
      <w:szCs w:val="18"/>
      <w:lang w:val="en-US" w:eastAsia="ko-KR" w:bidi="ar-SA"/>
    </w:rPr>
  </w:style>
  <w:style w:type="character" w:customStyle="1" w:styleId="CharChar5">
    <w:name w:val=" Char Char5"/>
    <w:locked/>
    <w:rsid w:val="002D5BB0"/>
    <w:rPr>
      <w:rFonts w:eastAsia="Malgun Gothic"/>
      <w:kern w:val="2"/>
      <w:sz w:val="24"/>
      <w:szCs w:val="24"/>
      <w:lang w:val="en-US" w:eastAsia="ko-KR" w:bidi="ar-SA"/>
    </w:rPr>
  </w:style>
  <w:style w:type="character" w:customStyle="1" w:styleId="CharChar4">
    <w:name w:val=" Char Char4"/>
    <w:locked/>
    <w:rsid w:val="002D5BB0"/>
    <w:rPr>
      <w:rFonts w:eastAsia="Malgun Gothic"/>
      <w:b/>
      <w:bCs/>
      <w:kern w:val="2"/>
      <w:sz w:val="24"/>
      <w:szCs w:val="24"/>
      <w:lang w:val="en-US" w:eastAsia="ko-KR" w:bidi="ar-SA"/>
    </w:rPr>
  </w:style>
  <w:style w:type="character" w:customStyle="1" w:styleId="CharChar3">
    <w:name w:val=" Char Char3"/>
    <w:locked/>
    <w:rsid w:val="002D5BB0"/>
    <w:rPr>
      <w:rFonts w:eastAsia="Malgun Gothic"/>
      <w:kern w:val="2"/>
      <w:sz w:val="24"/>
      <w:szCs w:val="24"/>
      <w:lang w:val="en-US" w:eastAsia="ko-KR" w:bidi="ar-SA"/>
    </w:rPr>
  </w:style>
  <w:style w:type="character" w:customStyle="1" w:styleId="CharChar2">
    <w:name w:val=" Char Char2"/>
    <w:locked/>
    <w:rsid w:val="002D5BB0"/>
    <w:rPr>
      <w:rFonts w:eastAsia="Malgun Gothic"/>
      <w:kern w:val="2"/>
      <w:sz w:val="24"/>
      <w:szCs w:val="24"/>
      <w:lang w:val="en-US" w:eastAsia="ko-KR" w:bidi="ar-SA"/>
    </w:rPr>
  </w:style>
  <w:style w:type="character" w:customStyle="1" w:styleId="CharChar1">
    <w:name w:val=" Char Char1"/>
    <w:locked/>
    <w:rsid w:val="002D5BB0"/>
    <w:rPr>
      <w:rFonts w:ascii="Batang" w:hAnsi="Batang"/>
      <w:color w:val="000000"/>
      <w:lang w:bidi="ar-SA"/>
    </w:rPr>
  </w:style>
  <w:style w:type="character" w:customStyle="1" w:styleId="SingleTxtGChar">
    <w:name w:val="_ Single Txt_G Char"/>
    <w:link w:val="SingleTxtG"/>
    <w:rsid w:val="00820CC9"/>
    <w:rPr>
      <w:lang w:val="en-GB" w:eastAsia="en-US" w:bidi="ar-SA"/>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CCPR_E.dotm</Template>
  <TotalTime>0</TotalTime>
  <Pages>1</Pages>
  <Words>47164</Words>
  <Characters>268837</Characters>
  <Application>Microsoft Office Outlook</Application>
  <DocSecurity>4</DocSecurity>
  <Lines>2240</Lines>
  <Paragraphs>630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315371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Guest OHCHR</dc:creator>
  <cp:keywords/>
  <cp:lastModifiedBy>DCM</cp:lastModifiedBy>
  <cp:revision>2</cp:revision>
  <cp:lastPrinted>2013-11-01T15:46:00Z</cp:lastPrinted>
  <dcterms:created xsi:type="dcterms:W3CDTF">2013-11-04T13:43:00Z</dcterms:created>
  <dcterms:modified xsi:type="dcterms:W3CDTF">2013-11-04T13:43:00Z</dcterms:modified>
</cp:coreProperties>
</file>