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Pr="00D37790" w:rsidRDefault="00E06285">
            <w:pPr>
              <w:spacing w:line="240" w:lineRule="atLeast"/>
              <w:jc w:val="right"/>
              <w:rPr>
                <w:rFonts w:hint="eastAsia"/>
                <w:sz w:val="20"/>
                <w:szCs w:val="21"/>
              </w:rPr>
            </w:pPr>
            <w:r>
              <w:rPr>
                <w:sz w:val="40"/>
                <w:szCs w:val="40"/>
              </w:rPr>
              <w:t>CR</w:t>
            </w:r>
            <w:r w:rsidR="00FC7FE9">
              <w:rPr>
                <w:sz w:val="40"/>
                <w:szCs w:val="40"/>
              </w:rPr>
              <w:t>PD</w:t>
            </w:r>
            <w:r w:rsidRPr="00DA36A7">
              <w:rPr>
                <w:sz w:val="20"/>
              </w:rPr>
              <w:t>/</w:t>
            </w:r>
            <w:r w:rsidR="00D37790" w:rsidRPr="00D37790">
              <w:rPr>
                <w:sz w:val="20"/>
              </w:rPr>
              <w:t>C/14/D/21/2014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FC7FE9" w:rsidRDefault="00FC7FE9">
            <w:pPr>
              <w:spacing w:before="160" w:line="240" w:lineRule="auto"/>
              <w:rPr>
                <w:rFonts w:eastAsia="SimHei" w:hint="eastAsia"/>
                <w:spacing w:val="10"/>
                <w:sz w:val="36"/>
                <w:szCs w:val="36"/>
              </w:rPr>
            </w:pPr>
            <w:r w:rsidRPr="00FC7FE9">
              <w:rPr>
                <w:rFonts w:eastAsia="SimHei" w:hint="eastAsia"/>
                <w:spacing w:val="10"/>
                <w:sz w:val="36"/>
                <w:szCs w:val="36"/>
              </w:rPr>
              <w:t>残疾人</w:t>
            </w:r>
            <w:r w:rsidR="00E06285" w:rsidRPr="00FC7FE9">
              <w:rPr>
                <w:rFonts w:eastAsia="SimHei" w:hint="eastAsia"/>
                <w:spacing w:val="10"/>
                <w:sz w:val="36"/>
                <w:szCs w:val="36"/>
              </w:rPr>
              <w:t>权利公约</w:t>
            </w:r>
          </w:p>
        </w:tc>
        <w:tc>
          <w:tcPr>
            <w:tcW w:w="2819" w:type="dxa"/>
            <w:tcBorders>
              <w:top w:val="single" w:sz="4" w:space="0" w:color="auto"/>
              <w:bottom w:val="single" w:sz="12" w:space="0" w:color="auto"/>
            </w:tcBorders>
          </w:tcPr>
          <w:p w:rsidR="00E06285" w:rsidRPr="00DA36A7" w:rsidRDefault="00FC7FE9" w:rsidP="00DA36A7">
            <w:pPr>
              <w:spacing w:before="240" w:line="240" w:lineRule="atLeast"/>
              <w:rPr>
                <w:sz w:val="20"/>
              </w:rPr>
            </w:pPr>
            <w:r>
              <w:rPr>
                <w:sz w:val="20"/>
              </w:rPr>
              <w:t>Distr.: General</w:t>
            </w:r>
          </w:p>
          <w:p w:rsidR="00E06285" w:rsidRPr="00D37790" w:rsidRDefault="00D37790">
            <w:pPr>
              <w:spacing w:line="240" w:lineRule="atLeast"/>
              <w:rPr>
                <w:sz w:val="20"/>
              </w:rPr>
            </w:pPr>
            <w:r w:rsidRPr="00D37790">
              <w:rPr>
                <w:sz w:val="20"/>
              </w:rPr>
              <w:t>21 September 2015</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900DBD" w:rsidRDefault="00900DBD" w:rsidP="00900DBD">
      <w:pPr>
        <w:spacing w:before="120"/>
        <w:rPr>
          <w:rFonts w:eastAsia="SimHei" w:hint="eastAsia"/>
          <w:sz w:val="24"/>
          <w:szCs w:val="24"/>
          <w:lang w:val="fr-CH"/>
        </w:rPr>
      </w:pPr>
      <w:r>
        <w:rPr>
          <w:rFonts w:eastAsia="SimHei" w:hint="eastAsia"/>
          <w:sz w:val="24"/>
          <w:szCs w:val="24"/>
          <w:lang w:val="fr-CH"/>
        </w:rPr>
        <w:t>残疾人权利委员会</w:t>
      </w:r>
    </w:p>
    <w:p w:rsidR="00A7264C" w:rsidRPr="00A7264C" w:rsidRDefault="00A7264C" w:rsidP="00A7264C">
      <w:pPr>
        <w:pStyle w:val="HChGC"/>
      </w:pPr>
      <w:r>
        <w:rPr>
          <w:rFonts w:hint="eastAsia"/>
        </w:rPr>
        <w:tab/>
      </w:r>
      <w:r>
        <w:rPr>
          <w:rFonts w:hint="eastAsia"/>
        </w:rPr>
        <w:tab/>
      </w:r>
      <w:r w:rsidRPr="00A7264C">
        <w:rPr>
          <w:rFonts w:hint="eastAsia"/>
        </w:rPr>
        <w:t>第</w:t>
      </w:r>
      <w:r w:rsidRPr="00A7264C">
        <w:rPr>
          <w:rFonts w:hint="eastAsia"/>
        </w:rPr>
        <w:t>21/2014</w:t>
      </w:r>
      <w:r w:rsidRPr="00A7264C">
        <w:rPr>
          <w:rFonts w:hint="eastAsia"/>
        </w:rPr>
        <w:t>号来文</w:t>
      </w:r>
    </w:p>
    <w:p w:rsidR="00A7264C" w:rsidRPr="00A7264C" w:rsidRDefault="00A7264C" w:rsidP="00A7264C">
      <w:pPr>
        <w:pStyle w:val="H1GC"/>
        <w:rPr>
          <w:rFonts w:hint="eastAsia"/>
        </w:rPr>
      </w:pPr>
      <w:r>
        <w:tab/>
      </w:r>
      <w:r>
        <w:tab/>
      </w:r>
      <w:r w:rsidRPr="00A7264C">
        <w:rPr>
          <w:rFonts w:hint="eastAsia"/>
        </w:rPr>
        <w:t>委员会第十四届会议</w:t>
      </w:r>
      <w:r w:rsidRPr="00A7264C">
        <w:rPr>
          <w:rFonts w:hint="eastAsia"/>
        </w:rPr>
        <w:t>(2015</w:t>
      </w:r>
      <w:r w:rsidRPr="00A7264C">
        <w:rPr>
          <w:rFonts w:hint="eastAsia"/>
        </w:rPr>
        <w:t>年</w:t>
      </w:r>
      <w:r w:rsidRPr="00A7264C">
        <w:rPr>
          <w:rFonts w:hint="eastAsia"/>
        </w:rPr>
        <w:t>8</w:t>
      </w:r>
      <w:r w:rsidRPr="00A7264C">
        <w:rPr>
          <w:rFonts w:hint="eastAsia"/>
        </w:rPr>
        <w:t>月</w:t>
      </w:r>
      <w:r w:rsidRPr="00A7264C">
        <w:rPr>
          <w:rFonts w:hint="eastAsia"/>
        </w:rPr>
        <w:t>17</w:t>
      </w:r>
      <w:r w:rsidRPr="00A7264C">
        <w:rPr>
          <w:rFonts w:hint="eastAsia"/>
        </w:rPr>
        <w:t>日至</w:t>
      </w:r>
      <w:r w:rsidRPr="00A7264C">
        <w:rPr>
          <w:rFonts w:hint="eastAsia"/>
        </w:rPr>
        <w:t>9</w:t>
      </w:r>
      <w:r w:rsidRPr="00A7264C">
        <w:rPr>
          <w:rFonts w:hint="eastAsia"/>
        </w:rPr>
        <w:t>月</w:t>
      </w:r>
      <w:r w:rsidRPr="00A7264C">
        <w:rPr>
          <w:rFonts w:hint="eastAsia"/>
        </w:rPr>
        <w:t>24</w:t>
      </w:r>
      <w:r w:rsidRPr="00A7264C">
        <w:rPr>
          <w:rFonts w:hint="eastAsia"/>
        </w:rPr>
        <w:t>日</w:t>
      </w:r>
      <w:r w:rsidRPr="00A7264C">
        <w:rPr>
          <w:rFonts w:hint="eastAsia"/>
        </w:rPr>
        <w:t>)</w:t>
      </w:r>
      <w:r w:rsidRPr="00A7264C">
        <w:rPr>
          <w:rFonts w:hint="eastAsia"/>
        </w:rPr>
        <w:t>通过的意见</w:t>
      </w:r>
    </w:p>
    <w:tbl>
      <w:tblPr>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A7264C" w:rsidRPr="00EF668B" w:rsidTr="00EF668B">
        <w:trPr>
          <w:cantSplit/>
        </w:trPr>
        <w:tc>
          <w:tcPr>
            <w:tcW w:w="2173"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提交人</w:t>
            </w:r>
            <w:r w:rsidRPr="00EF668B">
              <w:rPr>
                <w:rFonts w:eastAsia="KaiTi_GB2312" w:hint="eastAsia"/>
              </w:rPr>
              <w:t>：</w:t>
            </w:r>
          </w:p>
        </w:tc>
        <w:tc>
          <w:tcPr>
            <w:tcW w:w="4758" w:type="dxa"/>
            <w:shd w:val="clear" w:color="auto" w:fill="auto"/>
          </w:tcPr>
          <w:p w:rsidR="00A7264C" w:rsidRPr="00EF668B" w:rsidRDefault="00A7264C" w:rsidP="00EF668B">
            <w:pPr>
              <w:pStyle w:val="SingleTxtGC"/>
              <w:suppressAutoHyphens/>
              <w:ind w:left="0" w:right="0"/>
              <w:rPr>
                <w:lang w:val="de-CH"/>
              </w:rPr>
            </w:pPr>
            <w:r w:rsidRPr="00EF668B">
              <w:rPr>
                <w:rFonts w:hint="eastAsia"/>
                <w:lang w:val="de-CH"/>
              </w:rPr>
              <w:t>“</w:t>
            </w:r>
            <w:r w:rsidRPr="00EF668B">
              <w:rPr>
                <w:rFonts w:hint="eastAsia"/>
                <w:lang w:val="de-CH"/>
              </w:rPr>
              <w:t>F</w:t>
            </w:r>
            <w:r w:rsidRPr="00EF668B">
              <w:rPr>
                <w:rFonts w:hint="eastAsia"/>
                <w:lang w:val="de-CH"/>
              </w:rPr>
              <w:t>”</w:t>
            </w:r>
            <w:r w:rsidRPr="00EF668B">
              <w:rPr>
                <w:rFonts w:hint="eastAsia"/>
                <w:lang w:val="de-CH"/>
              </w:rPr>
              <w:t>(</w:t>
            </w:r>
            <w:r w:rsidRPr="00A7264C">
              <w:rPr>
                <w:rFonts w:hint="eastAsia"/>
              </w:rPr>
              <w:t>由</w:t>
            </w:r>
            <w:r w:rsidRPr="00EF668B">
              <w:rPr>
                <w:rFonts w:hint="eastAsia"/>
                <w:lang w:val="de-CH"/>
              </w:rPr>
              <w:t>Volker Frey</w:t>
            </w:r>
            <w:r w:rsidRPr="00A7264C">
              <w:rPr>
                <w:rFonts w:hint="eastAsia"/>
              </w:rPr>
              <w:t>代理</w:t>
            </w:r>
            <w:r w:rsidRPr="00EF668B">
              <w:rPr>
                <w:rFonts w:hint="eastAsia"/>
                <w:lang w:val="de-CH"/>
              </w:rPr>
              <w:t>)</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据称受害人：</w:t>
            </w:r>
          </w:p>
        </w:tc>
        <w:tc>
          <w:tcPr>
            <w:tcW w:w="4758" w:type="dxa"/>
            <w:shd w:val="clear" w:color="auto" w:fill="auto"/>
          </w:tcPr>
          <w:p w:rsidR="00A7264C" w:rsidRPr="00A7264C" w:rsidRDefault="00A7264C" w:rsidP="00EF668B">
            <w:pPr>
              <w:pStyle w:val="SingleTxtGC"/>
              <w:suppressAutoHyphens/>
              <w:ind w:left="0" w:right="0"/>
            </w:pPr>
            <w:r w:rsidRPr="00A7264C">
              <w:rPr>
                <w:rFonts w:hint="eastAsia"/>
              </w:rPr>
              <w:t>提交人</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所涉缔约国：</w:t>
            </w:r>
          </w:p>
        </w:tc>
        <w:tc>
          <w:tcPr>
            <w:tcW w:w="4758" w:type="dxa"/>
            <w:shd w:val="clear" w:color="auto" w:fill="auto"/>
          </w:tcPr>
          <w:p w:rsidR="00A7264C" w:rsidRPr="00A7264C" w:rsidRDefault="00A7264C" w:rsidP="00EF668B">
            <w:pPr>
              <w:pStyle w:val="SingleTxtGC"/>
              <w:suppressAutoHyphens/>
              <w:ind w:left="0" w:right="0"/>
            </w:pPr>
            <w:r w:rsidRPr="00A7264C">
              <w:rPr>
                <w:rFonts w:hint="eastAsia"/>
              </w:rPr>
              <w:t>奥地利</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ascii="Time New Roman" w:eastAsia="KaiTi_GB2312" w:hAnsi="Time New Roman" w:hint="eastAsia"/>
              </w:rPr>
            </w:pPr>
            <w:r w:rsidRPr="00EF668B">
              <w:rPr>
                <w:rFonts w:ascii="Time New Roman" w:eastAsia="KaiTi_GB2312" w:hAnsi="Time New Roman" w:hint="eastAsia"/>
              </w:rPr>
              <w:t>来文日期：</w:t>
            </w:r>
          </w:p>
        </w:tc>
        <w:tc>
          <w:tcPr>
            <w:tcW w:w="4758" w:type="dxa"/>
            <w:shd w:val="clear" w:color="auto" w:fill="auto"/>
          </w:tcPr>
          <w:p w:rsidR="00A7264C" w:rsidRPr="00A7264C" w:rsidRDefault="00A7264C" w:rsidP="00EF668B">
            <w:pPr>
              <w:pStyle w:val="SingleTxtGC"/>
              <w:suppressAutoHyphens/>
              <w:ind w:left="0" w:right="0"/>
              <w:rPr>
                <w:rFonts w:hint="eastAsia"/>
              </w:rPr>
            </w:pPr>
            <w:r w:rsidRPr="00A7264C">
              <w:rPr>
                <w:rFonts w:hint="eastAsia"/>
              </w:rPr>
              <w:t>2014</w:t>
            </w:r>
            <w:r w:rsidRPr="00A7264C">
              <w:rPr>
                <w:rFonts w:hint="eastAsia"/>
              </w:rPr>
              <w:t>年</w:t>
            </w:r>
            <w:r w:rsidRPr="00A7264C">
              <w:rPr>
                <w:rFonts w:hint="eastAsia"/>
              </w:rPr>
              <w:t>3</w:t>
            </w:r>
            <w:r w:rsidRPr="00A7264C">
              <w:rPr>
                <w:rFonts w:hint="eastAsia"/>
              </w:rPr>
              <w:t>月</w:t>
            </w:r>
            <w:r w:rsidRPr="00A7264C">
              <w:rPr>
                <w:rFonts w:hint="eastAsia"/>
              </w:rPr>
              <w:t>24</w:t>
            </w:r>
            <w:r w:rsidRPr="00A7264C">
              <w:rPr>
                <w:rFonts w:hint="eastAsia"/>
              </w:rPr>
              <w:t>日</w:t>
            </w:r>
            <w:r w:rsidRPr="00A7264C">
              <w:rPr>
                <w:rFonts w:hint="eastAsia"/>
              </w:rPr>
              <w:t>(</w:t>
            </w:r>
            <w:r w:rsidRPr="00A7264C">
              <w:rPr>
                <w:rFonts w:hint="eastAsia"/>
              </w:rPr>
              <w:t>首次提交</w:t>
            </w:r>
            <w:r w:rsidRPr="00A7264C">
              <w:rPr>
                <w:rFonts w:hint="eastAsia"/>
              </w:rPr>
              <w:t>)</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ascii="Time New Roman" w:eastAsia="KaiTi_GB2312" w:hAnsi="Time New Roman" w:hint="eastAsia"/>
              </w:rPr>
            </w:pPr>
            <w:r w:rsidRPr="00EF668B">
              <w:rPr>
                <w:rFonts w:ascii="Time New Roman" w:eastAsia="KaiTi_GB2312" w:hAnsi="Time New Roman" w:hint="eastAsia"/>
              </w:rPr>
              <w:t>参考文件：</w:t>
            </w:r>
          </w:p>
        </w:tc>
        <w:tc>
          <w:tcPr>
            <w:tcW w:w="4758" w:type="dxa"/>
            <w:shd w:val="clear" w:color="auto" w:fill="auto"/>
          </w:tcPr>
          <w:p w:rsidR="00A7264C" w:rsidRPr="00EF668B" w:rsidRDefault="00A7264C" w:rsidP="00EF668B">
            <w:pPr>
              <w:pStyle w:val="SingleTxtGC"/>
              <w:suppressAutoHyphens/>
              <w:ind w:left="0" w:right="0"/>
              <w:rPr>
                <w:rFonts w:hint="eastAsia"/>
                <w:lang w:val="fr-CH"/>
              </w:rPr>
            </w:pPr>
            <w:r w:rsidRPr="00EF668B">
              <w:rPr>
                <w:rFonts w:hint="eastAsia"/>
                <w:lang w:val="fr-CH"/>
              </w:rPr>
              <w:t>特别报告员根据议事规则第</w:t>
            </w:r>
            <w:r w:rsidRPr="00EF668B">
              <w:rPr>
                <w:rFonts w:hint="eastAsia"/>
                <w:lang w:val="fr-CH"/>
              </w:rPr>
              <w:t>70</w:t>
            </w:r>
            <w:r w:rsidRPr="00EF668B">
              <w:rPr>
                <w:rFonts w:hint="eastAsia"/>
                <w:lang w:val="fr-CH"/>
              </w:rPr>
              <w:t>条做出的决定，于</w:t>
            </w:r>
            <w:r w:rsidRPr="00EF668B">
              <w:rPr>
                <w:rFonts w:hint="eastAsia"/>
                <w:lang w:val="fr-CH"/>
              </w:rPr>
              <w:t>2013</w:t>
            </w:r>
            <w:r w:rsidRPr="00EF668B">
              <w:rPr>
                <w:rFonts w:hint="eastAsia"/>
                <w:lang w:val="fr-CH"/>
              </w:rPr>
              <w:t>年</w:t>
            </w:r>
            <w:r w:rsidRPr="00EF668B">
              <w:rPr>
                <w:rFonts w:hint="eastAsia"/>
                <w:lang w:val="fr-CH"/>
              </w:rPr>
              <w:t>6</w:t>
            </w:r>
            <w:r w:rsidRPr="00EF668B">
              <w:rPr>
                <w:rFonts w:hint="eastAsia"/>
                <w:lang w:val="fr-CH"/>
              </w:rPr>
              <w:t>月</w:t>
            </w:r>
            <w:r w:rsidRPr="00EF668B">
              <w:rPr>
                <w:rFonts w:hint="eastAsia"/>
                <w:lang w:val="fr-CH"/>
              </w:rPr>
              <w:t>7</w:t>
            </w:r>
            <w:r w:rsidRPr="00EF668B">
              <w:rPr>
                <w:rFonts w:hint="eastAsia"/>
                <w:lang w:val="fr-CH"/>
              </w:rPr>
              <w:t>日转交缔约国</w:t>
            </w:r>
            <w:r w:rsidRPr="00EF668B">
              <w:rPr>
                <w:rFonts w:hint="eastAsia"/>
                <w:lang w:val="fr-CH"/>
              </w:rPr>
              <w:t>(</w:t>
            </w:r>
            <w:r w:rsidRPr="00EF668B">
              <w:rPr>
                <w:rFonts w:hint="eastAsia"/>
                <w:lang w:val="fr-CH"/>
              </w:rPr>
              <w:t>未以文件形式印发</w:t>
            </w:r>
            <w:r w:rsidRPr="00EF668B">
              <w:rPr>
                <w:rFonts w:hint="eastAsia"/>
                <w:lang w:val="fr-CH"/>
              </w:rPr>
              <w:t>)</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ascii="Time New Roman" w:eastAsia="KaiTi_GB2312" w:hAnsi="Time New Roman" w:hint="eastAsia"/>
              </w:rPr>
            </w:pPr>
            <w:r w:rsidRPr="00EF668B">
              <w:rPr>
                <w:rFonts w:eastAsia="KaiTi_GB2312" w:hint="eastAsia"/>
              </w:rPr>
              <w:t>意见的通过日期</w:t>
            </w:r>
            <w:r w:rsidRPr="00EF668B">
              <w:rPr>
                <w:rFonts w:ascii="Time New Roman" w:eastAsia="KaiTi_GB2312" w:hAnsi="Time New Roman" w:hint="eastAsia"/>
              </w:rPr>
              <w:t>：</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2015</w:t>
            </w:r>
            <w:r w:rsidRPr="00EF668B">
              <w:rPr>
                <w:rFonts w:hint="eastAsia"/>
                <w:snapToGrid/>
              </w:rPr>
              <w:t>年</w:t>
            </w:r>
            <w:r w:rsidRPr="00EF668B">
              <w:rPr>
                <w:rFonts w:hint="eastAsia"/>
                <w:snapToGrid/>
              </w:rPr>
              <w:t>8</w:t>
            </w:r>
            <w:r w:rsidRPr="00EF668B">
              <w:rPr>
                <w:rFonts w:hint="eastAsia"/>
                <w:snapToGrid/>
              </w:rPr>
              <w:t>月</w:t>
            </w:r>
            <w:r w:rsidRPr="00EF668B">
              <w:rPr>
                <w:rFonts w:hint="eastAsia"/>
                <w:snapToGrid/>
              </w:rPr>
              <w:t>21</w:t>
            </w:r>
            <w:r w:rsidRPr="00EF668B">
              <w:rPr>
                <w:rFonts w:hint="eastAsia"/>
                <w:snapToGrid/>
              </w:rPr>
              <w:t>日</w:t>
            </w:r>
          </w:p>
        </w:tc>
      </w:tr>
      <w:tr w:rsidR="00A7264C" w:rsidTr="00EF668B">
        <w:trPr>
          <w:cantSplit/>
        </w:trPr>
        <w:tc>
          <w:tcPr>
            <w:tcW w:w="2173" w:type="dxa"/>
            <w:shd w:val="clear" w:color="auto" w:fill="auto"/>
          </w:tcPr>
          <w:p w:rsidR="00A7264C" w:rsidRPr="00EF668B" w:rsidRDefault="00647DC3" w:rsidP="00EF668B">
            <w:pPr>
              <w:pStyle w:val="SingleTxtGC"/>
              <w:suppressAutoHyphens/>
              <w:ind w:left="0" w:right="0"/>
              <w:rPr>
                <w:rFonts w:ascii="Time New Roman" w:eastAsia="KaiTi_GB2312" w:hAnsi="Time New Roman" w:hint="eastAsia"/>
              </w:rPr>
            </w:pPr>
            <w:r w:rsidRPr="00EF668B">
              <w:rPr>
                <w:rFonts w:eastAsia="KaiTi_GB2312" w:hint="eastAsia"/>
                <w:snapToGrid/>
              </w:rPr>
              <w:t>程序性问题</w:t>
            </w:r>
            <w:r w:rsidRPr="00EF668B">
              <w:rPr>
                <w:rFonts w:hint="eastAsia"/>
                <w:snapToGrid/>
              </w:rPr>
              <w:t>：</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申诉的可受理性</w:t>
            </w:r>
          </w:p>
        </w:tc>
      </w:tr>
      <w:tr w:rsidR="00A7264C" w:rsidTr="00EF668B">
        <w:trPr>
          <w:cantSplit/>
        </w:trPr>
        <w:tc>
          <w:tcPr>
            <w:tcW w:w="2173" w:type="dxa"/>
            <w:shd w:val="clear" w:color="auto" w:fill="auto"/>
          </w:tcPr>
          <w:p w:rsidR="00A7264C" w:rsidRPr="00EF668B" w:rsidRDefault="00647DC3" w:rsidP="00EF668B">
            <w:pPr>
              <w:pStyle w:val="SingleTxtGC"/>
              <w:suppressAutoHyphens/>
              <w:ind w:left="0" w:right="0"/>
              <w:rPr>
                <w:rFonts w:ascii="Time New Roman" w:eastAsia="KaiTi_GB2312" w:hAnsi="Time New Roman" w:hint="eastAsia"/>
              </w:rPr>
            </w:pPr>
            <w:r w:rsidRPr="00EF668B">
              <w:rPr>
                <w:rFonts w:ascii="Time New Roman" w:eastAsia="KaiTi_GB2312" w:hAnsi="Time New Roman" w:hint="eastAsia"/>
              </w:rPr>
              <w:t>事由</w:t>
            </w:r>
            <w:r w:rsidRPr="00EF668B">
              <w:rPr>
                <w:rFonts w:hint="eastAsia"/>
                <w:snapToGrid/>
              </w:rPr>
              <w:t>：</w:t>
            </w:r>
            <w:r w:rsidRPr="00EF668B">
              <w:rPr>
                <w:rFonts w:ascii="Time New Roman" w:eastAsia="KaiTi_GB2312" w:hAnsi="Time New Roman" w:hint="eastAsia"/>
              </w:rPr>
              <w:t xml:space="preserve"> </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在与他人平等的基础上在公共交通设施上无障碍获得实时信息</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0" w:right="0"/>
              <w:rPr>
                <w:rFonts w:eastAsia="KaiTi_GB2312" w:hint="eastAsia"/>
                <w:snapToGrid/>
                <w:lang w:val="fr-CH"/>
              </w:rPr>
            </w:pPr>
            <w:r w:rsidRPr="00EF668B">
              <w:rPr>
                <w:rFonts w:eastAsia="KaiTi_GB2312"/>
                <w:snapToGrid/>
              </w:rPr>
              <w:t>实质性问题</w:t>
            </w:r>
            <w:r w:rsidRPr="00EF668B">
              <w:rPr>
                <w:rFonts w:eastAsia="KaiTi_GB2312" w:hint="eastAsia"/>
                <w:snapToGrid/>
                <w:lang w:val="fr-CH"/>
              </w:rPr>
              <w:t>：</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获取信息和通信技术；在与他人平等的基础上享用向公众开放的设施和服务；享有个人行动能力权和独立生活权</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85" w:right="0"/>
              <w:rPr>
                <w:rFonts w:eastAsia="KaiTi_GB2312"/>
                <w:snapToGrid/>
              </w:rPr>
            </w:pPr>
            <w:r w:rsidRPr="00EF668B">
              <w:rPr>
                <w:rFonts w:ascii="Time New Roman" w:eastAsia="KaiTi_GB2312" w:hAnsi="Time New Roman" w:hint="eastAsia"/>
              </w:rPr>
              <w:t>《公约》</w:t>
            </w:r>
            <w:r w:rsidRPr="00EF668B">
              <w:rPr>
                <w:rFonts w:eastAsia="KaiTi_GB2312" w:hint="eastAsia"/>
                <w:snapToGrid/>
              </w:rPr>
              <w:t>条款</w:t>
            </w:r>
            <w:r w:rsidRPr="00EF668B">
              <w:rPr>
                <w:rFonts w:hint="eastAsia"/>
                <w:snapToGrid/>
              </w:rPr>
              <w:t>：</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第二条、第五条、第九条、第十九条和第二十条</w:t>
            </w:r>
          </w:p>
        </w:tc>
      </w:tr>
      <w:tr w:rsidR="00A7264C" w:rsidTr="00EF668B">
        <w:trPr>
          <w:cantSplit/>
        </w:trPr>
        <w:tc>
          <w:tcPr>
            <w:tcW w:w="2173" w:type="dxa"/>
            <w:shd w:val="clear" w:color="auto" w:fill="auto"/>
          </w:tcPr>
          <w:p w:rsidR="00A7264C" w:rsidRPr="00EF668B" w:rsidRDefault="00A7264C" w:rsidP="00EF668B">
            <w:pPr>
              <w:pStyle w:val="SingleTxtGC"/>
              <w:suppressAutoHyphens/>
              <w:ind w:left="-85" w:right="0"/>
              <w:rPr>
                <w:rFonts w:ascii="Time New Roman" w:eastAsia="KaiTi_GB2312" w:hAnsi="Time New Roman" w:hint="eastAsia"/>
              </w:rPr>
            </w:pPr>
            <w:r w:rsidRPr="00EF668B">
              <w:rPr>
                <w:rFonts w:ascii="Time New Roman" w:eastAsia="KaiTi_GB2312" w:hAnsi="Time New Roman" w:hint="eastAsia"/>
              </w:rPr>
              <w:t>《任择议定书》</w:t>
            </w:r>
            <w:r w:rsidRPr="00EF668B">
              <w:rPr>
                <w:rFonts w:eastAsia="KaiTi_GB2312" w:hint="eastAsia"/>
                <w:snapToGrid/>
              </w:rPr>
              <w:t>条款</w:t>
            </w:r>
            <w:r w:rsidRPr="00EF668B">
              <w:rPr>
                <w:rFonts w:hint="eastAsia"/>
                <w:snapToGrid/>
              </w:rPr>
              <w:t>：</w:t>
            </w:r>
          </w:p>
        </w:tc>
        <w:tc>
          <w:tcPr>
            <w:tcW w:w="4758" w:type="dxa"/>
            <w:shd w:val="clear" w:color="auto" w:fill="auto"/>
          </w:tcPr>
          <w:p w:rsidR="00A7264C" w:rsidRPr="00EF668B" w:rsidRDefault="00A7264C" w:rsidP="00EF668B">
            <w:pPr>
              <w:pStyle w:val="SingleTxtGC"/>
              <w:suppressAutoHyphens/>
              <w:ind w:left="0" w:right="0"/>
              <w:rPr>
                <w:rFonts w:hint="eastAsia"/>
                <w:snapToGrid/>
              </w:rPr>
            </w:pPr>
            <w:r w:rsidRPr="00EF668B">
              <w:rPr>
                <w:rFonts w:hint="eastAsia"/>
                <w:snapToGrid/>
              </w:rPr>
              <w:t>第二条第</w:t>
            </w:r>
            <w:r w:rsidRPr="00EF668B">
              <w:rPr>
                <w:rFonts w:hint="eastAsia"/>
                <w:snapToGrid/>
              </w:rPr>
              <w:t>(</w:t>
            </w:r>
            <w:r w:rsidRPr="00EF668B">
              <w:rPr>
                <w:rFonts w:hint="eastAsia"/>
                <w:snapToGrid/>
              </w:rPr>
              <w:t>四</w:t>
            </w:r>
            <w:r w:rsidRPr="00EF668B">
              <w:rPr>
                <w:rFonts w:hint="eastAsia"/>
                <w:snapToGrid/>
              </w:rPr>
              <w:t>)</w:t>
            </w:r>
            <w:r w:rsidRPr="00EF668B">
              <w:rPr>
                <w:rFonts w:hint="eastAsia"/>
                <w:snapToGrid/>
              </w:rPr>
              <w:t>款</w:t>
            </w:r>
          </w:p>
        </w:tc>
      </w:tr>
    </w:tbl>
    <w:p w:rsidR="00A7264C" w:rsidRPr="00D15CBD" w:rsidRDefault="00A7264C" w:rsidP="00A7264C">
      <w:pPr>
        <w:pStyle w:val="SingleTxtGC"/>
        <w:rPr>
          <w:rFonts w:hint="eastAsia"/>
        </w:rPr>
      </w:pPr>
    </w:p>
    <w:p w:rsidR="00A7264C" w:rsidRDefault="00A7264C" w:rsidP="00A7264C">
      <w:pPr>
        <w:pStyle w:val="HChGC"/>
        <w:rPr>
          <w:rFonts w:hint="eastAsia"/>
        </w:rPr>
      </w:pPr>
      <w:r>
        <w:br w:type="page"/>
      </w:r>
      <w:r>
        <w:rPr>
          <w:rFonts w:hint="eastAsia"/>
        </w:rPr>
        <w:t>附件</w:t>
      </w:r>
    </w:p>
    <w:p w:rsidR="00A7264C" w:rsidRPr="00A7264C" w:rsidRDefault="00A7264C" w:rsidP="00A7264C">
      <w:pPr>
        <w:pStyle w:val="HChGC"/>
        <w:rPr>
          <w:rFonts w:hint="eastAsia"/>
        </w:rPr>
      </w:pPr>
      <w:r>
        <w:rPr>
          <w:rFonts w:hint="eastAsia"/>
        </w:rPr>
        <w:tab/>
      </w:r>
      <w:r>
        <w:rPr>
          <w:rFonts w:hint="eastAsia"/>
        </w:rPr>
        <w:tab/>
      </w:r>
      <w:r w:rsidRPr="00A7264C">
        <w:rPr>
          <w:rFonts w:hint="eastAsia"/>
        </w:rPr>
        <w:t>残疾人权利委员会的意见</w:t>
      </w:r>
      <w:r w:rsidRPr="00A7264C">
        <w:rPr>
          <w:rFonts w:hint="eastAsia"/>
        </w:rPr>
        <w:t>(</w:t>
      </w:r>
      <w:r w:rsidRPr="00A7264C">
        <w:rPr>
          <w:rFonts w:hint="eastAsia"/>
        </w:rPr>
        <w:t>第十四届会议</w:t>
      </w:r>
      <w:r w:rsidRPr="00A7264C">
        <w:rPr>
          <w:rFonts w:hint="eastAsia"/>
        </w:rPr>
        <w:t>)</w:t>
      </w:r>
      <w:r w:rsidRPr="00A7264C">
        <w:footnoteReference w:customMarkFollows="1" w:id="1"/>
        <w:t>*</w:t>
      </w:r>
    </w:p>
    <w:p w:rsidR="00A7264C" w:rsidRPr="00A7264C" w:rsidRDefault="00A7264C" w:rsidP="00A7264C">
      <w:pPr>
        <w:pStyle w:val="SingleTxtGC"/>
        <w:rPr>
          <w:rFonts w:hint="eastAsia"/>
        </w:rPr>
      </w:pPr>
      <w:r w:rsidRPr="00A7264C">
        <w:rPr>
          <w:rFonts w:hint="eastAsia"/>
        </w:rPr>
        <w:t>通过的关于</w:t>
      </w:r>
    </w:p>
    <w:p w:rsidR="00A7264C" w:rsidRPr="00A7264C" w:rsidRDefault="00A7264C" w:rsidP="00A7264C">
      <w:pPr>
        <w:pStyle w:val="H1GC"/>
      </w:pPr>
      <w:r>
        <w:rPr>
          <w:rFonts w:hint="eastAsia"/>
        </w:rPr>
        <w:tab/>
      </w:r>
      <w:r>
        <w:rPr>
          <w:rFonts w:hint="eastAsia"/>
        </w:rPr>
        <w:tab/>
      </w:r>
      <w:r w:rsidRPr="00A7264C">
        <w:rPr>
          <w:rFonts w:hint="eastAsia"/>
        </w:rPr>
        <w:t>第</w:t>
      </w:r>
      <w:r w:rsidRPr="00A7264C">
        <w:rPr>
          <w:rFonts w:hint="eastAsia"/>
        </w:rPr>
        <w:t>21/2014</w:t>
      </w:r>
      <w:r w:rsidRPr="00A7264C">
        <w:rPr>
          <w:rFonts w:hint="eastAsia"/>
        </w:rPr>
        <w:t>号来文的意见</w:t>
      </w:r>
    </w:p>
    <w:tbl>
      <w:tblPr>
        <w:tblW w:w="0" w:type="auto"/>
        <w:tblInd w:w="1565" w:type="dxa"/>
        <w:tblLayout w:type="fixed"/>
        <w:tblCellMar>
          <w:left w:w="0" w:type="dxa"/>
          <w:right w:w="0" w:type="dxa"/>
        </w:tblCellMar>
        <w:tblLook w:val="01E0" w:firstRow="1" w:lastRow="1" w:firstColumn="1" w:lastColumn="1" w:noHBand="0" w:noVBand="0"/>
      </w:tblPr>
      <w:tblGrid>
        <w:gridCol w:w="1907"/>
        <w:gridCol w:w="5025"/>
      </w:tblGrid>
      <w:tr w:rsidR="00A7264C" w:rsidRPr="00EF668B" w:rsidTr="00EF668B">
        <w:trPr>
          <w:cantSplit/>
        </w:trPr>
        <w:tc>
          <w:tcPr>
            <w:tcW w:w="1907"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提交人</w:t>
            </w:r>
            <w:r w:rsidRPr="00EF668B">
              <w:rPr>
                <w:rFonts w:eastAsia="KaiTi_GB2312" w:hint="eastAsia"/>
              </w:rPr>
              <w:t>：</w:t>
            </w:r>
          </w:p>
        </w:tc>
        <w:tc>
          <w:tcPr>
            <w:tcW w:w="5025" w:type="dxa"/>
            <w:shd w:val="clear" w:color="auto" w:fill="auto"/>
          </w:tcPr>
          <w:p w:rsidR="00A7264C" w:rsidRPr="00EF668B" w:rsidRDefault="00A7264C" w:rsidP="00EF668B">
            <w:pPr>
              <w:pStyle w:val="SingleTxtGC"/>
              <w:suppressAutoHyphens/>
              <w:ind w:left="0" w:right="0"/>
              <w:rPr>
                <w:lang w:val="de-CH"/>
              </w:rPr>
            </w:pPr>
            <w:r w:rsidRPr="00EF668B">
              <w:rPr>
                <w:rFonts w:hint="eastAsia"/>
                <w:lang w:val="de-CH"/>
              </w:rPr>
              <w:t>“</w:t>
            </w:r>
            <w:r w:rsidRPr="00EF668B">
              <w:rPr>
                <w:rFonts w:hint="eastAsia"/>
                <w:lang w:val="de-CH"/>
              </w:rPr>
              <w:t>F</w:t>
            </w:r>
            <w:r w:rsidRPr="00EF668B">
              <w:rPr>
                <w:rFonts w:hint="eastAsia"/>
                <w:lang w:val="de-CH"/>
              </w:rPr>
              <w:t>”</w:t>
            </w:r>
            <w:r w:rsidRPr="00EF668B">
              <w:rPr>
                <w:rFonts w:hint="eastAsia"/>
                <w:lang w:val="de-CH"/>
              </w:rPr>
              <w:t>(</w:t>
            </w:r>
            <w:r w:rsidRPr="00A7264C">
              <w:rPr>
                <w:rFonts w:hint="eastAsia"/>
              </w:rPr>
              <w:t>由</w:t>
            </w:r>
            <w:r w:rsidRPr="00EF668B">
              <w:rPr>
                <w:rFonts w:hint="eastAsia"/>
                <w:lang w:val="de-CH"/>
              </w:rPr>
              <w:t>Volker Frey</w:t>
            </w:r>
            <w:r w:rsidRPr="00A7264C">
              <w:rPr>
                <w:rFonts w:hint="eastAsia"/>
              </w:rPr>
              <w:t>代理</w:t>
            </w:r>
            <w:r w:rsidRPr="00EF668B">
              <w:rPr>
                <w:rFonts w:hint="eastAsia"/>
                <w:lang w:val="de-CH"/>
              </w:rPr>
              <w:t>)</w:t>
            </w:r>
          </w:p>
        </w:tc>
      </w:tr>
      <w:tr w:rsidR="00A7264C" w:rsidRPr="00C74FB6" w:rsidTr="00EF668B">
        <w:trPr>
          <w:cantSplit/>
        </w:trPr>
        <w:tc>
          <w:tcPr>
            <w:tcW w:w="1907"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据称受害人：</w:t>
            </w:r>
          </w:p>
        </w:tc>
        <w:tc>
          <w:tcPr>
            <w:tcW w:w="5025" w:type="dxa"/>
            <w:shd w:val="clear" w:color="auto" w:fill="auto"/>
          </w:tcPr>
          <w:p w:rsidR="00A7264C" w:rsidRPr="00A7264C" w:rsidRDefault="00A7264C" w:rsidP="00EF668B">
            <w:pPr>
              <w:pStyle w:val="SingleTxtGC"/>
              <w:suppressAutoHyphens/>
              <w:ind w:left="0" w:right="0"/>
            </w:pPr>
            <w:r w:rsidRPr="00A7264C">
              <w:rPr>
                <w:rFonts w:hint="eastAsia"/>
              </w:rPr>
              <w:t>提交人</w:t>
            </w:r>
          </w:p>
        </w:tc>
      </w:tr>
      <w:tr w:rsidR="00A7264C" w:rsidRPr="00C74FB6" w:rsidTr="00EF668B">
        <w:trPr>
          <w:cantSplit/>
        </w:trPr>
        <w:tc>
          <w:tcPr>
            <w:tcW w:w="1907" w:type="dxa"/>
            <w:shd w:val="clear" w:color="auto" w:fill="auto"/>
          </w:tcPr>
          <w:p w:rsidR="00A7264C" w:rsidRPr="00EF668B" w:rsidRDefault="00A7264C" w:rsidP="00EF668B">
            <w:pPr>
              <w:pStyle w:val="SingleTxtGC"/>
              <w:suppressAutoHyphens/>
              <w:ind w:left="0" w:right="0"/>
              <w:rPr>
                <w:rFonts w:eastAsia="KaiTi_GB2312"/>
              </w:rPr>
            </w:pPr>
            <w:r w:rsidRPr="00EF668B">
              <w:rPr>
                <w:rFonts w:ascii="Time New Roman" w:eastAsia="KaiTi_GB2312" w:hAnsi="Time New Roman" w:hint="eastAsia"/>
              </w:rPr>
              <w:t>所涉缔约国：</w:t>
            </w:r>
          </w:p>
        </w:tc>
        <w:tc>
          <w:tcPr>
            <w:tcW w:w="5025" w:type="dxa"/>
            <w:shd w:val="clear" w:color="auto" w:fill="auto"/>
          </w:tcPr>
          <w:p w:rsidR="00A7264C" w:rsidRPr="00A7264C" w:rsidRDefault="00A7264C" w:rsidP="00EF668B">
            <w:pPr>
              <w:pStyle w:val="SingleTxtGC"/>
              <w:suppressAutoHyphens/>
              <w:ind w:left="0" w:right="0"/>
            </w:pPr>
            <w:r w:rsidRPr="00A7264C">
              <w:rPr>
                <w:rFonts w:hint="eastAsia"/>
              </w:rPr>
              <w:t>奥地利</w:t>
            </w:r>
          </w:p>
        </w:tc>
      </w:tr>
      <w:tr w:rsidR="00A7264C" w:rsidRPr="00C74FB6" w:rsidTr="00EF668B">
        <w:trPr>
          <w:cantSplit/>
        </w:trPr>
        <w:tc>
          <w:tcPr>
            <w:tcW w:w="1907" w:type="dxa"/>
            <w:shd w:val="clear" w:color="auto" w:fill="auto"/>
          </w:tcPr>
          <w:p w:rsidR="00A7264C" w:rsidRPr="00EF668B" w:rsidRDefault="00A7264C" w:rsidP="00EF668B">
            <w:pPr>
              <w:pStyle w:val="SingleTxtGC"/>
              <w:suppressAutoHyphens/>
              <w:ind w:left="0" w:right="0"/>
              <w:rPr>
                <w:rFonts w:ascii="Time New Roman" w:eastAsia="KaiTi_GB2312" w:hAnsi="Time New Roman" w:hint="eastAsia"/>
              </w:rPr>
            </w:pPr>
            <w:r w:rsidRPr="00EF668B">
              <w:rPr>
                <w:rFonts w:ascii="Time New Roman" w:eastAsia="KaiTi_GB2312" w:hAnsi="Time New Roman" w:hint="eastAsia"/>
              </w:rPr>
              <w:t>来文日期：</w:t>
            </w:r>
          </w:p>
        </w:tc>
        <w:tc>
          <w:tcPr>
            <w:tcW w:w="5025" w:type="dxa"/>
            <w:shd w:val="clear" w:color="auto" w:fill="auto"/>
          </w:tcPr>
          <w:p w:rsidR="00A7264C" w:rsidRPr="002E06C3" w:rsidRDefault="002E06C3" w:rsidP="00EF668B">
            <w:pPr>
              <w:pStyle w:val="SingleTxtGC"/>
              <w:suppressAutoHyphens/>
              <w:ind w:left="0" w:right="0"/>
              <w:rPr>
                <w:rFonts w:hint="eastAsia"/>
              </w:rPr>
            </w:pPr>
            <w:r w:rsidRPr="002E06C3">
              <w:rPr>
                <w:rFonts w:hint="eastAsia"/>
              </w:rPr>
              <w:t>2014</w:t>
            </w:r>
            <w:r w:rsidRPr="002E06C3">
              <w:rPr>
                <w:rFonts w:hint="eastAsia"/>
              </w:rPr>
              <w:t>年</w:t>
            </w:r>
            <w:r w:rsidRPr="002E06C3">
              <w:rPr>
                <w:rFonts w:hint="eastAsia"/>
              </w:rPr>
              <w:t>3</w:t>
            </w:r>
            <w:r w:rsidRPr="002E06C3">
              <w:rPr>
                <w:rFonts w:hint="eastAsia"/>
              </w:rPr>
              <w:t>月</w:t>
            </w:r>
            <w:r w:rsidRPr="002E06C3">
              <w:rPr>
                <w:rFonts w:hint="eastAsia"/>
              </w:rPr>
              <w:t>24</w:t>
            </w:r>
            <w:r w:rsidRPr="002E06C3">
              <w:rPr>
                <w:rFonts w:hint="eastAsia"/>
              </w:rPr>
              <w:t>日</w:t>
            </w:r>
            <w:r w:rsidRPr="002E06C3">
              <w:rPr>
                <w:rFonts w:hint="eastAsia"/>
              </w:rPr>
              <w:t>(</w:t>
            </w:r>
            <w:r w:rsidRPr="002E06C3">
              <w:rPr>
                <w:rFonts w:hint="eastAsia"/>
              </w:rPr>
              <w:t>首次提交</w:t>
            </w:r>
            <w:r w:rsidRPr="002E06C3">
              <w:rPr>
                <w:rFonts w:hint="eastAsia"/>
              </w:rPr>
              <w:t>)</w:t>
            </w:r>
          </w:p>
        </w:tc>
      </w:tr>
    </w:tbl>
    <w:p w:rsidR="00A7264C" w:rsidRDefault="00A7264C" w:rsidP="00A7264C">
      <w:pPr>
        <w:spacing w:line="160" w:lineRule="exact"/>
        <w:rPr>
          <w:rFonts w:hint="eastAsia"/>
        </w:rPr>
      </w:pPr>
    </w:p>
    <w:p w:rsidR="00A7264C" w:rsidRPr="002E06C3" w:rsidRDefault="00A7264C" w:rsidP="00A7264C">
      <w:pPr>
        <w:pStyle w:val="SingleTxtGC"/>
      </w:pPr>
      <w:r>
        <w:rPr>
          <w:rFonts w:hint="eastAsia"/>
        </w:rPr>
        <w:tab/>
      </w:r>
      <w:r w:rsidR="002E06C3" w:rsidRPr="002E06C3">
        <w:rPr>
          <w:rFonts w:hint="eastAsia"/>
        </w:rPr>
        <w:t>根据《残疾人权利公约》第三十四条设立的</w:t>
      </w:r>
      <w:r w:rsidR="002E06C3" w:rsidRPr="002E06C3">
        <w:rPr>
          <w:rFonts w:eastAsia="KaiTi_GB2312" w:hint="eastAsia"/>
        </w:rPr>
        <w:t>残疾人权利委员会</w:t>
      </w:r>
      <w:r w:rsidR="002E06C3" w:rsidRPr="002E06C3">
        <w:rPr>
          <w:rFonts w:hint="eastAsia"/>
        </w:rPr>
        <w:t>，</w:t>
      </w:r>
    </w:p>
    <w:p w:rsidR="00A7264C" w:rsidRPr="002E06C3" w:rsidRDefault="00A7264C" w:rsidP="00A7264C">
      <w:pPr>
        <w:pStyle w:val="SingleTxtGC"/>
      </w:pPr>
      <w:r>
        <w:rPr>
          <w:rFonts w:hint="eastAsia"/>
        </w:rPr>
        <w:tab/>
      </w:r>
      <w:r w:rsidR="002E06C3" w:rsidRPr="002E06C3">
        <w:rPr>
          <w:rFonts w:hint="eastAsia"/>
        </w:rPr>
        <w:t>于</w:t>
      </w:r>
      <w:r w:rsidR="002E06C3" w:rsidRPr="002E06C3">
        <w:rPr>
          <w:rFonts w:hint="eastAsia"/>
        </w:rPr>
        <w:t>2015</w:t>
      </w:r>
      <w:r w:rsidR="002E06C3" w:rsidRPr="002E06C3">
        <w:rPr>
          <w:rFonts w:hint="eastAsia"/>
        </w:rPr>
        <w:t>年</w:t>
      </w:r>
      <w:r w:rsidR="002E06C3" w:rsidRPr="002E06C3">
        <w:rPr>
          <w:rFonts w:hint="eastAsia"/>
        </w:rPr>
        <w:t>8</w:t>
      </w:r>
      <w:r w:rsidR="002E06C3" w:rsidRPr="002E06C3">
        <w:rPr>
          <w:rFonts w:hint="eastAsia"/>
        </w:rPr>
        <w:t>月</w:t>
      </w:r>
      <w:r w:rsidR="002E06C3" w:rsidRPr="002E06C3">
        <w:rPr>
          <w:rFonts w:hint="eastAsia"/>
        </w:rPr>
        <w:t>21</w:t>
      </w:r>
      <w:r w:rsidR="002E06C3" w:rsidRPr="002E06C3">
        <w:rPr>
          <w:rFonts w:hint="eastAsia"/>
        </w:rPr>
        <w:t>日</w:t>
      </w:r>
      <w:r w:rsidR="002E06C3" w:rsidRPr="002E06C3">
        <w:rPr>
          <w:rFonts w:eastAsia="KaiTi_GB2312" w:hint="eastAsia"/>
        </w:rPr>
        <w:t>举行会议</w:t>
      </w:r>
      <w:r w:rsidR="002E06C3" w:rsidRPr="002E06C3">
        <w:rPr>
          <w:rFonts w:hint="eastAsia"/>
        </w:rPr>
        <w:t>，</w:t>
      </w:r>
    </w:p>
    <w:p w:rsidR="00A7264C" w:rsidRPr="002E06C3" w:rsidRDefault="00A7264C" w:rsidP="00A7264C">
      <w:pPr>
        <w:pStyle w:val="SingleTxtGC"/>
        <w:rPr>
          <w:rFonts w:eastAsia="KaiTi_GB2312"/>
          <w:snapToGrid/>
        </w:rPr>
      </w:pPr>
      <w:r>
        <w:rPr>
          <w:rFonts w:eastAsia="KaiTi_GB2312" w:hint="eastAsia"/>
          <w:snapToGrid/>
        </w:rPr>
        <w:tab/>
      </w:r>
      <w:r w:rsidR="002E06C3" w:rsidRPr="002E06C3">
        <w:rPr>
          <w:rFonts w:eastAsia="KaiTi_GB2312" w:hint="eastAsia"/>
          <w:snapToGrid/>
        </w:rPr>
        <w:t>结束了</w:t>
      </w:r>
      <w:r w:rsidR="002E06C3" w:rsidRPr="002E06C3">
        <w:rPr>
          <w:rFonts w:hAnsi="SimSun"/>
          <w:snapToGrid/>
        </w:rPr>
        <w:t>对根据《残疾人权利公约任择议定书》以</w:t>
      </w:r>
      <w:r w:rsidR="002E06C3">
        <w:rPr>
          <w:rFonts w:hint="eastAsia"/>
          <w:snapToGrid/>
        </w:rPr>
        <w:t>“</w:t>
      </w:r>
      <w:r w:rsidR="002E06C3" w:rsidRPr="002E06C3">
        <w:rPr>
          <w:snapToGrid/>
        </w:rPr>
        <w:t>F</w:t>
      </w:r>
      <w:r w:rsidR="002E06C3">
        <w:rPr>
          <w:rFonts w:hint="eastAsia"/>
          <w:snapToGrid/>
        </w:rPr>
        <w:t>”</w:t>
      </w:r>
      <w:r w:rsidR="002E06C3" w:rsidRPr="002E06C3">
        <w:rPr>
          <w:rFonts w:hAnsi="SimSun"/>
          <w:snapToGrid/>
        </w:rPr>
        <w:t>的名义提交给残疾人权利委员会的第</w:t>
      </w:r>
      <w:r w:rsidR="002E06C3" w:rsidRPr="002E06C3">
        <w:rPr>
          <w:snapToGrid/>
        </w:rPr>
        <w:t>21/2014</w:t>
      </w:r>
      <w:r w:rsidR="002E06C3" w:rsidRPr="002E06C3">
        <w:rPr>
          <w:rFonts w:hAnsi="SimSun"/>
          <w:snapToGrid/>
        </w:rPr>
        <w:t>号来文的审议，</w:t>
      </w:r>
    </w:p>
    <w:p w:rsidR="00A7264C" w:rsidRPr="002E06C3" w:rsidRDefault="00A7264C" w:rsidP="00A7264C">
      <w:pPr>
        <w:pStyle w:val="SingleTxtGC"/>
        <w:rPr>
          <w:rFonts w:eastAsia="KaiTi_GB2312"/>
          <w:snapToGrid/>
        </w:rPr>
      </w:pPr>
      <w:r>
        <w:rPr>
          <w:rFonts w:eastAsia="KaiTi_GB2312" w:hint="eastAsia"/>
          <w:snapToGrid/>
        </w:rPr>
        <w:tab/>
      </w:r>
      <w:r w:rsidR="002E06C3" w:rsidRPr="002E06C3">
        <w:rPr>
          <w:rFonts w:eastAsia="KaiTi_GB2312" w:hint="eastAsia"/>
          <w:snapToGrid/>
        </w:rPr>
        <w:t>考虑了</w:t>
      </w:r>
      <w:r w:rsidR="002E06C3" w:rsidRPr="002E06C3">
        <w:rPr>
          <w:snapToGrid/>
        </w:rPr>
        <w:t>来文提交人和缔约国提供的全部书面资料，</w:t>
      </w:r>
    </w:p>
    <w:p w:rsidR="00A7264C" w:rsidRPr="002E06C3" w:rsidRDefault="00A7264C" w:rsidP="00A7264C">
      <w:pPr>
        <w:pStyle w:val="SingleTxtGC"/>
      </w:pPr>
      <w:r>
        <w:rPr>
          <w:rFonts w:eastAsia="KaiTi_GB2312" w:hint="eastAsia"/>
        </w:rPr>
        <w:tab/>
      </w:r>
      <w:r w:rsidR="002E06C3" w:rsidRPr="002E06C3">
        <w:t>根据《任择议定书》第五条</w:t>
      </w:r>
      <w:r w:rsidR="002E06C3" w:rsidRPr="002E06C3">
        <w:rPr>
          <w:rFonts w:eastAsia="KaiTi_GB2312"/>
        </w:rPr>
        <w:t>通过</w:t>
      </w:r>
      <w:r w:rsidR="002E06C3" w:rsidRPr="002E06C3">
        <w:t>如下：</w:t>
      </w:r>
    </w:p>
    <w:p w:rsidR="00A7264C" w:rsidRPr="002E06C3" w:rsidRDefault="00A7264C" w:rsidP="00A7264C">
      <w:pPr>
        <w:pStyle w:val="H1GC"/>
      </w:pPr>
      <w:r>
        <w:rPr>
          <w:rFonts w:hint="eastAsia"/>
        </w:rPr>
        <w:tab/>
      </w:r>
      <w:r>
        <w:rPr>
          <w:rFonts w:hint="eastAsia"/>
        </w:rPr>
        <w:tab/>
      </w:r>
      <w:r w:rsidR="002E06C3" w:rsidRPr="002E06C3">
        <w:rPr>
          <w:rFonts w:hint="eastAsia"/>
        </w:rPr>
        <w:t>意见</w:t>
      </w:r>
    </w:p>
    <w:p w:rsidR="002E06C3" w:rsidRPr="002E06C3" w:rsidRDefault="002E06C3" w:rsidP="002E06C3">
      <w:pPr>
        <w:pStyle w:val="SingleTxtGC"/>
        <w:rPr>
          <w:lang w:val="en-GB"/>
        </w:rPr>
      </w:pPr>
      <w:r w:rsidRPr="002E06C3">
        <w:rPr>
          <w:lang w:val="en-GB"/>
        </w:rPr>
        <w:t>1</w:t>
      </w:r>
      <w:r>
        <w:rPr>
          <w:lang w:val="en-GB"/>
        </w:rPr>
        <w:t xml:space="preserve">.  </w:t>
      </w:r>
      <w:r w:rsidRPr="002E06C3">
        <w:rPr>
          <w:rFonts w:hint="eastAsia"/>
          <w:lang w:val="en-GB"/>
        </w:rPr>
        <w:t>来文提交人是“</w:t>
      </w:r>
      <w:r w:rsidRPr="002E06C3">
        <w:rPr>
          <w:lang w:val="en-GB"/>
        </w:rPr>
        <w:t>F</w:t>
      </w:r>
      <w:r w:rsidRPr="002E06C3">
        <w:rPr>
          <w:rFonts w:hint="eastAsia"/>
          <w:lang w:val="en-GB"/>
        </w:rPr>
        <w:t>”，生于</w:t>
      </w:r>
      <w:r w:rsidRPr="002E06C3">
        <w:rPr>
          <w:lang w:val="en-GB"/>
        </w:rPr>
        <w:t>1955</w:t>
      </w:r>
      <w:r w:rsidRPr="002E06C3">
        <w:rPr>
          <w:rFonts w:hint="eastAsia"/>
          <w:lang w:val="en-GB"/>
        </w:rPr>
        <w:t>年</w:t>
      </w:r>
      <w:r w:rsidRPr="002E06C3">
        <w:rPr>
          <w:lang w:val="en-GB"/>
        </w:rPr>
        <w:t>8</w:t>
      </w:r>
      <w:r w:rsidRPr="002E06C3">
        <w:rPr>
          <w:rFonts w:hint="eastAsia"/>
          <w:lang w:val="en-GB"/>
        </w:rPr>
        <w:t>月</w:t>
      </w:r>
      <w:r w:rsidRPr="002E06C3">
        <w:rPr>
          <w:lang w:val="en-GB"/>
        </w:rPr>
        <w:t>13</w:t>
      </w:r>
      <w:r w:rsidRPr="002E06C3">
        <w:rPr>
          <w:rFonts w:hint="eastAsia"/>
          <w:lang w:val="en-GB"/>
        </w:rPr>
        <w:t>日，系奥地利公民。他声称，奥地利违反了《公约》第二条、第五条第二款、第九条、第十九条和第二十条，他是这些违约行为的受害者。他由</w:t>
      </w:r>
      <w:r w:rsidRPr="002E06C3">
        <w:rPr>
          <w:lang w:val="en-GB"/>
        </w:rPr>
        <w:t>Volker Frey</w:t>
      </w:r>
      <w:r w:rsidRPr="002E06C3">
        <w:rPr>
          <w:rFonts w:hint="eastAsia"/>
          <w:lang w:val="en-GB"/>
        </w:rPr>
        <w:t>代理。</w:t>
      </w:r>
      <w:r>
        <w:rPr>
          <w:rStyle w:val="FootnoteReference"/>
          <w:lang w:val="en-GB"/>
        </w:rPr>
        <w:footnoteReference w:id="2"/>
      </w:r>
      <w:r w:rsidR="0040539C" w:rsidRPr="0040539C">
        <w:rPr>
          <w:rFonts w:hint="eastAsia"/>
          <w:vertAlign w:val="superscript"/>
          <w:lang w:val="en-GB"/>
        </w:rPr>
        <w:t xml:space="preserve"> </w:t>
      </w:r>
      <w:r w:rsidRPr="002E06C3">
        <w:rPr>
          <w:rFonts w:hint="eastAsia"/>
          <w:lang w:val="en-GB"/>
        </w:rPr>
        <w:t>《公约》和《任择议定书》于</w:t>
      </w:r>
      <w:r w:rsidRPr="002E06C3">
        <w:rPr>
          <w:lang w:val="en-GB"/>
        </w:rPr>
        <w:t>2008</w:t>
      </w:r>
      <w:r w:rsidRPr="002E06C3">
        <w:rPr>
          <w:rFonts w:hint="eastAsia"/>
          <w:lang w:val="en-GB"/>
        </w:rPr>
        <w:t>年</w:t>
      </w:r>
      <w:r w:rsidRPr="002E06C3">
        <w:rPr>
          <w:lang w:val="en-GB"/>
        </w:rPr>
        <w:t>10</w:t>
      </w:r>
      <w:r w:rsidRPr="002E06C3">
        <w:rPr>
          <w:rFonts w:hint="eastAsia"/>
          <w:lang w:val="en-GB"/>
        </w:rPr>
        <w:t>月</w:t>
      </w:r>
      <w:r w:rsidRPr="002E06C3">
        <w:rPr>
          <w:lang w:val="en-GB"/>
        </w:rPr>
        <w:t>25</w:t>
      </w:r>
      <w:r w:rsidRPr="002E06C3">
        <w:rPr>
          <w:rFonts w:hint="eastAsia"/>
          <w:lang w:val="en-GB"/>
        </w:rPr>
        <w:t>日对缔约国生效。</w:t>
      </w:r>
    </w:p>
    <w:p w:rsidR="002E06C3" w:rsidRPr="002E06C3" w:rsidRDefault="002E06C3" w:rsidP="002E06C3">
      <w:pPr>
        <w:pStyle w:val="H23GC"/>
      </w:pPr>
      <w:r w:rsidRPr="002E06C3">
        <w:tab/>
      </w:r>
      <w:r w:rsidRPr="002E06C3">
        <w:tab/>
      </w:r>
      <w:r w:rsidRPr="002E06C3">
        <w:rPr>
          <w:rFonts w:hint="eastAsia"/>
        </w:rPr>
        <w:t>提交人陈述的事实</w:t>
      </w:r>
    </w:p>
    <w:p w:rsidR="002E06C3" w:rsidRPr="002E06C3" w:rsidRDefault="002E06C3" w:rsidP="002E06C3">
      <w:pPr>
        <w:pStyle w:val="SingleTxtGC"/>
        <w:rPr>
          <w:lang w:val="en-GB"/>
        </w:rPr>
      </w:pPr>
      <w:r w:rsidRPr="002E06C3">
        <w:rPr>
          <w:lang w:val="en-GB"/>
        </w:rPr>
        <w:t>2.1</w:t>
      </w:r>
      <w:r>
        <w:rPr>
          <w:lang w:val="en-GB"/>
        </w:rPr>
        <w:t xml:space="preserve">  </w:t>
      </w:r>
      <w:r w:rsidRPr="002E06C3">
        <w:rPr>
          <w:rFonts w:hint="eastAsia"/>
          <w:lang w:val="en-GB"/>
        </w:rPr>
        <w:t>提交人居住于奥地利九个联邦州之一的上奥地利州首府林茨。提交人是盲人，依靠公共交通工具进行日常的私人和商业活动。他经常搭乘林茨市有轨电车</w:t>
      </w:r>
      <w:r w:rsidRPr="002E06C3">
        <w:rPr>
          <w:lang w:val="en-GB"/>
        </w:rPr>
        <w:t>3</w:t>
      </w:r>
      <w:r w:rsidRPr="002E06C3">
        <w:rPr>
          <w:rFonts w:hint="eastAsia"/>
          <w:lang w:val="en-GB"/>
        </w:rPr>
        <w:t>号线，这条线路由林茨线路有限责任公司管理，该公司为林茨市所有，负责该区域所有公共交通设施的运营。</w:t>
      </w:r>
    </w:p>
    <w:p w:rsidR="002E06C3" w:rsidRPr="002E06C3" w:rsidRDefault="002E06C3" w:rsidP="002E06C3">
      <w:pPr>
        <w:pStyle w:val="SingleTxtGC"/>
        <w:rPr>
          <w:lang w:val="en-GB"/>
        </w:rPr>
      </w:pPr>
      <w:r w:rsidRPr="002E06C3">
        <w:rPr>
          <w:lang w:val="en-GB"/>
        </w:rPr>
        <w:t>2.2</w:t>
      </w:r>
      <w:r>
        <w:rPr>
          <w:lang w:val="en-GB"/>
        </w:rPr>
        <w:t xml:space="preserve">  </w:t>
      </w:r>
      <w:r w:rsidRPr="002E06C3">
        <w:rPr>
          <w:lang w:val="en-GB"/>
        </w:rPr>
        <w:t>2004</w:t>
      </w:r>
      <w:r w:rsidRPr="002E06C3">
        <w:rPr>
          <w:rFonts w:hint="eastAsia"/>
          <w:lang w:val="en-GB"/>
        </w:rPr>
        <w:t>年</w:t>
      </w:r>
      <w:r w:rsidRPr="002E06C3">
        <w:rPr>
          <w:lang w:val="en-GB"/>
        </w:rPr>
        <w:t>3</w:t>
      </w:r>
      <w:r w:rsidRPr="002E06C3">
        <w:rPr>
          <w:rFonts w:hint="eastAsia"/>
          <w:lang w:val="en-GB"/>
        </w:rPr>
        <w:t>月，林茨线路有限责任公司开始为该市的电车站配备数字音频系统，只需按下手持传感器上的一个按钮，该系统就会重述数字信息显示器上的书面文本。因此，数字音频信息可提供关于电车行进方向、抵站和离站时间以及运行故障的实时信息。在</w:t>
      </w:r>
      <w:r w:rsidRPr="002E06C3">
        <w:rPr>
          <w:lang w:val="en-GB"/>
        </w:rPr>
        <w:t>2009</w:t>
      </w:r>
      <w:r w:rsidRPr="002E06C3">
        <w:rPr>
          <w:rFonts w:hint="eastAsia"/>
          <w:lang w:val="en-GB"/>
        </w:rPr>
        <w:t>年</w:t>
      </w:r>
      <w:r w:rsidRPr="002E06C3">
        <w:rPr>
          <w:lang w:val="en-GB"/>
        </w:rPr>
        <w:t>6</w:t>
      </w:r>
      <w:r w:rsidRPr="002E06C3">
        <w:rPr>
          <w:rFonts w:hint="eastAsia"/>
          <w:lang w:val="en-GB"/>
        </w:rPr>
        <w:t>月之前，已经安装了</w:t>
      </w:r>
      <w:r w:rsidRPr="002E06C3">
        <w:rPr>
          <w:lang w:val="en-GB"/>
        </w:rPr>
        <w:t>40</w:t>
      </w:r>
      <w:r w:rsidRPr="002E06C3">
        <w:rPr>
          <w:rFonts w:hint="eastAsia"/>
          <w:lang w:val="en-GB"/>
        </w:rPr>
        <w:t>多个数字音频系统，使视力障碍者能够在与他人平等的基础上独立搭乘电车。提交人解释称，音频系统能够使他及其他视力障碍者知道他们是否已经抵达或尚未到达电车站，能够让他们知道车站的位置，该系统还可以使他们接收到所有通过视觉获得的信息，例如延误、服务中断和下一班电车的等待时间。</w:t>
      </w:r>
    </w:p>
    <w:p w:rsidR="002E06C3" w:rsidRPr="002E06C3" w:rsidRDefault="002E06C3" w:rsidP="002E06C3">
      <w:pPr>
        <w:pStyle w:val="SingleTxtGC"/>
        <w:rPr>
          <w:lang w:val="en-GB"/>
        </w:rPr>
      </w:pPr>
      <w:r w:rsidRPr="002E06C3">
        <w:rPr>
          <w:lang w:val="en-GB"/>
        </w:rPr>
        <w:t>2.3</w:t>
      </w:r>
      <w:r>
        <w:rPr>
          <w:lang w:val="en-GB"/>
        </w:rPr>
        <w:t xml:space="preserve">  </w:t>
      </w:r>
      <w:r w:rsidRPr="002E06C3">
        <w:rPr>
          <w:lang w:val="en-GB"/>
        </w:rPr>
        <w:t>2011</w:t>
      </w:r>
      <w:r w:rsidRPr="002E06C3">
        <w:rPr>
          <w:rFonts w:hint="eastAsia"/>
          <w:lang w:val="en-GB"/>
        </w:rPr>
        <w:t>年</w:t>
      </w:r>
      <w:r w:rsidRPr="002E06C3">
        <w:rPr>
          <w:lang w:val="en-GB"/>
        </w:rPr>
        <w:t>8</w:t>
      </w:r>
      <w:r w:rsidRPr="002E06C3">
        <w:rPr>
          <w:rFonts w:hint="eastAsia"/>
          <w:lang w:val="en-GB"/>
        </w:rPr>
        <w:t>月，林茨线路有限责任公司延伸了</w:t>
      </w:r>
      <w:bookmarkStart w:id="0" w:name="OLE_LINK1"/>
      <w:r w:rsidRPr="002E06C3">
        <w:rPr>
          <w:rFonts w:hint="eastAsia"/>
          <w:lang w:val="en-GB"/>
        </w:rPr>
        <w:t>有轨电车</w:t>
      </w:r>
      <w:r w:rsidRPr="002E06C3">
        <w:rPr>
          <w:lang w:val="en-GB"/>
        </w:rPr>
        <w:t>3</w:t>
      </w:r>
      <w:r w:rsidRPr="002E06C3">
        <w:rPr>
          <w:rFonts w:hint="eastAsia"/>
          <w:lang w:val="en-GB"/>
        </w:rPr>
        <w:t>号线的轨道</w:t>
      </w:r>
      <w:bookmarkEnd w:id="0"/>
      <w:r w:rsidRPr="002E06C3">
        <w:rPr>
          <w:rFonts w:hint="eastAsia"/>
          <w:lang w:val="en-GB"/>
        </w:rPr>
        <w:t>网。然而，</w:t>
      </w:r>
      <w:r w:rsidRPr="002E06C3">
        <w:rPr>
          <w:lang w:val="en-GB"/>
        </w:rPr>
        <w:t>3</w:t>
      </w:r>
      <w:r w:rsidRPr="002E06C3">
        <w:rPr>
          <w:rFonts w:hint="eastAsia"/>
          <w:lang w:val="en-GB"/>
        </w:rPr>
        <w:t>号线延伸轨道网上的车站没有配备数字音频系统。乘客只能通过视觉获得信息。因此，提交人不得不询问路人以获取信息，这让他很难找到前往新车站的路，阻碍了他在与他人平等的基础上使用电车。</w:t>
      </w:r>
    </w:p>
    <w:p w:rsidR="002E06C3" w:rsidRPr="002E06C3" w:rsidRDefault="002E06C3" w:rsidP="002E06C3">
      <w:pPr>
        <w:pStyle w:val="SingleTxtGC"/>
        <w:rPr>
          <w:lang w:val="en-GB"/>
        </w:rPr>
      </w:pPr>
      <w:r w:rsidRPr="002E06C3">
        <w:rPr>
          <w:lang w:val="en-GB"/>
        </w:rPr>
        <w:t>2.4</w:t>
      </w:r>
      <w:r>
        <w:rPr>
          <w:lang w:val="en-GB"/>
        </w:rPr>
        <w:t xml:space="preserve">  </w:t>
      </w:r>
      <w:r w:rsidRPr="002E06C3">
        <w:rPr>
          <w:rFonts w:hint="eastAsia"/>
          <w:lang w:val="en-GB"/>
        </w:rPr>
        <w:t>提交人称，要充分配备有轨电车</w:t>
      </w:r>
      <w:r w:rsidRPr="002E06C3">
        <w:rPr>
          <w:lang w:val="en-GB"/>
        </w:rPr>
        <w:t>3</w:t>
      </w:r>
      <w:r w:rsidRPr="002E06C3">
        <w:rPr>
          <w:rFonts w:hint="eastAsia"/>
          <w:lang w:val="en-GB"/>
        </w:rPr>
        <w:t>号线上的</w:t>
      </w:r>
      <w:r w:rsidRPr="002E06C3">
        <w:rPr>
          <w:lang w:val="en-GB"/>
        </w:rPr>
        <w:t>7</w:t>
      </w:r>
      <w:r w:rsidRPr="002E06C3">
        <w:rPr>
          <w:rFonts w:hint="eastAsia"/>
          <w:lang w:val="en-GB"/>
        </w:rPr>
        <w:t>个车站，需要</w:t>
      </w:r>
      <w:r w:rsidRPr="002E06C3">
        <w:rPr>
          <w:lang w:val="en-GB"/>
        </w:rPr>
        <w:t>14</w:t>
      </w:r>
      <w:r w:rsidRPr="002E06C3">
        <w:rPr>
          <w:rFonts w:hint="eastAsia"/>
          <w:lang w:val="en-GB"/>
        </w:rPr>
        <w:t>个音频系统。他还称，</w:t>
      </w:r>
      <w:r w:rsidRPr="002E06C3">
        <w:rPr>
          <w:lang w:val="en-GB"/>
        </w:rPr>
        <w:t>3</w:t>
      </w:r>
      <w:r w:rsidRPr="002E06C3">
        <w:rPr>
          <w:rFonts w:hint="eastAsia"/>
          <w:lang w:val="en-GB"/>
        </w:rPr>
        <w:t>号线轨道网新建部分的整体预算估计值为</w:t>
      </w:r>
      <w:r w:rsidRPr="002E06C3">
        <w:rPr>
          <w:lang w:val="en-GB"/>
        </w:rPr>
        <w:t>1</w:t>
      </w:r>
      <w:r w:rsidRPr="002E06C3">
        <w:rPr>
          <w:rFonts w:hint="eastAsia"/>
          <w:lang w:val="en-GB"/>
        </w:rPr>
        <w:t>.5</w:t>
      </w:r>
      <w:r w:rsidRPr="002E06C3">
        <w:rPr>
          <w:rFonts w:hint="eastAsia"/>
          <w:lang w:val="en-GB"/>
        </w:rPr>
        <w:t>亿欧元，但实际成本仅为</w:t>
      </w:r>
      <w:r w:rsidRPr="002E06C3">
        <w:rPr>
          <w:lang w:val="en-GB"/>
        </w:rPr>
        <w:t>1</w:t>
      </w:r>
      <w:r w:rsidRPr="002E06C3">
        <w:rPr>
          <w:rFonts w:hint="eastAsia"/>
          <w:lang w:val="en-GB"/>
        </w:rPr>
        <w:t>.4</w:t>
      </w:r>
      <w:r w:rsidRPr="002E06C3">
        <w:rPr>
          <w:rFonts w:hint="eastAsia"/>
          <w:lang w:val="en-GB"/>
        </w:rPr>
        <w:t>亿欧元。他还称，费用的</w:t>
      </w:r>
      <w:r w:rsidRPr="002E06C3">
        <w:rPr>
          <w:lang w:val="en-GB"/>
        </w:rPr>
        <w:t>80%</w:t>
      </w:r>
      <w:r w:rsidRPr="002E06C3">
        <w:rPr>
          <w:rFonts w:hint="eastAsia"/>
          <w:lang w:val="en-GB"/>
        </w:rPr>
        <w:t>由上奥地利州支付，</w:t>
      </w:r>
      <w:r w:rsidRPr="002E06C3">
        <w:rPr>
          <w:lang w:val="en-GB"/>
        </w:rPr>
        <w:t>20%</w:t>
      </w:r>
      <w:r w:rsidRPr="002E06C3">
        <w:rPr>
          <w:rFonts w:hint="eastAsia"/>
          <w:lang w:val="en-GB"/>
        </w:rPr>
        <w:t>由林茨附近的城市莱翁丁的社区承担。林茨线路有限责任公司指出，一个音频装置的费用为</w:t>
      </w:r>
      <w:r w:rsidRPr="002E06C3">
        <w:rPr>
          <w:lang w:val="en-GB"/>
        </w:rPr>
        <w:t>1</w:t>
      </w:r>
      <w:r>
        <w:rPr>
          <w:rFonts w:hint="eastAsia"/>
          <w:lang w:val="en-GB"/>
        </w:rPr>
        <w:t>,</w:t>
      </w:r>
      <w:r w:rsidRPr="002E06C3">
        <w:rPr>
          <w:lang w:val="en-GB"/>
        </w:rPr>
        <w:t>962</w:t>
      </w:r>
      <w:r w:rsidRPr="002E06C3">
        <w:rPr>
          <w:rFonts w:hint="eastAsia"/>
          <w:lang w:val="en-GB"/>
        </w:rPr>
        <w:t>欧元。因此，</w:t>
      </w:r>
      <w:r w:rsidRPr="002E06C3">
        <w:rPr>
          <w:lang w:val="en-GB"/>
        </w:rPr>
        <w:t>14</w:t>
      </w:r>
      <w:r w:rsidRPr="002E06C3">
        <w:rPr>
          <w:rFonts w:hint="eastAsia"/>
          <w:lang w:val="en-GB"/>
        </w:rPr>
        <w:t>个装置的花费为</w:t>
      </w:r>
      <w:r w:rsidRPr="002E06C3">
        <w:rPr>
          <w:lang w:val="en-GB"/>
        </w:rPr>
        <w:t>24</w:t>
      </w:r>
      <w:r>
        <w:rPr>
          <w:rFonts w:hint="eastAsia"/>
          <w:lang w:val="en-GB"/>
        </w:rPr>
        <w:t>,</w:t>
      </w:r>
      <w:r w:rsidRPr="002E06C3">
        <w:rPr>
          <w:lang w:val="en-GB"/>
        </w:rPr>
        <w:t>468</w:t>
      </w:r>
      <w:r w:rsidRPr="002E06C3">
        <w:rPr>
          <w:rFonts w:hint="eastAsia"/>
          <w:lang w:val="en-GB"/>
        </w:rPr>
        <w:t>欧元。提交人辩称，这笔钱本可在估计的预算范围内提供，不会给林茨线路有限责任公司造成额外费用，他还辩称，从经济角度而言，为提及的车站配备音频系统是合理的。</w:t>
      </w:r>
    </w:p>
    <w:p w:rsidR="002E06C3" w:rsidRPr="002E06C3" w:rsidRDefault="002E06C3" w:rsidP="002E06C3">
      <w:pPr>
        <w:pStyle w:val="SingleTxtGC"/>
        <w:rPr>
          <w:lang w:val="en-GB"/>
        </w:rPr>
      </w:pPr>
      <w:r w:rsidRPr="002E06C3">
        <w:rPr>
          <w:lang w:val="en-GB"/>
        </w:rPr>
        <w:t>2.5</w:t>
      </w:r>
      <w:r>
        <w:rPr>
          <w:lang w:val="en-GB"/>
        </w:rPr>
        <w:t xml:space="preserve">  </w:t>
      </w:r>
      <w:r w:rsidRPr="002E06C3">
        <w:rPr>
          <w:rFonts w:hint="eastAsia"/>
          <w:lang w:val="en-GB"/>
        </w:rPr>
        <w:t>《联邦残疾人平等法》规定，在采取司法行动之前必须尝试进行和解。</w:t>
      </w:r>
      <w:r>
        <w:rPr>
          <w:rStyle w:val="FootnoteReference"/>
          <w:lang w:val="en-GB"/>
        </w:rPr>
        <w:footnoteReference w:id="3"/>
      </w:r>
      <w:r w:rsidRPr="002E06C3">
        <w:rPr>
          <w:rFonts w:hint="eastAsia"/>
          <w:vertAlign w:val="superscript"/>
          <w:lang w:val="en-GB"/>
        </w:rPr>
        <w:t xml:space="preserve"> </w:t>
      </w:r>
      <w:r w:rsidRPr="002E06C3">
        <w:rPr>
          <w:lang w:val="en-GB"/>
        </w:rPr>
        <w:t>2012</w:t>
      </w:r>
      <w:r w:rsidRPr="002E06C3">
        <w:rPr>
          <w:rFonts w:hint="eastAsia"/>
          <w:lang w:val="en-GB"/>
        </w:rPr>
        <w:t>年</w:t>
      </w:r>
      <w:r w:rsidRPr="002E06C3">
        <w:rPr>
          <w:lang w:val="en-GB"/>
        </w:rPr>
        <w:t>6</w:t>
      </w:r>
      <w:r w:rsidRPr="002E06C3">
        <w:rPr>
          <w:rFonts w:hint="eastAsia"/>
          <w:lang w:val="en-GB"/>
        </w:rPr>
        <w:t>月</w:t>
      </w:r>
      <w:r w:rsidRPr="002E06C3">
        <w:rPr>
          <w:lang w:val="en-GB"/>
        </w:rPr>
        <w:t>4</w:t>
      </w:r>
      <w:r w:rsidRPr="002E06C3">
        <w:rPr>
          <w:rFonts w:hint="eastAsia"/>
          <w:lang w:val="en-GB"/>
        </w:rPr>
        <w:t>日，提交人针对林茨线路有限责任公司启动了和解程序，称他遭到基于残疾的歧视，因为作为一名盲人乘客，他无法在有轨电车</w:t>
      </w:r>
      <w:r w:rsidRPr="002E06C3">
        <w:rPr>
          <w:lang w:val="en-GB"/>
        </w:rPr>
        <w:t>3</w:t>
      </w:r>
      <w:r w:rsidRPr="002E06C3">
        <w:rPr>
          <w:rFonts w:hint="eastAsia"/>
          <w:lang w:val="en-GB"/>
        </w:rPr>
        <w:t>号线的车站获得必要信息。不过，和解没有达成任何协议，</w:t>
      </w:r>
      <w:r w:rsidRPr="002E06C3">
        <w:rPr>
          <w:lang w:val="en-GB"/>
        </w:rPr>
        <w:t>2012</w:t>
      </w:r>
      <w:r w:rsidRPr="002E06C3">
        <w:rPr>
          <w:rFonts w:hint="eastAsia"/>
          <w:lang w:val="en-GB"/>
        </w:rPr>
        <w:t>年</w:t>
      </w:r>
      <w:r w:rsidRPr="002E06C3">
        <w:rPr>
          <w:lang w:val="en-GB"/>
        </w:rPr>
        <w:t>7</w:t>
      </w:r>
      <w:r w:rsidRPr="002E06C3">
        <w:rPr>
          <w:rFonts w:hint="eastAsia"/>
          <w:lang w:val="en-GB"/>
        </w:rPr>
        <w:t>月</w:t>
      </w:r>
      <w:r w:rsidRPr="002E06C3">
        <w:rPr>
          <w:lang w:val="en-GB"/>
        </w:rPr>
        <w:t>18</w:t>
      </w:r>
      <w:r w:rsidRPr="002E06C3">
        <w:rPr>
          <w:rFonts w:hint="eastAsia"/>
          <w:lang w:val="en-GB"/>
        </w:rPr>
        <w:t>日，调解程序结束，和解委员会确认无法达成协议。</w:t>
      </w:r>
    </w:p>
    <w:p w:rsidR="002E06C3" w:rsidRPr="002E06C3" w:rsidRDefault="002E06C3" w:rsidP="002E06C3">
      <w:pPr>
        <w:pStyle w:val="SingleTxtGC"/>
        <w:rPr>
          <w:lang w:val="en-GB"/>
        </w:rPr>
      </w:pPr>
      <w:r w:rsidRPr="002E06C3">
        <w:rPr>
          <w:lang w:val="en-GB"/>
        </w:rPr>
        <w:t>2.6</w:t>
      </w:r>
      <w:r>
        <w:rPr>
          <w:lang w:val="en-GB"/>
        </w:rPr>
        <w:t xml:space="preserve">  </w:t>
      </w:r>
      <w:r w:rsidRPr="002E06C3">
        <w:rPr>
          <w:rFonts w:hint="eastAsia"/>
          <w:lang w:val="en-GB"/>
        </w:rPr>
        <w:t>提交人向林茨地区法院提出申诉，辩称他受到间接歧视，这违反了《</w:t>
      </w:r>
      <w:bookmarkStart w:id="1" w:name="OLE_LINK3"/>
      <w:bookmarkStart w:id="2" w:name="OLE_LINK4"/>
      <w:r w:rsidRPr="002E06C3">
        <w:rPr>
          <w:rFonts w:hint="eastAsia"/>
          <w:lang w:val="en-GB"/>
        </w:rPr>
        <w:t>联邦残疾人平等法</w:t>
      </w:r>
      <w:bookmarkEnd w:id="1"/>
      <w:bookmarkEnd w:id="2"/>
      <w:r w:rsidRPr="002E06C3">
        <w:rPr>
          <w:rFonts w:hint="eastAsia"/>
          <w:lang w:val="en-GB"/>
        </w:rPr>
        <w:t>》第</w:t>
      </w:r>
      <w:r w:rsidRPr="002E06C3">
        <w:rPr>
          <w:lang w:val="en-GB"/>
        </w:rPr>
        <w:t>4</w:t>
      </w:r>
      <w:r w:rsidRPr="002E06C3">
        <w:rPr>
          <w:rFonts w:hint="eastAsia"/>
          <w:lang w:val="en-GB"/>
        </w:rPr>
        <w:t>条第</w:t>
      </w:r>
      <w:r w:rsidRPr="002E06C3">
        <w:rPr>
          <w:lang w:val="en-GB"/>
        </w:rPr>
        <w:t>1</w:t>
      </w:r>
      <w:r w:rsidRPr="002E06C3">
        <w:rPr>
          <w:rFonts w:hint="eastAsia"/>
          <w:lang w:val="en-GB"/>
        </w:rPr>
        <w:t>款、第</w:t>
      </w:r>
      <w:r w:rsidRPr="002E06C3">
        <w:rPr>
          <w:lang w:val="en-GB"/>
        </w:rPr>
        <w:t>5</w:t>
      </w:r>
      <w:r w:rsidRPr="002E06C3">
        <w:rPr>
          <w:rFonts w:hint="eastAsia"/>
          <w:lang w:val="en-GB"/>
        </w:rPr>
        <w:t>条第</w:t>
      </w:r>
      <w:r w:rsidRPr="002E06C3">
        <w:rPr>
          <w:lang w:val="en-GB"/>
        </w:rPr>
        <w:t>2</w:t>
      </w:r>
      <w:r w:rsidRPr="002E06C3">
        <w:rPr>
          <w:rFonts w:hint="eastAsia"/>
          <w:lang w:val="en-GB"/>
        </w:rPr>
        <w:t>款和第</w:t>
      </w:r>
      <w:r w:rsidRPr="002E06C3">
        <w:rPr>
          <w:lang w:val="en-GB"/>
        </w:rPr>
        <w:t>9</w:t>
      </w:r>
      <w:r w:rsidRPr="002E06C3">
        <w:rPr>
          <w:rFonts w:hint="eastAsia"/>
          <w:lang w:val="en-GB"/>
        </w:rPr>
        <w:t>条第</w:t>
      </w:r>
      <w:r w:rsidRPr="002E06C3">
        <w:rPr>
          <w:lang w:val="en-GB"/>
        </w:rPr>
        <w:t>1</w:t>
      </w:r>
      <w:r w:rsidRPr="002E06C3">
        <w:rPr>
          <w:rFonts w:hint="eastAsia"/>
          <w:lang w:val="en-GB"/>
        </w:rPr>
        <w:t>款。该法规定，“当一项显然中立的规定、准则或惯例会对患有某种残疾的人造成某种较其他人不利的状况，即视为出现”歧视，“……但若基于合法目的执行该规定、准则或惯例，并且实现该目的的方法是适当和必需的，则不属于歧视”。</w:t>
      </w:r>
      <w:r>
        <w:rPr>
          <w:rStyle w:val="FootnoteReference"/>
          <w:lang w:val="en-GB"/>
        </w:rPr>
        <w:footnoteReference w:id="4"/>
      </w:r>
    </w:p>
    <w:p w:rsidR="002E06C3" w:rsidRPr="002E06C3" w:rsidRDefault="002E06C3" w:rsidP="002E06C3">
      <w:pPr>
        <w:pStyle w:val="SingleTxtGC"/>
        <w:rPr>
          <w:lang w:val="en-GB"/>
        </w:rPr>
      </w:pPr>
      <w:r w:rsidRPr="002E06C3">
        <w:rPr>
          <w:lang w:val="en-GB"/>
        </w:rPr>
        <w:t>2.7</w:t>
      </w:r>
      <w:r>
        <w:rPr>
          <w:lang w:val="en-GB"/>
        </w:rPr>
        <w:t xml:space="preserve">  </w:t>
      </w:r>
      <w:r w:rsidRPr="002E06C3">
        <w:rPr>
          <w:lang w:val="en-GB"/>
        </w:rPr>
        <w:t>2013</w:t>
      </w:r>
      <w:r w:rsidRPr="002E06C3">
        <w:rPr>
          <w:rFonts w:hint="eastAsia"/>
          <w:lang w:val="en-GB"/>
        </w:rPr>
        <w:t>年</w:t>
      </w:r>
      <w:r w:rsidRPr="002E06C3">
        <w:rPr>
          <w:lang w:val="en-GB"/>
        </w:rPr>
        <w:t>5</w:t>
      </w:r>
      <w:r w:rsidRPr="002E06C3">
        <w:rPr>
          <w:rFonts w:hint="eastAsia"/>
          <w:lang w:val="en-GB"/>
        </w:rPr>
        <w:t>月</w:t>
      </w:r>
      <w:r w:rsidRPr="002E06C3">
        <w:rPr>
          <w:lang w:val="en-GB"/>
        </w:rPr>
        <w:t>2</w:t>
      </w:r>
      <w:r w:rsidRPr="002E06C3">
        <w:rPr>
          <w:rFonts w:hint="eastAsia"/>
          <w:lang w:val="en-GB"/>
        </w:rPr>
        <w:t>日，地区法院认为，缺少数字音频系统并不会阻碍视力障碍者使用交通运输服务。法院指出，在有轨电车</w:t>
      </w:r>
      <w:r w:rsidRPr="002E06C3">
        <w:rPr>
          <w:lang w:val="en-GB"/>
        </w:rPr>
        <w:t>3</w:t>
      </w:r>
      <w:r w:rsidRPr="002E06C3">
        <w:rPr>
          <w:rFonts w:hint="eastAsia"/>
          <w:lang w:val="en-GB"/>
        </w:rPr>
        <w:t>号线的新增车站，乘客能看到的信息仅限于下列电车到站的时间以及交通线路暂时或全面崩溃的特殊情况。法院认为，也可通过互联网获得这一信息，并且拥有语音识别软件设备的视力残疾者也可获得该信息，因此，即便不了解向视力正常的乘客提供的信息，提交人也能乘坐电车。地区法院得出结论认为，缺少数字音频系统并不是等同于违反了禁止歧视规定的通信障碍。因此，法院驳回了提交人的案件，并要求他支付</w:t>
      </w:r>
      <w:r w:rsidRPr="002E06C3">
        <w:rPr>
          <w:lang w:val="en-GB"/>
        </w:rPr>
        <w:t>674.35</w:t>
      </w:r>
      <w:r w:rsidRPr="002E06C3">
        <w:rPr>
          <w:rFonts w:hint="eastAsia"/>
          <w:lang w:val="en-GB"/>
        </w:rPr>
        <w:t>欧元的诉讼费。</w:t>
      </w:r>
    </w:p>
    <w:p w:rsidR="002E06C3" w:rsidRPr="002E06C3" w:rsidRDefault="002E06C3" w:rsidP="002E06C3">
      <w:pPr>
        <w:pStyle w:val="SingleTxtGC"/>
        <w:rPr>
          <w:lang w:val="en-GB"/>
        </w:rPr>
      </w:pPr>
      <w:r w:rsidRPr="002E06C3">
        <w:rPr>
          <w:lang w:val="en-GB"/>
        </w:rPr>
        <w:t>2.8</w:t>
      </w:r>
      <w:r>
        <w:rPr>
          <w:lang w:val="en-GB"/>
        </w:rPr>
        <w:t xml:space="preserve">  </w:t>
      </w:r>
      <w:r w:rsidRPr="002E06C3">
        <w:rPr>
          <w:rFonts w:hint="eastAsia"/>
          <w:lang w:val="en-GB"/>
        </w:rPr>
        <w:t>提交人针对地区法院的裁决向林茨大区法院提出上诉。</w:t>
      </w:r>
      <w:r w:rsidRPr="002E06C3">
        <w:rPr>
          <w:lang w:val="en-GB"/>
        </w:rPr>
        <w:t>2013</w:t>
      </w:r>
      <w:r w:rsidRPr="002E06C3">
        <w:rPr>
          <w:rFonts w:hint="eastAsia"/>
          <w:lang w:val="en-GB"/>
        </w:rPr>
        <w:t>年</w:t>
      </w:r>
      <w:r w:rsidRPr="002E06C3">
        <w:rPr>
          <w:lang w:val="en-GB"/>
        </w:rPr>
        <w:t>7</w:t>
      </w:r>
      <w:r w:rsidRPr="002E06C3">
        <w:rPr>
          <w:rFonts w:hint="eastAsia"/>
          <w:lang w:val="en-GB"/>
        </w:rPr>
        <w:t>月</w:t>
      </w:r>
      <w:r w:rsidRPr="002E06C3">
        <w:rPr>
          <w:lang w:val="en-GB"/>
        </w:rPr>
        <w:t>15</w:t>
      </w:r>
      <w:r w:rsidRPr="002E06C3">
        <w:rPr>
          <w:rFonts w:hint="eastAsia"/>
          <w:lang w:val="en-GB"/>
        </w:rPr>
        <w:t>日，大区法院维持了地区法院的裁决，认为在有轨电车</w:t>
      </w:r>
      <w:r w:rsidRPr="002E06C3">
        <w:rPr>
          <w:lang w:val="en-GB"/>
        </w:rPr>
        <w:t>3</w:t>
      </w:r>
      <w:r w:rsidRPr="002E06C3">
        <w:rPr>
          <w:rFonts w:hint="eastAsia"/>
          <w:lang w:val="en-GB"/>
        </w:rPr>
        <w:t>号线的车站可通过视觉获得的信息“并不重要”，提交人很少会依赖这些信息。</w:t>
      </w:r>
    </w:p>
    <w:p w:rsidR="002E06C3" w:rsidRPr="002E06C3" w:rsidRDefault="002E06C3" w:rsidP="002E06C3">
      <w:pPr>
        <w:pStyle w:val="SingleTxtGC"/>
        <w:rPr>
          <w:lang w:val="en-GB"/>
        </w:rPr>
      </w:pPr>
      <w:r w:rsidRPr="002E06C3">
        <w:rPr>
          <w:lang w:val="en-GB"/>
        </w:rPr>
        <w:t>2.9</w:t>
      </w:r>
      <w:r>
        <w:rPr>
          <w:lang w:val="en-GB"/>
        </w:rPr>
        <w:t xml:space="preserve">  </w:t>
      </w:r>
      <w:r w:rsidRPr="002E06C3">
        <w:rPr>
          <w:rFonts w:hint="eastAsia"/>
          <w:lang w:val="en-GB"/>
        </w:rPr>
        <w:t>提交人辩称，虽然可在互联网上获得关于电车时刻表的信息，但他在旅行时无法立即获得所需的实时信息。提交人还主张，乘客在有轨电车</w:t>
      </w:r>
      <w:r w:rsidRPr="002E06C3">
        <w:rPr>
          <w:lang w:val="en-GB"/>
        </w:rPr>
        <w:t>3</w:t>
      </w:r>
      <w:r w:rsidRPr="002E06C3">
        <w:rPr>
          <w:rFonts w:hint="eastAsia"/>
          <w:lang w:val="en-GB"/>
        </w:rPr>
        <w:t>号线的新增车站上可获得的可视信息对他而言至关重要，因为他没有备选路线开展日常活动。</w:t>
      </w:r>
    </w:p>
    <w:p w:rsidR="002E06C3" w:rsidRPr="002E06C3" w:rsidRDefault="002E06C3" w:rsidP="002E06C3">
      <w:pPr>
        <w:pStyle w:val="SingleTxtGC"/>
        <w:rPr>
          <w:lang w:val="en-GB"/>
        </w:rPr>
      </w:pPr>
      <w:r w:rsidRPr="002E06C3">
        <w:rPr>
          <w:lang w:val="en-GB"/>
        </w:rPr>
        <w:t>2.10</w:t>
      </w:r>
      <w:r>
        <w:rPr>
          <w:lang w:val="en-GB"/>
        </w:rPr>
        <w:t xml:space="preserve">  </w:t>
      </w:r>
      <w:r w:rsidRPr="002E06C3">
        <w:rPr>
          <w:rFonts w:hint="eastAsia"/>
          <w:lang w:val="en-GB"/>
        </w:rPr>
        <w:t>根据《民事诉讼法》第</w:t>
      </w:r>
      <w:r w:rsidRPr="002E06C3">
        <w:rPr>
          <w:lang w:val="en-GB"/>
        </w:rPr>
        <w:t>502</w:t>
      </w:r>
      <w:r w:rsidRPr="002E06C3">
        <w:rPr>
          <w:rFonts w:hint="eastAsia"/>
          <w:lang w:val="en-GB"/>
        </w:rPr>
        <w:t>条第</w:t>
      </w:r>
      <w:r w:rsidRPr="002E06C3">
        <w:rPr>
          <w:lang w:val="en-GB"/>
        </w:rPr>
        <w:t>2</w:t>
      </w:r>
      <w:r w:rsidRPr="002E06C3">
        <w:rPr>
          <w:rFonts w:hint="eastAsia"/>
          <w:lang w:val="en-GB"/>
        </w:rPr>
        <w:t>款，最高法院无权对诉讼价值低于</w:t>
      </w:r>
      <w:r w:rsidRPr="002E06C3">
        <w:rPr>
          <w:lang w:val="en-GB"/>
        </w:rPr>
        <w:t>5</w:t>
      </w:r>
      <w:r>
        <w:rPr>
          <w:rFonts w:hint="eastAsia"/>
          <w:lang w:val="en-GB"/>
        </w:rPr>
        <w:t>,</w:t>
      </w:r>
      <w:r w:rsidRPr="002E06C3">
        <w:rPr>
          <w:lang w:val="en-GB"/>
        </w:rPr>
        <w:t>000</w:t>
      </w:r>
      <w:r w:rsidRPr="002E06C3">
        <w:rPr>
          <w:rFonts w:hint="eastAsia"/>
          <w:lang w:val="en-GB"/>
        </w:rPr>
        <w:t>欧元的案件进行审查。因此，大区法院是最高上诉审法院，在提交人的案件中，没有其他可用的国内补救办法。</w:t>
      </w:r>
    </w:p>
    <w:p w:rsidR="002E06C3" w:rsidRPr="002E06C3" w:rsidRDefault="002E06C3" w:rsidP="002E06C3">
      <w:pPr>
        <w:pStyle w:val="SingleTxtGC"/>
        <w:rPr>
          <w:lang w:val="en-GB"/>
        </w:rPr>
      </w:pPr>
      <w:r w:rsidRPr="002E06C3">
        <w:rPr>
          <w:lang w:val="en-GB"/>
        </w:rPr>
        <w:t>2.11</w:t>
      </w:r>
      <w:r>
        <w:rPr>
          <w:lang w:val="en-GB"/>
        </w:rPr>
        <w:t xml:space="preserve">  </w:t>
      </w:r>
      <w:r w:rsidRPr="002E06C3">
        <w:rPr>
          <w:rFonts w:hint="eastAsia"/>
          <w:lang w:val="en-GB"/>
        </w:rPr>
        <w:t>提交人还主张，《联邦残疾人平等法》没有提供充分的补救办法，因为该法提供的补偿措施仅适用于间接歧视的情况，不适用于未履行消除障碍的义务使残疾人获得正常人能获得的服务的情况。</w:t>
      </w:r>
    </w:p>
    <w:p w:rsidR="002E06C3" w:rsidRPr="002E06C3" w:rsidRDefault="002E06C3" w:rsidP="002E06C3">
      <w:pPr>
        <w:pStyle w:val="H23GC"/>
      </w:pPr>
      <w:r w:rsidRPr="002E06C3">
        <w:tab/>
      </w:r>
      <w:r w:rsidRPr="002E06C3">
        <w:tab/>
      </w:r>
      <w:r w:rsidRPr="002E06C3">
        <w:rPr>
          <w:rFonts w:hint="eastAsia"/>
        </w:rPr>
        <w:t>申诉</w:t>
      </w:r>
    </w:p>
    <w:p w:rsidR="002E06C3" w:rsidRPr="002E06C3" w:rsidRDefault="002E06C3" w:rsidP="002E06C3">
      <w:pPr>
        <w:pStyle w:val="SingleTxtGC"/>
        <w:rPr>
          <w:lang w:val="en-GB"/>
        </w:rPr>
      </w:pPr>
      <w:r w:rsidRPr="002E06C3">
        <w:rPr>
          <w:lang w:val="en-GB"/>
        </w:rPr>
        <w:t>3.1</w:t>
      </w:r>
      <w:r>
        <w:rPr>
          <w:lang w:val="en-GB"/>
        </w:rPr>
        <w:t xml:space="preserve">  </w:t>
      </w:r>
      <w:r w:rsidRPr="002E06C3">
        <w:rPr>
          <w:rFonts w:hint="eastAsia"/>
          <w:lang w:val="en-GB"/>
        </w:rPr>
        <w:t>提交人认为，缔约国没能在有轨电车</w:t>
      </w:r>
      <w:r w:rsidRPr="002E06C3">
        <w:rPr>
          <w:lang w:val="en-GB"/>
        </w:rPr>
        <w:t>3</w:t>
      </w:r>
      <w:r w:rsidRPr="002E06C3">
        <w:rPr>
          <w:rFonts w:hint="eastAsia"/>
          <w:lang w:val="en-GB"/>
        </w:rPr>
        <w:t>号线上安装音频系统违反了双感官无障碍原则，该原则指出，包括指导援助在内的一切信息必须至少可通过三种感官</w:t>
      </w:r>
      <w:r w:rsidRPr="002E06C3">
        <w:rPr>
          <w:rFonts w:hint="eastAsia"/>
          <w:lang w:val="en-GB"/>
        </w:rPr>
        <w:t>(</w:t>
      </w:r>
      <w:r w:rsidRPr="002E06C3">
        <w:rPr>
          <w:rFonts w:hint="eastAsia"/>
          <w:lang w:val="en-GB"/>
        </w:rPr>
        <w:t>听觉、视觉和触觉</w:t>
      </w:r>
      <w:r w:rsidRPr="002E06C3">
        <w:rPr>
          <w:rFonts w:hint="eastAsia"/>
          <w:lang w:val="en-GB"/>
        </w:rPr>
        <w:t>)</w:t>
      </w:r>
      <w:r w:rsidRPr="002E06C3">
        <w:rPr>
          <w:rFonts w:hint="eastAsia"/>
          <w:lang w:val="en-GB"/>
        </w:rPr>
        <w:t>中的两种进行感知，以便使视力障碍者和听力障碍者能够在没有外界援助的情况下获取一切重要信息。他还辩称，由于缺少音频系统，导致他作为一名视力障碍者无法获取只能通过视觉获得的信息。他认为，此种通信障碍等同于歧视，因为这剥夺了他与他人在平等的基础上使用交通运输服务的权利，违反了《公约》第五条和第九条。</w:t>
      </w:r>
    </w:p>
    <w:p w:rsidR="002E06C3" w:rsidRPr="002E06C3" w:rsidRDefault="002E06C3" w:rsidP="002E06C3">
      <w:pPr>
        <w:pStyle w:val="SingleTxtGC"/>
        <w:rPr>
          <w:lang w:val="en-GB"/>
        </w:rPr>
      </w:pPr>
      <w:r w:rsidRPr="002E06C3">
        <w:rPr>
          <w:lang w:val="en-GB"/>
        </w:rPr>
        <w:t>3.2</w:t>
      </w:r>
      <w:r>
        <w:rPr>
          <w:lang w:val="en-GB"/>
        </w:rPr>
        <w:t xml:space="preserve">  </w:t>
      </w:r>
      <w:r w:rsidRPr="002E06C3">
        <w:rPr>
          <w:rFonts w:hint="eastAsia"/>
          <w:lang w:val="en-GB"/>
        </w:rPr>
        <w:t>提交人认为，缔约国拒绝消除这些障碍构成对《公约》第十九条和第二十条的违反，因为</w:t>
      </w:r>
      <w:r w:rsidRPr="002E06C3">
        <w:rPr>
          <w:lang w:val="en-GB"/>
        </w:rPr>
        <w:t>3</w:t>
      </w:r>
      <w:r w:rsidRPr="002E06C3">
        <w:rPr>
          <w:rFonts w:hint="eastAsia"/>
          <w:lang w:val="en-GB"/>
        </w:rPr>
        <w:t>号线缺少音频系统已导致他无法独立生活，侵犯了其个人行动能力权。</w:t>
      </w:r>
    </w:p>
    <w:p w:rsidR="002E06C3" w:rsidRPr="002E06C3" w:rsidRDefault="002E06C3" w:rsidP="002E06C3">
      <w:pPr>
        <w:pStyle w:val="SingleTxtGC"/>
        <w:rPr>
          <w:lang w:val="en-GB"/>
        </w:rPr>
      </w:pPr>
      <w:r w:rsidRPr="002E06C3">
        <w:rPr>
          <w:lang w:val="en-GB"/>
        </w:rPr>
        <w:t>3.3</w:t>
      </w:r>
      <w:r>
        <w:rPr>
          <w:lang w:val="en-GB"/>
        </w:rPr>
        <w:t xml:space="preserve">  </w:t>
      </w:r>
      <w:r w:rsidRPr="002E06C3">
        <w:rPr>
          <w:rFonts w:hint="eastAsia"/>
          <w:lang w:val="en-GB"/>
        </w:rPr>
        <w:t>提交人主张，《联邦残疾人平等法》没有提供使残疾人免遭歧视的充分保护，因为该法没有规定任何消除障碍的义务。他认为，国内法院对该法各项条款的解释太过严格，因为这种解释认为，对于残疾人而言，这些障碍不是构成歧视的原因。他还认为，这种解释没有考虑到《残疾人权利公约》，侵犯了其根据《公约》第五条第二款享有的获得平等和有效补救的权利。</w:t>
      </w:r>
    </w:p>
    <w:p w:rsidR="002E06C3" w:rsidRPr="002E06C3" w:rsidRDefault="002E06C3" w:rsidP="002E06C3">
      <w:pPr>
        <w:pStyle w:val="SingleTxtGC"/>
        <w:rPr>
          <w:lang w:val="en-GB"/>
        </w:rPr>
      </w:pPr>
      <w:r w:rsidRPr="002E06C3">
        <w:rPr>
          <w:lang w:val="en-GB"/>
        </w:rPr>
        <w:t>3.4</w:t>
      </w:r>
      <w:r>
        <w:rPr>
          <w:lang w:val="en-GB"/>
        </w:rPr>
        <w:t xml:space="preserve">  </w:t>
      </w:r>
      <w:r w:rsidRPr="002E06C3">
        <w:rPr>
          <w:rFonts w:hint="eastAsia"/>
          <w:lang w:val="en-GB"/>
        </w:rPr>
        <w:t>提交人还辩称，该法规定，只有在错误或蓄意制造障碍的情况下才能将所涉障碍视为非法，因此，这一规定的适用范围不包括“……其效果是在政治、经济、社会、文化、公民或任何其他领域，损害或取消在与其他人平等的基础上对一切人权和基本自由的认可、享有或行使”的“基于残疾而作出的任何区别、排斥或限制”，这违反了《公约》第二条。</w:t>
      </w:r>
    </w:p>
    <w:p w:rsidR="002E06C3" w:rsidRPr="002E06C3" w:rsidRDefault="002E06C3" w:rsidP="002E06C3">
      <w:pPr>
        <w:pStyle w:val="H23GC"/>
      </w:pPr>
      <w:r w:rsidRPr="002E06C3">
        <w:tab/>
      </w:r>
      <w:r w:rsidRPr="002E06C3">
        <w:tab/>
      </w:r>
      <w:r w:rsidRPr="002E06C3">
        <w:rPr>
          <w:rFonts w:hint="eastAsia"/>
        </w:rPr>
        <w:t>缔约国关于可否受理问题和案情的意见</w:t>
      </w:r>
    </w:p>
    <w:p w:rsidR="002E06C3" w:rsidRPr="002E06C3" w:rsidRDefault="002E06C3" w:rsidP="002E06C3">
      <w:pPr>
        <w:pStyle w:val="SingleTxtGC"/>
        <w:rPr>
          <w:lang w:val="en-GB"/>
        </w:rPr>
      </w:pPr>
      <w:r w:rsidRPr="002E06C3">
        <w:rPr>
          <w:lang w:val="en-GB"/>
        </w:rPr>
        <w:t>4.1</w:t>
      </w:r>
      <w:r>
        <w:rPr>
          <w:lang w:val="en-GB"/>
        </w:rPr>
        <w:t xml:space="preserve">  </w:t>
      </w:r>
      <w:r w:rsidRPr="002E06C3">
        <w:rPr>
          <w:lang w:val="en-GB"/>
        </w:rPr>
        <w:t>2014</w:t>
      </w:r>
      <w:r w:rsidRPr="002E06C3">
        <w:rPr>
          <w:rFonts w:hint="eastAsia"/>
          <w:lang w:val="en-GB"/>
        </w:rPr>
        <w:t>年</w:t>
      </w:r>
      <w:r w:rsidRPr="002E06C3">
        <w:rPr>
          <w:lang w:val="en-GB"/>
        </w:rPr>
        <w:t>12</w:t>
      </w:r>
      <w:r w:rsidRPr="002E06C3">
        <w:rPr>
          <w:rFonts w:hint="eastAsia"/>
          <w:lang w:val="en-GB"/>
        </w:rPr>
        <w:t>月</w:t>
      </w:r>
      <w:r w:rsidRPr="002E06C3">
        <w:rPr>
          <w:lang w:val="en-GB"/>
        </w:rPr>
        <w:t>30</w:t>
      </w:r>
      <w:r w:rsidRPr="002E06C3">
        <w:rPr>
          <w:rFonts w:hint="eastAsia"/>
          <w:lang w:val="en-GB"/>
        </w:rPr>
        <w:t>日，缔约国提交了其关于来文可否受理和案情的意见。</w:t>
      </w:r>
    </w:p>
    <w:p w:rsidR="002E06C3" w:rsidRPr="002E06C3" w:rsidRDefault="002E06C3" w:rsidP="002E06C3">
      <w:pPr>
        <w:pStyle w:val="SingleTxtGC"/>
        <w:rPr>
          <w:lang w:val="en-GB"/>
        </w:rPr>
      </w:pPr>
      <w:r w:rsidRPr="002E06C3">
        <w:rPr>
          <w:lang w:val="en-GB"/>
        </w:rPr>
        <w:t>4.2</w:t>
      </w:r>
      <w:r>
        <w:rPr>
          <w:lang w:val="en-GB"/>
        </w:rPr>
        <w:t xml:space="preserve">  </w:t>
      </w:r>
      <w:r w:rsidRPr="002E06C3">
        <w:rPr>
          <w:rFonts w:hint="eastAsia"/>
          <w:lang w:val="en-GB"/>
        </w:rPr>
        <w:t>缔约国指出，林茨有轨电车由林茨线路有限责任公司运营，该公司在林茨负责运营的车站个数约为</w:t>
      </w:r>
      <w:r w:rsidRPr="002E06C3">
        <w:rPr>
          <w:rFonts w:hint="eastAsia"/>
          <w:lang w:val="en-GB"/>
        </w:rPr>
        <w:t>720</w:t>
      </w:r>
      <w:r w:rsidRPr="002E06C3">
        <w:rPr>
          <w:rFonts w:hint="eastAsia"/>
          <w:lang w:val="en-GB"/>
        </w:rPr>
        <w:t>个。在这</w:t>
      </w:r>
      <w:r w:rsidRPr="002E06C3">
        <w:rPr>
          <w:lang w:val="en-GB"/>
        </w:rPr>
        <w:t>720</w:t>
      </w:r>
      <w:r w:rsidRPr="002E06C3">
        <w:rPr>
          <w:rFonts w:hint="eastAsia"/>
          <w:lang w:val="en-GB"/>
        </w:rPr>
        <w:t>个车站中，有</w:t>
      </w:r>
      <w:r w:rsidRPr="002E06C3">
        <w:rPr>
          <w:lang w:val="en-GB"/>
        </w:rPr>
        <w:t>374</w:t>
      </w:r>
      <w:r w:rsidRPr="002E06C3">
        <w:rPr>
          <w:rFonts w:hint="eastAsia"/>
          <w:lang w:val="en-GB"/>
        </w:rPr>
        <w:t>个配备了显示乘客动态信息的显示屏。这意味着，指示牌不仅显示时刻表，还显示电车抵站和离站的实际时间。显示屏还显示了距离下列电车到站的时间。在这</w:t>
      </w:r>
      <w:r w:rsidRPr="002E06C3">
        <w:rPr>
          <w:lang w:val="en-GB"/>
        </w:rPr>
        <w:t>374</w:t>
      </w:r>
      <w:r w:rsidRPr="002E06C3">
        <w:rPr>
          <w:rFonts w:hint="eastAsia"/>
          <w:lang w:val="en-GB"/>
        </w:rPr>
        <w:t>个车站中，有</w:t>
      </w:r>
      <w:r w:rsidRPr="002E06C3">
        <w:rPr>
          <w:lang w:val="en-GB"/>
        </w:rPr>
        <w:t>44</w:t>
      </w:r>
      <w:r w:rsidRPr="002E06C3">
        <w:rPr>
          <w:rFonts w:hint="eastAsia"/>
          <w:lang w:val="en-GB"/>
        </w:rPr>
        <w:t>个配备了音频转换</w:t>
      </w:r>
      <w:r w:rsidRPr="002E06C3">
        <w:rPr>
          <w:rFonts w:hint="eastAsia"/>
          <w:lang w:val="en-GB"/>
        </w:rPr>
        <w:t>(</w:t>
      </w:r>
      <w:r w:rsidRPr="002E06C3">
        <w:rPr>
          <w:rFonts w:hint="eastAsia"/>
          <w:lang w:val="en-GB"/>
        </w:rPr>
        <w:t>按下按钮实现转换</w:t>
      </w:r>
      <w:r w:rsidRPr="002E06C3">
        <w:rPr>
          <w:rFonts w:hint="eastAsia"/>
          <w:lang w:val="en-GB"/>
        </w:rPr>
        <w:t>)</w:t>
      </w:r>
      <w:r w:rsidRPr="002E06C3">
        <w:rPr>
          <w:rFonts w:hint="eastAsia"/>
          <w:lang w:val="en-GB"/>
        </w:rPr>
        <w:t>装置，用于转换显示屏上“供乘客阅读”的可见信息。这些车站是主要的交通枢纽。从技术角度而言，只有在配备了动态乘客信息系统的车站才能实现信息的音频输出。</w:t>
      </w:r>
    </w:p>
    <w:p w:rsidR="002E06C3" w:rsidRPr="002E06C3" w:rsidRDefault="002E06C3" w:rsidP="002E06C3">
      <w:pPr>
        <w:pStyle w:val="SingleTxtGC"/>
        <w:rPr>
          <w:lang w:val="en-GB"/>
        </w:rPr>
      </w:pPr>
      <w:r w:rsidRPr="002E06C3">
        <w:rPr>
          <w:lang w:val="en-GB"/>
        </w:rPr>
        <w:t>4.3</w:t>
      </w:r>
      <w:r>
        <w:rPr>
          <w:lang w:val="en-GB"/>
        </w:rPr>
        <w:t xml:space="preserve">  </w:t>
      </w:r>
      <w:r w:rsidRPr="002E06C3">
        <w:rPr>
          <w:rFonts w:hint="eastAsia"/>
          <w:lang w:val="en-GB"/>
        </w:rPr>
        <w:t>缔约国描述了提交人提起的司法程序，并指出，</w:t>
      </w:r>
      <w:r w:rsidRPr="002E06C3">
        <w:rPr>
          <w:lang w:val="en-GB"/>
        </w:rPr>
        <w:t>2013</w:t>
      </w:r>
      <w:r w:rsidRPr="002E06C3">
        <w:rPr>
          <w:rFonts w:hint="eastAsia"/>
          <w:lang w:val="en-GB"/>
        </w:rPr>
        <w:t>年</w:t>
      </w:r>
      <w:r w:rsidRPr="002E06C3">
        <w:rPr>
          <w:lang w:val="en-GB"/>
        </w:rPr>
        <w:t>7</w:t>
      </w:r>
      <w:r w:rsidRPr="002E06C3">
        <w:rPr>
          <w:rFonts w:hint="eastAsia"/>
          <w:lang w:val="en-GB"/>
        </w:rPr>
        <w:t>月</w:t>
      </w:r>
      <w:r w:rsidRPr="002E06C3">
        <w:rPr>
          <w:lang w:val="en-GB"/>
        </w:rPr>
        <w:t>31</w:t>
      </w:r>
      <w:r w:rsidRPr="002E06C3">
        <w:rPr>
          <w:rFonts w:hint="eastAsia"/>
          <w:lang w:val="en-GB"/>
        </w:rPr>
        <w:t>日，林茨大区法院驳回了提交人针对林茨地区法院</w:t>
      </w:r>
      <w:r w:rsidRPr="002E06C3">
        <w:rPr>
          <w:lang w:val="en-GB"/>
        </w:rPr>
        <w:t>2013</w:t>
      </w:r>
      <w:r w:rsidRPr="002E06C3">
        <w:rPr>
          <w:rFonts w:hint="eastAsia"/>
          <w:lang w:val="en-GB"/>
        </w:rPr>
        <w:t>年</w:t>
      </w:r>
      <w:r w:rsidRPr="002E06C3">
        <w:rPr>
          <w:lang w:val="en-GB"/>
        </w:rPr>
        <w:t>5</w:t>
      </w:r>
      <w:r w:rsidRPr="002E06C3">
        <w:rPr>
          <w:rFonts w:hint="eastAsia"/>
          <w:lang w:val="en-GB"/>
        </w:rPr>
        <w:t>月</w:t>
      </w:r>
      <w:r w:rsidRPr="002E06C3">
        <w:rPr>
          <w:lang w:val="en-GB"/>
        </w:rPr>
        <w:t>2</w:t>
      </w:r>
      <w:r w:rsidRPr="002E06C3">
        <w:rPr>
          <w:rFonts w:hint="eastAsia"/>
          <w:lang w:val="en-GB"/>
        </w:rPr>
        <w:t>日的判决提出的上诉，认为不存在与技术通信有关的间接歧视，因为动态乘客信息与提交人使用的车站没有特定关联：只有有轨电车</w:t>
      </w:r>
      <w:r w:rsidRPr="002E06C3">
        <w:rPr>
          <w:lang w:val="en-GB"/>
        </w:rPr>
        <w:t>3</w:t>
      </w:r>
      <w:r w:rsidRPr="002E06C3">
        <w:rPr>
          <w:rFonts w:hint="eastAsia"/>
          <w:lang w:val="en-GB"/>
        </w:rPr>
        <w:t>号线才频繁路过这些车站，发车间隔通常为</w:t>
      </w:r>
      <w:r w:rsidRPr="002E06C3">
        <w:rPr>
          <w:lang w:val="en-GB"/>
        </w:rPr>
        <w:t>7</w:t>
      </w:r>
      <w:r w:rsidRPr="002E06C3">
        <w:rPr>
          <w:rFonts w:hint="eastAsia"/>
          <w:lang w:val="en-GB"/>
        </w:rPr>
        <w:t>至</w:t>
      </w:r>
      <w:r w:rsidRPr="002E06C3">
        <w:rPr>
          <w:lang w:val="en-GB"/>
        </w:rPr>
        <w:t>8</w:t>
      </w:r>
      <w:r w:rsidRPr="002E06C3">
        <w:rPr>
          <w:rFonts w:hint="eastAsia"/>
          <w:lang w:val="en-GB"/>
        </w:rPr>
        <w:t>分钟。稍长时间的延迟可忽略不计，完全取消班次的情况极少发生。大区法院补充认为，盲人乘客通过语音识别系统也可在互联网上获悉一般运营期间以及可预见的或计划取消的班次。因此，该法院认为，提交人只在特殊情况下才必须依靠外部援助，并有轨电车</w:t>
      </w:r>
      <w:r w:rsidRPr="002E06C3">
        <w:rPr>
          <w:lang w:val="en-GB"/>
        </w:rPr>
        <w:t>3</w:t>
      </w:r>
      <w:r w:rsidRPr="002E06C3">
        <w:rPr>
          <w:rFonts w:hint="eastAsia"/>
          <w:lang w:val="en-GB"/>
        </w:rPr>
        <w:t>号线是无障碍路线，提交人可“使用惯常方式”乘车而“不会遇到特殊阻碍或障碍并且一般无需外部援助”。</w:t>
      </w:r>
    </w:p>
    <w:p w:rsidR="002E06C3" w:rsidRPr="002E06C3" w:rsidRDefault="002E06C3" w:rsidP="002E06C3">
      <w:pPr>
        <w:pStyle w:val="SingleTxtGC"/>
        <w:rPr>
          <w:lang w:val="en-GB"/>
        </w:rPr>
      </w:pPr>
      <w:r w:rsidRPr="002E06C3">
        <w:rPr>
          <w:lang w:val="en-GB"/>
        </w:rPr>
        <w:t>4.4</w:t>
      </w:r>
      <w:r>
        <w:rPr>
          <w:lang w:val="en-GB"/>
        </w:rPr>
        <w:t xml:space="preserve">  </w:t>
      </w:r>
      <w:r w:rsidRPr="002E06C3">
        <w:rPr>
          <w:rFonts w:hint="eastAsia"/>
          <w:lang w:val="en-GB"/>
        </w:rPr>
        <w:t>缔约国回顾指出，《公约》第五条禁止基于残疾的歧视。它还回顾指出，第九条第一款要求各缔约国采取适当措施，确保残疾人在与其他人平等的基础上无障碍使用尤其是交通工具和通信，以及向公众开放或提供的其他设施和服务；第九条第二款要求各缔约国确保向公众开放或为公众提供设施和服务的私营实体在各个方面考虑为残疾人创造无障碍环境。第十九条保障所有残疾人享有在社区生活中的平等权利以及与其他人同等的选择，第二十条要求各缔约国采取有效措施，确保残疾人尽可能独立地享有个人行动能力。</w:t>
      </w:r>
    </w:p>
    <w:p w:rsidR="002E06C3" w:rsidRPr="002E06C3" w:rsidRDefault="002E06C3" w:rsidP="002E06C3">
      <w:pPr>
        <w:pStyle w:val="SingleTxtGC"/>
        <w:rPr>
          <w:lang w:val="en-GB"/>
        </w:rPr>
      </w:pPr>
      <w:r w:rsidRPr="002E06C3">
        <w:rPr>
          <w:lang w:val="en-GB"/>
        </w:rPr>
        <w:t>4.5</w:t>
      </w:r>
      <w:r>
        <w:rPr>
          <w:lang w:val="en-GB"/>
        </w:rPr>
        <w:t xml:space="preserve">  </w:t>
      </w:r>
      <w:r w:rsidRPr="002E06C3">
        <w:rPr>
          <w:rFonts w:hint="eastAsia"/>
          <w:lang w:val="en-GB"/>
        </w:rPr>
        <w:t>缔约国还提及委员会在第</w:t>
      </w:r>
      <w:r w:rsidRPr="002E06C3">
        <w:rPr>
          <w:lang w:val="en-GB"/>
        </w:rPr>
        <w:t>2</w:t>
      </w:r>
      <w:r w:rsidRPr="002E06C3">
        <w:rPr>
          <w:rFonts w:hint="eastAsia"/>
          <w:lang w:val="en-GB"/>
        </w:rPr>
        <w:t>号一般性意见中对《公约》第九条的解释，</w:t>
      </w:r>
      <w:r>
        <w:rPr>
          <w:rStyle w:val="FootnoteReference"/>
          <w:lang w:val="en-GB"/>
        </w:rPr>
        <w:footnoteReference w:id="5"/>
      </w:r>
      <w:r w:rsidRPr="002E06C3">
        <w:rPr>
          <w:rFonts w:hint="eastAsia"/>
          <w:vertAlign w:val="superscript"/>
          <w:lang w:val="en-GB"/>
        </w:rPr>
        <w:t xml:space="preserve"> </w:t>
      </w:r>
      <w:r w:rsidRPr="002E06C3">
        <w:rPr>
          <w:rFonts w:hint="eastAsia"/>
          <w:lang w:val="en-GB"/>
        </w:rPr>
        <w:t>并得出结论认为“无障碍权源于《公约》第五条规定的禁止一切歧视，这是行使《公约》第十九条规定的独立生活和融入社区权以及第二十条规定的个人行动能力权的先决条件”。缔约国还回顾指出，《公约》没有绝对禁止区别对待；“实行无障碍的义务是无条件的……</w:t>
      </w:r>
      <w:r w:rsidRPr="002E06C3">
        <w:rPr>
          <w:rFonts w:hint="eastAsia"/>
          <w:lang w:val="en-GB"/>
        </w:rPr>
        <w:t>[</w:t>
      </w:r>
      <w:r w:rsidRPr="002E06C3">
        <w:rPr>
          <w:rFonts w:hint="eastAsia"/>
          <w:lang w:val="en-GB"/>
        </w:rPr>
        <w:t>而</w:t>
      </w:r>
      <w:r w:rsidRPr="002E06C3">
        <w:rPr>
          <w:rFonts w:hint="eastAsia"/>
          <w:lang w:val="en-GB"/>
        </w:rPr>
        <w:t>]</w:t>
      </w:r>
      <w:r w:rsidRPr="002E06C3">
        <w:rPr>
          <w:rFonts w:hint="eastAsia"/>
          <w:lang w:val="en-GB"/>
        </w:rPr>
        <w:t>……只有在实行无障碍不会给该实体造成太重的负担时，才产生提供合理便利的职责”；</w:t>
      </w:r>
      <w:r>
        <w:rPr>
          <w:rStyle w:val="FootnoteReference"/>
          <w:lang w:val="en-GB"/>
        </w:rPr>
        <w:footnoteReference w:id="6"/>
      </w:r>
      <w:r w:rsidRPr="002E06C3">
        <w:rPr>
          <w:rFonts w:hint="eastAsia"/>
          <w:vertAlign w:val="superscript"/>
          <w:lang w:val="en-GB"/>
        </w:rPr>
        <w:t xml:space="preserve"> </w:t>
      </w:r>
      <w:r w:rsidRPr="002E06C3">
        <w:rPr>
          <w:rFonts w:hint="eastAsia"/>
          <w:lang w:val="en-GB"/>
        </w:rPr>
        <w:t>以及“在评估便利措施的合理性和相称性时，各国享有一定的判断余地”。</w:t>
      </w:r>
      <w:r>
        <w:rPr>
          <w:rStyle w:val="FootnoteReference"/>
          <w:lang w:val="en-GB"/>
        </w:rPr>
        <w:footnoteReference w:id="7"/>
      </w:r>
    </w:p>
    <w:p w:rsidR="002E06C3" w:rsidRPr="002E06C3" w:rsidRDefault="002E06C3" w:rsidP="002E06C3">
      <w:pPr>
        <w:pStyle w:val="SingleTxtGC"/>
        <w:rPr>
          <w:lang w:val="en-GB"/>
        </w:rPr>
      </w:pPr>
      <w:r w:rsidRPr="002E06C3">
        <w:rPr>
          <w:lang w:val="en-GB"/>
        </w:rPr>
        <w:t>4.6</w:t>
      </w:r>
      <w:r>
        <w:rPr>
          <w:lang w:val="en-GB"/>
        </w:rPr>
        <w:t xml:space="preserve">  </w:t>
      </w:r>
      <w:r w:rsidRPr="002E06C3">
        <w:rPr>
          <w:rFonts w:hint="eastAsia"/>
          <w:lang w:val="en-GB"/>
        </w:rPr>
        <w:t>缔约国认为，根据《联邦残疾人平等法》，该国已采取法律措施遵守公约规定的义务：该法禁止直接和间接歧视，其基本原则是全面“扫除障碍”。该法第</w:t>
      </w:r>
      <w:r w:rsidRPr="002E06C3">
        <w:rPr>
          <w:rFonts w:hint="eastAsia"/>
          <w:lang w:val="en-GB"/>
        </w:rPr>
        <w:t>6</w:t>
      </w:r>
      <w:r w:rsidRPr="002E06C3">
        <w:rPr>
          <w:rFonts w:hint="eastAsia"/>
          <w:lang w:val="en-GB"/>
        </w:rPr>
        <w:t>条第</w:t>
      </w:r>
      <w:r w:rsidRPr="002E06C3">
        <w:rPr>
          <w:rFonts w:hint="eastAsia"/>
          <w:lang w:val="en-GB"/>
        </w:rPr>
        <w:t>5</w:t>
      </w:r>
      <w:r w:rsidRPr="002E06C3">
        <w:rPr>
          <w:rFonts w:hint="eastAsia"/>
          <w:lang w:val="en-GB"/>
        </w:rPr>
        <w:t>款规定，建筑和其他设施、交通工具、技术设备、信息处理系统和生活的其他创造性方面只有在可以无障碍地获得并且可供残疾人在没有特殊困难和无需他人帮助的情况下使用时才被视为是无障碍的。缔约国认为，在本案中，林茨地区法院在彻底、客观地评估了相关事实之后得出结论认为，提交人使用的车站缺少音频系统没有导致对提交人的间接歧视。法院得出该结论是基于以下事实，即，这些车站只有有轨电车</w:t>
      </w:r>
      <w:r w:rsidRPr="002E06C3">
        <w:rPr>
          <w:rFonts w:hint="eastAsia"/>
          <w:lang w:val="en-GB"/>
        </w:rPr>
        <w:t>3</w:t>
      </w:r>
      <w:r w:rsidRPr="002E06C3">
        <w:rPr>
          <w:rFonts w:hint="eastAsia"/>
          <w:lang w:val="en-GB"/>
        </w:rPr>
        <w:t>号线频繁路过，时间间隔通常为</w:t>
      </w:r>
      <w:r w:rsidRPr="002E06C3">
        <w:rPr>
          <w:rFonts w:hint="eastAsia"/>
          <w:lang w:val="en-GB"/>
        </w:rPr>
        <w:t>7</w:t>
      </w:r>
      <w:r w:rsidRPr="002E06C3">
        <w:rPr>
          <w:rFonts w:hint="eastAsia"/>
          <w:lang w:val="en-GB"/>
        </w:rPr>
        <w:t>至</w:t>
      </w:r>
      <w:r w:rsidRPr="002E06C3">
        <w:rPr>
          <w:rFonts w:hint="eastAsia"/>
          <w:lang w:val="en-GB"/>
        </w:rPr>
        <w:t>8</w:t>
      </w:r>
      <w:r w:rsidRPr="002E06C3">
        <w:rPr>
          <w:rFonts w:hint="eastAsia"/>
          <w:lang w:val="en-GB"/>
        </w:rPr>
        <w:t>分钟。由于盲人乘客也可通过使用语音识别系统在互联网上获悉一般时刻表以及可预见的和预定的运营故障和复杂情况，因此，音频系统只有在无法预见的暂时或完全取消电车班次的情况下才可使用，而发生这种情况的可能性极小，并且十分少见。在此背景下，法院得出结论认为，该电车路线只在该法第</w:t>
      </w:r>
      <w:r w:rsidRPr="002E06C3">
        <w:rPr>
          <w:rFonts w:hint="eastAsia"/>
          <w:lang w:val="en-GB"/>
        </w:rPr>
        <w:t>6</w:t>
      </w:r>
      <w:r w:rsidRPr="002E06C3">
        <w:rPr>
          <w:rFonts w:hint="eastAsia"/>
          <w:lang w:val="en-GB"/>
        </w:rPr>
        <w:t>条第</w:t>
      </w:r>
      <w:r w:rsidRPr="002E06C3">
        <w:rPr>
          <w:rFonts w:hint="eastAsia"/>
          <w:lang w:val="en-GB"/>
        </w:rPr>
        <w:t>5</w:t>
      </w:r>
      <w:r w:rsidRPr="002E06C3">
        <w:rPr>
          <w:rFonts w:hint="eastAsia"/>
          <w:lang w:val="en-GB"/>
        </w:rPr>
        <w:t>款所指的“有特别困难和通常需要外部援助的情况下”才无法使用，因此不存在对提交人的间接歧视。</w:t>
      </w:r>
    </w:p>
    <w:p w:rsidR="002E06C3" w:rsidRPr="002E06C3" w:rsidRDefault="002E06C3" w:rsidP="002E06C3">
      <w:pPr>
        <w:pStyle w:val="SingleTxtGC"/>
        <w:rPr>
          <w:lang w:val="en-GB"/>
        </w:rPr>
      </w:pPr>
      <w:r w:rsidRPr="002E06C3">
        <w:rPr>
          <w:lang w:val="en-GB"/>
        </w:rPr>
        <w:t>4.7</w:t>
      </w:r>
      <w:r>
        <w:rPr>
          <w:lang w:val="en-GB"/>
        </w:rPr>
        <w:t xml:space="preserve">  </w:t>
      </w:r>
      <w:r w:rsidRPr="002E06C3">
        <w:rPr>
          <w:rFonts w:hint="eastAsia"/>
          <w:lang w:val="en-GB"/>
        </w:rPr>
        <w:t>缔约国还认为，与提交人意见不同的是，缺少音频系统不意味着提交人通常无法用与正常人相同的方式使用有轨电车</w:t>
      </w:r>
      <w:r w:rsidRPr="002E06C3">
        <w:rPr>
          <w:rFonts w:hint="eastAsia"/>
          <w:lang w:val="en-GB"/>
        </w:rPr>
        <w:t>3</w:t>
      </w:r>
      <w:r w:rsidRPr="002E06C3">
        <w:rPr>
          <w:rFonts w:hint="eastAsia"/>
          <w:lang w:val="en-GB"/>
        </w:rPr>
        <w:t>号线。有轨电车作为一种交通工具，其无障碍性和使用本身并没有受到限制。提交人在没有音频系统的情况下也完全可以实现其使用公共交通工具的“日常目标”。音频系统的存在只对电车的使用方式产生了影响。通过使用适当的语音识别系统，盲人和视力障碍者可随时在互联网上获得通过视觉和音频系统提供的信息。林茨线路有限责任公司在林茨市“开放数据倡议”框架内提供了所有的时刻表。因此，乘客可使用一系列移动设备应用程序，其中一些程序是免费提供的。尤其是，这些应用程序提供了实时发车时刻表，从而提供了关于延迟或故障的最新信息。</w:t>
      </w:r>
      <w:r w:rsidR="003F4846">
        <w:rPr>
          <w:rStyle w:val="FootnoteReference"/>
          <w:lang w:val="en-GB"/>
        </w:rPr>
        <w:footnoteReference w:id="8"/>
      </w:r>
      <w:r w:rsidR="003F4846" w:rsidRPr="003F4846">
        <w:rPr>
          <w:rFonts w:hint="eastAsia"/>
          <w:vertAlign w:val="superscript"/>
          <w:lang w:val="en-GB"/>
        </w:rPr>
        <w:t xml:space="preserve"> </w:t>
      </w:r>
      <w:r w:rsidRPr="002E06C3">
        <w:rPr>
          <w:rFonts w:hint="eastAsia"/>
          <w:lang w:val="en-GB"/>
        </w:rPr>
        <w:t>此外，林茨线路有限责任公司通过实时预后数据和跟踪功能负责移动电子信息的运营。缔约国认为，所提供的这些信息足以替代动态乘客信息，无法访问互联网的人可随时呼叫林茨线路有限责任公司的客服，以迅速获取时刻表的详细信息。缔约国指出，提交人没有详细说明为何林茨线路有限责任公司提供的若干信息来源不是一种“合理便利”，并认为，缺少音频系统绝不会使盲人和视力障碍者处于与他人相比不利的地位。</w:t>
      </w:r>
    </w:p>
    <w:p w:rsidR="002E06C3" w:rsidRPr="002E06C3" w:rsidRDefault="002E06C3" w:rsidP="002E06C3">
      <w:pPr>
        <w:pStyle w:val="SingleTxtGC"/>
        <w:rPr>
          <w:lang w:val="en-GB"/>
        </w:rPr>
      </w:pPr>
      <w:r w:rsidRPr="002E06C3">
        <w:rPr>
          <w:lang w:val="en-GB"/>
        </w:rPr>
        <w:t>4.8</w:t>
      </w:r>
      <w:r>
        <w:rPr>
          <w:lang w:val="en-GB"/>
        </w:rPr>
        <w:t xml:space="preserve">  </w:t>
      </w:r>
      <w:r w:rsidRPr="002E06C3">
        <w:rPr>
          <w:rFonts w:hint="eastAsia"/>
          <w:lang w:val="en-GB"/>
        </w:rPr>
        <w:t>缔约国辩称，在本案中，提交人使用的车站只有电车</w:t>
      </w:r>
      <w:r w:rsidRPr="002E06C3">
        <w:rPr>
          <w:rFonts w:hint="eastAsia"/>
          <w:lang w:val="en-GB"/>
        </w:rPr>
        <w:t>3</w:t>
      </w:r>
      <w:r w:rsidRPr="002E06C3">
        <w:rPr>
          <w:rFonts w:hint="eastAsia"/>
          <w:lang w:val="en-GB"/>
        </w:rPr>
        <w:t>号线才会频繁路</w:t>
      </w:r>
      <w:r w:rsidRPr="002E06C3">
        <w:rPr>
          <w:lang w:val="en-GB"/>
        </w:rPr>
        <w:br/>
      </w:r>
      <w:r w:rsidRPr="002E06C3">
        <w:rPr>
          <w:rFonts w:hint="eastAsia"/>
          <w:lang w:val="en-GB"/>
        </w:rPr>
        <w:t>过。动态乘客信息提供的唯一信息是距离下列电车到站还有几分钟。鉴于电车发车间隔很短，这一信息对乘客而言通常不具有附加价值，因为时刻表会在互联网上发布。关于这一点，缔约国指出，提交人没有详细说明为何林茨线路有限责任公司提供的若干信息来源不是一种“合理便利”。</w:t>
      </w:r>
    </w:p>
    <w:p w:rsidR="002E06C3" w:rsidRPr="002E06C3" w:rsidRDefault="002E06C3" w:rsidP="002E06C3">
      <w:pPr>
        <w:pStyle w:val="SingleTxtGC"/>
        <w:rPr>
          <w:lang w:val="en-GB"/>
        </w:rPr>
      </w:pPr>
      <w:r w:rsidRPr="002E06C3">
        <w:rPr>
          <w:lang w:val="en-GB"/>
        </w:rPr>
        <w:t>4.9</w:t>
      </w:r>
      <w:r>
        <w:rPr>
          <w:lang w:val="en-GB"/>
        </w:rPr>
        <w:t xml:space="preserve">  </w:t>
      </w:r>
      <w:r w:rsidRPr="002E06C3">
        <w:rPr>
          <w:rFonts w:hint="eastAsia"/>
          <w:lang w:val="en-GB"/>
        </w:rPr>
        <w:t>缔约国认为，音频系统“绝不是使用某种公共交通工具的一个先决条件”，因为它所提供的信息对乘客而言不是必不可少的。缔约国还认为，《公约》没有规定有义务为公共交通工具配备所有可能的设施以便利于公共交通的使用；应由供应方在同等备选设施之间做出选择。关于这一点，缔约国告知，林茨线路有限责任公司决定与上奥地利州盲人和视力障碍者协会合作，首先在若干条电车线路交错的主要交通枢纽处的车站建立音频系统。与此同时，已经在所有其他车站配备了行车路线信息系统。该系统是一种户外音响交通公告，在车站候车的乘客可借助该系统激活手动传感器，从而使盲人获悉即将到站或正在等待的公共交通工具的线路编号和最终目的地。鉴于可以理解为什么只在主要的交通枢纽而不是在只有一条电车线路频繁路过的车站配备音频系统，所以缔约国认为，提交人没有遭受间接歧视，因为缺少音频系统并没有影响其独立生活和融入社会的权利。</w:t>
      </w:r>
    </w:p>
    <w:p w:rsidR="002E06C3" w:rsidRPr="002E06C3" w:rsidRDefault="002E06C3" w:rsidP="002E06C3">
      <w:pPr>
        <w:pStyle w:val="SingleTxtGC"/>
        <w:rPr>
          <w:lang w:val="en-GB"/>
        </w:rPr>
      </w:pPr>
      <w:r w:rsidRPr="002E06C3">
        <w:rPr>
          <w:lang w:val="en-GB"/>
        </w:rPr>
        <w:t>4.10</w:t>
      </w:r>
      <w:r>
        <w:rPr>
          <w:lang w:val="en-GB"/>
        </w:rPr>
        <w:t xml:space="preserve">  </w:t>
      </w:r>
      <w:r w:rsidRPr="002E06C3">
        <w:rPr>
          <w:rFonts w:hint="eastAsia"/>
          <w:lang w:val="en-GB"/>
        </w:rPr>
        <w:t>关于提交人的意见，即遭受歧视的人无权消除阻碍和障碍，只能获得财政补偿，缔约国认为，允许受歧视者提出索赔请求的法律救济措施符合《公约》第五条第二款关于保障获得有效法律保护的规定。缔约国认为，与要求不作为或作为的名义权利相比，这种补救措施能够提供更好的法律保护，因为显而易见的是，因实行歧视性措施或者因不作为而导致被判处支付赔偿的公共和私营机构将致力于尽快消除引发损害赔偿的歧视行为。在缔约国，和解程序是免费的，平均持续</w:t>
      </w:r>
      <w:r w:rsidRPr="002E06C3">
        <w:rPr>
          <w:rFonts w:hint="eastAsia"/>
          <w:lang w:val="en-GB"/>
        </w:rPr>
        <w:t>106</w:t>
      </w:r>
      <w:r w:rsidRPr="002E06C3">
        <w:rPr>
          <w:rFonts w:hint="eastAsia"/>
          <w:lang w:val="en-GB"/>
        </w:rPr>
        <w:t>天。</w:t>
      </w:r>
    </w:p>
    <w:p w:rsidR="002E06C3" w:rsidRPr="002E06C3" w:rsidRDefault="002E06C3" w:rsidP="002E06C3">
      <w:pPr>
        <w:pStyle w:val="SingleTxtGC"/>
        <w:rPr>
          <w:lang w:val="en-GB"/>
        </w:rPr>
      </w:pPr>
      <w:r w:rsidRPr="002E06C3">
        <w:rPr>
          <w:lang w:val="en-GB"/>
        </w:rPr>
        <w:t>4.11</w:t>
      </w:r>
      <w:r>
        <w:rPr>
          <w:lang w:val="en-GB"/>
        </w:rPr>
        <w:t xml:space="preserve">  </w:t>
      </w:r>
      <w:r w:rsidRPr="002E06C3">
        <w:rPr>
          <w:rFonts w:hint="eastAsia"/>
          <w:lang w:val="en-GB"/>
        </w:rPr>
        <w:t>缔约国还指出，</w:t>
      </w:r>
      <w:r w:rsidRPr="002E06C3">
        <w:rPr>
          <w:rFonts w:hint="eastAsia"/>
          <w:lang w:val="en-GB"/>
        </w:rPr>
        <w:t>2009</w:t>
      </w:r>
      <w:r w:rsidRPr="002E06C3">
        <w:rPr>
          <w:rFonts w:hint="eastAsia"/>
          <w:lang w:val="en-GB"/>
        </w:rPr>
        <w:t>年，联邦交通、创新和技术部就残疾人无障碍使用交通工具的问题发布了一部题为“无障碍公共客运交通”的指南。在该指南中，有一章专门规定了关于无障碍公交车和电车站以及公交车和电车车站上的乘客信息与标牌</w:t>
      </w:r>
      <w:r w:rsidRPr="002E06C3">
        <w:rPr>
          <w:rFonts w:hint="eastAsia"/>
          <w:lang w:val="en-GB"/>
        </w:rPr>
        <w:t>/</w:t>
      </w:r>
      <w:r w:rsidRPr="002E06C3">
        <w:rPr>
          <w:rFonts w:hint="eastAsia"/>
          <w:lang w:val="en-GB"/>
        </w:rPr>
        <w:t>导向系统的要求。该指南中还特别纳入了一项建议，即，应始终考虑双感官原则，并指出仅在必要情况下才会提供音频形式的常规信息。</w:t>
      </w:r>
    </w:p>
    <w:p w:rsidR="002E06C3" w:rsidRPr="002E06C3" w:rsidRDefault="002E06C3" w:rsidP="002E06C3">
      <w:pPr>
        <w:pStyle w:val="H23GC"/>
      </w:pPr>
      <w:r w:rsidRPr="002E06C3">
        <w:tab/>
      </w:r>
      <w:r w:rsidRPr="002E06C3">
        <w:tab/>
      </w:r>
      <w:r w:rsidRPr="002E06C3">
        <w:rPr>
          <w:rFonts w:hint="eastAsia"/>
        </w:rPr>
        <w:t>提交人对缔约国意见的评论</w:t>
      </w:r>
    </w:p>
    <w:p w:rsidR="002E06C3" w:rsidRPr="002E06C3" w:rsidRDefault="002E06C3" w:rsidP="002E06C3">
      <w:pPr>
        <w:pStyle w:val="SingleTxtGC"/>
        <w:rPr>
          <w:lang w:val="en-GB"/>
        </w:rPr>
      </w:pPr>
      <w:r w:rsidRPr="002E06C3">
        <w:rPr>
          <w:lang w:val="en-GB"/>
        </w:rPr>
        <w:t>5.1</w:t>
      </w:r>
      <w:r>
        <w:rPr>
          <w:lang w:val="en-GB"/>
        </w:rPr>
        <w:t xml:space="preserve">  </w:t>
      </w:r>
      <w:r w:rsidRPr="002E06C3">
        <w:rPr>
          <w:rFonts w:hint="eastAsia"/>
          <w:lang w:val="en-GB"/>
        </w:rPr>
        <w:t>2015</w:t>
      </w:r>
      <w:r w:rsidRPr="002E06C3">
        <w:rPr>
          <w:rFonts w:hint="eastAsia"/>
          <w:lang w:val="en-GB"/>
        </w:rPr>
        <w:t>年</w:t>
      </w:r>
      <w:r w:rsidRPr="002E06C3">
        <w:rPr>
          <w:rFonts w:hint="eastAsia"/>
          <w:lang w:val="en-GB"/>
        </w:rPr>
        <w:t>1</w:t>
      </w:r>
      <w:r w:rsidRPr="002E06C3">
        <w:rPr>
          <w:rFonts w:hint="eastAsia"/>
          <w:lang w:val="en-GB"/>
        </w:rPr>
        <w:t>月</w:t>
      </w:r>
      <w:r w:rsidRPr="002E06C3">
        <w:rPr>
          <w:rFonts w:hint="eastAsia"/>
          <w:lang w:val="en-GB"/>
        </w:rPr>
        <w:t>13</w:t>
      </w:r>
      <w:r w:rsidRPr="002E06C3">
        <w:rPr>
          <w:rFonts w:hint="eastAsia"/>
          <w:lang w:val="en-GB"/>
        </w:rPr>
        <w:t>日，提交人向委员会提交了其对缔约国意见的评论。他认为，缔约国提到的“全面不歧视规则”是无效的。</w:t>
      </w:r>
    </w:p>
    <w:p w:rsidR="002E06C3" w:rsidRPr="002E06C3" w:rsidRDefault="002E06C3" w:rsidP="002E06C3">
      <w:pPr>
        <w:pStyle w:val="SingleTxtGC"/>
        <w:rPr>
          <w:lang w:val="en-GB"/>
        </w:rPr>
      </w:pPr>
      <w:r w:rsidRPr="002E06C3">
        <w:rPr>
          <w:lang w:val="en-GB"/>
        </w:rPr>
        <w:t>5.2</w:t>
      </w:r>
      <w:r>
        <w:rPr>
          <w:lang w:val="en-GB"/>
        </w:rPr>
        <w:t xml:space="preserve">  </w:t>
      </w:r>
      <w:r w:rsidRPr="002E06C3">
        <w:rPr>
          <w:rFonts w:hint="eastAsia"/>
          <w:lang w:val="en-GB"/>
        </w:rPr>
        <w:t>关于《联邦残疾人平等法》第</w:t>
      </w:r>
      <w:r w:rsidRPr="002E06C3">
        <w:rPr>
          <w:rFonts w:hint="eastAsia"/>
          <w:lang w:val="en-GB"/>
        </w:rPr>
        <w:t>14</w:t>
      </w:r>
      <w:r w:rsidRPr="002E06C3">
        <w:rPr>
          <w:rFonts w:hint="eastAsia"/>
          <w:lang w:val="en-GB"/>
        </w:rPr>
        <w:t>条规定的和解程序，提交人辩称，和解委员会不愿达成协议。他还辩称，该程序无效，因为：</w:t>
      </w:r>
      <w:r w:rsidRPr="002E06C3">
        <w:rPr>
          <w:lang w:val="en-GB"/>
        </w:rPr>
        <w:t>(a)</w:t>
      </w:r>
      <w:r w:rsidRPr="003F4846">
        <w:rPr>
          <w:rFonts w:hint="eastAsia"/>
          <w:vertAlign w:val="superscript"/>
          <w:lang w:val="en-GB"/>
        </w:rPr>
        <w:t xml:space="preserve"> </w:t>
      </w:r>
      <w:r w:rsidRPr="002E06C3">
        <w:rPr>
          <w:rFonts w:hint="eastAsia"/>
          <w:lang w:val="en-GB"/>
        </w:rPr>
        <w:t>该法规定歧视者必须有施行歧视的目的，因此该法中界定的歧视概念并不符合《公约》第二条的定义；</w:t>
      </w:r>
      <w:r w:rsidRPr="002E06C3">
        <w:rPr>
          <w:lang w:val="en-GB"/>
        </w:rPr>
        <w:t>(b)</w:t>
      </w:r>
      <w:r w:rsidR="003F4846" w:rsidRPr="003F4846">
        <w:rPr>
          <w:rFonts w:hint="eastAsia"/>
          <w:vertAlign w:val="superscript"/>
          <w:lang w:val="en-GB"/>
        </w:rPr>
        <w:t xml:space="preserve"> </w:t>
      </w:r>
      <w:r w:rsidRPr="002E06C3">
        <w:rPr>
          <w:rFonts w:hint="eastAsia"/>
          <w:lang w:val="en-GB"/>
        </w:rPr>
        <w:t>该法只规定了提供经济补偿，而没有规定消除障碍权；</w:t>
      </w:r>
      <w:r w:rsidRPr="002E06C3">
        <w:rPr>
          <w:lang w:val="en-GB"/>
        </w:rPr>
        <w:t>(c)</w:t>
      </w:r>
      <w:r w:rsidR="003F4846" w:rsidRPr="003F4846">
        <w:rPr>
          <w:rFonts w:hint="eastAsia"/>
          <w:vertAlign w:val="superscript"/>
          <w:lang w:val="en-GB"/>
        </w:rPr>
        <w:t xml:space="preserve"> </w:t>
      </w:r>
      <w:r w:rsidRPr="002E06C3">
        <w:rPr>
          <w:rFonts w:hint="eastAsia"/>
          <w:lang w:val="en-GB"/>
        </w:rPr>
        <w:t>在发生歧视的情况下提供的赔偿是最低赔偿；</w:t>
      </w:r>
      <w:r w:rsidRPr="002E06C3">
        <w:rPr>
          <w:lang w:val="en-GB"/>
        </w:rPr>
        <w:t>(d)</w:t>
      </w:r>
      <w:r w:rsidR="003F4846" w:rsidRPr="003F4846">
        <w:rPr>
          <w:rFonts w:hint="eastAsia"/>
          <w:vertAlign w:val="superscript"/>
          <w:lang w:val="en-GB"/>
        </w:rPr>
        <w:t xml:space="preserve"> </w:t>
      </w:r>
      <w:r w:rsidRPr="002E06C3">
        <w:rPr>
          <w:rFonts w:hint="eastAsia"/>
          <w:lang w:val="en-GB"/>
        </w:rPr>
        <w:t>该法没有规定法官必须参加提高认识培训，这会导致对歧视的理解不充分。提交人认为，感觉自己受到歧视的人很少会根据该法采取行动，因为他们认为这样做不会带来希望得到的结果。</w:t>
      </w:r>
    </w:p>
    <w:p w:rsidR="002E06C3" w:rsidRPr="002E06C3" w:rsidRDefault="002E06C3" w:rsidP="002E06C3">
      <w:pPr>
        <w:pStyle w:val="SingleTxtGC"/>
        <w:rPr>
          <w:lang w:val="en-GB"/>
        </w:rPr>
      </w:pPr>
      <w:r w:rsidRPr="002E06C3">
        <w:rPr>
          <w:lang w:val="en-GB"/>
        </w:rPr>
        <w:t>5.3</w:t>
      </w:r>
      <w:r>
        <w:rPr>
          <w:lang w:val="en-GB"/>
        </w:rPr>
        <w:t xml:space="preserve">  </w:t>
      </w:r>
      <w:r w:rsidRPr="002E06C3">
        <w:rPr>
          <w:rFonts w:hint="eastAsia"/>
          <w:lang w:val="en-GB"/>
        </w:rPr>
        <w:t>提交人认为，缔约国提及的题为“无障碍公共客运交通”的指南不具有强制性，并且在他的案件中也没有适用该指南。他认为，双感官原则没有得到遵守，在有必要时也没有以音频方式提供信息，林茨线路有限责任公司忽视了这些准则。</w:t>
      </w:r>
    </w:p>
    <w:p w:rsidR="002E06C3" w:rsidRPr="002E06C3" w:rsidRDefault="002E06C3" w:rsidP="002E06C3">
      <w:pPr>
        <w:pStyle w:val="SingleTxtGC"/>
        <w:rPr>
          <w:lang w:val="en-GB"/>
        </w:rPr>
      </w:pPr>
      <w:r w:rsidRPr="002E06C3">
        <w:rPr>
          <w:lang w:val="en-GB"/>
        </w:rPr>
        <w:t>5.4</w:t>
      </w:r>
      <w:r>
        <w:rPr>
          <w:lang w:val="en-GB"/>
        </w:rPr>
        <w:t xml:space="preserve">  </w:t>
      </w:r>
      <w:r w:rsidRPr="002E06C3">
        <w:rPr>
          <w:rFonts w:hint="eastAsia"/>
          <w:lang w:val="en-GB"/>
        </w:rPr>
        <w:t>提交人指出，无法根据缔约国提交的意见得出结论认为缺少音频信息不构成对他的歧视。在这方面，他想知道，如果缔约国认为没有必要，那么为何要用视频方式提供那些他要求通过音频方式提供的信息。与此相对的是，他辩称，音频信息系统不仅提供关于延迟和运行故障的信息，还可帮助盲人乘客找到车站。根据网上发布的信息，</w:t>
      </w:r>
      <w:r w:rsidR="003F4846">
        <w:rPr>
          <w:rStyle w:val="FootnoteReference"/>
          <w:lang w:val="en-GB"/>
        </w:rPr>
        <w:footnoteReference w:id="9"/>
      </w:r>
      <w:r w:rsidRPr="002E06C3">
        <w:rPr>
          <w:rFonts w:hint="eastAsia"/>
          <w:lang w:val="en-GB"/>
        </w:rPr>
        <w:t>“有轨电车</w:t>
      </w:r>
      <w:r w:rsidRPr="002E06C3">
        <w:rPr>
          <w:rFonts w:hint="eastAsia"/>
          <w:lang w:val="en-GB"/>
        </w:rPr>
        <w:t>3</w:t>
      </w:r>
      <w:r w:rsidRPr="002E06C3">
        <w:rPr>
          <w:rFonts w:hint="eastAsia"/>
          <w:lang w:val="en-GB"/>
        </w:rPr>
        <w:t>号线的发车间隔至少为</w:t>
      </w:r>
      <w:r w:rsidRPr="002E06C3">
        <w:rPr>
          <w:rFonts w:hint="eastAsia"/>
          <w:lang w:val="en-GB"/>
        </w:rPr>
        <w:t>30</w:t>
      </w:r>
      <w:r w:rsidRPr="002E06C3">
        <w:rPr>
          <w:rFonts w:hint="eastAsia"/>
          <w:lang w:val="en-GB"/>
        </w:rPr>
        <w:t>分钟，周一至周五的早</w:t>
      </w:r>
      <w:r w:rsidRPr="002E06C3">
        <w:rPr>
          <w:rFonts w:hint="eastAsia"/>
          <w:lang w:val="en-GB"/>
        </w:rPr>
        <w:t>6</w:t>
      </w:r>
      <w:r w:rsidRPr="002E06C3">
        <w:rPr>
          <w:rFonts w:hint="eastAsia"/>
          <w:lang w:val="en-GB"/>
        </w:rPr>
        <w:t>点至晚</w:t>
      </w:r>
      <w:r w:rsidRPr="002E06C3">
        <w:rPr>
          <w:rFonts w:hint="eastAsia"/>
          <w:lang w:val="en-GB"/>
        </w:rPr>
        <w:t>8</w:t>
      </w:r>
      <w:r w:rsidRPr="002E06C3">
        <w:rPr>
          <w:rFonts w:hint="eastAsia"/>
          <w:lang w:val="en-GB"/>
        </w:rPr>
        <w:t>点每小时发车</w:t>
      </w:r>
      <w:r w:rsidRPr="002E06C3">
        <w:rPr>
          <w:rFonts w:hint="eastAsia"/>
          <w:lang w:val="en-GB"/>
        </w:rPr>
        <w:t>8</w:t>
      </w:r>
      <w:r w:rsidRPr="002E06C3">
        <w:rPr>
          <w:rFonts w:hint="eastAsia"/>
          <w:lang w:val="en-GB"/>
        </w:rPr>
        <w:t>次，其他时间发车次数减少”。</w:t>
      </w:r>
      <w:r w:rsidR="003F4846">
        <w:rPr>
          <w:rStyle w:val="FootnoteReference"/>
          <w:lang w:val="en-GB"/>
        </w:rPr>
        <w:footnoteReference w:id="10"/>
      </w:r>
      <w:r w:rsidR="003F4846" w:rsidRPr="003F4846">
        <w:rPr>
          <w:rFonts w:hint="eastAsia"/>
          <w:vertAlign w:val="superscript"/>
          <w:lang w:val="en-GB"/>
        </w:rPr>
        <w:t xml:space="preserve"> </w:t>
      </w:r>
      <w:r w:rsidRPr="002E06C3">
        <w:rPr>
          <w:rFonts w:hint="eastAsia"/>
          <w:lang w:val="en-GB"/>
        </w:rPr>
        <w:t>提交人辩称，该信息不充分，他在使用新车站时，只有在克服特殊困难并且通常需要外部援助的情况下才可确定车站位置并得知屏幕上只能通过视觉获得的信息。因此，他认为，对双感官原则的违反构成了歧视。</w:t>
      </w:r>
    </w:p>
    <w:p w:rsidR="002E06C3" w:rsidRPr="002E06C3" w:rsidRDefault="002E06C3" w:rsidP="002E06C3">
      <w:pPr>
        <w:pStyle w:val="SingleTxtGC"/>
        <w:rPr>
          <w:lang w:val="en-GB"/>
        </w:rPr>
      </w:pPr>
      <w:r w:rsidRPr="002E06C3">
        <w:rPr>
          <w:lang w:val="en-GB"/>
        </w:rPr>
        <w:t>5.5</w:t>
      </w:r>
      <w:r>
        <w:rPr>
          <w:lang w:val="en-GB"/>
        </w:rPr>
        <w:t xml:space="preserve">  </w:t>
      </w:r>
      <w:r w:rsidRPr="002E06C3">
        <w:rPr>
          <w:rFonts w:hint="eastAsia"/>
          <w:lang w:val="en-GB"/>
        </w:rPr>
        <w:t>提交人认为，缔约国的意见普遍表明了一种对“无障碍性”的十分狭隘的理解。他辩称，一个人具有使用电车的行动能力未必说明该电车是无障碍的，无障碍还要求在平等的基础上向所有人提供必需的电车使用信息。提交人认为，该信息实际上无法获得。在这方面，提交人认为，缔约国提及的移动设备应用程序不是由林茨线路有限责任公司提供的官方应用程序，而是私人运营的。与缔约国的主张不同的是，提交人认为，他无法独立使用有轨电车</w:t>
      </w:r>
      <w:r w:rsidRPr="002E06C3">
        <w:rPr>
          <w:rFonts w:hint="eastAsia"/>
          <w:lang w:val="en-GB"/>
        </w:rPr>
        <w:t>3</w:t>
      </w:r>
      <w:r w:rsidRPr="002E06C3">
        <w:rPr>
          <w:rFonts w:hint="eastAsia"/>
          <w:lang w:val="en-GB"/>
        </w:rPr>
        <w:t>号线。他辩称，音频系统对帮助他确定车站位置很有必要；移动应用程序或移动电话提供的信息无法实现该目的；关于交通工具使用的实时信息是自发提供的，而通过移动电话收集信息会花费很多时间，因此对于需要搭乘电车的人而言是不可靠并且无用的；提交人无法使用林茨线路有限责任公司提供的语音应用程序，而且该应用程序实际上没有提供所有必要的信息。</w:t>
      </w:r>
    </w:p>
    <w:p w:rsidR="002E06C3" w:rsidRPr="002E06C3" w:rsidRDefault="002E06C3" w:rsidP="002E06C3">
      <w:pPr>
        <w:pStyle w:val="SingleTxtGC"/>
        <w:rPr>
          <w:lang w:val="en-GB"/>
        </w:rPr>
      </w:pPr>
      <w:r w:rsidRPr="002E06C3">
        <w:rPr>
          <w:lang w:val="en-GB"/>
        </w:rPr>
        <w:t>5.6</w:t>
      </w:r>
      <w:r>
        <w:rPr>
          <w:lang w:val="en-GB"/>
        </w:rPr>
        <w:t xml:space="preserve">  </w:t>
      </w:r>
      <w:r w:rsidRPr="002E06C3">
        <w:rPr>
          <w:rFonts w:hint="eastAsia"/>
          <w:lang w:val="en-GB"/>
        </w:rPr>
        <w:t>缔约国声称行车路线信息系统是与上奥地利州盲人和视力障碍者协会合作建立的，对于这一说法，提交人辩称该协会无法代表奥地利所有的视力障碍者。他还辩称，行车路线信息系统与有轨电车相连，因此，该系统无法帮助像提交人这样的盲人独立找到车站。出于这一目的，有必要在车站配备音频系统。</w:t>
      </w:r>
    </w:p>
    <w:p w:rsidR="002E06C3" w:rsidRPr="002E06C3" w:rsidRDefault="002E06C3" w:rsidP="002E06C3">
      <w:pPr>
        <w:pStyle w:val="SingleTxtGC"/>
        <w:rPr>
          <w:lang w:val="en-GB"/>
        </w:rPr>
      </w:pPr>
      <w:r w:rsidRPr="002E06C3">
        <w:rPr>
          <w:lang w:val="en-GB"/>
        </w:rPr>
        <w:t>5.7</w:t>
      </w:r>
      <w:r>
        <w:rPr>
          <w:lang w:val="en-GB"/>
        </w:rPr>
        <w:t xml:space="preserve">  </w:t>
      </w:r>
      <w:r w:rsidRPr="002E06C3">
        <w:rPr>
          <w:rFonts w:hint="eastAsia"/>
          <w:lang w:val="en-GB"/>
        </w:rPr>
        <w:t>缔约国声称在存在障碍和其他歧视的情况下，“与要求不作为或作为的名义权利相比”，经济赔偿是一种更为有效的法律救济措施，提交人认为，这些案件中提供的赔偿往往很少，因此无法促使公共交通、商店或公共实体消除障碍。他辩称，消除障碍权是确保环境无障碍的唯一有效措施。此外，《民事诉讼法》第</w:t>
      </w:r>
      <w:r w:rsidRPr="002E06C3">
        <w:rPr>
          <w:rFonts w:hint="eastAsia"/>
          <w:lang w:val="en-GB"/>
        </w:rPr>
        <w:t>501</w:t>
      </w:r>
      <w:r w:rsidRPr="002E06C3">
        <w:rPr>
          <w:rFonts w:hint="eastAsia"/>
          <w:lang w:val="en-GB"/>
        </w:rPr>
        <w:t>条第</w:t>
      </w:r>
      <w:r w:rsidRPr="002E06C3">
        <w:rPr>
          <w:rFonts w:hint="eastAsia"/>
          <w:lang w:val="en-GB"/>
        </w:rPr>
        <w:t>1</w:t>
      </w:r>
      <w:r w:rsidRPr="002E06C3">
        <w:rPr>
          <w:rFonts w:hint="eastAsia"/>
          <w:lang w:val="en-GB"/>
        </w:rPr>
        <w:t>款指出，在索赔价值不高于</w:t>
      </w:r>
      <w:r w:rsidRPr="002E06C3">
        <w:rPr>
          <w:rFonts w:hint="eastAsia"/>
          <w:lang w:val="en-GB"/>
        </w:rPr>
        <w:t>2</w:t>
      </w:r>
      <w:r>
        <w:rPr>
          <w:rFonts w:hint="eastAsia"/>
          <w:lang w:val="en-GB"/>
        </w:rPr>
        <w:t>,</w:t>
      </w:r>
      <w:r w:rsidRPr="002E06C3">
        <w:rPr>
          <w:rFonts w:hint="eastAsia"/>
          <w:lang w:val="en-GB"/>
        </w:rPr>
        <w:t>700</w:t>
      </w:r>
      <w:r w:rsidRPr="002E06C3">
        <w:rPr>
          <w:rFonts w:hint="eastAsia"/>
          <w:lang w:val="en-GB"/>
        </w:rPr>
        <w:t>欧元时，只能出于法律原因而不是基于对证据的考虑提供救济。</w:t>
      </w:r>
      <w:r w:rsidR="003F4846">
        <w:rPr>
          <w:rStyle w:val="FootnoteReference"/>
          <w:lang w:val="en-GB"/>
        </w:rPr>
        <w:footnoteReference w:id="11"/>
      </w:r>
      <w:r w:rsidR="003F4846" w:rsidRPr="003F4846">
        <w:rPr>
          <w:rFonts w:hint="eastAsia"/>
          <w:vertAlign w:val="superscript"/>
          <w:lang w:val="en-GB"/>
        </w:rPr>
        <w:t xml:space="preserve"> </w:t>
      </w:r>
      <w:r w:rsidRPr="002E06C3">
        <w:rPr>
          <w:rFonts w:hint="eastAsia"/>
          <w:lang w:val="en-GB"/>
        </w:rPr>
        <w:t>最后，提交人辩称，障碍影响到很多人。因此，消除障碍权要比赔偿有效，因为诉讼案件会改善所有相关人员的处境。如果赔偿是唯一的救济手段，那么所有受到影响的人员都不得不提起诉讼，而且障碍依然存在。</w:t>
      </w:r>
    </w:p>
    <w:p w:rsidR="002E06C3" w:rsidRPr="002E06C3" w:rsidRDefault="002E06C3" w:rsidP="002E06C3">
      <w:pPr>
        <w:pStyle w:val="H23GC"/>
      </w:pPr>
      <w:r w:rsidRPr="002E06C3">
        <w:tab/>
      </w:r>
      <w:r w:rsidRPr="002E06C3">
        <w:tab/>
      </w:r>
      <w:r w:rsidRPr="002E06C3">
        <w:rPr>
          <w:rFonts w:hint="eastAsia"/>
        </w:rPr>
        <w:t>缔约国提交的补充资料</w:t>
      </w:r>
    </w:p>
    <w:p w:rsidR="002E06C3" w:rsidRPr="002E06C3" w:rsidRDefault="002E06C3" w:rsidP="002E06C3">
      <w:pPr>
        <w:pStyle w:val="SingleTxtGC"/>
        <w:rPr>
          <w:lang w:val="en-GB"/>
        </w:rPr>
      </w:pPr>
      <w:r w:rsidRPr="002E06C3">
        <w:rPr>
          <w:lang w:val="en-GB"/>
        </w:rPr>
        <w:t>6.1</w:t>
      </w:r>
      <w:r>
        <w:rPr>
          <w:lang w:val="en-GB"/>
        </w:rPr>
        <w:t xml:space="preserve">  </w:t>
      </w:r>
      <w:r w:rsidRPr="002E06C3">
        <w:rPr>
          <w:rFonts w:hint="eastAsia"/>
          <w:lang w:val="en-GB"/>
        </w:rPr>
        <w:t>2015</w:t>
      </w:r>
      <w:r w:rsidRPr="002E06C3">
        <w:rPr>
          <w:rFonts w:hint="eastAsia"/>
          <w:lang w:val="en-GB"/>
        </w:rPr>
        <w:t>年</w:t>
      </w:r>
      <w:r w:rsidRPr="002E06C3">
        <w:rPr>
          <w:rFonts w:hint="eastAsia"/>
          <w:lang w:val="en-GB"/>
        </w:rPr>
        <w:t>5</w:t>
      </w:r>
      <w:r w:rsidRPr="002E06C3">
        <w:rPr>
          <w:rFonts w:hint="eastAsia"/>
          <w:lang w:val="en-GB"/>
        </w:rPr>
        <w:t>月</w:t>
      </w:r>
      <w:r w:rsidRPr="002E06C3">
        <w:rPr>
          <w:rFonts w:hint="eastAsia"/>
          <w:lang w:val="en-GB"/>
        </w:rPr>
        <w:t>8</w:t>
      </w:r>
      <w:r w:rsidRPr="002E06C3">
        <w:rPr>
          <w:rFonts w:hint="eastAsia"/>
          <w:lang w:val="en-GB"/>
        </w:rPr>
        <w:t>日，缔约国根据提交人的评论意见送交了补充意见。缔约国认为，提交人关于奥地利《联邦宪法》中的普遍禁止歧视规定在民事诉讼中不具有相关性的主张是没有依据的：此处唯一的决定性标准是所涉规定在本案中是否具有歧视性，或者该规定是否直接适用于申诉人。因此，确定该案是行政案件还是民事案件并不具有相关性。在根据《联邦残疾人平等法》第</w:t>
      </w:r>
      <w:r w:rsidRPr="002E06C3">
        <w:rPr>
          <w:rFonts w:hint="eastAsia"/>
          <w:lang w:val="en-GB"/>
        </w:rPr>
        <w:t>9</w:t>
      </w:r>
      <w:r w:rsidRPr="002E06C3">
        <w:rPr>
          <w:rFonts w:hint="eastAsia"/>
          <w:lang w:val="en-GB"/>
        </w:rPr>
        <w:t>条向民事法院提出的案件中，来文提交人本可提出详细主张，说明他认为该法的哪些规定具有歧视性，他也本可提议民事法院向宪法法院提交适当的法律复议请求。</w:t>
      </w:r>
    </w:p>
    <w:p w:rsidR="002E06C3" w:rsidRPr="002E06C3" w:rsidRDefault="002E06C3" w:rsidP="002E06C3">
      <w:pPr>
        <w:pStyle w:val="SingleTxtGC"/>
        <w:rPr>
          <w:lang w:val="en-GB"/>
        </w:rPr>
      </w:pPr>
      <w:r w:rsidRPr="002E06C3">
        <w:rPr>
          <w:lang w:val="en-GB"/>
        </w:rPr>
        <w:t>6.2</w:t>
      </w:r>
      <w:r>
        <w:rPr>
          <w:lang w:val="en-GB"/>
        </w:rPr>
        <w:t xml:space="preserve">  </w:t>
      </w:r>
      <w:r w:rsidRPr="002E06C3">
        <w:rPr>
          <w:rFonts w:hint="eastAsia"/>
          <w:lang w:val="en-GB"/>
        </w:rPr>
        <w:t>对于提交人有关《联邦残疾人平等法》的整体法律保护体系的主张，缔约国认为，该体系符合《公约》，因为《公约》没有规定严格责任，无论是过失还是过错；也没有详细说明在无障碍方面可判定的最低索赔数额。缔约国进一步指出，关于第九条的第</w:t>
      </w:r>
      <w:r w:rsidRPr="002E06C3">
        <w:rPr>
          <w:rFonts w:hint="eastAsia"/>
          <w:lang w:val="en-GB"/>
        </w:rPr>
        <w:t>2</w:t>
      </w:r>
      <w:r w:rsidRPr="002E06C3">
        <w:rPr>
          <w:rFonts w:hint="eastAsia"/>
          <w:lang w:val="en-GB"/>
        </w:rPr>
        <w:t>号一般性意见没有就这一问题提供具体指示。依照奥地利关于侵权行为的一般原则，根据该法提出损害赔偿需要事先存在违法的过失行为。在关于直接歧视的案件中，通常可以假定该行为是自愿做出的行为。缔约国还认为，为评估无障碍要求在具体案件中是否得到满足，需要高水平的专业和技术知识。无障碍标准持续发生变化，说明商业和服务供应商无法保证始终根据最新科技发展水平以无障碍的方式提供其产品和服务。因此，这些供应商有可能在并未违法的情况下给残疾人制造了障碍。基于多种考虑，该法规定和解程序是解决纠纷并找到消除障碍的切实办法的一种途径。</w:t>
      </w:r>
    </w:p>
    <w:p w:rsidR="002E06C3" w:rsidRPr="002E06C3" w:rsidRDefault="002E06C3" w:rsidP="002E06C3">
      <w:pPr>
        <w:pStyle w:val="SingleTxtGC"/>
        <w:rPr>
          <w:lang w:val="en-GB"/>
        </w:rPr>
      </w:pPr>
      <w:r w:rsidRPr="002E06C3">
        <w:rPr>
          <w:lang w:val="en-GB"/>
        </w:rPr>
        <w:t>6.3</w:t>
      </w:r>
      <w:r>
        <w:rPr>
          <w:lang w:val="en-GB"/>
        </w:rPr>
        <w:t xml:space="preserve">  </w:t>
      </w:r>
      <w:r w:rsidRPr="002E06C3">
        <w:rPr>
          <w:rFonts w:hint="eastAsia"/>
          <w:lang w:val="en-GB"/>
        </w:rPr>
        <w:t>在因障碍造成间接歧视的案件中，缔约国认为，严格责任会带来不合理的结果，无益于实现《联邦残疾人平等法》的目标。</w:t>
      </w:r>
    </w:p>
    <w:p w:rsidR="002E06C3" w:rsidRPr="002E06C3" w:rsidRDefault="002E06C3" w:rsidP="002E06C3">
      <w:pPr>
        <w:pStyle w:val="SingleTxtGC"/>
        <w:rPr>
          <w:lang w:val="en-GB"/>
        </w:rPr>
      </w:pPr>
      <w:r w:rsidRPr="002E06C3">
        <w:rPr>
          <w:lang w:val="en-GB"/>
        </w:rPr>
        <w:t>6.4</w:t>
      </w:r>
      <w:r>
        <w:rPr>
          <w:lang w:val="en-GB"/>
        </w:rPr>
        <w:t xml:space="preserve">  </w:t>
      </w:r>
      <w:r w:rsidRPr="002E06C3">
        <w:rPr>
          <w:rFonts w:hint="eastAsia"/>
          <w:lang w:val="en-GB"/>
        </w:rPr>
        <w:t>缔约国认为，提交人忽视了缔约国在意见中提出的不同选项</w:t>
      </w:r>
      <w:r w:rsidRPr="002E06C3">
        <w:rPr>
          <w:rFonts w:hint="eastAsia"/>
          <w:lang w:val="en-GB"/>
        </w:rPr>
        <w:t>(</w:t>
      </w:r>
      <w:r w:rsidRPr="002E06C3">
        <w:rPr>
          <w:rFonts w:hint="eastAsia"/>
          <w:lang w:val="en-GB"/>
        </w:rPr>
        <w:t>涉及乘坐林茨电车</w:t>
      </w:r>
      <w:r w:rsidRPr="002E06C3">
        <w:rPr>
          <w:rFonts w:hint="eastAsia"/>
          <w:lang w:val="en-GB"/>
        </w:rPr>
        <w:t>3</w:t>
      </w:r>
      <w:r w:rsidRPr="002E06C3">
        <w:rPr>
          <w:rFonts w:hint="eastAsia"/>
          <w:lang w:val="en-GB"/>
        </w:rPr>
        <w:t>号线而不遭遇歧视性障碍的的方法</w:t>
      </w:r>
      <w:r w:rsidRPr="002E06C3">
        <w:rPr>
          <w:rFonts w:hint="eastAsia"/>
          <w:lang w:val="en-GB"/>
        </w:rPr>
        <w:t>)</w:t>
      </w:r>
      <w:r w:rsidRPr="002E06C3">
        <w:rPr>
          <w:rFonts w:hint="eastAsia"/>
          <w:lang w:val="en-GB"/>
        </w:rPr>
        <w:t>。在这方面，奥地利《</w:t>
      </w:r>
      <w:r w:rsidRPr="002E06C3">
        <w:rPr>
          <w:rFonts w:hint="eastAsia"/>
          <w:lang w:val="en-GB"/>
        </w:rPr>
        <w:t>2012-2020</w:t>
      </w:r>
      <w:r w:rsidRPr="002E06C3">
        <w:rPr>
          <w:rFonts w:hint="eastAsia"/>
          <w:lang w:val="en-GB"/>
        </w:rPr>
        <w:t>年残疾问题国家行动计划》具有相关性，因为其中一项目标是改善无障碍问题并使残疾人能够平等参与社区生活。该计划得到了由民间社会组织，特别是残疾人组织的代表组成的小组支持。依照《公约》和该《国家行动计划》，大量与交通无障碍有关的项目获得资助，并正在制定一项大学生教育方案，以便在奥地利促进与无障碍出行有关的技能。每年还举办题为“全民出行”的研究论坛，由出行、交通和发展领域的奥地利研究机构专家、残疾人组织的代表、非政府组织和出行服务与技术供应商参加。</w:t>
      </w:r>
    </w:p>
    <w:p w:rsidR="002E06C3" w:rsidRPr="002E06C3" w:rsidRDefault="002E06C3" w:rsidP="002E06C3">
      <w:pPr>
        <w:pStyle w:val="SingleTxtGC"/>
        <w:rPr>
          <w:lang w:val="en-GB"/>
        </w:rPr>
      </w:pPr>
      <w:r w:rsidRPr="002E06C3">
        <w:rPr>
          <w:lang w:val="en-GB"/>
        </w:rPr>
        <w:t>6.5</w:t>
      </w:r>
      <w:r>
        <w:rPr>
          <w:lang w:val="en-GB"/>
        </w:rPr>
        <w:t xml:space="preserve">  </w:t>
      </w:r>
      <w:r w:rsidRPr="002E06C3">
        <w:rPr>
          <w:rFonts w:hint="eastAsia"/>
          <w:lang w:val="en-GB"/>
        </w:rPr>
        <w:t>缔约国还指出，已经扩展了可视信息系统，包括确保听力障碍者在林茨能够无障碍使用有轨电车。奥地利统计局开展的一项调查显示，</w:t>
      </w:r>
      <w:r w:rsidRPr="002E06C3">
        <w:rPr>
          <w:rFonts w:hint="eastAsia"/>
          <w:lang w:val="en-GB"/>
        </w:rPr>
        <w:t>2008</w:t>
      </w:r>
      <w:r w:rsidRPr="002E06C3">
        <w:rPr>
          <w:rFonts w:hint="eastAsia"/>
          <w:lang w:val="en-GB"/>
        </w:rPr>
        <w:t>年，约</w:t>
      </w:r>
      <w:r w:rsidRPr="002E06C3">
        <w:rPr>
          <w:rFonts w:hint="eastAsia"/>
          <w:lang w:val="en-GB"/>
        </w:rPr>
        <w:t>2.5%</w:t>
      </w:r>
      <w:r w:rsidRPr="002E06C3">
        <w:rPr>
          <w:rFonts w:hint="eastAsia"/>
          <w:lang w:val="en-GB"/>
        </w:rPr>
        <w:t>的奥地利人口存在永久性听力障碍。</w:t>
      </w:r>
      <w:r w:rsidR="003F4846">
        <w:rPr>
          <w:rStyle w:val="FootnoteReference"/>
          <w:lang w:val="en-GB"/>
        </w:rPr>
        <w:footnoteReference w:id="12"/>
      </w:r>
      <w:r w:rsidR="003F4846" w:rsidRPr="003F4846">
        <w:rPr>
          <w:rFonts w:hint="eastAsia"/>
          <w:vertAlign w:val="superscript"/>
          <w:lang w:val="en-GB"/>
        </w:rPr>
        <w:t xml:space="preserve"> </w:t>
      </w:r>
      <w:r w:rsidRPr="002E06C3">
        <w:rPr>
          <w:rFonts w:hint="eastAsia"/>
          <w:lang w:val="en-GB"/>
        </w:rPr>
        <w:t>奥地利手语译员协会提供的信息指出，奥地利有</w:t>
      </w:r>
      <w:r w:rsidRPr="002E06C3">
        <w:rPr>
          <w:rFonts w:hint="eastAsia"/>
          <w:lang w:val="en-GB"/>
        </w:rPr>
        <w:t>450</w:t>
      </w:r>
      <w:r>
        <w:rPr>
          <w:rFonts w:hint="eastAsia"/>
          <w:lang w:val="en-GB"/>
        </w:rPr>
        <w:t>,</w:t>
      </w:r>
      <w:r w:rsidRPr="002E06C3">
        <w:rPr>
          <w:rFonts w:hint="eastAsia"/>
          <w:lang w:val="en-GB"/>
        </w:rPr>
        <w:t>000</w:t>
      </w:r>
      <w:r w:rsidRPr="002E06C3">
        <w:rPr>
          <w:rFonts w:hint="eastAsia"/>
          <w:lang w:val="en-GB"/>
        </w:rPr>
        <w:t>名听力障碍者，其中约有</w:t>
      </w:r>
      <w:r w:rsidRPr="002E06C3">
        <w:rPr>
          <w:rFonts w:hint="eastAsia"/>
          <w:lang w:val="en-GB"/>
        </w:rPr>
        <w:t>8</w:t>
      </w:r>
      <w:r>
        <w:rPr>
          <w:rFonts w:hint="eastAsia"/>
          <w:lang w:val="en-GB"/>
        </w:rPr>
        <w:t>,</w:t>
      </w:r>
      <w:r w:rsidRPr="002E06C3">
        <w:rPr>
          <w:rFonts w:hint="eastAsia"/>
          <w:lang w:val="en-GB"/>
        </w:rPr>
        <w:t>000</w:t>
      </w:r>
      <w:r w:rsidRPr="002E06C3">
        <w:rPr>
          <w:rFonts w:hint="eastAsia"/>
          <w:lang w:val="en-GB"/>
        </w:rPr>
        <w:t>至</w:t>
      </w:r>
      <w:r w:rsidRPr="002E06C3">
        <w:rPr>
          <w:rFonts w:hint="eastAsia"/>
          <w:lang w:val="en-GB"/>
        </w:rPr>
        <w:t>10</w:t>
      </w:r>
      <w:r>
        <w:rPr>
          <w:rFonts w:hint="eastAsia"/>
          <w:lang w:val="en-GB"/>
        </w:rPr>
        <w:t>,</w:t>
      </w:r>
      <w:r w:rsidRPr="002E06C3">
        <w:rPr>
          <w:rFonts w:hint="eastAsia"/>
          <w:lang w:val="en-GB"/>
        </w:rPr>
        <w:t>000</w:t>
      </w:r>
      <w:r w:rsidRPr="002E06C3">
        <w:rPr>
          <w:rFonts w:hint="eastAsia"/>
          <w:lang w:val="en-GB"/>
        </w:rPr>
        <w:t>人完全丧失听力，另有</w:t>
      </w:r>
      <w:r w:rsidRPr="002E06C3">
        <w:rPr>
          <w:rFonts w:hint="eastAsia"/>
          <w:lang w:val="en-GB"/>
        </w:rPr>
        <w:t>10</w:t>
      </w:r>
      <w:r>
        <w:rPr>
          <w:rFonts w:hint="eastAsia"/>
          <w:lang w:val="en-GB"/>
        </w:rPr>
        <w:t>,</w:t>
      </w:r>
      <w:r w:rsidRPr="002E06C3">
        <w:rPr>
          <w:rFonts w:hint="eastAsia"/>
          <w:lang w:val="en-GB"/>
        </w:rPr>
        <w:t>000</w:t>
      </w:r>
      <w:r w:rsidRPr="002E06C3">
        <w:rPr>
          <w:rFonts w:hint="eastAsia"/>
          <w:lang w:val="en-GB"/>
        </w:rPr>
        <w:t>至</w:t>
      </w:r>
      <w:r w:rsidRPr="002E06C3">
        <w:rPr>
          <w:rFonts w:hint="eastAsia"/>
          <w:lang w:val="en-GB"/>
        </w:rPr>
        <w:t>15</w:t>
      </w:r>
      <w:r>
        <w:rPr>
          <w:rFonts w:hint="eastAsia"/>
          <w:lang w:val="en-GB"/>
        </w:rPr>
        <w:t>,</w:t>
      </w:r>
      <w:r w:rsidRPr="002E06C3">
        <w:rPr>
          <w:rFonts w:hint="eastAsia"/>
          <w:lang w:val="en-GB"/>
        </w:rPr>
        <w:t>000</w:t>
      </w:r>
      <w:r w:rsidRPr="002E06C3">
        <w:rPr>
          <w:rFonts w:hint="eastAsia"/>
          <w:lang w:val="en-GB"/>
        </w:rPr>
        <w:t>人患有严重听力障碍，即便借助助听器，也很难仅依靠听力进行交流。缔约国认为，视力障碍者通常会完成移动培训课程，以便确定自己的位置和避免任何可能潜在的危险来源。</w:t>
      </w:r>
      <w:r w:rsidR="003F4846">
        <w:rPr>
          <w:rStyle w:val="FootnoteReference"/>
          <w:lang w:val="en-GB"/>
        </w:rPr>
        <w:footnoteReference w:id="13"/>
      </w:r>
      <w:r w:rsidR="003F4846" w:rsidRPr="003F4846">
        <w:rPr>
          <w:rFonts w:hint="eastAsia"/>
          <w:vertAlign w:val="superscript"/>
          <w:lang w:val="en-GB"/>
        </w:rPr>
        <w:t xml:space="preserve"> </w:t>
      </w:r>
      <w:r w:rsidRPr="002E06C3">
        <w:rPr>
          <w:rFonts w:hint="eastAsia"/>
          <w:lang w:val="en-GB"/>
        </w:rPr>
        <w:t>这些培训成本大部分由州政府支付，奥地利联邦社会福利办公室或奥地利养老机构及参与者只需支付少部分费用。视力障碍者学习使用他们反复用到的导航系统和路径，这是主要的电车车站定位方法。通过行车路线信息系统，他们还会收到关于即将到站的具体电车的信息。提交人最初辩称，无法使用该系统即关于到达时间和候车时间的声音信息来定位电车车站。在这个问题上，提交人没有用尽可用的国内补救办法，因此，应当将这个问题视为不可受理。</w:t>
      </w:r>
    </w:p>
    <w:p w:rsidR="002E06C3" w:rsidRPr="002E06C3" w:rsidRDefault="002E06C3" w:rsidP="002E06C3">
      <w:pPr>
        <w:pStyle w:val="SingleTxtGC"/>
        <w:rPr>
          <w:lang w:val="en-GB"/>
        </w:rPr>
      </w:pPr>
      <w:r w:rsidRPr="002E06C3">
        <w:rPr>
          <w:lang w:val="en-GB"/>
        </w:rPr>
        <w:t>6.6</w:t>
      </w:r>
      <w:r>
        <w:rPr>
          <w:lang w:val="en-GB"/>
        </w:rPr>
        <w:t xml:space="preserve">  </w:t>
      </w:r>
      <w:r w:rsidRPr="002E06C3">
        <w:rPr>
          <w:rFonts w:hint="eastAsia"/>
          <w:lang w:val="en-GB"/>
        </w:rPr>
        <w:t>缔约国还辩称，《公约》没有规定应当由谁为使用公共设施和服务提供无障碍援助。因此，缔约国认为提交人的主张无效。</w:t>
      </w:r>
    </w:p>
    <w:p w:rsidR="002E06C3" w:rsidRPr="002E06C3" w:rsidRDefault="002E06C3" w:rsidP="002E06C3">
      <w:pPr>
        <w:pStyle w:val="SingleTxtGC"/>
        <w:rPr>
          <w:lang w:val="en-GB"/>
        </w:rPr>
      </w:pPr>
      <w:r w:rsidRPr="002E06C3">
        <w:rPr>
          <w:lang w:val="en-GB"/>
        </w:rPr>
        <w:t>6.7</w:t>
      </w:r>
      <w:r>
        <w:rPr>
          <w:lang w:val="en-GB"/>
        </w:rPr>
        <w:t xml:space="preserve">  </w:t>
      </w:r>
      <w:r w:rsidRPr="002E06C3">
        <w:rPr>
          <w:rFonts w:hint="eastAsia"/>
          <w:lang w:val="en-GB"/>
        </w:rPr>
        <w:t>另外，缔约国还认为，无法满足所有个人的要求这一事实不等同于歧视。此外，提交人没有解释为何与上奥地利州盲人和视力障碍者协会合作制定的解决办法无法适应他的需求。</w:t>
      </w:r>
    </w:p>
    <w:p w:rsidR="002E06C3" w:rsidRPr="002E06C3" w:rsidRDefault="002E06C3" w:rsidP="002E06C3">
      <w:pPr>
        <w:pStyle w:val="SingleTxtGC"/>
        <w:rPr>
          <w:lang w:val="en-GB"/>
        </w:rPr>
      </w:pPr>
      <w:r w:rsidRPr="002E06C3">
        <w:rPr>
          <w:lang w:val="en-GB"/>
        </w:rPr>
        <w:t>6.8</w:t>
      </w:r>
      <w:r>
        <w:rPr>
          <w:lang w:val="en-GB"/>
        </w:rPr>
        <w:t xml:space="preserve">  </w:t>
      </w:r>
      <w:r w:rsidRPr="002E06C3">
        <w:rPr>
          <w:rFonts w:hint="eastAsia"/>
          <w:lang w:val="en-GB"/>
        </w:rPr>
        <w:t>因此，缔约国认为，提交人根据《公约》享有的权利没有遭到侵犯。</w:t>
      </w:r>
    </w:p>
    <w:p w:rsidR="002E06C3" w:rsidRPr="002E06C3" w:rsidRDefault="002E06C3" w:rsidP="002E06C3">
      <w:pPr>
        <w:pStyle w:val="H23GC"/>
      </w:pPr>
      <w:r w:rsidRPr="002E06C3">
        <w:tab/>
      </w:r>
      <w:r w:rsidRPr="002E06C3">
        <w:tab/>
      </w:r>
      <w:r w:rsidRPr="002E06C3">
        <w:rPr>
          <w:rFonts w:hint="eastAsia"/>
        </w:rPr>
        <w:t>委员会需处理的问题和议事情况</w:t>
      </w:r>
    </w:p>
    <w:p w:rsidR="002E06C3" w:rsidRPr="002E06C3" w:rsidRDefault="002E06C3" w:rsidP="002E06C3">
      <w:pPr>
        <w:pStyle w:val="H4GC"/>
        <w:rPr>
          <w:i/>
        </w:rPr>
      </w:pPr>
      <w:r w:rsidRPr="002E06C3">
        <w:rPr>
          <w:i/>
        </w:rPr>
        <w:tab/>
      </w:r>
      <w:r w:rsidRPr="002E06C3">
        <w:rPr>
          <w:i/>
        </w:rPr>
        <w:tab/>
      </w:r>
      <w:r w:rsidRPr="002E06C3">
        <w:rPr>
          <w:rFonts w:hint="eastAsia"/>
          <w:lang w:val="en-GB"/>
        </w:rPr>
        <w:t>审议可否受理问题</w:t>
      </w:r>
    </w:p>
    <w:p w:rsidR="002E06C3" w:rsidRPr="002E06C3" w:rsidRDefault="002E06C3" w:rsidP="002E06C3">
      <w:pPr>
        <w:pStyle w:val="SingleTxtGC"/>
        <w:rPr>
          <w:lang w:val="en-GB"/>
        </w:rPr>
      </w:pPr>
      <w:r w:rsidRPr="002E06C3">
        <w:rPr>
          <w:lang w:val="en-GB"/>
        </w:rPr>
        <w:t>7.1</w:t>
      </w:r>
      <w:r>
        <w:rPr>
          <w:lang w:val="en-GB"/>
        </w:rPr>
        <w:t xml:space="preserve">  </w:t>
      </w:r>
      <w:r w:rsidRPr="002E06C3">
        <w:rPr>
          <w:rFonts w:hint="eastAsia"/>
          <w:lang w:val="en-GB"/>
        </w:rPr>
        <w:t>在审议来文所载任何请求之前，残疾人权利委员会必须根据《任择议定书》第二条及其议事规则第</w:t>
      </w:r>
      <w:r w:rsidRPr="002E06C3">
        <w:rPr>
          <w:rFonts w:hint="eastAsia"/>
          <w:lang w:val="en-GB"/>
        </w:rPr>
        <w:t>65</w:t>
      </w:r>
      <w:r w:rsidRPr="002E06C3">
        <w:rPr>
          <w:rFonts w:hint="eastAsia"/>
          <w:lang w:val="en-GB"/>
        </w:rPr>
        <w:t>条，决定来文是否符合《公约任择议定书》规定的受理条件。</w:t>
      </w:r>
    </w:p>
    <w:p w:rsidR="002E06C3" w:rsidRPr="002E06C3" w:rsidRDefault="002E06C3" w:rsidP="002E06C3">
      <w:pPr>
        <w:pStyle w:val="SingleTxtGC"/>
        <w:rPr>
          <w:lang w:val="en-GB"/>
        </w:rPr>
      </w:pPr>
      <w:r w:rsidRPr="002E06C3">
        <w:rPr>
          <w:lang w:val="en-GB"/>
        </w:rPr>
        <w:t>7.2</w:t>
      </w:r>
      <w:r>
        <w:rPr>
          <w:lang w:val="en-GB"/>
        </w:rPr>
        <w:t xml:space="preserve">  </w:t>
      </w:r>
      <w:r w:rsidRPr="002E06C3">
        <w:rPr>
          <w:rFonts w:hint="eastAsia"/>
          <w:lang w:val="en-GB"/>
        </w:rPr>
        <w:t>按照《任择议定书》第二条第</w:t>
      </w:r>
      <w:r w:rsidRPr="002E06C3">
        <w:rPr>
          <w:rFonts w:hint="eastAsia"/>
          <w:lang w:val="en-GB"/>
        </w:rPr>
        <w:t>(</w:t>
      </w:r>
      <w:r w:rsidRPr="002E06C3">
        <w:rPr>
          <w:rFonts w:hint="eastAsia"/>
          <w:lang w:val="en-GB"/>
        </w:rPr>
        <w:t>三</w:t>
      </w:r>
      <w:r w:rsidRPr="002E06C3">
        <w:rPr>
          <w:rFonts w:hint="eastAsia"/>
          <w:lang w:val="en-GB"/>
        </w:rPr>
        <w:t>)</w:t>
      </w:r>
      <w:r w:rsidRPr="002E06C3">
        <w:rPr>
          <w:rFonts w:hint="eastAsia"/>
          <w:lang w:val="en-GB"/>
        </w:rPr>
        <w:t>款的要求，委员会已确认，同一事项未经委员会审查或在另一项国际调查或解决程序审查之中。</w:t>
      </w:r>
    </w:p>
    <w:p w:rsidR="002E06C3" w:rsidRPr="002E06C3" w:rsidRDefault="002E06C3" w:rsidP="002E06C3">
      <w:pPr>
        <w:pStyle w:val="SingleTxtGC"/>
        <w:rPr>
          <w:lang w:val="en-GB"/>
        </w:rPr>
      </w:pPr>
      <w:r w:rsidRPr="002E06C3">
        <w:rPr>
          <w:lang w:val="en-GB"/>
        </w:rPr>
        <w:t>7.3</w:t>
      </w:r>
      <w:r>
        <w:rPr>
          <w:lang w:val="en-GB"/>
        </w:rPr>
        <w:t xml:space="preserve">  </w:t>
      </w:r>
      <w:r w:rsidRPr="002E06C3">
        <w:rPr>
          <w:rFonts w:hint="eastAsia"/>
          <w:lang w:val="en-GB"/>
        </w:rPr>
        <w:t>委员会注意到缔约国的主张，即，提交人向委员会提出主张，认为行车路线信息系统无法适应他的需求，而他没有向国内法院提出该主张。委员会注意到，提交人在其就国家管辖权提出的申诉中没有提及该问题。因此，根据《任择议定书》第二条第四款，这一主张不可受理。</w:t>
      </w:r>
    </w:p>
    <w:p w:rsidR="002E06C3" w:rsidRPr="002E06C3" w:rsidRDefault="002E06C3" w:rsidP="002E06C3">
      <w:pPr>
        <w:pStyle w:val="SingleTxtGC"/>
        <w:rPr>
          <w:lang w:val="en-GB"/>
        </w:rPr>
      </w:pPr>
      <w:r w:rsidRPr="002E06C3">
        <w:rPr>
          <w:lang w:val="en-GB"/>
        </w:rPr>
        <w:t>7.4</w:t>
      </w:r>
      <w:r>
        <w:rPr>
          <w:lang w:val="en-GB"/>
        </w:rPr>
        <w:t xml:space="preserve">  </w:t>
      </w:r>
      <w:r w:rsidRPr="002E06C3">
        <w:rPr>
          <w:rFonts w:hint="eastAsia"/>
          <w:lang w:val="en-GB"/>
        </w:rPr>
        <w:t>委员会还注意到缔约国关于提交人以下说法的主张，即，奥地利《联邦宪法》中的普遍禁止歧视规定在民事诉讼中不具有相关性，以及在根据《联邦残疾人平等法》第</w:t>
      </w:r>
      <w:r w:rsidRPr="002E06C3">
        <w:rPr>
          <w:rFonts w:hint="eastAsia"/>
          <w:lang w:val="en-GB"/>
        </w:rPr>
        <w:t>9</w:t>
      </w:r>
      <w:r w:rsidRPr="002E06C3">
        <w:rPr>
          <w:rFonts w:hint="eastAsia"/>
          <w:lang w:val="en-GB"/>
        </w:rPr>
        <w:t>条向民事法院提出的案件中，提交人本可提出详细主张，说明他认为该法的哪些规定具有歧视性。缔约国还辩称，提交人本可提议民事法院向宪法法院提交适当的法律复议请求。根据双方就该问题提交的资料，委员会认为，因提交人未用尽国内补救办法，所以不予受理提交人关于该法违反了《公约》第二条和第五条第二款、没有提供充分补救的申诉。</w:t>
      </w:r>
    </w:p>
    <w:p w:rsidR="002E06C3" w:rsidRPr="002E06C3" w:rsidRDefault="002E06C3" w:rsidP="002E06C3">
      <w:pPr>
        <w:pStyle w:val="SingleTxtGC"/>
        <w:rPr>
          <w:lang w:val="en-GB"/>
        </w:rPr>
      </w:pPr>
      <w:r w:rsidRPr="002E06C3">
        <w:rPr>
          <w:lang w:val="en-GB"/>
        </w:rPr>
        <w:t>7.5</w:t>
      </w:r>
      <w:r>
        <w:rPr>
          <w:lang w:val="en-GB"/>
        </w:rPr>
        <w:t xml:space="preserve">  </w:t>
      </w:r>
      <w:r w:rsidRPr="002E06C3">
        <w:rPr>
          <w:rFonts w:hint="eastAsia"/>
          <w:lang w:val="en-GB"/>
        </w:rPr>
        <w:t>由于来文受理不存在其他障碍，因此委员会认为，提交人的其余诉求可以受理，并着手审查案情。</w:t>
      </w:r>
    </w:p>
    <w:p w:rsidR="002E06C3" w:rsidRPr="002E06C3" w:rsidRDefault="002E06C3" w:rsidP="002E06C3">
      <w:pPr>
        <w:pStyle w:val="H4GC"/>
        <w:rPr>
          <w:i/>
          <w:lang w:val="en-GB"/>
        </w:rPr>
      </w:pPr>
      <w:r w:rsidRPr="002E06C3">
        <w:rPr>
          <w:i/>
          <w:lang w:val="en-GB"/>
        </w:rPr>
        <w:tab/>
      </w:r>
      <w:r w:rsidRPr="002E06C3">
        <w:rPr>
          <w:i/>
          <w:lang w:val="en-GB"/>
        </w:rPr>
        <w:tab/>
      </w:r>
      <w:r w:rsidRPr="002E06C3">
        <w:rPr>
          <w:rFonts w:hint="eastAsia"/>
          <w:lang w:val="en-GB"/>
        </w:rPr>
        <w:t>审议案情</w:t>
      </w:r>
    </w:p>
    <w:p w:rsidR="002E06C3" w:rsidRPr="002E06C3" w:rsidRDefault="002E06C3" w:rsidP="002E06C3">
      <w:pPr>
        <w:pStyle w:val="SingleTxtGC"/>
        <w:rPr>
          <w:lang w:val="en-GB"/>
        </w:rPr>
      </w:pPr>
      <w:r w:rsidRPr="002E06C3">
        <w:rPr>
          <w:lang w:val="en-GB"/>
        </w:rPr>
        <w:t>8.1</w:t>
      </w:r>
      <w:r>
        <w:rPr>
          <w:lang w:val="en-GB"/>
        </w:rPr>
        <w:t xml:space="preserve">  </w:t>
      </w:r>
      <w:r w:rsidRPr="002E06C3">
        <w:rPr>
          <w:rFonts w:hint="eastAsia"/>
          <w:lang w:val="en-GB"/>
        </w:rPr>
        <w:t>委员会已</w:t>
      </w:r>
      <w:r w:rsidRPr="002E06C3">
        <w:rPr>
          <w:lang w:val="en-GB"/>
        </w:rPr>
        <w:t>按照《任择议定书》第五条第</w:t>
      </w:r>
      <w:r w:rsidRPr="002E06C3">
        <w:rPr>
          <w:rFonts w:hint="eastAsia"/>
          <w:lang w:val="en-GB"/>
        </w:rPr>
        <w:t>(</w:t>
      </w:r>
      <w:r w:rsidRPr="002E06C3">
        <w:rPr>
          <w:rFonts w:hint="eastAsia"/>
          <w:lang w:val="en-GB"/>
        </w:rPr>
        <w:t>一</w:t>
      </w:r>
      <w:r w:rsidRPr="002E06C3">
        <w:rPr>
          <w:rFonts w:hint="eastAsia"/>
          <w:lang w:val="en-GB"/>
        </w:rPr>
        <w:t>)</w:t>
      </w:r>
      <w:r w:rsidRPr="002E06C3">
        <w:rPr>
          <w:lang w:val="en-GB"/>
        </w:rPr>
        <w:t>款的</w:t>
      </w:r>
      <w:r w:rsidRPr="002E06C3">
        <w:rPr>
          <w:rFonts w:hint="eastAsia"/>
          <w:lang w:val="en-GB"/>
        </w:rPr>
        <w:t>规定</w:t>
      </w:r>
      <w:r w:rsidRPr="002E06C3">
        <w:rPr>
          <w:lang w:val="en-GB"/>
        </w:rPr>
        <w:t>，根据</w:t>
      </w:r>
      <w:r w:rsidRPr="002E06C3">
        <w:rPr>
          <w:rFonts w:hint="eastAsia"/>
          <w:lang w:val="en-GB"/>
        </w:rPr>
        <w:t>当事</w:t>
      </w:r>
      <w:r w:rsidRPr="002E06C3">
        <w:rPr>
          <w:lang w:val="en-GB"/>
        </w:rPr>
        <w:t>各方提供的所有资料审议了</w:t>
      </w:r>
      <w:r w:rsidRPr="002E06C3">
        <w:rPr>
          <w:rFonts w:hint="eastAsia"/>
          <w:lang w:val="en-GB"/>
        </w:rPr>
        <w:t>本案件</w:t>
      </w:r>
      <w:r w:rsidRPr="002E06C3">
        <w:rPr>
          <w:lang w:val="en-GB"/>
        </w:rPr>
        <w:t>。</w:t>
      </w:r>
    </w:p>
    <w:p w:rsidR="002E06C3" w:rsidRPr="002E06C3" w:rsidRDefault="002E06C3" w:rsidP="002E06C3">
      <w:pPr>
        <w:pStyle w:val="SingleTxtGC"/>
        <w:rPr>
          <w:lang w:val="en-GB"/>
        </w:rPr>
      </w:pPr>
      <w:r w:rsidRPr="002E06C3">
        <w:rPr>
          <w:lang w:val="en-GB"/>
        </w:rPr>
        <w:t>8.2</w:t>
      </w:r>
      <w:r>
        <w:rPr>
          <w:lang w:val="en-GB"/>
        </w:rPr>
        <w:t xml:space="preserve">  </w:t>
      </w:r>
      <w:r w:rsidRPr="002E06C3">
        <w:rPr>
          <w:rFonts w:hint="eastAsia"/>
          <w:lang w:val="en-GB"/>
        </w:rPr>
        <w:t>委员会注意到地区法院</w:t>
      </w:r>
      <w:r w:rsidRPr="002E06C3">
        <w:rPr>
          <w:rFonts w:hint="eastAsia"/>
          <w:lang w:val="en-GB"/>
        </w:rPr>
        <w:t>2013</w:t>
      </w:r>
      <w:r w:rsidRPr="002E06C3">
        <w:rPr>
          <w:rFonts w:hint="eastAsia"/>
          <w:lang w:val="en-GB"/>
        </w:rPr>
        <w:t>年</w:t>
      </w:r>
      <w:r w:rsidRPr="002E06C3">
        <w:rPr>
          <w:rFonts w:hint="eastAsia"/>
          <w:lang w:val="en-GB"/>
        </w:rPr>
        <w:t>5</w:t>
      </w:r>
      <w:r w:rsidRPr="002E06C3">
        <w:rPr>
          <w:rFonts w:hint="eastAsia"/>
          <w:lang w:val="en-GB"/>
        </w:rPr>
        <w:t>月</w:t>
      </w:r>
      <w:r w:rsidRPr="002E06C3">
        <w:rPr>
          <w:rFonts w:hint="eastAsia"/>
          <w:lang w:val="en-GB"/>
        </w:rPr>
        <w:t>2</w:t>
      </w:r>
      <w:r w:rsidRPr="002E06C3">
        <w:rPr>
          <w:rFonts w:hint="eastAsia"/>
          <w:lang w:val="en-GB"/>
        </w:rPr>
        <w:t>日的裁决</w:t>
      </w:r>
      <w:r w:rsidRPr="002E06C3">
        <w:rPr>
          <w:rFonts w:hint="eastAsia"/>
          <w:lang w:val="en-GB"/>
        </w:rPr>
        <w:t>(</w:t>
      </w:r>
      <w:r w:rsidRPr="002E06C3">
        <w:rPr>
          <w:rFonts w:hint="eastAsia"/>
          <w:lang w:val="en-GB"/>
        </w:rPr>
        <w:t>大区法院于</w:t>
      </w:r>
      <w:r w:rsidRPr="002E06C3">
        <w:rPr>
          <w:rFonts w:hint="eastAsia"/>
          <w:lang w:val="en-GB"/>
        </w:rPr>
        <w:t>2013</w:t>
      </w:r>
      <w:r w:rsidRPr="002E06C3">
        <w:rPr>
          <w:rFonts w:hint="eastAsia"/>
          <w:lang w:val="en-GB"/>
        </w:rPr>
        <w:t>年</w:t>
      </w:r>
      <w:r w:rsidRPr="002E06C3">
        <w:rPr>
          <w:rFonts w:hint="eastAsia"/>
          <w:lang w:val="en-GB"/>
        </w:rPr>
        <w:t>7</w:t>
      </w:r>
      <w:r w:rsidRPr="002E06C3">
        <w:rPr>
          <w:rFonts w:hint="eastAsia"/>
          <w:lang w:val="en-GB"/>
        </w:rPr>
        <w:t>月</w:t>
      </w:r>
      <w:r w:rsidRPr="002E06C3">
        <w:rPr>
          <w:rFonts w:hint="eastAsia"/>
          <w:lang w:val="en-GB"/>
        </w:rPr>
        <w:t>15</w:t>
      </w:r>
      <w:r w:rsidRPr="002E06C3">
        <w:rPr>
          <w:rFonts w:hint="eastAsia"/>
          <w:lang w:val="en-GB"/>
        </w:rPr>
        <w:t>日维持了该裁决</w:t>
      </w:r>
      <w:r w:rsidRPr="002E06C3">
        <w:rPr>
          <w:rFonts w:hint="eastAsia"/>
          <w:lang w:val="en-GB"/>
        </w:rPr>
        <w:t>)</w:t>
      </w:r>
      <w:r w:rsidRPr="002E06C3">
        <w:rPr>
          <w:rFonts w:hint="eastAsia"/>
          <w:lang w:val="en-GB"/>
        </w:rPr>
        <w:t>，即缺少数字音频系统不会对视力障碍者使用交通服务构成障碍；提供的可视信息也可在互联网上获得，拥有语音识别软件设备的视力残疾者也可获得这些信息；即便提交人不知道向视力正常的乘客提供的信息，也能使用电车。</w:t>
      </w:r>
    </w:p>
    <w:p w:rsidR="002E06C3" w:rsidRPr="002E06C3" w:rsidRDefault="002E06C3" w:rsidP="002E06C3">
      <w:pPr>
        <w:pStyle w:val="SingleTxtGC"/>
        <w:rPr>
          <w:lang w:val="en-GB"/>
        </w:rPr>
      </w:pPr>
      <w:r w:rsidRPr="002E06C3">
        <w:rPr>
          <w:lang w:val="en-GB"/>
        </w:rPr>
        <w:t>8.3</w:t>
      </w:r>
      <w:r>
        <w:rPr>
          <w:lang w:val="en-GB"/>
        </w:rPr>
        <w:t xml:space="preserve">  </w:t>
      </w:r>
      <w:r w:rsidRPr="002E06C3">
        <w:rPr>
          <w:rFonts w:hint="eastAsia"/>
          <w:lang w:val="en-GB"/>
        </w:rPr>
        <w:t>委员会还注意到缔约国的主张，即，音频系统“绝不是使用某种公共交通工具的一个先决条件”；提交人在没有音频系统的情况下也完全可以实现其使用公共交通工具的“日常目标”；音频系统没有提供乘客绝对需要的信息，只是对“电车的使用方式”产生了影响；可视信息系统已经得到扩展，这是为确保听力障碍者能够在林茨无障碍使用有轨电车所做工作的一部分；《公约》没有规定必须为公共交通工具配备所有可能的设施以便利于公共交通的使用；以及应由供应方在同等备选设施之间做出选择。在这方面，委员会确认，首先在若干条电车线路交错的主要交通枢纽处的车站建立音频系统，与此同时，已经在所有其他车站配备了行车路线信息系统，而该系统允许在车站候车的乘客激活手动传感器，以便盲人了解即将到站或正在等待的公共交通工具的线路编号和最终目的地。委员会进一步认可了缔约国提供的资料，即，有轨电车</w:t>
      </w:r>
      <w:r w:rsidRPr="002E06C3">
        <w:rPr>
          <w:rFonts w:hint="eastAsia"/>
          <w:lang w:val="en-GB"/>
        </w:rPr>
        <w:t>3</w:t>
      </w:r>
      <w:r w:rsidRPr="002E06C3">
        <w:rPr>
          <w:rFonts w:hint="eastAsia"/>
          <w:lang w:val="en-GB"/>
        </w:rPr>
        <w:t>号线的所有乘客都可通过互联网语音识别系统获知一般运营期间和可预见的或计划取消的电车班次的情况。不过，委员会还注意到提交人的主张，即有轨电车</w:t>
      </w:r>
      <w:r w:rsidRPr="002E06C3">
        <w:rPr>
          <w:rFonts w:hint="eastAsia"/>
          <w:lang w:val="en-GB"/>
        </w:rPr>
        <w:t>3</w:t>
      </w:r>
      <w:r w:rsidRPr="002E06C3">
        <w:rPr>
          <w:rFonts w:hint="eastAsia"/>
          <w:lang w:val="en-GB"/>
        </w:rPr>
        <w:t>号线没有提供数字音频系统致使他无法确定车站的位置，也无法在使用电车时评估所需的实时信息，阻碍了他在与他人平等的基础上独立地使用</w:t>
      </w:r>
      <w:r w:rsidRPr="002E06C3">
        <w:rPr>
          <w:rFonts w:hint="eastAsia"/>
          <w:lang w:val="en-GB"/>
        </w:rPr>
        <w:t>3</w:t>
      </w:r>
      <w:r w:rsidRPr="002E06C3">
        <w:rPr>
          <w:rFonts w:hint="eastAsia"/>
          <w:lang w:val="en-GB"/>
        </w:rPr>
        <w:t>号线。</w:t>
      </w:r>
    </w:p>
    <w:p w:rsidR="002E06C3" w:rsidRPr="002E06C3" w:rsidRDefault="002E06C3" w:rsidP="002E06C3">
      <w:pPr>
        <w:pStyle w:val="SingleTxtGC"/>
        <w:rPr>
          <w:lang w:val="en-GB"/>
        </w:rPr>
      </w:pPr>
      <w:r w:rsidRPr="002E06C3">
        <w:rPr>
          <w:lang w:val="en-GB"/>
        </w:rPr>
        <w:t>8.4</w:t>
      </w:r>
      <w:r>
        <w:rPr>
          <w:lang w:val="en-GB"/>
        </w:rPr>
        <w:t xml:space="preserve">  </w:t>
      </w:r>
      <w:r w:rsidRPr="002E06C3">
        <w:rPr>
          <w:rFonts w:hint="eastAsia"/>
          <w:lang w:val="en-GB"/>
        </w:rPr>
        <w:t>委员会回顾指出，“</w:t>
      </w:r>
      <w:r w:rsidRPr="002E06C3">
        <w:rPr>
          <w:lang w:val="en-GB"/>
        </w:rPr>
        <w:t>无障碍与群体有关，而合理便利则与个人有关。这意味着提供无障碍的责任是一项事前责任。因此，缔约国有责任在收到</w:t>
      </w:r>
      <w:r w:rsidRPr="002E06C3">
        <w:rPr>
          <w:rFonts w:hint="eastAsia"/>
          <w:lang w:val="en-GB"/>
        </w:rPr>
        <w:t>关于</w:t>
      </w:r>
      <w:r w:rsidRPr="002E06C3">
        <w:rPr>
          <w:lang w:val="en-GB"/>
        </w:rPr>
        <w:t>进入或使用某一场所或服务的</w:t>
      </w:r>
      <w:r w:rsidRPr="002E06C3">
        <w:rPr>
          <w:rFonts w:hint="eastAsia"/>
          <w:lang w:val="en-GB"/>
        </w:rPr>
        <w:t>个人请求</w:t>
      </w:r>
      <w:r w:rsidRPr="002E06C3">
        <w:rPr>
          <w:lang w:val="en-GB"/>
        </w:rPr>
        <w:t>前提供无障碍服务</w:t>
      </w:r>
      <w:r w:rsidRPr="002E06C3">
        <w:rPr>
          <w:rFonts w:hint="eastAsia"/>
          <w:lang w:val="en-GB"/>
        </w:rPr>
        <w:t>”。委员会还回顾指出，“承担</w:t>
      </w:r>
      <w:r w:rsidRPr="002E06C3">
        <w:rPr>
          <w:lang w:val="en-GB"/>
        </w:rPr>
        <w:t>无障碍义务是无条件的，即有义务提供无障碍的实体不得以向残疾人提供无障碍的负担太重为由而不这样做</w:t>
      </w:r>
      <w:r w:rsidRPr="002E06C3">
        <w:rPr>
          <w:rFonts w:hint="eastAsia"/>
          <w:lang w:val="en-GB"/>
        </w:rPr>
        <w:t>”。</w:t>
      </w:r>
      <w:r w:rsidR="003F4846">
        <w:rPr>
          <w:rStyle w:val="FootnoteReference"/>
          <w:lang w:val="en-GB"/>
        </w:rPr>
        <w:footnoteReference w:id="14"/>
      </w:r>
    </w:p>
    <w:p w:rsidR="002E06C3" w:rsidRPr="002E06C3" w:rsidRDefault="002E06C3" w:rsidP="002E06C3">
      <w:pPr>
        <w:pStyle w:val="SingleTxtGC"/>
        <w:rPr>
          <w:lang w:val="en-GB"/>
        </w:rPr>
      </w:pPr>
      <w:r w:rsidRPr="002E06C3">
        <w:rPr>
          <w:lang w:val="en-GB"/>
        </w:rPr>
        <w:t>8.5</w:t>
      </w:r>
      <w:r>
        <w:rPr>
          <w:lang w:val="en-GB"/>
        </w:rPr>
        <w:t xml:space="preserve">  </w:t>
      </w:r>
      <w:r w:rsidRPr="002E06C3">
        <w:rPr>
          <w:rFonts w:hint="eastAsia"/>
          <w:lang w:val="en-GB"/>
        </w:rPr>
        <w:t>残疾人面临技术和环境障碍，例如缺少以无障碍格式提供的信息。依照《公约》第九条第一款，“缔约国应当采取适当措施，确保残疾人在与其他人平等的基础上……使用交通工具，利用信息和通信，包括信息和通信技术和系统”。《公约》第九条第二款第</w:t>
      </w:r>
      <w:r w:rsidRPr="002E06C3">
        <w:rPr>
          <w:rFonts w:hint="eastAsia"/>
          <w:lang w:val="en-GB"/>
        </w:rPr>
        <w:t>(</w:t>
      </w:r>
      <w:r w:rsidRPr="002E06C3">
        <w:rPr>
          <w:rFonts w:hint="eastAsia"/>
          <w:lang w:val="en-GB"/>
        </w:rPr>
        <w:t>六</w:t>
      </w:r>
      <w:r w:rsidRPr="002E06C3">
        <w:rPr>
          <w:rFonts w:hint="eastAsia"/>
          <w:lang w:val="en-GB"/>
        </w:rPr>
        <w:t>)</w:t>
      </w:r>
      <w:r w:rsidRPr="002E06C3">
        <w:rPr>
          <w:rFonts w:hint="eastAsia"/>
          <w:lang w:val="en-GB"/>
        </w:rPr>
        <w:t>项规定，“缔约国应当采取适当措施……促进向残疾人提供其他适当形式的协助和支助，以确保残疾人获得信息”。委员会还回顾指出，信息和信通技术的重要性在于它能够开发大量的服务，改变现有服务，扩大对信息和知识的需求，特别是扩大残疾人等没有获得充足服务和遭到排斥的人群对信息和知识的需求。</w:t>
      </w:r>
      <w:r w:rsidR="003F4846">
        <w:rPr>
          <w:rStyle w:val="FootnoteReference"/>
          <w:lang w:val="en-GB"/>
        </w:rPr>
        <w:footnoteReference w:id="15"/>
      </w:r>
      <w:r w:rsidR="003F4846" w:rsidRPr="003F4846">
        <w:rPr>
          <w:rFonts w:hint="eastAsia"/>
          <w:vertAlign w:val="superscript"/>
          <w:lang w:val="en-GB"/>
        </w:rPr>
        <w:t xml:space="preserve"> </w:t>
      </w:r>
      <w:r w:rsidRPr="002E06C3">
        <w:rPr>
          <w:rFonts w:hint="eastAsia"/>
          <w:lang w:val="en-GB"/>
        </w:rPr>
        <w:t>在这方面，</w:t>
      </w:r>
      <w:r w:rsidRPr="002E06C3">
        <w:rPr>
          <w:lang w:val="en-GB"/>
        </w:rPr>
        <w:t>新技术可用于促进残疾人充分平等地参与社会，但只有当这种技术的设计和制作</w:t>
      </w:r>
      <w:r w:rsidRPr="002E06C3">
        <w:rPr>
          <w:rFonts w:hint="eastAsia"/>
          <w:lang w:val="en-GB"/>
        </w:rPr>
        <w:t>能够</w:t>
      </w:r>
      <w:r w:rsidRPr="002E06C3">
        <w:rPr>
          <w:lang w:val="en-GB"/>
        </w:rPr>
        <w:t>确保残疾人无障碍使用该技术时才能实现。新的投资、研究和生产应该促进</w:t>
      </w:r>
      <w:r w:rsidRPr="002E06C3">
        <w:rPr>
          <w:rFonts w:hint="eastAsia"/>
          <w:lang w:val="en-GB"/>
        </w:rPr>
        <w:t>消除</w:t>
      </w:r>
      <w:r w:rsidRPr="002E06C3">
        <w:rPr>
          <w:lang w:val="en-GB"/>
        </w:rPr>
        <w:t>不平等，而不是</w:t>
      </w:r>
      <w:r w:rsidRPr="002E06C3">
        <w:rPr>
          <w:rFonts w:hint="eastAsia"/>
          <w:lang w:val="en-GB"/>
        </w:rPr>
        <w:t>制造</w:t>
      </w:r>
      <w:r w:rsidRPr="002E06C3">
        <w:rPr>
          <w:lang w:val="en-GB"/>
        </w:rPr>
        <w:t>新的障碍。</w:t>
      </w:r>
      <w:r w:rsidRPr="002E06C3">
        <w:rPr>
          <w:rFonts w:hint="eastAsia"/>
          <w:lang w:val="en-GB"/>
        </w:rPr>
        <w:t>因此，《公约》第九条第二款第</w:t>
      </w:r>
      <w:r w:rsidRPr="002E06C3">
        <w:rPr>
          <w:rFonts w:hint="eastAsia"/>
          <w:lang w:val="en-GB"/>
        </w:rPr>
        <w:t>(</w:t>
      </w:r>
      <w:r w:rsidRPr="002E06C3">
        <w:rPr>
          <w:rFonts w:hint="eastAsia"/>
          <w:lang w:val="en-GB"/>
        </w:rPr>
        <w:t>八</w:t>
      </w:r>
      <w:r w:rsidRPr="002E06C3">
        <w:rPr>
          <w:rFonts w:hint="eastAsia"/>
          <w:lang w:val="en-GB"/>
        </w:rPr>
        <w:t>)</w:t>
      </w:r>
      <w:r w:rsidRPr="002E06C3">
        <w:rPr>
          <w:rFonts w:hint="eastAsia"/>
          <w:lang w:val="en-GB"/>
        </w:rPr>
        <w:t>项呼吁各缔约国促进在早期阶段设计、开发、生产、推行无障碍信通技术和系统，以便能以最低成本使这些技术和系统无障碍。</w:t>
      </w:r>
      <w:r w:rsidR="003F4846">
        <w:rPr>
          <w:rStyle w:val="FootnoteReference"/>
          <w:lang w:val="en-GB"/>
        </w:rPr>
        <w:footnoteReference w:id="16"/>
      </w:r>
      <w:r w:rsidR="003F4846" w:rsidRPr="003F4846">
        <w:rPr>
          <w:rFonts w:hint="eastAsia"/>
          <w:vertAlign w:val="superscript"/>
          <w:lang w:val="en-GB"/>
        </w:rPr>
        <w:t xml:space="preserve"> </w:t>
      </w:r>
      <w:r w:rsidRPr="002E06C3">
        <w:rPr>
          <w:rFonts w:hint="eastAsia"/>
          <w:lang w:val="en-GB"/>
        </w:rPr>
        <w:t>委员会还进一步回顾指出，《公约》第五条第二款规定，“缔约国应当禁止一切基于残疾的歧视，保证残疾人获得平等和有效的法律保护，使其不受基于任何原因的歧视”，以及应当明确规定拒绝实现对公众开放的无障碍物质环境、交通、信息和通信或服务是受禁止的歧视性行为。</w:t>
      </w:r>
      <w:r w:rsidR="003F4846">
        <w:rPr>
          <w:rStyle w:val="FootnoteReference"/>
          <w:lang w:val="en-GB"/>
        </w:rPr>
        <w:footnoteReference w:id="17"/>
      </w:r>
    </w:p>
    <w:p w:rsidR="002E06C3" w:rsidRPr="002E06C3" w:rsidRDefault="002E06C3" w:rsidP="002E06C3">
      <w:pPr>
        <w:pStyle w:val="SingleTxtGC"/>
        <w:rPr>
          <w:lang w:val="en-GB"/>
        </w:rPr>
      </w:pPr>
      <w:r w:rsidRPr="002E06C3">
        <w:rPr>
          <w:lang w:val="en-GB"/>
        </w:rPr>
        <w:t>8.6</w:t>
      </w:r>
      <w:r>
        <w:rPr>
          <w:lang w:val="en-GB"/>
        </w:rPr>
        <w:t xml:space="preserve">  </w:t>
      </w:r>
      <w:r w:rsidRPr="002E06C3">
        <w:rPr>
          <w:rFonts w:hint="eastAsia"/>
          <w:lang w:val="en-GB"/>
        </w:rPr>
        <w:t>在本案中，委员会注意到，在</w:t>
      </w:r>
      <w:r w:rsidRPr="002E06C3">
        <w:rPr>
          <w:rFonts w:hint="eastAsia"/>
          <w:lang w:val="en-GB"/>
        </w:rPr>
        <w:t>3</w:t>
      </w:r>
      <w:r w:rsidRPr="002E06C3">
        <w:rPr>
          <w:rFonts w:hint="eastAsia"/>
          <w:lang w:val="en-GB"/>
        </w:rPr>
        <w:t>号线车站上提供的可视信息是一种旨在便利使用电车线路的补充服务，如此一来，该信息是提供的交通服务中不可分割的一部分。因此，委员会需审议的问题是，评估缔约国是否已采取充分措施，以确保向无残疾者提供的交通服务信息也在平等的基础上提供给视力障碍者。</w:t>
      </w:r>
    </w:p>
    <w:p w:rsidR="002E06C3" w:rsidRPr="002E06C3" w:rsidRDefault="002E06C3" w:rsidP="002E06C3">
      <w:pPr>
        <w:pStyle w:val="SingleTxtGC"/>
        <w:rPr>
          <w:lang w:val="en-GB"/>
        </w:rPr>
      </w:pPr>
      <w:r w:rsidRPr="002E06C3">
        <w:rPr>
          <w:lang w:val="en-GB"/>
        </w:rPr>
        <w:t>8.7</w:t>
      </w:r>
      <w:r>
        <w:rPr>
          <w:lang w:val="en-GB"/>
        </w:rPr>
        <w:t xml:space="preserve">  </w:t>
      </w:r>
      <w:r w:rsidRPr="002E06C3">
        <w:rPr>
          <w:rFonts w:hint="eastAsia"/>
          <w:lang w:val="en-GB"/>
        </w:rPr>
        <w:t>在这方面，委员会注意到，</w:t>
      </w:r>
      <w:r w:rsidRPr="002E06C3">
        <w:rPr>
          <w:rFonts w:hint="eastAsia"/>
          <w:lang w:val="en-GB"/>
        </w:rPr>
        <w:t>2004</w:t>
      </w:r>
      <w:r w:rsidRPr="002E06C3">
        <w:rPr>
          <w:rFonts w:hint="eastAsia"/>
          <w:lang w:val="en-GB"/>
        </w:rPr>
        <w:t>年</w:t>
      </w:r>
      <w:r w:rsidRPr="002E06C3">
        <w:rPr>
          <w:rFonts w:hint="eastAsia"/>
          <w:lang w:val="en-GB"/>
        </w:rPr>
        <w:t>3</w:t>
      </w:r>
      <w:r w:rsidRPr="002E06C3">
        <w:rPr>
          <w:rFonts w:hint="eastAsia"/>
          <w:lang w:val="en-GB"/>
        </w:rPr>
        <w:t>月，林茨线路有限责任公司开始为该市的电车站配备数字音频系统。</w:t>
      </w:r>
      <w:r w:rsidRPr="002E06C3">
        <w:rPr>
          <w:rFonts w:hint="eastAsia"/>
          <w:lang w:val="en-GB"/>
        </w:rPr>
        <w:t>2011</w:t>
      </w:r>
      <w:r w:rsidRPr="002E06C3">
        <w:rPr>
          <w:rFonts w:hint="eastAsia"/>
          <w:lang w:val="en-GB"/>
        </w:rPr>
        <w:t>年</w:t>
      </w:r>
      <w:r w:rsidRPr="002E06C3">
        <w:rPr>
          <w:rFonts w:hint="eastAsia"/>
          <w:lang w:val="en-GB"/>
        </w:rPr>
        <w:t>8</w:t>
      </w:r>
      <w:r w:rsidRPr="002E06C3">
        <w:rPr>
          <w:rFonts w:hint="eastAsia"/>
          <w:lang w:val="en-GB"/>
        </w:rPr>
        <w:t>月，该公司延伸了有轨电车</w:t>
      </w:r>
      <w:r w:rsidRPr="002E06C3">
        <w:rPr>
          <w:lang w:val="en-GB"/>
        </w:rPr>
        <w:t>3</w:t>
      </w:r>
      <w:r w:rsidRPr="002E06C3">
        <w:rPr>
          <w:rFonts w:hint="eastAsia"/>
          <w:lang w:val="en-GB"/>
        </w:rPr>
        <w:t>号线的轨道网。然而，新车站没有配备数字音频系统，而服务供应商已经知悉此事，并且本可在建造新线路时以有限的成本安装该系统。委员会还注意到，提交人主张，音频系统可使他及其他视力障碍者在与他人平等的基础上立即获得实时的可视信息，而现有的备选设施，即互联网和移动电话提供的各种应用程序，以及行车路线信息系统都无法做到这一点。因此，缔约国在延伸电车轨道网时没有安装音频系统导致无法实现在与他人平等的基础上获得</w:t>
      </w:r>
      <w:r w:rsidRPr="002E06C3">
        <w:rPr>
          <w:lang w:val="en-GB"/>
        </w:rPr>
        <w:t>信息和通信</w:t>
      </w:r>
      <w:r w:rsidRPr="002E06C3">
        <w:rPr>
          <w:rFonts w:hint="eastAsia"/>
          <w:lang w:val="en-GB"/>
        </w:rPr>
        <w:t>技术以及</w:t>
      </w:r>
      <w:r w:rsidRPr="002E06C3">
        <w:rPr>
          <w:lang w:val="en-GB"/>
        </w:rPr>
        <w:t>向公众开放的</w:t>
      </w:r>
      <w:r w:rsidRPr="002E06C3">
        <w:rPr>
          <w:rFonts w:hint="eastAsia"/>
          <w:lang w:val="en-GB"/>
        </w:rPr>
        <w:t>设备和</w:t>
      </w:r>
      <w:r w:rsidRPr="002E06C3">
        <w:rPr>
          <w:lang w:val="en-GB"/>
        </w:rPr>
        <w:t>服务</w:t>
      </w:r>
      <w:r w:rsidRPr="002E06C3">
        <w:rPr>
          <w:rFonts w:hint="eastAsia"/>
          <w:lang w:val="en-GB"/>
        </w:rPr>
        <w:t>，并因此构成对《公约》第五条第二款；第九条第一款和第二款第</w:t>
      </w:r>
      <w:r w:rsidRPr="002E06C3">
        <w:rPr>
          <w:rFonts w:hint="eastAsia"/>
          <w:lang w:val="en-GB"/>
        </w:rPr>
        <w:t>(</w:t>
      </w:r>
      <w:r w:rsidRPr="002E06C3">
        <w:rPr>
          <w:rFonts w:hint="eastAsia"/>
          <w:lang w:val="en-GB"/>
        </w:rPr>
        <w:t>六</w:t>
      </w:r>
      <w:r w:rsidRPr="002E06C3">
        <w:rPr>
          <w:rFonts w:hint="eastAsia"/>
          <w:lang w:val="en-GB"/>
        </w:rPr>
        <w:t>)</w:t>
      </w:r>
      <w:r w:rsidRPr="002E06C3">
        <w:rPr>
          <w:rFonts w:hint="eastAsia"/>
          <w:lang w:val="en-GB"/>
        </w:rPr>
        <w:t>和第</w:t>
      </w:r>
      <w:r w:rsidRPr="002E06C3">
        <w:rPr>
          <w:rFonts w:hint="eastAsia"/>
          <w:lang w:val="en-GB"/>
        </w:rPr>
        <w:t>(</w:t>
      </w:r>
      <w:r w:rsidRPr="002E06C3">
        <w:rPr>
          <w:rFonts w:hint="eastAsia"/>
          <w:lang w:val="en-GB"/>
        </w:rPr>
        <w:t>八</w:t>
      </w:r>
      <w:r w:rsidRPr="002E06C3">
        <w:rPr>
          <w:rFonts w:hint="eastAsia"/>
          <w:lang w:val="en-GB"/>
        </w:rPr>
        <w:t>)</w:t>
      </w:r>
      <w:r w:rsidRPr="002E06C3">
        <w:rPr>
          <w:rFonts w:hint="eastAsia"/>
          <w:lang w:val="en-GB"/>
        </w:rPr>
        <w:t>项的违反。</w:t>
      </w:r>
    </w:p>
    <w:p w:rsidR="002E06C3" w:rsidRPr="002E06C3" w:rsidRDefault="002E06C3" w:rsidP="002E06C3">
      <w:pPr>
        <w:pStyle w:val="SingleTxtGC"/>
        <w:rPr>
          <w:lang w:val="en-GB"/>
        </w:rPr>
      </w:pPr>
      <w:r w:rsidRPr="002E06C3">
        <w:rPr>
          <w:lang w:val="en-GB"/>
        </w:rPr>
        <w:t>8.8</w:t>
      </w:r>
      <w:r>
        <w:rPr>
          <w:lang w:val="en-GB"/>
        </w:rPr>
        <w:t xml:space="preserve">  </w:t>
      </w:r>
      <w:r w:rsidRPr="002E06C3">
        <w:rPr>
          <w:rFonts w:hint="eastAsia"/>
          <w:lang w:val="en-GB"/>
        </w:rPr>
        <w:t>关于提交人根据第十九条和第二十条提出的主张，委员会注意到，提交人提供的材料不充分，因此委员会无法评估缺少音频系统在多大程度上对他的个人出行和独立生活权造成影响。因此，委员会认为，在本案中，</w:t>
      </w:r>
      <w:r w:rsidRPr="002E06C3">
        <w:rPr>
          <w:lang w:val="en-GB"/>
        </w:rPr>
        <w:t>无法确定《公约》第</w:t>
      </w:r>
      <w:r w:rsidRPr="002E06C3">
        <w:rPr>
          <w:rFonts w:hint="eastAsia"/>
          <w:lang w:val="en-GB"/>
        </w:rPr>
        <w:t>十九</w:t>
      </w:r>
      <w:r w:rsidRPr="002E06C3">
        <w:rPr>
          <w:lang w:val="en-GB"/>
        </w:rPr>
        <w:t>条和第二十条</w:t>
      </w:r>
      <w:r w:rsidRPr="002E06C3">
        <w:rPr>
          <w:rFonts w:hint="eastAsia"/>
          <w:lang w:val="en-GB"/>
        </w:rPr>
        <w:t>是否遭到违反</w:t>
      </w:r>
      <w:r w:rsidRPr="002E06C3">
        <w:rPr>
          <w:lang w:val="en-GB"/>
        </w:rPr>
        <w:t>。</w:t>
      </w:r>
    </w:p>
    <w:p w:rsidR="002E06C3" w:rsidRPr="002E06C3" w:rsidRDefault="002E06C3" w:rsidP="002E06C3">
      <w:pPr>
        <w:pStyle w:val="SingleTxtGC"/>
        <w:rPr>
          <w:lang w:val="en-GB"/>
        </w:rPr>
      </w:pPr>
      <w:r w:rsidRPr="002E06C3">
        <w:rPr>
          <w:lang w:val="en-GB"/>
        </w:rPr>
        <w:t>9</w:t>
      </w:r>
      <w:r>
        <w:rPr>
          <w:lang w:val="en-GB"/>
        </w:rPr>
        <w:t xml:space="preserve">.  </w:t>
      </w:r>
      <w:r w:rsidRPr="002E06C3">
        <w:rPr>
          <w:rFonts w:hint="eastAsia"/>
          <w:lang w:val="en-GB"/>
        </w:rPr>
        <w:t>残疾人权利委员会根据《任择议定书》第五条行事，认为缔约国没有履行《公约》第五条第二款，以及第九条第一款和第二款第</w:t>
      </w:r>
      <w:r w:rsidRPr="002E06C3">
        <w:rPr>
          <w:rFonts w:hint="eastAsia"/>
          <w:lang w:val="en-GB"/>
        </w:rPr>
        <w:t>(</w:t>
      </w:r>
      <w:r w:rsidRPr="002E06C3">
        <w:rPr>
          <w:rFonts w:hint="eastAsia"/>
          <w:lang w:val="en-GB"/>
        </w:rPr>
        <w:t>六</w:t>
      </w:r>
      <w:r w:rsidRPr="002E06C3">
        <w:rPr>
          <w:rFonts w:hint="eastAsia"/>
          <w:lang w:val="en-GB"/>
        </w:rPr>
        <w:t>)</w:t>
      </w:r>
      <w:r w:rsidRPr="002E06C3">
        <w:rPr>
          <w:rFonts w:hint="eastAsia"/>
          <w:lang w:val="en-GB"/>
        </w:rPr>
        <w:t>和第</w:t>
      </w:r>
      <w:r w:rsidRPr="002E06C3">
        <w:rPr>
          <w:rFonts w:hint="eastAsia"/>
          <w:lang w:val="en-GB"/>
        </w:rPr>
        <w:t>(</w:t>
      </w:r>
      <w:r w:rsidRPr="002E06C3">
        <w:rPr>
          <w:rFonts w:hint="eastAsia"/>
          <w:lang w:val="en-GB"/>
        </w:rPr>
        <w:t>八</w:t>
      </w:r>
      <w:r w:rsidRPr="002E06C3">
        <w:rPr>
          <w:rFonts w:hint="eastAsia"/>
          <w:lang w:val="en-GB"/>
        </w:rPr>
        <w:t>)</w:t>
      </w:r>
      <w:r w:rsidRPr="002E06C3">
        <w:rPr>
          <w:rFonts w:hint="eastAsia"/>
          <w:lang w:val="en-GB"/>
        </w:rPr>
        <w:t>项规定的义务。因此，委员会向缔约国提出下列建议：</w:t>
      </w:r>
    </w:p>
    <w:p w:rsidR="002E06C3" w:rsidRPr="002E06C3" w:rsidRDefault="002E06C3" w:rsidP="003F4846">
      <w:pPr>
        <w:pStyle w:val="SingleTxtGC"/>
        <w:numPr>
          <w:ilvl w:val="0"/>
          <w:numId w:val="39"/>
        </w:numPr>
        <w:rPr>
          <w:lang w:val="en-GB"/>
        </w:rPr>
      </w:pPr>
      <w:r w:rsidRPr="002E06C3">
        <w:rPr>
          <w:rFonts w:hint="eastAsia"/>
          <w:lang w:val="en-GB"/>
        </w:rPr>
        <w:t>关于提交人，缔约国有义务针对无法在电车轨道网所有线路上无障碍获得可视信息提供补救。</w:t>
      </w:r>
      <w:r w:rsidRPr="002E06C3">
        <w:rPr>
          <w:lang w:val="en-GB"/>
        </w:rPr>
        <w:t>缔约国还应就提交人</w:t>
      </w:r>
      <w:r w:rsidRPr="002E06C3">
        <w:rPr>
          <w:rFonts w:hint="eastAsia"/>
          <w:lang w:val="en-GB"/>
        </w:rPr>
        <w:t>在国内诉讼期间产生的法律费用以及</w:t>
      </w:r>
      <w:r w:rsidRPr="002E06C3">
        <w:rPr>
          <w:lang w:val="en-GB"/>
        </w:rPr>
        <w:t>为</w:t>
      </w:r>
      <w:r w:rsidRPr="002E06C3">
        <w:rPr>
          <w:rFonts w:hint="eastAsia"/>
          <w:lang w:val="en-GB"/>
        </w:rPr>
        <w:t>提交本</w:t>
      </w:r>
      <w:r w:rsidRPr="002E06C3">
        <w:rPr>
          <w:lang w:val="en-GB"/>
        </w:rPr>
        <w:t>来文所</w:t>
      </w:r>
      <w:r w:rsidRPr="002E06C3">
        <w:rPr>
          <w:rFonts w:hint="eastAsia"/>
          <w:lang w:val="en-GB"/>
        </w:rPr>
        <w:t>产生</w:t>
      </w:r>
      <w:r w:rsidRPr="002E06C3">
        <w:rPr>
          <w:lang w:val="en-GB"/>
        </w:rPr>
        <w:t>的开支给予充分补偿。</w:t>
      </w:r>
    </w:p>
    <w:p w:rsidR="002E06C3" w:rsidRPr="002E06C3" w:rsidRDefault="002E06C3" w:rsidP="003F4846">
      <w:pPr>
        <w:pStyle w:val="SingleTxtGC"/>
        <w:numPr>
          <w:ilvl w:val="0"/>
          <w:numId w:val="39"/>
        </w:numPr>
        <w:rPr>
          <w:lang w:val="en-GB"/>
        </w:rPr>
      </w:pPr>
      <w:r w:rsidRPr="002E06C3">
        <w:rPr>
          <w:rFonts w:hint="eastAsia"/>
          <w:lang w:val="en-GB"/>
        </w:rPr>
        <w:t>一般而言，缔约国有义务采取措施防止今后再发生类似的侵权行为，包括：</w:t>
      </w:r>
    </w:p>
    <w:p w:rsidR="002E06C3" w:rsidRPr="002E06C3" w:rsidRDefault="002E06C3" w:rsidP="003F4846">
      <w:pPr>
        <w:pStyle w:val="SingleTxtGC"/>
        <w:numPr>
          <w:ilvl w:val="1"/>
          <w:numId w:val="39"/>
        </w:numPr>
        <w:tabs>
          <w:tab w:val="clear" w:pos="431"/>
          <w:tab w:val="clear" w:pos="1134"/>
          <w:tab w:val="clear" w:pos="1281"/>
          <w:tab w:val="clear" w:pos="1565"/>
          <w:tab w:val="clear" w:pos="1996"/>
          <w:tab w:val="clear" w:pos="2427"/>
        </w:tabs>
        <w:ind w:left="1565"/>
        <w:rPr>
          <w:lang w:val="en-GB"/>
        </w:rPr>
      </w:pPr>
      <w:r w:rsidRPr="002E06C3">
        <w:rPr>
          <w:rFonts w:hint="eastAsia"/>
          <w:lang w:val="en-GB"/>
        </w:rPr>
        <w:t>确保现行的公共交通无障碍最低标准保证所有视力障碍者和患有其他类型障碍的人获得为电车和所有其他形式公共交通的其他使用者提供的实时的可视信息。在这方面，委员会建议缔约国</w:t>
      </w:r>
      <w:r w:rsidRPr="002E06C3">
        <w:rPr>
          <w:lang w:val="en-GB"/>
        </w:rPr>
        <w:t>建立一个立法框架，</w:t>
      </w:r>
      <w:r w:rsidRPr="002E06C3">
        <w:rPr>
          <w:rFonts w:hint="eastAsia"/>
          <w:lang w:val="en-GB"/>
        </w:rPr>
        <w:t>设定</w:t>
      </w:r>
      <w:r w:rsidRPr="002E06C3">
        <w:rPr>
          <w:lang w:val="en-GB"/>
        </w:rPr>
        <w:t>具体、可实施</w:t>
      </w:r>
      <w:r w:rsidRPr="002E06C3">
        <w:rPr>
          <w:rFonts w:hint="eastAsia"/>
          <w:lang w:val="en-GB"/>
        </w:rPr>
        <w:t>并且有时限</w:t>
      </w:r>
      <w:r w:rsidRPr="002E06C3">
        <w:rPr>
          <w:lang w:val="en-GB"/>
        </w:rPr>
        <w:t>的基准</w:t>
      </w:r>
      <w:r w:rsidRPr="002E06C3">
        <w:rPr>
          <w:rFonts w:hint="eastAsia"/>
          <w:lang w:val="en-GB"/>
        </w:rPr>
        <w:t>，以监测</w:t>
      </w:r>
      <w:r w:rsidRPr="002E06C3">
        <w:rPr>
          <w:lang w:val="en-GB"/>
        </w:rPr>
        <w:t>和评估</w:t>
      </w:r>
      <w:r w:rsidRPr="002E06C3">
        <w:rPr>
          <w:rFonts w:hint="eastAsia"/>
          <w:lang w:val="en-GB"/>
        </w:rPr>
        <w:t>为使视力障碍者获得可视信息而必需作出的</w:t>
      </w:r>
      <w:r w:rsidRPr="002E06C3">
        <w:rPr>
          <w:lang w:val="en-GB"/>
        </w:rPr>
        <w:t>逐步调整和修改</w:t>
      </w:r>
      <w:r w:rsidRPr="002E06C3">
        <w:rPr>
          <w:rFonts w:hint="eastAsia"/>
          <w:lang w:val="en-GB"/>
        </w:rPr>
        <w:t>。缔约国还应确保所有新建设的有轨电车线路和其他公共交通网对残疾人完全无障碍；</w:t>
      </w:r>
    </w:p>
    <w:p w:rsidR="002E06C3" w:rsidRPr="002E06C3" w:rsidRDefault="002E06C3" w:rsidP="003F4846">
      <w:pPr>
        <w:pStyle w:val="SingleTxtGC"/>
        <w:numPr>
          <w:ilvl w:val="1"/>
          <w:numId w:val="39"/>
        </w:numPr>
        <w:tabs>
          <w:tab w:val="clear" w:pos="431"/>
          <w:tab w:val="clear" w:pos="1134"/>
          <w:tab w:val="clear" w:pos="1281"/>
          <w:tab w:val="clear" w:pos="1565"/>
          <w:tab w:val="clear" w:pos="1996"/>
          <w:tab w:val="clear" w:pos="2427"/>
        </w:tabs>
        <w:ind w:left="1565"/>
        <w:rPr>
          <w:lang w:val="en-GB"/>
        </w:rPr>
      </w:pPr>
      <w:r w:rsidRPr="002E06C3">
        <w:rPr>
          <w:rFonts w:hint="eastAsia"/>
          <w:lang w:val="en-GB"/>
        </w:rPr>
        <w:t>确保对所有参与公共交通网设计、建设和设备提供的服务供应商定期进行关于《公约》及其《任择议定书》适用范围的培训，以保证今后依照通用设计原则建设网络和配备设施；</w:t>
      </w:r>
    </w:p>
    <w:p w:rsidR="002E06C3" w:rsidRPr="002E06C3" w:rsidRDefault="002E06C3" w:rsidP="003F4846">
      <w:pPr>
        <w:pStyle w:val="SingleTxtGC"/>
        <w:numPr>
          <w:ilvl w:val="1"/>
          <w:numId w:val="39"/>
        </w:numPr>
        <w:tabs>
          <w:tab w:val="clear" w:pos="431"/>
          <w:tab w:val="clear" w:pos="1134"/>
          <w:tab w:val="clear" w:pos="1281"/>
          <w:tab w:val="clear" w:pos="1565"/>
          <w:tab w:val="clear" w:pos="1996"/>
          <w:tab w:val="clear" w:pos="2427"/>
        </w:tabs>
        <w:ind w:left="1565"/>
        <w:rPr>
          <w:lang w:val="en-GB"/>
        </w:rPr>
      </w:pPr>
      <w:r w:rsidRPr="002E06C3">
        <w:rPr>
          <w:rFonts w:hint="eastAsia"/>
          <w:lang w:val="en-GB"/>
        </w:rPr>
        <w:t>确保在涉及交通和购物等领域的非歧视性出入问题的残疾人权利法中纳入关于无障碍获得信息和通信技术以及这些技术提供的许多对现代社会而言十分重要的商品和服务的规定。委员会建议，在审查和通过</w:t>
      </w:r>
      <w:r w:rsidRPr="002E06C3">
        <w:rPr>
          <w:lang w:val="en-GB"/>
        </w:rPr>
        <w:t>这些法律和规章</w:t>
      </w:r>
      <w:r w:rsidRPr="002E06C3">
        <w:rPr>
          <w:rFonts w:hint="eastAsia"/>
          <w:lang w:val="en-GB"/>
        </w:rPr>
        <w:t>时，</w:t>
      </w:r>
      <w:r w:rsidRPr="002E06C3">
        <w:rPr>
          <w:lang w:val="en-GB"/>
        </w:rPr>
        <w:t>必须</w:t>
      </w:r>
      <w:r w:rsidRPr="002E06C3">
        <w:rPr>
          <w:rFonts w:hint="eastAsia"/>
          <w:lang w:val="en-GB"/>
        </w:rPr>
        <w:t>依照《公约》第四条第三款</w:t>
      </w:r>
      <w:r w:rsidRPr="002E06C3">
        <w:rPr>
          <w:lang w:val="en-GB"/>
        </w:rPr>
        <w:t>与残疾人及其代表组织，以及包括学术界成员</w:t>
      </w:r>
      <w:r w:rsidRPr="002E06C3">
        <w:rPr>
          <w:rFonts w:hint="eastAsia"/>
          <w:lang w:val="en-GB"/>
        </w:rPr>
        <w:t>和</w:t>
      </w:r>
      <w:r w:rsidRPr="002E06C3">
        <w:rPr>
          <w:lang w:val="en-GB"/>
        </w:rPr>
        <w:t>建筑专家协会、城市规划者、工程师和设计师</w:t>
      </w:r>
      <w:r w:rsidRPr="002E06C3">
        <w:rPr>
          <w:rFonts w:hint="eastAsia"/>
          <w:lang w:val="en-GB"/>
        </w:rPr>
        <w:t>在内的</w:t>
      </w:r>
      <w:r w:rsidRPr="002E06C3">
        <w:rPr>
          <w:lang w:val="en-GB"/>
        </w:rPr>
        <w:t>其他</w:t>
      </w:r>
      <w:r w:rsidRPr="002E06C3">
        <w:rPr>
          <w:rFonts w:hint="eastAsia"/>
          <w:lang w:val="en-GB"/>
        </w:rPr>
        <w:t>相关</w:t>
      </w:r>
      <w:r w:rsidRPr="002E06C3">
        <w:rPr>
          <w:lang w:val="en-GB"/>
        </w:rPr>
        <w:t>利益</w:t>
      </w:r>
      <w:r w:rsidRPr="002E06C3">
        <w:rPr>
          <w:rFonts w:hint="eastAsia"/>
          <w:lang w:val="en-GB"/>
        </w:rPr>
        <w:t>攸关</w:t>
      </w:r>
      <w:r w:rsidRPr="002E06C3">
        <w:rPr>
          <w:lang w:val="en-GB"/>
        </w:rPr>
        <w:t>方进行密切协商。</w:t>
      </w:r>
      <w:r w:rsidRPr="002E06C3">
        <w:rPr>
          <w:rFonts w:hint="eastAsia"/>
          <w:lang w:val="en-GB"/>
        </w:rPr>
        <w:t>应当在立法中</w:t>
      </w:r>
      <w:r w:rsidRPr="002E06C3">
        <w:rPr>
          <w:lang w:val="en-GB"/>
        </w:rPr>
        <w:t>纳入通用设计原则</w:t>
      </w:r>
      <w:r w:rsidRPr="002E06C3">
        <w:rPr>
          <w:rFonts w:hint="eastAsia"/>
          <w:lang w:val="en-GB"/>
        </w:rPr>
        <w:t>，</w:t>
      </w:r>
      <w:r w:rsidRPr="002E06C3">
        <w:rPr>
          <w:lang w:val="en-GB"/>
        </w:rPr>
        <w:t>并根据通用设计原则制定立法</w:t>
      </w:r>
      <w:r w:rsidRPr="002E06C3">
        <w:rPr>
          <w:rFonts w:hint="eastAsia"/>
          <w:lang w:val="en-GB"/>
        </w:rPr>
        <w:t>，还应规定强制性适用无障碍标准，并对不遵守这些标准的人进行制裁</w:t>
      </w:r>
      <w:r w:rsidRPr="002E06C3">
        <w:rPr>
          <w:lang w:val="en-GB"/>
        </w:rPr>
        <w:t>。</w:t>
      </w:r>
    </w:p>
    <w:p w:rsidR="002E06C3" w:rsidRPr="002E06C3" w:rsidRDefault="002E06C3" w:rsidP="002E06C3">
      <w:pPr>
        <w:pStyle w:val="SingleTxtGC"/>
        <w:rPr>
          <w:lang w:val="en-GB"/>
        </w:rPr>
      </w:pPr>
      <w:r w:rsidRPr="002E06C3">
        <w:rPr>
          <w:lang w:val="en-GB"/>
        </w:rPr>
        <w:t>10</w:t>
      </w:r>
      <w:r>
        <w:rPr>
          <w:lang w:val="en-GB"/>
        </w:rPr>
        <w:t xml:space="preserve">.  </w:t>
      </w:r>
      <w:r w:rsidRPr="002E06C3">
        <w:rPr>
          <w:lang w:val="en-GB"/>
        </w:rPr>
        <w:t>根据《任择议定书》第五条和委员会议事规则第</w:t>
      </w:r>
      <w:r w:rsidRPr="002E06C3">
        <w:rPr>
          <w:rFonts w:hint="eastAsia"/>
          <w:lang w:val="en-GB"/>
        </w:rPr>
        <w:t>75</w:t>
      </w:r>
      <w:r w:rsidRPr="002E06C3">
        <w:rPr>
          <w:lang w:val="en-GB"/>
        </w:rPr>
        <w:t>条，缔约国应在</w:t>
      </w:r>
      <w:r w:rsidRPr="002E06C3">
        <w:rPr>
          <w:lang w:val="en-GB"/>
        </w:rPr>
        <w:t>6</w:t>
      </w:r>
      <w:r w:rsidRPr="002E06C3">
        <w:rPr>
          <w:lang w:val="en-GB"/>
        </w:rPr>
        <w:t>个月内向委员会提交书面答复，其中应提供资料说明根据本《意见》和委员会的建议</w:t>
      </w:r>
      <w:r w:rsidRPr="002E06C3">
        <w:rPr>
          <w:rFonts w:hint="eastAsia"/>
          <w:lang w:val="en-GB"/>
        </w:rPr>
        <w:t>所采取的</w:t>
      </w:r>
      <w:r w:rsidRPr="002E06C3">
        <w:rPr>
          <w:lang w:val="en-GB"/>
        </w:rPr>
        <w:t>行动。委员会还请缔约国公布委员会《意见》，将它译为缔约国的官方语言，并以便于查阅的形式广为分发，以使众人周知</w:t>
      </w:r>
      <w:r w:rsidRPr="002E06C3">
        <w:rPr>
          <w:rFonts w:hint="eastAsia"/>
          <w:lang w:val="en-GB"/>
        </w:rPr>
        <w:t>。</w:t>
      </w:r>
    </w:p>
    <w:p w:rsidR="00E06285" w:rsidRDefault="00E06285" w:rsidP="007F6102">
      <w:pPr>
        <w:pStyle w:val="SingleTxtGC"/>
        <w:rPr>
          <w:rFonts w:hint="eastAsia"/>
          <w:lang w:val="en-GB"/>
        </w:rPr>
      </w:pPr>
    </w:p>
    <w:p w:rsidR="002E06C3" w:rsidRPr="002D6A9C" w:rsidRDefault="002E06C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2E06C3"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8B" w:rsidRPr="008845C5" w:rsidRDefault="00EF668B"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F668B" w:rsidRPr="008845C5" w:rsidRDefault="00EF668B"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6" w:rsidRPr="00A7264C" w:rsidRDefault="003F4846" w:rsidP="006A13D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E4F2F">
      <w:rPr>
        <w:rStyle w:val="PageNumber"/>
        <w:noProof/>
      </w:rPr>
      <w:t>2</w:t>
    </w:r>
    <w:r>
      <w:rPr>
        <w:rStyle w:val="PageNumber"/>
      </w:rPr>
      <w:fldChar w:fldCharType="end"/>
    </w:r>
    <w:r>
      <w:rPr>
        <w:rStyle w:val="PageNumber"/>
        <w:rFonts w:eastAsia="SimSun" w:hint="eastAsia"/>
        <w:lang w:eastAsia="zh-CN"/>
      </w:rPr>
      <w:tab/>
    </w:r>
    <w:r w:rsidRPr="00A7264C">
      <w:rPr>
        <w:rFonts w:eastAsia="SimSun"/>
        <w:lang w:eastAsia="zh-CN"/>
      </w:rPr>
      <w:t>GE.15-15948</w:t>
    </w:r>
    <w:r>
      <w:rPr>
        <w:rFonts w:eastAsia="SimSun" w:hint="eastAsia"/>
        <w:lang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6" w:rsidRDefault="003F4846">
    <w:pPr>
      <w:pStyle w:val="Footer"/>
      <w:tabs>
        <w:tab w:val="right" w:pos="9639"/>
      </w:tabs>
    </w:pPr>
    <w:r w:rsidRPr="00A7264C">
      <w:rPr>
        <w:rFonts w:eastAsia="SimSun"/>
        <w:lang w:eastAsia="zh-CN"/>
      </w:rPr>
      <w:t>GE.15-15948</w:t>
    </w:r>
    <w:r>
      <w:rPr>
        <w:rFonts w:eastAsia="SimSun" w:hint="eastAsia"/>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E4F2F">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6" w:rsidRDefault="003F4846" w:rsidP="000E6BD1">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4&amp;Size=2&amp;Lang=C"/>
          <w10:wrap type="square"/>
        </v:shape>
      </w:pict>
    </w:r>
    <w:r>
      <w:rPr>
        <w:rFonts w:eastAsia="SimSun"/>
        <w:sz w:val="20"/>
        <w:lang w:eastAsia="zh-CN"/>
      </w:rPr>
      <w:t>GE.</w:t>
    </w:r>
    <w:r>
      <w:rPr>
        <w:rFonts w:eastAsia="SimSun" w:hint="eastAsia"/>
        <w:sz w:val="20"/>
        <w:lang w:eastAsia="zh-CN"/>
      </w:rPr>
      <w:t>15</w:t>
    </w:r>
    <w:r>
      <w:rPr>
        <w:rFonts w:eastAsia="SimSun"/>
        <w:sz w:val="20"/>
        <w:lang w:eastAsia="zh-CN"/>
      </w:rPr>
      <w:t>-</w:t>
    </w:r>
    <w:r>
      <w:rPr>
        <w:rFonts w:eastAsia="SimSun" w:hint="eastAsia"/>
        <w:sz w:val="20"/>
        <w:lang w:eastAsia="zh-CN"/>
      </w:rPr>
      <w:t>15948</w:t>
    </w:r>
    <w:r>
      <w:rPr>
        <w:rFonts w:eastAsia="SimSun"/>
        <w:sz w:val="20"/>
        <w:lang w:eastAsia="zh-CN"/>
      </w:rPr>
      <w:t xml:space="preserve"> (</w:t>
    </w:r>
    <w:r>
      <w:rPr>
        <w:rFonts w:eastAsia="SimSun" w:hint="eastAsia"/>
        <w:sz w:val="20"/>
        <w:lang w:eastAsia="zh-CN"/>
      </w:rPr>
      <w:t>EXT</w:t>
    </w:r>
    <w:r w:rsidRPr="00EE277A">
      <w:rPr>
        <w:rFonts w:eastAsia="SimSun"/>
        <w:sz w:val="20"/>
        <w:lang w:eastAsia="zh-CN"/>
      </w:rPr>
      <w:t>)</w:t>
    </w:r>
  </w:p>
  <w:p w:rsidR="003F4846" w:rsidRPr="00E04D00" w:rsidRDefault="003F4846" w:rsidP="008905C4">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A7264C">
      <w:rPr>
        <w:rFonts w:ascii="C39T30Lfz" w:eastAsia="SimSun" w:hAnsi="C39T30Lfz"/>
        <w:sz w:val="56"/>
        <w:szCs w:val="56"/>
        <w:lang w:eastAsia="zh-CN"/>
      </w:rPr>
      <w:t></w:t>
    </w:r>
    <w:r w:rsidRPr="00A7264C">
      <w:rPr>
        <w:rFonts w:ascii="C39T30Lfz" w:eastAsia="SimSun" w:hAnsi="C39T30Lfz"/>
        <w:sz w:val="56"/>
        <w:szCs w:val="56"/>
        <w:lang w:eastAsia="zh-CN"/>
      </w:rPr>
      <w:t></w:t>
    </w:r>
    <w:r w:rsidRPr="00A7264C">
      <w:rPr>
        <w:rFonts w:ascii="C39T30Lfz" w:eastAsia="SimSun" w:hAnsi="C39T30Lfz"/>
        <w:sz w:val="56"/>
        <w:szCs w:val="56"/>
        <w:lang w:eastAsia="zh-CN"/>
      </w:rPr>
      <w:t></w:t>
    </w:r>
    <w:r w:rsidRPr="00A7264C">
      <w:rPr>
        <w:rFonts w:ascii="C39T30Lfz" w:eastAsia="SimSun" w:hAnsi="C39T30Lfz"/>
        <w:sz w:val="56"/>
        <w:szCs w:val="56"/>
        <w:lang w:eastAsia="zh-CN"/>
      </w:rPr>
      <w:t></w:t>
    </w:r>
    <w:r w:rsidRPr="00A7264C">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8B" w:rsidRPr="00363561" w:rsidRDefault="00EF668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F668B" w:rsidRPr="00363561" w:rsidRDefault="00EF668B"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F4846" w:rsidRPr="00A7264C" w:rsidRDefault="003F4846">
      <w:pPr>
        <w:pStyle w:val="FootnoteText"/>
      </w:pPr>
      <w:r>
        <w:rPr>
          <w:rFonts w:hint="eastAsia"/>
        </w:rPr>
        <w:tab/>
      </w:r>
      <w:r w:rsidRPr="00A7264C">
        <w:rPr>
          <w:rStyle w:val="FootnoteReference"/>
          <w:vertAlign w:val="baseline"/>
        </w:rPr>
        <w:t>*</w:t>
      </w:r>
      <w:r w:rsidRPr="00A7264C">
        <w:rPr>
          <w:rFonts w:hint="eastAsia"/>
        </w:rPr>
        <w:tab/>
      </w:r>
      <w:r w:rsidRPr="00A7264C">
        <w:rPr>
          <w:rFonts w:hint="eastAsia"/>
        </w:rPr>
        <w:t>委员会下列委员参加了对本来</w:t>
      </w:r>
      <w:r>
        <w:rPr>
          <w:rFonts w:hint="eastAsia"/>
        </w:rPr>
        <w:t>文的审议：穆罕默德·塔拉瓦奈、但拉米·奥马鲁·巴沙鲁、蒙天·汶丹、玛丽·索莱达·</w:t>
      </w:r>
      <w:r w:rsidRPr="00A7264C">
        <w:rPr>
          <w:rFonts w:hint="eastAsia"/>
        </w:rPr>
        <w:t>西斯特纳斯</w:t>
      </w:r>
      <w:r>
        <w:rPr>
          <w:rFonts w:hint="eastAsia"/>
        </w:rPr>
        <w:t>－雷耶斯、特里萨·德格纳、金亨植、施蒂格·朗瓦德、拉斯洛·加博尔·洛瓦西、黛安·金斯顿、马丁·巴布·姆韦西瓦、卡洛斯·阿尔贝托·帕拉·杜桑、沙发克·佩维、卡玛瑞尔·皮亚纳德、西尔维娅·朱迪思·</w:t>
      </w:r>
      <w:r w:rsidRPr="00A7264C">
        <w:rPr>
          <w:rFonts w:hint="eastAsia"/>
        </w:rPr>
        <w:t>张光、乔纳斯</w:t>
      </w:r>
      <w:r>
        <w:rPr>
          <w:rFonts w:hint="eastAsia"/>
        </w:rPr>
        <w:t>·卢克斯、达米扬·</w:t>
      </w:r>
      <w:r w:rsidRPr="00A7264C">
        <w:rPr>
          <w:rFonts w:hint="eastAsia"/>
        </w:rPr>
        <w:t>塔蒂奇和尤亮。</w:t>
      </w:r>
    </w:p>
  </w:footnote>
  <w:footnote w:id="2">
    <w:p w:rsidR="003F4846" w:rsidRPr="002E06C3" w:rsidRDefault="003F4846">
      <w:pPr>
        <w:pStyle w:val="FootnoteText"/>
      </w:pPr>
      <w:r>
        <w:tab/>
      </w:r>
      <w:r>
        <w:rPr>
          <w:rStyle w:val="FootnoteReference"/>
        </w:rPr>
        <w:footnoteRef/>
      </w:r>
      <w:r>
        <w:tab/>
      </w:r>
      <w:r w:rsidRPr="002E06C3">
        <w:rPr>
          <w:rFonts w:hint="eastAsia"/>
        </w:rPr>
        <w:t>提交人在本来文中随附一份经签署的授权委托书。</w:t>
      </w:r>
    </w:p>
  </w:footnote>
  <w:footnote w:id="3">
    <w:p w:rsidR="003F4846" w:rsidRPr="002E06C3" w:rsidRDefault="003F4846">
      <w:pPr>
        <w:pStyle w:val="FootnoteText"/>
      </w:pPr>
      <w:r>
        <w:tab/>
      </w:r>
      <w:r>
        <w:rPr>
          <w:rStyle w:val="FootnoteReference"/>
        </w:rPr>
        <w:footnoteRef/>
      </w:r>
      <w:r>
        <w:tab/>
      </w:r>
      <w:r w:rsidRPr="002E06C3">
        <w:rPr>
          <w:rFonts w:hint="eastAsia"/>
        </w:rPr>
        <w:t>根据《联邦残疾人平等法》第</w:t>
      </w:r>
      <w:r w:rsidRPr="002E06C3">
        <w:rPr>
          <w:rFonts w:hint="eastAsia"/>
        </w:rPr>
        <w:t>14</w:t>
      </w:r>
      <w:r w:rsidRPr="002E06C3">
        <w:rPr>
          <w:rFonts w:hint="eastAsia"/>
        </w:rPr>
        <w:t>条启动的和解程序。</w:t>
      </w:r>
    </w:p>
  </w:footnote>
  <w:footnote w:id="4">
    <w:p w:rsidR="003F4846" w:rsidRPr="002E06C3" w:rsidRDefault="003F4846">
      <w:pPr>
        <w:pStyle w:val="FootnoteText"/>
      </w:pPr>
      <w:r>
        <w:tab/>
      </w:r>
      <w:r>
        <w:rPr>
          <w:rStyle w:val="FootnoteReference"/>
        </w:rPr>
        <w:footnoteRef/>
      </w:r>
      <w:r>
        <w:tab/>
      </w:r>
      <w:r w:rsidRPr="002E06C3">
        <w:rPr>
          <w:rFonts w:hint="eastAsia"/>
        </w:rPr>
        <w:t>提交人提供的日期为</w:t>
      </w:r>
      <w:r w:rsidRPr="002E06C3">
        <w:rPr>
          <w:rFonts w:hint="eastAsia"/>
        </w:rPr>
        <w:t>2013</w:t>
      </w:r>
      <w:r w:rsidRPr="002E06C3">
        <w:rPr>
          <w:rFonts w:hint="eastAsia"/>
        </w:rPr>
        <w:t>年</w:t>
      </w:r>
      <w:r w:rsidRPr="002E06C3">
        <w:rPr>
          <w:rFonts w:hint="eastAsia"/>
        </w:rPr>
        <w:t>5</w:t>
      </w:r>
      <w:r w:rsidRPr="002E06C3">
        <w:rPr>
          <w:rFonts w:hint="eastAsia"/>
        </w:rPr>
        <w:t>月</w:t>
      </w:r>
      <w:r w:rsidRPr="002E06C3">
        <w:rPr>
          <w:rFonts w:hint="eastAsia"/>
        </w:rPr>
        <w:t>2</w:t>
      </w:r>
      <w:r w:rsidRPr="002E06C3">
        <w:rPr>
          <w:rFonts w:hint="eastAsia"/>
        </w:rPr>
        <w:t>日的林茨地区法院判决书概要和英文本。</w:t>
      </w:r>
    </w:p>
  </w:footnote>
  <w:footnote w:id="5">
    <w:p w:rsidR="003F4846" w:rsidRPr="002E06C3" w:rsidRDefault="003F4846">
      <w:pPr>
        <w:pStyle w:val="FootnoteText"/>
      </w:pPr>
      <w:r>
        <w:tab/>
      </w:r>
      <w:r>
        <w:rPr>
          <w:rStyle w:val="FootnoteReference"/>
        </w:rPr>
        <w:footnoteRef/>
      </w:r>
      <w:r>
        <w:tab/>
      </w:r>
      <w:r w:rsidRPr="002E06C3">
        <w:rPr>
          <w:rFonts w:hint="eastAsia"/>
        </w:rPr>
        <w:t>见</w:t>
      </w:r>
      <w:r w:rsidRPr="002E06C3">
        <w:rPr>
          <w:rFonts w:hint="eastAsia"/>
        </w:rPr>
        <w:t>CRPD/G/GC/2</w:t>
      </w:r>
      <w:r w:rsidRPr="002E06C3">
        <w:rPr>
          <w:rFonts w:hint="eastAsia"/>
        </w:rPr>
        <w:t>，第</w:t>
      </w:r>
      <w:r w:rsidRPr="002E06C3">
        <w:rPr>
          <w:rFonts w:hint="eastAsia"/>
        </w:rPr>
        <w:t>13</w:t>
      </w:r>
      <w:r w:rsidRPr="002E06C3">
        <w:rPr>
          <w:rFonts w:hint="eastAsia"/>
        </w:rPr>
        <w:t>段：</w:t>
      </w:r>
    </w:p>
  </w:footnote>
  <w:footnote w:id="6">
    <w:p w:rsidR="003F4846" w:rsidRPr="002E06C3" w:rsidRDefault="003F4846">
      <w:pPr>
        <w:pStyle w:val="FootnoteText"/>
      </w:pPr>
      <w:r>
        <w:tab/>
      </w:r>
      <w:r>
        <w:rPr>
          <w:rStyle w:val="FootnoteReference"/>
        </w:rPr>
        <w:footnoteRef/>
      </w:r>
      <w:r>
        <w:tab/>
      </w:r>
      <w:r w:rsidRPr="002E06C3">
        <w:rPr>
          <w:rFonts w:hint="eastAsia"/>
        </w:rPr>
        <w:t>同上，第</w:t>
      </w:r>
      <w:r w:rsidRPr="002E06C3">
        <w:rPr>
          <w:rFonts w:hint="eastAsia"/>
        </w:rPr>
        <w:t>25</w:t>
      </w:r>
      <w:r w:rsidRPr="002E06C3">
        <w:rPr>
          <w:rFonts w:hint="eastAsia"/>
        </w:rPr>
        <w:t>段。</w:t>
      </w:r>
    </w:p>
  </w:footnote>
  <w:footnote w:id="7">
    <w:p w:rsidR="003F4846" w:rsidRPr="002E06C3" w:rsidRDefault="003F4846">
      <w:pPr>
        <w:pStyle w:val="FootnoteText"/>
      </w:pPr>
      <w:r>
        <w:tab/>
      </w:r>
      <w:r>
        <w:rPr>
          <w:rStyle w:val="FootnoteReference"/>
        </w:rPr>
        <w:footnoteRef/>
      </w:r>
      <w:r>
        <w:tab/>
      </w:r>
      <w:r w:rsidRPr="002E06C3">
        <w:rPr>
          <w:rFonts w:hint="eastAsia"/>
        </w:rPr>
        <w:t>见第</w:t>
      </w:r>
      <w:r w:rsidRPr="002E06C3">
        <w:rPr>
          <w:rFonts w:hint="eastAsia"/>
        </w:rPr>
        <w:t>5/2011</w:t>
      </w:r>
      <w:r w:rsidRPr="002E06C3">
        <w:rPr>
          <w:rFonts w:hint="eastAsia"/>
        </w:rPr>
        <w:t>号来文，</w:t>
      </w:r>
      <w:r w:rsidRPr="003F4846">
        <w:rPr>
          <w:i/>
        </w:rPr>
        <w:t>Jüngelin</w:t>
      </w:r>
      <w:r w:rsidRPr="002E06C3">
        <w:rPr>
          <w:rFonts w:eastAsia="KaiTi_GB2312" w:hint="eastAsia"/>
        </w:rPr>
        <w:t>诉瑞典</w:t>
      </w:r>
      <w:r w:rsidRPr="002E06C3">
        <w:rPr>
          <w:rFonts w:hint="eastAsia"/>
        </w:rPr>
        <w:t>案，</w:t>
      </w:r>
      <w:r w:rsidRPr="002E06C3">
        <w:rPr>
          <w:rFonts w:hint="eastAsia"/>
        </w:rPr>
        <w:t>2004</w:t>
      </w:r>
      <w:r w:rsidRPr="002E06C3">
        <w:rPr>
          <w:rFonts w:hint="eastAsia"/>
        </w:rPr>
        <w:t>年</w:t>
      </w:r>
      <w:r w:rsidRPr="002E06C3">
        <w:rPr>
          <w:rFonts w:hint="eastAsia"/>
        </w:rPr>
        <w:t>11</w:t>
      </w:r>
      <w:r w:rsidRPr="002E06C3">
        <w:rPr>
          <w:rFonts w:hint="eastAsia"/>
        </w:rPr>
        <w:t>月</w:t>
      </w:r>
      <w:r w:rsidRPr="002E06C3">
        <w:rPr>
          <w:rFonts w:hint="eastAsia"/>
        </w:rPr>
        <w:t>14</w:t>
      </w:r>
      <w:r w:rsidRPr="002E06C3">
        <w:rPr>
          <w:rFonts w:hint="eastAsia"/>
        </w:rPr>
        <w:t>日通过的意见，第</w:t>
      </w:r>
      <w:r w:rsidRPr="002E06C3">
        <w:rPr>
          <w:rFonts w:hint="eastAsia"/>
        </w:rPr>
        <w:t>10.5</w:t>
      </w:r>
      <w:r w:rsidRPr="002E06C3">
        <w:rPr>
          <w:rFonts w:hint="eastAsia"/>
        </w:rPr>
        <w:t>段；第</w:t>
      </w:r>
      <w:r w:rsidRPr="002E06C3">
        <w:rPr>
          <w:rFonts w:hint="eastAsia"/>
        </w:rPr>
        <w:t>3/</w:t>
      </w:r>
      <w:r>
        <w:rPr>
          <w:rFonts w:hint="eastAsia"/>
        </w:rPr>
        <w:t xml:space="preserve"> </w:t>
      </w:r>
      <w:r w:rsidRPr="002E06C3">
        <w:rPr>
          <w:rFonts w:hint="eastAsia"/>
        </w:rPr>
        <w:t>2011</w:t>
      </w:r>
      <w:r w:rsidRPr="002E06C3">
        <w:rPr>
          <w:rFonts w:hint="eastAsia"/>
        </w:rPr>
        <w:t>号来文，</w:t>
      </w:r>
      <w:r w:rsidRPr="002E06C3">
        <w:rPr>
          <w:rFonts w:hint="eastAsia"/>
          <w:i/>
        </w:rPr>
        <w:t>H.M..</w:t>
      </w:r>
      <w:r w:rsidRPr="002E06C3">
        <w:rPr>
          <w:rFonts w:eastAsia="KaiTi_GB2312" w:hint="eastAsia"/>
        </w:rPr>
        <w:t>诉瑞典</w:t>
      </w:r>
      <w:r w:rsidRPr="002E06C3">
        <w:rPr>
          <w:rFonts w:hint="eastAsia"/>
        </w:rPr>
        <w:t>案，</w:t>
      </w:r>
      <w:r w:rsidRPr="002E06C3">
        <w:rPr>
          <w:rFonts w:hint="eastAsia"/>
        </w:rPr>
        <w:t>2012</w:t>
      </w:r>
      <w:r w:rsidRPr="002E06C3">
        <w:rPr>
          <w:rFonts w:hint="eastAsia"/>
        </w:rPr>
        <w:t>年</w:t>
      </w:r>
      <w:r w:rsidRPr="002E06C3">
        <w:rPr>
          <w:rFonts w:hint="eastAsia"/>
        </w:rPr>
        <w:t>5</w:t>
      </w:r>
      <w:r w:rsidRPr="002E06C3">
        <w:rPr>
          <w:rFonts w:hint="eastAsia"/>
        </w:rPr>
        <w:t>月</w:t>
      </w:r>
      <w:r w:rsidRPr="002E06C3">
        <w:rPr>
          <w:rFonts w:hint="eastAsia"/>
        </w:rPr>
        <w:t>12</w:t>
      </w:r>
      <w:r w:rsidRPr="002E06C3">
        <w:rPr>
          <w:rFonts w:hint="eastAsia"/>
        </w:rPr>
        <w:t>日通过的意见，第</w:t>
      </w:r>
      <w:r w:rsidRPr="002E06C3">
        <w:rPr>
          <w:rFonts w:hint="eastAsia"/>
        </w:rPr>
        <w:t>8.5</w:t>
      </w:r>
      <w:r w:rsidRPr="002E06C3">
        <w:rPr>
          <w:rFonts w:hint="eastAsia"/>
        </w:rPr>
        <w:t>段和第</w:t>
      </w:r>
      <w:r w:rsidRPr="002E06C3">
        <w:rPr>
          <w:rFonts w:hint="eastAsia"/>
        </w:rPr>
        <w:t>8.8</w:t>
      </w:r>
      <w:r w:rsidRPr="002E06C3">
        <w:rPr>
          <w:rFonts w:hint="eastAsia"/>
        </w:rPr>
        <w:t>段；以及第</w:t>
      </w:r>
      <w:r w:rsidRPr="002E06C3">
        <w:rPr>
          <w:rFonts w:hint="eastAsia"/>
        </w:rPr>
        <w:t>8/</w:t>
      </w:r>
      <w:r>
        <w:rPr>
          <w:rFonts w:hint="eastAsia"/>
        </w:rPr>
        <w:t xml:space="preserve"> </w:t>
      </w:r>
      <w:r w:rsidRPr="002E06C3">
        <w:rPr>
          <w:rFonts w:hint="eastAsia"/>
        </w:rPr>
        <w:t>2012</w:t>
      </w:r>
      <w:r w:rsidRPr="002E06C3">
        <w:rPr>
          <w:rFonts w:hint="eastAsia"/>
        </w:rPr>
        <w:t>号来文，</w:t>
      </w:r>
      <w:r w:rsidRPr="003F4846">
        <w:rPr>
          <w:rFonts w:hint="eastAsia"/>
          <w:i/>
        </w:rPr>
        <w:t>X</w:t>
      </w:r>
      <w:r w:rsidRPr="003F4846">
        <w:rPr>
          <w:rFonts w:eastAsia="KaiTi_GB2312" w:hint="eastAsia"/>
        </w:rPr>
        <w:t>诉阿根廷</w:t>
      </w:r>
      <w:r w:rsidRPr="002E06C3">
        <w:rPr>
          <w:rFonts w:hint="eastAsia"/>
        </w:rPr>
        <w:t>案，</w:t>
      </w:r>
      <w:r w:rsidRPr="002E06C3">
        <w:rPr>
          <w:rFonts w:hint="eastAsia"/>
        </w:rPr>
        <w:t>2014</w:t>
      </w:r>
      <w:r w:rsidRPr="002E06C3">
        <w:rPr>
          <w:rFonts w:hint="eastAsia"/>
        </w:rPr>
        <w:t>年</w:t>
      </w:r>
      <w:r w:rsidRPr="002E06C3">
        <w:rPr>
          <w:rFonts w:hint="eastAsia"/>
        </w:rPr>
        <w:t>6</w:t>
      </w:r>
      <w:r w:rsidRPr="002E06C3">
        <w:rPr>
          <w:rFonts w:hint="eastAsia"/>
        </w:rPr>
        <w:t>月</w:t>
      </w:r>
      <w:r w:rsidRPr="002E06C3">
        <w:rPr>
          <w:rFonts w:hint="eastAsia"/>
        </w:rPr>
        <w:t>18</w:t>
      </w:r>
      <w:r w:rsidRPr="002E06C3">
        <w:rPr>
          <w:rFonts w:hint="eastAsia"/>
        </w:rPr>
        <w:t>日通过的意见，第</w:t>
      </w:r>
      <w:r w:rsidRPr="002E06C3">
        <w:rPr>
          <w:rFonts w:hint="eastAsia"/>
        </w:rPr>
        <w:t>8.5</w:t>
      </w:r>
      <w:r w:rsidRPr="002E06C3">
        <w:rPr>
          <w:rFonts w:hint="eastAsia"/>
        </w:rPr>
        <w:t>段。</w:t>
      </w:r>
    </w:p>
  </w:footnote>
  <w:footnote w:id="8">
    <w:p w:rsidR="003F4846" w:rsidRPr="003F4846" w:rsidRDefault="003F4846">
      <w:pPr>
        <w:pStyle w:val="FootnoteText"/>
      </w:pPr>
      <w:r>
        <w:tab/>
      </w:r>
      <w:r>
        <w:rPr>
          <w:rStyle w:val="FootnoteReference"/>
        </w:rPr>
        <w:footnoteRef/>
      </w:r>
      <w:r>
        <w:tab/>
      </w:r>
      <w:r w:rsidRPr="003F4846">
        <w:rPr>
          <w:rFonts w:hint="eastAsia"/>
        </w:rPr>
        <w:t>应用程序清单和技术说明附于缔约国的意见之后。</w:t>
      </w:r>
    </w:p>
  </w:footnote>
  <w:footnote w:id="9">
    <w:p w:rsidR="003F4846" w:rsidRPr="003F4846" w:rsidRDefault="003F4846">
      <w:pPr>
        <w:pStyle w:val="FootnoteText"/>
      </w:pPr>
      <w:r>
        <w:tab/>
      </w:r>
      <w:r>
        <w:rPr>
          <w:rStyle w:val="FootnoteReference"/>
        </w:rPr>
        <w:footnoteRef/>
      </w:r>
      <w:r>
        <w:tab/>
      </w:r>
      <w:r w:rsidRPr="003F4846">
        <w:rPr>
          <w:rFonts w:hint="eastAsia"/>
        </w:rPr>
        <w:t>见</w:t>
      </w:r>
      <w:r w:rsidRPr="003F4846">
        <w:rPr>
          <w:rFonts w:hint="eastAsia"/>
        </w:rPr>
        <w:t>www.linzwiki.at/wiki/Stra%C3%9Fenbahnlinie_3/</w:t>
      </w:r>
      <w:r w:rsidRPr="003F4846">
        <w:rPr>
          <w:rFonts w:hint="eastAsia"/>
        </w:rPr>
        <w:t>。</w:t>
      </w:r>
    </w:p>
  </w:footnote>
  <w:footnote w:id="10">
    <w:p w:rsidR="003F4846" w:rsidRPr="003F4846" w:rsidRDefault="003F4846">
      <w:pPr>
        <w:pStyle w:val="FootnoteText"/>
      </w:pPr>
      <w:r>
        <w:tab/>
      </w:r>
      <w:r>
        <w:rPr>
          <w:rStyle w:val="FootnoteReference"/>
        </w:rPr>
        <w:footnoteRef/>
      </w:r>
      <w:r>
        <w:tab/>
      </w:r>
      <w:r w:rsidRPr="003F4846">
        <w:rPr>
          <w:rFonts w:hint="eastAsia"/>
        </w:rPr>
        <w:t>非官方译本。</w:t>
      </w:r>
    </w:p>
  </w:footnote>
  <w:footnote w:id="11">
    <w:p w:rsidR="003F4846" w:rsidRPr="003F4846" w:rsidRDefault="003F4846">
      <w:pPr>
        <w:pStyle w:val="FootnoteText"/>
      </w:pPr>
      <w:r>
        <w:tab/>
      </w:r>
      <w:r>
        <w:rPr>
          <w:rStyle w:val="FootnoteReference"/>
        </w:rPr>
        <w:footnoteRef/>
      </w:r>
      <w:r>
        <w:tab/>
      </w:r>
      <w:r w:rsidRPr="003F4846">
        <w:rPr>
          <w:rFonts w:hint="eastAsia"/>
        </w:rPr>
        <w:t>没有提供关于该问题的进一步资料。</w:t>
      </w:r>
    </w:p>
  </w:footnote>
  <w:footnote w:id="12">
    <w:p w:rsidR="003F4846" w:rsidRPr="003F4846" w:rsidRDefault="003F4846">
      <w:pPr>
        <w:pStyle w:val="FootnoteText"/>
      </w:pPr>
      <w:r>
        <w:tab/>
      </w:r>
      <w:r>
        <w:rPr>
          <w:rStyle w:val="FootnoteReference"/>
        </w:rPr>
        <w:footnoteRef/>
      </w:r>
      <w:r>
        <w:tab/>
      </w:r>
      <w:r w:rsidRPr="003F4846">
        <w:rPr>
          <w:rFonts w:hint="eastAsia"/>
        </w:rPr>
        <w:t>见奥地利联邦政府关于</w:t>
      </w:r>
      <w:r w:rsidRPr="003F4846">
        <w:rPr>
          <w:rFonts w:hint="eastAsia"/>
        </w:rPr>
        <w:t>2008</w:t>
      </w:r>
      <w:r w:rsidRPr="003F4846">
        <w:rPr>
          <w:rFonts w:hint="eastAsia"/>
        </w:rPr>
        <w:t>年奥地利残疾人状况的报告。计划于</w:t>
      </w:r>
      <w:r w:rsidRPr="003F4846">
        <w:rPr>
          <w:rFonts w:hint="eastAsia"/>
        </w:rPr>
        <w:t>2015</w:t>
      </w:r>
      <w:r w:rsidRPr="003F4846">
        <w:rPr>
          <w:rFonts w:hint="eastAsia"/>
        </w:rPr>
        <w:t>年开展一项类似调查。</w:t>
      </w:r>
    </w:p>
  </w:footnote>
  <w:footnote w:id="13">
    <w:p w:rsidR="003F4846" w:rsidRPr="003F4846" w:rsidRDefault="003F4846">
      <w:pPr>
        <w:pStyle w:val="FootnoteText"/>
      </w:pPr>
      <w:r>
        <w:tab/>
      </w:r>
      <w:r>
        <w:rPr>
          <w:rStyle w:val="FootnoteReference"/>
        </w:rPr>
        <w:footnoteRef/>
      </w:r>
      <w:r>
        <w:tab/>
      </w:r>
      <w:r w:rsidRPr="003F4846">
        <w:rPr>
          <w:rFonts w:hint="eastAsia"/>
        </w:rPr>
        <w:t>例如，由职业教育和康复中心提供的课程。</w:t>
      </w:r>
    </w:p>
  </w:footnote>
  <w:footnote w:id="14">
    <w:p w:rsidR="003F4846" w:rsidRPr="003F4846" w:rsidRDefault="003F4846">
      <w:pPr>
        <w:pStyle w:val="FootnoteText"/>
      </w:pPr>
      <w:r>
        <w:tab/>
      </w:r>
      <w:r>
        <w:rPr>
          <w:rStyle w:val="FootnoteReference"/>
        </w:rPr>
        <w:footnoteRef/>
      </w:r>
      <w:r>
        <w:tab/>
      </w:r>
      <w:r w:rsidRPr="003F4846">
        <w:rPr>
          <w:rFonts w:hint="eastAsia"/>
        </w:rPr>
        <w:t>见</w:t>
      </w:r>
      <w:r w:rsidRPr="003F4846">
        <w:rPr>
          <w:rFonts w:hint="eastAsia"/>
        </w:rPr>
        <w:t>CRPD/C/GC/2</w:t>
      </w:r>
      <w:r w:rsidRPr="003F4846">
        <w:rPr>
          <w:rFonts w:hint="eastAsia"/>
        </w:rPr>
        <w:t>，第</w:t>
      </w:r>
      <w:r w:rsidRPr="003F4846">
        <w:rPr>
          <w:rFonts w:hint="eastAsia"/>
        </w:rPr>
        <w:t>25</w:t>
      </w:r>
      <w:r w:rsidRPr="003F4846">
        <w:rPr>
          <w:rFonts w:hint="eastAsia"/>
        </w:rPr>
        <w:t>段。</w:t>
      </w:r>
    </w:p>
  </w:footnote>
  <w:footnote w:id="15">
    <w:p w:rsidR="003F4846" w:rsidRPr="003F4846" w:rsidRDefault="003F4846">
      <w:pPr>
        <w:pStyle w:val="FootnoteText"/>
      </w:pPr>
      <w:r>
        <w:tab/>
      </w:r>
      <w:r>
        <w:rPr>
          <w:rStyle w:val="FootnoteReference"/>
        </w:rPr>
        <w:footnoteRef/>
      </w:r>
      <w:r>
        <w:tab/>
      </w:r>
      <w:r w:rsidRPr="003F4846">
        <w:rPr>
          <w:rFonts w:hint="eastAsia"/>
        </w:rPr>
        <w:t>同上，第</w:t>
      </w:r>
      <w:r w:rsidRPr="003F4846">
        <w:rPr>
          <w:rFonts w:hint="eastAsia"/>
        </w:rPr>
        <w:t>5</w:t>
      </w:r>
      <w:r w:rsidRPr="003F4846">
        <w:rPr>
          <w:rFonts w:hint="eastAsia"/>
        </w:rPr>
        <w:t>段。</w:t>
      </w:r>
    </w:p>
  </w:footnote>
  <w:footnote w:id="16">
    <w:p w:rsidR="003F4846" w:rsidRPr="003F4846" w:rsidRDefault="003F4846">
      <w:pPr>
        <w:pStyle w:val="FootnoteText"/>
      </w:pPr>
      <w:r>
        <w:tab/>
      </w:r>
      <w:r>
        <w:rPr>
          <w:rStyle w:val="FootnoteReference"/>
        </w:rPr>
        <w:footnoteRef/>
      </w:r>
      <w:r>
        <w:tab/>
      </w:r>
      <w:r w:rsidRPr="003F4846">
        <w:rPr>
          <w:rFonts w:hint="eastAsia"/>
        </w:rPr>
        <w:t>同上，第</w:t>
      </w:r>
      <w:r w:rsidRPr="003F4846">
        <w:rPr>
          <w:rFonts w:hint="eastAsia"/>
        </w:rPr>
        <w:t>22</w:t>
      </w:r>
      <w:r w:rsidRPr="003F4846">
        <w:rPr>
          <w:rFonts w:hint="eastAsia"/>
        </w:rPr>
        <w:t>段。</w:t>
      </w:r>
    </w:p>
  </w:footnote>
  <w:footnote w:id="17">
    <w:p w:rsidR="003F4846" w:rsidRPr="003F4846" w:rsidRDefault="003F4846">
      <w:pPr>
        <w:pStyle w:val="FootnoteText"/>
      </w:pPr>
      <w:r>
        <w:tab/>
      </w:r>
      <w:r>
        <w:rPr>
          <w:rStyle w:val="FootnoteReference"/>
        </w:rPr>
        <w:footnoteRef/>
      </w:r>
      <w:r>
        <w:tab/>
      </w:r>
      <w:r w:rsidRPr="003F4846">
        <w:rPr>
          <w:rFonts w:hint="eastAsia"/>
        </w:rPr>
        <w:t>同上，第</w:t>
      </w:r>
      <w:r w:rsidRPr="003F4846">
        <w:rPr>
          <w:rFonts w:hint="eastAsia"/>
        </w:rPr>
        <w:t>29</w:t>
      </w:r>
      <w:r w:rsidRPr="003F4846">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6" w:rsidRPr="00A7264C" w:rsidRDefault="003F4846">
    <w:pPr>
      <w:pStyle w:val="Header"/>
    </w:pPr>
    <w:r w:rsidRPr="00A7264C">
      <w:t>CRPD/C/14/D/21/2014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46" w:rsidRPr="00A7264C" w:rsidRDefault="003F4846" w:rsidP="00DA36A7">
    <w:pPr>
      <w:pStyle w:val="Header"/>
      <w:jc w:val="right"/>
      <w:rPr>
        <w:rFonts w:hint="eastAsia"/>
        <w:lang w:eastAsia="zh-CN"/>
      </w:rPr>
    </w:pPr>
    <w:r w:rsidRPr="00A7264C">
      <w:rPr>
        <w:lang w:eastAsia="zh-CN"/>
      </w:rPr>
      <w:t>CRPD/C/14/D/21/2014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5BA7E92"/>
    <w:multiLevelType w:val="hybridMultilevel"/>
    <w:tmpl w:val="9000BB98"/>
    <w:lvl w:ilvl="0" w:tplc="C052BD4C">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95D539C"/>
    <w:multiLevelType w:val="hybridMultilevel"/>
    <w:tmpl w:val="D08E8D20"/>
    <w:lvl w:ilvl="0" w:tplc="C2B05B94">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F27E878A">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9312A872">
      <w:start w:val="1"/>
      <w:numFmt w:val="japaneseCounting"/>
      <w:lvlText w:val="(%3)"/>
      <w:lvlJc w:val="left"/>
      <w:pPr>
        <w:tabs>
          <w:tab w:val="num" w:pos="3264"/>
        </w:tabs>
        <w:ind w:left="3264" w:hanging="2424"/>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2"/>
  </w:num>
  <w:num w:numId="14">
    <w:abstractNumId w:val="11"/>
  </w:num>
  <w:num w:numId="15">
    <w:abstractNumId w:val="13"/>
  </w:num>
  <w:num w:numId="16">
    <w:abstractNumId w:val="21"/>
  </w:num>
  <w:num w:numId="17">
    <w:abstractNumId w:val="11"/>
  </w:num>
  <w:num w:numId="18">
    <w:abstractNumId w:val="21"/>
  </w:num>
  <w:num w:numId="19">
    <w:abstractNumId w:val="13"/>
  </w:num>
  <w:num w:numId="20">
    <w:abstractNumId w:val="13"/>
  </w:num>
  <w:num w:numId="21">
    <w:abstractNumId w:val="19"/>
  </w:num>
  <w:num w:numId="22">
    <w:abstractNumId w:val="17"/>
  </w:num>
  <w:num w:numId="23">
    <w:abstractNumId w:val="14"/>
  </w:num>
  <w:num w:numId="24">
    <w:abstractNumId w:val="18"/>
  </w:num>
  <w:num w:numId="25">
    <w:abstractNumId w:val="10"/>
  </w:num>
  <w:num w:numId="26">
    <w:abstractNumId w:val="16"/>
  </w:num>
  <w:num w:numId="27">
    <w:abstractNumId w:val="24"/>
  </w:num>
  <w:num w:numId="28">
    <w:abstractNumId w:val="18"/>
  </w:num>
  <w:num w:numId="29">
    <w:abstractNumId w:val="10"/>
  </w:num>
  <w:num w:numId="30">
    <w:abstractNumId w:val="16"/>
  </w:num>
  <w:num w:numId="31">
    <w:abstractNumId w:val="24"/>
  </w:num>
  <w:num w:numId="32">
    <w:abstractNumId w:val="19"/>
  </w:num>
  <w:num w:numId="33">
    <w:abstractNumId w:val="17"/>
  </w:num>
  <w:num w:numId="34">
    <w:abstractNumId w:val="14"/>
  </w:num>
  <w:num w:numId="35">
    <w:abstractNumId w:val="18"/>
  </w:num>
  <w:num w:numId="36">
    <w:abstractNumId w:val="10"/>
  </w:num>
  <w:num w:numId="37">
    <w:abstractNumId w:val="16"/>
  </w:num>
  <w:num w:numId="38">
    <w:abstractNumId w:val="24"/>
  </w:num>
  <w:num w:numId="39">
    <w:abstractNumId w:val="22"/>
  </w:num>
  <w:num w:numId="4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790"/>
    <w:rsid w:val="00034FE7"/>
    <w:rsid w:val="00077827"/>
    <w:rsid w:val="00091A82"/>
    <w:rsid w:val="000A29FB"/>
    <w:rsid w:val="000B5AAE"/>
    <w:rsid w:val="000D5A9E"/>
    <w:rsid w:val="000E6BD1"/>
    <w:rsid w:val="000F692F"/>
    <w:rsid w:val="00104C87"/>
    <w:rsid w:val="001E180E"/>
    <w:rsid w:val="002044C8"/>
    <w:rsid w:val="00252D02"/>
    <w:rsid w:val="002C6169"/>
    <w:rsid w:val="002E06C3"/>
    <w:rsid w:val="00312964"/>
    <w:rsid w:val="003271F0"/>
    <w:rsid w:val="00356AB7"/>
    <w:rsid w:val="00363561"/>
    <w:rsid w:val="00374A1B"/>
    <w:rsid w:val="00384FE0"/>
    <w:rsid w:val="0039011E"/>
    <w:rsid w:val="00392380"/>
    <w:rsid w:val="003927DC"/>
    <w:rsid w:val="003C1602"/>
    <w:rsid w:val="003D0921"/>
    <w:rsid w:val="003D0CAD"/>
    <w:rsid w:val="003E569E"/>
    <w:rsid w:val="003F02C9"/>
    <w:rsid w:val="003F4846"/>
    <w:rsid w:val="0040530D"/>
    <w:rsid w:val="0040539C"/>
    <w:rsid w:val="00432C05"/>
    <w:rsid w:val="004455D3"/>
    <w:rsid w:val="00452C94"/>
    <w:rsid w:val="004A08E6"/>
    <w:rsid w:val="004B1B98"/>
    <w:rsid w:val="004B2CA3"/>
    <w:rsid w:val="004B7940"/>
    <w:rsid w:val="004C3BF0"/>
    <w:rsid w:val="004D3C30"/>
    <w:rsid w:val="004D43C0"/>
    <w:rsid w:val="004E626A"/>
    <w:rsid w:val="005177E7"/>
    <w:rsid w:val="0054417E"/>
    <w:rsid w:val="00547708"/>
    <w:rsid w:val="00570754"/>
    <w:rsid w:val="005D25AD"/>
    <w:rsid w:val="005E47D2"/>
    <w:rsid w:val="005E6EDE"/>
    <w:rsid w:val="006156DF"/>
    <w:rsid w:val="00636379"/>
    <w:rsid w:val="00647DC3"/>
    <w:rsid w:val="0065153A"/>
    <w:rsid w:val="00677394"/>
    <w:rsid w:val="006A13DD"/>
    <w:rsid w:val="006A59A2"/>
    <w:rsid w:val="00704451"/>
    <w:rsid w:val="00796FF2"/>
    <w:rsid w:val="007A678A"/>
    <w:rsid w:val="007B7A1B"/>
    <w:rsid w:val="007D632B"/>
    <w:rsid w:val="007F6102"/>
    <w:rsid w:val="00811945"/>
    <w:rsid w:val="0082329D"/>
    <w:rsid w:val="008233D3"/>
    <w:rsid w:val="00823609"/>
    <w:rsid w:val="008354CE"/>
    <w:rsid w:val="00840A66"/>
    <w:rsid w:val="008562F0"/>
    <w:rsid w:val="008747DC"/>
    <w:rsid w:val="008845C5"/>
    <w:rsid w:val="008905C4"/>
    <w:rsid w:val="008A7EF3"/>
    <w:rsid w:val="008B1AB8"/>
    <w:rsid w:val="008E653F"/>
    <w:rsid w:val="00900DBD"/>
    <w:rsid w:val="00910DDA"/>
    <w:rsid w:val="00935451"/>
    <w:rsid w:val="00966412"/>
    <w:rsid w:val="0098424F"/>
    <w:rsid w:val="009872A0"/>
    <w:rsid w:val="009C371E"/>
    <w:rsid w:val="009D1A81"/>
    <w:rsid w:val="009D3B41"/>
    <w:rsid w:val="00A07586"/>
    <w:rsid w:val="00A11A13"/>
    <w:rsid w:val="00A70814"/>
    <w:rsid w:val="00A7264C"/>
    <w:rsid w:val="00A812EF"/>
    <w:rsid w:val="00AD29BB"/>
    <w:rsid w:val="00AE71BF"/>
    <w:rsid w:val="00B01AEB"/>
    <w:rsid w:val="00B0516A"/>
    <w:rsid w:val="00B11CC6"/>
    <w:rsid w:val="00B45147"/>
    <w:rsid w:val="00B81E06"/>
    <w:rsid w:val="00B835B5"/>
    <w:rsid w:val="00BE30F7"/>
    <w:rsid w:val="00BF691A"/>
    <w:rsid w:val="00BF7A87"/>
    <w:rsid w:val="00C104E6"/>
    <w:rsid w:val="00C11D21"/>
    <w:rsid w:val="00CE4F2F"/>
    <w:rsid w:val="00D25318"/>
    <w:rsid w:val="00D37790"/>
    <w:rsid w:val="00D51939"/>
    <w:rsid w:val="00D87CBD"/>
    <w:rsid w:val="00D933E7"/>
    <w:rsid w:val="00DA36A7"/>
    <w:rsid w:val="00DA41AA"/>
    <w:rsid w:val="00DA5686"/>
    <w:rsid w:val="00DC4381"/>
    <w:rsid w:val="00E06285"/>
    <w:rsid w:val="00E41AC9"/>
    <w:rsid w:val="00E66022"/>
    <w:rsid w:val="00E75163"/>
    <w:rsid w:val="00E76A86"/>
    <w:rsid w:val="00E9425B"/>
    <w:rsid w:val="00EB5492"/>
    <w:rsid w:val="00EE16D3"/>
    <w:rsid w:val="00EF668B"/>
    <w:rsid w:val="00F0027D"/>
    <w:rsid w:val="00F03C40"/>
    <w:rsid w:val="00F5653F"/>
    <w:rsid w:val="00F65065"/>
    <w:rsid w:val="00FA0A41"/>
    <w:rsid w:val="00FC4442"/>
    <w:rsid w:val="00FC741A"/>
    <w:rsid w:val="00FC7FE9"/>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0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8845C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845C5"/>
    <w:pPr>
      <w:numPr>
        <w:numId w:val="20"/>
      </w:numPr>
    </w:pPr>
    <w:rPr>
      <w:lang w:val="fr-CH"/>
    </w:rPr>
  </w:style>
  <w:style w:type="paragraph" w:styleId="FootnoteText">
    <w:name w:val="footnote text"/>
    <w:basedOn w:val="Normal"/>
    <w:rsid w:val="00A0758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Footnote number,ftref"/>
    <w:rsid w:val="009D3B41"/>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BE30F7"/>
    <w:pPr>
      <w:ind w:left="1565"/>
    </w:pPr>
  </w:style>
  <w:style w:type="paragraph" w:styleId="EndnoteText">
    <w:name w:val="endnote text"/>
    <w:basedOn w:val="FootnoteText"/>
    <w:rsid w:val="008845C5"/>
    <w:pPr>
      <w:tabs>
        <w:tab w:val="right" w:pos="1021"/>
      </w:tabs>
    </w:pPr>
  </w:style>
  <w:style w:type="character" w:styleId="EndnoteReference">
    <w:name w:val="endnote reference"/>
    <w:basedOn w:val="FootnoteReference"/>
    <w:rsid w:val="009D3B41"/>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966412"/>
    <w:pPr>
      <w:spacing w:before="80" w:after="80" w:line="200" w:lineRule="exact"/>
      <w:ind w:left="0" w:right="113"/>
    </w:pPr>
    <w:rPr>
      <w:rFonts w:eastAsia="KaiTi_GB2312"/>
      <w:sz w:val="18"/>
    </w:rPr>
  </w:style>
  <w:style w:type="paragraph" w:customStyle="1" w:styleId="a1">
    <w:name w:val="目录段页次"/>
    <w:basedOn w:val="Normal"/>
    <w:rsid w:val="00432C0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432C0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8845C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40530D"/>
    <w:pPr>
      <w:spacing w:line="240" w:lineRule="auto"/>
    </w:pPr>
    <w:rPr>
      <w:rFonts w:eastAsia="Times New Roman"/>
      <w:sz w:val="16"/>
      <w:lang w:val="en-GB" w:eastAsia="en-US"/>
    </w:rPr>
  </w:style>
  <w:style w:type="character" w:styleId="PageNumber">
    <w:name w:val="page number"/>
    <w:rsid w:val="0040530D"/>
    <w:rPr>
      <w:rFonts w:ascii="Times New Roman" w:hAnsi="Times New Roman"/>
      <w:b/>
      <w:spacing w:val="0"/>
      <w:kern w:val="0"/>
      <w:sz w:val="18"/>
    </w:rPr>
  </w:style>
  <w:style w:type="paragraph" w:styleId="Header">
    <w:name w:val="header"/>
    <w:basedOn w:val="Normal"/>
    <w:rsid w:val="0040530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40530D"/>
    <w:pPr>
      <w:numPr>
        <w:numId w:val="17"/>
      </w:numPr>
      <w:spacing w:after="120"/>
      <w:ind w:right="1134"/>
    </w:pPr>
  </w:style>
  <w:style w:type="paragraph" w:customStyle="1" w:styleId="Bullet2GC">
    <w:name w:val="_Bullet 2_GC"/>
    <w:basedOn w:val="Normal"/>
    <w:rsid w:val="008845C5"/>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FE014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FE014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FE014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FE014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FE014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FE01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F0027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3D0CA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3D0CA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3D0CAD"/>
    <w:pPr>
      <w:keepNext/>
      <w:keepLines/>
      <w:spacing w:before="240" w:after="240" w:line="420" w:lineRule="exact"/>
      <w:ind w:left="1134" w:right="1134"/>
      <w:jc w:val="left"/>
    </w:pPr>
    <w:rPr>
      <w:rFonts w:eastAsia="SimHei"/>
      <w:sz w:val="40"/>
    </w:rPr>
  </w:style>
  <w:style w:type="paragraph" w:customStyle="1" w:styleId="a3">
    <w:name w:val="悬挂"/>
    <w:basedOn w:val="SingleTxtGC"/>
    <w:rsid w:val="005D25AD"/>
    <w:pPr>
      <w:ind w:left="1565" w:hanging="431"/>
    </w:pPr>
  </w:style>
  <w:style w:type="paragraph" w:customStyle="1" w:styleId="a4">
    <w:name w:val="表中文字"/>
    <w:basedOn w:val="SingleTxtGC"/>
    <w:rsid w:val="004B7940"/>
    <w:pPr>
      <w:spacing w:before="40" w:line="240" w:lineRule="atLeast"/>
      <w:ind w:left="0" w:right="113"/>
    </w:pPr>
    <w:rPr>
      <w:sz w:val="18"/>
    </w:rPr>
  </w:style>
  <w:style w:type="paragraph" w:customStyle="1" w:styleId="a5">
    <w:name w:val="表数文字"/>
    <w:basedOn w:val="SingleTxtGC"/>
    <w:rsid w:val="00FA0A41"/>
    <w:pPr>
      <w:spacing w:before="40" w:after="40" w:line="240" w:lineRule="atLeast"/>
      <w:ind w:left="0" w:right="113"/>
    </w:pPr>
    <w:rPr>
      <w:sz w:val="18"/>
    </w:rPr>
  </w:style>
  <w:style w:type="table" w:styleId="TableGrid">
    <w:name w:val="Table Grid"/>
    <w:basedOn w:val="TableNormal"/>
    <w:semiHidden/>
    <w:rsid w:val="00A7264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A7264C"/>
    <w:rPr>
      <w:rFonts w:eastAsia="SimSun"/>
      <w:snapToGrid w:val="0"/>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1</TotalTime>
  <Pages>13</Pages>
  <Words>1924</Words>
  <Characters>10967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TT</dc:creator>
  <cp:keywords/>
  <cp:lastModifiedBy>yangw</cp:lastModifiedBy>
  <cp:revision>2</cp:revision>
  <cp:lastPrinted>2009-10-01T16:01:00Z</cp:lastPrinted>
  <dcterms:created xsi:type="dcterms:W3CDTF">2016-04-22T09:49:00Z</dcterms:created>
  <dcterms:modified xsi:type="dcterms:W3CDTF">2016-04-22T09:49:00Z</dcterms:modified>
</cp:coreProperties>
</file>