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61D70" w:rsidP="00761D70">
            <w:pPr>
              <w:jc w:val="right"/>
            </w:pPr>
            <w:r w:rsidRPr="00761D70">
              <w:rPr>
                <w:sz w:val="40"/>
              </w:rPr>
              <w:t>CCPR</w:t>
            </w:r>
            <w:r>
              <w:t>/C/FIN/CO/6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249F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61D70" w:rsidP="00761D70">
            <w:pPr>
              <w:spacing w:before="240" w:line="240" w:lineRule="exact"/>
            </w:pPr>
            <w:r>
              <w:t>Distr.: General</w:t>
            </w:r>
          </w:p>
          <w:p w:rsidR="00761D70" w:rsidRDefault="006704F8" w:rsidP="00761D70">
            <w:pPr>
              <w:spacing w:line="240" w:lineRule="exact"/>
            </w:pPr>
            <w:r>
              <w:t>22</w:t>
            </w:r>
            <w:r w:rsidR="00874F78">
              <w:t xml:space="preserve"> August</w:t>
            </w:r>
            <w:r w:rsidR="00761D70">
              <w:t xml:space="preserve"> 2013</w:t>
            </w:r>
          </w:p>
          <w:p w:rsidR="00761D70" w:rsidRDefault="00761D70" w:rsidP="00761D70">
            <w:pPr>
              <w:spacing w:line="240" w:lineRule="exact"/>
            </w:pPr>
          </w:p>
          <w:p w:rsidR="00761D70" w:rsidRDefault="00761D70" w:rsidP="00761D70">
            <w:pPr>
              <w:spacing w:line="240" w:lineRule="exact"/>
            </w:pPr>
            <w:r>
              <w:t>Original: English</w:t>
            </w:r>
          </w:p>
        </w:tc>
      </w:tr>
    </w:tbl>
    <w:p w:rsidR="00761D70" w:rsidRPr="006704F8" w:rsidRDefault="006704F8" w:rsidP="000F4B04">
      <w:pPr>
        <w:autoSpaceDE w:val="0"/>
        <w:autoSpaceDN w:val="0"/>
        <w:adjustRightInd w:val="0"/>
        <w:spacing w:before="120"/>
        <w:rPr>
          <w:b/>
          <w:bCs/>
          <w:sz w:val="24"/>
          <w:szCs w:val="24"/>
        </w:rPr>
      </w:pPr>
      <w:r>
        <w:rPr>
          <w:b/>
          <w:bCs/>
          <w:sz w:val="24"/>
          <w:szCs w:val="24"/>
        </w:rPr>
        <w:t>Human Rights Committee</w:t>
      </w:r>
    </w:p>
    <w:p w:rsidR="00761D70" w:rsidRPr="005451D1" w:rsidRDefault="00761D70" w:rsidP="009614BF">
      <w:pPr>
        <w:pStyle w:val="HChG"/>
      </w:pPr>
      <w:r w:rsidRPr="005451D1">
        <w:tab/>
      </w:r>
      <w:r w:rsidRPr="005451D1">
        <w:tab/>
      </w:r>
      <w:r w:rsidR="009614BF">
        <w:t xml:space="preserve">Concluding observations on the sixth periodic report </w:t>
      </w:r>
      <w:r w:rsidRPr="005451D1">
        <w:t xml:space="preserve">of </w:t>
      </w:r>
      <w:r w:rsidR="009614BF">
        <w:t>Finland</w:t>
      </w:r>
      <w:r w:rsidR="009614BF" w:rsidRPr="009614BF">
        <w:rPr>
          <w:rStyle w:val="FootnoteReference"/>
          <w:sz w:val="20"/>
          <w:vertAlign w:val="baseline"/>
        </w:rPr>
        <w:footnoteReference w:customMarkFollows="1" w:id="2"/>
        <w:t>*</w:t>
      </w:r>
    </w:p>
    <w:p w:rsidR="00761D70" w:rsidRPr="009614BF" w:rsidRDefault="009614BF" w:rsidP="009614BF">
      <w:pPr>
        <w:pStyle w:val="SingleTxtG"/>
      </w:pPr>
      <w:r w:rsidRPr="009614BF">
        <w:t>1.</w:t>
      </w:r>
      <w:r w:rsidRPr="009614BF">
        <w:tab/>
      </w:r>
      <w:r w:rsidR="00761D70" w:rsidRPr="009614BF">
        <w:t xml:space="preserve">The Committee considered the sixth periodic report </w:t>
      </w:r>
      <w:r w:rsidR="00874F78">
        <w:t>of</w:t>
      </w:r>
      <w:r w:rsidR="00761D70" w:rsidRPr="009614BF">
        <w:t xml:space="preserve"> </w:t>
      </w:r>
      <w:smartTag w:uri="urn:schemas-microsoft-com:office:smarttags" w:element="place">
        <w:smartTag w:uri="urn:schemas-microsoft-com:office:smarttags" w:element="country-region">
          <w:r w:rsidR="00761D70" w:rsidRPr="009614BF">
            <w:t>Finland</w:t>
          </w:r>
        </w:smartTag>
      </w:smartTag>
      <w:r w:rsidR="00761D70" w:rsidRPr="009614BF">
        <w:t xml:space="preserve"> (CCPR/C/FIN/6) at its 2987th and 2988th meetings (CCPR/C/SR</w:t>
      </w:r>
      <w:r w:rsidR="00874F78">
        <w:t>.</w:t>
      </w:r>
      <w:r w:rsidRPr="009614BF">
        <w:t>2987</w:t>
      </w:r>
      <w:r w:rsidR="00761D70" w:rsidRPr="009614BF">
        <w:t xml:space="preserve"> and </w:t>
      </w:r>
      <w:r w:rsidRPr="009614BF">
        <w:t>2988</w:t>
      </w:r>
      <w:r w:rsidR="00761D70" w:rsidRPr="009614BF">
        <w:t xml:space="preserve">), held on </w:t>
      </w:r>
      <w:r w:rsidR="00630358" w:rsidRPr="009614BF">
        <w:t>1</w:t>
      </w:r>
      <w:r w:rsidR="00630358">
        <w:t>2</w:t>
      </w:r>
      <w:r w:rsidR="00630358" w:rsidRPr="009614BF">
        <w:t xml:space="preserve"> </w:t>
      </w:r>
      <w:r w:rsidR="00761D70" w:rsidRPr="009614BF">
        <w:t>July 2013. At its 3003rd meeting (CCPR/C/SR</w:t>
      </w:r>
      <w:r w:rsidR="00874F78">
        <w:t>.</w:t>
      </w:r>
      <w:r w:rsidRPr="009614BF">
        <w:t>3003</w:t>
      </w:r>
      <w:r w:rsidR="00761D70" w:rsidRPr="009614BF">
        <w:t>), held on 24 July 2013, it adopted the following concluding observations.</w:t>
      </w:r>
    </w:p>
    <w:p w:rsidR="00761D70" w:rsidRDefault="00761D70" w:rsidP="00761D70">
      <w:pPr>
        <w:pStyle w:val="H1G"/>
        <w:tabs>
          <w:tab w:val="clear" w:pos="851"/>
          <w:tab w:val="right" w:pos="0"/>
        </w:tabs>
        <w:ind w:left="0" w:firstLine="0"/>
      </w:pPr>
      <w:r>
        <w:tab/>
        <w:t>A.</w:t>
      </w:r>
      <w:r>
        <w:tab/>
        <w:t>Introduction</w:t>
      </w:r>
    </w:p>
    <w:p w:rsidR="00761D70" w:rsidRPr="009614BF" w:rsidRDefault="00761D70" w:rsidP="009614BF">
      <w:pPr>
        <w:pStyle w:val="SingleTxtG"/>
      </w:pPr>
      <w:r w:rsidRPr="009614BF">
        <w:t>2.</w:t>
      </w:r>
      <w:r w:rsidRPr="009614BF">
        <w:tab/>
        <w:t xml:space="preserve">The Committee welcomes the timely submission of </w:t>
      </w:r>
      <w:smartTag w:uri="urn:schemas-microsoft-com:office:smarttags" w:element="place">
        <w:smartTag w:uri="urn:schemas-microsoft-com:office:smarttags" w:element="country-region">
          <w:r w:rsidR="0064122B">
            <w:t>Finland</w:t>
          </w:r>
        </w:smartTag>
      </w:smartTag>
      <w:r w:rsidR="0064122B">
        <w:t>’s sixth</w:t>
      </w:r>
      <w:r w:rsidRPr="009614BF">
        <w:t xml:space="preserve"> periodic report and the information presented therein. It expresses appreciation for the opportunity to renew constructive dialogue with the State party’s delegation on the measures that the State party has taken during the reporting period to implement the provisions of the Covenant. The Committee is grateful to the State party for its written replies (CCPR/C/FIN/Q/6/Add.1) to the list of issues</w:t>
      </w:r>
      <w:r w:rsidR="0064122B">
        <w:t>,</w:t>
      </w:r>
      <w:r w:rsidRPr="009614BF">
        <w:t xml:space="preserve"> which were supplemented by oral responses provided by the delegation.</w:t>
      </w:r>
      <w:r w:rsidRPr="009614BF" w:rsidDel="00E00CEA">
        <w:t xml:space="preserve"> </w:t>
      </w:r>
    </w:p>
    <w:p w:rsidR="00761D70" w:rsidRDefault="009614BF" w:rsidP="009614BF">
      <w:pPr>
        <w:pStyle w:val="H1G"/>
      </w:pPr>
      <w:r>
        <w:tab/>
        <w:t>B.</w:t>
      </w:r>
      <w:r>
        <w:tab/>
      </w:r>
      <w:r w:rsidR="00761D70" w:rsidRPr="007A52E0">
        <w:t>Positive aspects</w:t>
      </w:r>
    </w:p>
    <w:p w:rsidR="00761D70" w:rsidRPr="004225B3" w:rsidRDefault="009614BF" w:rsidP="009614BF">
      <w:pPr>
        <w:pStyle w:val="SingleTxtG"/>
      </w:pPr>
      <w:r w:rsidRPr="004225B3">
        <w:t>3.</w:t>
      </w:r>
      <w:r w:rsidRPr="004225B3">
        <w:tab/>
      </w:r>
      <w:r w:rsidR="00761D70" w:rsidRPr="004225B3">
        <w:t>The Committee welcomes the following legislative and institutional steps taken by the State party:</w:t>
      </w:r>
    </w:p>
    <w:p w:rsidR="00761D70" w:rsidRPr="004225B3" w:rsidRDefault="009614BF" w:rsidP="009614BF">
      <w:pPr>
        <w:pStyle w:val="SingleTxtG"/>
      </w:pPr>
      <w:r>
        <w:tab/>
      </w:r>
      <w:r w:rsidRPr="004225B3">
        <w:t>(i)</w:t>
      </w:r>
      <w:r w:rsidRPr="004225B3">
        <w:tab/>
      </w:r>
      <w:r w:rsidR="00761D70" w:rsidRPr="004225B3">
        <w:t xml:space="preserve">The adoption of the </w:t>
      </w:r>
      <w:r w:rsidR="00761D70" w:rsidRPr="004225B3">
        <w:rPr>
          <w:bCs/>
        </w:rPr>
        <w:t>Act</w:t>
      </w:r>
      <w:r w:rsidR="00761D70" w:rsidRPr="004225B3">
        <w:t xml:space="preserve"> on the </w:t>
      </w:r>
      <w:r w:rsidR="0064122B">
        <w:t>p</w:t>
      </w:r>
      <w:r w:rsidR="00761D70" w:rsidRPr="004225B3">
        <w:t xml:space="preserve">romotion of </w:t>
      </w:r>
      <w:r w:rsidR="0064122B">
        <w:t>i</w:t>
      </w:r>
      <w:r w:rsidR="00761D70" w:rsidRPr="004225B3">
        <w:t xml:space="preserve">mmigrant </w:t>
      </w:r>
      <w:r w:rsidR="0064122B">
        <w:t>i</w:t>
      </w:r>
      <w:r w:rsidR="00761D70" w:rsidRPr="004225B3">
        <w:t>ntegration</w:t>
      </w:r>
      <w:r w:rsidR="00761D70">
        <w:t xml:space="preserve"> </w:t>
      </w:r>
      <w:r w:rsidR="00761D70" w:rsidRPr="004225B3">
        <w:t>(Integration Act, 1386/2010)</w:t>
      </w:r>
      <w:r w:rsidR="00761D70">
        <w:t>, in 2010</w:t>
      </w:r>
      <w:r w:rsidR="00761D70" w:rsidRPr="004225B3">
        <w:t xml:space="preserve">; </w:t>
      </w:r>
    </w:p>
    <w:p w:rsidR="00761D70" w:rsidRPr="004225B3" w:rsidRDefault="009614BF" w:rsidP="009614BF">
      <w:pPr>
        <w:pStyle w:val="SingleTxtG"/>
      </w:pPr>
      <w:r>
        <w:tab/>
      </w:r>
      <w:r w:rsidRPr="004225B3">
        <w:t>(ii)</w:t>
      </w:r>
      <w:r w:rsidRPr="004225B3">
        <w:tab/>
      </w:r>
      <w:r w:rsidR="00761D70" w:rsidRPr="004225B3">
        <w:t xml:space="preserve">The adoption of </w:t>
      </w:r>
      <w:r w:rsidR="00761D70">
        <w:t xml:space="preserve">the </w:t>
      </w:r>
      <w:r w:rsidR="00761D70" w:rsidRPr="004225B3">
        <w:t xml:space="preserve">Act on the </w:t>
      </w:r>
      <w:r w:rsidR="0064122B">
        <w:t>r</w:t>
      </w:r>
      <w:r w:rsidR="00761D70" w:rsidRPr="004225B3">
        <w:t>ece</w:t>
      </w:r>
      <w:r w:rsidR="00761D70" w:rsidRPr="004225B3">
        <w:t>p</w:t>
      </w:r>
      <w:r w:rsidR="00761D70" w:rsidRPr="004225B3">
        <w:t xml:space="preserve">tion of </w:t>
      </w:r>
      <w:r w:rsidR="0064122B">
        <w:t>s</w:t>
      </w:r>
      <w:r w:rsidR="00761D70" w:rsidRPr="004225B3">
        <w:t xml:space="preserve">eekers of </w:t>
      </w:r>
      <w:r w:rsidR="0064122B">
        <w:t>i</w:t>
      </w:r>
      <w:r w:rsidR="00761D70" w:rsidRPr="004225B3">
        <w:t xml:space="preserve">nternational </w:t>
      </w:r>
      <w:r w:rsidR="0064122B">
        <w:t>p</w:t>
      </w:r>
      <w:r w:rsidR="00761D70" w:rsidRPr="004225B3">
        <w:t>rotection</w:t>
      </w:r>
      <w:r w:rsidR="00761D70">
        <w:t xml:space="preserve"> </w:t>
      </w:r>
      <w:r w:rsidR="00761D70" w:rsidRPr="004225B3">
        <w:t>(Reception Act, 746/2011)</w:t>
      </w:r>
      <w:r w:rsidR="00761D70">
        <w:t>, in 2011</w:t>
      </w:r>
      <w:r w:rsidR="00761D70" w:rsidRPr="004225B3">
        <w:t>;</w:t>
      </w:r>
    </w:p>
    <w:p w:rsidR="00761D70" w:rsidRPr="004225B3" w:rsidRDefault="009614BF" w:rsidP="009614BF">
      <w:pPr>
        <w:pStyle w:val="SingleTxtG"/>
      </w:pPr>
      <w:r>
        <w:tab/>
      </w:r>
      <w:r w:rsidRPr="004225B3">
        <w:t>(iii)</w:t>
      </w:r>
      <w:r w:rsidRPr="004225B3">
        <w:tab/>
      </w:r>
      <w:r w:rsidR="00761D70" w:rsidRPr="004225B3">
        <w:t xml:space="preserve">The adoption of the first National Action Plan on </w:t>
      </w:r>
      <w:r w:rsidR="0064122B">
        <w:t>f</w:t>
      </w:r>
      <w:r w:rsidR="00761D70" w:rsidRPr="004225B3">
        <w:t xml:space="preserve">undamental and </w:t>
      </w:r>
      <w:r w:rsidR="0064122B">
        <w:t>h</w:t>
      </w:r>
      <w:r w:rsidR="00761D70" w:rsidRPr="004225B3">
        <w:t xml:space="preserve">uman </w:t>
      </w:r>
      <w:r w:rsidR="0064122B">
        <w:t>r</w:t>
      </w:r>
      <w:r w:rsidR="00761D70" w:rsidRPr="004225B3">
        <w:t xml:space="preserve">ights, in 2012; </w:t>
      </w:r>
    </w:p>
    <w:p w:rsidR="00761D70" w:rsidRDefault="009614BF" w:rsidP="009614BF">
      <w:pPr>
        <w:pStyle w:val="SingleTxtG"/>
      </w:pPr>
      <w:r>
        <w:tab/>
        <w:t>(iv)</w:t>
      </w:r>
      <w:r>
        <w:tab/>
      </w:r>
      <w:r w:rsidR="00761D70" w:rsidRPr="004225B3">
        <w:t xml:space="preserve">The amendment of the Criminal Code (511/2011), which entered into force in June 2011; </w:t>
      </w:r>
      <w:r w:rsidR="00761D70">
        <w:t>and</w:t>
      </w:r>
    </w:p>
    <w:p w:rsidR="00761D70" w:rsidRPr="004225B3" w:rsidRDefault="009614BF" w:rsidP="009614BF">
      <w:pPr>
        <w:pStyle w:val="SingleTxtG"/>
      </w:pPr>
      <w:r>
        <w:tab/>
      </w:r>
      <w:r w:rsidRPr="004225B3">
        <w:t>(v)</w:t>
      </w:r>
      <w:r w:rsidRPr="004225B3">
        <w:tab/>
      </w:r>
      <w:r w:rsidR="00761D70" w:rsidRPr="004225B3">
        <w:t>The amendment of the Aliens Act, which entered into force in August 2010</w:t>
      </w:r>
      <w:r w:rsidR="00761D70">
        <w:t>.</w:t>
      </w:r>
      <w:r w:rsidR="00761D70" w:rsidRPr="004225B3">
        <w:t xml:space="preserve"> </w:t>
      </w:r>
    </w:p>
    <w:p w:rsidR="00761D70" w:rsidRDefault="009614BF" w:rsidP="009614BF">
      <w:pPr>
        <w:pStyle w:val="H1G"/>
      </w:pPr>
      <w:r>
        <w:tab/>
        <w:t>C.</w:t>
      </w:r>
      <w:r>
        <w:tab/>
      </w:r>
      <w:r w:rsidR="00761D70" w:rsidRPr="007A52E0">
        <w:t>Principal matters of concern and recommendations</w:t>
      </w:r>
    </w:p>
    <w:p w:rsidR="00761D70" w:rsidRPr="008519DC" w:rsidRDefault="009614BF" w:rsidP="009614BF">
      <w:pPr>
        <w:pStyle w:val="SingleTxtG"/>
      </w:pPr>
      <w:r w:rsidRPr="008519DC">
        <w:t>4.</w:t>
      </w:r>
      <w:r w:rsidRPr="008519DC">
        <w:tab/>
      </w:r>
      <w:r w:rsidR="00761D70" w:rsidRPr="008519DC">
        <w:t>The Committee regrets that the State Party maintain</w:t>
      </w:r>
      <w:r w:rsidR="00D558F7">
        <w:t>s</w:t>
      </w:r>
      <w:r w:rsidR="00761D70" w:rsidRPr="008519DC">
        <w:t xml:space="preserve"> its reservations</w:t>
      </w:r>
      <w:r w:rsidR="00761D70">
        <w:t>, in particular</w:t>
      </w:r>
      <w:r w:rsidR="00761D70" w:rsidRPr="008519DC">
        <w:t xml:space="preserve"> to article 14, paragraph 7, and article 20, paragraph 1, of the Covenant, which are, in the opinion of the Committee, without basis in the light of the Committee’s interpretation of the said articles</w:t>
      </w:r>
      <w:r w:rsidR="00761D70">
        <w:t xml:space="preserve"> </w:t>
      </w:r>
      <w:r w:rsidR="00761D70" w:rsidRPr="008519DC">
        <w:t xml:space="preserve">(art. 2). </w:t>
      </w:r>
    </w:p>
    <w:p w:rsidR="00761D70" w:rsidRPr="008E610D" w:rsidRDefault="00761D70" w:rsidP="009614BF">
      <w:pPr>
        <w:pStyle w:val="SingleTxtG"/>
        <w:rPr>
          <w:b/>
        </w:rPr>
      </w:pPr>
      <w:r w:rsidRPr="008E610D">
        <w:rPr>
          <w:b/>
        </w:rPr>
        <w:t xml:space="preserve">The State party should </w:t>
      </w:r>
      <w:r w:rsidR="00D558F7">
        <w:rPr>
          <w:b/>
        </w:rPr>
        <w:t>constantly review</w:t>
      </w:r>
      <w:r>
        <w:rPr>
          <w:b/>
        </w:rPr>
        <w:t xml:space="preserve"> </w:t>
      </w:r>
      <w:r w:rsidR="00686D2C">
        <w:rPr>
          <w:b/>
        </w:rPr>
        <w:t xml:space="preserve">its </w:t>
      </w:r>
      <w:r>
        <w:rPr>
          <w:b/>
        </w:rPr>
        <w:t xml:space="preserve">reservations to the Covenant </w:t>
      </w:r>
      <w:r w:rsidR="00D558F7">
        <w:rPr>
          <w:b/>
        </w:rPr>
        <w:t>and consider</w:t>
      </w:r>
      <w:r>
        <w:rPr>
          <w:b/>
        </w:rPr>
        <w:t xml:space="preserve"> </w:t>
      </w:r>
      <w:r w:rsidRPr="008E610D">
        <w:rPr>
          <w:b/>
        </w:rPr>
        <w:t xml:space="preserve">withdrawing </w:t>
      </w:r>
      <w:r>
        <w:rPr>
          <w:b/>
        </w:rPr>
        <w:t xml:space="preserve">them in whole or in part. </w:t>
      </w:r>
      <w:r w:rsidRPr="008E610D">
        <w:rPr>
          <w:b/>
        </w:rPr>
        <w:t xml:space="preserve"> </w:t>
      </w:r>
    </w:p>
    <w:p w:rsidR="00761D70" w:rsidRDefault="009614BF" w:rsidP="009614BF">
      <w:pPr>
        <w:pStyle w:val="SingleTxtG"/>
      </w:pPr>
      <w:r>
        <w:t>5.</w:t>
      </w:r>
      <w:r>
        <w:tab/>
      </w:r>
      <w:r w:rsidR="00761D70" w:rsidRPr="00514358">
        <w:t xml:space="preserve">While </w:t>
      </w:r>
      <w:r w:rsidR="00761D70">
        <w:t>noting that the</w:t>
      </w:r>
      <w:r w:rsidR="00761D70" w:rsidRPr="00514358">
        <w:t xml:space="preserve"> State party has incorporated the Covenant</w:t>
      </w:r>
      <w:r w:rsidR="00761D70">
        <w:t xml:space="preserve"> into its domestic legal order,</w:t>
      </w:r>
      <w:r w:rsidR="00761D70" w:rsidRPr="00514358">
        <w:t xml:space="preserve"> the Committee is concerned that provisions of the Covenant have been invoked</w:t>
      </w:r>
      <w:r w:rsidR="00D558F7">
        <w:t xml:space="preserve"> in only a few cases</w:t>
      </w:r>
      <w:r w:rsidR="00761D70" w:rsidRPr="00514358">
        <w:t xml:space="preserve"> before national</w:t>
      </w:r>
      <w:r w:rsidR="00761D70">
        <w:t xml:space="preserve"> courts</w:t>
      </w:r>
      <w:r w:rsidR="00686D2C">
        <w:t>,</w:t>
      </w:r>
      <w:r w:rsidR="00761D70">
        <w:t xml:space="preserve"> since the consideration of the State party’s previous report (art. 2).</w:t>
      </w:r>
    </w:p>
    <w:p w:rsidR="00761D70" w:rsidRPr="00F5519A" w:rsidRDefault="00761D70" w:rsidP="009614BF">
      <w:pPr>
        <w:pStyle w:val="SingleTxtG"/>
        <w:rPr>
          <w:b/>
          <w:bCs/>
        </w:rPr>
      </w:pPr>
      <w:r>
        <w:rPr>
          <w:b/>
          <w:bCs/>
        </w:rPr>
        <w:t xml:space="preserve">The State party should take appropriate measures to raise awareness of the Covenant among judges, lawyers and prosecutors </w:t>
      </w:r>
      <w:r w:rsidR="00686D2C">
        <w:rPr>
          <w:b/>
          <w:bCs/>
        </w:rPr>
        <w:t xml:space="preserve">in order </w:t>
      </w:r>
      <w:r>
        <w:rPr>
          <w:b/>
          <w:bCs/>
        </w:rPr>
        <w:t>to ensure that its provisions are taken into account before national courts.</w:t>
      </w:r>
      <w:r w:rsidRPr="005E3A9B">
        <w:t xml:space="preserve"> </w:t>
      </w:r>
      <w:r>
        <w:rPr>
          <w:b/>
          <w:bCs/>
        </w:rPr>
        <w:t xml:space="preserve">It </w:t>
      </w:r>
      <w:r w:rsidRPr="005E3A9B">
        <w:rPr>
          <w:b/>
          <w:bCs/>
        </w:rPr>
        <w:t xml:space="preserve">should </w:t>
      </w:r>
      <w:r>
        <w:rPr>
          <w:b/>
          <w:bCs/>
        </w:rPr>
        <w:t xml:space="preserve">also </w:t>
      </w:r>
      <w:r w:rsidRPr="005E3A9B">
        <w:rPr>
          <w:b/>
          <w:bCs/>
        </w:rPr>
        <w:t>include in its next periodic report examples of the application of the Covenant by the domestic courts</w:t>
      </w:r>
      <w:r>
        <w:rPr>
          <w:b/>
          <w:bCs/>
        </w:rPr>
        <w:t xml:space="preserve">.     </w:t>
      </w:r>
    </w:p>
    <w:p w:rsidR="00761D70" w:rsidRDefault="009614BF" w:rsidP="009614BF">
      <w:pPr>
        <w:pStyle w:val="SingleTxtG"/>
      </w:pPr>
      <w:r>
        <w:t>6.</w:t>
      </w:r>
      <w:r>
        <w:tab/>
      </w:r>
      <w:r w:rsidR="00761D70">
        <w:t xml:space="preserve">While appreciating the ongoing reform </w:t>
      </w:r>
      <w:r w:rsidR="00761D70" w:rsidRPr="00AD2548">
        <w:t>of</w:t>
      </w:r>
      <w:r w:rsidR="00761D70">
        <w:t xml:space="preserve"> the State party’s non-discrimination legislation, the Committee remains concerned about the persistent gender-based wage gap and the dismissal of women due to pregnancy and childbirth (arts. 3 and 26). </w:t>
      </w:r>
    </w:p>
    <w:p w:rsidR="00761D70" w:rsidRDefault="00761D70" w:rsidP="009614BF">
      <w:pPr>
        <w:pStyle w:val="SingleTxtG"/>
        <w:rPr>
          <w:b/>
        </w:rPr>
      </w:pPr>
      <w:r w:rsidRPr="00175847">
        <w:rPr>
          <w:b/>
        </w:rPr>
        <w:t>The State party should pursue and strengthen its measures to ensure, by means of legislation and policy, wome</w:t>
      </w:r>
      <w:r w:rsidRPr="00292A24">
        <w:rPr>
          <w:b/>
        </w:rPr>
        <w:t>n’s de facto equality with men in the labour market. The State party should</w:t>
      </w:r>
      <w:r>
        <w:rPr>
          <w:b/>
        </w:rPr>
        <w:t xml:space="preserve"> clarify whether there is any provision for sanctions against </w:t>
      </w:r>
      <w:r w:rsidRPr="00292A24">
        <w:rPr>
          <w:b/>
        </w:rPr>
        <w:t>the practice of dismiss</w:t>
      </w:r>
      <w:r w:rsidR="00686D2C">
        <w:rPr>
          <w:b/>
        </w:rPr>
        <w:t>ing</w:t>
      </w:r>
      <w:r w:rsidRPr="00292A24">
        <w:rPr>
          <w:b/>
        </w:rPr>
        <w:t xml:space="preserve"> women in cases of pregnancy and childbirth.</w:t>
      </w:r>
      <w:r>
        <w:rPr>
          <w:b/>
        </w:rPr>
        <w:t xml:space="preserve"> </w:t>
      </w:r>
    </w:p>
    <w:p w:rsidR="00761D70" w:rsidRDefault="009614BF" w:rsidP="009614BF">
      <w:pPr>
        <w:pStyle w:val="SingleTxtG"/>
        <w:rPr>
          <w:lang w:eastAsia="en-GB"/>
        </w:rPr>
      </w:pPr>
      <w:r>
        <w:rPr>
          <w:lang w:eastAsia="en-GB"/>
        </w:rPr>
        <w:t>7.</w:t>
      </w:r>
      <w:r>
        <w:rPr>
          <w:lang w:eastAsia="en-GB"/>
        </w:rPr>
        <w:tab/>
      </w:r>
      <w:r w:rsidR="00761D70">
        <w:rPr>
          <w:lang w:eastAsia="en-GB"/>
        </w:rPr>
        <w:t>While noting the</w:t>
      </w:r>
      <w:r w:rsidR="00761D70" w:rsidRPr="00C34E0A">
        <w:rPr>
          <w:lang w:eastAsia="en-GB"/>
        </w:rPr>
        <w:t xml:space="preserve"> efforts undertaken by the State party to combat violence against women, including the Action Plan to</w:t>
      </w:r>
      <w:r w:rsidR="00761D70">
        <w:rPr>
          <w:lang w:eastAsia="en-GB"/>
        </w:rPr>
        <w:t xml:space="preserve"> reduce </w:t>
      </w:r>
      <w:r w:rsidR="00D558F7">
        <w:rPr>
          <w:lang w:eastAsia="en-GB"/>
        </w:rPr>
        <w:t>v</w:t>
      </w:r>
      <w:r w:rsidR="00761D70">
        <w:rPr>
          <w:lang w:eastAsia="en-GB"/>
        </w:rPr>
        <w:t xml:space="preserve">iolence against </w:t>
      </w:r>
      <w:r w:rsidR="00D558F7">
        <w:rPr>
          <w:lang w:eastAsia="en-GB"/>
        </w:rPr>
        <w:t>w</w:t>
      </w:r>
      <w:r w:rsidR="00761D70">
        <w:rPr>
          <w:lang w:eastAsia="en-GB"/>
        </w:rPr>
        <w:t>omen 2010-2015, t</w:t>
      </w:r>
      <w:r w:rsidR="00761D70" w:rsidRPr="00C34E0A">
        <w:t>he Committee</w:t>
      </w:r>
      <w:r w:rsidR="00761D70">
        <w:t xml:space="preserve"> remains</w:t>
      </w:r>
      <w:r w:rsidR="00761D70" w:rsidRPr="00C34E0A">
        <w:t xml:space="preserve"> concerned about reports of gender-based violence, particularly rape, which is  often </w:t>
      </w:r>
      <w:r w:rsidR="00761D70">
        <w:t xml:space="preserve">not reported by victims and thus not </w:t>
      </w:r>
      <w:r w:rsidR="00761D70" w:rsidRPr="00C34E0A">
        <w:t xml:space="preserve">investigated, prosecuted </w:t>
      </w:r>
      <w:r w:rsidR="00761D70">
        <w:t xml:space="preserve">or </w:t>
      </w:r>
      <w:r w:rsidR="00761D70" w:rsidRPr="00C34E0A">
        <w:t>punished</w:t>
      </w:r>
      <w:r w:rsidR="00761D70">
        <w:t xml:space="preserve"> by the authorities</w:t>
      </w:r>
      <w:r w:rsidR="00761D70" w:rsidRPr="00C34E0A">
        <w:t>.</w:t>
      </w:r>
      <w:r w:rsidR="00761D70" w:rsidRPr="00C34E0A">
        <w:rPr>
          <w:lang w:eastAsia="en-GB"/>
        </w:rPr>
        <w:t xml:space="preserve"> The Committee regrets th</w:t>
      </w:r>
      <w:r w:rsidR="00761D70">
        <w:rPr>
          <w:lang w:eastAsia="en-GB"/>
        </w:rPr>
        <w:t xml:space="preserve">at the availability of </w:t>
      </w:r>
      <w:r w:rsidR="00761D70" w:rsidRPr="00C34E0A">
        <w:rPr>
          <w:lang w:eastAsia="en-GB"/>
        </w:rPr>
        <w:t>services</w:t>
      </w:r>
      <w:r w:rsidR="00761D70">
        <w:rPr>
          <w:lang w:eastAsia="en-GB"/>
        </w:rPr>
        <w:t>,</w:t>
      </w:r>
      <w:r w:rsidR="00761D70" w:rsidRPr="00C34E0A">
        <w:rPr>
          <w:lang w:eastAsia="en-GB"/>
        </w:rPr>
        <w:t xml:space="preserve"> including the number of shelters, </w:t>
      </w:r>
      <w:r w:rsidR="00761D70">
        <w:rPr>
          <w:lang w:eastAsia="en-GB"/>
        </w:rPr>
        <w:t xml:space="preserve">is insufficient and inadequate to </w:t>
      </w:r>
      <w:r w:rsidR="00761D70" w:rsidRPr="00C34E0A">
        <w:rPr>
          <w:lang w:eastAsia="en-GB"/>
        </w:rPr>
        <w:t xml:space="preserve">protect women victims of violence </w:t>
      </w:r>
      <w:r w:rsidR="00761D70">
        <w:rPr>
          <w:lang w:eastAsia="en-GB"/>
        </w:rPr>
        <w:t>(arts 3, 7 and 26)</w:t>
      </w:r>
      <w:r w:rsidR="00761D70" w:rsidRPr="00C34E0A">
        <w:rPr>
          <w:lang w:eastAsia="en-GB"/>
        </w:rPr>
        <w:t>.</w:t>
      </w:r>
    </w:p>
    <w:p w:rsidR="00761D70" w:rsidRPr="00985888" w:rsidRDefault="00761D70" w:rsidP="009614BF">
      <w:pPr>
        <w:pStyle w:val="SingleTxtG"/>
        <w:rPr>
          <w:b/>
          <w:lang w:eastAsia="en-GB"/>
        </w:rPr>
      </w:pPr>
      <w:r w:rsidRPr="00985888">
        <w:rPr>
          <w:b/>
        </w:rPr>
        <w:t>The State party should intensify its efforts and take all necessary measures</w:t>
      </w:r>
      <w:r>
        <w:rPr>
          <w:b/>
        </w:rPr>
        <w:t>, including legislative reforms,</w:t>
      </w:r>
      <w:r w:rsidRPr="00985888">
        <w:rPr>
          <w:b/>
        </w:rPr>
        <w:t xml:space="preserve"> to effectively prevent and combat all forms of violence against women, particularly sexual violence. </w:t>
      </w:r>
      <w:r w:rsidRPr="00985888">
        <w:rPr>
          <w:b/>
          <w:bCs/>
          <w:lang w:eastAsia="en-GB"/>
        </w:rPr>
        <w:t>The State party should ensure that services, including a sufficient number of shelters, are made available to protect women victims of violence</w:t>
      </w:r>
      <w:r w:rsidRPr="00985888">
        <w:rPr>
          <w:b/>
        </w:rPr>
        <w:t xml:space="preserve"> and </w:t>
      </w:r>
      <w:r w:rsidRPr="00985888">
        <w:rPr>
          <w:b/>
          <w:bCs/>
          <w:lang w:eastAsia="en-GB"/>
        </w:rPr>
        <w:t>provide</w:t>
      </w:r>
      <w:r>
        <w:rPr>
          <w:b/>
          <w:bCs/>
          <w:lang w:eastAsia="en-GB"/>
        </w:rPr>
        <w:t xml:space="preserve"> them </w:t>
      </w:r>
      <w:r w:rsidRPr="00985888">
        <w:rPr>
          <w:b/>
          <w:bCs/>
          <w:lang w:eastAsia="en-GB"/>
        </w:rPr>
        <w:t xml:space="preserve">with adequate financial resources. </w:t>
      </w:r>
      <w:r w:rsidRPr="00985888">
        <w:rPr>
          <w:b/>
        </w:rPr>
        <w:t xml:space="preserve">The State </w:t>
      </w:r>
      <w:r>
        <w:rPr>
          <w:b/>
        </w:rPr>
        <w:t xml:space="preserve">party </w:t>
      </w:r>
      <w:r w:rsidRPr="00985888">
        <w:rPr>
          <w:b/>
        </w:rPr>
        <w:t xml:space="preserve">should also </w:t>
      </w:r>
      <w:r>
        <w:rPr>
          <w:b/>
        </w:rPr>
        <w:t>educate</w:t>
      </w:r>
      <w:r w:rsidRPr="00985888">
        <w:rPr>
          <w:b/>
        </w:rPr>
        <w:t xml:space="preserve"> society on the prevalence of gender-based violence, including domestic violence, and improve coordination among the bodies responsible for preventing and punishing domestic violence, </w:t>
      </w:r>
      <w:r w:rsidR="00D558F7">
        <w:rPr>
          <w:b/>
        </w:rPr>
        <w:t xml:space="preserve">so as </w:t>
      </w:r>
      <w:r w:rsidRPr="00985888">
        <w:rPr>
          <w:b/>
        </w:rPr>
        <w:t xml:space="preserve">to ensure that such acts are investigated, </w:t>
      </w:r>
      <w:r w:rsidR="00D558F7">
        <w:rPr>
          <w:b/>
        </w:rPr>
        <w:t xml:space="preserve">and </w:t>
      </w:r>
      <w:r>
        <w:rPr>
          <w:b/>
        </w:rPr>
        <w:t xml:space="preserve">perpetrators </w:t>
      </w:r>
      <w:r w:rsidRPr="00985888">
        <w:rPr>
          <w:b/>
        </w:rPr>
        <w:t xml:space="preserve">prosecuted and, if convicted, punished with appropriate sanctions. </w:t>
      </w:r>
    </w:p>
    <w:p w:rsidR="00761D70" w:rsidRPr="001A34DA" w:rsidRDefault="009614BF" w:rsidP="009614BF">
      <w:pPr>
        <w:pStyle w:val="SingleTxtG"/>
      </w:pPr>
      <w:r w:rsidRPr="001A34DA">
        <w:t>8.</w:t>
      </w:r>
      <w:r w:rsidRPr="001A34DA">
        <w:tab/>
      </w:r>
      <w:r w:rsidR="00761D70" w:rsidRPr="001A34DA">
        <w:t xml:space="preserve">The Committee is concerned that the </w:t>
      </w:r>
      <w:r w:rsidR="00761D70">
        <w:t xml:space="preserve">State party’s </w:t>
      </w:r>
      <w:r w:rsidR="00761D70" w:rsidRPr="001A34DA">
        <w:t>current legislation</w:t>
      </w:r>
      <w:r w:rsidR="00761D70">
        <w:t xml:space="preserve"> </w:t>
      </w:r>
      <w:r w:rsidR="00D558F7">
        <w:t>on</w:t>
      </w:r>
      <w:r w:rsidR="00761D70">
        <w:t xml:space="preserve"> combat</w:t>
      </w:r>
      <w:r w:rsidR="00D558F7">
        <w:t>ing</w:t>
      </w:r>
      <w:r w:rsidR="00761D70">
        <w:t xml:space="preserve"> discrimination based on sexual orientation and gender identity </w:t>
      </w:r>
      <w:r w:rsidR="00761D70" w:rsidRPr="001A34DA">
        <w:t xml:space="preserve">is not comprehensive, </w:t>
      </w:r>
      <w:r w:rsidR="00D558F7">
        <w:t xml:space="preserve">and therefore </w:t>
      </w:r>
      <w:r w:rsidR="00761D70" w:rsidRPr="001A34DA">
        <w:t>fail</w:t>
      </w:r>
      <w:r w:rsidR="00D558F7">
        <w:t>s</w:t>
      </w:r>
      <w:r w:rsidR="00761D70" w:rsidRPr="001A34DA">
        <w:t xml:space="preserve"> to protect against discrimination on all the grounds enumerated in the Covenant. It </w:t>
      </w:r>
      <w:r w:rsidR="00761D70">
        <w:t>is also concerned about</w:t>
      </w:r>
      <w:r w:rsidR="00761D70" w:rsidRPr="001A34DA">
        <w:t xml:space="preserve"> reports of acts of discrimination based on sexual </w:t>
      </w:r>
      <w:r w:rsidR="00761D70">
        <w:t>orientation and gender identity</w:t>
      </w:r>
      <w:r w:rsidR="00761D70" w:rsidRPr="001A34DA">
        <w:t xml:space="preserve"> </w:t>
      </w:r>
      <w:r w:rsidR="00761D70">
        <w:t>(</w:t>
      </w:r>
      <w:r w:rsidR="00761D70" w:rsidRPr="001A34DA">
        <w:t xml:space="preserve">arts. 2 and 26). </w:t>
      </w:r>
    </w:p>
    <w:p w:rsidR="00761D70" w:rsidRPr="000052E3" w:rsidRDefault="00761D70" w:rsidP="009614BF">
      <w:pPr>
        <w:pStyle w:val="SingleTxtG"/>
        <w:rPr>
          <w:b/>
          <w:bCs/>
        </w:rPr>
      </w:pPr>
      <w:r w:rsidRPr="007F6F16">
        <w:rPr>
          <w:b/>
          <w:bCs/>
        </w:rPr>
        <w:t>The State party should increase its efforts in the field of</w:t>
      </w:r>
      <w:r>
        <w:rPr>
          <w:b/>
          <w:bCs/>
        </w:rPr>
        <w:t xml:space="preserve"> combating and eliminating</w:t>
      </w:r>
      <w:r w:rsidRPr="007F6F16">
        <w:rPr>
          <w:b/>
          <w:bCs/>
        </w:rPr>
        <w:t xml:space="preserve"> discrimination on grounds of sexual orientation and gender identity, inter alia, by implementing comprehensive legislative reform </w:t>
      </w:r>
      <w:r w:rsidR="00D558F7">
        <w:rPr>
          <w:b/>
          <w:bCs/>
        </w:rPr>
        <w:t>that</w:t>
      </w:r>
      <w:r w:rsidR="00D558F7" w:rsidRPr="007F6F16">
        <w:rPr>
          <w:b/>
          <w:bCs/>
        </w:rPr>
        <w:t xml:space="preserve"> </w:t>
      </w:r>
      <w:r w:rsidRPr="007F6F16">
        <w:rPr>
          <w:b/>
          <w:bCs/>
        </w:rPr>
        <w:t>guarantees equal protection from discrimination on all grounds</w:t>
      </w:r>
      <w:r>
        <w:rPr>
          <w:b/>
          <w:bCs/>
        </w:rPr>
        <w:t>.</w:t>
      </w:r>
    </w:p>
    <w:p w:rsidR="00761D70" w:rsidRPr="00791091" w:rsidRDefault="009614BF" w:rsidP="009614BF">
      <w:pPr>
        <w:pStyle w:val="SingleTxtG"/>
        <w:rPr>
          <w:lang w:eastAsia="en-GB"/>
        </w:rPr>
      </w:pPr>
      <w:r w:rsidRPr="00791091">
        <w:rPr>
          <w:lang w:eastAsia="en-GB"/>
        </w:rPr>
        <w:t>9.</w:t>
      </w:r>
      <w:r w:rsidRPr="00791091">
        <w:rPr>
          <w:lang w:eastAsia="en-GB"/>
        </w:rPr>
        <w:tab/>
      </w:r>
      <w:r w:rsidR="00761D70">
        <w:rPr>
          <w:lang w:eastAsia="en-GB"/>
        </w:rPr>
        <w:t xml:space="preserve">Despite </w:t>
      </w:r>
      <w:r w:rsidR="00761D70" w:rsidRPr="000052E3">
        <w:rPr>
          <w:lang w:eastAsia="en-GB"/>
        </w:rPr>
        <w:t>the information furnished by the State party regarding the steps taken to protect victims of trafficking</w:t>
      </w:r>
      <w:r w:rsidR="00761D70">
        <w:rPr>
          <w:lang w:eastAsia="en-GB"/>
        </w:rPr>
        <w:t xml:space="preserve"> in persons</w:t>
      </w:r>
      <w:r w:rsidR="00761D70" w:rsidRPr="000052E3">
        <w:rPr>
          <w:lang w:eastAsia="en-GB"/>
        </w:rPr>
        <w:t xml:space="preserve">, </w:t>
      </w:r>
      <w:r w:rsidR="00761D70">
        <w:rPr>
          <w:lang w:eastAsia="en-GB"/>
        </w:rPr>
        <w:t xml:space="preserve">the Committee remains </w:t>
      </w:r>
      <w:r w:rsidR="00761D70" w:rsidRPr="000052E3">
        <w:rPr>
          <w:lang w:eastAsia="en-GB"/>
        </w:rPr>
        <w:t xml:space="preserve">concerned by the </w:t>
      </w:r>
      <w:r w:rsidR="00A25C26">
        <w:rPr>
          <w:lang w:eastAsia="en-GB"/>
        </w:rPr>
        <w:t xml:space="preserve">State party’s </w:t>
      </w:r>
      <w:r w:rsidR="00761D70" w:rsidRPr="000052E3">
        <w:rPr>
          <w:lang w:eastAsia="en-GB"/>
        </w:rPr>
        <w:t xml:space="preserve">shortcomings in identifying women </w:t>
      </w:r>
      <w:r w:rsidR="00761D70">
        <w:rPr>
          <w:lang w:eastAsia="en-GB"/>
        </w:rPr>
        <w:t>victims of trafficking</w:t>
      </w:r>
      <w:r w:rsidR="00761D70" w:rsidRPr="000052E3">
        <w:rPr>
          <w:lang w:eastAsia="en-GB"/>
        </w:rPr>
        <w:t xml:space="preserve">. The Committee is particularly concerned </w:t>
      </w:r>
      <w:r w:rsidR="00761D70">
        <w:rPr>
          <w:lang w:eastAsia="en-GB"/>
        </w:rPr>
        <w:t>about</w:t>
      </w:r>
      <w:r w:rsidR="00761D70" w:rsidRPr="000052E3">
        <w:rPr>
          <w:lang w:eastAsia="en-GB"/>
        </w:rPr>
        <w:t xml:space="preserve"> cases </w:t>
      </w:r>
      <w:r w:rsidR="00A25C26">
        <w:rPr>
          <w:lang w:eastAsia="en-GB"/>
        </w:rPr>
        <w:t>whereby</w:t>
      </w:r>
      <w:r w:rsidR="00761D70" w:rsidRPr="000052E3">
        <w:rPr>
          <w:lang w:eastAsia="en-GB"/>
        </w:rPr>
        <w:t xml:space="preserve"> women </w:t>
      </w:r>
      <w:r w:rsidR="00A25C26">
        <w:rPr>
          <w:lang w:eastAsia="en-GB"/>
        </w:rPr>
        <w:t>have been</w:t>
      </w:r>
      <w:r w:rsidR="00761D70" w:rsidRPr="000052E3">
        <w:rPr>
          <w:lang w:eastAsia="en-GB"/>
        </w:rPr>
        <w:t xml:space="preserve"> trafficked in</w:t>
      </w:r>
      <w:r w:rsidR="00761D70">
        <w:rPr>
          <w:lang w:eastAsia="en-GB"/>
        </w:rPr>
        <w:t>to</w:t>
      </w:r>
      <w:r w:rsidR="00761D70" w:rsidRPr="000052E3">
        <w:rPr>
          <w:lang w:eastAsia="en-GB"/>
        </w:rPr>
        <w:t xml:space="preserve"> the State party for </w:t>
      </w:r>
      <w:r w:rsidR="00A25C26">
        <w:rPr>
          <w:lang w:eastAsia="en-GB"/>
        </w:rPr>
        <w:t xml:space="preserve">the </w:t>
      </w:r>
      <w:r w:rsidR="00761D70" w:rsidRPr="000052E3">
        <w:rPr>
          <w:lang w:eastAsia="en-GB"/>
        </w:rPr>
        <w:t>purposes of prostitution</w:t>
      </w:r>
      <w:r w:rsidR="00A25C26">
        <w:rPr>
          <w:lang w:eastAsia="en-GB"/>
        </w:rPr>
        <w:t>,</w:t>
      </w:r>
      <w:r w:rsidR="00761D70" w:rsidRPr="000052E3">
        <w:rPr>
          <w:lang w:eastAsia="en-GB"/>
        </w:rPr>
        <w:t xml:space="preserve"> </w:t>
      </w:r>
      <w:r w:rsidR="00761D70">
        <w:rPr>
          <w:lang w:eastAsia="en-GB"/>
        </w:rPr>
        <w:t>but</w:t>
      </w:r>
      <w:r w:rsidR="00A25C26">
        <w:rPr>
          <w:lang w:eastAsia="en-GB"/>
        </w:rPr>
        <w:t xml:space="preserve"> have</w:t>
      </w:r>
      <w:r w:rsidR="00761D70">
        <w:rPr>
          <w:lang w:eastAsia="en-GB"/>
        </w:rPr>
        <w:t xml:space="preserve"> only</w:t>
      </w:r>
      <w:r w:rsidR="00A25C26">
        <w:rPr>
          <w:lang w:eastAsia="en-GB"/>
        </w:rPr>
        <w:t xml:space="preserve"> been</w:t>
      </w:r>
      <w:r w:rsidR="00761D70" w:rsidRPr="000052E3">
        <w:rPr>
          <w:lang w:eastAsia="en-GB"/>
        </w:rPr>
        <w:t xml:space="preserve"> identified as witnesses</w:t>
      </w:r>
      <w:r w:rsidR="00A25C26">
        <w:rPr>
          <w:lang w:eastAsia="en-GB"/>
        </w:rPr>
        <w:t>,</w:t>
      </w:r>
      <w:r w:rsidR="00761D70" w:rsidRPr="000052E3">
        <w:rPr>
          <w:lang w:eastAsia="en-GB"/>
        </w:rPr>
        <w:t xml:space="preserve"> rather than </w:t>
      </w:r>
      <w:r w:rsidR="00761D70">
        <w:rPr>
          <w:lang w:eastAsia="en-GB"/>
        </w:rPr>
        <w:t xml:space="preserve">also </w:t>
      </w:r>
      <w:r w:rsidR="00761D70" w:rsidRPr="000052E3">
        <w:rPr>
          <w:lang w:eastAsia="en-GB"/>
        </w:rPr>
        <w:t xml:space="preserve">being identified as victims of </w:t>
      </w:r>
      <w:r w:rsidR="00761D70">
        <w:rPr>
          <w:lang w:eastAsia="en-GB"/>
        </w:rPr>
        <w:t xml:space="preserve">human </w:t>
      </w:r>
      <w:r w:rsidR="00761D70" w:rsidRPr="000052E3">
        <w:rPr>
          <w:lang w:eastAsia="en-GB"/>
        </w:rPr>
        <w:t>trafficki</w:t>
      </w:r>
      <w:r w:rsidR="00761D70" w:rsidRPr="00791091">
        <w:rPr>
          <w:lang w:eastAsia="en-GB"/>
        </w:rPr>
        <w:t xml:space="preserve">ng, </w:t>
      </w:r>
      <w:r w:rsidR="00A25C26">
        <w:rPr>
          <w:lang w:eastAsia="en-GB"/>
        </w:rPr>
        <w:t xml:space="preserve">and are </w:t>
      </w:r>
      <w:r w:rsidR="00761D70">
        <w:rPr>
          <w:lang w:eastAsia="en-GB"/>
        </w:rPr>
        <w:t xml:space="preserve">thus </w:t>
      </w:r>
      <w:r w:rsidR="00761D70" w:rsidRPr="00791091">
        <w:rPr>
          <w:lang w:eastAsia="en-GB"/>
        </w:rPr>
        <w:t>prevented from having adequate protection and assistance</w:t>
      </w:r>
      <w:r w:rsidR="00761D70">
        <w:rPr>
          <w:lang w:eastAsia="en-GB"/>
        </w:rPr>
        <w:t xml:space="preserve"> (art. 8)</w:t>
      </w:r>
      <w:r w:rsidR="00761D70" w:rsidRPr="00791091">
        <w:rPr>
          <w:lang w:eastAsia="en-GB"/>
        </w:rPr>
        <w:t xml:space="preserve">. </w:t>
      </w:r>
    </w:p>
    <w:p w:rsidR="00761D70" w:rsidRPr="009614BF" w:rsidRDefault="00761D70" w:rsidP="009614BF">
      <w:pPr>
        <w:pStyle w:val="SingleTxtG"/>
        <w:rPr>
          <w:b/>
          <w:bCs/>
        </w:rPr>
      </w:pPr>
      <w:r w:rsidRPr="00E16325">
        <w:rPr>
          <w:b/>
          <w:bCs/>
          <w:color w:val="000000"/>
          <w:lang w:eastAsia="en-GB"/>
        </w:rPr>
        <w:t xml:space="preserve">The State party should continue its efforts to combat trafficking </w:t>
      </w:r>
      <w:r w:rsidR="00686D2C">
        <w:rPr>
          <w:b/>
          <w:bCs/>
          <w:color w:val="000000"/>
          <w:lang w:eastAsia="en-GB"/>
        </w:rPr>
        <w:t>in</w:t>
      </w:r>
      <w:r w:rsidRPr="00E16325">
        <w:rPr>
          <w:b/>
          <w:bCs/>
          <w:color w:val="000000"/>
          <w:lang w:eastAsia="en-GB"/>
        </w:rPr>
        <w:t xml:space="preserve"> human beings and </w:t>
      </w:r>
      <w:r w:rsidRPr="00E16325">
        <w:rPr>
          <w:b/>
          <w:bCs/>
          <w:lang w:eastAsia="en-GB"/>
        </w:rPr>
        <w:t xml:space="preserve">consider amending its </w:t>
      </w:r>
      <w:r>
        <w:rPr>
          <w:b/>
          <w:bCs/>
          <w:lang w:eastAsia="en-GB"/>
        </w:rPr>
        <w:t>laws</w:t>
      </w:r>
      <w:r w:rsidRPr="00E16325">
        <w:rPr>
          <w:b/>
          <w:bCs/>
          <w:lang w:eastAsia="en-GB"/>
        </w:rPr>
        <w:t xml:space="preserve"> to ensure that victims of human trafficking, particularly </w:t>
      </w:r>
      <w:r>
        <w:rPr>
          <w:b/>
          <w:bCs/>
          <w:lang w:eastAsia="en-GB"/>
        </w:rPr>
        <w:t>female</w:t>
      </w:r>
      <w:r w:rsidRPr="00E16325">
        <w:rPr>
          <w:b/>
          <w:bCs/>
          <w:lang w:eastAsia="en-GB"/>
        </w:rPr>
        <w:t xml:space="preserve"> victims of sexual abuse and exploitation, are identified as</w:t>
      </w:r>
      <w:r>
        <w:rPr>
          <w:b/>
          <w:bCs/>
          <w:lang w:eastAsia="en-GB"/>
        </w:rPr>
        <w:t xml:space="preserve"> such, in order to </w:t>
      </w:r>
      <w:r w:rsidRPr="009614BF">
        <w:rPr>
          <w:b/>
          <w:bCs/>
          <w:lang w:eastAsia="en-GB"/>
        </w:rPr>
        <w:t xml:space="preserve">provide them with appropriate assistance and protection.  </w:t>
      </w:r>
      <w:r w:rsidRPr="009614BF">
        <w:rPr>
          <w:b/>
          <w:bCs/>
        </w:rPr>
        <w:t xml:space="preserve">The State party should also run public awareness campaigns, continue training police and immigration officers and strengthen its </w:t>
      </w:r>
      <w:r w:rsidR="00F7171F">
        <w:rPr>
          <w:b/>
          <w:bCs/>
        </w:rPr>
        <w:t xml:space="preserve">cooperation </w:t>
      </w:r>
      <w:r w:rsidRPr="009614BF">
        <w:rPr>
          <w:b/>
          <w:bCs/>
        </w:rPr>
        <w:t>mechanisms with neighbouring countries to prevent trafficking in persons.</w:t>
      </w:r>
    </w:p>
    <w:p w:rsidR="00761D70" w:rsidRPr="0002165D" w:rsidRDefault="009614BF" w:rsidP="009614BF">
      <w:pPr>
        <w:pStyle w:val="SingleTxtG"/>
        <w:rPr>
          <w:bCs/>
          <w:color w:val="000000"/>
          <w:lang w:eastAsia="en-GB"/>
        </w:rPr>
      </w:pPr>
      <w:r w:rsidRPr="0002165D">
        <w:rPr>
          <w:bCs/>
          <w:color w:val="000000"/>
          <w:lang w:eastAsia="en-GB"/>
        </w:rPr>
        <w:t>10.</w:t>
      </w:r>
      <w:r w:rsidRPr="0002165D">
        <w:rPr>
          <w:bCs/>
          <w:color w:val="000000"/>
          <w:lang w:eastAsia="en-GB"/>
        </w:rPr>
        <w:tab/>
      </w:r>
      <w:r w:rsidR="00761D70" w:rsidRPr="0002165D">
        <w:rPr>
          <w:color w:val="000000"/>
        </w:rPr>
        <w:t xml:space="preserve">The Committee </w:t>
      </w:r>
      <w:r w:rsidR="00761D70">
        <w:rPr>
          <w:color w:val="000000"/>
        </w:rPr>
        <w:t xml:space="preserve">reiterates its concern </w:t>
      </w:r>
      <w:r w:rsidR="00761D70" w:rsidRPr="0002165D">
        <w:rPr>
          <w:color w:val="000000"/>
        </w:rPr>
        <w:t xml:space="preserve">that </w:t>
      </w:r>
      <w:r w:rsidR="00686D2C" w:rsidRPr="0002165D">
        <w:rPr>
          <w:color w:val="000000"/>
        </w:rPr>
        <w:t xml:space="preserve">the Metsälä </w:t>
      </w:r>
      <w:r w:rsidR="00686D2C">
        <w:rPr>
          <w:color w:val="000000"/>
        </w:rPr>
        <w:t>detention</w:t>
      </w:r>
      <w:r w:rsidR="00686D2C" w:rsidRPr="0002165D">
        <w:rPr>
          <w:color w:val="000000"/>
        </w:rPr>
        <w:t xml:space="preserve"> centre,</w:t>
      </w:r>
      <w:r w:rsidR="00686D2C">
        <w:rPr>
          <w:color w:val="000000"/>
        </w:rPr>
        <w:t xml:space="preserve"> </w:t>
      </w:r>
      <w:r w:rsidR="00761D70" w:rsidRPr="0002165D">
        <w:rPr>
          <w:color w:val="000000"/>
        </w:rPr>
        <w:t xml:space="preserve">the only detention unit for asylum seekers and irregular migrants in </w:t>
      </w:r>
      <w:smartTag w:uri="urn:schemas-microsoft-com:office:smarttags" w:element="place">
        <w:smartTag w:uri="urn:schemas-microsoft-com:office:smarttags" w:element="country-region">
          <w:r w:rsidR="00761D70" w:rsidRPr="0002165D">
            <w:rPr>
              <w:color w:val="000000"/>
            </w:rPr>
            <w:t>Finland</w:t>
          </w:r>
        </w:smartTag>
      </w:smartTag>
      <w:r w:rsidR="00761D70" w:rsidRPr="0002165D">
        <w:rPr>
          <w:color w:val="000000"/>
        </w:rPr>
        <w:t xml:space="preserve">, is frequently overcrowded and many such individuals, including </w:t>
      </w:r>
      <w:r w:rsidR="00761D70" w:rsidRPr="0002165D">
        <w:rPr>
          <w:bCs/>
          <w:color w:val="000000"/>
          <w:lang w:eastAsia="en-GB"/>
        </w:rPr>
        <w:t>unaccompanied or separated children, pregnant women</w:t>
      </w:r>
      <w:r w:rsidR="00761D70">
        <w:rPr>
          <w:bCs/>
          <w:color w:val="000000"/>
          <w:lang w:eastAsia="en-GB"/>
        </w:rPr>
        <w:t xml:space="preserve"> and</w:t>
      </w:r>
      <w:r w:rsidR="00761D70" w:rsidRPr="0002165D">
        <w:rPr>
          <w:bCs/>
          <w:color w:val="000000"/>
          <w:lang w:eastAsia="en-GB"/>
        </w:rPr>
        <w:t xml:space="preserve"> persons with disabilities</w:t>
      </w:r>
      <w:r w:rsidR="00761D70">
        <w:rPr>
          <w:bCs/>
          <w:color w:val="000000"/>
          <w:lang w:eastAsia="en-GB"/>
        </w:rPr>
        <w:t>,</w:t>
      </w:r>
      <w:r w:rsidR="00761D70" w:rsidRPr="0002165D">
        <w:rPr>
          <w:bCs/>
          <w:color w:val="000000"/>
          <w:lang w:eastAsia="en-GB"/>
        </w:rPr>
        <w:t xml:space="preserve"> </w:t>
      </w:r>
      <w:r w:rsidR="00761D70" w:rsidRPr="0002165D">
        <w:rPr>
          <w:color w:val="000000"/>
        </w:rPr>
        <w:t xml:space="preserve">are placed in police detention facilities for </w:t>
      </w:r>
      <w:r w:rsidR="00761D70">
        <w:rPr>
          <w:color w:val="000000"/>
        </w:rPr>
        <w:t>prolonged</w:t>
      </w:r>
      <w:r w:rsidR="00761D70" w:rsidRPr="0002165D">
        <w:rPr>
          <w:color w:val="000000"/>
        </w:rPr>
        <w:t xml:space="preserve"> periods of time </w:t>
      </w:r>
      <w:r w:rsidR="00761D70" w:rsidRPr="0002165D">
        <w:rPr>
          <w:bCs/>
          <w:color w:val="000000"/>
          <w:lang w:eastAsia="en-GB"/>
        </w:rPr>
        <w:t xml:space="preserve">(arts. 9 and 10). </w:t>
      </w:r>
    </w:p>
    <w:p w:rsidR="00761D70" w:rsidRDefault="00761D70" w:rsidP="009614BF">
      <w:pPr>
        <w:pStyle w:val="SingleTxtG"/>
        <w:rPr>
          <w:b/>
        </w:rPr>
      </w:pPr>
      <w:r w:rsidRPr="0017541A">
        <w:rPr>
          <w:b/>
        </w:rPr>
        <w:t xml:space="preserve">The State party should </w:t>
      </w:r>
      <w:r w:rsidR="00F7171F">
        <w:rPr>
          <w:b/>
        </w:rPr>
        <w:t>use</w:t>
      </w:r>
      <w:r w:rsidRPr="0017541A">
        <w:rPr>
          <w:b/>
        </w:rPr>
        <w:t xml:space="preserve"> alternatives to det</w:t>
      </w:r>
      <w:r w:rsidR="00F7171F">
        <w:rPr>
          <w:b/>
        </w:rPr>
        <w:t>aining</w:t>
      </w:r>
      <w:r w:rsidRPr="0017541A">
        <w:rPr>
          <w:b/>
        </w:rPr>
        <w:t xml:space="preserve"> asylum seekers and irregular migrants whenever possible</w:t>
      </w:r>
      <w:r>
        <w:rPr>
          <w:b/>
        </w:rPr>
        <w:t xml:space="preserve">. </w:t>
      </w:r>
      <w:r w:rsidRPr="002A71CC">
        <w:rPr>
          <w:b/>
        </w:rPr>
        <w:t xml:space="preserve">The State party should also guarantee that administrative detention for immigration purposes is justified as reasonable, necessary and proportionate in </w:t>
      </w:r>
      <w:r w:rsidR="00F7171F">
        <w:rPr>
          <w:b/>
        </w:rPr>
        <w:t xml:space="preserve">the </w:t>
      </w:r>
      <w:r w:rsidRPr="002A71CC">
        <w:rPr>
          <w:b/>
        </w:rPr>
        <w:t>light of the specific circumstances, and subjected to periodic evaluation and judicial review, in accordance with the requirements of article 9 of the Covenant.</w:t>
      </w:r>
      <w:r>
        <w:rPr>
          <w:b/>
        </w:rPr>
        <w:t xml:space="preserve"> </w:t>
      </w:r>
      <w:r w:rsidRPr="0017541A">
        <w:rPr>
          <w:b/>
        </w:rPr>
        <w:t>The State party should strengthen its efforts to improve living conditions</w:t>
      </w:r>
      <w:r>
        <w:rPr>
          <w:b/>
        </w:rPr>
        <w:t xml:space="preserve"> in the Metsälä</w:t>
      </w:r>
      <w:r w:rsidR="00630358">
        <w:rPr>
          <w:b/>
        </w:rPr>
        <w:t xml:space="preserve"> detention</w:t>
      </w:r>
      <w:r>
        <w:rPr>
          <w:b/>
        </w:rPr>
        <w:t xml:space="preserve"> centre.</w:t>
      </w:r>
      <w:r w:rsidRPr="0017541A">
        <w:rPr>
          <w:b/>
        </w:rPr>
        <w:t xml:space="preserve"> </w:t>
      </w:r>
    </w:p>
    <w:p w:rsidR="00761D70" w:rsidRPr="00FD27EB" w:rsidRDefault="009614BF" w:rsidP="009614BF">
      <w:pPr>
        <w:pStyle w:val="SingleTxtG"/>
        <w:rPr>
          <w:lang w:eastAsia="en-GB"/>
        </w:rPr>
      </w:pPr>
      <w:r w:rsidRPr="00FD27EB">
        <w:rPr>
          <w:lang w:eastAsia="en-GB"/>
        </w:rPr>
        <w:t>11.</w:t>
      </w:r>
      <w:r w:rsidRPr="00FD27EB">
        <w:rPr>
          <w:lang w:eastAsia="en-GB"/>
        </w:rPr>
        <w:tab/>
      </w:r>
      <w:r w:rsidR="00761D70" w:rsidRPr="00FD27EB">
        <w:rPr>
          <w:lang w:eastAsia="en-GB"/>
        </w:rPr>
        <w:t xml:space="preserve">While the Committee appreciates the additional information provided by the State party, it remains concerned </w:t>
      </w:r>
      <w:r w:rsidR="00761D70">
        <w:rPr>
          <w:lang w:eastAsia="en-GB"/>
        </w:rPr>
        <w:t>about</w:t>
      </w:r>
      <w:r w:rsidR="00761D70" w:rsidRPr="00097B81">
        <w:rPr>
          <w:lang w:eastAsia="en-GB"/>
        </w:rPr>
        <w:t xml:space="preserve"> the </w:t>
      </w:r>
      <w:r w:rsidR="00CD2BB9">
        <w:rPr>
          <w:lang w:eastAsia="en-GB"/>
        </w:rPr>
        <w:t xml:space="preserve">time frame </w:t>
      </w:r>
      <w:r w:rsidR="00B04E02">
        <w:rPr>
          <w:lang w:eastAsia="en-GB"/>
        </w:rPr>
        <w:t>within which</w:t>
      </w:r>
      <w:r w:rsidR="00761D70" w:rsidRPr="00097B81">
        <w:rPr>
          <w:lang w:eastAsia="en-GB"/>
        </w:rPr>
        <w:t xml:space="preserve"> a person </w:t>
      </w:r>
      <w:r w:rsidR="00761D70">
        <w:rPr>
          <w:lang w:eastAsia="en-GB"/>
        </w:rPr>
        <w:t xml:space="preserve">arrested </w:t>
      </w:r>
      <w:r w:rsidR="00761D70" w:rsidRPr="00097B81">
        <w:rPr>
          <w:lang w:eastAsia="en-GB"/>
        </w:rPr>
        <w:t xml:space="preserve">on a criminal charge </w:t>
      </w:r>
      <w:r w:rsidR="00B04E02">
        <w:rPr>
          <w:lang w:eastAsia="en-GB"/>
        </w:rPr>
        <w:t>is</w:t>
      </w:r>
      <w:r w:rsidR="00761D70" w:rsidRPr="00097B81">
        <w:rPr>
          <w:lang w:eastAsia="en-GB"/>
        </w:rPr>
        <w:t xml:space="preserve"> brought before a judge, which</w:t>
      </w:r>
      <w:r w:rsidR="00CD2BB9">
        <w:rPr>
          <w:lang w:eastAsia="en-GB"/>
        </w:rPr>
        <w:t>,</w:t>
      </w:r>
      <w:r w:rsidR="00761D70" w:rsidRPr="00097B81">
        <w:rPr>
          <w:lang w:eastAsia="en-GB"/>
        </w:rPr>
        <w:t xml:space="preserve"> according to the information provided by the State party</w:t>
      </w:r>
      <w:r w:rsidR="00CD2BB9">
        <w:rPr>
          <w:lang w:eastAsia="en-GB"/>
        </w:rPr>
        <w:t>,</w:t>
      </w:r>
      <w:r w:rsidR="00761D70">
        <w:rPr>
          <w:lang w:eastAsia="en-GB"/>
        </w:rPr>
        <w:t xml:space="preserve"> is</w:t>
      </w:r>
      <w:r w:rsidR="00761D70" w:rsidRPr="00097B81">
        <w:rPr>
          <w:lang w:eastAsia="en-GB"/>
        </w:rPr>
        <w:t xml:space="preserve"> </w:t>
      </w:r>
      <w:r w:rsidR="00761D70">
        <w:rPr>
          <w:lang w:eastAsia="en-GB"/>
        </w:rPr>
        <w:t xml:space="preserve">not before the expiry of </w:t>
      </w:r>
      <w:r w:rsidR="00761D70" w:rsidRPr="00097B81">
        <w:rPr>
          <w:lang w:eastAsia="en-GB"/>
        </w:rPr>
        <w:t xml:space="preserve">96 hours. The Committee is also concerned at reports that suspects do not always benefit from legal assistance from the very outset of apprehension, particularly those </w:t>
      </w:r>
      <w:r w:rsidR="00CD2BB9">
        <w:rPr>
          <w:lang w:eastAsia="en-GB"/>
        </w:rPr>
        <w:t xml:space="preserve">who </w:t>
      </w:r>
      <w:r w:rsidR="00761D70" w:rsidRPr="00097B81">
        <w:rPr>
          <w:lang w:eastAsia="en-GB"/>
        </w:rPr>
        <w:t>hav</w:t>
      </w:r>
      <w:r w:rsidR="00CD2BB9">
        <w:rPr>
          <w:lang w:eastAsia="en-GB"/>
        </w:rPr>
        <w:t>e</w:t>
      </w:r>
      <w:r w:rsidR="00761D70" w:rsidRPr="00097B81">
        <w:rPr>
          <w:lang w:eastAsia="en-GB"/>
        </w:rPr>
        <w:t xml:space="preserve"> committed </w:t>
      </w:r>
      <w:r w:rsidR="00761D70" w:rsidRPr="00DC2E1F">
        <w:rPr>
          <w:lang w:eastAsia="en-GB"/>
        </w:rPr>
        <w:t>“minor offences”</w:t>
      </w:r>
      <w:r w:rsidR="00761D70">
        <w:rPr>
          <w:lang w:eastAsia="en-GB"/>
        </w:rPr>
        <w:t xml:space="preserve">. </w:t>
      </w:r>
      <w:r w:rsidR="00761D70" w:rsidRPr="00FD27EB">
        <w:rPr>
          <w:lang w:eastAsia="en-GB"/>
        </w:rPr>
        <w:t xml:space="preserve">The Committee </w:t>
      </w:r>
      <w:r w:rsidR="00761D70" w:rsidRPr="00DC2E1F">
        <w:rPr>
          <w:lang w:eastAsia="en-GB"/>
        </w:rPr>
        <w:t xml:space="preserve">regrets that the State party has </w:t>
      </w:r>
      <w:r w:rsidR="00B04E02">
        <w:rPr>
          <w:lang w:eastAsia="en-GB"/>
        </w:rPr>
        <w:t>not</w:t>
      </w:r>
      <w:r w:rsidR="00761D70" w:rsidRPr="00DC2E1F">
        <w:rPr>
          <w:lang w:eastAsia="en-GB"/>
        </w:rPr>
        <w:t xml:space="preserve"> clarif</w:t>
      </w:r>
      <w:r w:rsidR="00B04E02">
        <w:rPr>
          <w:lang w:eastAsia="en-GB"/>
        </w:rPr>
        <w:t>ied</w:t>
      </w:r>
      <w:r w:rsidR="00761D70" w:rsidRPr="00DC2E1F">
        <w:rPr>
          <w:lang w:eastAsia="en-GB"/>
        </w:rPr>
        <w:t xml:space="preserve"> the place of detention in respect of any subsequent continuation of detention</w:t>
      </w:r>
      <w:r w:rsidR="00761D70" w:rsidRPr="00FD27EB">
        <w:rPr>
          <w:lang w:eastAsia="en-GB"/>
        </w:rPr>
        <w:t xml:space="preserve"> (arts. 9 and 14).</w:t>
      </w:r>
    </w:p>
    <w:p w:rsidR="00761D70" w:rsidRPr="00D32F44" w:rsidRDefault="00761D70" w:rsidP="009614BF">
      <w:pPr>
        <w:pStyle w:val="SingleTxtG"/>
        <w:rPr>
          <w:b/>
          <w:lang w:eastAsia="en-GB"/>
        </w:rPr>
      </w:pPr>
      <w:r w:rsidRPr="00D32F44">
        <w:rPr>
          <w:b/>
          <w:lang w:eastAsia="en-GB"/>
        </w:rPr>
        <w:t>The State party should provide th</w:t>
      </w:r>
      <w:r w:rsidR="00CD2BB9">
        <w:rPr>
          <w:b/>
          <w:lang w:eastAsia="en-GB"/>
        </w:rPr>
        <w:t xml:space="preserve">e </w:t>
      </w:r>
      <w:r w:rsidR="00B04E02">
        <w:rPr>
          <w:b/>
          <w:lang w:eastAsia="en-GB"/>
        </w:rPr>
        <w:t>the Committee with the required</w:t>
      </w:r>
      <w:r w:rsidRPr="00D32F44">
        <w:rPr>
          <w:b/>
          <w:lang w:eastAsia="en-GB"/>
        </w:rPr>
        <w:t xml:space="preserve"> information and, in any event, ensure that persons</w:t>
      </w:r>
      <w:r w:rsidR="00CD2BB9">
        <w:rPr>
          <w:b/>
          <w:lang w:eastAsia="en-GB"/>
        </w:rPr>
        <w:t xml:space="preserve"> arrested on criminal charges</w:t>
      </w:r>
      <w:r w:rsidRPr="00D32F44">
        <w:rPr>
          <w:b/>
          <w:lang w:eastAsia="en-GB"/>
        </w:rPr>
        <w:t xml:space="preserve"> are brought before a judge with</w:t>
      </w:r>
      <w:r>
        <w:rPr>
          <w:b/>
          <w:lang w:eastAsia="en-GB"/>
        </w:rPr>
        <w:t>in</w:t>
      </w:r>
      <w:r w:rsidRPr="00D32F44">
        <w:rPr>
          <w:b/>
          <w:lang w:eastAsia="en-GB"/>
        </w:rPr>
        <w:t xml:space="preserve"> </w:t>
      </w:r>
      <w:r>
        <w:rPr>
          <w:b/>
          <w:lang w:eastAsia="en-GB"/>
        </w:rPr>
        <w:t>48 hours of initial apprehension</w:t>
      </w:r>
      <w:r w:rsidR="00CD2BB9">
        <w:rPr>
          <w:b/>
          <w:lang w:eastAsia="en-GB"/>
        </w:rPr>
        <w:t>,</w:t>
      </w:r>
      <w:r w:rsidRPr="00D32F44">
        <w:rPr>
          <w:b/>
          <w:lang w:eastAsia="en-GB"/>
        </w:rPr>
        <w:t xml:space="preserve"> </w:t>
      </w:r>
      <w:r>
        <w:rPr>
          <w:b/>
          <w:lang w:eastAsia="en-GB"/>
        </w:rPr>
        <w:t>and</w:t>
      </w:r>
      <w:r w:rsidRPr="00D32F44">
        <w:rPr>
          <w:b/>
          <w:lang w:eastAsia="en-GB"/>
        </w:rPr>
        <w:t xml:space="preserve"> transferred from </w:t>
      </w:r>
      <w:r>
        <w:rPr>
          <w:b/>
          <w:lang w:eastAsia="en-GB"/>
        </w:rPr>
        <w:t xml:space="preserve">the </w:t>
      </w:r>
      <w:r w:rsidRPr="00D32F44">
        <w:rPr>
          <w:b/>
          <w:lang w:eastAsia="en-GB"/>
        </w:rPr>
        <w:t xml:space="preserve">police </w:t>
      </w:r>
      <w:r w:rsidR="00B04E02">
        <w:rPr>
          <w:b/>
          <w:lang w:eastAsia="en-GB"/>
        </w:rPr>
        <w:t xml:space="preserve">detention </w:t>
      </w:r>
      <w:r w:rsidRPr="00D32F44">
        <w:rPr>
          <w:b/>
          <w:lang w:eastAsia="en-GB"/>
        </w:rPr>
        <w:t>centre i</w:t>
      </w:r>
      <w:r w:rsidR="00CD2BB9">
        <w:rPr>
          <w:b/>
          <w:lang w:eastAsia="en-GB"/>
        </w:rPr>
        <w:t>n the event of</w:t>
      </w:r>
      <w:r w:rsidRPr="00D32F44">
        <w:rPr>
          <w:b/>
          <w:lang w:eastAsia="en-GB"/>
        </w:rPr>
        <w:t xml:space="preserve"> a continuation of detention. </w:t>
      </w:r>
      <w:r>
        <w:rPr>
          <w:b/>
          <w:lang w:eastAsia="en-GB"/>
        </w:rPr>
        <w:t xml:space="preserve">The State party should also ensure that </w:t>
      </w:r>
      <w:r w:rsidRPr="00DC2E1F">
        <w:rPr>
          <w:b/>
          <w:lang w:eastAsia="en-GB"/>
        </w:rPr>
        <w:t>all suspects are guaranteed the right to a lawyer from the moment of apprehension</w:t>
      </w:r>
      <w:r w:rsidR="00CD2BB9">
        <w:rPr>
          <w:b/>
          <w:lang w:eastAsia="en-GB"/>
        </w:rPr>
        <w:t>,</w:t>
      </w:r>
      <w:r w:rsidRPr="00DC2E1F">
        <w:rPr>
          <w:b/>
          <w:lang w:eastAsia="en-GB"/>
        </w:rPr>
        <w:t xml:space="preserve"> irrespective of the nature of their alleged crime.</w:t>
      </w:r>
    </w:p>
    <w:p w:rsidR="00761D70" w:rsidRDefault="009614BF" w:rsidP="009614BF">
      <w:pPr>
        <w:pStyle w:val="SingleTxtG"/>
        <w:rPr>
          <w:lang w:eastAsia="en-GB"/>
        </w:rPr>
      </w:pPr>
      <w:r>
        <w:rPr>
          <w:lang w:eastAsia="en-GB"/>
        </w:rPr>
        <w:t>12.</w:t>
      </w:r>
      <w:r>
        <w:rPr>
          <w:lang w:eastAsia="en-GB"/>
        </w:rPr>
        <w:tab/>
      </w:r>
      <w:r w:rsidR="00761D70">
        <w:rPr>
          <w:lang w:eastAsia="en-GB"/>
        </w:rPr>
        <w:t xml:space="preserve">While noting the State party’s efforts to renovate police detention facilities and prisons, the Committee is </w:t>
      </w:r>
      <w:r w:rsidR="00761D70" w:rsidRPr="009A49D6">
        <w:rPr>
          <w:lang w:eastAsia="en-GB"/>
        </w:rPr>
        <w:t xml:space="preserve">concerned </w:t>
      </w:r>
      <w:r w:rsidR="00761D70">
        <w:rPr>
          <w:lang w:eastAsia="en-GB"/>
        </w:rPr>
        <w:t>about</w:t>
      </w:r>
      <w:r w:rsidR="00761D70" w:rsidRPr="009A49D6">
        <w:rPr>
          <w:lang w:eastAsia="en-GB"/>
        </w:rPr>
        <w:t xml:space="preserve"> reports</w:t>
      </w:r>
      <w:r w:rsidR="00761D70">
        <w:rPr>
          <w:lang w:eastAsia="en-GB"/>
        </w:rPr>
        <w:t xml:space="preserve"> that some prisons still lack appropriate sanitary equipment, including toilet facilities. </w:t>
      </w:r>
      <w:r w:rsidR="00761D70" w:rsidRPr="00251796">
        <w:rPr>
          <w:lang w:eastAsia="en-GB"/>
        </w:rPr>
        <w:t xml:space="preserve">The Committee is </w:t>
      </w:r>
      <w:r w:rsidR="00761D70">
        <w:rPr>
          <w:lang w:eastAsia="en-GB"/>
        </w:rPr>
        <w:t xml:space="preserve">also </w:t>
      </w:r>
      <w:r w:rsidR="00761D70" w:rsidRPr="00251796">
        <w:rPr>
          <w:lang w:eastAsia="en-GB"/>
        </w:rPr>
        <w:t xml:space="preserve">concerned that overcrowding continues to exist in </w:t>
      </w:r>
      <w:r w:rsidR="00761D70">
        <w:rPr>
          <w:lang w:eastAsia="en-GB"/>
        </w:rPr>
        <w:t xml:space="preserve">seven prisons (art. 10). </w:t>
      </w:r>
    </w:p>
    <w:p w:rsidR="00761D70" w:rsidRDefault="00761D70" w:rsidP="009614BF">
      <w:pPr>
        <w:pStyle w:val="SingleTxtG"/>
        <w:rPr>
          <w:b/>
        </w:rPr>
      </w:pPr>
      <w:r w:rsidRPr="009A49D6">
        <w:rPr>
          <w:b/>
        </w:rPr>
        <w:t xml:space="preserve">The State party should adopt effective measures against overcrowding in </w:t>
      </w:r>
      <w:r>
        <w:rPr>
          <w:b/>
        </w:rPr>
        <w:t>prisons</w:t>
      </w:r>
      <w:r w:rsidRPr="009A49D6">
        <w:rPr>
          <w:b/>
        </w:rPr>
        <w:t xml:space="preserve"> and ensure that sanitary facilities are available in all </w:t>
      </w:r>
      <w:r>
        <w:rPr>
          <w:b/>
        </w:rPr>
        <w:t>prisons</w:t>
      </w:r>
      <w:r w:rsidRPr="009A49D6">
        <w:rPr>
          <w:b/>
        </w:rPr>
        <w:t>, in accordance with article 10 of the Covenant</w:t>
      </w:r>
      <w:r>
        <w:rPr>
          <w:b/>
        </w:rPr>
        <w:t xml:space="preserve"> and the Standard Minimum Rules for the Treatment of Prisoners (1955).  </w:t>
      </w:r>
    </w:p>
    <w:p w:rsidR="00761D70" w:rsidRDefault="009614BF" w:rsidP="009614BF">
      <w:pPr>
        <w:tabs>
          <w:tab w:val="left" w:pos="1655"/>
        </w:tabs>
        <w:suppressAutoHyphens w:val="0"/>
        <w:autoSpaceDE w:val="0"/>
        <w:autoSpaceDN w:val="0"/>
        <w:adjustRightInd w:val="0"/>
        <w:spacing w:after="120" w:line="240" w:lineRule="auto"/>
        <w:ind w:left="1134" w:right="1140" w:firstLine="34"/>
        <w:jc w:val="both"/>
      </w:pPr>
      <w:r>
        <w:t>13.</w:t>
      </w:r>
      <w:r>
        <w:tab/>
      </w:r>
      <w:r w:rsidR="00761D70" w:rsidRPr="001B6902">
        <w:t>While taking into account the State party’s practice of considering the best interest</w:t>
      </w:r>
      <w:r w:rsidR="00761D70">
        <w:t>s</w:t>
      </w:r>
      <w:r w:rsidR="00761D70" w:rsidRPr="001B6902">
        <w:t xml:space="preserve"> of the child in </w:t>
      </w:r>
      <w:r w:rsidR="00761D70">
        <w:t>assessing the placement of juveniles in detention facilities</w:t>
      </w:r>
      <w:r w:rsidR="00761D70" w:rsidRPr="001B6902">
        <w:t xml:space="preserve">, </w:t>
      </w:r>
      <w:r w:rsidR="00761D70">
        <w:t>t</w:t>
      </w:r>
      <w:r w:rsidR="00761D70" w:rsidRPr="00004507">
        <w:t>he Committee</w:t>
      </w:r>
      <w:r w:rsidR="00761D70">
        <w:t xml:space="preserve"> remains</w:t>
      </w:r>
      <w:r w:rsidR="00761D70" w:rsidRPr="00004507">
        <w:t xml:space="preserve"> concern</w:t>
      </w:r>
      <w:r w:rsidR="00761D70">
        <w:t>ed</w:t>
      </w:r>
      <w:r w:rsidR="00761D70" w:rsidRPr="00004507">
        <w:t xml:space="preserve"> that juveniles are not </w:t>
      </w:r>
      <w:r w:rsidR="00761D70">
        <w:t>segregated from adult prisoners</w:t>
      </w:r>
      <w:r w:rsidR="00761D70" w:rsidRPr="00004507">
        <w:t>.</w:t>
      </w:r>
    </w:p>
    <w:p w:rsidR="00761D70" w:rsidRPr="00004507" w:rsidRDefault="00761D70" w:rsidP="00761D70">
      <w:pPr>
        <w:suppressAutoHyphens w:val="0"/>
        <w:autoSpaceDE w:val="0"/>
        <w:autoSpaceDN w:val="0"/>
        <w:adjustRightInd w:val="0"/>
        <w:spacing w:after="120" w:line="240" w:lineRule="auto"/>
        <w:ind w:left="1168" w:right="1140"/>
        <w:jc w:val="both"/>
      </w:pPr>
      <w:r>
        <w:rPr>
          <w:b/>
          <w:bCs/>
        </w:rPr>
        <w:t xml:space="preserve">Notwithstanding the reservation </w:t>
      </w:r>
      <w:r w:rsidR="00630358">
        <w:rPr>
          <w:b/>
          <w:bCs/>
        </w:rPr>
        <w:t xml:space="preserve">to </w:t>
      </w:r>
      <w:r>
        <w:rPr>
          <w:b/>
          <w:bCs/>
        </w:rPr>
        <w:t>article 10, paragraphs 2(b) and 3</w:t>
      </w:r>
      <w:r w:rsidR="00CD2BB9">
        <w:rPr>
          <w:b/>
          <w:bCs/>
        </w:rPr>
        <w:t>,</w:t>
      </w:r>
      <w:r>
        <w:rPr>
          <w:b/>
          <w:bCs/>
        </w:rPr>
        <w:t xml:space="preserve"> of the Covenant,</w:t>
      </w:r>
      <w:r w:rsidRPr="00004507">
        <w:rPr>
          <w:b/>
          <w:bCs/>
        </w:rPr>
        <w:t xml:space="preserve"> </w:t>
      </w:r>
      <w:r>
        <w:rPr>
          <w:b/>
          <w:bCs/>
        </w:rPr>
        <w:t>t</w:t>
      </w:r>
      <w:r w:rsidRPr="00004507">
        <w:rPr>
          <w:b/>
          <w:bCs/>
        </w:rPr>
        <w:t>he State party should ensure</w:t>
      </w:r>
      <w:r>
        <w:rPr>
          <w:b/>
          <w:bCs/>
        </w:rPr>
        <w:t>,</w:t>
      </w:r>
      <w:r w:rsidRPr="00004507">
        <w:rPr>
          <w:b/>
          <w:bCs/>
        </w:rPr>
        <w:t xml:space="preserve"> </w:t>
      </w:r>
      <w:r>
        <w:rPr>
          <w:b/>
          <w:bCs/>
        </w:rPr>
        <w:t xml:space="preserve">as a general rule, </w:t>
      </w:r>
      <w:r w:rsidR="00CD2BB9">
        <w:rPr>
          <w:b/>
          <w:bCs/>
        </w:rPr>
        <w:t xml:space="preserve">that </w:t>
      </w:r>
      <w:r w:rsidRPr="00004507">
        <w:rPr>
          <w:b/>
          <w:bCs/>
        </w:rPr>
        <w:t>juveniles are segregated from adult prisoners in detention</w:t>
      </w:r>
      <w:r>
        <w:rPr>
          <w:b/>
          <w:bCs/>
        </w:rPr>
        <w:t xml:space="preserve"> and that they are duly protected from violence and sexual abuse.</w:t>
      </w:r>
    </w:p>
    <w:p w:rsidR="00761D70" w:rsidRDefault="009614BF" w:rsidP="009614BF">
      <w:pPr>
        <w:pStyle w:val="SingleTxtG"/>
      </w:pPr>
      <w:r>
        <w:t>14.</w:t>
      </w:r>
      <w:r>
        <w:tab/>
      </w:r>
      <w:r w:rsidR="00761D70">
        <w:t xml:space="preserve"> </w:t>
      </w:r>
      <w:r w:rsidR="00761D70" w:rsidRPr="00ED2246">
        <w:t xml:space="preserve"> </w:t>
      </w:r>
      <w:r w:rsidR="00761D70">
        <w:t xml:space="preserve">While welcoming the legislative changes allowing for </w:t>
      </w:r>
      <w:r w:rsidR="00C97B72">
        <w:t xml:space="preserve">applications for </w:t>
      </w:r>
      <w:r w:rsidR="00761D70">
        <w:t>non-military service during mobilizations and serious disturbances</w:t>
      </w:r>
      <w:r w:rsidR="00C97B72">
        <w:t>,</w:t>
      </w:r>
      <w:r w:rsidR="00761D70">
        <w:t xml:space="preserve"> and the fact that total objectors can be exempted from unconditional imprisonment, t</w:t>
      </w:r>
      <w:r w:rsidR="00761D70" w:rsidRPr="00ED2246">
        <w:t xml:space="preserve">he Committee </w:t>
      </w:r>
      <w:r w:rsidR="00761D70">
        <w:t xml:space="preserve">reiterates its concerns that </w:t>
      </w:r>
      <w:r w:rsidR="00761D70" w:rsidRPr="00ED2246">
        <w:t>the length of non</w:t>
      </w:r>
      <w:r w:rsidR="00761D70">
        <w:t>-military service is almost twice the duration of the period of service for the rank and file</w:t>
      </w:r>
      <w:r w:rsidR="00C97B72">
        <w:t>,</w:t>
      </w:r>
      <w:r w:rsidR="00761D70">
        <w:t xml:space="preserve"> and that the preferential treatment accorded to Jehovah’s Witnesses has not been extended to other groups of conscientious objectors (art. 18). </w:t>
      </w:r>
    </w:p>
    <w:p w:rsidR="00761D70" w:rsidRDefault="00761D70" w:rsidP="009614BF">
      <w:pPr>
        <w:pStyle w:val="SingleTxtG"/>
        <w:rPr>
          <w:b/>
        </w:rPr>
      </w:pPr>
      <w:r w:rsidRPr="00C6487D">
        <w:rPr>
          <w:b/>
        </w:rPr>
        <w:t xml:space="preserve">The State party should fully acknowledge the </w:t>
      </w:r>
      <w:r w:rsidRPr="00ED2246">
        <w:rPr>
          <w:b/>
        </w:rPr>
        <w:t>right to conscientious</w:t>
      </w:r>
      <w:r>
        <w:rPr>
          <w:b/>
        </w:rPr>
        <w:t xml:space="preserve"> objection</w:t>
      </w:r>
      <w:r w:rsidRPr="00ED2246">
        <w:rPr>
          <w:b/>
        </w:rPr>
        <w:t xml:space="preserve"> and ensure that the length and nature of the alternative</w:t>
      </w:r>
      <w:r w:rsidR="00C97B72">
        <w:rPr>
          <w:b/>
        </w:rPr>
        <w:t>s</w:t>
      </w:r>
      <w:r w:rsidRPr="00ED2246">
        <w:rPr>
          <w:b/>
        </w:rPr>
        <w:t xml:space="preserve"> to </w:t>
      </w:r>
      <w:r w:rsidR="00C97B72">
        <w:rPr>
          <w:b/>
        </w:rPr>
        <w:t xml:space="preserve">military </w:t>
      </w:r>
      <w:r w:rsidRPr="00ED2246">
        <w:rPr>
          <w:b/>
        </w:rPr>
        <w:t xml:space="preserve">service </w:t>
      </w:r>
      <w:r w:rsidR="0077355D">
        <w:rPr>
          <w:b/>
        </w:rPr>
        <w:t>are</w:t>
      </w:r>
      <w:r w:rsidRPr="00ED2246">
        <w:rPr>
          <w:b/>
        </w:rPr>
        <w:t xml:space="preserve"> not punitive</w:t>
      </w:r>
      <w:r w:rsidR="0077355D">
        <w:rPr>
          <w:b/>
        </w:rPr>
        <w:t xml:space="preserve"> in nature</w:t>
      </w:r>
      <w:r w:rsidRPr="00ED2246">
        <w:rPr>
          <w:b/>
        </w:rPr>
        <w:t>. The State party should also extend the preferential treatment accorded to Jehovah’s Witnesses to other groups of conscientious objectors.</w:t>
      </w:r>
    </w:p>
    <w:p w:rsidR="00761D70" w:rsidRPr="00D41C4B" w:rsidRDefault="009614BF" w:rsidP="009614BF">
      <w:pPr>
        <w:pStyle w:val="SingleTxtG"/>
      </w:pPr>
      <w:r w:rsidRPr="00D41C4B">
        <w:t>15.</w:t>
      </w:r>
      <w:r w:rsidRPr="00D41C4B">
        <w:tab/>
      </w:r>
      <w:r w:rsidR="00761D70" w:rsidRPr="00D51D81">
        <w:t xml:space="preserve">The Committee is concerned at the accelerated asylum procedure established under the Aliens Act, which provides </w:t>
      </w:r>
      <w:r w:rsidR="0077355D">
        <w:t xml:space="preserve">for </w:t>
      </w:r>
      <w:r w:rsidR="00761D70" w:rsidRPr="00D51D81">
        <w:t>an extremely short time</w:t>
      </w:r>
      <w:r w:rsidR="0077355D">
        <w:t xml:space="preserve"> </w:t>
      </w:r>
      <w:r w:rsidR="00761D70" w:rsidRPr="00D51D81">
        <w:t xml:space="preserve">frame for asylum applications to be </w:t>
      </w:r>
      <w:r w:rsidR="0077355D">
        <w:t xml:space="preserve">thoroughly </w:t>
      </w:r>
      <w:r w:rsidR="00761D70" w:rsidRPr="00D51D81">
        <w:t xml:space="preserve">considered </w:t>
      </w:r>
      <w:r w:rsidR="00761D70">
        <w:t>and for the applicant to properly prepare h</w:t>
      </w:r>
      <w:r w:rsidR="0077355D">
        <w:t xml:space="preserve">is </w:t>
      </w:r>
      <w:r w:rsidR="00761D70">
        <w:t>or h</w:t>
      </w:r>
      <w:r w:rsidR="0077355D">
        <w:t>er</w:t>
      </w:r>
      <w:r w:rsidR="00761D70">
        <w:t xml:space="preserve"> case. The Committee is further concerned that appeals under the accelerated asylum procedure do not </w:t>
      </w:r>
      <w:r w:rsidR="00761D70" w:rsidRPr="00D41C4B">
        <w:t>have automatic suspensive effect</w:t>
      </w:r>
      <w:r w:rsidR="00761D70">
        <w:t xml:space="preserve"> (art. 2 and 7)</w:t>
      </w:r>
      <w:r w:rsidR="00761D70" w:rsidRPr="00D41C4B">
        <w:t xml:space="preserve">. </w:t>
      </w:r>
    </w:p>
    <w:p w:rsidR="00761D70" w:rsidRPr="009614BF" w:rsidRDefault="00761D70" w:rsidP="009614BF">
      <w:pPr>
        <w:pStyle w:val="SingleTxtG"/>
        <w:rPr>
          <w:b/>
        </w:rPr>
      </w:pPr>
      <w:r w:rsidRPr="009614BF">
        <w:rPr>
          <w:b/>
        </w:rPr>
        <w:t>The State party should ensure that all persons in need of protection receive appropriate and fair treatment in all asylum procedures and that appeals under the accelerated asylum procedure have a suspensive effect.</w:t>
      </w:r>
    </w:p>
    <w:p w:rsidR="00761D70" w:rsidRPr="00460042" w:rsidRDefault="009614BF" w:rsidP="009614BF">
      <w:pPr>
        <w:pStyle w:val="SingleTxtG"/>
      </w:pPr>
      <w:r w:rsidRPr="00460042">
        <w:t>16.</w:t>
      </w:r>
      <w:r w:rsidRPr="00460042">
        <w:tab/>
      </w:r>
      <w:r w:rsidR="00761D70">
        <w:t>While noting that the State party has committed to ratify</w:t>
      </w:r>
      <w:r w:rsidR="008D18A0">
        <w:t>ing</w:t>
      </w:r>
      <w:r w:rsidR="00761D70">
        <w:t xml:space="preserve"> the I</w:t>
      </w:r>
      <w:r w:rsidR="008D18A0">
        <w:t xml:space="preserve">nternational </w:t>
      </w:r>
      <w:r w:rsidR="00761D70">
        <w:t>L</w:t>
      </w:r>
      <w:r w:rsidR="008D18A0">
        <w:t xml:space="preserve">abour </w:t>
      </w:r>
      <w:r w:rsidR="00761D70">
        <w:t>O</w:t>
      </w:r>
      <w:r w:rsidR="008D18A0">
        <w:t>rganization</w:t>
      </w:r>
      <w:r w:rsidR="00761D70">
        <w:t xml:space="preserve"> Convention No. 169 </w:t>
      </w:r>
      <w:r w:rsidR="008D18A0">
        <w:t>concerning Indigenous and Tribal Peoples in Independent Countries</w:t>
      </w:r>
      <w:r w:rsidR="00C97B72">
        <w:t>,</w:t>
      </w:r>
      <w:r w:rsidR="008D18A0">
        <w:t xml:space="preserve"> </w:t>
      </w:r>
      <w:r w:rsidR="00761D70">
        <w:t>and established a working group in August 2012 to strengthen the rights of the S</w:t>
      </w:r>
      <w:r w:rsidR="008D18A0">
        <w:t>a</w:t>
      </w:r>
      <w:r w:rsidR="00761D70">
        <w:t>mi to participate in decisions on the use of land and waters, the Committee remains concerned that the S</w:t>
      </w:r>
      <w:r w:rsidR="00FC751A">
        <w:t>a</w:t>
      </w:r>
      <w:r w:rsidR="00761D70">
        <w:t xml:space="preserve">mi people lack participation and decision-making powers over matters of fundamental importance to their culture and way of life, including rights to land and resources. The Committee also notes that there may be insufficient understanding or </w:t>
      </w:r>
      <w:r w:rsidR="00761D70" w:rsidRPr="00897634">
        <w:t xml:space="preserve">accommodation of </w:t>
      </w:r>
      <w:r w:rsidR="00761D70">
        <w:t xml:space="preserve">the </w:t>
      </w:r>
      <w:r w:rsidR="00761D70" w:rsidRPr="00897634">
        <w:t>Sami</w:t>
      </w:r>
      <w:r w:rsidR="00761D70">
        <w:t xml:space="preserve"> lifestyle by public authorities and that there is a lack of legal clarity on the use of land in areas traditionally inhabited by the S</w:t>
      </w:r>
      <w:r w:rsidR="00FC751A">
        <w:t>a</w:t>
      </w:r>
      <w:r w:rsidR="00761D70">
        <w:t xml:space="preserve">mi people (arts. 1, 26 </w:t>
      </w:r>
      <w:r w:rsidR="00761D70" w:rsidRPr="00460042">
        <w:t xml:space="preserve">and 27). </w:t>
      </w:r>
    </w:p>
    <w:p w:rsidR="00761D70" w:rsidRPr="007643F5" w:rsidRDefault="00761D70" w:rsidP="007643F5">
      <w:pPr>
        <w:pStyle w:val="SingleTxtG"/>
        <w:rPr>
          <w:b/>
        </w:rPr>
      </w:pPr>
      <w:r w:rsidRPr="007643F5">
        <w:rPr>
          <w:b/>
        </w:rPr>
        <w:t xml:space="preserve">The State party should advance the implementation of </w:t>
      </w:r>
      <w:r w:rsidR="001929BA">
        <w:rPr>
          <w:b/>
        </w:rPr>
        <w:t xml:space="preserve">the rights of the </w:t>
      </w:r>
      <w:r w:rsidRPr="007643F5">
        <w:rPr>
          <w:b/>
        </w:rPr>
        <w:t>S</w:t>
      </w:r>
      <w:r w:rsidR="001929BA">
        <w:rPr>
          <w:b/>
        </w:rPr>
        <w:t>a</w:t>
      </w:r>
      <w:r w:rsidRPr="007643F5">
        <w:rPr>
          <w:b/>
        </w:rPr>
        <w:t>mi by strengthening the decision-making powers of S</w:t>
      </w:r>
      <w:r w:rsidR="001929BA">
        <w:rPr>
          <w:b/>
        </w:rPr>
        <w:t>a</w:t>
      </w:r>
      <w:r w:rsidRPr="007643F5">
        <w:rPr>
          <w:b/>
        </w:rPr>
        <w:t>mi representative institutions, such as the S</w:t>
      </w:r>
      <w:r w:rsidR="001929BA">
        <w:rPr>
          <w:b/>
        </w:rPr>
        <w:t>a</w:t>
      </w:r>
      <w:r w:rsidRPr="007643F5">
        <w:rPr>
          <w:b/>
        </w:rPr>
        <w:t xml:space="preserve">mi parliament. The State party should increase its efforts to revise its legislation to fully guarantee the rights of </w:t>
      </w:r>
      <w:r w:rsidR="001929BA">
        <w:rPr>
          <w:b/>
        </w:rPr>
        <w:t xml:space="preserve">the </w:t>
      </w:r>
      <w:r w:rsidRPr="007643F5">
        <w:rPr>
          <w:b/>
        </w:rPr>
        <w:t>S</w:t>
      </w:r>
      <w:r w:rsidR="001929BA">
        <w:rPr>
          <w:b/>
        </w:rPr>
        <w:t>a</w:t>
      </w:r>
      <w:r w:rsidRPr="007643F5">
        <w:rPr>
          <w:b/>
        </w:rPr>
        <w:t>mi people in their traditional land, ensuring respect for</w:t>
      </w:r>
      <w:r w:rsidR="001929BA">
        <w:rPr>
          <w:b/>
        </w:rPr>
        <w:t xml:space="preserve"> the right of</w:t>
      </w:r>
      <w:r w:rsidRPr="007643F5">
        <w:rPr>
          <w:b/>
        </w:rPr>
        <w:t xml:space="preserve"> S</w:t>
      </w:r>
      <w:r w:rsidR="001929BA">
        <w:rPr>
          <w:b/>
        </w:rPr>
        <w:t>a</w:t>
      </w:r>
      <w:r w:rsidRPr="007643F5">
        <w:rPr>
          <w:b/>
        </w:rPr>
        <w:t>mi communities</w:t>
      </w:r>
      <w:r w:rsidR="001929BA">
        <w:rPr>
          <w:b/>
        </w:rPr>
        <w:t xml:space="preserve"> </w:t>
      </w:r>
      <w:r w:rsidRPr="007643F5">
        <w:rPr>
          <w:b/>
        </w:rPr>
        <w:t xml:space="preserve">to engage in free, prior and informed participation in policy and development processes that affect them. The State party should also take appropriate measures to facilitate, to the extent possible, </w:t>
      </w:r>
      <w:r w:rsidR="001929BA">
        <w:rPr>
          <w:b/>
        </w:rPr>
        <w:t xml:space="preserve">education in their own language for </w:t>
      </w:r>
      <w:r w:rsidRPr="007643F5">
        <w:rPr>
          <w:b/>
        </w:rPr>
        <w:t>all S</w:t>
      </w:r>
      <w:r w:rsidR="001929BA">
        <w:rPr>
          <w:b/>
        </w:rPr>
        <w:t>a</w:t>
      </w:r>
      <w:r w:rsidRPr="007643F5">
        <w:rPr>
          <w:b/>
        </w:rPr>
        <w:t xml:space="preserve">mi children in the </w:t>
      </w:r>
      <w:r w:rsidR="001929BA">
        <w:rPr>
          <w:b/>
        </w:rPr>
        <w:t xml:space="preserve">territory of the </w:t>
      </w:r>
      <w:r w:rsidRPr="007643F5">
        <w:rPr>
          <w:b/>
        </w:rPr>
        <w:t>State party.</w:t>
      </w:r>
      <w:r w:rsidRPr="007643F5" w:rsidDel="00DA3963">
        <w:rPr>
          <w:b/>
        </w:rPr>
        <w:t xml:space="preserve"> </w:t>
      </w:r>
    </w:p>
    <w:p w:rsidR="00761D70" w:rsidRPr="007A187C" w:rsidRDefault="00761D70" w:rsidP="007643F5">
      <w:pPr>
        <w:pStyle w:val="SingleTxtG"/>
        <w:rPr>
          <w:sz w:val="19"/>
          <w:szCs w:val="19"/>
          <w:lang w:eastAsia="en-GB"/>
        </w:rPr>
      </w:pPr>
      <w:r>
        <w:rPr>
          <w:sz w:val="19"/>
          <w:szCs w:val="19"/>
          <w:lang w:eastAsia="en-GB"/>
        </w:rPr>
        <w:t>17.</w:t>
      </w:r>
      <w:r w:rsidR="007643F5">
        <w:rPr>
          <w:sz w:val="19"/>
          <w:szCs w:val="19"/>
          <w:lang w:eastAsia="en-GB"/>
        </w:rPr>
        <w:tab/>
      </w:r>
      <w:r>
        <w:rPr>
          <w:sz w:val="19"/>
          <w:szCs w:val="19"/>
          <w:lang w:eastAsia="en-GB"/>
        </w:rPr>
        <w:t xml:space="preserve">While welcoming the efforts made by the State party to eliminate discrimination against the Roma, including the ongoing reform of the Finnish equality legislation, the Committee reiterates its concern that Roma still face de facto discrimination and social exclusion in housing, education and </w:t>
      </w:r>
      <w:r w:rsidRPr="00272B9A">
        <w:rPr>
          <w:sz w:val="19"/>
          <w:szCs w:val="19"/>
          <w:lang w:eastAsia="en-GB"/>
        </w:rPr>
        <w:t xml:space="preserve">employment. </w:t>
      </w:r>
      <w:r w:rsidRPr="00272B9A">
        <w:t>The Committee is particularly concerned at continuing reports of the placement o</w:t>
      </w:r>
      <w:r w:rsidRPr="00292A24">
        <w:t xml:space="preserve">f Roma children in special needs classes </w:t>
      </w:r>
      <w:r w:rsidRPr="00105524">
        <w:t>(arts. 26 and 27)</w:t>
      </w:r>
      <w:r w:rsidRPr="00105524">
        <w:rPr>
          <w:sz w:val="19"/>
          <w:szCs w:val="19"/>
          <w:lang w:eastAsia="en-GB"/>
        </w:rPr>
        <w:t xml:space="preserve">.  </w:t>
      </w:r>
    </w:p>
    <w:p w:rsidR="00761D70" w:rsidRPr="007643F5" w:rsidRDefault="00761D70" w:rsidP="007643F5">
      <w:pPr>
        <w:pStyle w:val="SingleTxtG"/>
        <w:rPr>
          <w:b/>
        </w:rPr>
      </w:pPr>
      <w:r w:rsidRPr="007643F5">
        <w:rPr>
          <w:b/>
          <w:bCs/>
          <w:sz w:val="19"/>
          <w:szCs w:val="19"/>
          <w:lang w:eastAsia="en-GB"/>
        </w:rPr>
        <w:t>The State party should take active measures, including improving legislation, to prevent discrimination against the Roma</w:t>
      </w:r>
      <w:r w:rsidR="0075592C">
        <w:rPr>
          <w:b/>
          <w:bCs/>
          <w:sz w:val="19"/>
          <w:szCs w:val="19"/>
          <w:lang w:eastAsia="en-GB"/>
        </w:rPr>
        <w:t>,</w:t>
      </w:r>
      <w:r w:rsidRPr="007643F5">
        <w:rPr>
          <w:b/>
          <w:bCs/>
          <w:sz w:val="19"/>
          <w:szCs w:val="19"/>
          <w:lang w:eastAsia="en-GB"/>
        </w:rPr>
        <w:t xml:space="preserve"> </w:t>
      </w:r>
      <w:r w:rsidR="00C97B72">
        <w:rPr>
          <w:b/>
          <w:bCs/>
          <w:sz w:val="19"/>
          <w:szCs w:val="19"/>
          <w:lang w:eastAsia="en-GB"/>
        </w:rPr>
        <w:t xml:space="preserve">in </w:t>
      </w:r>
      <w:r w:rsidRPr="007643F5">
        <w:rPr>
          <w:b/>
          <w:bCs/>
          <w:sz w:val="19"/>
          <w:szCs w:val="19"/>
          <w:lang w:eastAsia="en-GB"/>
        </w:rPr>
        <w:t xml:space="preserve">particular regarding their access to education, housing and employment, and allocate additional </w:t>
      </w:r>
      <w:r w:rsidRPr="007643F5">
        <w:rPr>
          <w:b/>
          <w:bCs/>
          <w:lang w:eastAsia="en-GB"/>
        </w:rPr>
        <w:t xml:space="preserve">resources </w:t>
      </w:r>
      <w:r w:rsidRPr="007643F5">
        <w:rPr>
          <w:b/>
        </w:rPr>
        <w:t xml:space="preserve">to put into effect all plans to do away with obstacles to </w:t>
      </w:r>
      <w:r w:rsidR="0075592C">
        <w:rPr>
          <w:b/>
        </w:rPr>
        <w:t xml:space="preserve">the </w:t>
      </w:r>
      <w:r w:rsidRPr="007643F5">
        <w:rPr>
          <w:b/>
        </w:rPr>
        <w:t>practical exercise</w:t>
      </w:r>
      <w:r w:rsidR="0075592C">
        <w:rPr>
          <w:b/>
        </w:rPr>
        <w:t xml:space="preserve"> by the Roma</w:t>
      </w:r>
      <w:r w:rsidRPr="007643F5">
        <w:rPr>
          <w:b/>
        </w:rPr>
        <w:t xml:space="preserve"> of </w:t>
      </w:r>
      <w:r w:rsidR="0075592C">
        <w:rPr>
          <w:b/>
        </w:rPr>
        <w:t xml:space="preserve">the </w:t>
      </w:r>
      <w:r w:rsidRPr="007643F5">
        <w:rPr>
          <w:b/>
        </w:rPr>
        <w:t xml:space="preserve">rights </w:t>
      </w:r>
      <w:r w:rsidR="0075592C">
        <w:rPr>
          <w:b/>
        </w:rPr>
        <w:t xml:space="preserve">provided for </w:t>
      </w:r>
      <w:r w:rsidRPr="007643F5">
        <w:rPr>
          <w:b/>
        </w:rPr>
        <w:t>under</w:t>
      </w:r>
      <w:r w:rsidR="0075592C">
        <w:rPr>
          <w:b/>
        </w:rPr>
        <w:t xml:space="preserve"> the</w:t>
      </w:r>
      <w:r w:rsidRPr="007643F5">
        <w:rPr>
          <w:b/>
        </w:rPr>
        <w:t xml:space="preserve"> Covenant</w:t>
      </w:r>
      <w:r w:rsidRPr="007643F5">
        <w:rPr>
          <w:b/>
          <w:bCs/>
          <w:sz w:val="19"/>
          <w:szCs w:val="19"/>
          <w:lang w:eastAsia="en-GB"/>
        </w:rPr>
        <w:t xml:space="preserve">. </w:t>
      </w:r>
      <w:r w:rsidRPr="007643F5">
        <w:rPr>
          <w:b/>
          <w:bCs/>
        </w:rPr>
        <w:t xml:space="preserve">The State party </w:t>
      </w:r>
      <w:r w:rsidRPr="007643F5">
        <w:rPr>
          <w:b/>
        </w:rPr>
        <w:t>should take immediate steps to eradicate the segregation of Roma children in its education system by ensuring that the placement of children in schools is carried out on an individual basis and is not influenced by the child’s ethnic group.</w:t>
      </w:r>
    </w:p>
    <w:p w:rsidR="00761D70" w:rsidRPr="001964A9" w:rsidRDefault="00761D70" w:rsidP="007643F5">
      <w:pPr>
        <w:pStyle w:val="SingleTxtG"/>
        <w:rPr>
          <w:b/>
          <w:bCs/>
        </w:rPr>
      </w:pPr>
      <w:r w:rsidRPr="001964A9">
        <w:rPr>
          <w:rFonts w:eastAsia="SimSun"/>
          <w:lang w:val="en-US" w:eastAsia="zh-CN"/>
        </w:rPr>
        <w:t>1</w:t>
      </w:r>
      <w:r>
        <w:rPr>
          <w:rFonts w:eastAsia="SimSun"/>
          <w:lang w:val="en-US" w:eastAsia="zh-CN"/>
        </w:rPr>
        <w:t>8</w:t>
      </w:r>
      <w:r w:rsidRPr="001964A9">
        <w:rPr>
          <w:rFonts w:eastAsia="SimSun"/>
          <w:lang w:val="en-US" w:eastAsia="zh-CN"/>
        </w:rPr>
        <w:t>.</w:t>
      </w:r>
      <w:r w:rsidRPr="001964A9">
        <w:rPr>
          <w:rFonts w:eastAsia="SimSun"/>
          <w:lang w:val="en-US" w:eastAsia="zh-CN"/>
        </w:rPr>
        <w:tab/>
        <w:t>The State party should widely disseminate the Covenant, the two Optional Protocols</w:t>
      </w:r>
      <w:r>
        <w:rPr>
          <w:b/>
          <w:bCs/>
          <w:lang w:val="en-US"/>
        </w:rPr>
        <w:t xml:space="preserve"> </w:t>
      </w:r>
      <w:r w:rsidRPr="001964A9">
        <w:rPr>
          <w:rFonts w:eastAsia="SimSun"/>
          <w:lang w:val="en-US" w:eastAsia="zh-CN"/>
        </w:rPr>
        <w:t xml:space="preserve">to the Covenant, the text of the </w:t>
      </w:r>
      <w:r>
        <w:rPr>
          <w:rFonts w:eastAsia="SimSun"/>
          <w:lang w:val="en-US" w:eastAsia="zh-CN"/>
        </w:rPr>
        <w:t>sixth</w:t>
      </w:r>
      <w:r w:rsidRPr="001964A9">
        <w:rPr>
          <w:rFonts w:eastAsia="SimSun"/>
          <w:lang w:val="en-US" w:eastAsia="zh-CN"/>
        </w:rPr>
        <w:t xml:space="preserve"> periodic report, the written re</w:t>
      </w:r>
      <w:r w:rsidR="0075592C">
        <w:rPr>
          <w:rFonts w:eastAsia="SimSun"/>
          <w:lang w:val="en-US" w:eastAsia="zh-CN"/>
        </w:rPr>
        <w:t>plies</w:t>
      </w:r>
      <w:r w:rsidRPr="001964A9">
        <w:rPr>
          <w:rFonts w:eastAsia="SimSun"/>
          <w:lang w:val="en-US" w:eastAsia="zh-CN"/>
        </w:rPr>
        <w:t xml:space="preserve"> to the list of issues drawn up by the Committee and the present concluding</w:t>
      </w:r>
      <w:r>
        <w:rPr>
          <w:b/>
          <w:bCs/>
          <w:lang w:val="en-US"/>
        </w:rPr>
        <w:t xml:space="preserve"> </w:t>
      </w:r>
      <w:r w:rsidRPr="001964A9">
        <w:rPr>
          <w:rFonts w:eastAsia="SimSun"/>
          <w:lang w:val="en-US" w:eastAsia="zh-CN"/>
        </w:rPr>
        <w:t xml:space="preserve">observations </w:t>
      </w:r>
      <w:r w:rsidR="00C97B72">
        <w:rPr>
          <w:rFonts w:eastAsia="SimSun"/>
          <w:lang w:val="en-US" w:eastAsia="zh-CN"/>
        </w:rPr>
        <w:t>in order</w:t>
      </w:r>
      <w:r w:rsidRPr="001964A9">
        <w:rPr>
          <w:rFonts w:eastAsia="SimSun"/>
          <w:lang w:val="en-US" w:eastAsia="zh-CN"/>
        </w:rPr>
        <w:t xml:space="preserve"> to increase awareness among the judicial, legislative and administrative</w:t>
      </w:r>
      <w:r>
        <w:rPr>
          <w:b/>
          <w:bCs/>
          <w:lang w:val="en-US"/>
        </w:rPr>
        <w:t xml:space="preserve"> </w:t>
      </w:r>
      <w:r w:rsidRPr="001964A9">
        <w:rPr>
          <w:rFonts w:eastAsia="SimSun"/>
          <w:lang w:val="en-US" w:eastAsia="zh-CN"/>
        </w:rPr>
        <w:t>authorities, civil society and non-governmental organizations operating in the country, as</w:t>
      </w:r>
      <w:r>
        <w:rPr>
          <w:b/>
          <w:bCs/>
        </w:rPr>
        <w:t xml:space="preserve"> </w:t>
      </w:r>
      <w:r w:rsidRPr="001964A9">
        <w:rPr>
          <w:rFonts w:eastAsia="SimSun"/>
          <w:lang w:val="en-US" w:eastAsia="zh-CN"/>
        </w:rPr>
        <w:t>well as the general public. The Committee also suggests that the report and the concluding</w:t>
      </w:r>
      <w:r>
        <w:rPr>
          <w:b/>
          <w:bCs/>
          <w:lang w:val="en-US"/>
        </w:rPr>
        <w:t xml:space="preserve"> </w:t>
      </w:r>
      <w:r w:rsidRPr="001964A9">
        <w:rPr>
          <w:rFonts w:eastAsia="SimSun"/>
          <w:lang w:val="en-US" w:eastAsia="zh-CN"/>
        </w:rPr>
        <w:t>observations be translated into the official language of the State party.</w:t>
      </w:r>
      <w:r w:rsidRPr="00257F71">
        <w:t xml:space="preserve"> </w:t>
      </w:r>
      <w:r w:rsidRPr="00065E5B">
        <w:t xml:space="preserve">The Committee also requests the </w:t>
      </w:r>
      <w:r>
        <w:t>State party</w:t>
      </w:r>
      <w:r w:rsidRPr="00065E5B">
        <w:t xml:space="preserve"> to </w:t>
      </w:r>
      <w:r>
        <w:t xml:space="preserve">broadly </w:t>
      </w:r>
      <w:r w:rsidRPr="00065E5B">
        <w:t>consult</w:t>
      </w:r>
      <w:r>
        <w:t xml:space="preserve"> with</w:t>
      </w:r>
      <w:r w:rsidRPr="00065E5B">
        <w:t xml:space="preserve"> civil society and non-governmental org</w:t>
      </w:r>
      <w:r>
        <w:t>anizations</w:t>
      </w:r>
      <w:r w:rsidR="00C97B72" w:rsidRPr="00C97B72">
        <w:t xml:space="preserve"> </w:t>
      </w:r>
      <w:r w:rsidR="00C97B72">
        <w:t>when preparing its seventh</w:t>
      </w:r>
      <w:r w:rsidR="00C97B72" w:rsidRPr="00065E5B">
        <w:t xml:space="preserve"> periodic report</w:t>
      </w:r>
      <w:r w:rsidRPr="00065E5B">
        <w:t>.</w:t>
      </w:r>
    </w:p>
    <w:p w:rsidR="00761D70" w:rsidRDefault="00761D70" w:rsidP="007643F5">
      <w:pPr>
        <w:pStyle w:val="SingleTxtG"/>
      </w:pPr>
      <w:r>
        <w:t xml:space="preserve">19. </w:t>
      </w:r>
      <w:r>
        <w:tab/>
      </w:r>
      <w:r w:rsidRPr="004F3265">
        <w:t xml:space="preserve">In accordance with rule 71, paragraph 5, of the Committee’s rules of procedure, the State party should provide, </w:t>
      </w:r>
      <w:r w:rsidRPr="009205B8">
        <w:t>within one year,</w:t>
      </w:r>
      <w:r w:rsidRPr="009205B8">
        <w:rPr>
          <w:bCs/>
        </w:rPr>
        <w:t xml:space="preserve"> relevant information on its implementation of the Committee’s recommendations</w:t>
      </w:r>
      <w:r w:rsidRPr="009205B8">
        <w:t xml:space="preserve"> </w:t>
      </w:r>
      <w:r w:rsidR="00C97B72">
        <w:t xml:space="preserve">contained </w:t>
      </w:r>
      <w:r w:rsidRPr="00A35D7A">
        <w:t xml:space="preserve">in </w:t>
      </w:r>
      <w:r w:rsidRPr="009205B8">
        <w:t>paragraphs 10, 11 and 16 above.</w:t>
      </w:r>
    </w:p>
    <w:p w:rsidR="00761D70" w:rsidRDefault="00761D70" w:rsidP="007643F5">
      <w:pPr>
        <w:pStyle w:val="SingleTxtG"/>
      </w:pPr>
      <w:r>
        <w:t xml:space="preserve">20. </w:t>
      </w:r>
      <w:r>
        <w:tab/>
        <w:t xml:space="preserve">The Committee requests the State party, in its next periodic report, to be submitted </w:t>
      </w:r>
      <w:r w:rsidR="0075592C">
        <w:t>by</w:t>
      </w:r>
      <w:r>
        <w:t xml:space="preserve"> 26 July 2019,</w:t>
      </w:r>
      <w:r w:rsidRPr="00F83246">
        <w:rPr>
          <w:color w:val="FF0000"/>
        </w:rPr>
        <w:t xml:space="preserve"> </w:t>
      </w:r>
      <w:r>
        <w:t>to provide,</w:t>
      </w:r>
      <w:r w:rsidRPr="00257F71">
        <w:t xml:space="preserve"> </w:t>
      </w:r>
      <w:r w:rsidRPr="00065E5B">
        <w:t>specific, up-to-date</w:t>
      </w:r>
      <w:r>
        <w:t xml:space="preserve"> information on all its recommendations and on the Covenant as a whole.</w:t>
      </w:r>
    </w:p>
    <w:p w:rsidR="007643F5" w:rsidRPr="007643F5" w:rsidRDefault="007643F5" w:rsidP="007643F5">
      <w:pPr>
        <w:pStyle w:val="SingleTxtG"/>
        <w:spacing w:before="240" w:after="0"/>
        <w:jc w:val="center"/>
        <w:rPr>
          <w:snapToGrid w:val="0"/>
          <w:u w:val="single"/>
        </w:rPr>
      </w:pPr>
      <w:r>
        <w:rPr>
          <w:u w:val="single"/>
        </w:rPr>
        <w:tab/>
      </w:r>
      <w:r>
        <w:rPr>
          <w:u w:val="single"/>
        </w:rPr>
        <w:tab/>
      </w:r>
      <w:r>
        <w:rPr>
          <w:u w:val="single"/>
        </w:rPr>
        <w:tab/>
      </w:r>
    </w:p>
    <w:sectPr w:rsidR="007643F5" w:rsidRPr="007643F5" w:rsidSect="00761D7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06" w:rsidRDefault="004F4206"/>
  </w:endnote>
  <w:endnote w:type="continuationSeparator" w:id="0">
    <w:p w:rsidR="004F4206" w:rsidRDefault="004F4206"/>
  </w:endnote>
  <w:endnote w:type="continuationNotice" w:id="1">
    <w:p w:rsidR="004F4206" w:rsidRDefault="004F42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5" w:rsidRPr="00761D70" w:rsidRDefault="00ED6685" w:rsidP="00761D70">
    <w:pPr>
      <w:pStyle w:val="Footer"/>
      <w:tabs>
        <w:tab w:val="right" w:pos="9638"/>
      </w:tabs>
    </w:pPr>
    <w:r w:rsidRPr="00761D70">
      <w:rPr>
        <w:b/>
        <w:sz w:val="18"/>
      </w:rPr>
      <w:fldChar w:fldCharType="begin"/>
    </w:r>
    <w:r w:rsidRPr="00761D70">
      <w:rPr>
        <w:b/>
        <w:sz w:val="18"/>
      </w:rPr>
      <w:instrText xml:space="preserve"> PAGE  \* MERGEFORMAT </w:instrText>
    </w:r>
    <w:r w:rsidRPr="00761D70">
      <w:rPr>
        <w:b/>
        <w:sz w:val="18"/>
      </w:rPr>
      <w:fldChar w:fldCharType="separate"/>
    </w:r>
    <w:r w:rsidR="00A43B85">
      <w:rPr>
        <w:b/>
        <w:noProof/>
        <w:sz w:val="18"/>
      </w:rPr>
      <w:t>2</w:t>
    </w:r>
    <w:r w:rsidRPr="00761D7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5" w:rsidRPr="00761D70" w:rsidRDefault="00ED6685" w:rsidP="00761D70">
    <w:pPr>
      <w:pStyle w:val="Footer"/>
      <w:tabs>
        <w:tab w:val="right" w:pos="9638"/>
      </w:tabs>
      <w:rPr>
        <w:b/>
        <w:sz w:val="18"/>
      </w:rPr>
    </w:pPr>
    <w:r>
      <w:tab/>
    </w:r>
    <w:r w:rsidRPr="00761D70">
      <w:rPr>
        <w:b/>
        <w:sz w:val="18"/>
      </w:rPr>
      <w:fldChar w:fldCharType="begin"/>
    </w:r>
    <w:r w:rsidRPr="00761D70">
      <w:rPr>
        <w:b/>
        <w:sz w:val="18"/>
      </w:rPr>
      <w:instrText xml:space="preserve"> PAGE  \* MERGEFORMAT </w:instrText>
    </w:r>
    <w:r w:rsidRPr="00761D70">
      <w:rPr>
        <w:b/>
        <w:sz w:val="18"/>
      </w:rPr>
      <w:fldChar w:fldCharType="separate"/>
    </w:r>
    <w:r w:rsidR="00A43B85">
      <w:rPr>
        <w:b/>
        <w:noProof/>
        <w:sz w:val="18"/>
      </w:rPr>
      <w:t>5</w:t>
    </w:r>
    <w:r w:rsidRPr="00761D7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5" w:rsidRPr="00761D70" w:rsidRDefault="00ED668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A43B85">
      <w:t>46245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06" w:rsidRPr="000B175B" w:rsidRDefault="004F4206" w:rsidP="000B175B">
      <w:pPr>
        <w:tabs>
          <w:tab w:val="right" w:pos="2155"/>
        </w:tabs>
        <w:spacing w:after="80"/>
        <w:ind w:left="680"/>
        <w:rPr>
          <w:u w:val="single"/>
        </w:rPr>
      </w:pPr>
      <w:r>
        <w:rPr>
          <w:u w:val="single"/>
        </w:rPr>
        <w:tab/>
      </w:r>
    </w:p>
  </w:footnote>
  <w:footnote w:type="continuationSeparator" w:id="0">
    <w:p w:rsidR="004F4206" w:rsidRPr="00FC68B7" w:rsidRDefault="004F4206" w:rsidP="00FC68B7">
      <w:pPr>
        <w:tabs>
          <w:tab w:val="left" w:pos="2155"/>
        </w:tabs>
        <w:spacing w:after="80"/>
        <w:ind w:left="680"/>
        <w:rPr>
          <w:u w:val="single"/>
        </w:rPr>
      </w:pPr>
      <w:r>
        <w:rPr>
          <w:u w:val="single"/>
        </w:rPr>
        <w:tab/>
      </w:r>
    </w:p>
  </w:footnote>
  <w:footnote w:type="continuationNotice" w:id="1">
    <w:p w:rsidR="004F4206" w:rsidRDefault="004F4206"/>
  </w:footnote>
  <w:footnote w:id="2">
    <w:p w:rsidR="00ED6685" w:rsidRPr="00630358" w:rsidRDefault="00ED6685">
      <w:pPr>
        <w:pStyle w:val="FootnoteText"/>
      </w:pPr>
      <w:r w:rsidRPr="0064122B">
        <w:rPr>
          <w:rStyle w:val="FootnoteReference"/>
          <w:vertAlign w:val="baseline"/>
        </w:rPr>
        <w:tab/>
      </w:r>
      <w:r w:rsidRPr="0064122B">
        <w:rPr>
          <w:rStyle w:val="FootnoteReference"/>
        </w:rPr>
        <w:t>*</w:t>
      </w:r>
      <w:r w:rsidRPr="0064122B">
        <w:rPr>
          <w:rStyle w:val="FootnoteReference"/>
          <w:vertAlign w:val="baseline"/>
        </w:rPr>
        <w:tab/>
      </w:r>
      <w:r w:rsidRPr="0064122B">
        <w:t xml:space="preserve">Adopted by the Committee at its </w:t>
      </w:r>
      <w:r w:rsidR="006704F8">
        <w:t>108th session (8-26 July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5" w:rsidRPr="00761D70" w:rsidRDefault="00ED6685">
    <w:pPr>
      <w:pStyle w:val="Header"/>
    </w:pPr>
    <w:r>
      <w:t>CCPR/C/FIN/CO/6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85" w:rsidRPr="00761D70" w:rsidRDefault="00ED6685" w:rsidP="00761D70">
    <w:pPr>
      <w:pStyle w:val="Header"/>
      <w:jc w:val="right"/>
    </w:pPr>
    <w:r>
      <w:t>CCPR/C/FIN/CO/6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85" w:rsidRDefault="00A43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E724DE7"/>
    <w:multiLevelType w:val="hybridMultilevel"/>
    <w:tmpl w:val="A36AA06A"/>
    <w:lvl w:ilvl="0" w:tplc="5B82DF1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D70"/>
    <w:rsid w:val="000272B3"/>
    <w:rsid w:val="00050F6B"/>
    <w:rsid w:val="00054BDD"/>
    <w:rsid w:val="00057E97"/>
    <w:rsid w:val="00060C3A"/>
    <w:rsid w:val="00072C8C"/>
    <w:rsid w:val="000733B5"/>
    <w:rsid w:val="00081815"/>
    <w:rsid w:val="000931C0"/>
    <w:rsid w:val="000B175B"/>
    <w:rsid w:val="000B3A0F"/>
    <w:rsid w:val="000B4EF7"/>
    <w:rsid w:val="000C2C03"/>
    <w:rsid w:val="000C2D2E"/>
    <w:rsid w:val="000E0415"/>
    <w:rsid w:val="000F4B04"/>
    <w:rsid w:val="001103AA"/>
    <w:rsid w:val="00165F3A"/>
    <w:rsid w:val="00183968"/>
    <w:rsid w:val="001929BA"/>
    <w:rsid w:val="001A6686"/>
    <w:rsid w:val="001B4B04"/>
    <w:rsid w:val="001C6663"/>
    <w:rsid w:val="001C7895"/>
    <w:rsid w:val="001D0C8C"/>
    <w:rsid w:val="001D26DF"/>
    <w:rsid w:val="001D3A03"/>
    <w:rsid w:val="00202DA8"/>
    <w:rsid w:val="00211E0B"/>
    <w:rsid w:val="0023210C"/>
    <w:rsid w:val="00267F5F"/>
    <w:rsid w:val="00286B4D"/>
    <w:rsid w:val="002F175C"/>
    <w:rsid w:val="003013A4"/>
    <w:rsid w:val="003229D8"/>
    <w:rsid w:val="00352709"/>
    <w:rsid w:val="00367567"/>
    <w:rsid w:val="00371178"/>
    <w:rsid w:val="0038336C"/>
    <w:rsid w:val="003A6810"/>
    <w:rsid w:val="003C2CC4"/>
    <w:rsid w:val="003D4B23"/>
    <w:rsid w:val="003F7A26"/>
    <w:rsid w:val="00410C89"/>
    <w:rsid w:val="00426B9B"/>
    <w:rsid w:val="004325CB"/>
    <w:rsid w:val="00436B33"/>
    <w:rsid w:val="00442A83"/>
    <w:rsid w:val="0045495B"/>
    <w:rsid w:val="00457842"/>
    <w:rsid w:val="0046082A"/>
    <w:rsid w:val="00481448"/>
    <w:rsid w:val="00487488"/>
    <w:rsid w:val="004F4206"/>
    <w:rsid w:val="0052136D"/>
    <w:rsid w:val="0052775E"/>
    <w:rsid w:val="005420F2"/>
    <w:rsid w:val="00550230"/>
    <w:rsid w:val="005628B6"/>
    <w:rsid w:val="005644A2"/>
    <w:rsid w:val="005675DA"/>
    <w:rsid w:val="005848B3"/>
    <w:rsid w:val="00590F87"/>
    <w:rsid w:val="00592C4A"/>
    <w:rsid w:val="005B3DB3"/>
    <w:rsid w:val="005F7717"/>
    <w:rsid w:val="005F7B75"/>
    <w:rsid w:val="006001EE"/>
    <w:rsid w:val="00605042"/>
    <w:rsid w:val="00611FC4"/>
    <w:rsid w:val="006176FB"/>
    <w:rsid w:val="00630358"/>
    <w:rsid w:val="00640B26"/>
    <w:rsid w:val="0064122B"/>
    <w:rsid w:val="00652D0A"/>
    <w:rsid w:val="00652DAB"/>
    <w:rsid w:val="00662BB6"/>
    <w:rsid w:val="006704F8"/>
    <w:rsid w:val="00684C21"/>
    <w:rsid w:val="00686D2C"/>
    <w:rsid w:val="006B1FF7"/>
    <w:rsid w:val="006B2AD9"/>
    <w:rsid w:val="006D37AF"/>
    <w:rsid w:val="006D51D0"/>
    <w:rsid w:val="006E564B"/>
    <w:rsid w:val="006E7191"/>
    <w:rsid w:val="00703577"/>
    <w:rsid w:val="0072632A"/>
    <w:rsid w:val="007327D5"/>
    <w:rsid w:val="0074671D"/>
    <w:rsid w:val="0075592C"/>
    <w:rsid w:val="00761D70"/>
    <w:rsid w:val="007629C8"/>
    <w:rsid w:val="007643F5"/>
    <w:rsid w:val="0077355D"/>
    <w:rsid w:val="007B6BA5"/>
    <w:rsid w:val="007C3390"/>
    <w:rsid w:val="007C4F4B"/>
    <w:rsid w:val="007C784F"/>
    <w:rsid w:val="007E0B2D"/>
    <w:rsid w:val="007E3A67"/>
    <w:rsid w:val="007F6611"/>
    <w:rsid w:val="008105B8"/>
    <w:rsid w:val="008242D7"/>
    <w:rsid w:val="008257B1"/>
    <w:rsid w:val="00843767"/>
    <w:rsid w:val="008679D9"/>
    <w:rsid w:val="00874F78"/>
    <w:rsid w:val="008979B1"/>
    <w:rsid w:val="008A1DB2"/>
    <w:rsid w:val="008A6B25"/>
    <w:rsid w:val="008A6C4F"/>
    <w:rsid w:val="008B2335"/>
    <w:rsid w:val="008D18A0"/>
    <w:rsid w:val="008E0678"/>
    <w:rsid w:val="00910F40"/>
    <w:rsid w:val="00912C08"/>
    <w:rsid w:val="00914388"/>
    <w:rsid w:val="009223CA"/>
    <w:rsid w:val="00940F93"/>
    <w:rsid w:val="0095347F"/>
    <w:rsid w:val="009614BF"/>
    <w:rsid w:val="009760F3"/>
    <w:rsid w:val="009909F5"/>
    <w:rsid w:val="009A0E8D"/>
    <w:rsid w:val="009B26E7"/>
    <w:rsid w:val="009E435C"/>
    <w:rsid w:val="00A00A3F"/>
    <w:rsid w:val="00A01489"/>
    <w:rsid w:val="00A25C26"/>
    <w:rsid w:val="00A338F1"/>
    <w:rsid w:val="00A43B85"/>
    <w:rsid w:val="00A44615"/>
    <w:rsid w:val="00A72F22"/>
    <w:rsid w:val="00A7360F"/>
    <w:rsid w:val="00A748A6"/>
    <w:rsid w:val="00A769F4"/>
    <w:rsid w:val="00A776B4"/>
    <w:rsid w:val="00A94361"/>
    <w:rsid w:val="00AA293C"/>
    <w:rsid w:val="00B04E02"/>
    <w:rsid w:val="00B13E9B"/>
    <w:rsid w:val="00B30179"/>
    <w:rsid w:val="00B339A7"/>
    <w:rsid w:val="00B410E4"/>
    <w:rsid w:val="00B56E4A"/>
    <w:rsid w:val="00B56E9C"/>
    <w:rsid w:val="00B64B1F"/>
    <w:rsid w:val="00B6553F"/>
    <w:rsid w:val="00B66E5E"/>
    <w:rsid w:val="00B77D05"/>
    <w:rsid w:val="00B81206"/>
    <w:rsid w:val="00B81E12"/>
    <w:rsid w:val="00B9067B"/>
    <w:rsid w:val="00BC2C23"/>
    <w:rsid w:val="00BC74E9"/>
    <w:rsid w:val="00BF68A8"/>
    <w:rsid w:val="00BF7F2E"/>
    <w:rsid w:val="00C11A03"/>
    <w:rsid w:val="00C1546F"/>
    <w:rsid w:val="00C463DD"/>
    <w:rsid w:val="00C4724C"/>
    <w:rsid w:val="00C629A0"/>
    <w:rsid w:val="00C745C3"/>
    <w:rsid w:val="00C97B72"/>
    <w:rsid w:val="00CB5ADD"/>
    <w:rsid w:val="00CD2BB9"/>
    <w:rsid w:val="00CE4A8F"/>
    <w:rsid w:val="00D2031B"/>
    <w:rsid w:val="00D249FD"/>
    <w:rsid w:val="00D25FE2"/>
    <w:rsid w:val="00D43252"/>
    <w:rsid w:val="00D47EEA"/>
    <w:rsid w:val="00D558F7"/>
    <w:rsid w:val="00D92C3A"/>
    <w:rsid w:val="00D95303"/>
    <w:rsid w:val="00D978C6"/>
    <w:rsid w:val="00DA3111"/>
    <w:rsid w:val="00DA3C1C"/>
    <w:rsid w:val="00DB0C79"/>
    <w:rsid w:val="00E27346"/>
    <w:rsid w:val="00E34C24"/>
    <w:rsid w:val="00E71BC8"/>
    <w:rsid w:val="00E7260F"/>
    <w:rsid w:val="00E779FC"/>
    <w:rsid w:val="00E96630"/>
    <w:rsid w:val="00EB2581"/>
    <w:rsid w:val="00ED5A12"/>
    <w:rsid w:val="00ED6685"/>
    <w:rsid w:val="00ED7A2A"/>
    <w:rsid w:val="00EF1D7F"/>
    <w:rsid w:val="00F20C3D"/>
    <w:rsid w:val="00F43E9E"/>
    <w:rsid w:val="00F7171F"/>
    <w:rsid w:val="00F9057C"/>
    <w:rsid w:val="00F906D7"/>
    <w:rsid w:val="00F93781"/>
    <w:rsid w:val="00FB613B"/>
    <w:rsid w:val="00FC68B7"/>
    <w:rsid w:val="00FC751A"/>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761D70"/>
    <w:rPr>
      <w:lang w:eastAsia="en-US"/>
    </w:rPr>
  </w:style>
  <w:style w:type="paragraph" w:styleId="ListParagraph">
    <w:name w:val="List Paragraph"/>
    <w:basedOn w:val="Normal"/>
    <w:uiPriority w:val="34"/>
    <w:qFormat/>
    <w:rsid w:val="00761D70"/>
    <w:pPr>
      <w:ind w:left="720"/>
    </w:pPr>
  </w:style>
  <w:style w:type="paragraph" w:styleId="BalloonText">
    <w:name w:val="Balloon Text"/>
    <w:basedOn w:val="Normal"/>
    <w:link w:val="BalloonTextChar"/>
    <w:rsid w:val="009614BF"/>
    <w:pPr>
      <w:spacing w:line="240" w:lineRule="auto"/>
    </w:pPr>
    <w:rPr>
      <w:rFonts w:ascii="Tahoma" w:hAnsi="Tahoma"/>
      <w:sz w:val="16"/>
      <w:szCs w:val="16"/>
      <w:lang/>
    </w:rPr>
  </w:style>
  <w:style w:type="character" w:customStyle="1" w:styleId="BalloonTextChar">
    <w:name w:val="Balloon Text Char"/>
    <w:link w:val="BalloonText"/>
    <w:rsid w:val="009614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2444</Words>
  <Characters>12444</Characters>
  <Application>Microsoft Office Outlook</Application>
  <DocSecurity>4</DocSecurity>
  <Lines>296</Lines>
  <Paragraphs>163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2013-08-21T10:53:00Z</cp:lastPrinted>
  <dcterms:created xsi:type="dcterms:W3CDTF">2013-08-22T12:34:00Z</dcterms:created>
  <dcterms:modified xsi:type="dcterms:W3CDTF">2013-08-22T12:34:00Z</dcterms:modified>
</cp:coreProperties>
</file>