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9A12AD" w:rsidP="00660097">
            <w:pPr>
              <w:bidi w:val="0"/>
              <w:spacing w:after="20"/>
              <w:jc w:val="left"/>
              <w:rPr>
                <w:szCs w:val="20"/>
              </w:rPr>
            </w:pPr>
            <w:r w:rsidRPr="009A12AD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/SP/17/1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660097" w:rsidRPr="00243C8A" w:rsidRDefault="00660097" w:rsidP="00660097">
            <w:pPr>
              <w:bidi w:val="0"/>
              <w:jc w:val="left"/>
              <w:rPr>
                <w:szCs w:val="20"/>
              </w:rPr>
            </w:pPr>
          </w:p>
        </w:tc>
      </w:tr>
    </w:tbl>
    <w:p w:rsidR="00660097" w:rsidRDefault="000F08BA" w:rsidP="00E70116">
      <w:pPr>
        <w:spacing w:before="120" w:line="380" w:lineRule="exact"/>
        <w:ind w:right="4718"/>
        <w:rPr>
          <w:rFonts w:hint="cs"/>
          <w:rtl/>
        </w:rPr>
      </w:pPr>
      <w:r>
        <w:rPr>
          <w:rFonts w:hint="cs"/>
          <w:b/>
          <w:bCs/>
          <w:sz w:val="26"/>
          <w:szCs w:val="36"/>
          <w:rtl/>
          <w:lang w:eastAsia="zh-TW"/>
        </w:rPr>
        <w:t>اجتماع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الدول الأطراف في اتفاقية</w:t>
      </w:r>
      <w:r w:rsidR="00660097" w:rsidRPr="00AF155B">
        <w:rPr>
          <w:rFonts w:cs="Times New Roman" w:hint="cs"/>
          <w:b/>
          <w:bCs/>
          <w:sz w:val="26"/>
          <w:szCs w:val="36"/>
          <w:rtl/>
          <w:lang w:eastAsia="zh-TW"/>
        </w:rPr>
        <w:t>‬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مناهضة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التعذيب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وغيره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من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ضروب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المعاملة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أو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العقوبة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القاسية</w:t>
      </w:r>
      <w:r w:rsidR="00660097" w:rsidRPr="00AF155B">
        <w:rPr>
          <w:b/>
          <w:bCs/>
          <w:sz w:val="26"/>
          <w:szCs w:val="36"/>
          <w:rtl/>
          <w:lang w:eastAsia="zh-TW"/>
        </w:rPr>
        <w:t xml:space="preserve"> </w:t>
      </w:r>
      <w:r w:rsidR="00660097" w:rsidRPr="00AF155B">
        <w:rPr>
          <w:rFonts w:ascii="Traditional Arabic" w:hAnsi="Traditional Arabic" w:hint="cs"/>
          <w:b/>
          <w:bCs/>
          <w:sz w:val="26"/>
          <w:szCs w:val="36"/>
          <w:rtl/>
          <w:lang w:eastAsia="zh-TW"/>
        </w:rPr>
        <w:t>أو</w:t>
      </w:r>
      <w:r w:rsidR="00660097">
        <w:rPr>
          <w:rFonts w:hint="cs"/>
          <w:b/>
          <w:bCs/>
          <w:sz w:val="26"/>
          <w:szCs w:val="36"/>
          <w:rtl/>
          <w:lang w:eastAsia="zh-TW"/>
        </w:rPr>
        <w:t> </w:t>
      </w:r>
      <w:r w:rsidR="00660097" w:rsidRPr="00AF155B">
        <w:rPr>
          <w:b/>
          <w:bCs/>
          <w:sz w:val="26"/>
          <w:szCs w:val="36"/>
          <w:rtl/>
          <w:lang w:eastAsia="zh-TW"/>
        </w:rPr>
        <w:t>اللاإنسانية أو المهينة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660097" w:rsidRDefault="00660097" w:rsidP="00660097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660097" w:rsidRDefault="00660097" w:rsidP="0066009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17 July 2019</w:t>
            </w:r>
          </w:p>
          <w:p w:rsidR="00660097" w:rsidRDefault="00660097" w:rsidP="0066009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660097" w:rsidRDefault="00660097" w:rsidP="0066009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660097" w:rsidRPr="00AF155B" w:rsidRDefault="00660097" w:rsidP="00660097">
      <w:pPr>
        <w:spacing w:line="380" w:lineRule="exact"/>
        <w:textDirection w:val="tbRlV"/>
        <w:rPr>
          <w:rFonts w:eastAsiaTheme="minorEastAsia"/>
          <w:b/>
          <w:bCs/>
          <w:rtl/>
          <w:lang w:eastAsia="zh-TW"/>
        </w:rPr>
      </w:pPr>
      <w:dir w:val="rtl">
        <w:r w:rsidRPr="00AF155B">
          <w:rPr>
            <w:b/>
            <w:bCs/>
            <w:rtl/>
            <w:lang w:eastAsia="zh-TW"/>
          </w:rPr>
          <w:t>الاجتماع السا</w:t>
        </w:r>
        <w:r>
          <w:rPr>
            <w:rFonts w:hint="cs"/>
            <w:b/>
            <w:bCs/>
            <w:rtl/>
            <w:lang w:eastAsia="zh-TW" w:bidi="ar-DZ"/>
          </w:rPr>
          <w:t>بع</w:t>
        </w:r>
        <w:r w:rsidRPr="00AF155B">
          <w:rPr>
            <w:b/>
            <w:bCs/>
            <w:rtl/>
            <w:lang w:eastAsia="zh-TW"/>
          </w:rPr>
          <w:t xml:space="preserve"> عشر</w:t>
        </w:r>
        <w:r w:rsidRPr="00AF155B">
          <w:rPr>
            <w:rFonts w:cs="Times New Roman" w:hint="cs"/>
            <w:b/>
            <w:bCs/>
            <w:rtl/>
            <w:lang w:eastAsia="zh-TW"/>
          </w:rPr>
          <w:t>‬</w:t>
        </w:r>
        <w:r w:rsidRPr="00AF155B">
          <w:rPr>
            <w:b/>
            <w:bCs/>
          </w:rPr>
          <w:t>‬</w:t>
        </w:r>
        <w:r>
          <w:t>‬</w:t>
        </w:r>
        <w:r>
          <w:t>‬</w:t>
        </w:r>
        <w:r>
          <w:t>‬</w:t>
        </w:r>
      </w:dir>
    </w:p>
    <w:p w:rsidR="00660097" w:rsidRPr="00714962" w:rsidRDefault="00660097" w:rsidP="00660097">
      <w:pPr>
        <w:spacing w:line="380" w:lineRule="exact"/>
        <w:textDirection w:val="tbRlV"/>
        <w:rPr>
          <w:rFonts w:eastAsiaTheme="minorEastAsia"/>
          <w:rtl/>
          <w:lang w:eastAsia="zh-TW"/>
        </w:rPr>
      </w:pPr>
      <w:r>
        <w:rPr>
          <w:rFonts w:hint="cs"/>
          <w:rtl/>
          <w:lang w:eastAsia="zh-TW"/>
        </w:rPr>
        <w:t>3</w:t>
      </w:r>
      <w:r>
        <w:rPr>
          <w:rtl/>
          <w:lang w:eastAsia="zh-TW"/>
        </w:rPr>
        <w:t xml:space="preserve"> تشرين الأول/أكتوبر </w:t>
      </w:r>
      <w:r>
        <w:rPr>
          <w:rFonts w:hint="cs"/>
          <w:rtl/>
          <w:lang w:eastAsia="zh-TW"/>
        </w:rPr>
        <w:t>2019</w:t>
      </w:r>
    </w:p>
    <w:p w:rsidR="00660097" w:rsidRPr="00714962" w:rsidRDefault="00660097" w:rsidP="00660097">
      <w:pPr>
        <w:spacing w:line="380" w:lineRule="exact"/>
        <w:textDirection w:val="tbRlV"/>
        <w:rPr>
          <w:rFonts w:eastAsiaTheme="minorEastAsia"/>
          <w:rtl/>
          <w:lang w:eastAsia="zh-TW"/>
        </w:rPr>
      </w:pPr>
      <w:r>
        <w:rPr>
          <w:rtl/>
          <w:lang w:eastAsia="zh-TW"/>
        </w:rPr>
        <w:t>البند 3 من جدول الأعمال المؤقت</w:t>
      </w:r>
    </w:p>
    <w:p w:rsidR="00660097" w:rsidRPr="00AF155B" w:rsidRDefault="00660097" w:rsidP="00660097">
      <w:pPr>
        <w:spacing w:line="380" w:lineRule="exact"/>
        <w:textDirection w:val="tbRlV"/>
        <w:rPr>
          <w:rFonts w:eastAsiaTheme="minorEastAsia"/>
          <w:b/>
          <w:bCs/>
          <w:rtl/>
          <w:lang w:eastAsia="zh-TW"/>
        </w:rPr>
      </w:pPr>
      <w:r w:rsidRPr="00AF155B">
        <w:rPr>
          <w:b/>
          <w:bCs/>
          <w:rtl/>
          <w:lang w:eastAsia="zh-TW"/>
        </w:rPr>
        <w:t>إقرار جدول الأعمال</w:t>
      </w:r>
    </w:p>
    <w:p w:rsidR="00660097" w:rsidRPr="00714962" w:rsidRDefault="00660097" w:rsidP="00660097">
      <w:pPr>
        <w:pStyle w:val="HChGA"/>
        <w:rPr>
          <w:rFonts w:eastAsiaTheme="minorEastAsia"/>
          <w:rtl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tl/>
          <w:lang w:eastAsia="zh-TW"/>
        </w:rPr>
        <w:t>جدول الأعمال المؤقت</w:t>
      </w:r>
    </w:p>
    <w:p w:rsidR="00660097" w:rsidRPr="00714962" w:rsidRDefault="00660097" w:rsidP="0066009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١-</w:t>
      </w:r>
      <w:r>
        <w:rPr>
          <w:rtl/>
          <w:lang w:eastAsia="zh-TW"/>
        </w:rPr>
        <w:tab/>
        <w:t>افتتاح الاجتماع من جانب ممثل الأمين العام.</w:t>
      </w:r>
    </w:p>
    <w:p w:rsidR="00660097" w:rsidRPr="00714962" w:rsidRDefault="00660097" w:rsidP="0066009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٢-</w:t>
      </w:r>
      <w:r>
        <w:rPr>
          <w:rtl/>
          <w:lang w:eastAsia="zh-TW"/>
        </w:rPr>
        <w:tab/>
        <w:t>انتخاب الرئيس.</w:t>
      </w:r>
    </w:p>
    <w:p w:rsidR="00660097" w:rsidRPr="00714962" w:rsidRDefault="00660097" w:rsidP="0066009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٣-</w:t>
      </w:r>
      <w:r>
        <w:rPr>
          <w:rtl/>
          <w:lang w:eastAsia="zh-TW"/>
        </w:rPr>
        <w:tab/>
        <w:t>إقرار جدول الأعمال.</w:t>
      </w:r>
    </w:p>
    <w:p w:rsidR="00660097" w:rsidRPr="00714962" w:rsidRDefault="00660097" w:rsidP="0066009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٤-</w:t>
      </w:r>
      <w:r>
        <w:rPr>
          <w:rtl/>
          <w:lang w:eastAsia="zh-TW"/>
        </w:rPr>
        <w:tab/>
        <w:t>انتخاب أعضاء مكتب الاجتماع الآخرين.</w:t>
      </w:r>
    </w:p>
    <w:p w:rsidR="00660097" w:rsidRPr="00714962" w:rsidRDefault="00660097" w:rsidP="00660097">
      <w:pPr>
        <w:pStyle w:val="SingleTxtGA"/>
        <w:ind w:left="1940" w:hanging="693"/>
        <w:rPr>
          <w:rtl/>
          <w:lang w:eastAsia="zh-TW"/>
        </w:rPr>
      </w:pPr>
      <w:r>
        <w:rPr>
          <w:rtl/>
          <w:lang w:eastAsia="zh-TW"/>
        </w:rPr>
        <w:t>٥-</w:t>
      </w:r>
      <w:r>
        <w:tab/>
      </w:r>
      <w:r>
        <w:rPr>
          <w:rtl/>
          <w:lang w:eastAsia="zh-TW"/>
        </w:rPr>
        <w:t>انتخاب خمسة أعضاء في لجنة مناهضة التعذيب ليحلوا محل الأعضاء الذين ستنتهي فترة عضويتهم في 31 كانون الأول/ديسمب</w:t>
      </w:r>
      <w:bookmarkStart w:id="0" w:name="_GoBack"/>
      <w:bookmarkEnd w:id="0"/>
      <w:r>
        <w:rPr>
          <w:rtl/>
          <w:lang w:eastAsia="zh-TW"/>
        </w:rPr>
        <w:t>ر 201</w:t>
      </w:r>
      <w:r>
        <w:rPr>
          <w:rFonts w:hint="cs"/>
          <w:rtl/>
          <w:lang w:eastAsia="zh-TW"/>
        </w:rPr>
        <w:t>9</w:t>
      </w:r>
      <w:r>
        <w:rPr>
          <w:rtl/>
          <w:lang w:eastAsia="zh-TW"/>
        </w:rPr>
        <w:t>، وفقاً للفقرات من 1 إلى 5 من المادة 17 من الاتفاقية</w:t>
      </w:r>
      <w:r>
        <w:rPr>
          <w:rFonts w:cs="Times New Roman" w:hint="cs"/>
          <w:rtl/>
          <w:lang w:eastAsia="zh-TW"/>
        </w:rPr>
        <w:t>‬</w:t>
      </w:r>
      <w:r>
        <w:t>‬</w:t>
      </w:r>
      <w:r>
        <w:rPr>
          <w:rFonts w:hint="cs"/>
          <w:rtl/>
        </w:rPr>
        <w:t>.</w:t>
      </w:r>
    </w:p>
    <w:p w:rsidR="00660097" w:rsidRDefault="00660097" w:rsidP="00660097">
      <w:pPr>
        <w:pStyle w:val="SingleTxtGA"/>
        <w:rPr>
          <w:rtl/>
        </w:rPr>
      </w:pPr>
      <w:r>
        <w:rPr>
          <w:rtl/>
          <w:lang w:eastAsia="zh-TW"/>
        </w:rPr>
        <w:t>٦-</w:t>
      </w:r>
      <w:r>
        <w:rPr>
          <w:rtl/>
          <w:lang w:eastAsia="zh-TW"/>
        </w:rPr>
        <w:tab/>
        <w:t>مسائل أخرى.</w:t>
      </w:r>
    </w:p>
    <w:p w:rsidR="00660097" w:rsidRPr="00660097" w:rsidRDefault="00660097" w:rsidP="00660097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60097" w:rsidRPr="00660097" w:rsidSect="009A1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06" w:rsidRPr="002901D9" w:rsidRDefault="00D94A0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94A06" w:rsidRDefault="00D94A0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AD" w:rsidRPr="00660097" w:rsidRDefault="00660097" w:rsidP="00660097">
    <w:pPr>
      <w:pStyle w:val="Footer"/>
      <w:tabs>
        <w:tab w:val="right" w:pos="9598"/>
      </w:tabs>
      <w:rPr>
        <w:sz w:val="17"/>
      </w:rPr>
    </w:pPr>
    <w:r>
      <w:rPr>
        <w:sz w:val="17"/>
      </w:rPr>
      <w:t>GE.19-12202</w:t>
    </w:r>
    <w:r>
      <w:rPr>
        <w:sz w:val="17"/>
      </w:rPr>
      <w:tab/>
    </w:r>
    <w:r w:rsidRPr="00660097">
      <w:rPr>
        <w:b/>
        <w:sz w:val="18"/>
      </w:rPr>
      <w:fldChar w:fldCharType="begin"/>
    </w:r>
    <w:r w:rsidRPr="00660097">
      <w:rPr>
        <w:b/>
        <w:sz w:val="18"/>
      </w:rPr>
      <w:instrText xml:space="preserve"> PAGE  \* MERGEFORMAT </w:instrText>
    </w:r>
    <w:r w:rsidRPr="00660097">
      <w:rPr>
        <w:b/>
        <w:sz w:val="18"/>
      </w:rPr>
      <w:fldChar w:fldCharType="separate"/>
    </w:r>
    <w:r>
      <w:rPr>
        <w:b/>
        <w:sz w:val="18"/>
      </w:rPr>
      <w:t>2</w:t>
    </w:r>
    <w:r w:rsidRPr="0066009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660097" w:rsidRDefault="0066009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60097">
      <w:rPr>
        <w:b/>
        <w:sz w:val="18"/>
        <w:lang w:val="en-US"/>
      </w:rPr>
      <w:fldChar w:fldCharType="begin"/>
    </w:r>
    <w:r w:rsidRPr="00660097">
      <w:rPr>
        <w:b/>
        <w:sz w:val="18"/>
        <w:lang w:val="en-US"/>
      </w:rPr>
      <w:instrText xml:space="preserve"> PAGE  \* MERGEFORMAT </w:instrText>
    </w:r>
    <w:r w:rsidRPr="00660097">
      <w:rPr>
        <w:b/>
        <w:sz w:val="18"/>
        <w:lang w:val="en-US"/>
      </w:rPr>
      <w:fldChar w:fldCharType="separate"/>
    </w:r>
    <w:r w:rsidRPr="00660097">
      <w:rPr>
        <w:b/>
        <w:noProof/>
        <w:sz w:val="18"/>
        <w:lang w:val="en-US"/>
      </w:rPr>
      <w:t>3</w:t>
    </w:r>
    <w:r w:rsidRPr="0066009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GE.19-12202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8" w:rsidRDefault="009A12AD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GE.19-12202</w:t>
    </w:r>
    <w:r w:rsidR="00A34EA8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9A12AD" w:rsidRPr="009A12AD" w:rsidRDefault="009A12AD" w:rsidP="009A12A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06" w:rsidRPr="004956DC" w:rsidRDefault="00D94A06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94A06" w:rsidRDefault="00D94A06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AD" w:rsidRPr="00660097" w:rsidRDefault="00660097" w:rsidP="00660097">
    <w:pPr>
      <w:pStyle w:val="Header"/>
      <w:jc w:val="right"/>
    </w:pPr>
    <w:r w:rsidRPr="00660097">
      <w:t>CAT/SP/17/1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AD" w:rsidRPr="00660097" w:rsidRDefault="00660097" w:rsidP="00660097">
    <w:pPr>
      <w:pStyle w:val="Header"/>
      <w:jc w:val="left"/>
    </w:pPr>
    <w:r w:rsidRPr="00660097">
      <w:t>CAT/SP/17/1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D94A06"/>
    <w:rsid w:val="000076D5"/>
    <w:rsid w:val="00043663"/>
    <w:rsid w:val="000505CF"/>
    <w:rsid w:val="000A2113"/>
    <w:rsid w:val="000D701C"/>
    <w:rsid w:val="000E2A71"/>
    <w:rsid w:val="000F08BA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0097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12AD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94A06"/>
    <w:rsid w:val="00DA3C7C"/>
    <w:rsid w:val="00DC1D29"/>
    <w:rsid w:val="00DD13C3"/>
    <w:rsid w:val="00DD596E"/>
    <w:rsid w:val="00DD621E"/>
    <w:rsid w:val="00DF0575"/>
    <w:rsid w:val="00E70116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FDE69"/>
  <w15:docId w15:val="{CACA0B57-EE54-400F-A20D-49EC0C1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D827-7C6E-4462-9C2B-B464C83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119</Words>
  <Characters>620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CAT/SP/17/1</vt:lpstr>
    </vt:vector>
  </TitlesOfParts>
  <Company>DCM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CAT/SP/17/1</dc:title>
  <dc:subject>GE.</dc:subject>
  <dc:creator>Ibrahim BALAN</dc:creator>
  <cp:keywords>ODS No.</cp:keywords>
  <dc:description>Distribution:_x000d_
Original: English_x000d_
Date: 17 July 2019</dc:description>
  <cp:lastModifiedBy>Ibrahim BALAN</cp:lastModifiedBy>
  <cp:revision>2</cp:revision>
  <cp:lastPrinted>2019-07-19T09:02:00Z</cp:lastPrinted>
  <dcterms:created xsi:type="dcterms:W3CDTF">2019-07-19T09:19:00Z</dcterms:created>
  <dcterms:modified xsi:type="dcterms:W3CDTF">2019-07-19T09:19:00Z</dcterms:modified>
  <cp:category>Final</cp:category>
</cp:coreProperties>
</file>