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519B5" w:rsidRPr="00843CEF" w14:paraId="6701EE25" w14:textId="77777777" w:rsidTr="002505C9">
        <w:trPr>
          <w:trHeight w:hRule="exact" w:val="851"/>
        </w:trPr>
        <w:tc>
          <w:tcPr>
            <w:tcW w:w="1276" w:type="dxa"/>
            <w:tcBorders>
              <w:bottom w:val="single" w:sz="4" w:space="0" w:color="auto"/>
            </w:tcBorders>
          </w:tcPr>
          <w:p w14:paraId="674176BE" w14:textId="77777777" w:rsidR="006519B5" w:rsidRPr="00DB58B5" w:rsidRDefault="006519B5" w:rsidP="004C1CD4"/>
        </w:tc>
        <w:tc>
          <w:tcPr>
            <w:tcW w:w="2268" w:type="dxa"/>
            <w:tcBorders>
              <w:bottom w:val="single" w:sz="4" w:space="0" w:color="auto"/>
            </w:tcBorders>
            <w:vAlign w:val="bottom"/>
          </w:tcPr>
          <w:p w14:paraId="55753475" w14:textId="77777777" w:rsidR="006519B5" w:rsidRPr="00DB58B5" w:rsidRDefault="006519B5" w:rsidP="004C1CD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C6A59C1" w14:textId="22CD6E87" w:rsidR="006519B5" w:rsidRPr="007A5A98" w:rsidRDefault="007A5A98" w:rsidP="007A5A98">
            <w:pPr>
              <w:jc w:val="right"/>
              <w:rPr>
                <w:lang w:val="en-GB"/>
              </w:rPr>
            </w:pPr>
            <w:r w:rsidRPr="007A5A98">
              <w:rPr>
                <w:sz w:val="40"/>
                <w:lang w:val="en-GB"/>
              </w:rPr>
              <w:t>CMW</w:t>
            </w:r>
            <w:r>
              <w:rPr>
                <w:lang w:val="en-GB"/>
              </w:rPr>
              <w:t>/C/MDG/CO/1</w:t>
            </w:r>
          </w:p>
        </w:tc>
      </w:tr>
      <w:tr w:rsidR="006519B5" w:rsidRPr="00DB58B5" w14:paraId="3F6A4E27" w14:textId="77777777" w:rsidTr="004C1CD4">
        <w:trPr>
          <w:trHeight w:hRule="exact" w:val="2835"/>
        </w:trPr>
        <w:tc>
          <w:tcPr>
            <w:tcW w:w="1276" w:type="dxa"/>
            <w:tcBorders>
              <w:top w:val="single" w:sz="4" w:space="0" w:color="auto"/>
              <w:bottom w:val="single" w:sz="12" w:space="0" w:color="auto"/>
            </w:tcBorders>
          </w:tcPr>
          <w:p w14:paraId="5019E1A6" w14:textId="77777777" w:rsidR="006519B5" w:rsidRPr="00DB58B5" w:rsidRDefault="00763555" w:rsidP="004C1CD4">
            <w:pPr>
              <w:spacing w:before="120"/>
              <w:jc w:val="center"/>
            </w:pPr>
            <w:r>
              <w:rPr>
                <w:noProof/>
                <w:lang w:val="en-GB" w:eastAsia="en-GB"/>
              </w:rPr>
              <w:drawing>
                <wp:inline distT="0" distB="0" distL="0" distR="0" wp14:anchorId="0849B998" wp14:editId="0F61BED5">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F27FD7" w14:textId="77777777" w:rsidR="006519B5" w:rsidRPr="00740562" w:rsidRDefault="006519B5" w:rsidP="004C1CD4">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14:paraId="711F091C" w14:textId="75DD119B" w:rsidR="006519B5" w:rsidRDefault="002505C9" w:rsidP="002505C9">
            <w:pPr>
              <w:spacing w:before="240" w:line="240" w:lineRule="exact"/>
            </w:pPr>
            <w:proofErr w:type="spellStart"/>
            <w:r>
              <w:t>Distr</w:t>
            </w:r>
            <w:proofErr w:type="spellEnd"/>
            <w:r>
              <w:t xml:space="preserve">. </w:t>
            </w:r>
            <w:r w:rsidR="00843CEF">
              <w:t>générale</w:t>
            </w:r>
          </w:p>
          <w:p w14:paraId="4EAD653E" w14:textId="24FAA92E" w:rsidR="002505C9" w:rsidRDefault="00205406" w:rsidP="002505C9">
            <w:pPr>
              <w:spacing w:line="240" w:lineRule="exact"/>
            </w:pPr>
            <w:r>
              <w:t>1</w:t>
            </w:r>
            <w:r w:rsidR="00020798">
              <w:t>5</w:t>
            </w:r>
            <w:r w:rsidR="00C12087">
              <w:t xml:space="preserve"> octobre</w:t>
            </w:r>
            <w:r w:rsidR="002505C9">
              <w:t xml:space="preserve"> 2018</w:t>
            </w:r>
          </w:p>
          <w:p w14:paraId="6D11CEEB" w14:textId="3BE5A8B4" w:rsidR="002505C9" w:rsidRDefault="002505C9" w:rsidP="002505C9">
            <w:pPr>
              <w:spacing w:line="240" w:lineRule="exact"/>
            </w:pPr>
          </w:p>
          <w:p w14:paraId="30D390E4" w14:textId="0B300B44" w:rsidR="0032160D" w:rsidRPr="00DB58B5" w:rsidRDefault="009A1F63" w:rsidP="00134B51">
            <w:pPr>
              <w:spacing w:line="240" w:lineRule="exact"/>
            </w:pPr>
            <w:r>
              <w:t>Original : français</w:t>
            </w:r>
          </w:p>
        </w:tc>
      </w:tr>
    </w:tbl>
    <w:p w14:paraId="6C44F80B" w14:textId="30272C75" w:rsidR="002505C9" w:rsidRPr="002505C9" w:rsidRDefault="002505C9" w:rsidP="002505C9">
      <w:pPr>
        <w:spacing w:before="120"/>
        <w:rPr>
          <w:b/>
          <w:sz w:val="24"/>
          <w:szCs w:val="24"/>
        </w:rPr>
      </w:pPr>
      <w:r w:rsidRPr="00441241">
        <w:rPr>
          <w:b/>
          <w:sz w:val="24"/>
          <w:szCs w:val="24"/>
        </w:rPr>
        <w:t xml:space="preserve">Comité </w:t>
      </w:r>
      <w:r>
        <w:rPr>
          <w:b/>
          <w:sz w:val="24"/>
          <w:szCs w:val="24"/>
        </w:rPr>
        <w:t xml:space="preserve">pour </w:t>
      </w:r>
      <w:r w:rsidRPr="004F047B">
        <w:rPr>
          <w:b/>
          <w:sz w:val="24"/>
          <w:szCs w:val="24"/>
        </w:rPr>
        <w:t>la protection des droits</w:t>
      </w:r>
      <w:r>
        <w:rPr>
          <w:b/>
          <w:sz w:val="24"/>
          <w:szCs w:val="24"/>
        </w:rPr>
        <w:t xml:space="preserve"> </w:t>
      </w:r>
      <w:r w:rsidRPr="004F047B">
        <w:rPr>
          <w:b/>
          <w:sz w:val="24"/>
          <w:szCs w:val="24"/>
        </w:rPr>
        <w:t>de tous les travailleurs</w:t>
      </w:r>
      <w:r w:rsidR="009A1F63">
        <w:rPr>
          <w:b/>
          <w:sz w:val="24"/>
          <w:szCs w:val="24"/>
        </w:rPr>
        <w:t xml:space="preserve"> </w:t>
      </w:r>
      <w:r w:rsidRPr="004F047B">
        <w:rPr>
          <w:b/>
          <w:sz w:val="24"/>
          <w:szCs w:val="24"/>
        </w:rPr>
        <w:br/>
      </w:r>
      <w:r w:rsidRPr="002505C9">
        <w:rPr>
          <w:b/>
          <w:sz w:val="24"/>
          <w:szCs w:val="24"/>
        </w:rPr>
        <w:t>migrants et des membres de leur famille</w:t>
      </w:r>
    </w:p>
    <w:p w14:paraId="04B87BFE" w14:textId="22C289DF" w:rsidR="002505C9" w:rsidRDefault="002505C9" w:rsidP="002505C9">
      <w:pPr>
        <w:pStyle w:val="HChG"/>
      </w:pPr>
      <w:r>
        <w:tab/>
      </w:r>
      <w:r w:rsidRPr="000A2667">
        <w:rPr>
          <w:szCs w:val="34"/>
        </w:rPr>
        <w:tab/>
      </w:r>
      <w:r>
        <w:t>Observations finales concernant le</w:t>
      </w:r>
      <w:r w:rsidRPr="00BC6DBC">
        <w:t xml:space="preserve"> </w:t>
      </w:r>
      <w:r>
        <w:t>rapport initial de</w:t>
      </w:r>
      <w:r w:rsidR="009A1F63">
        <w:t> </w:t>
      </w:r>
      <w:r>
        <w:t>Madagascar</w:t>
      </w:r>
      <w:r w:rsidR="00843CEF" w:rsidRPr="001A0A15">
        <w:rPr>
          <w:rStyle w:val="Appelnotedebasdep"/>
          <w:b w:val="0"/>
          <w:sz w:val="20"/>
          <w:vertAlign w:val="baseline"/>
        </w:rPr>
        <w:footnoteReference w:customMarkFollows="1" w:id="2"/>
        <w:t>*</w:t>
      </w:r>
    </w:p>
    <w:p w14:paraId="0FD905B6" w14:textId="4CE44A8E" w:rsidR="00807237" w:rsidRPr="006D72A4" w:rsidRDefault="00807237" w:rsidP="00807237">
      <w:pPr>
        <w:pStyle w:val="SingleTxtG"/>
      </w:pPr>
      <w:r w:rsidRPr="006D72A4">
        <w:t>1.</w:t>
      </w:r>
      <w:r w:rsidRPr="006D72A4">
        <w:tab/>
        <w:t>Le Comité a examiné le rapport initial d</w:t>
      </w:r>
      <w:r w:rsidR="00CD41BB">
        <w:t>e</w:t>
      </w:r>
      <w:r w:rsidRPr="006D72A4">
        <w:t xml:space="preserve"> Madagascar (CMW/C/MDG/1) à ses 399</w:t>
      </w:r>
      <w:r w:rsidRPr="001A0A15">
        <w:rPr>
          <w:vertAlign w:val="superscript"/>
        </w:rPr>
        <w:t>e</w:t>
      </w:r>
      <w:r w:rsidRPr="006D72A4">
        <w:t xml:space="preserve"> et 400</w:t>
      </w:r>
      <w:r w:rsidRPr="001A0A15">
        <w:rPr>
          <w:vertAlign w:val="superscript"/>
        </w:rPr>
        <w:t>e</w:t>
      </w:r>
      <w:r w:rsidRPr="006D72A4">
        <w:t xml:space="preserve"> séances (</w:t>
      </w:r>
      <w:r w:rsidR="003A4C31">
        <w:t xml:space="preserve">voir </w:t>
      </w:r>
      <w:r w:rsidRPr="006D72A4">
        <w:t>CMW/C/SR.399 et 400), les 4 et 5 septembre 2018. À sa 409</w:t>
      </w:r>
      <w:r w:rsidRPr="001A0A15">
        <w:rPr>
          <w:vertAlign w:val="superscript"/>
        </w:rPr>
        <w:t>e</w:t>
      </w:r>
      <w:r w:rsidRPr="006D72A4">
        <w:t xml:space="preserve"> séance, le 1</w:t>
      </w:r>
      <w:r w:rsidR="00DD13D1">
        <w:t>2</w:t>
      </w:r>
      <w:r w:rsidRPr="006D72A4">
        <w:t xml:space="preserve"> septembre 2018, </w:t>
      </w:r>
      <w:r w:rsidR="00C5449F">
        <w:t>il</w:t>
      </w:r>
      <w:r w:rsidRPr="006D72A4">
        <w:t xml:space="preserve"> a adopté les </w:t>
      </w:r>
      <w:r w:rsidR="00C5449F">
        <w:t xml:space="preserve">présentes </w:t>
      </w:r>
      <w:r w:rsidRPr="006D72A4">
        <w:t>observations finales.</w:t>
      </w:r>
    </w:p>
    <w:p w14:paraId="13BCCD5E" w14:textId="77777777" w:rsidR="00807237" w:rsidRPr="006D72A4" w:rsidRDefault="00807237" w:rsidP="00807237">
      <w:pPr>
        <w:pStyle w:val="H1G"/>
        <w:rPr>
          <w:rFonts w:eastAsia="Malgun Gothic"/>
        </w:rPr>
      </w:pPr>
      <w:r w:rsidRPr="006D72A4">
        <w:rPr>
          <w:rFonts w:eastAsia="Malgun Gothic"/>
        </w:rPr>
        <w:tab/>
        <w:t>A.</w:t>
      </w:r>
      <w:r w:rsidRPr="006D72A4">
        <w:rPr>
          <w:rFonts w:eastAsia="Malgun Gothic"/>
        </w:rPr>
        <w:tab/>
        <w:t>Introduction</w:t>
      </w:r>
    </w:p>
    <w:p w14:paraId="4D1F561B" w14:textId="44D0737F" w:rsidR="00807237" w:rsidRPr="006D72A4" w:rsidRDefault="00807237" w:rsidP="00807237">
      <w:pPr>
        <w:pStyle w:val="SingleTxtG"/>
      </w:pPr>
      <w:r w:rsidRPr="006D72A4">
        <w:t>2.</w:t>
      </w:r>
      <w:r w:rsidRPr="006D72A4">
        <w:tab/>
        <w:t>Le Comité accueille avec satisfaction le rapport initial de l’État partie, qui a été élaboré en réponse à la liste de points établie avant la soumission du rapport (CMW/C/MDG/</w:t>
      </w:r>
      <w:r w:rsidR="009D6F77">
        <w:t>QPR/</w:t>
      </w:r>
      <w:r w:rsidRPr="006D72A4">
        <w:t xml:space="preserve">1), ainsi que les informations complémentaires fournies par la délégation multisectorielle et de haut niveau, dirigée par </w:t>
      </w:r>
      <w:proofErr w:type="spellStart"/>
      <w:r w:rsidRPr="006D72A4">
        <w:t>Harimisa</w:t>
      </w:r>
      <w:proofErr w:type="spellEnd"/>
      <w:r w:rsidRPr="006D72A4">
        <w:t xml:space="preserve"> </w:t>
      </w:r>
      <w:proofErr w:type="spellStart"/>
      <w:r w:rsidRPr="006D72A4">
        <w:t>Noro</w:t>
      </w:r>
      <w:proofErr w:type="spellEnd"/>
      <w:r w:rsidRPr="006D72A4">
        <w:t xml:space="preserve"> </w:t>
      </w:r>
      <w:proofErr w:type="spellStart"/>
      <w:r w:rsidRPr="006D72A4">
        <w:t>Volo</w:t>
      </w:r>
      <w:r w:rsidR="00A0144D">
        <w:t>lo</w:t>
      </w:r>
      <w:r w:rsidRPr="006D72A4">
        <w:t>na</w:t>
      </w:r>
      <w:proofErr w:type="spellEnd"/>
      <w:r w:rsidRPr="006D72A4">
        <w:t>, Garde des Sceaux</w:t>
      </w:r>
      <w:r w:rsidR="00C5449F">
        <w:t>,</w:t>
      </w:r>
      <w:r w:rsidRPr="006D72A4">
        <w:t xml:space="preserve"> Ministre de la </w:t>
      </w:r>
      <w:r w:rsidR="00CD41BB">
        <w:t>j</w:t>
      </w:r>
      <w:r w:rsidRPr="006D72A4">
        <w:t xml:space="preserve">ustice, et comprenant des représentants de différents Ministères, l’Ambassadeur et </w:t>
      </w:r>
      <w:r w:rsidR="00C5449F">
        <w:t xml:space="preserve">le </w:t>
      </w:r>
      <w:r w:rsidRPr="006D72A4">
        <w:t xml:space="preserve">Représentant </w:t>
      </w:r>
      <w:r w:rsidR="00CD41BB">
        <w:t>p</w:t>
      </w:r>
      <w:r w:rsidRPr="006D72A4">
        <w:t>ermanent d</w:t>
      </w:r>
      <w:r w:rsidR="00C5449F">
        <w:t>e</w:t>
      </w:r>
      <w:r w:rsidRPr="006D72A4">
        <w:t xml:space="preserve"> Madagascar auprès de l’Organisation des Nations Unies et des autres organisations internationales à Genève, ainsi que d’autres membres de la Représentation permanente. Le Comité se félicite du dialogue ouvert et constructif qu’il a eu avec la délégation.</w:t>
      </w:r>
    </w:p>
    <w:p w14:paraId="4637242C" w14:textId="7C9A584A" w:rsidR="00807237" w:rsidRPr="006D72A4" w:rsidRDefault="00807237" w:rsidP="00807237">
      <w:pPr>
        <w:pStyle w:val="SingleTxtG"/>
      </w:pPr>
      <w:r w:rsidRPr="006D72A4">
        <w:t>3.</w:t>
      </w:r>
      <w:r w:rsidRPr="006D72A4">
        <w:tab/>
        <w:t>Le Comité note que Madagascar est traditionnellement un pays d’origine de travailleurs migrants</w:t>
      </w:r>
      <w:r w:rsidR="00847ACE">
        <w:t xml:space="preserve"> m</w:t>
      </w:r>
      <w:r w:rsidRPr="006D72A4">
        <w:t xml:space="preserve">ais observe que </w:t>
      </w:r>
      <w:r w:rsidR="00C5449F">
        <w:t>c’</w:t>
      </w:r>
      <w:r w:rsidRPr="006D72A4">
        <w:t xml:space="preserve">est aussi un pays de destination pour les travailleurs migrants, dont la plupart viennent de France, de Chine, des </w:t>
      </w:r>
      <w:r w:rsidR="00CD41BB">
        <w:t>É</w:t>
      </w:r>
      <w:r w:rsidRPr="006D72A4">
        <w:t>tats-Unis et d’Inde, et qu’</w:t>
      </w:r>
      <w:r w:rsidR="00487F81">
        <w:t>elle</w:t>
      </w:r>
      <w:r w:rsidRPr="006D72A4">
        <w:t xml:space="preserve"> est de plus en plus un pays de transit pour des migrants venant des Comores, du Cameroun, de Chine, du Congo, d’</w:t>
      </w:r>
      <w:r w:rsidR="00CD41BB">
        <w:t>É</w:t>
      </w:r>
      <w:r w:rsidRPr="006D72A4">
        <w:t>gypte, d’Inde, d’Irak, des Philippines et d</w:t>
      </w:r>
      <w:r w:rsidR="00C5449F">
        <w:t>e</w:t>
      </w:r>
      <w:r w:rsidRPr="006D72A4">
        <w:t xml:space="preserve"> Sri Lanka. </w:t>
      </w:r>
      <w:r w:rsidR="00487F81">
        <w:t>Le Comité</w:t>
      </w:r>
      <w:r w:rsidRPr="006D72A4">
        <w:t xml:space="preserve"> constate, </w:t>
      </w:r>
      <w:r w:rsidR="00C5449F">
        <w:t>en outre</w:t>
      </w:r>
      <w:r w:rsidRPr="006D72A4">
        <w:t>, l’existence d’un petit nombre de personnes sollicitant une protection internationale.</w:t>
      </w:r>
    </w:p>
    <w:p w14:paraId="4C738812" w14:textId="737B18C5" w:rsidR="00807237" w:rsidRPr="006D72A4" w:rsidRDefault="00807237" w:rsidP="00807237">
      <w:pPr>
        <w:pStyle w:val="SingleTxtG"/>
      </w:pPr>
      <w:r w:rsidRPr="006D72A4">
        <w:t>4.</w:t>
      </w:r>
      <w:r w:rsidRPr="006D72A4">
        <w:tab/>
        <w:t>Le Comité note</w:t>
      </w:r>
      <w:r w:rsidR="00C5449F">
        <w:t xml:space="preserve"> par ailleurs</w:t>
      </w:r>
      <w:r w:rsidRPr="006D72A4">
        <w:t xml:space="preserve"> que certains des pays où sont employés des travailleurs migrants mal</w:t>
      </w:r>
      <w:r w:rsidR="00113526">
        <w:t>gaches</w:t>
      </w:r>
      <w:r w:rsidRPr="006D72A4">
        <w:t xml:space="preserve"> ne sont pas parties à la Convention, ce qui peut empêcher ces travailleurs de jouir des droits qui leur sont garantis par la Convention.</w:t>
      </w:r>
    </w:p>
    <w:p w14:paraId="0737FD73" w14:textId="77777777" w:rsidR="00807237" w:rsidRPr="006D72A4" w:rsidRDefault="00807237" w:rsidP="00807237">
      <w:pPr>
        <w:pStyle w:val="H1G"/>
        <w:rPr>
          <w:rFonts w:eastAsia="Malgun Gothic"/>
        </w:rPr>
      </w:pPr>
      <w:r w:rsidRPr="006D72A4">
        <w:rPr>
          <w:rFonts w:eastAsia="Malgun Gothic"/>
        </w:rPr>
        <w:tab/>
        <w:t>B.</w:t>
      </w:r>
      <w:r w:rsidRPr="006D72A4">
        <w:rPr>
          <w:rFonts w:eastAsia="Malgun Gothic"/>
        </w:rPr>
        <w:tab/>
        <w:t>Aspects positifs</w:t>
      </w:r>
    </w:p>
    <w:p w14:paraId="0A02CF44" w14:textId="54F8A474" w:rsidR="00807237" w:rsidRPr="006D72A4" w:rsidRDefault="00807237" w:rsidP="00807237">
      <w:pPr>
        <w:pStyle w:val="SingleTxtG"/>
      </w:pPr>
      <w:r w:rsidRPr="006D72A4">
        <w:rPr>
          <w:rFonts w:eastAsia="Malgun Gothic"/>
        </w:rPr>
        <w:t>5.</w:t>
      </w:r>
      <w:r w:rsidRPr="006D72A4">
        <w:rPr>
          <w:rFonts w:eastAsia="Malgun Gothic"/>
        </w:rPr>
        <w:tab/>
      </w:r>
      <w:r w:rsidRPr="006D72A4">
        <w:t xml:space="preserve">Le Comité se félicite des efforts déployés par l’État partie pour promouvoir et protéger les droits des travailleurs migrants et des membres de leur famille, notamment à travers la création de sections au sein du Ministère de la </w:t>
      </w:r>
      <w:r w:rsidR="00CD41BB">
        <w:t>p</w:t>
      </w:r>
      <w:r w:rsidRPr="006D72A4">
        <w:t xml:space="preserve">opulation, de la </w:t>
      </w:r>
      <w:r w:rsidR="00CD41BB">
        <w:t>p</w:t>
      </w:r>
      <w:r w:rsidRPr="006D72A4">
        <w:t xml:space="preserve">rotection </w:t>
      </w:r>
      <w:r w:rsidR="00CD41BB">
        <w:t>s</w:t>
      </w:r>
      <w:r w:rsidRPr="006D72A4">
        <w:t xml:space="preserve">ociale et de la </w:t>
      </w:r>
      <w:r w:rsidR="00CD41BB">
        <w:t>p</w:t>
      </w:r>
      <w:r w:rsidRPr="006D72A4">
        <w:t xml:space="preserve">romotion de la </w:t>
      </w:r>
      <w:r w:rsidR="00CD41BB">
        <w:t>f</w:t>
      </w:r>
      <w:r w:rsidRPr="006D72A4">
        <w:t xml:space="preserve">emme et du Ministère des </w:t>
      </w:r>
      <w:r w:rsidR="00CD41BB">
        <w:t>a</w:t>
      </w:r>
      <w:r w:rsidRPr="006D72A4">
        <w:t xml:space="preserve">ffaires </w:t>
      </w:r>
      <w:r w:rsidR="00CD41BB">
        <w:t>é</w:t>
      </w:r>
      <w:r w:rsidRPr="006D72A4">
        <w:t>trangères pour le soutien des travailleurs migrants</w:t>
      </w:r>
      <w:r w:rsidR="006159EA">
        <w:t xml:space="preserve"> et</w:t>
      </w:r>
      <w:r w:rsidRPr="006D72A4">
        <w:t xml:space="preserve"> la </w:t>
      </w:r>
      <w:r w:rsidR="006159EA">
        <w:t>réglementation</w:t>
      </w:r>
      <w:r w:rsidRPr="006D72A4">
        <w:t xml:space="preserve"> des agences recrutant des travailleurs mal</w:t>
      </w:r>
      <w:r w:rsidR="00113526">
        <w:t>gaches</w:t>
      </w:r>
      <w:r w:rsidRPr="006D72A4">
        <w:t xml:space="preserve"> pour des emplois à l’étranger, ainsi qu</w:t>
      </w:r>
      <w:r w:rsidR="006159EA">
        <w:t>’à travers</w:t>
      </w:r>
      <w:r w:rsidRPr="006D72A4">
        <w:t xml:space="preserve"> les mesures législatives facilitant </w:t>
      </w:r>
      <w:r w:rsidRPr="006D72A4">
        <w:lastRenderedPageBreak/>
        <w:t>l’enregistrement des naissances, renforçant la lutte contre la traite des êtres humains et incriminant le travail forcé</w:t>
      </w:r>
      <w:r w:rsidR="007A5B78">
        <w:t xml:space="preserve"> ainsi que </w:t>
      </w:r>
      <w:r w:rsidRPr="006D72A4">
        <w:t>les pratiques analogues à l’esclavage.</w:t>
      </w:r>
    </w:p>
    <w:p w14:paraId="28D616CE" w14:textId="6F720871" w:rsidR="00807237" w:rsidRPr="006D72A4" w:rsidRDefault="00807237" w:rsidP="00807237">
      <w:pPr>
        <w:pStyle w:val="SingleTxtG"/>
      </w:pPr>
      <w:r w:rsidRPr="006D72A4">
        <w:t>6.</w:t>
      </w:r>
      <w:r w:rsidRPr="006D72A4">
        <w:tab/>
        <w:t xml:space="preserve">Le Comité note avec satisfaction </w:t>
      </w:r>
      <w:r w:rsidR="006159EA">
        <w:t>que</w:t>
      </w:r>
      <w:r w:rsidRPr="006D72A4">
        <w:t xml:space="preserve"> l’État partie </w:t>
      </w:r>
      <w:r w:rsidR="006159EA">
        <w:t>a adhéré aux instruments</w:t>
      </w:r>
      <w:r w:rsidRPr="006D72A4">
        <w:t xml:space="preserve"> internationaux ci-après ou </w:t>
      </w:r>
      <w:r w:rsidR="006159EA">
        <w:t>les a ratifiés</w:t>
      </w:r>
      <w:r w:rsidRPr="006D72A4">
        <w:t> :</w:t>
      </w:r>
    </w:p>
    <w:p w14:paraId="3835B208" w14:textId="04BAD90E" w:rsidR="00807237" w:rsidRPr="006D72A4" w:rsidRDefault="00807237" w:rsidP="00807237">
      <w:pPr>
        <w:pStyle w:val="SingleTxtG"/>
      </w:pPr>
      <w:r w:rsidRPr="006D72A4">
        <w:tab/>
      </w:r>
      <w:r w:rsidRPr="006D72A4">
        <w:tab/>
        <w:t>a)</w:t>
      </w:r>
      <w:r w:rsidRPr="006D72A4">
        <w:tab/>
        <w:t>La Convention relative aux droits des personnes handicapées, en juin 2015</w:t>
      </w:r>
      <w:r w:rsidR="00C06D97">
        <w:t> </w:t>
      </w:r>
      <w:r w:rsidRPr="006D72A4">
        <w:t>;</w:t>
      </w:r>
    </w:p>
    <w:p w14:paraId="7EFBA489" w14:textId="77777777" w:rsidR="00807237" w:rsidRPr="006D72A4" w:rsidRDefault="00807237" w:rsidP="00807237">
      <w:pPr>
        <w:pStyle w:val="SingleTxtG"/>
      </w:pPr>
      <w:r>
        <w:tab/>
      </w:r>
      <w:r w:rsidRPr="006D72A4">
        <w:tab/>
        <w:t>b)</w:t>
      </w:r>
      <w:r w:rsidRPr="006D72A4">
        <w:tab/>
        <w:t>La Charte africaine de la démocratie, des élections et de la gouvernance, en septembre 2013 ;</w:t>
      </w:r>
    </w:p>
    <w:p w14:paraId="16E40E7D" w14:textId="328E5928" w:rsidR="00807237" w:rsidRPr="006D72A4" w:rsidRDefault="00807237" w:rsidP="00807237">
      <w:pPr>
        <w:pStyle w:val="SingleTxtG"/>
      </w:pPr>
      <w:r w:rsidRPr="006D72A4">
        <w:tab/>
      </w:r>
      <w:r w:rsidRPr="006D72A4">
        <w:tab/>
        <w:t>c)</w:t>
      </w:r>
      <w:r w:rsidRPr="006D72A4">
        <w:tab/>
        <w:t xml:space="preserve">La Convention contre la torture et autres peines </w:t>
      </w:r>
      <w:r w:rsidR="00A35C14">
        <w:t>ou</w:t>
      </w:r>
      <w:r w:rsidRPr="006D72A4">
        <w:t xml:space="preserve"> traitements cruels, inhumains ou dégradants, en décembre 2005</w:t>
      </w:r>
      <w:r w:rsidR="00C06D97">
        <w:t> </w:t>
      </w:r>
      <w:r w:rsidRPr="006D72A4">
        <w:t>;</w:t>
      </w:r>
    </w:p>
    <w:p w14:paraId="460C887B" w14:textId="6C79B2D2" w:rsidR="00807237" w:rsidRPr="006D72A4" w:rsidRDefault="00F0210B" w:rsidP="00F0210B">
      <w:pPr>
        <w:pStyle w:val="SingleTxtG"/>
      </w:pPr>
      <w:r>
        <w:tab/>
      </w:r>
      <w:r>
        <w:tab/>
      </w:r>
      <w:r w:rsidR="00807237" w:rsidRPr="006D72A4">
        <w:t>d)</w:t>
      </w:r>
      <w:r w:rsidR="00807237" w:rsidRPr="006D72A4">
        <w:tab/>
        <w:t>La Charte africaine des droits et du bien-être de l</w:t>
      </w:r>
      <w:r w:rsidR="00CD41BB">
        <w:t>’</w:t>
      </w:r>
      <w:r w:rsidR="00807237" w:rsidRPr="006D72A4">
        <w:t>enfant, en juin 2005</w:t>
      </w:r>
      <w:r w:rsidR="00C06D97">
        <w:t> </w:t>
      </w:r>
      <w:r w:rsidR="00807237" w:rsidRPr="006D72A4">
        <w:t>;</w:t>
      </w:r>
    </w:p>
    <w:p w14:paraId="69DCC3ED" w14:textId="4480235C" w:rsidR="00807237" w:rsidRPr="006D72A4" w:rsidRDefault="00807237" w:rsidP="00807237">
      <w:pPr>
        <w:pStyle w:val="SingleTxtG"/>
      </w:pPr>
      <w:r w:rsidRPr="006D72A4">
        <w:tab/>
      </w:r>
      <w:r w:rsidRPr="006D72A4">
        <w:tab/>
      </w:r>
      <w:r>
        <w:t>e</w:t>
      </w:r>
      <w:r w:rsidRPr="006D72A4">
        <w:t>)</w:t>
      </w:r>
      <w:r w:rsidRPr="006D72A4">
        <w:tab/>
        <w:t xml:space="preserve">La Convention </w:t>
      </w:r>
      <w:r w:rsidR="00673FCA">
        <w:t>n</w:t>
      </w:r>
      <w:r w:rsidR="00673FCA" w:rsidRPr="001A0A15">
        <w:rPr>
          <w:vertAlign w:val="superscript"/>
        </w:rPr>
        <w:t>o</w:t>
      </w:r>
      <w:r w:rsidR="00673FCA">
        <w:t xml:space="preserve"> 97 </w:t>
      </w:r>
      <w:r w:rsidR="00673FCA" w:rsidRPr="006D72A4">
        <w:t>(</w:t>
      </w:r>
      <w:r w:rsidR="00673FCA">
        <w:t>1949</w:t>
      </w:r>
      <w:r w:rsidR="00673FCA" w:rsidRPr="006D72A4">
        <w:t>)</w:t>
      </w:r>
      <w:r w:rsidR="00673FCA">
        <w:t xml:space="preserve"> </w:t>
      </w:r>
      <w:r w:rsidRPr="006D72A4">
        <w:t>sur les travailleurs migrants (</w:t>
      </w:r>
      <w:r w:rsidR="00673FCA">
        <w:t>révisée</w:t>
      </w:r>
      <w:r w:rsidRPr="006D72A4">
        <w:t>)</w:t>
      </w:r>
      <w:r w:rsidR="00673FCA">
        <w:t xml:space="preserve"> </w:t>
      </w:r>
      <w:r w:rsidR="00673FCA" w:rsidRPr="006D72A4">
        <w:t>de l</w:t>
      </w:r>
      <w:r w:rsidR="00673FCA">
        <w:t>’</w:t>
      </w:r>
      <w:r w:rsidR="00673FCA" w:rsidRPr="006D72A4">
        <w:t>O</w:t>
      </w:r>
      <w:r w:rsidR="00673FCA">
        <w:t>rganisation internationale du Travail</w:t>
      </w:r>
      <w:r w:rsidRPr="006D72A4">
        <w:t>, en juin 2001.</w:t>
      </w:r>
    </w:p>
    <w:p w14:paraId="555554DB" w14:textId="0AF60F7A" w:rsidR="00807237" w:rsidRPr="006D72A4" w:rsidRDefault="00807237" w:rsidP="00807237">
      <w:pPr>
        <w:pStyle w:val="H1G"/>
        <w:rPr>
          <w:rFonts w:eastAsia="Malgun Gothic"/>
        </w:rPr>
      </w:pPr>
      <w:r w:rsidRPr="006D72A4">
        <w:rPr>
          <w:rFonts w:eastAsia="Malgun Gothic"/>
        </w:rPr>
        <w:tab/>
        <w:t>C.</w:t>
      </w:r>
      <w:r w:rsidRPr="006D72A4">
        <w:rPr>
          <w:rFonts w:eastAsia="Malgun Gothic"/>
        </w:rPr>
        <w:tab/>
        <w:t>Princ</w:t>
      </w:r>
      <w:r w:rsidR="002827AD">
        <w:rPr>
          <w:rFonts w:eastAsia="Malgun Gothic"/>
        </w:rPr>
        <w:t xml:space="preserve">ipaux sujets de préoccupation </w:t>
      </w:r>
      <w:r w:rsidRPr="006D72A4">
        <w:rPr>
          <w:rFonts w:eastAsia="Malgun Gothic"/>
        </w:rPr>
        <w:t>et recommandations</w:t>
      </w:r>
    </w:p>
    <w:p w14:paraId="45A535C4" w14:textId="02D9582B" w:rsidR="00807237" w:rsidRPr="006D72A4" w:rsidRDefault="00807237" w:rsidP="00807237">
      <w:pPr>
        <w:pStyle w:val="H23G"/>
        <w:rPr>
          <w:rFonts w:eastAsia="Malgun Gothic"/>
        </w:rPr>
      </w:pPr>
      <w:r w:rsidRPr="006D72A4">
        <w:tab/>
        <w:t>1.</w:t>
      </w:r>
      <w:r w:rsidRPr="006D72A4">
        <w:tab/>
        <w:t>Mesures d’application générale (art. 73 et 84)</w:t>
      </w:r>
    </w:p>
    <w:p w14:paraId="6E0C82BB" w14:textId="77777777" w:rsidR="00807237" w:rsidRPr="006D72A4" w:rsidRDefault="00807237" w:rsidP="00807237">
      <w:pPr>
        <w:pStyle w:val="H23G"/>
      </w:pPr>
      <w:r w:rsidRPr="006D72A4">
        <w:tab/>
      </w:r>
      <w:r w:rsidRPr="006D72A4">
        <w:tab/>
        <w:t>Législation et application</w:t>
      </w:r>
    </w:p>
    <w:p w14:paraId="71003AAA" w14:textId="42CD9454" w:rsidR="00807237" w:rsidRPr="006D72A4" w:rsidRDefault="00807237" w:rsidP="00807237">
      <w:pPr>
        <w:pStyle w:val="SingleTxtG"/>
      </w:pPr>
      <w:r w:rsidRPr="006D72A4">
        <w:t>7.</w:t>
      </w:r>
      <w:r w:rsidRPr="006D72A4">
        <w:tab/>
        <w:t>Le Comité note que, selon l’article 137</w:t>
      </w:r>
      <w:r w:rsidR="00B07F7C">
        <w:t>,</w:t>
      </w:r>
      <w:r w:rsidRPr="006D72A4">
        <w:t xml:space="preserve"> alinéa 4</w:t>
      </w:r>
      <w:r w:rsidR="00B07F7C">
        <w:t>,</w:t>
      </w:r>
      <w:r w:rsidRPr="006D72A4">
        <w:t xml:space="preserve"> de la Constitution de l’</w:t>
      </w:r>
      <w:r w:rsidR="00342A14">
        <w:t>É</w:t>
      </w:r>
      <w:r w:rsidRPr="006D72A4">
        <w:t xml:space="preserve">tat partie, les </w:t>
      </w:r>
      <w:r w:rsidR="003D1574">
        <w:t>c</w:t>
      </w:r>
      <w:r w:rsidRPr="006D72A4">
        <w:t>onventions internationales ratifiées ont une valeur supérieure à la loi et que sa loi n</w:t>
      </w:r>
      <w:r w:rsidR="00545CD5">
        <w:rPr>
          <w:vertAlign w:val="superscript"/>
        </w:rPr>
        <w:t>o</w:t>
      </w:r>
      <w:r w:rsidR="00545CD5" w:rsidRPr="001A0A15">
        <w:t> </w:t>
      </w:r>
      <w:r w:rsidRPr="006D72A4">
        <w:t xml:space="preserve">2003-044 du 28 juillet 2004 portant Code du </w:t>
      </w:r>
      <w:r w:rsidR="00C06D97">
        <w:t>t</w:t>
      </w:r>
      <w:r w:rsidRPr="006D72A4">
        <w:t>ravail punit</w:t>
      </w:r>
      <w:r w:rsidR="00545CD5" w:rsidRPr="006D72A4">
        <w:t xml:space="preserve">, </w:t>
      </w:r>
      <w:r w:rsidR="00545CD5">
        <w:t>dans</w:t>
      </w:r>
      <w:r w:rsidR="00545CD5" w:rsidRPr="006D72A4">
        <w:t xml:space="preserve"> son art</w:t>
      </w:r>
      <w:r w:rsidR="00545CD5">
        <w:t>icle</w:t>
      </w:r>
      <w:r w:rsidR="00545CD5" w:rsidRPr="006D72A4">
        <w:t xml:space="preserve"> 261,</w:t>
      </w:r>
      <w:r w:rsidR="00545CD5">
        <w:t xml:space="preserve"> </w:t>
      </w:r>
      <w:r w:rsidRPr="006D72A4">
        <w:t>la discrimination fondée sur la race et l’origine des travailleurs. Il se montre néanmoins préoccupé par</w:t>
      </w:r>
      <w:r w:rsidR="00545CD5">
        <w:t xml:space="preserve"> </w:t>
      </w:r>
      <w:r w:rsidRPr="006D72A4">
        <w:t xml:space="preserve">l’absence de mesures législatives prises après la signature de la Convention visant à rendre conforme la législation nationale </w:t>
      </w:r>
      <w:r w:rsidR="00545CD5">
        <w:t>aux</w:t>
      </w:r>
      <w:r w:rsidRPr="006D72A4">
        <w:t xml:space="preserve"> dispositions de la Convention, et surtout concernant la loi n</w:t>
      </w:r>
      <w:r w:rsidR="00C06D97" w:rsidRPr="001A0A15">
        <w:rPr>
          <w:vertAlign w:val="superscript"/>
        </w:rPr>
        <w:t>o</w:t>
      </w:r>
      <w:r w:rsidR="00C06D97">
        <w:t> </w:t>
      </w:r>
      <w:r w:rsidRPr="006D72A4">
        <w:t>62-006 du 6 juin 1962 fixant l’organisation et le contrôle de l’immigration.</w:t>
      </w:r>
    </w:p>
    <w:p w14:paraId="30D779FB" w14:textId="63C03C4C" w:rsidR="00807237" w:rsidRPr="006D72A4" w:rsidRDefault="00807237" w:rsidP="00807237">
      <w:pPr>
        <w:pStyle w:val="SingleTxtG"/>
        <w:rPr>
          <w:b/>
        </w:rPr>
      </w:pPr>
      <w:r w:rsidRPr="006D72A4">
        <w:t>8.</w:t>
      </w:r>
      <w:r w:rsidRPr="006D72A4">
        <w:tab/>
      </w:r>
      <w:r w:rsidRPr="006D72A4">
        <w:rPr>
          <w:b/>
        </w:rPr>
        <w:t>Le Comité recommande à l’</w:t>
      </w:r>
      <w:r w:rsidR="00CD41BB">
        <w:rPr>
          <w:b/>
        </w:rPr>
        <w:t>État</w:t>
      </w:r>
      <w:r w:rsidRPr="006D72A4">
        <w:rPr>
          <w:b/>
        </w:rPr>
        <w:t xml:space="preserve"> partie</w:t>
      </w:r>
      <w:r w:rsidR="00C06D97">
        <w:rPr>
          <w:b/>
        </w:rPr>
        <w:t> </w:t>
      </w:r>
      <w:r w:rsidRPr="006D72A4">
        <w:rPr>
          <w:b/>
        </w:rPr>
        <w:t>:</w:t>
      </w:r>
    </w:p>
    <w:p w14:paraId="556F4D27" w14:textId="3A6F8EDF" w:rsidR="00807237" w:rsidRPr="006D72A4" w:rsidRDefault="00807237" w:rsidP="00807237">
      <w:pPr>
        <w:pStyle w:val="SingleTxtG"/>
        <w:rPr>
          <w:b/>
        </w:rPr>
      </w:pPr>
      <w:r>
        <w:tab/>
      </w:r>
      <w:r>
        <w:tab/>
      </w:r>
      <w:r w:rsidRPr="001A0A15">
        <w:rPr>
          <w:b/>
          <w:bCs/>
        </w:rPr>
        <w:t>a)</w:t>
      </w:r>
      <w:r w:rsidRPr="006D72A4">
        <w:rPr>
          <w:b/>
        </w:rPr>
        <w:tab/>
        <w:t>D’</w:t>
      </w:r>
      <w:r w:rsidR="0091784C">
        <w:rPr>
          <w:b/>
        </w:rPr>
        <w:t>examiner</w:t>
      </w:r>
      <w:r w:rsidRPr="006D72A4">
        <w:rPr>
          <w:b/>
        </w:rPr>
        <w:t xml:space="preserve"> la conformité de sa législation nationale avec la Convention et </w:t>
      </w:r>
      <w:r w:rsidR="00CE1033">
        <w:rPr>
          <w:b/>
        </w:rPr>
        <w:t xml:space="preserve">de </w:t>
      </w:r>
      <w:r w:rsidRPr="006D72A4">
        <w:rPr>
          <w:b/>
        </w:rPr>
        <w:t xml:space="preserve">l’aligner </w:t>
      </w:r>
      <w:r w:rsidR="0091784C">
        <w:rPr>
          <w:b/>
        </w:rPr>
        <w:t>sur</w:t>
      </w:r>
      <w:r w:rsidRPr="006D72A4">
        <w:rPr>
          <w:b/>
        </w:rPr>
        <w:t xml:space="preserve"> la Convention et </w:t>
      </w:r>
      <w:r w:rsidR="0091784C">
        <w:rPr>
          <w:b/>
        </w:rPr>
        <w:t>les</w:t>
      </w:r>
      <w:r w:rsidRPr="006D72A4">
        <w:rPr>
          <w:b/>
        </w:rPr>
        <w:t xml:space="preserve"> autres traités relatifs aux droits de l’homme ;</w:t>
      </w:r>
    </w:p>
    <w:p w14:paraId="29EFA923" w14:textId="22399781" w:rsidR="00807237" w:rsidRPr="006D72A4" w:rsidRDefault="00F0210B" w:rsidP="00F0210B">
      <w:pPr>
        <w:pStyle w:val="SingleTxtG"/>
        <w:rPr>
          <w:b/>
        </w:rPr>
      </w:pPr>
      <w:r>
        <w:tab/>
      </w:r>
      <w:r>
        <w:tab/>
      </w:r>
      <w:r w:rsidR="00807237" w:rsidRPr="001A0A15">
        <w:rPr>
          <w:b/>
          <w:bCs/>
        </w:rPr>
        <w:t>b)</w:t>
      </w:r>
      <w:r w:rsidR="00807237" w:rsidRPr="006D72A4">
        <w:rPr>
          <w:b/>
        </w:rPr>
        <w:tab/>
        <w:t xml:space="preserve">De prendre en compte les dispositions de la Convention, sans aucune restriction, dans son système juridique national, ses politiques publiques et les procédures des administrations locales, en conformité avec les engagements pris </w:t>
      </w:r>
      <w:r w:rsidR="00127CE6">
        <w:rPr>
          <w:b/>
        </w:rPr>
        <w:t>par</w:t>
      </w:r>
      <w:r w:rsidR="00807237" w:rsidRPr="006D72A4">
        <w:rPr>
          <w:b/>
        </w:rPr>
        <w:t xml:space="preserve"> l’</w:t>
      </w:r>
      <w:r w:rsidR="00CD41BB">
        <w:rPr>
          <w:b/>
        </w:rPr>
        <w:t>État</w:t>
      </w:r>
      <w:r w:rsidR="00807237" w:rsidRPr="006D72A4">
        <w:rPr>
          <w:b/>
        </w:rPr>
        <w:t xml:space="preserve"> partie dans le cadre de l’Examen </w:t>
      </w:r>
      <w:r w:rsidR="00127CE6">
        <w:rPr>
          <w:b/>
        </w:rPr>
        <w:t>p</w:t>
      </w:r>
      <w:r w:rsidR="00807237" w:rsidRPr="006D72A4">
        <w:rPr>
          <w:b/>
        </w:rPr>
        <w:t xml:space="preserve">ériodique </w:t>
      </w:r>
      <w:r w:rsidR="00127CE6">
        <w:rPr>
          <w:b/>
        </w:rPr>
        <w:t>u</w:t>
      </w:r>
      <w:r w:rsidR="00807237" w:rsidRPr="006D72A4">
        <w:rPr>
          <w:b/>
        </w:rPr>
        <w:t>niversel (A/HRC/28/13, par.</w:t>
      </w:r>
      <w:r w:rsidR="00127CE6">
        <w:rPr>
          <w:b/>
        </w:rPr>
        <w:t> </w:t>
      </w:r>
      <w:r w:rsidR="00807237" w:rsidRPr="006D72A4">
        <w:rPr>
          <w:b/>
        </w:rPr>
        <w:t>108.39).</w:t>
      </w:r>
    </w:p>
    <w:p w14:paraId="6A3860A1" w14:textId="77777777" w:rsidR="00807237" w:rsidRDefault="00807237" w:rsidP="00807237">
      <w:pPr>
        <w:pStyle w:val="H23G"/>
        <w:rPr>
          <w:lang w:val="fr-FR"/>
        </w:rPr>
      </w:pPr>
      <w:r>
        <w:rPr>
          <w:lang w:val="fr-FR"/>
        </w:rPr>
        <w:tab/>
      </w:r>
      <w:r>
        <w:rPr>
          <w:lang w:val="fr-FR"/>
        </w:rPr>
        <w:tab/>
      </w:r>
      <w:r w:rsidRPr="005B460E">
        <w:rPr>
          <w:lang w:val="fr-FR"/>
        </w:rPr>
        <w:t>Articles 76 et 77</w:t>
      </w:r>
    </w:p>
    <w:p w14:paraId="0FDFF42E" w14:textId="77777777" w:rsidR="00807237" w:rsidRPr="006D72A4" w:rsidRDefault="00807237" w:rsidP="00807237">
      <w:pPr>
        <w:pStyle w:val="SingleTxtG"/>
      </w:pPr>
      <w:r w:rsidRPr="006D72A4">
        <w:t>9.</w:t>
      </w:r>
      <w:r w:rsidRPr="006D72A4">
        <w:tab/>
        <w:t>Le Comité note que l’État partie n’a pas encore fait les déclarations prévues aux articles 76 et 77 de la Convention reconnaissant la compétence du Comité pour recevoir et examiner des communications d’États parties et de particuliers concernant des violations des droits consacrés par la Convention.</w:t>
      </w:r>
    </w:p>
    <w:p w14:paraId="1DA74D93" w14:textId="77777777" w:rsidR="00807237" w:rsidRPr="006D72A4" w:rsidRDefault="00807237" w:rsidP="00807237">
      <w:pPr>
        <w:pStyle w:val="SingleTxtG"/>
      </w:pPr>
      <w:r w:rsidRPr="006D72A4">
        <w:t>10.</w:t>
      </w:r>
      <w:r w:rsidRPr="006D72A4">
        <w:tab/>
      </w:r>
      <w:r w:rsidRPr="006D72A4">
        <w:rPr>
          <w:b/>
        </w:rPr>
        <w:t>Le Comité recommande à l’État partie d’envisager de faire les déclarations prévues aux articles 76 et 77 de la Convention.</w:t>
      </w:r>
    </w:p>
    <w:p w14:paraId="3657B11B" w14:textId="03136F4C" w:rsidR="00807237" w:rsidRDefault="00807237" w:rsidP="00807237">
      <w:pPr>
        <w:pStyle w:val="H23G"/>
        <w:rPr>
          <w:lang w:val="fr-FR"/>
        </w:rPr>
      </w:pPr>
      <w:r>
        <w:rPr>
          <w:lang w:val="fr-FR"/>
        </w:rPr>
        <w:tab/>
      </w:r>
      <w:r>
        <w:rPr>
          <w:lang w:val="fr-FR"/>
        </w:rPr>
        <w:tab/>
      </w:r>
      <w:r w:rsidRPr="005B460E">
        <w:rPr>
          <w:lang w:val="fr-FR"/>
        </w:rPr>
        <w:t>Ratification d</w:t>
      </w:r>
      <w:r w:rsidR="00127CE6">
        <w:rPr>
          <w:lang w:val="fr-FR"/>
        </w:rPr>
        <w:t xml:space="preserve">es </w:t>
      </w:r>
      <w:r w:rsidRPr="005B460E">
        <w:rPr>
          <w:lang w:val="fr-FR"/>
        </w:rPr>
        <w:t>instruments pertinents</w:t>
      </w:r>
    </w:p>
    <w:p w14:paraId="5D323532" w14:textId="7C465444" w:rsidR="00807237" w:rsidRPr="006D72A4" w:rsidRDefault="00807237" w:rsidP="00807237">
      <w:pPr>
        <w:pStyle w:val="SingleTxtG"/>
      </w:pPr>
      <w:r w:rsidRPr="006D72A4">
        <w:t>11.</w:t>
      </w:r>
      <w:r w:rsidRPr="006D72A4">
        <w:tab/>
        <w:t>Le Comité note que l’État partie a ratifié presque tous les principaux traités des droits de l’homme, ainsi que plusieurs conventions de l’O</w:t>
      </w:r>
      <w:r w:rsidR="00127CE6">
        <w:t>rganisation internationale du Travail</w:t>
      </w:r>
      <w:r w:rsidRPr="006D72A4">
        <w:t>. Il note toutefois que l’État partie n’a pas encore ratifié la Convention internationale pour la protection de toutes les</w:t>
      </w:r>
      <w:r w:rsidR="00127CE6">
        <w:t xml:space="preserve"> </w:t>
      </w:r>
      <w:r w:rsidRPr="006D72A4">
        <w:t>personnes contre les disparitions forcées, les Conventions n</w:t>
      </w:r>
      <w:r w:rsidR="008035B6" w:rsidRPr="001A0A15">
        <w:rPr>
          <w:vertAlign w:val="superscript"/>
        </w:rPr>
        <w:t>o</w:t>
      </w:r>
      <w:r w:rsidR="008035B6">
        <w:t> </w:t>
      </w:r>
      <w:r w:rsidRPr="006D72A4">
        <w:t xml:space="preserve">143 </w:t>
      </w:r>
      <w:r w:rsidR="008035B6">
        <w:t xml:space="preserve">(1975) </w:t>
      </w:r>
      <w:r w:rsidRPr="006D72A4">
        <w:t>sur les travailleurs migrants (dispositions complémentaires), n</w:t>
      </w:r>
      <w:r w:rsidR="008035B6" w:rsidRPr="001A0A15">
        <w:rPr>
          <w:vertAlign w:val="superscript"/>
        </w:rPr>
        <w:t>o</w:t>
      </w:r>
      <w:r w:rsidR="008035B6">
        <w:t> </w:t>
      </w:r>
      <w:r w:rsidRPr="006D72A4">
        <w:t xml:space="preserve">181 </w:t>
      </w:r>
      <w:r w:rsidR="008035B6">
        <w:t xml:space="preserve">(1997) </w:t>
      </w:r>
      <w:r w:rsidRPr="006D72A4">
        <w:lastRenderedPageBreak/>
        <w:t>sur les agences d</w:t>
      </w:r>
      <w:r w:rsidR="004340A8">
        <w:t>’</w:t>
      </w:r>
      <w:r w:rsidRPr="006D72A4">
        <w:t>emploi privées et n</w:t>
      </w:r>
      <w:r w:rsidR="008035B6" w:rsidRPr="001A0A15">
        <w:rPr>
          <w:vertAlign w:val="superscript"/>
        </w:rPr>
        <w:t>o</w:t>
      </w:r>
      <w:r w:rsidR="008035B6">
        <w:t> </w:t>
      </w:r>
      <w:r w:rsidRPr="006D72A4">
        <w:t xml:space="preserve">189 </w:t>
      </w:r>
      <w:r w:rsidR="008035B6">
        <w:t xml:space="preserve">(2011) </w:t>
      </w:r>
      <w:r w:rsidRPr="006D72A4">
        <w:t>sur les travailleuses et travailleurs domestiques</w:t>
      </w:r>
      <w:r w:rsidR="008035B6">
        <w:t xml:space="preserve"> de l’Organisation internationale du Travail</w:t>
      </w:r>
      <w:r w:rsidRPr="006D72A4">
        <w:t>, ainsi que la Convention de l</w:t>
      </w:r>
      <w:r w:rsidR="00CD41BB">
        <w:t>’</w:t>
      </w:r>
      <w:r w:rsidRPr="006D72A4">
        <w:t>Union africaine sur la protection et l</w:t>
      </w:r>
      <w:r w:rsidR="00127CE6">
        <w:t>’</w:t>
      </w:r>
      <w:r w:rsidRPr="006D72A4">
        <w:t>assistance aux personnes déplacées en Afrique (Convention de Kampala).</w:t>
      </w:r>
    </w:p>
    <w:p w14:paraId="6A2F9794" w14:textId="311BA925" w:rsidR="00807237" w:rsidRPr="006D72A4" w:rsidRDefault="00807237" w:rsidP="00807237">
      <w:pPr>
        <w:pStyle w:val="SingleTxtG"/>
        <w:rPr>
          <w:b/>
        </w:rPr>
      </w:pPr>
      <w:r w:rsidRPr="006D72A4">
        <w:t>12.</w:t>
      </w:r>
      <w:r w:rsidRPr="006D72A4">
        <w:tab/>
      </w:r>
      <w:r w:rsidRPr="006D72A4">
        <w:rPr>
          <w:b/>
        </w:rPr>
        <w:t xml:space="preserve">Le Comité recommande à l’État partie d’envisager, dès que possible, de ratifier les conventions </w:t>
      </w:r>
      <w:r w:rsidR="00127CE6">
        <w:rPr>
          <w:b/>
        </w:rPr>
        <w:t>sus</w:t>
      </w:r>
      <w:r w:rsidRPr="006D72A4">
        <w:rPr>
          <w:b/>
        </w:rPr>
        <w:t>mentionnées.</w:t>
      </w:r>
    </w:p>
    <w:p w14:paraId="3ED6EF7E" w14:textId="6E680208" w:rsidR="00807237" w:rsidRPr="006D72A4" w:rsidRDefault="00807237" w:rsidP="00807237">
      <w:pPr>
        <w:pStyle w:val="H23G"/>
      </w:pPr>
      <w:r w:rsidRPr="006D72A4">
        <w:tab/>
      </w:r>
      <w:r w:rsidRPr="006D72A4">
        <w:tab/>
      </w:r>
      <w:r w:rsidRPr="006D72A4">
        <w:tab/>
        <w:t>Politique et stratégie globale</w:t>
      </w:r>
      <w:r w:rsidR="0083402E">
        <w:t>s</w:t>
      </w:r>
    </w:p>
    <w:p w14:paraId="56AE8FBC" w14:textId="0D34AE69" w:rsidR="00807237" w:rsidRPr="006D72A4" w:rsidRDefault="00807237" w:rsidP="00807237">
      <w:pPr>
        <w:pStyle w:val="SingleTxtG"/>
      </w:pPr>
      <w:r w:rsidRPr="006D72A4">
        <w:t>13.</w:t>
      </w:r>
      <w:r w:rsidRPr="006D72A4">
        <w:tab/>
        <w:t xml:space="preserve">Le Comité prend bonne note des renseignements donnés par la délégation pendant le dialogue sur l’existence d’un projet de politique </w:t>
      </w:r>
      <w:r w:rsidRPr="006D72A4">
        <w:rPr>
          <w:rFonts w:eastAsia="Malgun Gothic"/>
        </w:rPr>
        <w:t>globale dans le domaine des migrations et indiquant que la finalisation de cette politique fai</w:t>
      </w:r>
      <w:r w:rsidR="00FD7686">
        <w:rPr>
          <w:rFonts w:eastAsia="Malgun Gothic"/>
        </w:rPr>
        <w:t>sai</w:t>
      </w:r>
      <w:r w:rsidRPr="006D72A4">
        <w:rPr>
          <w:rFonts w:eastAsia="Malgun Gothic"/>
        </w:rPr>
        <w:t>t partie des priorités de l’</w:t>
      </w:r>
      <w:r w:rsidR="00CD41BB">
        <w:rPr>
          <w:rFonts w:eastAsia="Malgun Gothic"/>
        </w:rPr>
        <w:t>État</w:t>
      </w:r>
      <w:r w:rsidRPr="006D72A4">
        <w:rPr>
          <w:rFonts w:eastAsia="Malgun Gothic"/>
        </w:rPr>
        <w:t xml:space="preserve"> partie dans le cadre du pacte mondial sur la migration</w:t>
      </w:r>
      <w:r w:rsidRPr="006D72A4">
        <w:t>.</w:t>
      </w:r>
    </w:p>
    <w:p w14:paraId="01CD0CC5" w14:textId="7101FE2D" w:rsidR="00807237" w:rsidRPr="006D72A4" w:rsidRDefault="00807237" w:rsidP="00807237">
      <w:pPr>
        <w:pStyle w:val="SingleTxtG"/>
      </w:pPr>
      <w:r w:rsidRPr="006D72A4">
        <w:t>14.</w:t>
      </w:r>
      <w:r w:rsidRPr="006D72A4">
        <w:tab/>
      </w:r>
      <w:r w:rsidRPr="006D72A4">
        <w:rPr>
          <w:b/>
        </w:rPr>
        <w:t>Le Comité recommande à l’</w:t>
      </w:r>
      <w:r w:rsidR="00CD41BB">
        <w:rPr>
          <w:b/>
        </w:rPr>
        <w:t>État</w:t>
      </w:r>
      <w:r w:rsidRPr="006D72A4">
        <w:rPr>
          <w:b/>
        </w:rPr>
        <w:t xml:space="preserve"> partie de renforcer ses efforts pour finaliser sa</w:t>
      </w:r>
      <w:r w:rsidRPr="006D72A4">
        <w:rPr>
          <w:rFonts w:eastAsia="Malgun Gothic"/>
          <w:b/>
        </w:rPr>
        <w:t xml:space="preserve"> stratégie globale </w:t>
      </w:r>
      <w:r w:rsidR="006A3EB5">
        <w:rPr>
          <w:rFonts w:eastAsia="Malgun Gothic"/>
          <w:b/>
        </w:rPr>
        <w:t>s</w:t>
      </w:r>
      <w:r w:rsidRPr="006D72A4">
        <w:rPr>
          <w:rFonts w:eastAsia="Malgun Gothic"/>
          <w:b/>
        </w:rPr>
        <w:t>ur la migration de main d’œuvre, conformément aux dispositions de la Convention</w:t>
      </w:r>
      <w:r w:rsidR="004F01DF">
        <w:rPr>
          <w:rFonts w:eastAsia="Malgun Gothic"/>
          <w:b/>
        </w:rPr>
        <w:t>,</w:t>
      </w:r>
      <w:r w:rsidRPr="006D72A4">
        <w:rPr>
          <w:rFonts w:eastAsia="Malgun Gothic"/>
          <w:b/>
        </w:rPr>
        <w:t xml:space="preserve"> et</w:t>
      </w:r>
      <w:r w:rsidR="004F01DF">
        <w:rPr>
          <w:rFonts w:eastAsia="Malgun Gothic"/>
          <w:b/>
        </w:rPr>
        <w:t xml:space="preserve"> de</w:t>
      </w:r>
      <w:r w:rsidRPr="006D72A4">
        <w:rPr>
          <w:rFonts w:eastAsia="Malgun Gothic"/>
          <w:b/>
        </w:rPr>
        <w:t xml:space="preserve"> </w:t>
      </w:r>
      <w:r w:rsidR="006A3EB5">
        <w:rPr>
          <w:rFonts w:eastAsia="Malgun Gothic"/>
          <w:b/>
        </w:rPr>
        <w:t>veiller à ce</w:t>
      </w:r>
      <w:r w:rsidRPr="006D72A4">
        <w:rPr>
          <w:rFonts w:eastAsia="Malgun Gothic"/>
          <w:b/>
        </w:rPr>
        <w:t xml:space="preserve"> qu’elle tienne compte des besoins particuliers de chaque sexe</w:t>
      </w:r>
      <w:r w:rsidR="006A3EB5">
        <w:rPr>
          <w:rFonts w:eastAsia="Malgun Gothic"/>
          <w:b/>
        </w:rPr>
        <w:t xml:space="preserve"> et</w:t>
      </w:r>
      <w:r w:rsidRPr="006D72A4">
        <w:rPr>
          <w:rFonts w:eastAsia="Malgun Gothic"/>
          <w:b/>
        </w:rPr>
        <w:t xml:space="preserve"> qu</w:t>
      </w:r>
      <w:r w:rsidR="00CE540C">
        <w:rPr>
          <w:rFonts w:eastAsia="Malgun Gothic"/>
          <w:b/>
        </w:rPr>
        <w:t>’elle</w:t>
      </w:r>
      <w:r w:rsidRPr="006D72A4">
        <w:rPr>
          <w:rFonts w:eastAsia="Malgun Gothic"/>
          <w:b/>
        </w:rPr>
        <w:t xml:space="preserve"> soit appuyée par des ressources humaines, techniques et financières suffisantes pour assurer </w:t>
      </w:r>
      <w:r w:rsidR="004F01DF">
        <w:rPr>
          <w:rFonts w:eastAsia="Malgun Gothic"/>
          <w:b/>
        </w:rPr>
        <w:t>s</w:t>
      </w:r>
      <w:r w:rsidRPr="006D72A4">
        <w:rPr>
          <w:rFonts w:eastAsia="Malgun Gothic"/>
          <w:b/>
        </w:rPr>
        <w:t xml:space="preserve">a mise en œuvre et </w:t>
      </w:r>
      <w:r w:rsidR="004F01DF">
        <w:rPr>
          <w:rFonts w:eastAsia="Malgun Gothic"/>
          <w:b/>
        </w:rPr>
        <w:t xml:space="preserve">par </w:t>
      </w:r>
      <w:r w:rsidRPr="006D72A4">
        <w:rPr>
          <w:rFonts w:eastAsia="Malgun Gothic"/>
          <w:b/>
        </w:rPr>
        <w:t>un mécanisme de suivi. Il recommande également à l’</w:t>
      </w:r>
      <w:r w:rsidR="00CD41BB">
        <w:rPr>
          <w:rFonts w:eastAsia="Malgun Gothic"/>
          <w:b/>
        </w:rPr>
        <w:t>État</w:t>
      </w:r>
      <w:r w:rsidRPr="006D72A4">
        <w:rPr>
          <w:rFonts w:eastAsia="Malgun Gothic"/>
          <w:b/>
        </w:rPr>
        <w:t xml:space="preserve"> partie d’adopter et</w:t>
      </w:r>
      <w:r w:rsidR="004F01DF">
        <w:rPr>
          <w:rFonts w:eastAsia="Malgun Gothic"/>
          <w:b/>
        </w:rPr>
        <w:t xml:space="preserve"> de</w:t>
      </w:r>
      <w:r w:rsidRPr="006D72A4">
        <w:rPr>
          <w:rFonts w:eastAsia="Malgun Gothic"/>
          <w:b/>
        </w:rPr>
        <w:t xml:space="preserve"> mettre en œuvre des</w:t>
      </w:r>
      <w:r w:rsidRPr="006D72A4">
        <w:rPr>
          <w:b/>
        </w:rPr>
        <w:t xml:space="preserve"> projets pour protéger les droits de l’homme de tous les travailleurs migrants mal</w:t>
      </w:r>
      <w:r w:rsidR="00113526">
        <w:rPr>
          <w:b/>
        </w:rPr>
        <w:t>gaches</w:t>
      </w:r>
      <w:r w:rsidRPr="006D72A4">
        <w:rPr>
          <w:b/>
        </w:rPr>
        <w:t xml:space="preserve"> et des immigrés </w:t>
      </w:r>
      <w:r w:rsidR="00113526">
        <w:rPr>
          <w:b/>
        </w:rPr>
        <w:t>à</w:t>
      </w:r>
      <w:r w:rsidRPr="006D72A4">
        <w:rPr>
          <w:b/>
        </w:rPr>
        <w:t xml:space="preserve"> Madagascar.</w:t>
      </w:r>
    </w:p>
    <w:p w14:paraId="326FA381" w14:textId="77777777" w:rsidR="00807237" w:rsidRPr="006D72A4" w:rsidRDefault="00807237" w:rsidP="00807237">
      <w:pPr>
        <w:pStyle w:val="H23G"/>
      </w:pPr>
      <w:r w:rsidRPr="006D72A4">
        <w:tab/>
      </w:r>
      <w:r w:rsidRPr="006D72A4">
        <w:tab/>
        <w:t>Coordination</w:t>
      </w:r>
    </w:p>
    <w:p w14:paraId="7FE05FB5" w14:textId="7480E54D" w:rsidR="00807237" w:rsidRPr="006D72A4" w:rsidRDefault="00807237" w:rsidP="00807237">
      <w:pPr>
        <w:pStyle w:val="SingleTxtG"/>
      </w:pPr>
      <w:r w:rsidRPr="006D72A4">
        <w:t>15.</w:t>
      </w:r>
      <w:r w:rsidRPr="006D72A4">
        <w:tab/>
        <w:t>Le Comité accueille avec satisfaction les renseignements que la délégation a donnés pendant le dialogue indiquant que la mise en place d’une structure de coordination au niveau de la Primature pour la gestion de la migration fai</w:t>
      </w:r>
      <w:r w:rsidR="00FD7686">
        <w:t>sai</w:t>
      </w:r>
      <w:r w:rsidRPr="006D72A4">
        <w:t>t partie des priorités de l’</w:t>
      </w:r>
      <w:r w:rsidR="00CD41BB">
        <w:t>État</w:t>
      </w:r>
      <w:r w:rsidRPr="006D72A4">
        <w:t xml:space="preserve"> partie dans le cadre du pacte mondial pour la migration.</w:t>
      </w:r>
    </w:p>
    <w:p w14:paraId="5DC49D69" w14:textId="15037BFE" w:rsidR="00807237" w:rsidRPr="006D72A4" w:rsidRDefault="00807237" w:rsidP="00807237">
      <w:pPr>
        <w:pStyle w:val="SingleTxtG"/>
        <w:rPr>
          <w:b/>
        </w:rPr>
      </w:pPr>
      <w:r w:rsidRPr="006D72A4">
        <w:t>16.</w:t>
      </w:r>
      <w:r w:rsidRPr="006D72A4">
        <w:tab/>
      </w:r>
      <w:r w:rsidRPr="006D72A4">
        <w:rPr>
          <w:b/>
        </w:rPr>
        <w:t>Le Comité recommande à l’État partie</w:t>
      </w:r>
      <w:r w:rsidR="00FD7686">
        <w:rPr>
          <w:b/>
        </w:rPr>
        <w:t xml:space="preserve"> </w:t>
      </w:r>
      <w:r w:rsidRPr="006D72A4">
        <w:rPr>
          <w:b/>
        </w:rPr>
        <w:t xml:space="preserve">de renforcer </w:t>
      </w:r>
      <w:r w:rsidR="00CE540C">
        <w:rPr>
          <w:b/>
        </w:rPr>
        <w:t>s</w:t>
      </w:r>
      <w:r w:rsidRPr="006D72A4">
        <w:rPr>
          <w:b/>
        </w:rPr>
        <w:t>es efforts pour</w:t>
      </w:r>
      <w:r w:rsidR="00C06D97">
        <w:rPr>
          <w:b/>
        </w:rPr>
        <w:t> </w:t>
      </w:r>
      <w:r w:rsidRPr="006D72A4">
        <w:rPr>
          <w:b/>
        </w:rPr>
        <w:t>:</w:t>
      </w:r>
    </w:p>
    <w:p w14:paraId="5AD7AC52" w14:textId="41B88974" w:rsidR="00807237" w:rsidRPr="001A0A15" w:rsidRDefault="00F0210B" w:rsidP="00F0210B">
      <w:pPr>
        <w:pStyle w:val="SingleTxtG"/>
        <w:rPr>
          <w:b/>
          <w:bCs/>
        </w:rPr>
      </w:pPr>
      <w:r>
        <w:tab/>
      </w:r>
      <w:r w:rsidRPr="001A0A15">
        <w:rPr>
          <w:b/>
          <w:bCs/>
        </w:rPr>
        <w:tab/>
      </w:r>
      <w:r w:rsidR="00807237" w:rsidRPr="001A0A15">
        <w:rPr>
          <w:b/>
          <w:bCs/>
        </w:rPr>
        <w:t>a)</w:t>
      </w:r>
      <w:r w:rsidR="00807237" w:rsidRPr="001A0A15">
        <w:rPr>
          <w:b/>
          <w:bCs/>
        </w:rPr>
        <w:tab/>
      </w:r>
      <w:r w:rsidR="00A64DD2" w:rsidRPr="001A0A15">
        <w:rPr>
          <w:b/>
          <w:bCs/>
        </w:rPr>
        <w:t>É</w:t>
      </w:r>
      <w:r w:rsidR="00807237" w:rsidRPr="001A0A15">
        <w:rPr>
          <w:b/>
          <w:bCs/>
        </w:rPr>
        <w:t>tendre le mandat du Comité interministériel veillant à la protection des intérêts des travailleurs émigrés pour coordonner toutes les activités liées à la mise en œuvre de la Convention aux niveaux intersectoriel, national, régional et local ;</w:t>
      </w:r>
    </w:p>
    <w:p w14:paraId="1EFAA433" w14:textId="280EF946" w:rsidR="00807237" w:rsidRPr="001A0A15" w:rsidRDefault="00F0210B" w:rsidP="00F0210B">
      <w:pPr>
        <w:pStyle w:val="SingleTxtG"/>
        <w:rPr>
          <w:b/>
          <w:bCs/>
        </w:rPr>
      </w:pPr>
      <w:r w:rsidRPr="001A0A15">
        <w:rPr>
          <w:b/>
          <w:bCs/>
        </w:rPr>
        <w:tab/>
      </w:r>
      <w:r w:rsidRPr="001A0A15">
        <w:rPr>
          <w:b/>
          <w:bCs/>
        </w:rPr>
        <w:tab/>
      </w:r>
      <w:r w:rsidR="00807237" w:rsidRPr="001A0A15">
        <w:rPr>
          <w:b/>
          <w:bCs/>
        </w:rPr>
        <w:t>b)</w:t>
      </w:r>
      <w:r w:rsidR="00807237" w:rsidRPr="001A0A15">
        <w:rPr>
          <w:b/>
          <w:bCs/>
        </w:rPr>
        <w:tab/>
        <w:t>Veiller à ce que cet organe de coordination dispose des ressources humaines, techniques et financières nécessaires à son bon fonctionnement ;</w:t>
      </w:r>
    </w:p>
    <w:p w14:paraId="107A0D46" w14:textId="5F7DFA3C" w:rsidR="00807237" w:rsidRPr="006D72A4" w:rsidRDefault="00F0210B" w:rsidP="00F0210B">
      <w:pPr>
        <w:pStyle w:val="SingleTxtG"/>
      </w:pPr>
      <w:r w:rsidRPr="001A0A15">
        <w:rPr>
          <w:b/>
          <w:bCs/>
        </w:rPr>
        <w:tab/>
      </w:r>
      <w:r w:rsidRPr="001A0A15">
        <w:rPr>
          <w:b/>
          <w:bCs/>
        </w:rPr>
        <w:tab/>
      </w:r>
      <w:r w:rsidR="00807237" w:rsidRPr="001A0A15">
        <w:rPr>
          <w:b/>
          <w:bCs/>
        </w:rPr>
        <w:t>c)</w:t>
      </w:r>
      <w:r w:rsidR="00807237" w:rsidRPr="001A0A15">
        <w:rPr>
          <w:b/>
          <w:bCs/>
        </w:rPr>
        <w:tab/>
      </w:r>
      <w:r w:rsidR="00807237" w:rsidRPr="006D72A4">
        <w:rPr>
          <w:b/>
        </w:rPr>
        <w:t>Continuer la coopération avec les institutions spécialisées et les programmes du système des Nations Unies et solliciter auprès du Haut-Commissariat des Nations Unies aux droits de l’homme une assistance technique et un appui pour assurer le bon fonctionnement de cet organe de coordination.</w:t>
      </w:r>
    </w:p>
    <w:p w14:paraId="355BFA9E" w14:textId="77777777" w:rsidR="00807237" w:rsidRPr="006D72A4" w:rsidRDefault="00807237" w:rsidP="00807237">
      <w:pPr>
        <w:pStyle w:val="H23G"/>
      </w:pPr>
      <w:r w:rsidRPr="006D72A4">
        <w:tab/>
      </w:r>
      <w:r w:rsidRPr="006D72A4">
        <w:tab/>
      </w:r>
      <w:r w:rsidRPr="006D72A4">
        <w:tab/>
        <w:t>Collecte de données</w:t>
      </w:r>
    </w:p>
    <w:p w14:paraId="24AA3E1E" w14:textId="6531C349" w:rsidR="00807237" w:rsidRPr="006D72A4" w:rsidRDefault="00807237" w:rsidP="00807237">
      <w:pPr>
        <w:pStyle w:val="SingleTxtG"/>
      </w:pPr>
      <w:r w:rsidRPr="006D72A4">
        <w:t>17.</w:t>
      </w:r>
      <w:r w:rsidRPr="006D72A4">
        <w:tab/>
        <w:t xml:space="preserve">Le Comité note avec satisfaction la mise en œuvre du troisième </w:t>
      </w:r>
      <w:r w:rsidR="00B01BBE">
        <w:t>r</w:t>
      </w:r>
      <w:r w:rsidRPr="006D72A4">
        <w:t xml:space="preserve">ecensement </w:t>
      </w:r>
      <w:r w:rsidR="00113526">
        <w:t>g</w:t>
      </w:r>
      <w:r w:rsidRPr="006D72A4">
        <w:t xml:space="preserve">énéral de la </w:t>
      </w:r>
      <w:r w:rsidR="00113526">
        <w:t>p</w:t>
      </w:r>
      <w:r w:rsidRPr="006D72A4">
        <w:t>opulation et de l’</w:t>
      </w:r>
      <w:r w:rsidR="00113526">
        <w:t>h</w:t>
      </w:r>
      <w:r w:rsidRPr="006D72A4">
        <w:t>abitation, en juin 2018, et d’un projet de profilage de la diaspora mal</w:t>
      </w:r>
      <w:r w:rsidR="00113526">
        <w:t>gache</w:t>
      </w:r>
      <w:r w:rsidRPr="006D72A4">
        <w:t xml:space="preserve"> en </w:t>
      </w:r>
      <w:r w:rsidR="004F01DF">
        <w:t>France,</w:t>
      </w:r>
      <w:r w:rsidRPr="006D72A4">
        <w:t xml:space="preserve"> en 2016. Il se montre néanmoins préoccupé par le défaut de données statistiques ventilées </w:t>
      </w:r>
      <w:r w:rsidR="00B01BBE">
        <w:t>permettant de</w:t>
      </w:r>
      <w:r w:rsidRPr="006D72A4">
        <w:t xml:space="preserve"> suivre et </w:t>
      </w:r>
      <w:r w:rsidR="00B01BBE">
        <w:t>d’</w:t>
      </w:r>
      <w:r w:rsidRPr="006D72A4">
        <w:t>évaluer la mise en œuvre des droits énoncés dans la Convention.</w:t>
      </w:r>
    </w:p>
    <w:p w14:paraId="321DB9A6" w14:textId="61E7C5C5" w:rsidR="00807237" w:rsidRPr="006D72A4" w:rsidRDefault="00807237" w:rsidP="00807237">
      <w:pPr>
        <w:pStyle w:val="SingleTxtG"/>
      </w:pPr>
      <w:r w:rsidRPr="006D72A4">
        <w:t>18.</w:t>
      </w:r>
      <w:r w:rsidRPr="006D72A4">
        <w:tab/>
      </w:r>
      <w:r w:rsidRPr="006D72A4">
        <w:rPr>
          <w:b/>
        </w:rPr>
        <w:t>Le Comité recommande à l’État partie, conformément à la cible 17.18 des objectifs de développement durable, de</w:t>
      </w:r>
      <w:r w:rsidR="00B01BBE">
        <w:rPr>
          <w:b/>
        </w:rPr>
        <w:t xml:space="preserve"> </w:t>
      </w:r>
      <w:r w:rsidRPr="006D72A4">
        <w:rPr>
          <w:b/>
        </w:rPr>
        <w:t>mettre en place un système national d’information</w:t>
      </w:r>
      <w:r w:rsidR="005C142C">
        <w:rPr>
          <w:b/>
        </w:rPr>
        <w:t>s</w:t>
      </w:r>
      <w:r w:rsidRPr="006D72A4">
        <w:rPr>
          <w:b/>
        </w:rPr>
        <w:t xml:space="preserve"> sur les migrations afin de collecter des données statistiques et des informations, tant qualitatives que quantitatives, relatives aux migrations et portant sur tous les aspects de la Convention. Cette base de données centralisée devrait comprendre des renseignements détaillés sur le statut de tous les travailleurs migrants qui sont liés à l’État partie, y compris ceux qui sont dans l’</w:t>
      </w:r>
      <w:r w:rsidR="00CD41BB">
        <w:rPr>
          <w:b/>
        </w:rPr>
        <w:t>État</w:t>
      </w:r>
      <w:r w:rsidRPr="006D72A4">
        <w:rPr>
          <w:b/>
        </w:rPr>
        <w:t xml:space="preserve"> partie, ceux en transit, </w:t>
      </w:r>
      <w:r w:rsidR="004F01DF">
        <w:rPr>
          <w:b/>
        </w:rPr>
        <w:t>ceux qui ont émigré</w:t>
      </w:r>
      <w:r w:rsidR="00CE5EC2">
        <w:rPr>
          <w:b/>
        </w:rPr>
        <w:t>,</w:t>
      </w:r>
      <w:r w:rsidRPr="006D72A4">
        <w:rPr>
          <w:b/>
        </w:rPr>
        <w:t xml:space="preserve"> les travailleurs migrants en situation irrégulière, les enfants migrants non accompagnés et laissés au pays par leurs parents migrants, ainsi que les victimes de la traite. Les données devraient par ailleurs être ventilées par sexe, âge, </w:t>
      </w:r>
      <w:r w:rsidRPr="006D72A4">
        <w:rPr>
          <w:b/>
        </w:rPr>
        <w:lastRenderedPageBreak/>
        <w:t>nationalité, motif d’entrée et de sortie et type de travail effectué, et être utilisé</w:t>
      </w:r>
      <w:r w:rsidR="005C142C">
        <w:rPr>
          <w:b/>
        </w:rPr>
        <w:t>es</w:t>
      </w:r>
      <w:r w:rsidRPr="006D72A4">
        <w:rPr>
          <w:b/>
        </w:rPr>
        <w:t xml:space="preserve"> pour orienter efficacement les politiques migratoires et favoriser l’application des différentes dispositions de la Convention.</w:t>
      </w:r>
    </w:p>
    <w:p w14:paraId="3967EA59" w14:textId="77777777" w:rsidR="00807237" w:rsidRPr="006D72A4" w:rsidRDefault="00807237" w:rsidP="00807237">
      <w:pPr>
        <w:pStyle w:val="H23G"/>
      </w:pPr>
      <w:r w:rsidRPr="006D72A4">
        <w:tab/>
      </w:r>
      <w:r w:rsidRPr="006D72A4">
        <w:tab/>
        <w:t>Suivi indépendant</w:t>
      </w:r>
    </w:p>
    <w:p w14:paraId="62963863" w14:textId="66FF30BC" w:rsidR="00807237" w:rsidRPr="006D72A4" w:rsidRDefault="00807237" w:rsidP="00807237">
      <w:pPr>
        <w:pStyle w:val="SingleTxtG"/>
      </w:pPr>
      <w:r w:rsidRPr="006D72A4">
        <w:t>19.</w:t>
      </w:r>
      <w:r w:rsidRPr="006D72A4">
        <w:tab/>
        <w:t xml:space="preserve">Le Comité se félicite de la création d’une Commission </w:t>
      </w:r>
      <w:r w:rsidR="00CD41BB">
        <w:t>n</w:t>
      </w:r>
      <w:r w:rsidRPr="006D72A4">
        <w:t xml:space="preserve">ationale </w:t>
      </w:r>
      <w:r w:rsidR="00CD41BB">
        <w:t>i</w:t>
      </w:r>
      <w:r w:rsidRPr="006D72A4">
        <w:t xml:space="preserve">ndépendante des </w:t>
      </w:r>
      <w:r w:rsidR="00CD41BB">
        <w:t>d</w:t>
      </w:r>
      <w:r w:rsidRPr="006D72A4">
        <w:t>roits de l’</w:t>
      </w:r>
      <w:r w:rsidR="00CD41BB">
        <w:t>h</w:t>
      </w:r>
      <w:r w:rsidRPr="006D72A4">
        <w:t>omme, en 2014, de la prise de fonction de ses membres, en 2016, et de sa demande d’accréditation, en février 2018. Il est toutefois préoccupé par</w:t>
      </w:r>
      <w:r w:rsidR="00CD41BB">
        <w:t xml:space="preserve"> </w:t>
      </w:r>
      <w:r w:rsidRPr="006D72A4">
        <w:t>l’appui institutionnel insuffisant dont bénéficie cette Commission.</w:t>
      </w:r>
    </w:p>
    <w:p w14:paraId="37FE28EC" w14:textId="66FD8D36" w:rsidR="00807237" w:rsidRPr="006D72A4" w:rsidRDefault="00807237" w:rsidP="00807237">
      <w:pPr>
        <w:pStyle w:val="SingleTxtG"/>
        <w:rPr>
          <w:b/>
        </w:rPr>
      </w:pPr>
      <w:r w:rsidRPr="006D72A4">
        <w:t>20.</w:t>
      </w:r>
      <w:r w:rsidRPr="006D72A4">
        <w:tab/>
      </w:r>
      <w:r w:rsidRPr="006D72A4">
        <w:rPr>
          <w:b/>
        </w:rPr>
        <w:t>Le Comité recommande à l’État partie :</w:t>
      </w:r>
    </w:p>
    <w:p w14:paraId="2C74C259" w14:textId="03B6313E" w:rsidR="00807237" w:rsidRPr="001A0A15" w:rsidRDefault="00F0210B" w:rsidP="00F0210B">
      <w:pPr>
        <w:pStyle w:val="SingleTxtG"/>
        <w:rPr>
          <w:b/>
          <w:bCs/>
        </w:rPr>
      </w:pPr>
      <w:r>
        <w:tab/>
      </w:r>
      <w:r>
        <w:tab/>
      </w:r>
      <w:r w:rsidR="00807237" w:rsidRPr="001A0A15">
        <w:rPr>
          <w:b/>
          <w:bCs/>
        </w:rPr>
        <w:t>a)</w:t>
      </w:r>
      <w:r w:rsidR="00807237" w:rsidRPr="001A0A15">
        <w:rPr>
          <w:b/>
          <w:bCs/>
        </w:rPr>
        <w:tab/>
      </w:r>
      <w:r w:rsidR="002352AF" w:rsidRPr="001A0A15">
        <w:rPr>
          <w:b/>
          <w:bCs/>
        </w:rPr>
        <w:t>De f</w:t>
      </w:r>
      <w:r w:rsidR="00807237" w:rsidRPr="001A0A15">
        <w:rPr>
          <w:b/>
          <w:bCs/>
        </w:rPr>
        <w:t xml:space="preserve">ournir à la </w:t>
      </w:r>
      <w:r w:rsidR="00CD41BB" w:rsidRPr="001A0A15">
        <w:rPr>
          <w:b/>
          <w:bCs/>
        </w:rPr>
        <w:t>Commission nationale indépendante des droits de l’homme</w:t>
      </w:r>
      <w:r w:rsidR="00807237" w:rsidRPr="001A0A15">
        <w:rPr>
          <w:b/>
          <w:bCs/>
        </w:rPr>
        <w:t xml:space="preserve"> les moyens humains, techniques et financiers dont elle a besoin pour pouvoir s’acquitter efficacement de son mandat, y compris pour traiter les plaintes des travailleurs migrants en conformité avec les engagements pris </w:t>
      </w:r>
      <w:r w:rsidR="008C72AA" w:rsidRPr="001A0A15">
        <w:rPr>
          <w:b/>
          <w:bCs/>
        </w:rPr>
        <w:t>par</w:t>
      </w:r>
      <w:r w:rsidR="00807237" w:rsidRPr="001A0A15">
        <w:rPr>
          <w:b/>
          <w:bCs/>
        </w:rPr>
        <w:t xml:space="preserve"> l’</w:t>
      </w:r>
      <w:r w:rsidR="00CD41BB" w:rsidRPr="001A0A15">
        <w:rPr>
          <w:b/>
          <w:bCs/>
        </w:rPr>
        <w:t>État</w:t>
      </w:r>
      <w:r w:rsidR="00807237" w:rsidRPr="001A0A15">
        <w:rPr>
          <w:b/>
          <w:bCs/>
        </w:rPr>
        <w:t xml:space="preserve"> partie dans le cadre de l’Examen </w:t>
      </w:r>
      <w:r w:rsidR="006D4B17" w:rsidRPr="001A0A15">
        <w:rPr>
          <w:b/>
          <w:bCs/>
        </w:rPr>
        <w:t>p</w:t>
      </w:r>
      <w:r w:rsidR="00807237" w:rsidRPr="001A0A15">
        <w:rPr>
          <w:b/>
          <w:bCs/>
        </w:rPr>
        <w:t xml:space="preserve">ériodique </w:t>
      </w:r>
      <w:r w:rsidR="006D4B17" w:rsidRPr="001A0A15">
        <w:rPr>
          <w:b/>
          <w:bCs/>
        </w:rPr>
        <w:t>u</w:t>
      </w:r>
      <w:r w:rsidR="00807237" w:rsidRPr="001A0A15">
        <w:rPr>
          <w:b/>
          <w:bCs/>
        </w:rPr>
        <w:t>niversel (A/HRC/28/13, 108.44)</w:t>
      </w:r>
      <w:r w:rsidR="00C06D97" w:rsidRPr="001A0A15">
        <w:rPr>
          <w:b/>
          <w:bCs/>
        </w:rPr>
        <w:t> </w:t>
      </w:r>
      <w:r w:rsidR="00807237" w:rsidRPr="001A0A15">
        <w:rPr>
          <w:b/>
          <w:bCs/>
        </w:rPr>
        <w:t>;</w:t>
      </w:r>
    </w:p>
    <w:p w14:paraId="1650974B" w14:textId="054DEDF5" w:rsidR="00807237" w:rsidRPr="006D72A4" w:rsidRDefault="00F0210B" w:rsidP="00F0210B">
      <w:pPr>
        <w:pStyle w:val="SingleTxtG"/>
        <w:rPr>
          <w:b/>
        </w:rPr>
      </w:pPr>
      <w:r w:rsidRPr="001A0A15">
        <w:rPr>
          <w:b/>
          <w:bCs/>
        </w:rPr>
        <w:tab/>
      </w:r>
      <w:r w:rsidRPr="001A0A15">
        <w:rPr>
          <w:b/>
          <w:bCs/>
        </w:rPr>
        <w:tab/>
      </w:r>
      <w:r w:rsidR="00807237" w:rsidRPr="001A0A15">
        <w:rPr>
          <w:b/>
          <w:bCs/>
        </w:rPr>
        <w:t>b)</w:t>
      </w:r>
      <w:r w:rsidR="00807237" w:rsidRPr="001A0A15">
        <w:rPr>
          <w:b/>
          <w:bCs/>
        </w:rPr>
        <w:tab/>
      </w:r>
      <w:r w:rsidR="002352AF">
        <w:rPr>
          <w:b/>
        </w:rPr>
        <w:t>De s</w:t>
      </w:r>
      <w:r w:rsidR="00807237" w:rsidRPr="006D72A4">
        <w:rPr>
          <w:b/>
        </w:rPr>
        <w:t xml:space="preserve">olliciter une assistance technique auprès du Haut-Commissariat aux droits de l’homme en vue de garantir que l’institution nationale soit pleinement conforme aux </w:t>
      </w:r>
      <w:r w:rsidR="003A7E3C" w:rsidRPr="001A0A15">
        <w:rPr>
          <w:b/>
        </w:rPr>
        <w:t>Principes concernant le statut des institutions nationales pour la promotion et la protection des droits de l’homme (</w:t>
      </w:r>
      <w:r w:rsidR="00807237" w:rsidRPr="006D72A4">
        <w:rPr>
          <w:b/>
        </w:rPr>
        <w:t xml:space="preserve">Principes de Paris). </w:t>
      </w:r>
    </w:p>
    <w:p w14:paraId="2CC8CC3F" w14:textId="4E2853EF" w:rsidR="00807237" w:rsidRPr="006D72A4" w:rsidRDefault="00807237" w:rsidP="00807237">
      <w:pPr>
        <w:pStyle w:val="H23G"/>
      </w:pPr>
      <w:r w:rsidRPr="006D72A4">
        <w:tab/>
      </w:r>
      <w:r w:rsidRPr="006D72A4">
        <w:tab/>
      </w:r>
      <w:r w:rsidRPr="006D72A4">
        <w:tab/>
        <w:t>Formation et diffusion de</w:t>
      </w:r>
      <w:r w:rsidR="008711A0">
        <w:t xml:space="preserve"> l’information sur</w:t>
      </w:r>
      <w:r w:rsidRPr="006D72A4">
        <w:t xml:space="preserve"> la Convention</w:t>
      </w:r>
    </w:p>
    <w:p w14:paraId="2E5068FA" w14:textId="58B18370" w:rsidR="00807237" w:rsidRPr="006D72A4" w:rsidRDefault="00807237" w:rsidP="00807237">
      <w:pPr>
        <w:pStyle w:val="SingleTxtG"/>
      </w:pPr>
      <w:r w:rsidRPr="006D72A4">
        <w:t>21.</w:t>
      </w:r>
      <w:r w:rsidRPr="006D72A4">
        <w:tab/>
        <w:t>Le Comité note les efforts fournis par l’</w:t>
      </w:r>
      <w:r w:rsidR="00CD41BB">
        <w:t>État</w:t>
      </w:r>
      <w:r w:rsidRPr="006D72A4">
        <w:t xml:space="preserve"> partie en matière d’éducation, de formation et de sensibilisation aux droits de l’homme. Il est toutefois préoccupé par le manque de programmes de formation portant spécifiquement sur la Convention et les droits qui y sont consacrés </w:t>
      </w:r>
      <w:r w:rsidR="007E7F92">
        <w:t>pour les</w:t>
      </w:r>
      <w:r w:rsidRPr="006D72A4">
        <w:t xml:space="preserve"> parties prenantes, y compris le personnel judiciaire et les forces de l’ordre.</w:t>
      </w:r>
    </w:p>
    <w:p w14:paraId="5DD7FB5C" w14:textId="2D0C4A9D" w:rsidR="00807237" w:rsidRPr="006D72A4" w:rsidRDefault="00807237" w:rsidP="00807237">
      <w:pPr>
        <w:pStyle w:val="SingleTxtG"/>
        <w:rPr>
          <w:b/>
        </w:rPr>
      </w:pPr>
      <w:r w:rsidRPr="006D72A4">
        <w:t>22.</w:t>
      </w:r>
      <w:r w:rsidRPr="006D72A4">
        <w:tab/>
      </w:r>
      <w:r w:rsidRPr="006D72A4">
        <w:rPr>
          <w:b/>
        </w:rPr>
        <w:t>Le Comité recommande à l’État partie :</w:t>
      </w:r>
    </w:p>
    <w:p w14:paraId="41D2EFA2" w14:textId="4B97243A" w:rsidR="00807237" w:rsidRPr="001A0A15" w:rsidRDefault="00F0210B" w:rsidP="00F0210B">
      <w:pPr>
        <w:pStyle w:val="SingleTxtG"/>
        <w:rPr>
          <w:b/>
          <w:bCs/>
        </w:rPr>
      </w:pPr>
      <w:r>
        <w:tab/>
      </w:r>
      <w:r>
        <w:tab/>
      </w:r>
      <w:r w:rsidR="00807237" w:rsidRPr="001A0A15">
        <w:rPr>
          <w:b/>
          <w:bCs/>
        </w:rPr>
        <w:t>a)</w:t>
      </w:r>
      <w:r w:rsidR="00807237" w:rsidRPr="001A0A15">
        <w:rPr>
          <w:b/>
          <w:bCs/>
        </w:rPr>
        <w:tab/>
      </w:r>
      <w:r w:rsidR="002352AF" w:rsidRPr="001A0A15">
        <w:rPr>
          <w:b/>
          <w:bCs/>
        </w:rPr>
        <w:t>De m</w:t>
      </w:r>
      <w:r w:rsidR="00807237" w:rsidRPr="001A0A15">
        <w:rPr>
          <w:b/>
          <w:bCs/>
        </w:rPr>
        <w:t>ettre au point des programmes d’éducation et de formation sur les droits des travailleurs migrants et des membres de leur famille visés par la Convention, les questions de genre et les droits de l’enfant, et de faire en sorte que ces programmes soient proposés à l’ensemble des fonctionnaires et des personnes travaillant dans le domaine de la migration, en particulier aux membres des forces de l’ordre et aux autorités douanières, aux juges, aux procureurs, aux agents consulaires, aux fonctionnaires nationaux, régionaux et locaux, aux travailleurs sociaux et aux membres des org</w:t>
      </w:r>
      <w:r w:rsidR="00C26BCC" w:rsidRPr="001A0A15">
        <w:rPr>
          <w:b/>
          <w:bCs/>
        </w:rPr>
        <w:t>anisations de la société civile ;</w:t>
      </w:r>
    </w:p>
    <w:p w14:paraId="543FF351" w14:textId="72984177" w:rsidR="00807237" w:rsidRPr="001A0A15" w:rsidRDefault="00F0210B" w:rsidP="00F0210B">
      <w:pPr>
        <w:pStyle w:val="SingleTxtG"/>
        <w:rPr>
          <w:b/>
          <w:bCs/>
        </w:rPr>
      </w:pPr>
      <w:r w:rsidRPr="001A0A15">
        <w:rPr>
          <w:b/>
          <w:bCs/>
        </w:rPr>
        <w:tab/>
      </w:r>
      <w:r w:rsidRPr="001A0A15">
        <w:rPr>
          <w:b/>
          <w:bCs/>
        </w:rPr>
        <w:tab/>
      </w:r>
      <w:r w:rsidR="00807237" w:rsidRPr="001A0A15">
        <w:rPr>
          <w:b/>
          <w:bCs/>
        </w:rPr>
        <w:t>b)</w:t>
      </w:r>
      <w:r w:rsidR="00807237" w:rsidRPr="001A0A15">
        <w:rPr>
          <w:b/>
          <w:bCs/>
        </w:rPr>
        <w:tab/>
      </w:r>
      <w:r w:rsidR="002352AF" w:rsidRPr="001A0A15">
        <w:rPr>
          <w:b/>
          <w:bCs/>
        </w:rPr>
        <w:t>De r</w:t>
      </w:r>
      <w:r w:rsidR="00807237" w:rsidRPr="001A0A15">
        <w:rPr>
          <w:b/>
          <w:bCs/>
        </w:rPr>
        <w:t>enforcer l’action qu’il mène avec les organisations de la société civile et les médias pour diffuser des informations sur la Convention et promouvoir cet instrument sur tout le territoire</w:t>
      </w:r>
      <w:r w:rsidR="00C06D97" w:rsidRPr="001A0A15">
        <w:rPr>
          <w:b/>
          <w:bCs/>
        </w:rPr>
        <w:t> </w:t>
      </w:r>
      <w:r w:rsidR="00807237" w:rsidRPr="001A0A15">
        <w:rPr>
          <w:b/>
          <w:bCs/>
        </w:rPr>
        <w:t>;</w:t>
      </w:r>
    </w:p>
    <w:p w14:paraId="34663F9F" w14:textId="5614670B" w:rsidR="00807237" w:rsidRPr="006D72A4" w:rsidRDefault="00F0210B" w:rsidP="00F0210B">
      <w:pPr>
        <w:pStyle w:val="SingleTxtG"/>
        <w:rPr>
          <w:b/>
        </w:rPr>
      </w:pPr>
      <w:r w:rsidRPr="001A0A15">
        <w:rPr>
          <w:b/>
          <w:bCs/>
        </w:rPr>
        <w:tab/>
      </w:r>
      <w:r w:rsidRPr="001A0A15">
        <w:rPr>
          <w:b/>
          <w:bCs/>
        </w:rPr>
        <w:tab/>
      </w:r>
      <w:r w:rsidR="00807237" w:rsidRPr="001A0A15">
        <w:rPr>
          <w:b/>
          <w:bCs/>
        </w:rPr>
        <w:t>c)</w:t>
      </w:r>
      <w:r w:rsidR="00807237" w:rsidRPr="001A0A15">
        <w:rPr>
          <w:b/>
          <w:bCs/>
        </w:rPr>
        <w:tab/>
      </w:r>
      <w:r w:rsidR="002352AF" w:rsidRPr="001A0A15">
        <w:rPr>
          <w:b/>
          <w:bCs/>
        </w:rPr>
        <w:t>D’o</w:t>
      </w:r>
      <w:r w:rsidR="00807237" w:rsidRPr="001A0A15">
        <w:rPr>
          <w:b/>
          <w:bCs/>
        </w:rPr>
        <w:t>rganiser</w:t>
      </w:r>
      <w:r w:rsidR="00807237" w:rsidRPr="006D72A4">
        <w:rPr>
          <w:b/>
        </w:rPr>
        <w:t xml:space="preserve"> des sessions de formation à l’intention des journalistes des médias sociaux et des autorités locales pour leur permettre d’avoir une bonne connaissance de la Convention et la faire respecter.</w:t>
      </w:r>
    </w:p>
    <w:p w14:paraId="51A37E64" w14:textId="77777777" w:rsidR="00807237" w:rsidRPr="006D72A4" w:rsidRDefault="00807237" w:rsidP="00807237">
      <w:pPr>
        <w:pStyle w:val="H23G"/>
      </w:pPr>
      <w:r w:rsidRPr="006D72A4">
        <w:tab/>
      </w:r>
      <w:r w:rsidRPr="006D72A4">
        <w:tab/>
        <w:t>Participation de la société civile</w:t>
      </w:r>
    </w:p>
    <w:p w14:paraId="0834B50C" w14:textId="70C40302" w:rsidR="00807237" w:rsidRPr="00B21F19" w:rsidRDefault="00807237" w:rsidP="00807237">
      <w:pPr>
        <w:pStyle w:val="SingleTxtG"/>
        <w:rPr>
          <w:rFonts w:eastAsia="Calibri"/>
        </w:rPr>
      </w:pPr>
      <w:r w:rsidRPr="00B21F19">
        <w:t>23.</w:t>
      </w:r>
      <w:r w:rsidRPr="00B21F19">
        <w:tab/>
      </w:r>
      <w:r w:rsidRPr="00B21F19">
        <w:rPr>
          <w:rFonts w:eastAsia="Calibri"/>
        </w:rPr>
        <w:t xml:space="preserve">Le Comité est préoccupé par </w:t>
      </w:r>
      <w:r w:rsidR="00B21F19">
        <w:rPr>
          <w:rFonts w:eastAsia="Calibri"/>
        </w:rPr>
        <w:t>la faible</w:t>
      </w:r>
      <w:r w:rsidR="00B21F19" w:rsidRPr="00B21F19">
        <w:rPr>
          <w:rFonts w:eastAsia="Calibri"/>
        </w:rPr>
        <w:t xml:space="preserve"> contribution de la société civile </w:t>
      </w:r>
      <w:r w:rsidR="00B21F19">
        <w:rPr>
          <w:rFonts w:eastAsia="Calibri"/>
        </w:rPr>
        <w:t>à</w:t>
      </w:r>
      <w:r w:rsidR="00B21F19" w:rsidRPr="00B21F19">
        <w:rPr>
          <w:rFonts w:eastAsia="Calibri"/>
        </w:rPr>
        <w:t xml:space="preserve"> son dialogue avec l’</w:t>
      </w:r>
      <w:r w:rsidR="00CD41BB">
        <w:rPr>
          <w:rFonts w:eastAsia="Calibri"/>
        </w:rPr>
        <w:t>État</w:t>
      </w:r>
      <w:r w:rsidR="00B21F19" w:rsidRPr="00B21F19">
        <w:rPr>
          <w:rFonts w:eastAsia="Calibri"/>
        </w:rPr>
        <w:t xml:space="preserve"> partie, et </w:t>
      </w:r>
      <w:r w:rsidR="00602C77">
        <w:rPr>
          <w:rFonts w:eastAsia="Calibri"/>
        </w:rPr>
        <w:t>par</w:t>
      </w:r>
      <w:r w:rsidR="00B21F19" w:rsidRPr="00B21F19">
        <w:rPr>
          <w:rFonts w:eastAsia="Calibri"/>
        </w:rPr>
        <w:t xml:space="preserve"> </w:t>
      </w:r>
      <w:r w:rsidRPr="00B21F19">
        <w:rPr>
          <w:rFonts w:eastAsia="Calibri"/>
        </w:rPr>
        <w:t>l’insuffisante</w:t>
      </w:r>
      <w:r w:rsidR="00B21F19">
        <w:rPr>
          <w:rFonts w:eastAsia="Calibri"/>
        </w:rPr>
        <w:t xml:space="preserve"> </w:t>
      </w:r>
      <w:r w:rsidRPr="00B21F19">
        <w:rPr>
          <w:rFonts w:eastAsia="Calibri"/>
        </w:rPr>
        <w:t xml:space="preserve">consultation </w:t>
      </w:r>
      <w:r w:rsidR="00B21F19">
        <w:rPr>
          <w:rFonts w:eastAsia="Calibri"/>
        </w:rPr>
        <w:t xml:space="preserve">de </w:t>
      </w:r>
      <w:r w:rsidR="00D03A8F">
        <w:rPr>
          <w:rFonts w:eastAsia="Calibri"/>
        </w:rPr>
        <w:t>la société civile par</w:t>
      </w:r>
      <w:r w:rsidR="00CA16CA" w:rsidRPr="00B21F19">
        <w:rPr>
          <w:rFonts w:eastAsia="Calibri"/>
        </w:rPr>
        <w:t xml:space="preserve"> l’</w:t>
      </w:r>
      <w:r w:rsidR="00CD41BB">
        <w:rPr>
          <w:rFonts w:eastAsia="Calibri"/>
        </w:rPr>
        <w:t>État</w:t>
      </w:r>
      <w:r w:rsidR="00CA16CA" w:rsidRPr="00B21F19">
        <w:rPr>
          <w:rFonts w:eastAsia="Calibri"/>
        </w:rPr>
        <w:t xml:space="preserve"> partie </w:t>
      </w:r>
      <w:r w:rsidR="00D03A8F" w:rsidRPr="00B21F19">
        <w:rPr>
          <w:rFonts w:eastAsia="Calibri"/>
        </w:rPr>
        <w:t xml:space="preserve">et </w:t>
      </w:r>
      <w:r w:rsidR="00D03A8F">
        <w:rPr>
          <w:rFonts w:eastAsia="Calibri"/>
        </w:rPr>
        <w:t xml:space="preserve">le </w:t>
      </w:r>
      <w:r w:rsidR="00D03A8F" w:rsidRPr="00B21F19">
        <w:rPr>
          <w:rFonts w:eastAsia="Calibri"/>
        </w:rPr>
        <w:t xml:space="preserve">soutien </w:t>
      </w:r>
      <w:r w:rsidR="00D03A8F">
        <w:rPr>
          <w:rFonts w:eastAsia="Calibri"/>
        </w:rPr>
        <w:t>insuffisant qu’il lui apporte</w:t>
      </w:r>
      <w:r w:rsidRPr="00B21F19">
        <w:rPr>
          <w:rFonts w:eastAsia="Calibri"/>
        </w:rPr>
        <w:t xml:space="preserve"> pour sa participation à la mise en œuvre de la Convention.</w:t>
      </w:r>
    </w:p>
    <w:p w14:paraId="6912445B" w14:textId="77777777" w:rsidR="00807237" w:rsidRPr="006D72A4" w:rsidRDefault="00807237" w:rsidP="00807237">
      <w:pPr>
        <w:pStyle w:val="SingleTxtG"/>
        <w:rPr>
          <w:rFonts w:eastAsia="Calibri"/>
          <w:b/>
        </w:rPr>
      </w:pPr>
      <w:r w:rsidRPr="00B21F19">
        <w:rPr>
          <w:rFonts w:eastAsia="Calibri"/>
        </w:rPr>
        <w:t>24.</w:t>
      </w:r>
      <w:r w:rsidRPr="00B21F19">
        <w:rPr>
          <w:rFonts w:eastAsia="Calibri"/>
        </w:rPr>
        <w:tab/>
      </w:r>
      <w:r w:rsidRPr="00B21F19">
        <w:rPr>
          <w:rFonts w:eastAsia="Calibri"/>
          <w:b/>
          <w:lang w:val="fr-FR"/>
        </w:rPr>
        <w:t>Le Comité recommande à l’État partie :</w:t>
      </w:r>
    </w:p>
    <w:p w14:paraId="7CD53D55" w14:textId="6298F397" w:rsidR="00807237" w:rsidRPr="001A0A15" w:rsidRDefault="00F0210B" w:rsidP="00F0210B">
      <w:pPr>
        <w:pStyle w:val="SingleTxtG"/>
        <w:rPr>
          <w:rFonts w:eastAsia="Calibri"/>
          <w:b/>
          <w:bCs/>
          <w:lang w:val="fr-FR"/>
        </w:rPr>
      </w:pPr>
      <w:r>
        <w:rPr>
          <w:rFonts w:eastAsia="Calibri"/>
          <w:lang w:val="fr-FR"/>
        </w:rPr>
        <w:tab/>
      </w:r>
      <w:r>
        <w:rPr>
          <w:rFonts w:eastAsia="Calibri"/>
          <w:lang w:val="fr-FR"/>
        </w:rPr>
        <w:tab/>
      </w:r>
      <w:r w:rsidR="00807237" w:rsidRPr="001A0A15">
        <w:rPr>
          <w:rFonts w:eastAsia="Calibri"/>
          <w:b/>
          <w:bCs/>
          <w:lang w:val="fr-FR"/>
        </w:rPr>
        <w:t>a)</w:t>
      </w:r>
      <w:r w:rsidR="00807237" w:rsidRPr="001A0A15">
        <w:rPr>
          <w:rFonts w:eastAsia="Calibri"/>
          <w:b/>
          <w:bCs/>
          <w:lang w:val="fr-FR"/>
        </w:rPr>
        <w:tab/>
        <w:t xml:space="preserve">D’envisager des mesures proactives et systématiques de consultation de la société civile et des organisations non gouvernementales pour la mise en œuvre de la Convention et </w:t>
      </w:r>
      <w:r w:rsidR="004F6A20" w:rsidRPr="001A0A15">
        <w:rPr>
          <w:rFonts w:eastAsia="Calibri"/>
          <w:b/>
          <w:bCs/>
          <w:lang w:val="fr-FR"/>
        </w:rPr>
        <w:t>pour</w:t>
      </w:r>
      <w:r w:rsidR="00807237" w:rsidRPr="001A0A15">
        <w:rPr>
          <w:rFonts w:eastAsia="Calibri"/>
          <w:b/>
          <w:bCs/>
          <w:lang w:val="fr-FR"/>
        </w:rPr>
        <w:t xml:space="preserve"> la négociation et </w:t>
      </w:r>
      <w:r w:rsidR="004F6A20" w:rsidRPr="001A0A15">
        <w:rPr>
          <w:rFonts w:eastAsia="Calibri"/>
          <w:b/>
          <w:bCs/>
          <w:lang w:val="fr-FR"/>
        </w:rPr>
        <w:t>le suivi</w:t>
      </w:r>
      <w:r w:rsidR="00807237" w:rsidRPr="001A0A15">
        <w:rPr>
          <w:rFonts w:eastAsia="Calibri"/>
          <w:b/>
          <w:bCs/>
          <w:lang w:val="fr-FR"/>
        </w:rPr>
        <w:t xml:space="preserve"> des accords bilatéraux ;</w:t>
      </w:r>
    </w:p>
    <w:p w14:paraId="1B9EE3C3" w14:textId="56DB7C62" w:rsidR="00807237" w:rsidRPr="006D72A4" w:rsidRDefault="00F0210B" w:rsidP="00F0210B">
      <w:pPr>
        <w:pStyle w:val="SingleTxtG"/>
        <w:rPr>
          <w:b/>
        </w:rPr>
      </w:pPr>
      <w:r w:rsidRPr="001A0A15">
        <w:rPr>
          <w:rFonts w:eastAsia="Calibri"/>
          <w:b/>
          <w:bCs/>
          <w:lang w:val="fr-FR"/>
        </w:rPr>
        <w:lastRenderedPageBreak/>
        <w:tab/>
      </w:r>
      <w:r w:rsidRPr="001A0A15">
        <w:rPr>
          <w:rFonts w:eastAsia="Calibri"/>
          <w:b/>
          <w:bCs/>
          <w:lang w:val="fr-FR"/>
        </w:rPr>
        <w:tab/>
      </w:r>
      <w:r w:rsidR="00807237" w:rsidRPr="001A0A15">
        <w:rPr>
          <w:rFonts w:eastAsia="Calibri"/>
          <w:b/>
          <w:bCs/>
          <w:lang w:val="fr-FR"/>
        </w:rPr>
        <w:t>b)</w:t>
      </w:r>
      <w:r w:rsidR="00807237" w:rsidRPr="001A0A15">
        <w:rPr>
          <w:rFonts w:eastAsia="Calibri"/>
          <w:b/>
          <w:bCs/>
          <w:lang w:val="fr-FR"/>
        </w:rPr>
        <w:tab/>
        <w:t>De renforcer</w:t>
      </w:r>
      <w:r w:rsidR="00807237" w:rsidRPr="006D72A4">
        <w:rPr>
          <w:rFonts w:eastAsia="Calibri"/>
          <w:b/>
          <w:lang w:val="fr-FR"/>
        </w:rPr>
        <w:t xml:space="preserve"> le soutien </w:t>
      </w:r>
      <w:r w:rsidR="000F1BB7">
        <w:rPr>
          <w:rFonts w:eastAsia="Calibri"/>
          <w:b/>
          <w:lang w:val="fr-FR"/>
        </w:rPr>
        <w:t>à</w:t>
      </w:r>
      <w:r w:rsidR="00807237" w:rsidRPr="006D72A4">
        <w:rPr>
          <w:rFonts w:eastAsia="Calibri"/>
          <w:b/>
          <w:lang w:val="fr-FR"/>
        </w:rPr>
        <w:t xml:space="preserve"> ces organisations pour </w:t>
      </w:r>
      <w:r w:rsidR="000F1BB7">
        <w:rPr>
          <w:rFonts w:eastAsia="Calibri"/>
          <w:b/>
          <w:lang w:val="fr-FR"/>
        </w:rPr>
        <w:t>qu’elles participent</w:t>
      </w:r>
      <w:r w:rsidR="00807237" w:rsidRPr="006D72A4">
        <w:rPr>
          <w:rFonts w:eastAsia="Calibri"/>
          <w:b/>
          <w:lang w:val="fr-FR"/>
        </w:rPr>
        <w:t xml:space="preserve"> à la mise en œuvre de la Convention, y compris dans les pays où sont employés des travailleurs migrants mal</w:t>
      </w:r>
      <w:r w:rsidR="00113526">
        <w:rPr>
          <w:rFonts w:eastAsia="Calibri"/>
          <w:b/>
          <w:lang w:val="fr-FR"/>
        </w:rPr>
        <w:t>gaches</w:t>
      </w:r>
      <w:r w:rsidR="00807237" w:rsidRPr="006D72A4">
        <w:rPr>
          <w:rFonts w:eastAsia="Calibri"/>
          <w:b/>
        </w:rPr>
        <w:t>.</w:t>
      </w:r>
    </w:p>
    <w:p w14:paraId="39946950" w14:textId="77777777" w:rsidR="00807237" w:rsidRPr="00F0210B" w:rsidRDefault="00807237" w:rsidP="00B361B7">
      <w:pPr>
        <w:pStyle w:val="H23G"/>
      </w:pPr>
      <w:r w:rsidRPr="00F0210B">
        <w:tab/>
      </w:r>
      <w:r w:rsidRPr="00F0210B">
        <w:tab/>
        <w:t>Corruption</w:t>
      </w:r>
    </w:p>
    <w:p w14:paraId="0D98E1C1" w14:textId="36C0F490" w:rsidR="00807237" w:rsidRPr="00B361B7" w:rsidRDefault="00807237" w:rsidP="00B361B7">
      <w:pPr>
        <w:pStyle w:val="SingleTxtG"/>
      </w:pPr>
      <w:r w:rsidRPr="00B361B7">
        <w:t>25.</w:t>
      </w:r>
      <w:r w:rsidRPr="00B361B7">
        <w:tab/>
        <w:t>Le Comité accueille avec satisfaction les renseignements que la délégation a donnés pendant le dialogue sur les efforts de l’</w:t>
      </w:r>
      <w:r w:rsidR="00CD41BB">
        <w:t>État</w:t>
      </w:r>
      <w:r w:rsidRPr="00B361B7">
        <w:t xml:space="preserve"> partie pour combattre la corruption, y </w:t>
      </w:r>
      <w:r w:rsidRPr="00735BB9">
        <w:t xml:space="preserve">compris au sein de la police nationale, </w:t>
      </w:r>
      <w:r w:rsidR="001E34BE" w:rsidRPr="00735BB9">
        <w:t>liée aux</w:t>
      </w:r>
      <w:r w:rsidRPr="00B361B7">
        <w:t xml:space="preserve"> irrégularités dans la délivrance d’actes de naissance et de visas, ainsi qu</w:t>
      </w:r>
      <w:r w:rsidR="00006608" w:rsidRPr="00B361B7">
        <w:t>’à</w:t>
      </w:r>
      <w:r w:rsidRPr="00B361B7">
        <w:t xml:space="preserve"> la fraude dans la documentation des travailleurs migrants. </w:t>
      </w:r>
    </w:p>
    <w:p w14:paraId="3D196BBA" w14:textId="77777777" w:rsidR="00807237" w:rsidRPr="00B361B7" w:rsidRDefault="00807237" w:rsidP="00B361B7">
      <w:pPr>
        <w:pStyle w:val="SingleTxtG"/>
      </w:pPr>
      <w:r w:rsidRPr="00B361B7">
        <w:t>26.</w:t>
      </w:r>
      <w:r w:rsidRPr="00B361B7">
        <w:tab/>
      </w:r>
      <w:r w:rsidRPr="00B361B7">
        <w:rPr>
          <w:b/>
        </w:rPr>
        <w:t>Le Comité recommande à l’État partie de renforcer ses efforts pour faire face à tous les cas de corruption et lui recommande d’enquêter, de manière approfondie, sur toute affaire dans laquelle pourraient être impliqués des fonctionnaires, et de leur appliquer des sanctions appropriées. Le Comité recommande également à l’État partie de mener des campagnes d’information pour encourager les travailleurs migrants et les membres de leur famille victimes de corruption ou de fraude à porter plainte, et d’informer davantage les travailleurs migrants et les membres de leur famille sur les services mis gratuitement à leur disposition</w:t>
      </w:r>
      <w:r w:rsidRPr="00B361B7">
        <w:t>.</w:t>
      </w:r>
    </w:p>
    <w:p w14:paraId="13468468" w14:textId="77777777" w:rsidR="00807237" w:rsidRPr="006D72A4" w:rsidRDefault="00807237" w:rsidP="00807237">
      <w:pPr>
        <w:pStyle w:val="H23G"/>
      </w:pPr>
      <w:r w:rsidRPr="006D72A4">
        <w:tab/>
        <w:t>2.</w:t>
      </w:r>
      <w:r w:rsidRPr="006D72A4">
        <w:tab/>
        <w:t>Principes généraux (art. 7 et 83)</w:t>
      </w:r>
    </w:p>
    <w:p w14:paraId="13524859" w14:textId="78EE8566" w:rsidR="00807237" w:rsidRPr="006D72A4" w:rsidRDefault="00807237" w:rsidP="00807237">
      <w:pPr>
        <w:pStyle w:val="H23G"/>
      </w:pPr>
      <w:r w:rsidRPr="006D72A4">
        <w:tab/>
      </w:r>
      <w:r w:rsidRPr="006D72A4">
        <w:tab/>
      </w:r>
      <w:r w:rsidR="00436851">
        <w:t>N</w:t>
      </w:r>
      <w:r w:rsidRPr="006D72A4">
        <w:t xml:space="preserve">on-discrimination </w:t>
      </w:r>
    </w:p>
    <w:p w14:paraId="56AE4B82" w14:textId="49ABE0B5" w:rsidR="00807237" w:rsidRPr="006D72A4" w:rsidRDefault="00807237" w:rsidP="00807237">
      <w:pPr>
        <w:pStyle w:val="SingleTxtG"/>
      </w:pPr>
      <w:r w:rsidRPr="006D72A4">
        <w:t>27.</w:t>
      </w:r>
      <w:r w:rsidRPr="006D72A4">
        <w:tab/>
        <w:t>Le Comité note que l’art</w:t>
      </w:r>
      <w:r w:rsidR="00C06D97">
        <w:t>icle</w:t>
      </w:r>
      <w:r w:rsidRPr="006D72A4">
        <w:t xml:space="preserve"> 6 de la Constitution de l’</w:t>
      </w:r>
      <w:r w:rsidR="00CD41BB">
        <w:t>État</w:t>
      </w:r>
      <w:r w:rsidRPr="006D72A4">
        <w:t xml:space="preserve"> partie protège les individus contre la discrimination fondée sur le sexe, le degré d</w:t>
      </w:r>
      <w:r w:rsidR="007F2EF0">
        <w:t>’</w:t>
      </w:r>
      <w:r w:rsidRPr="006D72A4">
        <w:t>instruction, la fortune, l</w:t>
      </w:r>
      <w:r w:rsidR="001768B5">
        <w:t>’</w:t>
      </w:r>
      <w:r w:rsidRPr="006D72A4">
        <w:t>origine, la croyance religieuse ou l</w:t>
      </w:r>
      <w:r w:rsidR="001768B5">
        <w:t>’</w:t>
      </w:r>
      <w:r w:rsidRPr="006D72A4">
        <w:t>opinion, et que l’art</w:t>
      </w:r>
      <w:r w:rsidR="00C06D97">
        <w:t>icle</w:t>
      </w:r>
      <w:r w:rsidRPr="006D72A4">
        <w:t xml:space="preserve"> 28 protège contre la discrimination au travail. Il regrette toutefois</w:t>
      </w:r>
      <w:r w:rsidR="00C06D97">
        <w:t> </w:t>
      </w:r>
      <w:r w:rsidRPr="006D72A4">
        <w:t>:</w:t>
      </w:r>
    </w:p>
    <w:p w14:paraId="77939782" w14:textId="46E09764" w:rsidR="00807237" w:rsidRPr="006D72A4" w:rsidRDefault="00F0210B" w:rsidP="00F0210B">
      <w:pPr>
        <w:pStyle w:val="SingleTxtG"/>
      </w:pPr>
      <w:r>
        <w:tab/>
      </w:r>
      <w:r>
        <w:tab/>
      </w:r>
      <w:r w:rsidR="00807237" w:rsidRPr="006D72A4">
        <w:t>a)</w:t>
      </w:r>
      <w:r w:rsidR="00807237" w:rsidRPr="006D72A4">
        <w:tab/>
        <w:t>Que ni la Constitution, ni la législation nationale en matière d’emploi et de conditions de travail n’interdit tous les motifs de discrimination énumérés dans la Convention (voir art</w:t>
      </w:r>
      <w:r w:rsidR="00D20B97">
        <w:t xml:space="preserve">. 1, </w:t>
      </w:r>
      <w:r w:rsidR="00D20B97" w:rsidRPr="006D72A4">
        <w:t>par</w:t>
      </w:r>
      <w:r w:rsidR="00D20B97">
        <w:t>. </w:t>
      </w:r>
      <w:r w:rsidR="00D20B97" w:rsidRPr="006D72A4">
        <w:t>1</w:t>
      </w:r>
      <w:r w:rsidR="00D20B97">
        <w:t>, et art. </w:t>
      </w:r>
      <w:r w:rsidR="00807237" w:rsidRPr="006D72A4">
        <w:t>7) ;</w:t>
      </w:r>
    </w:p>
    <w:p w14:paraId="74285BE5" w14:textId="3B1967CF" w:rsidR="00807237" w:rsidRPr="006D72A4" w:rsidRDefault="00F0210B" w:rsidP="00F0210B">
      <w:pPr>
        <w:pStyle w:val="SingleTxtG"/>
      </w:pPr>
      <w:r>
        <w:tab/>
      </w:r>
      <w:r>
        <w:tab/>
      </w:r>
      <w:r w:rsidR="00807237" w:rsidRPr="006D72A4">
        <w:t>b)</w:t>
      </w:r>
      <w:r w:rsidR="00807237" w:rsidRPr="006D72A4">
        <w:tab/>
        <w:t>De ne pas disposer d’informations sur les pratiques réelles et d’exemples qui permettraient d’évaluer le degré de réalisation du droit à la non‑discrimination garanti par la Convention pour tous les travailleurs migrants, qu’ils soient en situation régulière ou non.</w:t>
      </w:r>
    </w:p>
    <w:p w14:paraId="4B5A6231" w14:textId="34FF0DB5" w:rsidR="00807237" w:rsidRPr="006D72A4" w:rsidRDefault="00807237" w:rsidP="00807237">
      <w:pPr>
        <w:pStyle w:val="SingleTxtG"/>
        <w:rPr>
          <w:b/>
        </w:rPr>
      </w:pPr>
      <w:r>
        <w:rPr>
          <w:lang w:val="fr-FR"/>
        </w:rPr>
        <w:t>28.</w:t>
      </w:r>
      <w:r>
        <w:rPr>
          <w:lang w:val="fr-FR"/>
        </w:rPr>
        <w:tab/>
      </w:r>
      <w:r w:rsidRPr="006D72A4">
        <w:rPr>
          <w:b/>
          <w:lang w:val="fr-FR"/>
        </w:rPr>
        <w:t xml:space="preserve">Le Comité recommande à l’État partie de prendre toutes les mesures nécessaires, </w:t>
      </w:r>
      <w:r w:rsidRPr="006D72A4">
        <w:rPr>
          <w:b/>
        </w:rPr>
        <w:t>notamment en modifiant sa législation</w:t>
      </w:r>
      <w:r w:rsidR="000D5EB5">
        <w:rPr>
          <w:b/>
        </w:rPr>
        <w:t>,</w:t>
      </w:r>
      <w:r w:rsidRPr="006D72A4">
        <w:rPr>
          <w:b/>
        </w:rPr>
        <w:t xml:space="preserve"> pour</w:t>
      </w:r>
      <w:r w:rsidR="00C06D97">
        <w:rPr>
          <w:b/>
        </w:rPr>
        <w:t> </w:t>
      </w:r>
      <w:r w:rsidRPr="006D72A4">
        <w:rPr>
          <w:b/>
        </w:rPr>
        <w:t>:</w:t>
      </w:r>
    </w:p>
    <w:p w14:paraId="6575D155" w14:textId="37BDAC73" w:rsidR="00807237" w:rsidRPr="001A0A15" w:rsidRDefault="00807237" w:rsidP="00807237">
      <w:pPr>
        <w:pStyle w:val="SingleTxtG"/>
        <w:rPr>
          <w:b/>
          <w:bCs/>
        </w:rPr>
      </w:pPr>
      <w:r w:rsidRPr="006D72A4">
        <w:rPr>
          <w:b/>
        </w:rPr>
        <w:tab/>
      </w:r>
      <w:r w:rsidRPr="001A0A15">
        <w:rPr>
          <w:b/>
          <w:bCs/>
        </w:rPr>
        <w:tab/>
        <w:t>a)</w:t>
      </w:r>
      <w:r w:rsidRPr="001A0A15">
        <w:rPr>
          <w:b/>
          <w:bCs/>
        </w:rPr>
        <w:tab/>
        <w:t>Garantir que tous les travailleurs migrants et les membres de leur famille qui se trouvent sur son territoire ou sous sa juridiction, qu’ils soient pourvus ou non de documents, jouissent sans discrimination des droits consacrés par la Convention, conformément à son article 1, paragraphe 1</w:t>
      </w:r>
      <w:r w:rsidR="00CA424B" w:rsidRPr="001A0A15">
        <w:rPr>
          <w:b/>
          <w:bCs/>
        </w:rPr>
        <w:t>,</w:t>
      </w:r>
      <w:r w:rsidRPr="001A0A15">
        <w:rPr>
          <w:b/>
          <w:bCs/>
        </w:rPr>
        <w:t xml:space="preserve"> et à son article 7</w:t>
      </w:r>
      <w:r w:rsidR="00C06D97" w:rsidRPr="001A0A15">
        <w:rPr>
          <w:b/>
          <w:bCs/>
        </w:rPr>
        <w:t> </w:t>
      </w:r>
      <w:r w:rsidRPr="001A0A15">
        <w:rPr>
          <w:b/>
          <w:bCs/>
        </w:rPr>
        <w:t>;</w:t>
      </w:r>
    </w:p>
    <w:p w14:paraId="73EC9A6B" w14:textId="0B7A1330" w:rsidR="00807237" w:rsidRPr="006D72A4" w:rsidRDefault="00807237" w:rsidP="00807237">
      <w:pPr>
        <w:pStyle w:val="SingleTxtG"/>
        <w:rPr>
          <w:b/>
        </w:rPr>
      </w:pPr>
      <w:r w:rsidRPr="001A0A15">
        <w:rPr>
          <w:b/>
          <w:bCs/>
        </w:rPr>
        <w:tab/>
      </w:r>
      <w:r w:rsidRPr="001A0A15">
        <w:rPr>
          <w:b/>
          <w:bCs/>
        </w:rPr>
        <w:tab/>
        <w:t>b)</w:t>
      </w:r>
      <w:r w:rsidRPr="001A0A15">
        <w:rPr>
          <w:b/>
          <w:bCs/>
        </w:rPr>
        <w:tab/>
      </w:r>
      <w:r w:rsidR="00CA424B">
        <w:rPr>
          <w:b/>
        </w:rPr>
        <w:t>Veiller à ce</w:t>
      </w:r>
      <w:r w:rsidRPr="006D72A4">
        <w:rPr>
          <w:b/>
        </w:rPr>
        <w:t xml:space="preserve"> que tous les travailleurs migrants en situation irrégulière, dans le secteur informel et en transit bénéficient de l’égalité de traitement avec les nationaux.</w:t>
      </w:r>
    </w:p>
    <w:p w14:paraId="56ECF454" w14:textId="77777777" w:rsidR="00807237" w:rsidRPr="006D72A4" w:rsidRDefault="00807237" w:rsidP="00807237">
      <w:pPr>
        <w:pStyle w:val="H23G"/>
      </w:pPr>
      <w:r w:rsidRPr="006D72A4">
        <w:tab/>
      </w:r>
      <w:r w:rsidRPr="006D72A4">
        <w:tab/>
        <w:t xml:space="preserve">Travailleuses migrantes </w:t>
      </w:r>
    </w:p>
    <w:p w14:paraId="5B662549" w14:textId="2B6538E1" w:rsidR="00807237" w:rsidRPr="006D72A4" w:rsidRDefault="00807237" w:rsidP="00807237">
      <w:pPr>
        <w:pStyle w:val="SingleTxtG"/>
      </w:pPr>
      <w:r w:rsidRPr="006D72A4">
        <w:t>29.</w:t>
      </w:r>
      <w:r w:rsidRPr="006D72A4">
        <w:tab/>
        <w:t>Le Comité note que la législation de l’</w:t>
      </w:r>
      <w:r w:rsidR="00CD41BB">
        <w:t>État</w:t>
      </w:r>
      <w:r w:rsidRPr="006D72A4">
        <w:t xml:space="preserve"> partie en matière de mariage interdit les pratiques néfastes</w:t>
      </w:r>
      <w:r w:rsidR="00385242">
        <w:t>,</w:t>
      </w:r>
      <w:r w:rsidRPr="006D72A4">
        <w:t xml:space="preserve"> telles que la polygamie et le mariage forcé. Il exprime toutefois sa préoccupation </w:t>
      </w:r>
      <w:r w:rsidR="00CA424B">
        <w:t xml:space="preserve">quant </w:t>
      </w:r>
      <w:r w:rsidRPr="006D72A4">
        <w:t>aux informations indiquant l’existence de ces pratiques, qui sont des facteurs incita</w:t>
      </w:r>
      <w:r w:rsidR="00CA424B">
        <w:t>nt</w:t>
      </w:r>
      <w:r w:rsidRPr="006D72A4">
        <w:t xml:space="preserve"> à la migration. Il se montre également préoccupé </w:t>
      </w:r>
      <w:r w:rsidR="008262EF">
        <w:t>par le</w:t>
      </w:r>
      <w:r w:rsidR="00976FE4">
        <w:t xml:space="preserve"> fait que le</w:t>
      </w:r>
      <w:r w:rsidR="008262EF">
        <w:t>s</w:t>
      </w:r>
      <w:r w:rsidRPr="006D72A4">
        <w:t xml:space="preserve"> opportunités économiques limitées contraign</w:t>
      </w:r>
      <w:r w:rsidR="00976FE4">
        <w:t>e</w:t>
      </w:r>
      <w:r w:rsidRPr="006D72A4">
        <w:t xml:space="preserve">nt les femmes et filles migrantes </w:t>
      </w:r>
      <w:r w:rsidR="00CA424B">
        <w:t>à</w:t>
      </w:r>
      <w:r w:rsidRPr="006D72A4">
        <w:t xml:space="preserve"> recourir aux activités informelles qui les exposent </w:t>
      </w:r>
      <w:r w:rsidR="00CA424B">
        <w:t>à des</w:t>
      </w:r>
      <w:r w:rsidRPr="006D72A4">
        <w:t xml:space="preserve"> mauvais traitements, et ce</w:t>
      </w:r>
      <w:r w:rsidR="00CA424B">
        <w:t>la</w:t>
      </w:r>
      <w:r w:rsidRPr="006D72A4">
        <w:t xml:space="preserve"> surtout dans les secteurs traditionnellement féminins, comme le travail domestique. Le Comité note par ailleurs que la législation nationale relative à la migration ne contient pas de disposition claire et spécifique protégeant les migrantes </w:t>
      </w:r>
      <w:r w:rsidR="00385242">
        <w:t>contre la</w:t>
      </w:r>
      <w:r w:rsidRPr="006D72A4">
        <w:t xml:space="preserve"> discrimination fondée sur le sexe ou leur garantissant une protection spéciale. </w:t>
      </w:r>
    </w:p>
    <w:p w14:paraId="78B15B80" w14:textId="25A0C79D" w:rsidR="00807237" w:rsidRPr="006D72A4" w:rsidRDefault="00807237" w:rsidP="00807237">
      <w:pPr>
        <w:pStyle w:val="SingleTxtG"/>
        <w:rPr>
          <w:b/>
        </w:rPr>
      </w:pPr>
      <w:r w:rsidRPr="006D72A4">
        <w:lastRenderedPageBreak/>
        <w:t>30.</w:t>
      </w:r>
      <w:r w:rsidRPr="006D72A4">
        <w:rPr>
          <w:b/>
        </w:rPr>
        <w:tab/>
        <w:t>Le Comité recommande à l’État partie d’adopter et d’appliquer des mesures destinées à garantir les droits de toutes les travailleuses migrantes, y compris les travailleuses domestiques, en conformité avec l’observation générale n</w:t>
      </w:r>
      <w:r w:rsidR="00C06D97" w:rsidRPr="001A0A15">
        <w:rPr>
          <w:b/>
          <w:vertAlign w:val="superscript"/>
        </w:rPr>
        <w:t>o</w:t>
      </w:r>
      <w:r w:rsidR="00C06D97">
        <w:rPr>
          <w:b/>
        </w:rPr>
        <w:t> </w:t>
      </w:r>
      <w:r w:rsidRPr="006D72A4">
        <w:rPr>
          <w:b/>
        </w:rPr>
        <w:t>1 (2011) sur les travailleurs domestiques migrants, par les moyens suivants</w:t>
      </w:r>
      <w:r w:rsidR="00C06D97">
        <w:rPr>
          <w:b/>
        </w:rPr>
        <w:t> </w:t>
      </w:r>
      <w:r w:rsidRPr="006D72A4">
        <w:rPr>
          <w:b/>
        </w:rPr>
        <w:t>:</w:t>
      </w:r>
    </w:p>
    <w:p w14:paraId="4710329D" w14:textId="120F219B" w:rsidR="00807237" w:rsidRPr="001A0A15" w:rsidRDefault="00F0210B" w:rsidP="00F0210B">
      <w:pPr>
        <w:pStyle w:val="SingleTxtG"/>
        <w:rPr>
          <w:b/>
          <w:bCs/>
        </w:rPr>
      </w:pPr>
      <w:r>
        <w:tab/>
      </w:r>
      <w:r>
        <w:tab/>
      </w:r>
      <w:r w:rsidR="00807237" w:rsidRPr="001A0A15">
        <w:rPr>
          <w:b/>
          <w:bCs/>
        </w:rPr>
        <w:t>a)</w:t>
      </w:r>
      <w:r w:rsidR="00807237" w:rsidRPr="001A0A15">
        <w:rPr>
          <w:b/>
          <w:bCs/>
        </w:rPr>
        <w:tab/>
        <w:t xml:space="preserve">Protéger leurs droits </w:t>
      </w:r>
      <w:r w:rsidR="00B63904" w:rsidRPr="001A0A15">
        <w:rPr>
          <w:b/>
          <w:bCs/>
        </w:rPr>
        <w:t>en matière de</w:t>
      </w:r>
      <w:r w:rsidR="00807237" w:rsidRPr="001A0A15">
        <w:rPr>
          <w:b/>
          <w:bCs/>
        </w:rPr>
        <w:t xml:space="preserve"> travail, dans le respect des principes d’égalité et de non-discrimination, notamment en garantissant l’établissement de documents d’identification individuels pour toutes les femmes et filles à toutes les étapes de </w:t>
      </w:r>
      <w:r w:rsidR="00976FE4" w:rsidRPr="001A0A15">
        <w:rPr>
          <w:b/>
          <w:bCs/>
        </w:rPr>
        <w:t xml:space="preserve">la </w:t>
      </w:r>
      <w:r w:rsidR="00807237" w:rsidRPr="001A0A15">
        <w:rPr>
          <w:b/>
          <w:bCs/>
        </w:rPr>
        <w:t>migration ;</w:t>
      </w:r>
    </w:p>
    <w:p w14:paraId="53728747" w14:textId="50B07A8A" w:rsidR="00807237" w:rsidRPr="001A0A15" w:rsidRDefault="00F0210B" w:rsidP="00F0210B">
      <w:pPr>
        <w:pStyle w:val="SingleTxtG"/>
        <w:rPr>
          <w:b/>
          <w:bCs/>
        </w:rPr>
      </w:pPr>
      <w:r w:rsidRPr="001A0A15">
        <w:rPr>
          <w:b/>
          <w:bCs/>
        </w:rPr>
        <w:tab/>
      </w:r>
      <w:r w:rsidRPr="001A0A15">
        <w:rPr>
          <w:b/>
          <w:bCs/>
        </w:rPr>
        <w:tab/>
      </w:r>
      <w:r w:rsidR="00807237" w:rsidRPr="001A0A15">
        <w:rPr>
          <w:b/>
          <w:bCs/>
        </w:rPr>
        <w:t>b)</w:t>
      </w:r>
      <w:r w:rsidR="00807237" w:rsidRPr="001A0A15">
        <w:rPr>
          <w:b/>
          <w:bCs/>
        </w:rPr>
        <w:tab/>
        <w:t>Garantir l’accès des travailleuses migrantes à la sécurité sociale, les salaires, les contrats de travail, le licenciement, l’indemnisation et l</w:t>
      </w:r>
      <w:r w:rsidR="00976FE4" w:rsidRPr="001A0A15">
        <w:rPr>
          <w:b/>
          <w:bCs/>
        </w:rPr>
        <w:t>’</w:t>
      </w:r>
      <w:r w:rsidR="00807237" w:rsidRPr="001A0A15">
        <w:rPr>
          <w:b/>
          <w:bCs/>
        </w:rPr>
        <w:t>accès à la justice, et permett</w:t>
      </w:r>
      <w:r w:rsidR="00976FE4" w:rsidRPr="001A0A15">
        <w:rPr>
          <w:b/>
          <w:bCs/>
        </w:rPr>
        <w:t>re</w:t>
      </w:r>
      <w:r w:rsidR="00807237" w:rsidRPr="001A0A15">
        <w:rPr>
          <w:b/>
          <w:bCs/>
        </w:rPr>
        <w:t xml:space="preserve"> aux services d’inspection du travail de contrôler efficacement les conditions du travail domestique ;</w:t>
      </w:r>
    </w:p>
    <w:p w14:paraId="6BBC8B41" w14:textId="1D59CE36" w:rsidR="00807237" w:rsidRPr="001A0A15" w:rsidRDefault="00F0210B" w:rsidP="00F0210B">
      <w:pPr>
        <w:pStyle w:val="SingleTxtG"/>
        <w:rPr>
          <w:b/>
          <w:bCs/>
        </w:rPr>
      </w:pPr>
      <w:r w:rsidRPr="001A0A15">
        <w:rPr>
          <w:b/>
          <w:bCs/>
        </w:rPr>
        <w:tab/>
      </w:r>
      <w:r w:rsidRPr="001A0A15">
        <w:rPr>
          <w:b/>
          <w:bCs/>
        </w:rPr>
        <w:tab/>
      </w:r>
      <w:r w:rsidR="00807237" w:rsidRPr="001A0A15">
        <w:rPr>
          <w:b/>
          <w:bCs/>
        </w:rPr>
        <w:t>c)</w:t>
      </w:r>
      <w:r w:rsidR="00807237" w:rsidRPr="001A0A15">
        <w:rPr>
          <w:b/>
          <w:bCs/>
        </w:rPr>
        <w:tab/>
        <w:t xml:space="preserve">Garantir que toutes les travailleuses </w:t>
      </w:r>
      <w:r w:rsidR="00385242" w:rsidRPr="001A0A15">
        <w:rPr>
          <w:b/>
          <w:bCs/>
        </w:rPr>
        <w:t xml:space="preserve">migrantes </w:t>
      </w:r>
      <w:r w:rsidR="00807237" w:rsidRPr="001A0A15">
        <w:rPr>
          <w:b/>
          <w:bCs/>
        </w:rPr>
        <w:t>reçoivent un soutien légal, aient accès à la justice et à un recours effectif</w:t>
      </w:r>
      <w:r w:rsidR="00385242" w:rsidRPr="001A0A15">
        <w:rPr>
          <w:b/>
          <w:bCs/>
        </w:rPr>
        <w:t>, notamment</w:t>
      </w:r>
      <w:r w:rsidR="00807237" w:rsidRPr="001A0A15">
        <w:rPr>
          <w:b/>
          <w:bCs/>
        </w:rPr>
        <w:t xml:space="preserve"> dans les cas de harcèlement sexuel</w:t>
      </w:r>
      <w:r w:rsidR="00385242" w:rsidRPr="001A0A15">
        <w:rPr>
          <w:b/>
          <w:bCs/>
        </w:rPr>
        <w:t>,</w:t>
      </w:r>
      <w:r w:rsidR="00807237" w:rsidRPr="001A0A15">
        <w:rPr>
          <w:b/>
          <w:bCs/>
        </w:rPr>
        <w:t xml:space="preserve"> et aux soins médicaux, y compris dans le domaine de la santé sexuelle et procréative ;</w:t>
      </w:r>
    </w:p>
    <w:p w14:paraId="3B371BFF" w14:textId="1948AB70" w:rsidR="00807237" w:rsidRPr="001A0A15" w:rsidRDefault="00F0210B" w:rsidP="00F0210B">
      <w:pPr>
        <w:pStyle w:val="SingleTxtG"/>
        <w:rPr>
          <w:b/>
          <w:bCs/>
        </w:rPr>
      </w:pPr>
      <w:r w:rsidRPr="001A0A15">
        <w:rPr>
          <w:b/>
          <w:bCs/>
        </w:rPr>
        <w:tab/>
      </w:r>
      <w:r w:rsidRPr="001A0A15">
        <w:rPr>
          <w:b/>
          <w:bCs/>
        </w:rPr>
        <w:tab/>
      </w:r>
      <w:r w:rsidR="00807237" w:rsidRPr="001A0A15">
        <w:rPr>
          <w:b/>
          <w:bCs/>
        </w:rPr>
        <w:t>d)</w:t>
      </w:r>
      <w:r w:rsidR="00807237" w:rsidRPr="001A0A15">
        <w:rPr>
          <w:b/>
          <w:bCs/>
        </w:rPr>
        <w:tab/>
        <w:t>Mettre en place des mécanismes de sélection des candidats aux programmes bilatéraux de migration de main-d’œuvre qui tiennent compte des questions de genre</w:t>
      </w:r>
      <w:r w:rsidR="00C06D97" w:rsidRPr="001A0A15">
        <w:rPr>
          <w:b/>
          <w:bCs/>
        </w:rPr>
        <w:t> </w:t>
      </w:r>
      <w:r w:rsidR="00807237" w:rsidRPr="001A0A15">
        <w:rPr>
          <w:b/>
          <w:bCs/>
        </w:rPr>
        <w:t>;</w:t>
      </w:r>
    </w:p>
    <w:p w14:paraId="4C39E851" w14:textId="13E5958C" w:rsidR="00807237" w:rsidRPr="006D72A4" w:rsidRDefault="00F0210B" w:rsidP="00F0210B">
      <w:pPr>
        <w:pStyle w:val="SingleTxtG"/>
        <w:rPr>
          <w:b/>
        </w:rPr>
      </w:pPr>
      <w:r w:rsidRPr="001A0A15">
        <w:rPr>
          <w:b/>
          <w:bCs/>
        </w:rPr>
        <w:tab/>
      </w:r>
      <w:r w:rsidRPr="001A0A15">
        <w:rPr>
          <w:b/>
          <w:bCs/>
        </w:rPr>
        <w:tab/>
      </w:r>
      <w:r w:rsidR="00807237" w:rsidRPr="001A0A15">
        <w:rPr>
          <w:b/>
          <w:bCs/>
        </w:rPr>
        <w:t>e)</w:t>
      </w:r>
      <w:r w:rsidR="00807237" w:rsidRPr="001A0A15">
        <w:rPr>
          <w:b/>
          <w:bCs/>
        </w:rPr>
        <w:tab/>
        <w:t>Intégrer dans sa législation une interdiction claire et spécifique de la discrimination fondé</w:t>
      </w:r>
      <w:r w:rsidR="00807237" w:rsidRPr="006D72A4">
        <w:rPr>
          <w:b/>
        </w:rPr>
        <w:t>e sur le sexe à l</w:t>
      </w:r>
      <w:r w:rsidR="00976FE4">
        <w:rPr>
          <w:b/>
        </w:rPr>
        <w:t>’</w:t>
      </w:r>
      <w:r w:rsidR="00807237" w:rsidRPr="006D72A4">
        <w:rPr>
          <w:b/>
        </w:rPr>
        <w:t>égard des femmes migrantes.</w:t>
      </w:r>
    </w:p>
    <w:p w14:paraId="3E60923F" w14:textId="69A6D5A0" w:rsidR="00721E00" w:rsidRPr="006D72A4" w:rsidRDefault="00721E00" w:rsidP="006D72A4">
      <w:pPr>
        <w:pStyle w:val="H23G"/>
      </w:pPr>
      <w:r w:rsidRPr="006D72A4">
        <w:tab/>
      </w:r>
      <w:r w:rsidR="00847B47" w:rsidRPr="006D72A4">
        <w:tab/>
      </w:r>
      <w:r w:rsidR="004928BC">
        <w:t>Accès à un recours effectif</w:t>
      </w:r>
      <w:r w:rsidRPr="006D72A4">
        <w:t xml:space="preserve"> </w:t>
      </w:r>
    </w:p>
    <w:p w14:paraId="5C2EDAF3" w14:textId="2810349F" w:rsidR="00596485" w:rsidRPr="006D72A4" w:rsidRDefault="009E1ED1" w:rsidP="006D72A4">
      <w:pPr>
        <w:pStyle w:val="SingleTxtG"/>
      </w:pPr>
      <w:r w:rsidRPr="006D72A4">
        <w:t>31</w:t>
      </w:r>
      <w:r w:rsidR="00210012" w:rsidRPr="006D72A4">
        <w:t>.</w:t>
      </w:r>
      <w:r w:rsidR="00210012" w:rsidRPr="006D72A4">
        <w:tab/>
        <w:t>Le Comité prend note</w:t>
      </w:r>
      <w:r w:rsidR="008F36BA" w:rsidRPr="006D72A4">
        <w:t xml:space="preserve"> des informations fournies pendant le dialogue quant à la création de </w:t>
      </w:r>
      <w:r w:rsidR="00DE54FB" w:rsidRPr="006D72A4">
        <w:t>services d’orientation</w:t>
      </w:r>
      <w:r w:rsidR="008F36BA" w:rsidRPr="006D72A4">
        <w:t xml:space="preserve"> sur les procédures judicaires, ainsi que</w:t>
      </w:r>
      <w:r w:rsidR="00210012" w:rsidRPr="006D72A4">
        <w:t xml:space="preserve"> de la création, en 2015, du Service des travailleurs migrants </w:t>
      </w:r>
      <w:r w:rsidR="00EE2E7E" w:rsidRPr="006D72A4">
        <w:t>pour soutenir</w:t>
      </w:r>
      <w:r w:rsidR="009A4BE2" w:rsidRPr="006D72A4">
        <w:t xml:space="preserve"> les travailleurs migrants </w:t>
      </w:r>
      <w:r w:rsidR="00EE2E7E" w:rsidRPr="006D72A4">
        <w:t xml:space="preserve">dans ce </w:t>
      </w:r>
      <w:r w:rsidR="007D78BD">
        <w:t>domaine</w:t>
      </w:r>
      <w:r w:rsidR="009A4BE2" w:rsidRPr="006D72A4">
        <w:t>. Le Comité exprime toutefois sa préoccupation</w:t>
      </w:r>
      <w:r w:rsidR="009D6F77">
        <w:t xml:space="preserve"> </w:t>
      </w:r>
      <w:r w:rsidR="007D78BD">
        <w:t xml:space="preserve">quant </w:t>
      </w:r>
      <w:r w:rsidR="00953A13" w:rsidRPr="006D72A4">
        <w:t>à</w:t>
      </w:r>
      <w:r w:rsidR="001C437D" w:rsidRPr="006D72A4">
        <w:t xml:space="preserve"> la limitation des possibilités de recours d</w:t>
      </w:r>
      <w:r w:rsidR="00C12C41" w:rsidRPr="006D72A4">
        <w:t>es</w:t>
      </w:r>
      <w:r w:rsidR="001C437D" w:rsidRPr="006D72A4">
        <w:t xml:space="preserve"> travailleur</w:t>
      </w:r>
      <w:r w:rsidR="00C12C41" w:rsidRPr="006D72A4">
        <w:t>s</w:t>
      </w:r>
      <w:r w:rsidR="001C437D" w:rsidRPr="006D72A4">
        <w:t xml:space="preserve"> migrant</w:t>
      </w:r>
      <w:r w:rsidR="00C12C41" w:rsidRPr="006D72A4">
        <w:t>s</w:t>
      </w:r>
      <w:r w:rsidR="001C437D" w:rsidRPr="006D72A4">
        <w:t xml:space="preserve"> faisant </w:t>
      </w:r>
      <w:r w:rsidR="007D78BD">
        <w:t>l’</w:t>
      </w:r>
      <w:r w:rsidR="001C437D" w:rsidRPr="006D72A4">
        <w:t>objet d’une procédure d’expulsion, en vertu de l’article 15 de la loi n</w:t>
      </w:r>
      <w:r w:rsidR="009D6F77" w:rsidRPr="001A0A15">
        <w:rPr>
          <w:vertAlign w:val="superscript"/>
        </w:rPr>
        <w:t>o</w:t>
      </w:r>
      <w:r w:rsidR="009D6F77">
        <w:t> </w:t>
      </w:r>
      <w:r w:rsidR="001C437D" w:rsidRPr="006D72A4">
        <w:t xml:space="preserve">62-006, </w:t>
      </w:r>
      <w:r w:rsidR="000C6410">
        <w:t>notamment pour</w:t>
      </w:r>
      <w:r w:rsidR="001C437D" w:rsidRPr="006D72A4">
        <w:t xml:space="preserve"> un recours administratif</w:t>
      </w:r>
      <w:r w:rsidR="00953A13" w:rsidRPr="006D72A4">
        <w:t xml:space="preserve">, et </w:t>
      </w:r>
      <w:r w:rsidR="0042160F">
        <w:t xml:space="preserve">quant </w:t>
      </w:r>
      <w:r w:rsidR="00953A13" w:rsidRPr="006D72A4">
        <w:t>a</w:t>
      </w:r>
      <w:r w:rsidR="00A47E35" w:rsidRPr="006D72A4">
        <w:t xml:space="preserve">ux procédures </w:t>
      </w:r>
      <w:r w:rsidR="007D78BD" w:rsidRPr="006D72A4">
        <w:t xml:space="preserve">d’expulsion </w:t>
      </w:r>
      <w:r w:rsidR="00A47E35" w:rsidRPr="006D72A4">
        <w:t xml:space="preserve">expéditives </w:t>
      </w:r>
      <w:r w:rsidR="007D78BD">
        <w:t>qui</w:t>
      </w:r>
      <w:r w:rsidR="001C437D" w:rsidRPr="006D72A4">
        <w:t xml:space="preserve"> </w:t>
      </w:r>
      <w:r w:rsidR="00C12C41" w:rsidRPr="006D72A4">
        <w:t xml:space="preserve">les </w:t>
      </w:r>
      <w:r w:rsidR="00A47E35" w:rsidRPr="006D72A4">
        <w:t>empêch</w:t>
      </w:r>
      <w:r w:rsidR="007D78BD">
        <w:t>e</w:t>
      </w:r>
      <w:r w:rsidR="00A47E35" w:rsidRPr="006D72A4">
        <w:t xml:space="preserve">nt </w:t>
      </w:r>
      <w:r w:rsidR="00C12C41" w:rsidRPr="006D72A4">
        <w:t>de</w:t>
      </w:r>
      <w:r w:rsidR="002C476B" w:rsidRPr="006D72A4">
        <w:t xml:space="preserve"> </w:t>
      </w:r>
      <w:r w:rsidR="001C437D" w:rsidRPr="006D72A4">
        <w:t>faire usage de cette possibilité de recours</w:t>
      </w:r>
      <w:r w:rsidR="00037F10" w:rsidRPr="006D72A4">
        <w:t>.</w:t>
      </w:r>
      <w:r w:rsidR="009F711B" w:rsidRPr="006D72A4">
        <w:t xml:space="preserve"> </w:t>
      </w:r>
    </w:p>
    <w:p w14:paraId="75553FEA" w14:textId="1C452088" w:rsidR="00874B3D" w:rsidRPr="004F02D7" w:rsidRDefault="009E1ED1" w:rsidP="006D72A4">
      <w:pPr>
        <w:pStyle w:val="SingleTxtG"/>
        <w:rPr>
          <w:b/>
        </w:rPr>
      </w:pPr>
      <w:r w:rsidRPr="004F02D7">
        <w:t>32</w:t>
      </w:r>
      <w:r w:rsidR="00037F10" w:rsidRPr="004F02D7">
        <w:t>.</w:t>
      </w:r>
      <w:r w:rsidR="00037F10" w:rsidRPr="004F02D7">
        <w:rPr>
          <w:b/>
        </w:rPr>
        <w:tab/>
      </w:r>
      <w:r w:rsidR="00147AB7" w:rsidRPr="004F02D7">
        <w:rPr>
          <w:b/>
        </w:rPr>
        <w:t xml:space="preserve">Le Comité recommande à l’État partie de </w:t>
      </w:r>
      <w:r w:rsidR="007B6436" w:rsidRPr="004F02D7">
        <w:rPr>
          <w:b/>
        </w:rPr>
        <w:t xml:space="preserve">prendre </w:t>
      </w:r>
      <w:r w:rsidR="00953A13" w:rsidRPr="004F02D7">
        <w:rPr>
          <w:b/>
        </w:rPr>
        <w:t>l</w:t>
      </w:r>
      <w:r w:rsidR="007B6436" w:rsidRPr="004F02D7">
        <w:rPr>
          <w:b/>
        </w:rPr>
        <w:t xml:space="preserve">es mesures </w:t>
      </w:r>
      <w:r w:rsidR="00953A13" w:rsidRPr="004F02D7">
        <w:rPr>
          <w:b/>
        </w:rPr>
        <w:t xml:space="preserve">nécessaires </w:t>
      </w:r>
      <w:r w:rsidR="00A47E35" w:rsidRPr="004F02D7">
        <w:rPr>
          <w:b/>
        </w:rPr>
        <w:t>pour</w:t>
      </w:r>
      <w:r w:rsidR="00981D8D" w:rsidRPr="004F02D7">
        <w:rPr>
          <w:b/>
        </w:rPr>
        <w:t xml:space="preserve"> que les travailleurs migrants et les membres de leur famille, y compris ceux en situation irrégulière</w:t>
      </w:r>
      <w:r w:rsidR="00874B3D" w:rsidRPr="004F02D7">
        <w:rPr>
          <w:b/>
        </w:rPr>
        <w:t> :</w:t>
      </w:r>
    </w:p>
    <w:p w14:paraId="75997F13" w14:textId="72837AE6" w:rsidR="00953A13" w:rsidRPr="001A0A15" w:rsidRDefault="00F0210B" w:rsidP="00F0210B">
      <w:pPr>
        <w:pStyle w:val="SingleTxtG"/>
        <w:rPr>
          <w:b/>
          <w:bCs/>
        </w:rPr>
      </w:pPr>
      <w:r>
        <w:tab/>
      </w:r>
      <w:r>
        <w:tab/>
      </w:r>
      <w:r w:rsidR="00874B3D" w:rsidRPr="001A0A15">
        <w:rPr>
          <w:b/>
          <w:bCs/>
        </w:rPr>
        <w:t>a)</w:t>
      </w:r>
      <w:r w:rsidR="00874B3D" w:rsidRPr="001A0A15">
        <w:rPr>
          <w:b/>
          <w:bCs/>
        </w:rPr>
        <w:tab/>
      </w:r>
      <w:r w:rsidR="008662EA" w:rsidRPr="001A0A15">
        <w:rPr>
          <w:b/>
          <w:bCs/>
        </w:rPr>
        <w:t xml:space="preserve">Aient </w:t>
      </w:r>
      <w:r w:rsidR="00A35AF7" w:rsidRPr="001A0A15">
        <w:rPr>
          <w:b/>
          <w:bCs/>
        </w:rPr>
        <w:t xml:space="preserve">accès </w:t>
      </w:r>
      <w:r w:rsidR="00953A13" w:rsidRPr="001A0A15">
        <w:rPr>
          <w:b/>
          <w:bCs/>
        </w:rPr>
        <w:t>à un recours judiciaire</w:t>
      </w:r>
      <w:r w:rsidR="00B21F19" w:rsidRPr="001A0A15">
        <w:rPr>
          <w:b/>
          <w:bCs/>
        </w:rPr>
        <w:t>,</w:t>
      </w:r>
      <w:r w:rsidR="00981D8D" w:rsidRPr="001A0A15">
        <w:rPr>
          <w:b/>
          <w:bCs/>
        </w:rPr>
        <w:t xml:space="preserve"> notamment dans un contexte de justice transfrontalière et</w:t>
      </w:r>
      <w:r w:rsidR="00B21F19" w:rsidRPr="001A0A15">
        <w:rPr>
          <w:b/>
          <w:bCs/>
        </w:rPr>
        <w:t xml:space="preserve"> en cas d</w:t>
      </w:r>
      <w:r w:rsidR="007D78BD" w:rsidRPr="001A0A15">
        <w:rPr>
          <w:b/>
          <w:bCs/>
        </w:rPr>
        <w:t>e</w:t>
      </w:r>
      <w:r w:rsidR="00953A13" w:rsidRPr="001A0A15">
        <w:rPr>
          <w:b/>
          <w:bCs/>
        </w:rPr>
        <w:t xml:space="preserve"> décision d’expulsion</w:t>
      </w:r>
      <w:r w:rsidR="00B21F19" w:rsidRPr="001A0A15">
        <w:rPr>
          <w:b/>
          <w:bCs/>
        </w:rPr>
        <w:t xml:space="preserve">, et obtiennent réparation devant les tribunaux </w:t>
      </w:r>
      <w:r w:rsidR="00981D8D" w:rsidRPr="001A0A15">
        <w:rPr>
          <w:b/>
          <w:bCs/>
        </w:rPr>
        <w:t>en cas de violation des droits qu’ils tiennent de la Convention</w:t>
      </w:r>
      <w:r w:rsidR="00C06D97" w:rsidRPr="001A0A15">
        <w:rPr>
          <w:b/>
          <w:bCs/>
        </w:rPr>
        <w:t> </w:t>
      </w:r>
      <w:r w:rsidR="00953A13" w:rsidRPr="001A0A15">
        <w:rPr>
          <w:b/>
          <w:bCs/>
        </w:rPr>
        <w:t>;</w:t>
      </w:r>
    </w:p>
    <w:p w14:paraId="0527C145" w14:textId="237868D7" w:rsidR="00953A13" w:rsidRPr="001A0A15" w:rsidRDefault="00F0210B" w:rsidP="00F0210B">
      <w:pPr>
        <w:pStyle w:val="SingleTxtG"/>
        <w:rPr>
          <w:b/>
          <w:bCs/>
        </w:rPr>
      </w:pPr>
      <w:r w:rsidRPr="001A0A15">
        <w:rPr>
          <w:b/>
          <w:bCs/>
        </w:rPr>
        <w:tab/>
      </w:r>
      <w:r w:rsidRPr="001A0A15">
        <w:rPr>
          <w:b/>
          <w:bCs/>
        </w:rPr>
        <w:tab/>
      </w:r>
      <w:r w:rsidR="00953A13" w:rsidRPr="001A0A15">
        <w:rPr>
          <w:b/>
          <w:bCs/>
        </w:rPr>
        <w:t>b)</w:t>
      </w:r>
      <w:r w:rsidR="00953A13" w:rsidRPr="001A0A15">
        <w:rPr>
          <w:b/>
          <w:bCs/>
        </w:rPr>
        <w:tab/>
      </w:r>
      <w:r w:rsidR="00981D8D" w:rsidRPr="001A0A15">
        <w:rPr>
          <w:b/>
          <w:bCs/>
        </w:rPr>
        <w:t>S</w:t>
      </w:r>
      <w:r w:rsidR="00953A13" w:rsidRPr="001A0A15">
        <w:rPr>
          <w:b/>
          <w:bCs/>
        </w:rPr>
        <w:t>oient informés des recours judiciaires et autres qui leur sont ouverts en cas de violation des droits qu’ils tiennent de la Convention, et ce</w:t>
      </w:r>
      <w:r w:rsidR="007D78BD" w:rsidRPr="001A0A15">
        <w:rPr>
          <w:b/>
          <w:bCs/>
        </w:rPr>
        <w:t>,</w:t>
      </w:r>
      <w:r w:rsidR="00953A13" w:rsidRPr="001A0A15">
        <w:rPr>
          <w:b/>
          <w:bCs/>
        </w:rPr>
        <w:t xml:space="preserve"> dans les langues qu</w:t>
      </w:r>
      <w:r w:rsidR="008662EA" w:rsidRPr="001A0A15">
        <w:rPr>
          <w:b/>
          <w:bCs/>
        </w:rPr>
        <w:t>’ils</w:t>
      </w:r>
      <w:r w:rsidR="00953A13" w:rsidRPr="001A0A15">
        <w:rPr>
          <w:b/>
          <w:bCs/>
        </w:rPr>
        <w:t xml:space="preserve"> comprennent</w:t>
      </w:r>
      <w:r w:rsidR="00C06D97" w:rsidRPr="001A0A15">
        <w:rPr>
          <w:b/>
          <w:bCs/>
        </w:rPr>
        <w:t> </w:t>
      </w:r>
      <w:r w:rsidR="00953A13" w:rsidRPr="001A0A15">
        <w:rPr>
          <w:b/>
          <w:bCs/>
        </w:rPr>
        <w:t>;</w:t>
      </w:r>
    </w:p>
    <w:p w14:paraId="1A5880DC" w14:textId="6EE96A35" w:rsidR="001C437D" w:rsidRPr="004F02D7" w:rsidRDefault="00F0210B" w:rsidP="00F0210B">
      <w:pPr>
        <w:pStyle w:val="SingleTxtG"/>
        <w:rPr>
          <w:b/>
        </w:rPr>
      </w:pPr>
      <w:r w:rsidRPr="001A0A15">
        <w:rPr>
          <w:b/>
          <w:bCs/>
        </w:rPr>
        <w:tab/>
      </w:r>
      <w:r w:rsidRPr="001A0A15">
        <w:rPr>
          <w:b/>
          <w:bCs/>
        </w:rPr>
        <w:tab/>
      </w:r>
      <w:r w:rsidR="00953A13" w:rsidRPr="001A0A15">
        <w:rPr>
          <w:b/>
          <w:bCs/>
        </w:rPr>
        <w:t>c)</w:t>
      </w:r>
      <w:r w:rsidR="00953A13" w:rsidRPr="001A0A15">
        <w:rPr>
          <w:b/>
          <w:bCs/>
        </w:rPr>
        <w:tab/>
      </w:r>
      <w:r w:rsidR="00981D8D" w:rsidRPr="004F02D7">
        <w:rPr>
          <w:b/>
        </w:rPr>
        <w:t>A</w:t>
      </w:r>
      <w:r w:rsidR="00147AB7" w:rsidRPr="004F02D7">
        <w:rPr>
          <w:b/>
        </w:rPr>
        <w:t xml:space="preserve">ient </w:t>
      </w:r>
      <w:r w:rsidR="00981D8D" w:rsidRPr="004F02D7">
        <w:rPr>
          <w:b/>
        </w:rPr>
        <w:t>accès à la justice</w:t>
      </w:r>
      <w:r w:rsidR="00A850C7">
        <w:rPr>
          <w:b/>
        </w:rPr>
        <w:t xml:space="preserve"> et</w:t>
      </w:r>
      <w:r w:rsidR="00981D8D" w:rsidRPr="004F02D7">
        <w:rPr>
          <w:b/>
        </w:rPr>
        <w:t xml:space="preserve"> aux services de police, de santé, de sécurité sociale et de logement sans </w:t>
      </w:r>
      <w:r w:rsidR="00981D8D" w:rsidRPr="004F02D7">
        <w:rPr>
          <w:b/>
          <w:bCs/>
        </w:rPr>
        <w:t>craindre de représailles en raison de leur statut de migrant en situation irrégulière</w:t>
      </w:r>
      <w:r w:rsidR="001C437D" w:rsidRPr="004F02D7">
        <w:rPr>
          <w:b/>
        </w:rPr>
        <w:t>.</w:t>
      </w:r>
    </w:p>
    <w:p w14:paraId="6E537A52" w14:textId="77777777" w:rsidR="00721E00" w:rsidRPr="00105DE1" w:rsidRDefault="00721E00" w:rsidP="006D72A4">
      <w:pPr>
        <w:pStyle w:val="H23G"/>
        <w:rPr>
          <w:lang w:val="fr-FR"/>
        </w:rPr>
      </w:pPr>
      <w:r w:rsidRPr="00105DE1">
        <w:rPr>
          <w:lang w:val="fr-FR"/>
        </w:rPr>
        <w:tab/>
        <w:t>3.</w:t>
      </w:r>
      <w:r w:rsidRPr="00105DE1">
        <w:rPr>
          <w:lang w:val="fr-FR"/>
        </w:rPr>
        <w:tab/>
        <w:t>Droits de l’homme de tous les travailleurs migrants et des membres de leur famille (art. 8 à 35)</w:t>
      </w:r>
    </w:p>
    <w:p w14:paraId="13888C42" w14:textId="0B9C7243" w:rsidR="00721E00" w:rsidRPr="00226513" w:rsidRDefault="00721E00" w:rsidP="006D72A4">
      <w:pPr>
        <w:pStyle w:val="H23G"/>
        <w:rPr>
          <w:lang w:val="fr-FR"/>
        </w:rPr>
      </w:pPr>
      <w:r>
        <w:rPr>
          <w:lang w:val="fr-FR"/>
        </w:rPr>
        <w:tab/>
      </w:r>
      <w:r>
        <w:rPr>
          <w:lang w:val="fr-FR"/>
        </w:rPr>
        <w:tab/>
      </w:r>
      <w:r w:rsidR="00D94FD0">
        <w:rPr>
          <w:lang w:val="fr-FR"/>
        </w:rPr>
        <w:t>Exploitation par le travail</w:t>
      </w:r>
      <w:r w:rsidRPr="00226513">
        <w:rPr>
          <w:lang w:val="fr-FR"/>
        </w:rPr>
        <w:t xml:space="preserve"> et autres formes de mauvais traitements</w:t>
      </w:r>
    </w:p>
    <w:p w14:paraId="78798C2D" w14:textId="6FF68644" w:rsidR="003564B5" w:rsidRPr="006D72A4" w:rsidRDefault="009E1ED1" w:rsidP="006D72A4">
      <w:pPr>
        <w:pStyle w:val="SingleTxtG"/>
      </w:pPr>
      <w:r w:rsidRPr="006D72A4">
        <w:t>33</w:t>
      </w:r>
      <w:r w:rsidR="002450CB" w:rsidRPr="006D72A4">
        <w:t>.</w:t>
      </w:r>
      <w:r w:rsidR="002450CB" w:rsidRPr="006D72A4">
        <w:tab/>
        <w:t>Le Comité prend note de l’adoption</w:t>
      </w:r>
      <w:r w:rsidR="00292E3B" w:rsidRPr="006D72A4">
        <w:t xml:space="preserve"> de mesures législatives contre la traite, le travail forcé d’enfants et le tourisme sexuel</w:t>
      </w:r>
      <w:r w:rsidR="003564B5" w:rsidRPr="006D72A4">
        <w:t xml:space="preserve">. </w:t>
      </w:r>
      <w:r w:rsidR="00C444A0" w:rsidRPr="006D72A4">
        <w:t>Il</w:t>
      </w:r>
      <w:r w:rsidR="006B3926" w:rsidRPr="006D72A4">
        <w:t xml:space="preserve"> </w:t>
      </w:r>
      <w:r w:rsidR="003564B5" w:rsidRPr="006D72A4">
        <w:t>se montre toutefois préoccupé par :</w:t>
      </w:r>
    </w:p>
    <w:p w14:paraId="6A039022" w14:textId="0BD82353" w:rsidR="003564B5" w:rsidRPr="006D72A4" w:rsidRDefault="00F0210B" w:rsidP="00F0210B">
      <w:pPr>
        <w:pStyle w:val="SingleTxtG"/>
      </w:pPr>
      <w:r>
        <w:tab/>
      </w:r>
      <w:r>
        <w:tab/>
      </w:r>
      <w:r w:rsidR="003564B5" w:rsidRPr="006D72A4">
        <w:t>a)</w:t>
      </w:r>
      <w:r w:rsidR="003564B5" w:rsidRPr="006D72A4">
        <w:tab/>
        <w:t xml:space="preserve">Des </w:t>
      </w:r>
      <w:r w:rsidR="00614799" w:rsidRPr="006D72A4">
        <w:t xml:space="preserve">informations faisant état de l’exploitation par le travail de travailleurs migrants, </w:t>
      </w:r>
      <w:r w:rsidR="00C12C41" w:rsidRPr="006D72A4">
        <w:t xml:space="preserve">y compris d’enfants, </w:t>
      </w:r>
      <w:r w:rsidR="00614799" w:rsidRPr="006D72A4">
        <w:t>de servitude domestique, de travail forcé et d’exploitation sexuelle à des fins commerciales</w:t>
      </w:r>
      <w:r w:rsidR="009A1F63">
        <w:t> </w:t>
      </w:r>
      <w:r w:rsidR="003564B5" w:rsidRPr="006D72A4">
        <w:t>;</w:t>
      </w:r>
    </w:p>
    <w:p w14:paraId="25BD56DF" w14:textId="295F4B89" w:rsidR="003564B5" w:rsidRPr="006D72A4" w:rsidRDefault="00F0210B" w:rsidP="00F0210B">
      <w:pPr>
        <w:pStyle w:val="SingleTxtG"/>
      </w:pPr>
      <w:r>
        <w:lastRenderedPageBreak/>
        <w:tab/>
      </w:r>
      <w:r>
        <w:tab/>
      </w:r>
      <w:r w:rsidR="003564B5" w:rsidRPr="006D72A4">
        <w:t>b)</w:t>
      </w:r>
      <w:r w:rsidR="003564B5" w:rsidRPr="006D72A4">
        <w:tab/>
        <w:t>L</w:t>
      </w:r>
      <w:r w:rsidR="00EB4761" w:rsidRPr="006D72A4">
        <w:t xml:space="preserve">’impunité en lien avec les cas d’exploitation sexuelle </w:t>
      </w:r>
      <w:r w:rsidR="006430DD">
        <w:t>à</w:t>
      </w:r>
      <w:r w:rsidR="006430DD" w:rsidRPr="006D72A4">
        <w:t xml:space="preserve"> </w:t>
      </w:r>
      <w:r w:rsidR="00EB4761" w:rsidRPr="006D72A4">
        <w:t>des fins commerciales, et d</w:t>
      </w:r>
      <w:r w:rsidR="003564B5" w:rsidRPr="006D72A4">
        <w:t xml:space="preserve">es lacunes dans l’application de </w:t>
      </w:r>
      <w:r w:rsidR="006430DD">
        <w:t>l</w:t>
      </w:r>
      <w:r w:rsidR="003564B5" w:rsidRPr="006D72A4">
        <w:t>a législation sur le tourisme sexuel ;</w:t>
      </w:r>
    </w:p>
    <w:p w14:paraId="6BBA7FC7" w14:textId="2CD70AC6" w:rsidR="00526381" w:rsidRPr="006D72A4" w:rsidRDefault="00F0210B" w:rsidP="00F0210B">
      <w:pPr>
        <w:pStyle w:val="SingleTxtG"/>
      </w:pPr>
      <w:r>
        <w:tab/>
      </w:r>
      <w:r>
        <w:tab/>
      </w:r>
      <w:r w:rsidR="003564B5" w:rsidRPr="006D72A4">
        <w:t>c)</w:t>
      </w:r>
      <w:r w:rsidR="003564B5" w:rsidRPr="006D72A4">
        <w:tab/>
        <w:t>Le</w:t>
      </w:r>
      <w:r w:rsidR="00163DA3" w:rsidRPr="006D72A4">
        <w:t xml:space="preserve"> </w:t>
      </w:r>
      <w:r w:rsidR="00B41F30">
        <w:t>fait que</w:t>
      </w:r>
      <w:r w:rsidR="00163DA3" w:rsidRPr="006D72A4">
        <w:t xml:space="preserve"> </w:t>
      </w:r>
      <w:r w:rsidR="00614799" w:rsidRPr="006D72A4">
        <w:t>l’</w:t>
      </w:r>
      <w:r w:rsidR="00CD41BB">
        <w:t>État</w:t>
      </w:r>
      <w:r w:rsidR="00614799" w:rsidRPr="006D72A4">
        <w:t xml:space="preserve"> partie</w:t>
      </w:r>
      <w:r w:rsidR="00CA1888" w:rsidRPr="006D72A4">
        <w:t xml:space="preserve"> </w:t>
      </w:r>
      <w:r w:rsidR="00B41F30">
        <w:t>ne fournisse pas</w:t>
      </w:r>
      <w:r w:rsidR="00163DA3" w:rsidRPr="006D72A4">
        <w:t xml:space="preserve"> de données </w:t>
      </w:r>
      <w:r w:rsidR="00CA1888" w:rsidRPr="006D72A4">
        <w:t xml:space="preserve">permettant </w:t>
      </w:r>
      <w:r w:rsidR="00614799" w:rsidRPr="006D72A4">
        <w:t xml:space="preserve">de dresser un </w:t>
      </w:r>
      <w:r w:rsidR="005375E0" w:rsidRPr="006D72A4">
        <w:t xml:space="preserve">aperçu de la situation </w:t>
      </w:r>
      <w:r w:rsidR="007030B2" w:rsidRPr="006D72A4">
        <w:t xml:space="preserve">de </w:t>
      </w:r>
      <w:r w:rsidR="006430DD">
        <w:t xml:space="preserve">la </w:t>
      </w:r>
      <w:r w:rsidR="007030B2" w:rsidRPr="006D72A4">
        <w:t>servitude domestique, d</w:t>
      </w:r>
      <w:r w:rsidR="006430DD">
        <w:t>u</w:t>
      </w:r>
      <w:r w:rsidR="007030B2" w:rsidRPr="006D72A4">
        <w:t xml:space="preserve"> travail forcé et d</w:t>
      </w:r>
      <w:r w:rsidR="006430DD">
        <w:t>e l</w:t>
      </w:r>
      <w:r w:rsidR="007030B2" w:rsidRPr="006D72A4">
        <w:t>’exploitation</w:t>
      </w:r>
      <w:r w:rsidR="003564B5" w:rsidRPr="006D72A4">
        <w:t xml:space="preserve"> </w:t>
      </w:r>
      <w:r w:rsidR="007030B2" w:rsidRPr="006D72A4">
        <w:t>sexuelle de travailleurs migrants, y compris d’enfants, sur son territoire</w:t>
      </w:r>
      <w:r w:rsidR="004C6143" w:rsidRPr="006D72A4">
        <w:t xml:space="preserve">, </w:t>
      </w:r>
      <w:r w:rsidR="00B41F30">
        <w:t>ni d’</w:t>
      </w:r>
      <w:r w:rsidR="004C6143" w:rsidRPr="006D72A4">
        <w:t>informations sur</w:t>
      </w:r>
      <w:r w:rsidR="00614799" w:rsidRPr="006D72A4">
        <w:t xml:space="preserve"> son action pour prévenir et éradiquer</w:t>
      </w:r>
      <w:r w:rsidR="007030B2" w:rsidRPr="006D72A4">
        <w:t xml:space="preserve"> ces pratiques</w:t>
      </w:r>
      <w:r w:rsidR="00614799" w:rsidRPr="006D72A4">
        <w:t>.</w:t>
      </w:r>
    </w:p>
    <w:p w14:paraId="6CC4DC2B" w14:textId="50C52020" w:rsidR="007C0375" w:rsidRPr="006D72A4" w:rsidRDefault="009E1ED1" w:rsidP="006D72A4">
      <w:pPr>
        <w:pStyle w:val="SingleTxtG"/>
        <w:rPr>
          <w:b/>
        </w:rPr>
      </w:pPr>
      <w:r w:rsidRPr="006D72A4">
        <w:t>34</w:t>
      </w:r>
      <w:r w:rsidR="00526381" w:rsidRPr="006D72A4">
        <w:t>.</w:t>
      </w:r>
      <w:r w:rsidR="00526381" w:rsidRPr="006D72A4">
        <w:tab/>
      </w:r>
      <w:r w:rsidR="007C0375" w:rsidRPr="006D72A4">
        <w:rPr>
          <w:b/>
        </w:rPr>
        <w:t>Le Comité recommande à l’État partie</w:t>
      </w:r>
      <w:r w:rsidR="00C54B2C" w:rsidRPr="006D72A4">
        <w:rPr>
          <w:b/>
        </w:rPr>
        <w:t>, conformément aux objectifs de développement durable (cibles 8.8 et</w:t>
      </w:r>
      <w:r w:rsidR="00E25AD4" w:rsidRPr="006D72A4">
        <w:rPr>
          <w:b/>
        </w:rPr>
        <w:t xml:space="preserve"> 16.2</w:t>
      </w:r>
      <w:r w:rsidR="00C54B2C" w:rsidRPr="006D72A4">
        <w:rPr>
          <w:b/>
        </w:rPr>
        <w:t>)</w:t>
      </w:r>
      <w:r w:rsidR="00C06D97">
        <w:rPr>
          <w:b/>
        </w:rPr>
        <w:t> </w:t>
      </w:r>
      <w:r w:rsidR="007C0375" w:rsidRPr="006D72A4">
        <w:rPr>
          <w:b/>
        </w:rPr>
        <w:t xml:space="preserve">: </w:t>
      </w:r>
    </w:p>
    <w:p w14:paraId="573F4698" w14:textId="240FF5C5" w:rsidR="007C0375" w:rsidRPr="001A0A15" w:rsidRDefault="00F0210B" w:rsidP="00F0210B">
      <w:pPr>
        <w:pStyle w:val="SingleTxtG"/>
        <w:rPr>
          <w:b/>
          <w:bCs/>
        </w:rPr>
      </w:pPr>
      <w:r>
        <w:tab/>
      </w:r>
      <w:r>
        <w:tab/>
      </w:r>
      <w:r w:rsidR="007C0375" w:rsidRPr="001A0A15">
        <w:rPr>
          <w:b/>
          <w:bCs/>
        </w:rPr>
        <w:t>a)</w:t>
      </w:r>
      <w:r w:rsidR="007C0375" w:rsidRPr="001A0A15">
        <w:rPr>
          <w:b/>
          <w:bCs/>
        </w:rPr>
        <w:tab/>
        <w:t xml:space="preserve">De s’assurer que l’inspection du travail contrôle de manière plus régulière les conditions de travail des travailleurs migrants en situation régulière et irrégulière, </w:t>
      </w:r>
      <w:r w:rsidR="0091448C" w:rsidRPr="001A0A15">
        <w:rPr>
          <w:b/>
          <w:bCs/>
        </w:rPr>
        <w:t>y compris dans le</w:t>
      </w:r>
      <w:r w:rsidR="007C0375" w:rsidRPr="001A0A15">
        <w:rPr>
          <w:b/>
          <w:bCs/>
        </w:rPr>
        <w:t xml:space="preserve"> secteur informel, et rapport</w:t>
      </w:r>
      <w:r w:rsidR="00A2753F" w:rsidRPr="001A0A15">
        <w:rPr>
          <w:b/>
          <w:bCs/>
        </w:rPr>
        <w:t>e</w:t>
      </w:r>
      <w:r w:rsidR="007C0375" w:rsidRPr="001A0A15">
        <w:rPr>
          <w:b/>
          <w:bCs/>
        </w:rPr>
        <w:t xml:space="preserve"> systématiquement les cas d’ab</w:t>
      </w:r>
      <w:r w:rsidR="00C54B2C" w:rsidRPr="001A0A15">
        <w:rPr>
          <w:b/>
          <w:bCs/>
        </w:rPr>
        <w:t>us aux autorités</w:t>
      </w:r>
      <w:r w:rsidR="00C06D97" w:rsidRPr="001A0A15">
        <w:rPr>
          <w:b/>
          <w:bCs/>
        </w:rPr>
        <w:t> </w:t>
      </w:r>
      <w:r w:rsidR="007C0375" w:rsidRPr="001A0A15">
        <w:rPr>
          <w:b/>
          <w:bCs/>
        </w:rPr>
        <w:t xml:space="preserve">; </w:t>
      </w:r>
    </w:p>
    <w:p w14:paraId="3184217E" w14:textId="0A56E2C7" w:rsidR="007C0375" w:rsidRPr="001A0A15" w:rsidRDefault="00F0210B" w:rsidP="00F0210B">
      <w:pPr>
        <w:pStyle w:val="SingleTxtG"/>
        <w:rPr>
          <w:b/>
          <w:bCs/>
        </w:rPr>
      </w:pPr>
      <w:r w:rsidRPr="001A0A15">
        <w:rPr>
          <w:b/>
          <w:bCs/>
        </w:rPr>
        <w:tab/>
      </w:r>
      <w:r w:rsidRPr="001A0A15">
        <w:rPr>
          <w:b/>
          <w:bCs/>
        </w:rPr>
        <w:tab/>
      </w:r>
      <w:r w:rsidR="007C0375" w:rsidRPr="001A0A15">
        <w:rPr>
          <w:b/>
          <w:bCs/>
        </w:rPr>
        <w:t>b)</w:t>
      </w:r>
      <w:r w:rsidR="007C0375" w:rsidRPr="001A0A15">
        <w:rPr>
          <w:b/>
          <w:bCs/>
        </w:rPr>
        <w:tab/>
      </w:r>
      <w:r w:rsidR="000D5D00" w:rsidRPr="001A0A15">
        <w:rPr>
          <w:b/>
          <w:bCs/>
        </w:rPr>
        <w:t xml:space="preserve">D’intensifier ses efforts pour mettre en œuvre son dispositif juridique et </w:t>
      </w:r>
      <w:r w:rsidR="0024748E" w:rsidRPr="001A0A15">
        <w:rPr>
          <w:b/>
          <w:bCs/>
        </w:rPr>
        <w:t xml:space="preserve">appliquer </w:t>
      </w:r>
      <w:r w:rsidR="000D5D00" w:rsidRPr="001A0A15">
        <w:rPr>
          <w:b/>
          <w:bCs/>
        </w:rPr>
        <w:t>des sanctions appropriées aux employeurs qui exploitent des travailleurs migrants, en particulier les travailleuses domestiques, ou qui les soumettent au travail forcé et leur infligent des sévices ;</w:t>
      </w:r>
    </w:p>
    <w:p w14:paraId="3505A44F" w14:textId="7E5B53BB" w:rsidR="007C0375" w:rsidRPr="001A0A15" w:rsidRDefault="00F0210B" w:rsidP="00F0210B">
      <w:pPr>
        <w:pStyle w:val="SingleTxtG"/>
        <w:rPr>
          <w:b/>
          <w:bCs/>
        </w:rPr>
      </w:pPr>
      <w:r w:rsidRPr="001A0A15">
        <w:rPr>
          <w:b/>
          <w:bCs/>
        </w:rPr>
        <w:tab/>
      </w:r>
      <w:r w:rsidRPr="001A0A15">
        <w:rPr>
          <w:b/>
          <w:bCs/>
        </w:rPr>
        <w:tab/>
      </w:r>
      <w:r w:rsidR="007C0375" w:rsidRPr="001A0A15">
        <w:rPr>
          <w:b/>
          <w:bCs/>
        </w:rPr>
        <w:t>c)</w:t>
      </w:r>
      <w:r w:rsidR="007C0375" w:rsidRPr="001A0A15">
        <w:rPr>
          <w:b/>
          <w:bCs/>
        </w:rPr>
        <w:tab/>
        <w:t>De fournir une assistance, une protection et une réadaptation adéquate, notamment une réadaptation psychosociale, aux migrants victimes d’abus sexuels et d’exploitation par le travail, en particulier aux femmes et aux enfants ;</w:t>
      </w:r>
    </w:p>
    <w:p w14:paraId="423750C6" w14:textId="5A786ABA" w:rsidR="009D5BA2" w:rsidRPr="001A0A15" w:rsidRDefault="00F0210B" w:rsidP="00F0210B">
      <w:pPr>
        <w:pStyle w:val="SingleTxtG"/>
        <w:rPr>
          <w:b/>
          <w:bCs/>
        </w:rPr>
      </w:pPr>
      <w:r w:rsidRPr="001A0A15">
        <w:rPr>
          <w:b/>
          <w:bCs/>
        </w:rPr>
        <w:tab/>
      </w:r>
      <w:r w:rsidRPr="001A0A15">
        <w:rPr>
          <w:b/>
          <w:bCs/>
        </w:rPr>
        <w:tab/>
      </w:r>
      <w:r w:rsidR="007C0375" w:rsidRPr="001A0A15">
        <w:rPr>
          <w:b/>
          <w:bCs/>
        </w:rPr>
        <w:t>d)</w:t>
      </w:r>
      <w:r w:rsidR="007C0375" w:rsidRPr="001A0A15">
        <w:rPr>
          <w:b/>
          <w:bCs/>
        </w:rPr>
        <w:tab/>
      </w:r>
      <w:r w:rsidR="009D5BA2" w:rsidRPr="001A0A15">
        <w:rPr>
          <w:b/>
          <w:bCs/>
        </w:rPr>
        <w:t xml:space="preserve">De garantir la mise en œuvre des </w:t>
      </w:r>
      <w:r w:rsidR="00991469" w:rsidRPr="001A0A15">
        <w:rPr>
          <w:b/>
          <w:bCs/>
        </w:rPr>
        <w:t>Principes directeurs relatifs aux entreprises et aux droits de l’homme</w:t>
      </w:r>
      <w:r w:rsidR="009D5BA2" w:rsidRPr="001A0A15">
        <w:rPr>
          <w:b/>
          <w:bCs/>
        </w:rPr>
        <w:t> ;</w:t>
      </w:r>
    </w:p>
    <w:p w14:paraId="5F2297B7" w14:textId="13BA23F9" w:rsidR="002450CB" w:rsidRPr="006D72A4" w:rsidRDefault="00F0210B" w:rsidP="00F0210B">
      <w:pPr>
        <w:pStyle w:val="SingleTxtG"/>
        <w:rPr>
          <w:b/>
        </w:rPr>
      </w:pPr>
      <w:r w:rsidRPr="001A0A15">
        <w:rPr>
          <w:b/>
          <w:bCs/>
        </w:rPr>
        <w:tab/>
      </w:r>
      <w:r w:rsidRPr="001A0A15">
        <w:rPr>
          <w:b/>
          <w:bCs/>
        </w:rPr>
        <w:tab/>
      </w:r>
      <w:r w:rsidR="00404A1C" w:rsidRPr="001A0A15">
        <w:rPr>
          <w:b/>
          <w:bCs/>
        </w:rPr>
        <w:t>e)</w:t>
      </w:r>
      <w:r w:rsidR="009D5BA2" w:rsidRPr="001A0A15">
        <w:rPr>
          <w:b/>
          <w:bCs/>
        </w:rPr>
        <w:tab/>
      </w:r>
      <w:r w:rsidR="007C0375" w:rsidRPr="001A0A15">
        <w:rPr>
          <w:b/>
          <w:bCs/>
        </w:rPr>
        <w:t>De faire figurer dans son prochain rapport périodique des renseignements sur l’exploitation des</w:t>
      </w:r>
      <w:r w:rsidR="007C0375" w:rsidRPr="006D72A4">
        <w:rPr>
          <w:b/>
        </w:rPr>
        <w:t xml:space="preserve"> travailleurs migrants, y compris ceux en situation irrégulière.</w:t>
      </w:r>
    </w:p>
    <w:p w14:paraId="4D2334E0" w14:textId="4AA33F60" w:rsidR="00FC7132" w:rsidRPr="006D72A4" w:rsidRDefault="00D7779A" w:rsidP="00D7779A">
      <w:pPr>
        <w:pStyle w:val="H23G"/>
      </w:pPr>
      <w:r w:rsidRPr="00946138">
        <w:tab/>
      </w:r>
      <w:r w:rsidRPr="00946138">
        <w:tab/>
        <w:t>Régularité de la procédure, détention et égalité devant les tribunaux</w:t>
      </w:r>
    </w:p>
    <w:p w14:paraId="5AB056B5" w14:textId="695B8E6C" w:rsidR="00644147" w:rsidRPr="006D72A4" w:rsidRDefault="009E1ED1" w:rsidP="006D72A4">
      <w:pPr>
        <w:pStyle w:val="SingleTxtG"/>
      </w:pPr>
      <w:r w:rsidRPr="006D72A4">
        <w:t>35</w:t>
      </w:r>
      <w:r w:rsidR="001A4437" w:rsidRPr="006D72A4">
        <w:t>.</w:t>
      </w:r>
      <w:r w:rsidR="001A4437" w:rsidRPr="006D72A4">
        <w:tab/>
      </w:r>
      <w:r w:rsidR="00F71BA1" w:rsidRPr="006D72A4">
        <w:t>Le Comité</w:t>
      </w:r>
      <w:r w:rsidR="00202150" w:rsidRPr="006D72A4">
        <w:t xml:space="preserve"> note que l’art</w:t>
      </w:r>
      <w:r w:rsidR="00C06D97">
        <w:t>icle</w:t>
      </w:r>
      <w:r w:rsidR="00202150" w:rsidRPr="006D72A4">
        <w:t xml:space="preserve"> 53</w:t>
      </w:r>
      <w:r w:rsidR="00977A8B">
        <w:t> </w:t>
      </w:r>
      <w:r w:rsidR="00BD7F25" w:rsidRPr="006D72A4">
        <w:t>bis</w:t>
      </w:r>
      <w:r w:rsidR="00202150" w:rsidRPr="006D72A4">
        <w:t xml:space="preserve"> du </w:t>
      </w:r>
      <w:r w:rsidR="00C06D97">
        <w:t>C</w:t>
      </w:r>
      <w:r w:rsidR="00C06D97" w:rsidRPr="006D72A4">
        <w:t xml:space="preserve">ode </w:t>
      </w:r>
      <w:r w:rsidR="00202150" w:rsidRPr="006D72A4">
        <w:t xml:space="preserve">de procédure pénale prévoit l’obligation pour le juge d’informer l’inculpé de son droit de choisir </w:t>
      </w:r>
      <w:r w:rsidR="0024748E" w:rsidRPr="006D72A4">
        <w:t>un défenseur parmi les avocats inscrits au barreau de l’</w:t>
      </w:r>
      <w:r w:rsidR="00CD41BB">
        <w:t>État</w:t>
      </w:r>
      <w:r w:rsidR="0024748E" w:rsidRPr="006D72A4">
        <w:t xml:space="preserve"> partie, un agent d’affaires ou toute personne de son choix</w:t>
      </w:r>
      <w:r w:rsidR="00202150" w:rsidRPr="006D72A4">
        <w:t>. Il</w:t>
      </w:r>
      <w:r w:rsidR="001A0A15">
        <w:t> </w:t>
      </w:r>
      <w:r w:rsidR="00F71BA1" w:rsidRPr="006D72A4">
        <w:t xml:space="preserve">exprime </w:t>
      </w:r>
      <w:r w:rsidR="00202150" w:rsidRPr="006D72A4">
        <w:t xml:space="preserve">toutefois </w:t>
      </w:r>
      <w:r w:rsidR="00F71BA1" w:rsidRPr="006D72A4">
        <w:t xml:space="preserve">sa préoccupation </w:t>
      </w:r>
      <w:r w:rsidR="006E50FF" w:rsidRPr="006D72A4">
        <w:t xml:space="preserve">par </w:t>
      </w:r>
      <w:r w:rsidR="00644147" w:rsidRPr="006D72A4">
        <w:t>rapport :</w:t>
      </w:r>
    </w:p>
    <w:p w14:paraId="39FB35B8" w14:textId="4F377A8E" w:rsidR="00644147" w:rsidRPr="006D72A4" w:rsidRDefault="00F0210B" w:rsidP="00F0210B">
      <w:pPr>
        <w:pStyle w:val="SingleTxtG"/>
      </w:pPr>
      <w:r>
        <w:tab/>
      </w:r>
      <w:r>
        <w:tab/>
      </w:r>
      <w:r w:rsidR="00644147" w:rsidRPr="006D72A4">
        <w:t>a)</w:t>
      </w:r>
      <w:r w:rsidR="00644147" w:rsidRPr="006D72A4">
        <w:tab/>
      </w:r>
      <w:r w:rsidR="00977A8B">
        <w:t>Au</w:t>
      </w:r>
      <w:r w:rsidR="001975DE">
        <w:t xml:space="preserve"> placement en détention pour infraction à la législation sur la migration, sans recours à une justification adaptée au cas individuel et basée sur la nécessité</w:t>
      </w:r>
      <w:r w:rsidR="00FD4E2D" w:rsidRPr="006D72A4">
        <w:t> </w:t>
      </w:r>
      <w:r w:rsidR="009153CB" w:rsidRPr="006D72A4">
        <w:t>;</w:t>
      </w:r>
    </w:p>
    <w:p w14:paraId="7548B71F" w14:textId="7554D23B" w:rsidR="00644147" w:rsidRPr="006D72A4" w:rsidRDefault="00F0210B" w:rsidP="00F0210B">
      <w:pPr>
        <w:pStyle w:val="SingleTxtG"/>
      </w:pPr>
      <w:r>
        <w:tab/>
      </w:r>
      <w:r>
        <w:tab/>
      </w:r>
      <w:r w:rsidR="00644147" w:rsidRPr="006D72A4">
        <w:t>b)</w:t>
      </w:r>
      <w:r w:rsidR="00644147" w:rsidRPr="006D72A4">
        <w:tab/>
      </w:r>
      <w:r w:rsidR="00977A8B">
        <w:t>Au</w:t>
      </w:r>
      <w:r w:rsidR="00930F32" w:rsidRPr="006D72A4">
        <w:t xml:space="preserve"> manque d’informations sur les mesures </w:t>
      </w:r>
      <w:r w:rsidR="00977A8B">
        <w:t>de substitution</w:t>
      </w:r>
      <w:r w:rsidR="00930F32" w:rsidRPr="006D72A4">
        <w:t xml:space="preserve"> à la détention de travailleurs migrants, y compris ceux qui se trouvent en situation irrégulière, et surtout pour les enfants non</w:t>
      </w:r>
      <w:r w:rsidR="00F071BA">
        <w:t xml:space="preserve"> </w:t>
      </w:r>
      <w:r w:rsidR="00930F32" w:rsidRPr="006D72A4">
        <w:t>accompagnés et les familles avec enfants</w:t>
      </w:r>
      <w:r w:rsidR="00F071BA">
        <w:t> </w:t>
      </w:r>
      <w:r w:rsidR="009153CB" w:rsidRPr="006D72A4">
        <w:t>;</w:t>
      </w:r>
    </w:p>
    <w:p w14:paraId="3A8135C7" w14:textId="5212138C" w:rsidR="00F6621D" w:rsidRPr="006D72A4" w:rsidRDefault="00F0210B" w:rsidP="00F0210B">
      <w:pPr>
        <w:pStyle w:val="SingleTxtG"/>
      </w:pPr>
      <w:r>
        <w:tab/>
      </w:r>
      <w:r>
        <w:tab/>
      </w:r>
      <w:r w:rsidR="00644147" w:rsidRPr="006D72A4">
        <w:t>c)</w:t>
      </w:r>
      <w:r w:rsidR="00644147" w:rsidRPr="006D72A4">
        <w:tab/>
      </w:r>
      <w:r w:rsidR="00977A8B">
        <w:t>À l</w:t>
      </w:r>
      <w:r w:rsidR="00F6621D" w:rsidRPr="006D72A4">
        <w:t>’absence d’informations sur la durée maximale</w:t>
      </w:r>
      <w:r w:rsidR="000A4502">
        <w:t xml:space="preserve"> et les conditions</w:t>
      </w:r>
      <w:r w:rsidR="00F6621D" w:rsidRPr="006D72A4">
        <w:t xml:space="preserve"> de détention administrative des travailleurs migrants en attente d’expulsion</w:t>
      </w:r>
      <w:r w:rsidR="00945250" w:rsidRPr="006D72A4">
        <w:t> ;</w:t>
      </w:r>
    </w:p>
    <w:p w14:paraId="01A613F5" w14:textId="1A84D447" w:rsidR="001A4437" w:rsidRPr="006D72A4" w:rsidRDefault="00F0210B" w:rsidP="00F0210B">
      <w:pPr>
        <w:pStyle w:val="SingleTxtG"/>
      </w:pPr>
      <w:r>
        <w:tab/>
      </w:r>
      <w:r>
        <w:tab/>
      </w:r>
      <w:r w:rsidR="00C12C41" w:rsidRPr="006D72A4">
        <w:t>d</w:t>
      </w:r>
      <w:r w:rsidR="00F6621D" w:rsidRPr="006D72A4">
        <w:t>)</w:t>
      </w:r>
      <w:r w:rsidR="00F6621D" w:rsidRPr="006D72A4">
        <w:tab/>
      </w:r>
      <w:r w:rsidR="00977A8B">
        <w:t>À</w:t>
      </w:r>
      <w:r w:rsidR="00977A8B" w:rsidRPr="006D72A4">
        <w:t xml:space="preserve"> </w:t>
      </w:r>
      <w:r w:rsidR="00977A8B">
        <w:t>l</w:t>
      </w:r>
      <w:r w:rsidR="00930F32" w:rsidRPr="006D72A4">
        <w:t>’absence de données statistiques sur les cas de placement en rétention administrative de travailleurs migrants et des membres de leur famille pour des motifs liés à la migration irrégulière</w:t>
      </w:r>
      <w:r w:rsidR="00D26F94" w:rsidRPr="006D72A4">
        <w:t>.</w:t>
      </w:r>
    </w:p>
    <w:p w14:paraId="5B583C80" w14:textId="7A63BF8D" w:rsidR="00C8270B" w:rsidRPr="001751D2" w:rsidRDefault="009E1ED1" w:rsidP="006D72A4">
      <w:pPr>
        <w:pStyle w:val="SingleTxtG"/>
        <w:rPr>
          <w:b/>
        </w:rPr>
      </w:pPr>
      <w:r w:rsidRPr="0006480A">
        <w:t>36</w:t>
      </w:r>
      <w:r w:rsidR="00C8270B" w:rsidRPr="000A4502">
        <w:t>.</w:t>
      </w:r>
      <w:r w:rsidR="00C8270B" w:rsidRPr="000A4502">
        <w:rPr>
          <w:b/>
        </w:rPr>
        <w:tab/>
      </w:r>
      <w:r w:rsidR="00C8270B" w:rsidRPr="001751D2">
        <w:rPr>
          <w:b/>
        </w:rPr>
        <w:t>Le Comité recommande à l’</w:t>
      </w:r>
      <w:r w:rsidR="00CD41BB">
        <w:rPr>
          <w:b/>
        </w:rPr>
        <w:t>État</w:t>
      </w:r>
      <w:r w:rsidR="00C8270B" w:rsidRPr="001751D2">
        <w:rPr>
          <w:b/>
        </w:rPr>
        <w:t xml:space="preserve"> partie :</w:t>
      </w:r>
    </w:p>
    <w:p w14:paraId="6315D191" w14:textId="4C917CB6" w:rsidR="002E7A95" w:rsidRPr="001A0A15" w:rsidRDefault="00511283" w:rsidP="00C26BCC">
      <w:pPr>
        <w:pStyle w:val="SingleTxtG"/>
        <w:rPr>
          <w:b/>
          <w:bCs/>
        </w:rPr>
      </w:pPr>
      <w:r w:rsidRPr="0006480A">
        <w:tab/>
      </w:r>
      <w:r w:rsidRPr="00C26BCC">
        <w:tab/>
      </w:r>
      <w:r w:rsidR="00C8270B" w:rsidRPr="001A0A15">
        <w:rPr>
          <w:b/>
          <w:bCs/>
        </w:rPr>
        <w:t>a)</w:t>
      </w:r>
      <w:r w:rsidR="00C8270B" w:rsidRPr="001A0A15">
        <w:rPr>
          <w:b/>
          <w:bCs/>
        </w:rPr>
        <w:tab/>
      </w:r>
      <w:r w:rsidR="002352AF" w:rsidRPr="001A0A15">
        <w:rPr>
          <w:b/>
          <w:bCs/>
        </w:rPr>
        <w:t>De v</w:t>
      </w:r>
      <w:r w:rsidR="00FD4E2D" w:rsidRPr="001A0A15">
        <w:rPr>
          <w:b/>
          <w:bCs/>
        </w:rPr>
        <w:t>eiller à ce que la détention des migrants soit une mesure exceptionnelle, de dernier recours et limitée à la durée la plus brève possible, qu’elle soit fondée sur le cas d’espèce, notamment sur les raisons pour lesquelles des mesures de substitution ne peuvent pas être mises en œuvre, et qu’elle soit examinée sous vingt</w:t>
      </w:r>
      <w:r w:rsidR="00FD4E2D" w:rsidRPr="001A0A15">
        <w:rPr>
          <w:rFonts w:eastAsia="MS Mincho"/>
          <w:b/>
          <w:bCs/>
        </w:rPr>
        <w:t>‑</w:t>
      </w:r>
      <w:r w:rsidR="00FD4E2D" w:rsidRPr="001A0A15">
        <w:rPr>
          <w:b/>
          <w:bCs/>
        </w:rPr>
        <w:t>quatre</w:t>
      </w:r>
      <w:r w:rsidR="000A5AEB" w:rsidRPr="001A0A15">
        <w:rPr>
          <w:b/>
          <w:bCs/>
        </w:rPr>
        <w:t xml:space="preserve"> </w:t>
      </w:r>
      <w:r w:rsidR="00FD4E2D" w:rsidRPr="001A0A15">
        <w:rPr>
          <w:b/>
          <w:bCs/>
        </w:rPr>
        <w:t>heures par une autorité judiciaire indépendante et impartiale</w:t>
      </w:r>
      <w:r w:rsidR="0006480A" w:rsidRPr="001A0A15">
        <w:rPr>
          <w:b/>
          <w:bCs/>
        </w:rPr>
        <w:t> ;</w:t>
      </w:r>
    </w:p>
    <w:p w14:paraId="57158F86" w14:textId="1243A0E9" w:rsidR="009E7989" w:rsidRPr="001A0A15" w:rsidRDefault="00511283" w:rsidP="006D72A4">
      <w:pPr>
        <w:pStyle w:val="SingleTxtG"/>
        <w:rPr>
          <w:b/>
          <w:bCs/>
        </w:rPr>
      </w:pPr>
      <w:r w:rsidRPr="001A0A15">
        <w:rPr>
          <w:b/>
          <w:bCs/>
        </w:rPr>
        <w:tab/>
      </w:r>
      <w:r w:rsidRPr="001A0A15">
        <w:rPr>
          <w:b/>
          <w:bCs/>
        </w:rPr>
        <w:tab/>
      </w:r>
      <w:r w:rsidR="00F63DD4" w:rsidRPr="001A0A15">
        <w:rPr>
          <w:b/>
          <w:bCs/>
        </w:rPr>
        <w:t>b)</w:t>
      </w:r>
      <w:r w:rsidR="00F63DD4" w:rsidRPr="001A0A15">
        <w:rPr>
          <w:b/>
          <w:bCs/>
        </w:rPr>
        <w:tab/>
      </w:r>
      <w:r w:rsidR="002352AF" w:rsidRPr="001A0A15">
        <w:rPr>
          <w:b/>
          <w:bCs/>
        </w:rPr>
        <w:t>D’a</w:t>
      </w:r>
      <w:r w:rsidR="00FD4E2D" w:rsidRPr="001A0A15">
        <w:rPr>
          <w:b/>
          <w:bCs/>
        </w:rPr>
        <w:t xml:space="preserve">dopter des mesures </w:t>
      </w:r>
      <w:r w:rsidR="00977A8B" w:rsidRPr="001A0A15">
        <w:rPr>
          <w:b/>
          <w:bCs/>
        </w:rPr>
        <w:t>de substitution</w:t>
      </w:r>
      <w:r w:rsidR="00FD4E2D" w:rsidRPr="001A0A15">
        <w:rPr>
          <w:b/>
          <w:bCs/>
        </w:rPr>
        <w:t xml:space="preserve"> à la détention administrative pour les </w:t>
      </w:r>
      <w:r w:rsidR="0006480A" w:rsidRPr="001A0A15">
        <w:rPr>
          <w:b/>
          <w:bCs/>
        </w:rPr>
        <w:t>travailleurs migrants et les membres de leur famille</w:t>
      </w:r>
      <w:r w:rsidR="00FD4E2D" w:rsidRPr="001A0A15">
        <w:rPr>
          <w:b/>
          <w:bCs/>
        </w:rPr>
        <w:t xml:space="preserve"> </w:t>
      </w:r>
      <w:r w:rsidR="00A63C44" w:rsidRPr="001A0A15">
        <w:rPr>
          <w:b/>
          <w:bCs/>
        </w:rPr>
        <w:t>qui ont</w:t>
      </w:r>
      <w:r w:rsidR="00FD4E2D" w:rsidRPr="001A0A15">
        <w:rPr>
          <w:b/>
          <w:bCs/>
        </w:rPr>
        <w:t xml:space="preserve"> violé la législation sur la migration, ainsi que </w:t>
      </w:r>
      <w:r w:rsidR="00C35C09" w:rsidRPr="001A0A15">
        <w:rPr>
          <w:b/>
          <w:bCs/>
        </w:rPr>
        <w:t>ceux</w:t>
      </w:r>
      <w:r w:rsidR="00FD4E2D" w:rsidRPr="001A0A15">
        <w:rPr>
          <w:b/>
          <w:bCs/>
        </w:rPr>
        <w:t xml:space="preserve"> </w:t>
      </w:r>
      <w:r w:rsidR="00A63C44" w:rsidRPr="001A0A15">
        <w:rPr>
          <w:b/>
          <w:bCs/>
        </w:rPr>
        <w:t xml:space="preserve">qui sont </w:t>
      </w:r>
      <w:r w:rsidR="00FD4E2D" w:rsidRPr="001A0A15">
        <w:rPr>
          <w:b/>
          <w:bCs/>
        </w:rPr>
        <w:t>en attente d’expulsion du territoire national</w:t>
      </w:r>
      <w:r w:rsidR="00F071BA" w:rsidRPr="001A0A15">
        <w:rPr>
          <w:b/>
          <w:bCs/>
        </w:rPr>
        <w:t> </w:t>
      </w:r>
      <w:r w:rsidR="00FD4E2D" w:rsidRPr="001A0A15">
        <w:rPr>
          <w:b/>
          <w:bCs/>
        </w:rPr>
        <w:t xml:space="preserve">; </w:t>
      </w:r>
    </w:p>
    <w:p w14:paraId="37683C5C" w14:textId="53040125" w:rsidR="004C6FD8" w:rsidRPr="001A0A15" w:rsidRDefault="00511283" w:rsidP="00FE3BF8">
      <w:pPr>
        <w:pStyle w:val="SingleTxtG"/>
        <w:rPr>
          <w:b/>
          <w:bCs/>
        </w:rPr>
      </w:pPr>
      <w:r w:rsidRPr="001A0A15">
        <w:rPr>
          <w:b/>
          <w:bCs/>
        </w:rPr>
        <w:lastRenderedPageBreak/>
        <w:tab/>
      </w:r>
      <w:r w:rsidRPr="001A0A15">
        <w:rPr>
          <w:b/>
          <w:bCs/>
        </w:rPr>
        <w:tab/>
      </w:r>
      <w:r w:rsidR="009E7989" w:rsidRPr="001A0A15">
        <w:rPr>
          <w:b/>
          <w:bCs/>
        </w:rPr>
        <w:t>c)</w:t>
      </w:r>
      <w:r w:rsidR="009E7989" w:rsidRPr="001A0A15">
        <w:rPr>
          <w:b/>
          <w:bCs/>
        </w:rPr>
        <w:tab/>
      </w:r>
      <w:r w:rsidR="002352AF" w:rsidRPr="001A0A15">
        <w:rPr>
          <w:b/>
          <w:bCs/>
        </w:rPr>
        <w:t>De v</w:t>
      </w:r>
      <w:r w:rsidR="00076034" w:rsidRPr="001A0A15">
        <w:rPr>
          <w:b/>
          <w:bCs/>
        </w:rPr>
        <w:t>eiller à ce</w:t>
      </w:r>
      <w:r w:rsidR="002352AF" w:rsidRPr="001A0A15">
        <w:rPr>
          <w:b/>
          <w:bCs/>
        </w:rPr>
        <w:t xml:space="preserve"> que</w:t>
      </w:r>
      <w:r w:rsidR="00076034" w:rsidRPr="001A0A15">
        <w:rPr>
          <w:b/>
          <w:bCs/>
        </w:rPr>
        <w:t xml:space="preserve"> les travailleurs migrants et les membres de leur famille, </w:t>
      </w:r>
      <w:r w:rsidR="000A4502" w:rsidRPr="001A0A15">
        <w:rPr>
          <w:b/>
          <w:bCs/>
        </w:rPr>
        <w:t xml:space="preserve">dans </w:t>
      </w:r>
      <w:r w:rsidR="0023188F" w:rsidRPr="001A0A15">
        <w:rPr>
          <w:b/>
          <w:bCs/>
        </w:rPr>
        <w:t>d</w:t>
      </w:r>
      <w:r w:rsidR="000A4502" w:rsidRPr="001A0A15">
        <w:rPr>
          <w:b/>
          <w:bCs/>
        </w:rPr>
        <w:t xml:space="preserve">es cas exceptionnels </w:t>
      </w:r>
      <w:r w:rsidR="0023188F" w:rsidRPr="001A0A15">
        <w:rPr>
          <w:b/>
          <w:bCs/>
        </w:rPr>
        <w:t>où la détention ne peut pas être évité</w:t>
      </w:r>
      <w:r w:rsidR="00E93EA7" w:rsidRPr="001A0A15">
        <w:rPr>
          <w:b/>
          <w:bCs/>
        </w:rPr>
        <w:t>e</w:t>
      </w:r>
      <w:r w:rsidR="00FD4E2D" w:rsidRPr="001A0A15">
        <w:rPr>
          <w:b/>
          <w:bCs/>
        </w:rPr>
        <w:t xml:space="preserve">, </w:t>
      </w:r>
      <w:r w:rsidR="00076034" w:rsidRPr="001A0A15">
        <w:rPr>
          <w:b/>
          <w:bCs/>
        </w:rPr>
        <w:t xml:space="preserve">soient placés dans des établissements spéciaux, qu’ils soient séparés des détenus de droit commun et que les conditions de détention soient conformes à </w:t>
      </w:r>
      <w:r w:rsidR="00FD4E2D" w:rsidRPr="001A0A15">
        <w:rPr>
          <w:b/>
          <w:bCs/>
        </w:rPr>
        <w:t>l’Ensemble de règles minima des Nations Unies pour le traitement des détenus (Règles Nelson Mandela)</w:t>
      </w:r>
      <w:r w:rsidR="000A4502" w:rsidRPr="001A0A15">
        <w:rPr>
          <w:b/>
          <w:bCs/>
        </w:rPr>
        <w:t>,</w:t>
      </w:r>
      <w:r w:rsidR="00FD4E2D" w:rsidRPr="001A0A15">
        <w:rPr>
          <w:b/>
          <w:bCs/>
        </w:rPr>
        <w:t xml:space="preserve"> </w:t>
      </w:r>
      <w:r w:rsidR="00E93EA7" w:rsidRPr="001A0A15">
        <w:rPr>
          <w:b/>
          <w:bCs/>
        </w:rPr>
        <w:t>en accord avec les</w:t>
      </w:r>
      <w:r w:rsidR="00076034" w:rsidRPr="001A0A15">
        <w:rPr>
          <w:b/>
          <w:bCs/>
        </w:rPr>
        <w:t xml:space="preserve"> engagements pris dans le cadre de l’Examen </w:t>
      </w:r>
      <w:r w:rsidR="00B57EFF" w:rsidRPr="001A0A15">
        <w:rPr>
          <w:b/>
          <w:bCs/>
        </w:rPr>
        <w:t>périodique u</w:t>
      </w:r>
      <w:r w:rsidR="00076034" w:rsidRPr="001A0A15">
        <w:rPr>
          <w:b/>
          <w:bCs/>
        </w:rPr>
        <w:t>niversel en 2014 (A/HRC/28/13, par. 108.118) ;</w:t>
      </w:r>
    </w:p>
    <w:p w14:paraId="59410B11" w14:textId="2194DECD" w:rsidR="009E7989" w:rsidRPr="00FE3BF8" w:rsidRDefault="00F0210B" w:rsidP="00FE3BF8">
      <w:pPr>
        <w:pStyle w:val="SingleTxtG"/>
      </w:pPr>
      <w:r w:rsidRPr="001A0A15">
        <w:rPr>
          <w:b/>
          <w:bCs/>
        </w:rPr>
        <w:tab/>
      </w:r>
      <w:r w:rsidRPr="001A0A15">
        <w:rPr>
          <w:b/>
          <w:bCs/>
        </w:rPr>
        <w:tab/>
      </w:r>
      <w:r w:rsidR="004C6FD8" w:rsidRPr="001A0A15">
        <w:rPr>
          <w:b/>
          <w:bCs/>
        </w:rPr>
        <w:t>d)</w:t>
      </w:r>
      <w:r w:rsidR="004C6FD8" w:rsidRPr="001A0A15">
        <w:rPr>
          <w:b/>
          <w:bCs/>
        </w:rPr>
        <w:tab/>
      </w:r>
      <w:r w:rsidR="002352AF" w:rsidRPr="001A0A15">
        <w:rPr>
          <w:b/>
          <w:bCs/>
        </w:rPr>
        <w:t>De f</w:t>
      </w:r>
      <w:r w:rsidR="00076034" w:rsidRPr="001A0A15">
        <w:rPr>
          <w:b/>
          <w:bCs/>
        </w:rPr>
        <w:t>aire</w:t>
      </w:r>
      <w:r w:rsidR="00076034" w:rsidRPr="00FE3BF8">
        <w:rPr>
          <w:b/>
        </w:rPr>
        <w:t xml:space="preserve"> figurer, dans son prochain rapport périodique, des informations détaillées et ventilées par âge, sexe, nationalité et/ou origine sur le nombre de travailleurs migrants actuellement placés en rétention administrative pour des infractions à la législation relative à l’immigration, ainsi que sur le lieu, la durée moyenne et les conditions de leur rétention</w:t>
      </w:r>
      <w:r w:rsidR="009E7989" w:rsidRPr="00FE3BF8">
        <w:rPr>
          <w:b/>
        </w:rPr>
        <w:t>.</w:t>
      </w:r>
    </w:p>
    <w:p w14:paraId="3D9A170A" w14:textId="2136741B" w:rsidR="00721E00" w:rsidRPr="006D72A4" w:rsidRDefault="00721E00" w:rsidP="006D72A4">
      <w:pPr>
        <w:pStyle w:val="H23G"/>
      </w:pPr>
      <w:r w:rsidRPr="006D72A4">
        <w:tab/>
      </w:r>
      <w:r w:rsidRPr="006D72A4">
        <w:tab/>
      </w:r>
      <w:r w:rsidRPr="006D72A4">
        <w:tab/>
        <w:t>Assistance consulaire</w:t>
      </w:r>
    </w:p>
    <w:p w14:paraId="5B72B31F" w14:textId="21F90420" w:rsidR="003B48A5" w:rsidRPr="006D72A4" w:rsidRDefault="00F70B8F" w:rsidP="006D72A4">
      <w:pPr>
        <w:pStyle w:val="SingleTxtG"/>
      </w:pPr>
      <w:r w:rsidRPr="006D72A4">
        <w:t>37</w:t>
      </w:r>
      <w:r w:rsidR="0093502C" w:rsidRPr="006D72A4">
        <w:t>.</w:t>
      </w:r>
      <w:r w:rsidR="0093502C" w:rsidRPr="006D72A4">
        <w:tab/>
        <w:t xml:space="preserve">Le Comité </w:t>
      </w:r>
      <w:r w:rsidR="003B48A5" w:rsidRPr="006D72A4">
        <w:t xml:space="preserve">note avec satisfaction la création </w:t>
      </w:r>
      <w:r w:rsidR="000906C1" w:rsidRPr="006D72A4">
        <w:t>d</w:t>
      </w:r>
      <w:r w:rsidR="003B48A5" w:rsidRPr="006D72A4">
        <w:t xml:space="preserve">’un service de protection et </w:t>
      </w:r>
      <w:r w:rsidR="00013AD2">
        <w:t>d</w:t>
      </w:r>
      <w:r w:rsidR="003B48A5" w:rsidRPr="006D72A4">
        <w:t xml:space="preserve">’assistance </w:t>
      </w:r>
      <w:r w:rsidR="00013AD2">
        <w:t>pour l</w:t>
      </w:r>
      <w:r w:rsidR="00013AD2" w:rsidRPr="006D72A4">
        <w:t xml:space="preserve">es </w:t>
      </w:r>
      <w:r w:rsidR="00113526">
        <w:t>Malgaches</w:t>
      </w:r>
      <w:r w:rsidR="00113526" w:rsidRPr="006D72A4">
        <w:t xml:space="preserve"> </w:t>
      </w:r>
      <w:r w:rsidR="003B48A5" w:rsidRPr="006D72A4">
        <w:t>à l’étranger</w:t>
      </w:r>
      <w:r w:rsidR="008B106F" w:rsidRPr="006D72A4">
        <w:t>,</w:t>
      </w:r>
      <w:r w:rsidR="003B48A5" w:rsidRPr="006D72A4">
        <w:t xml:space="preserve"> en 2017. Il </w:t>
      </w:r>
      <w:r w:rsidR="0093502C" w:rsidRPr="006D72A4">
        <w:t xml:space="preserve">constate </w:t>
      </w:r>
      <w:r w:rsidR="003B48A5" w:rsidRPr="006D72A4">
        <w:t xml:space="preserve">toutefois </w:t>
      </w:r>
      <w:r w:rsidR="00F71BA1" w:rsidRPr="006D72A4">
        <w:t>avec préoccupation :</w:t>
      </w:r>
    </w:p>
    <w:p w14:paraId="5A4E99F5" w14:textId="0A8CF4CF" w:rsidR="003B48A5" w:rsidRPr="006D72A4" w:rsidRDefault="00F0210B" w:rsidP="00F0210B">
      <w:pPr>
        <w:pStyle w:val="SingleTxtG"/>
      </w:pPr>
      <w:r>
        <w:tab/>
      </w:r>
      <w:r>
        <w:tab/>
      </w:r>
      <w:r w:rsidR="003B48A5" w:rsidRPr="006D72A4">
        <w:t>a)</w:t>
      </w:r>
      <w:r w:rsidR="003B48A5" w:rsidRPr="006D72A4">
        <w:tab/>
      </w:r>
      <w:r w:rsidR="009908FD" w:rsidRPr="006D72A4">
        <w:t>La présence limitée de représentations diplomatiques et consulaires de l’</w:t>
      </w:r>
      <w:r w:rsidR="00CD41BB">
        <w:t>État</w:t>
      </w:r>
      <w:r w:rsidR="009908FD" w:rsidRPr="006D72A4">
        <w:t xml:space="preserve"> partie dans les pays de destination des travailleurs migrants mal</w:t>
      </w:r>
      <w:r w:rsidR="00113526">
        <w:t>gaches</w:t>
      </w:r>
      <w:r w:rsidR="009908FD" w:rsidRPr="006D72A4">
        <w:t>, y compris le Koweït et le Liban</w:t>
      </w:r>
      <w:r w:rsidR="009A1F63">
        <w:t> </w:t>
      </w:r>
      <w:r w:rsidR="00463952" w:rsidRPr="006D72A4">
        <w:t xml:space="preserve">; </w:t>
      </w:r>
    </w:p>
    <w:p w14:paraId="6CC6A650" w14:textId="5C98666A" w:rsidR="0093502C" w:rsidRPr="006D72A4" w:rsidRDefault="00F0210B" w:rsidP="00F0210B">
      <w:pPr>
        <w:pStyle w:val="SingleTxtG"/>
      </w:pPr>
      <w:r>
        <w:tab/>
      </w:r>
      <w:r>
        <w:tab/>
      </w:r>
      <w:r w:rsidR="009908FD" w:rsidRPr="006D72A4">
        <w:t>b</w:t>
      </w:r>
      <w:r w:rsidR="003B48A5" w:rsidRPr="006D72A4">
        <w:t>)</w:t>
      </w:r>
      <w:r w:rsidR="003B48A5" w:rsidRPr="006D72A4">
        <w:tab/>
      </w:r>
      <w:r w:rsidR="009908FD" w:rsidRPr="006D72A4">
        <w:t>Le manque d’informations concrètes sur</w:t>
      </w:r>
      <w:r w:rsidR="00CF40A0">
        <w:t xml:space="preserve"> </w:t>
      </w:r>
      <w:r w:rsidR="009908FD" w:rsidRPr="006D72A4">
        <w:t>l’assistance fournie aux travailleurs migrants mal</w:t>
      </w:r>
      <w:r w:rsidR="00113526">
        <w:t>gaches</w:t>
      </w:r>
      <w:r w:rsidR="009908FD" w:rsidRPr="006D72A4">
        <w:t xml:space="preserve"> et aux membres de leur famille établis à l’étranger, y compris à ceux en situation irrégulière et victimes d’abus, privés de liberté et/ou qui font l’objet de mesures d’expulsion</w:t>
      </w:r>
      <w:r w:rsidR="00C36B82" w:rsidRPr="006D72A4">
        <w:t>.</w:t>
      </w:r>
    </w:p>
    <w:p w14:paraId="1BE72FD8" w14:textId="5D9DD9B5" w:rsidR="00465D9B" w:rsidRPr="006D72A4" w:rsidRDefault="00F70B8F" w:rsidP="006D72A4">
      <w:pPr>
        <w:pStyle w:val="SingleTxtG"/>
        <w:rPr>
          <w:b/>
        </w:rPr>
      </w:pPr>
      <w:r w:rsidRPr="006D72A4">
        <w:t>38</w:t>
      </w:r>
      <w:r w:rsidR="000C23CD" w:rsidRPr="006D72A4">
        <w:t>.</w:t>
      </w:r>
      <w:r w:rsidR="000C23CD" w:rsidRPr="006D72A4">
        <w:rPr>
          <w:b/>
        </w:rPr>
        <w:tab/>
      </w:r>
      <w:r w:rsidR="00465D9B" w:rsidRPr="006D72A4">
        <w:rPr>
          <w:b/>
        </w:rPr>
        <w:t>Le Comité recommande à l’</w:t>
      </w:r>
      <w:r w:rsidR="00CD41BB">
        <w:rPr>
          <w:b/>
        </w:rPr>
        <w:t>État</w:t>
      </w:r>
      <w:r w:rsidR="00465D9B" w:rsidRPr="006D72A4">
        <w:rPr>
          <w:b/>
        </w:rPr>
        <w:t xml:space="preserve"> partie :</w:t>
      </w:r>
    </w:p>
    <w:p w14:paraId="46984C63" w14:textId="4260B6F1" w:rsidR="000059BC" w:rsidRPr="001A0A15" w:rsidRDefault="00F0210B" w:rsidP="00F0210B">
      <w:pPr>
        <w:pStyle w:val="SingleTxtG"/>
        <w:rPr>
          <w:b/>
          <w:bCs/>
        </w:rPr>
      </w:pPr>
      <w:r>
        <w:tab/>
      </w:r>
      <w:r>
        <w:tab/>
      </w:r>
      <w:r w:rsidR="00465D9B" w:rsidRPr="001A0A15">
        <w:rPr>
          <w:b/>
          <w:bCs/>
        </w:rPr>
        <w:t>a)</w:t>
      </w:r>
      <w:r w:rsidR="00465D9B" w:rsidRPr="001A0A15">
        <w:rPr>
          <w:b/>
          <w:bCs/>
        </w:rPr>
        <w:tab/>
      </w:r>
      <w:r w:rsidR="000059BC" w:rsidRPr="001A0A15">
        <w:rPr>
          <w:b/>
          <w:bCs/>
          <w:lang w:val="fr-FR"/>
        </w:rPr>
        <w:t>De renforcer les efforts de coopération avec les pays de destination des travailleurs mal</w:t>
      </w:r>
      <w:r w:rsidR="00113526" w:rsidRPr="001A0A15">
        <w:rPr>
          <w:b/>
          <w:bCs/>
          <w:lang w:val="fr-FR"/>
        </w:rPr>
        <w:t>gaches</w:t>
      </w:r>
      <w:r w:rsidR="000059BC" w:rsidRPr="001A0A15">
        <w:rPr>
          <w:b/>
          <w:bCs/>
          <w:lang w:val="fr-FR"/>
        </w:rPr>
        <w:t xml:space="preserve"> et </w:t>
      </w:r>
      <w:r w:rsidR="007F22B2" w:rsidRPr="001A0A15">
        <w:rPr>
          <w:b/>
          <w:bCs/>
          <w:lang w:val="fr-FR"/>
        </w:rPr>
        <w:t>d</w:t>
      </w:r>
      <w:r w:rsidR="000059BC" w:rsidRPr="001A0A15">
        <w:rPr>
          <w:b/>
          <w:bCs/>
          <w:lang w:val="fr-FR"/>
        </w:rPr>
        <w:t>es membres de leur famille, y compris</w:t>
      </w:r>
      <w:r w:rsidR="00C12C41" w:rsidRPr="001A0A15">
        <w:rPr>
          <w:b/>
          <w:bCs/>
          <w:lang w:val="fr-FR"/>
        </w:rPr>
        <w:t xml:space="preserve"> la Chine,</w:t>
      </w:r>
      <w:r w:rsidR="000059BC" w:rsidRPr="001A0A15">
        <w:rPr>
          <w:b/>
          <w:bCs/>
          <w:lang w:val="fr-FR"/>
        </w:rPr>
        <w:t xml:space="preserve"> le Koweït, le Liban et d’autres pays du Golfe, pour garantir </w:t>
      </w:r>
      <w:r w:rsidR="0081280F" w:rsidRPr="001A0A15">
        <w:rPr>
          <w:b/>
          <w:bCs/>
          <w:lang w:val="fr-FR"/>
        </w:rPr>
        <w:t>une</w:t>
      </w:r>
      <w:r w:rsidR="000059BC" w:rsidRPr="001A0A15">
        <w:rPr>
          <w:b/>
          <w:bCs/>
          <w:lang w:val="fr-FR"/>
        </w:rPr>
        <w:t xml:space="preserve"> </w:t>
      </w:r>
      <w:r w:rsidR="00D916BD" w:rsidRPr="001A0A15">
        <w:rPr>
          <w:b/>
          <w:bCs/>
          <w:lang w:val="fr-FR"/>
        </w:rPr>
        <w:t>protection des droits</w:t>
      </w:r>
      <w:r w:rsidR="0081280F" w:rsidRPr="001A0A15">
        <w:rPr>
          <w:b/>
          <w:bCs/>
          <w:lang w:val="fr-FR"/>
        </w:rPr>
        <w:t xml:space="preserve"> des travailleurs migrants mal</w:t>
      </w:r>
      <w:r w:rsidR="00113526" w:rsidRPr="001A0A15">
        <w:rPr>
          <w:b/>
          <w:bCs/>
          <w:lang w:val="fr-FR"/>
        </w:rPr>
        <w:t>gaches</w:t>
      </w:r>
      <w:r w:rsidR="0081280F" w:rsidRPr="001A0A15">
        <w:rPr>
          <w:b/>
          <w:bCs/>
          <w:lang w:val="fr-FR"/>
        </w:rPr>
        <w:t xml:space="preserve"> et des membres de leur famille à l’étranger</w:t>
      </w:r>
      <w:r w:rsidR="000059BC" w:rsidRPr="001A0A15">
        <w:rPr>
          <w:b/>
          <w:bCs/>
          <w:lang w:val="fr-FR"/>
        </w:rPr>
        <w:t>, et ce</w:t>
      </w:r>
      <w:r w:rsidR="007F22B2" w:rsidRPr="001A0A15">
        <w:rPr>
          <w:b/>
          <w:bCs/>
          <w:lang w:val="fr-FR"/>
        </w:rPr>
        <w:t>,</w:t>
      </w:r>
      <w:r w:rsidR="000059BC" w:rsidRPr="001A0A15">
        <w:rPr>
          <w:b/>
          <w:bCs/>
          <w:lang w:val="fr-FR"/>
        </w:rPr>
        <w:t xml:space="preserve"> même en </w:t>
      </w:r>
      <w:r w:rsidR="007F22B2" w:rsidRPr="001A0A15">
        <w:rPr>
          <w:b/>
          <w:bCs/>
          <w:lang w:val="fr-FR"/>
        </w:rPr>
        <w:t>l’</w:t>
      </w:r>
      <w:r w:rsidR="000059BC" w:rsidRPr="001A0A15">
        <w:rPr>
          <w:b/>
          <w:bCs/>
          <w:lang w:val="fr-FR"/>
        </w:rPr>
        <w:t xml:space="preserve">absence d’une représentation </w:t>
      </w:r>
      <w:r w:rsidR="0024748E" w:rsidRPr="001A0A15">
        <w:rPr>
          <w:b/>
          <w:bCs/>
          <w:lang w:val="fr-FR"/>
        </w:rPr>
        <w:t xml:space="preserve">diplomatique ou consulaire </w:t>
      </w:r>
      <w:r w:rsidR="000059BC" w:rsidRPr="001A0A15">
        <w:rPr>
          <w:b/>
          <w:bCs/>
          <w:lang w:val="fr-FR"/>
        </w:rPr>
        <w:t>de l’</w:t>
      </w:r>
      <w:r w:rsidR="00CD41BB" w:rsidRPr="001A0A15">
        <w:rPr>
          <w:b/>
          <w:bCs/>
          <w:lang w:val="fr-FR"/>
        </w:rPr>
        <w:t>État</w:t>
      </w:r>
      <w:r w:rsidR="000059BC" w:rsidRPr="001A0A15">
        <w:rPr>
          <w:b/>
          <w:bCs/>
          <w:lang w:val="fr-FR"/>
        </w:rPr>
        <w:t xml:space="preserve"> partie</w:t>
      </w:r>
      <w:r w:rsidR="0081280F" w:rsidRPr="001A0A15">
        <w:rPr>
          <w:b/>
          <w:bCs/>
          <w:lang w:val="fr-FR"/>
        </w:rPr>
        <w:t> ;</w:t>
      </w:r>
    </w:p>
    <w:p w14:paraId="04B6939C" w14:textId="10E4B798" w:rsidR="000C23CD" w:rsidRPr="006D72A4" w:rsidRDefault="00F0210B" w:rsidP="00F0210B">
      <w:pPr>
        <w:pStyle w:val="SingleTxtG"/>
        <w:rPr>
          <w:b/>
          <w:lang w:val="fr-FR"/>
        </w:rPr>
      </w:pPr>
      <w:r w:rsidRPr="001A0A15">
        <w:rPr>
          <w:b/>
          <w:bCs/>
          <w:lang w:val="fr-FR"/>
        </w:rPr>
        <w:tab/>
      </w:r>
      <w:r w:rsidRPr="001A0A15">
        <w:rPr>
          <w:b/>
          <w:bCs/>
          <w:lang w:val="fr-FR"/>
        </w:rPr>
        <w:tab/>
      </w:r>
      <w:r w:rsidR="000059BC" w:rsidRPr="001A0A15">
        <w:rPr>
          <w:b/>
          <w:bCs/>
          <w:lang w:val="fr-FR"/>
        </w:rPr>
        <w:t>b)</w:t>
      </w:r>
      <w:r w:rsidR="000059BC" w:rsidRPr="001A0A15">
        <w:rPr>
          <w:b/>
          <w:bCs/>
          <w:lang w:val="fr-FR"/>
        </w:rPr>
        <w:tab/>
      </w:r>
      <w:r w:rsidR="00D344E5" w:rsidRPr="001A0A15">
        <w:rPr>
          <w:b/>
          <w:bCs/>
          <w:lang w:val="fr-FR"/>
        </w:rPr>
        <w:t>De renforcer les capacités de ses</w:t>
      </w:r>
      <w:r w:rsidR="00427A95" w:rsidRPr="001A0A15">
        <w:rPr>
          <w:b/>
          <w:bCs/>
          <w:lang w:val="fr-FR"/>
        </w:rPr>
        <w:t xml:space="preserve"> services diplomatiques ou consulaires </w:t>
      </w:r>
      <w:r w:rsidR="00D344E5" w:rsidRPr="001A0A15">
        <w:rPr>
          <w:b/>
          <w:bCs/>
          <w:lang w:val="fr-FR"/>
        </w:rPr>
        <w:t>pour que ceux</w:t>
      </w:r>
      <w:r w:rsidR="00D344E5" w:rsidRPr="006D72A4">
        <w:rPr>
          <w:b/>
          <w:lang w:val="fr-FR"/>
        </w:rPr>
        <w:t xml:space="preserve">-ci puissent </w:t>
      </w:r>
      <w:r w:rsidR="00427A95" w:rsidRPr="006D72A4">
        <w:rPr>
          <w:b/>
          <w:lang w:val="fr-FR"/>
        </w:rPr>
        <w:t>s’acquitte</w:t>
      </w:r>
      <w:r w:rsidR="00D344E5" w:rsidRPr="006D72A4">
        <w:rPr>
          <w:b/>
          <w:lang w:val="fr-FR"/>
        </w:rPr>
        <w:t>r de manière</w:t>
      </w:r>
      <w:r w:rsidR="00427A95" w:rsidRPr="006D72A4">
        <w:rPr>
          <w:b/>
          <w:lang w:val="fr-FR"/>
        </w:rPr>
        <w:t xml:space="preserve"> efficace de leur mission de protection et de promotion des droits des travailleurs migrants mal</w:t>
      </w:r>
      <w:r w:rsidR="00113526">
        <w:rPr>
          <w:b/>
          <w:lang w:val="fr-FR"/>
        </w:rPr>
        <w:t>gaches</w:t>
      </w:r>
      <w:r w:rsidR="00427A95" w:rsidRPr="006D72A4">
        <w:rPr>
          <w:b/>
          <w:lang w:val="fr-FR"/>
        </w:rPr>
        <w:t xml:space="preserve"> et des membres de leur famille</w:t>
      </w:r>
      <w:r w:rsidR="004F6099" w:rsidRPr="006D72A4">
        <w:rPr>
          <w:b/>
          <w:lang w:val="fr-FR"/>
        </w:rPr>
        <w:t>,</w:t>
      </w:r>
      <w:r w:rsidR="003C357A" w:rsidRPr="006D72A4">
        <w:rPr>
          <w:b/>
          <w:lang w:val="fr-FR"/>
        </w:rPr>
        <w:t xml:space="preserve"> </w:t>
      </w:r>
      <w:r w:rsidR="004F6099" w:rsidRPr="006D72A4">
        <w:rPr>
          <w:b/>
          <w:lang w:val="fr-FR"/>
        </w:rPr>
        <w:t xml:space="preserve">y compris </w:t>
      </w:r>
      <w:r w:rsidR="0053388B">
        <w:rPr>
          <w:b/>
          <w:lang w:val="fr-FR"/>
        </w:rPr>
        <w:t>de</w:t>
      </w:r>
      <w:r w:rsidR="0053388B" w:rsidRPr="006D72A4">
        <w:rPr>
          <w:b/>
          <w:lang w:val="fr-FR"/>
        </w:rPr>
        <w:t xml:space="preserve"> </w:t>
      </w:r>
      <w:r w:rsidR="00427A95" w:rsidRPr="006D72A4">
        <w:rPr>
          <w:b/>
          <w:lang w:val="fr-FR"/>
        </w:rPr>
        <w:t>ceux qui sont privés de liberté ou visés par une décision d’expulsion</w:t>
      </w:r>
      <w:r w:rsidR="00465D9B" w:rsidRPr="006D72A4">
        <w:rPr>
          <w:b/>
          <w:lang w:val="fr-FR"/>
        </w:rPr>
        <w:t>.</w:t>
      </w:r>
    </w:p>
    <w:p w14:paraId="501D8AE3" w14:textId="77777777" w:rsidR="00F940A4" w:rsidRPr="006D72A4" w:rsidRDefault="007B310A" w:rsidP="006D72A4">
      <w:pPr>
        <w:pStyle w:val="H23G"/>
      </w:pPr>
      <w:r w:rsidRPr="006D72A4">
        <w:tab/>
      </w:r>
      <w:r w:rsidRPr="006D72A4">
        <w:tab/>
      </w:r>
      <w:r w:rsidR="009C741E" w:rsidRPr="006D72A4">
        <w:t>Enregistrement des naissances et n</w:t>
      </w:r>
      <w:r w:rsidR="00F940A4" w:rsidRPr="006D72A4">
        <w:t>ationalité</w:t>
      </w:r>
    </w:p>
    <w:p w14:paraId="1865F4B1" w14:textId="56F580A6" w:rsidR="00F940A4" w:rsidRPr="006D72A4" w:rsidRDefault="00F940A4" w:rsidP="006D72A4">
      <w:pPr>
        <w:pStyle w:val="SingleTxtG"/>
      </w:pPr>
      <w:r w:rsidRPr="006D72A4">
        <w:tab/>
      </w:r>
      <w:r w:rsidR="00F70B8F" w:rsidRPr="006D72A4">
        <w:t>39</w:t>
      </w:r>
      <w:r w:rsidRPr="006D72A4">
        <w:t>.</w:t>
      </w:r>
      <w:r w:rsidRPr="006D72A4">
        <w:tab/>
        <w:t>Le Comité</w:t>
      </w:r>
      <w:r w:rsidR="00647C90" w:rsidRPr="006D72A4">
        <w:t xml:space="preserve"> prend note </w:t>
      </w:r>
      <w:r w:rsidR="0025612B" w:rsidRPr="006D72A4">
        <w:t xml:space="preserve">des </w:t>
      </w:r>
      <w:r w:rsidR="00105789" w:rsidRPr="006D72A4">
        <w:t>mesures législatives prises</w:t>
      </w:r>
      <w:r w:rsidR="00675D25" w:rsidRPr="006D72A4">
        <w:t xml:space="preserve"> par l’</w:t>
      </w:r>
      <w:r w:rsidR="00CD41BB">
        <w:t>État</w:t>
      </w:r>
      <w:r w:rsidR="00675D25" w:rsidRPr="006D72A4">
        <w:t xml:space="preserve"> partie pour réduire l’apatridie</w:t>
      </w:r>
      <w:r w:rsidR="00647C90" w:rsidRPr="006D72A4">
        <w:t>. Il</w:t>
      </w:r>
      <w:r w:rsidRPr="006D72A4">
        <w:t xml:space="preserve"> s’inquiète </w:t>
      </w:r>
      <w:r w:rsidR="00647C90" w:rsidRPr="006D72A4">
        <w:t xml:space="preserve">toutefois </w:t>
      </w:r>
      <w:r w:rsidRPr="006D72A4">
        <w:t>du nombre élevé de personnes</w:t>
      </w:r>
      <w:r w:rsidR="005E1D13" w:rsidRPr="006D72A4">
        <w:t xml:space="preserve"> apatrides</w:t>
      </w:r>
      <w:r w:rsidRPr="006D72A4">
        <w:t xml:space="preserve"> dans l’</w:t>
      </w:r>
      <w:r w:rsidR="00CD41BB">
        <w:t>État</w:t>
      </w:r>
      <w:r w:rsidRPr="006D72A4">
        <w:t xml:space="preserve"> partie,</w:t>
      </w:r>
      <w:r w:rsidR="0032134E" w:rsidRPr="006D72A4">
        <w:t xml:space="preserve"> </w:t>
      </w:r>
      <w:r w:rsidR="0025612B" w:rsidRPr="006D72A4">
        <w:t>et</w:t>
      </w:r>
      <w:r w:rsidR="00C06D97">
        <w:t> </w:t>
      </w:r>
      <w:r w:rsidRPr="006D72A4">
        <w:t>:</w:t>
      </w:r>
    </w:p>
    <w:p w14:paraId="1A68F60E" w14:textId="574E11B9" w:rsidR="00977E8B" w:rsidRPr="006D72A4" w:rsidRDefault="006D72A4" w:rsidP="006D72A4">
      <w:pPr>
        <w:pStyle w:val="SingleTxtG"/>
      </w:pPr>
      <w:r>
        <w:tab/>
      </w:r>
      <w:r w:rsidR="00511283">
        <w:tab/>
      </w:r>
      <w:r w:rsidR="00F940A4" w:rsidRPr="006D72A4">
        <w:t>a)</w:t>
      </w:r>
      <w:r w:rsidR="00F940A4" w:rsidRPr="006D72A4">
        <w:tab/>
      </w:r>
      <w:r w:rsidR="0025612B" w:rsidRPr="006D72A4">
        <w:t>Du</w:t>
      </w:r>
      <w:r w:rsidR="00105789" w:rsidRPr="006D72A4">
        <w:t xml:space="preserve"> </w:t>
      </w:r>
      <w:r w:rsidR="00977E8B" w:rsidRPr="006D72A4">
        <w:t>manque d’information</w:t>
      </w:r>
      <w:r w:rsidR="0025612B" w:rsidRPr="006D72A4">
        <w:t>s</w:t>
      </w:r>
      <w:r w:rsidR="00977E8B" w:rsidRPr="006D72A4">
        <w:t xml:space="preserve"> sur les conditions dans lesquelles les enfants des travailleurs migrants</w:t>
      </w:r>
      <w:r w:rsidR="00FC6BA9" w:rsidRPr="006D72A4">
        <w:t xml:space="preserve"> </w:t>
      </w:r>
      <w:r w:rsidR="00113526" w:rsidRPr="006D72A4">
        <w:t>mal</w:t>
      </w:r>
      <w:r w:rsidR="00113526">
        <w:t>gaches</w:t>
      </w:r>
      <w:r w:rsidR="00113526" w:rsidRPr="006D72A4">
        <w:t xml:space="preserve"> </w:t>
      </w:r>
      <w:r w:rsidR="00FC6BA9" w:rsidRPr="006D72A4">
        <w:t>à l’étranger et de</w:t>
      </w:r>
      <w:r w:rsidR="00E42A5C">
        <w:t>s</w:t>
      </w:r>
      <w:r w:rsidR="00FC6BA9" w:rsidRPr="006D72A4">
        <w:t xml:space="preserve"> travailleurs migrants </w:t>
      </w:r>
      <w:r w:rsidR="00113526">
        <w:t>à</w:t>
      </w:r>
      <w:r w:rsidR="00113526" w:rsidRPr="006D72A4">
        <w:t xml:space="preserve"> </w:t>
      </w:r>
      <w:r w:rsidR="00FC6BA9" w:rsidRPr="006D72A4">
        <w:t>Madagascar</w:t>
      </w:r>
      <w:r w:rsidR="00977E8B" w:rsidRPr="006D72A4">
        <w:t xml:space="preserve"> peuvent être enregistrés à la naissance</w:t>
      </w:r>
      <w:r w:rsidR="00117961">
        <w:t xml:space="preserve"> ou </w:t>
      </w:r>
      <w:r w:rsidR="00E42A5C">
        <w:t xml:space="preserve">plus </w:t>
      </w:r>
      <w:r w:rsidR="00117961">
        <w:t>tard</w:t>
      </w:r>
      <w:r w:rsidR="00977E8B" w:rsidRPr="006D72A4">
        <w:t xml:space="preserve"> et avoir leur nationalité d’origine reconnue ;</w:t>
      </w:r>
      <w:r w:rsidR="00FC6BA9" w:rsidRPr="006D72A4">
        <w:t xml:space="preserve"> </w:t>
      </w:r>
    </w:p>
    <w:p w14:paraId="47B44310" w14:textId="690AB88D" w:rsidR="00977E8B" w:rsidRPr="006D72A4" w:rsidRDefault="00F0210B" w:rsidP="00F0210B">
      <w:pPr>
        <w:pStyle w:val="SingleTxtG"/>
      </w:pPr>
      <w:r>
        <w:tab/>
      </w:r>
      <w:r>
        <w:tab/>
      </w:r>
      <w:r w:rsidR="00977E8B" w:rsidRPr="006D72A4">
        <w:t>b)</w:t>
      </w:r>
      <w:r w:rsidR="00977E8B" w:rsidRPr="006D72A4">
        <w:tab/>
      </w:r>
      <w:r w:rsidR="0048649C" w:rsidRPr="006D72A4">
        <w:t xml:space="preserve">Des conditions difficilement </w:t>
      </w:r>
      <w:r w:rsidR="00977E8B" w:rsidRPr="006D72A4">
        <w:t>accessibles pour la naturalisation dans l’</w:t>
      </w:r>
      <w:r w:rsidR="00CD41BB">
        <w:t>État</w:t>
      </w:r>
      <w:r w:rsidR="00977E8B" w:rsidRPr="006D72A4">
        <w:t xml:space="preserve"> partie ;</w:t>
      </w:r>
    </w:p>
    <w:p w14:paraId="697D9DB1" w14:textId="5981078E" w:rsidR="00F940A4" w:rsidRPr="006D72A4" w:rsidRDefault="00F0210B" w:rsidP="00F0210B">
      <w:pPr>
        <w:pStyle w:val="SingleTxtG"/>
      </w:pPr>
      <w:r>
        <w:tab/>
      </w:r>
      <w:r>
        <w:tab/>
      </w:r>
      <w:r w:rsidR="00977E8B" w:rsidRPr="006D72A4">
        <w:t>c)</w:t>
      </w:r>
      <w:r w:rsidR="00977E8B" w:rsidRPr="006D72A4">
        <w:tab/>
        <w:t>Des délais dans la c</w:t>
      </w:r>
      <w:r w:rsidR="003650A0" w:rsidRPr="006D72A4">
        <w:t xml:space="preserve">réation du </w:t>
      </w:r>
      <w:r w:rsidR="00E42A5C">
        <w:t>c</w:t>
      </w:r>
      <w:r w:rsidR="003650A0" w:rsidRPr="006D72A4">
        <w:t xml:space="preserve">omité </w:t>
      </w:r>
      <w:r w:rsidR="00E42A5C">
        <w:t>chargé de</w:t>
      </w:r>
      <w:r w:rsidR="003650A0" w:rsidRPr="006D72A4">
        <w:t xml:space="preserve"> statuer sur les cas d’apatridie</w:t>
      </w:r>
      <w:r w:rsidR="00977E8B" w:rsidRPr="006D72A4">
        <w:t xml:space="preserve">, conformément à l’arrêté </w:t>
      </w:r>
      <w:r w:rsidR="006A7EAE" w:rsidRPr="006D72A4">
        <w:t>n</w:t>
      </w:r>
      <w:r w:rsidR="006A7EAE" w:rsidRPr="001A0A15">
        <w:rPr>
          <w:vertAlign w:val="superscript"/>
        </w:rPr>
        <w:t>o</w:t>
      </w:r>
      <w:r w:rsidR="006A7EAE">
        <w:t> </w:t>
      </w:r>
      <w:r w:rsidR="00977E8B" w:rsidRPr="006D72A4">
        <w:t>1236 du 1</w:t>
      </w:r>
      <w:r w:rsidR="00977E8B" w:rsidRPr="001A0A15">
        <w:rPr>
          <w:vertAlign w:val="superscript"/>
        </w:rPr>
        <w:t>er</w:t>
      </w:r>
      <w:r w:rsidR="00977E8B" w:rsidRPr="006D72A4">
        <w:t xml:space="preserve"> juillet 1961</w:t>
      </w:r>
      <w:r w:rsidR="00F940A4" w:rsidRPr="006D72A4">
        <w:t>.</w:t>
      </w:r>
    </w:p>
    <w:p w14:paraId="13178A30" w14:textId="460BCB98" w:rsidR="00675D25" w:rsidRPr="006D72A4" w:rsidRDefault="009E1ED1" w:rsidP="006D72A4">
      <w:pPr>
        <w:pStyle w:val="SingleTxtG"/>
        <w:rPr>
          <w:b/>
        </w:rPr>
      </w:pPr>
      <w:r w:rsidRPr="006D72A4">
        <w:t>4</w:t>
      </w:r>
      <w:r w:rsidR="00F70B8F" w:rsidRPr="006D72A4">
        <w:t>0</w:t>
      </w:r>
      <w:r w:rsidR="003650A0" w:rsidRPr="006D72A4">
        <w:t>.</w:t>
      </w:r>
      <w:r w:rsidR="003650A0" w:rsidRPr="006D72A4">
        <w:tab/>
      </w:r>
      <w:r w:rsidR="003650A0" w:rsidRPr="006D72A4">
        <w:rPr>
          <w:b/>
        </w:rPr>
        <w:t>Le Comité recommande à l’</w:t>
      </w:r>
      <w:r w:rsidR="00CD41BB">
        <w:rPr>
          <w:b/>
        </w:rPr>
        <w:t>État</w:t>
      </w:r>
      <w:r w:rsidR="003650A0" w:rsidRPr="006D72A4">
        <w:rPr>
          <w:b/>
        </w:rPr>
        <w:t xml:space="preserve"> partie</w:t>
      </w:r>
      <w:r w:rsidR="00C06D97">
        <w:rPr>
          <w:b/>
        </w:rPr>
        <w:t> </w:t>
      </w:r>
      <w:r w:rsidR="003650A0" w:rsidRPr="006D72A4">
        <w:rPr>
          <w:b/>
        </w:rPr>
        <w:t>:</w:t>
      </w:r>
    </w:p>
    <w:p w14:paraId="091D02B9" w14:textId="1CBF8155" w:rsidR="003650A0" w:rsidRPr="001A0A15" w:rsidRDefault="003650A0" w:rsidP="006D72A4">
      <w:pPr>
        <w:pStyle w:val="SingleTxtG"/>
        <w:rPr>
          <w:b/>
          <w:bCs/>
        </w:rPr>
      </w:pPr>
      <w:r w:rsidRPr="006D72A4">
        <w:rPr>
          <w:b/>
        </w:rPr>
        <w:tab/>
      </w:r>
      <w:r w:rsidRPr="006D72A4">
        <w:rPr>
          <w:b/>
        </w:rPr>
        <w:tab/>
      </w:r>
      <w:r w:rsidRPr="001A0A15">
        <w:rPr>
          <w:b/>
          <w:bCs/>
        </w:rPr>
        <w:t>a)</w:t>
      </w:r>
      <w:r w:rsidR="00FD5649" w:rsidRPr="001A0A15">
        <w:rPr>
          <w:b/>
          <w:bCs/>
        </w:rPr>
        <w:tab/>
        <w:t xml:space="preserve">De garantir que tous les enfants de travailleurs migrants </w:t>
      </w:r>
      <w:r w:rsidR="00113526" w:rsidRPr="001A0A15">
        <w:rPr>
          <w:b/>
          <w:bCs/>
        </w:rPr>
        <w:t xml:space="preserve">malgaches </w:t>
      </w:r>
      <w:r w:rsidR="00FC6BA9" w:rsidRPr="001A0A15">
        <w:rPr>
          <w:b/>
          <w:bCs/>
        </w:rPr>
        <w:t xml:space="preserve">à l’étranger et de travailleurs migrants </w:t>
      </w:r>
      <w:r w:rsidR="00113526" w:rsidRPr="001A0A15">
        <w:rPr>
          <w:b/>
          <w:bCs/>
        </w:rPr>
        <w:t xml:space="preserve">à </w:t>
      </w:r>
      <w:r w:rsidR="00FC6BA9" w:rsidRPr="001A0A15">
        <w:rPr>
          <w:b/>
          <w:bCs/>
        </w:rPr>
        <w:t xml:space="preserve">Madagascar </w:t>
      </w:r>
      <w:r w:rsidR="00FD5649" w:rsidRPr="001A0A15">
        <w:rPr>
          <w:b/>
          <w:bCs/>
        </w:rPr>
        <w:t>so</w:t>
      </w:r>
      <w:r w:rsidR="0024081B" w:rsidRPr="001A0A15">
        <w:rPr>
          <w:b/>
          <w:bCs/>
        </w:rPr>
        <w:t>ie</w:t>
      </w:r>
      <w:r w:rsidR="00FD5649" w:rsidRPr="001A0A15">
        <w:rPr>
          <w:b/>
          <w:bCs/>
        </w:rPr>
        <w:t>nt enregistrés à la naissance</w:t>
      </w:r>
      <w:r w:rsidR="00117961" w:rsidRPr="001A0A15">
        <w:rPr>
          <w:b/>
          <w:bCs/>
        </w:rPr>
        <w:t>, de faciliter les enregistrements tardifs,</w:t>
      </w:r>
      <w:r w:rsidR="00FD5649" w:rsidRPr="001A0A15">
        <w:rPr>
          <w:b/>
          <w:bCs/>
        </w:rPr>
        <w:t xml:space="preserve"> et</w:t>
      </w:r>
      <w:r w:rsidR="00117961" w:rsidRPr="001A0A15">
        <w:rPr>
          <w:b/>
          <w:bCs/>
        </w:rPr>
        <w:t xml:space="preserve"> de garantir qu’ils</w:t>
      </w:r>
      <w:r w:rsidR="00FD5649" w:rsidRPr="001A0A15">
        <w:rPr>
          <w:b/>
          <w:bCs/>
        </w:rPr>
        <w:t xml:space="preserve"> reçoivent des documents d’identification, en conformité avec </w:t>
      </w:r>
      <w:r w:rsidR="00C65540" w:rsidRPr="001A0A15">
        <w:rPr>
          <w:b/>
          <w:bCs/>
        </w:rPr>
        <w:t xml:space="preserve">l’objectif </w:t>
      </w:r>
      <w:r w:rsidR="00FD5649" w:rsidRPr="001A0A15">
        <w:rPr>
          <w:b/>
          <w:bCs/>
        </w:rPr>
        <w:t xml:space="preserve">de </w:t>
      </w:r>
      <w:r w:rsidR="00C06D97" w:rsidRPr="001A0A15">
        <w:rPr>
          <w:b/>
          <w:bCs/>
        </w:rPr>
        <w:t xml:space="preserve">développement durable </w:t>
      </w:r>
      <w:r w:rsidR="00FD5649" w:rsidRPr="001A0A15">
        <w:rPr>
          <w:b/>
          <w:bCs/>
        </w:rPr>
        <w:lastRenderedPageBreak/>
        <w:t>(but 16.9)</w:t>
      </w:r>
      <w:r w:rsidR="002157F6" w:rsidRPr="001A0A15">
        <w:rPr>
          <w:b/>
          <w:bCs/>
        </w:rPr>
        <w:t xml:space="preserve"> et les engagements pris dans le cadre de l’Examen </w:t>
      </w:r>
      <w:r w:rsidR="006D4B17" w:rsidRPr="001A0A15">
        <w:rPr>
          <w:b/>
          <w:bCs/>
        </w:rPr>
        <w:t xml:space="preserve">périodique universel </w:t>
      </w:r>
      <w:r w:rsidR="002157F6" w:rsidRPr="001A0A15">
        <w:rPr>
          <w:b/>
          <w:bCs/>
        </w:rPr>
        <w:t>(</w:t>
      </w:r>
      <w:r w:rsidR="00321468" w:rsidRPr="001A0A15">
        <w:rPr>
          <w:b/>
          <w:bCs/>
        </w:rPr>
        <w:t xml:space="preserve">A/HRC/28/13, par. </w:t>
      </w:r>
      <w:r w:rsidR="00197B73" w:rsidRPr="001A0A15">
        <w:rPr>
          <w:b/>
          <w:bCs/>
        </w:rPr>
        <w:t>108.62)</w:t>
      </w:r>
      <w:r w:rsidR="00FD5649" w:rsidRPr="001A0A15">
        <w:rPr>
          <w:b/>
          <w:bCs/>
        </w:rPr>
        <w:t>, d</w:t>
      </w:r>
      <w:r w:rsidR="005E1D13" w:rsidRPr="001A0A15">
        <w:rPr>
          <w:b/>
          <w:bCs/>
        </w:rPr>
        <w:t xml:space="preserve">e collaborer avec les </w:t>
      </w:r>
      <w:r w:rsidR="00CD41BB" w:rsidRPr="001A0A15">
        <w:rPr>
          <w:b/>
          <w:bCs/>
        </w:rPr>
        <w:t>État</w:t>
      </w:r>
      <w:r w:rsidR="005E1D13" w:rsidRPr="001A0A15">
        <w:rPr>
          <w:b/>
          <w:bCs/>
        </w:rPr>
        <w:t xml:space="preserve">s d’origine des </w:t>
      </w:r>
      <w:r w:rsidR="00FD5649" w:rsidRPr="001A0A15">
        <w:rPr>
          <w:b/>
          <w:bCs/>
        </w:rPr>
        <w:t>travailleurs migrants</w:t>
      </w:r>
      <w:r w:rsidR="005E1D13" w:rsidRPr="001A0A15">
        <w:rPr>
          <w:b/>
          <w:bCs/>
        </w:rPr>
        <w:t xml:space="preserve"> </w:t>
      </w:r>
      <w:r w:rsidR="00FD5649" w:rsidRPr="001A0A15">
        <w:rPr>
          <w:b/>
          <w:bCs/>
        </w:rPr>
        <w:t>dans l’</w:t>
      </w:r>
      <w:r w:rsidR="00CD41BB" w:rsidRPr="001A0A15">
        <w:rPr>
          <w:b/>
          <w:bCs/>
        </w:rPr>
        <w:t>État</w:t>
      </w:r>
      <w:r w:rsidR="00FD5649" w:rsidRPr="001A0A15">
        <w:rPr>
          <w:b/>
          <w:bCs/>
        </w:rPr>
        <w:t xml:space="preserve"> partie, y compris ceux qui se trouvent en situation irrégulière</w:t>
      </w:r>
      <w:r w:rsidR="009E4597" w:rsidRPr="001A0A15">
        <w:rPr>
          <w:b/>
          <w:bCs/>
        </w:rPr>
        <w:t>,</w:t>
      </w:r>
      <w:r w:rsidR="00FD5649" w:rsidRPr="001A0A15">
        <w:rPr>
          <w:b/>
          <w:bCs/>
        </w:rPr>
        <w:t xml:space="preserve"> les apatrides</w:t>
      </w:r>
      <w:r w:rsidR="009E4597" w:rsidRPr="001A0A15">
        <w:rPr>
          <w:b/>
          <w:bCs/>
        </w:rPr>
        <w:t xml:space="preserve"> et ceux </w:t>
      </w:r>
      <w:r w:rsidR="00654506" w:rsidRPr="001A0A15">
        <w:rPr>
          <w:b/>
          <w:bCs/>
        </w:rPr>
        <w:t xml:space="preserve">qui n’ont pas de </w:t>
      </w:r>
      <w:r w:rsidR="009E4597" w:rsidRPr="001A0A15">
        <w:rPr>
          <w:b/>
          <w:bCs/>
        </w:rPr>
        <w:t>documents d’identité</w:t>
      </w:r>
      <w:r w:rsidR="00FD5649" w:rsidRPr="001A0A15">
        <w:rPr>
          <w:b/>
          <w:bCs/>
        </w:rPr>
        <w:t>, pour la reconnaissance de leur nationalité</w:t>
      </w:r>
      <w:r w:rsidR="001A0AAB" w:rsidRPr="001A0A15">
        <w:rPr>
          <w:b/>
          <w:bCs/>
        </w:rPr>
        <w:t>,</w:t>
      </w:r>
      <w:r w:rsidR="00FD5649" w:rsidRPr="001A0A15">
        <w:rPr>
          <w:b/>
          <w:bCs/>
        </w:rPr>
        <w:t xml:space="preserve"> et de sensibiliser les travailleurs migrants et </w:t>
      </w:r>
      <w:r w:rsidR="00D26F94" w:rsidRPr="001A0A15">
        <w:rPr>
          <w:b/>
          <w:bCs/>
        </w:rPr>
        <w:t xml:space="preserve">les membres de leur famille </w:t>
      </w:r>
      <w:r w:rsidR="00654506" w:rsidRPr="001A0A15">
        <w:rPr>
          <w:b/>
          <w:bCs/>
        </w:rPr>
        <w:t xml:space="preserve">à </w:t>
      </w:r>
      <w:r w:rsidR="00FD5649" w:rsidRPr="001A0A15">
        <w:rPr>
          <w:b/>
          <w:bCs/>
        </w:rPr>
        <w:t>l’importance de l’enregistrement des enfants à la naissance ;</w:t>
      </w:r>
      <w:r w:rsidR="00FC6BA9" w:rsidRPr="001A0A15">
        <w:rPr>
          <w:b/>
          <w:bCs/>
        </w:rPr>
        <w:t xml:space="preserve"> </w:t>
      </w:r>
    </w:p>
    <w:p w14:paraId="38FE17EC" w14:textId="79D14B2E" w:rsidR="003650A0" w:rsidRPr="001A0A15" w:rsidRDefault="003650A0" w:rsidP="006D72A4">
      <w:pPr>
        <w:pStyle w:val="SingleTxtG"/>
        <w:rPr>
          <w:b/>
          <w:bCs/>
        </w:rPr>
      </w:pPr>
      <w:r w:rsidRPr="001A0A15">
        <w:rPr>
          <w:b/>
          <w:bCs/>
        </w:rPr>
        <w:tab/>
      </w:r>
      <w:r w:rsidRPr="001A0A15">
        <w:rPr>
          <w:b/>
          <w:bCs/>
        </w:rPr>
        <w:tab/>
        <w:t>b)</w:t>
      </w:r>
      <w:r w:rsidRPr="001A0A15">
        <w:rPr>
          <w:b/>
          <w:bCs/>
        </w:rPr>
        <w:tab/>
      </w:r>
      <w:r w:rsidR="00D65A9D" w:rsidRPr="001A0A15">
        <w:rPr>
          <w:b/>
          <w:bCs/>
        </w:rPr>
        <w:t>De s</w:t>
      </w:r>
      <w:r w:rsidR="00246F70" w:rsidRPr="001A0A15">
        <w:rPr>
          <w:b/>
          <w:bCs/>
        </w:rPr>
        <w:t xml:space="preserve">implifier </w:t>
      </w:r>
      <w:r w:rsidR="00CE484D" w:rsidRPr="001A0A15">
        <w:rPr>
          <w:b/>
          <w:bCs/>
        </w:rPr>
        <w:t>les procédures de naturalisation</w:t>
      </w:r>
      <w:r w:rsidR="000502E5" w:rsidRPr="001A0A15">
        <w:rPr>
          <w:b/>
          <w:bCs/>
        </w:rPr>
        <w:t xml:space="preserve"> pour les enfants nés </w:t>
      </w:r>
      <w:r w:rsidR="00113526" w:rsidRPr="001A0A15">
        <w:rPr>
          <w:b/>
          <w:bCs/>
        </w:rPr>
        <w:t xml:space="preserve">à </w:t>
      </w:r>
      <w:r w:rsidR="000502E5" w:rsidRPr="001A0A15">
        <w:rPr>
          <w:b/>
          <w:bCs/>
        </w:rPr>
        <w:t xml:space="preserve">Madagascar </w:t>
      </w:r>
      <w:r w:rsidR="00F7424B" w:rsidRPr="001A0A15">
        <w:rPr>
          <w:b/>
          <w:bCs/>
        </w:rPr>
        <w:t>de parents</w:t>
      </w:r>
      <w:r w:rsidR="000502E5" w:rsidRPr="001A0A15">
        <w:rPr>
          <w:b/>
          <w:bCs/>
        </w:rPr>
        <w:t xml:space="preserve"> étrangers</w:t>
      </w:r>
      <w:r w:rsidR="000410B8" w:rsidRPr="001A0A15">
        <w:rPr>
          <w:b/>
          <w:bCs/>
        </w:rPr>
        <w:t xml:space="preserve">, apatrides ou </w:t>
      </w:r>
      <w:r w:rsidR="00A11CF3" w:rsidRPr="001A0A15">
        <w:rPr>
          <w:b/>
          <w:bCs/>
        </w:rPr>
        <w:t>qui n’ont pas le droit</w:t>
      </w:r>
      <w:r w:rsidR="000410B8" w:rsidRPr="001A0A15">
        <w:rPr>
          <w:b/>
          <w:bCs/>
        </w:rPr>
        <w:t xml:space="preserve"> de transmettre leur nationalité à leurs enfants à l’étranger</w:t>
      </w:r>
      <w:r w:rsidR="00C56251" w:rsidRPr="001A0A15">
        <w:rPr>
          <w:b/>
          <w:bCs/>
        </w:rPr>
        <w:t> ;</w:t>
      </w:r>
    </w:p>
    <w:p w14:paraId="06E892BA" w14:textId="45C69785" w:rsidR="003650A0" w:rsidRPr="001A0A15" w:rsidRDefault="003650A0" w:rsidP="006D72A4">
      <w:pPr>
        <w:pStyle w:val="SingleTxtG"/>
        <w:rPr>
          <w:b/>
          <w:bCs/>
        </w:rPr>
      </w:pPr>
      <w:r w:rsidRPr="001A0A15">
        <w:rPr>
          <w:b/>
          <w:bCs/>
        </w:rPr>
        <w:tab/>
      </w:r>
      <w:r w:rsidRPr="001A0A15">
        <w:rPr>
          <w:b/>
          <w:bCs/>
        </w:rPr>
        <w:tab/>
        <w:t>c)</w:t>
      </w:r>
      <w:r w:rsidRPr="001A0A15">
        <w:rPr>
          <w:b/>
          <w:bCs/>
        </w:rPr>
        <w:tab/>
        <w:t>D’allouer les ressources humaines, techniques et financières nécessaires à la mise en œuvre</w:t>
      </w:r>
      <w:r w:rsidR="00113526" w:rsidRPr="001A0A15">
        <w:rPr>
          <w:b/>
          <w:bCs/>
        </w:rPr>
        <w:t xml:space="preserve"> </w:t>
      </w:r>
      <w:r w:rsidRPr="001A0A15">
        <w:rPr>
          <w:b/>
          <w:bCs/>
        </w:rPr>
        <w:t xml:space="preserve">de la loi </w:t>
      </w:r>
      <w:r w:rsidR="00113526" w:rsidRPr="001A0A15">
        <w:rPr>
          <w:b/>
          <w:bCs/>
        </w:rPr>
        <w:t>n</w:t>
      </w:r>
      <w:r w:rsidR="00113526" w:rsidRPr="001A0A15">
        <w:rPr>
          <w:b/>
          <w:bCs/>
          <w:vertAlign w:val="superscript"/>
        </w:rPr>
        <w:t>o</w:t>
      </w:r>
      <w:r w:rsidR="00113526" w:rsidRPr="001A0A15">
        <w:rPr>
          <w:b/>
          <w:bCs/>
        </w:rPr>
        <w:t> </w:t>
      </w:r>
      <w:r w:rsidRPr="001A0A15">
        <w:rPr>
          <w:b/>
          <w:bCs/>
        </w:rPr>
        <w:t xml:space="preserve">61-025 et </w:t>
      </w:r>
      <w:r w:rsidR="001847D2" w:rsidRPr="001A0A15">
        <w:rPr>
          <w:b/>
          <w:bCs/>
        </w:rPr>
        <w:t xml:space="preserve">à </w:t>
      </w:r>
      <w:r w:rsidRPr="001A0A15">
        <w:rPr>
          <w:b/>
          <w:bCs/>
        </w:rPr>
        <w:t xml:space="preserve">la création du </w:t>
      </w:r>
      <w:r w:rsidR="00654506" w:rsidRPr="001A0A15">
        <w:rPr>
          <w:b/>
          <w:bCs/>
        </w:rPr>
        <w:t>comité chargé de</w:t>
      </w:r>
      <w:r w:rsidRPr="001A0A15">
        <w:rPr>
          <w:b/>
          <w:bCs/>
        </w:rPr>
        <w:t xml:space="preserve"> statuer sur les cas d’apatridie ;</w:t>
      </w:r>
    </w:p>
    <w:p w14:paraId="2351A2D1" w14:textId="65D067A5" w:rsidR="003650A0" w:rsidRPr="006D72A4" w:rsidRDefault="003650A0" w:rsidP="006D72A4">
      <w:pPr>
        <w:pStyle w:val="SingleTxtG"/>
      </w:pPr>
      <w:r w:rsidRPr="001A0A15">
        <w:rPr>
          <w:b/>
          <w:bCs/>
        </w:rPr>
        <w:tab/>
      </w:r>
      <w:r w:rsidRPr="001A0A15">
        <w:rPr>
          <w:b/>
          <w:bCs/>
        </w:rPr>
        <w:tab/>
        <w:t>d)</w:t>
      </w:r>
      <w:r w:rsidRPr="001A0A15">
        <w:rPr>
          <w:b/>
          <w:bCs/>
        </w:rPr>
        <w:tab/>
      </w:r>
      <w:r w:rsidR="001252F5" w:rsidRPr="001A0A15">
        <w:rPr>
          <w:b/>
          <w:bCs/>
        </w:rPr>
        <w:t>D</w:t>
      </w:r>
      <w:r w:rsidR="001F6B25" w:rsidRPr="001A0A15">
        <w:rPr>
          <w:b/>
          <w:bCs/>
        </w:rPr>
        <w:t>’</w:t>
      </w:r>
      <w:r w:rsidR="001252F5" w:rsidRPr="001A0A15">
        <w:rPr>
          <w:b/>
          <w:bCs/>
        </w:rPr>
        <w:t>adhér</w:t>
      </w:r>
      <w:r w:rsidR="001252F5" w:rsidRPr="006D72A4">
        <w:rPr>
          <w:b/>
        </w:rPr>
        <w:t xml:space="preserve">er </w:t>
      </w:r>
      <w:r w:rsidR="005D2278" w:rsidRPr="006D72A4">
        <w:rPr>
          <w:b/>
        </w:rPr>
        <w:t xml:space="preserve">à la </w:t>
      </w:r>
      <w:r w:rsidR="00E6725E" w:rsidRPr="006D72A4">
        <w:rPr>
          <w:b/>
        </w:rPr>
        <w:t>Convention sur la réduction des cas d’apatridie</w:t>
      </w:r>
      <w:r w:rsidR="001252F5" w:rsidRPr="006D72A4">
        <w:t>.</w:t>
      </w:r>
    </w:p>
    <w:p w14:paraId="0DDFFD14" w14:textId="25C3BFAA" w:rsidR="00F940A4" w:rsidRPr="006D72A4" w:rsidRDefault="00F940A4" w:rsidP="006D72A4">
      <w:pPr>
        <w:pStyle w:val="H23G"/>
      </w:pPr>
      <w:r w:rsidRPr="006D72A4">
        <w:tab/>
      </w:r>
      <w:r w:rsidRPr="006D72A4">
        <w:tab/>
      </w:r>
      <w:r w:rsidRPr="006D72A4">
        <w:tab/>
      </w:r>
      <w:r w:rsidR="00BB44FD" w:rsidRPr="006D72A4">
        <w:t>Formation professionnelle</w:t>
      </w:r>
    </w:p>
    <w:p w14:paraId="64FC90E0" w14:textId="396F3EBD" w:rsidR="00D65A9D" w:rsidRPr="006D72A4" w:rsidRDefault="009E1ED1" w:rsidP="006D72A4">
      <w:pPr>
        <w:pStyle w:val="SingleTxtG"/>
      </w:pPr>
      <w:r w:rsidRPr="006D72A4">
        <w:t>4</w:t>
      </w:r>
      <w:r w:rsidR="00F70B8F" w:rsidRPr="006D72A4">
        <w:t>1</w:t>
      </w:r>
      <w:r w:rsidR="00D65A9D" w:rsidRPr="006D72A4">
        <w:t>.</w:t>
      </w:r>
      <w:r w:rsidR="00D65A9D" w:rsidRPr="006D72A4">
        <w:tab/>
      </w:r>
      <w:r w:rsidR="008C77E6" w:rsidRPr="006D72A4">
        <w:t>Le Comité prend note de l’</w:t>
      </w:r>
      <w:r w:rsidR="00344D05">
        <w:t>adoption, en 2015, d’</w:t>
      </w:r>
      <w:r w:rsidR="008C77E6" w:rsidRPr="006D72A4">
        <w:t xml:space="preserve">une </w:t>
      </w:r>
      <w:r w:rsidR="00113526">
        <w:t>p</w:t>
      </w:r>
      <w:r w:rsidR="00113526" w:rsidRPr="006D72A4">
        <w:t xml:space="preserve">olitique </w:t>
      </w:r>
      <w:r w:rsidR="00113526">
        <w:t>n</w:t>
      </w:r>
      <w:r w:rsidR="00113526" w:rsidRPr="006D72A4">
        <w:t xml:space="preserve">ationale </w:t>
      </w:r>
      <w:r w:rsidR="008C77E6" w:rsidRPr="006D72A4">
        <w:t xml:space="preserve">de </w:t>
      </w:r>
      <w:r w:rsidR="00113526" w:rsidRPr="006D72A4">
        <w:t>l’</w:t>
      </w:r>
      <w:r w:rsidR="00113526">
        <w:t>e</w:t>
      </w:r>
      <w:r w:rsidR="00113526" w:rsidRPr="006D72A4">
        <w:t xml:space="preserve">mploi </w:t>
      </w:r>
      <w:r w:rsidR="008C77E6" w:rsidRPr="006D72A4">
        <w:t xml:space="preserve">et de la </w:t>
      </w:r>
      <w:r w:rsidR="00113526">
        <w:t>f</w:t>
      </w:r>
      <w:r w:rsidR="00113526" w:rsidRPr="006D72A4">
        <w:t xml:space="preserve">ormation </w:t>
      </w:r>
      <w:r w:rsidR="00113526">
        <w:t>p</w:t>
      </w:r>
      <w:r w:rsidR="00113526" w:rsidRPr="006D72A4">
        <w:t>rofessionnelle</w:t>
      </w:r>
      <w:r w:rsidR="008C77E6" w:rsidRPr="006D72A4">
        <w:t xml:space="preserve">. </w:t>
      </w:r>
    </w:p>
    <w:p w14:paraId="120620E9" w14:textId="24BB078D" w:rsidR="00102B34" w:rsidRPr="006D72A4" w:rsidRDefault="009E1ED1" w:rsidP="006D72A4">
      <w:pPr>
        <w:pStyle w:val="SingleTxtG"/>
      </w:pPr>
      <w:r w:rsidRPr="006D72A4">
        <w:t>4</w:t>
      </w:r>
      <w:r w:rsidR="00F70B8F" w:rsidRPr="006D72A4">
        <w:t>2</w:t>
      </w:r>
      <w:r w:rsidR="00D65A9D" w:rsidRPr="006D72A4">
        <w:t>.</w:t>
      </w:r>
      <w:r w:rsidR="00D65A9D" w:rsidRPr="006D72A4">
        <w:tab/>
      </w:r>
      <w:r w:rsidR="00D65A9D" w:rsidRPr="006D72A4">
        <w:rPr>
          <w:b/>
        </w:rPr>
        <w:t>Le Comité recommande</w:t>
      </w:r>
      <w:r w:rsidR="00102B34" w:rsidRPr="006D72A4">
        <w:rPr>
          <w:b/>
        </w:rPr>
        <w:t xml:space="preserve"> à l’</w:t>
      </w:r>
      <w:r w:rsidR="00CD41BB">
        <w:rPr>
          <w:b/>
        </w:rPr>
        <w:t>État</w:t>
      </w:r>
      <w:r w:rsidR="00102B34" w:rsidRPr="006D72A4">
        <w:rPr>
          <w:b/>
        </w:rPr>
        <w:t xml:space="preserve"> partie </w:t>
      </w:r>
      <w:r w:rsidR="00153031" w:rsidRPr="006D72A4">
        <w:rPr>
          <w:b/>
        </w:rPr>
        <w:t xml:space="preserve">d’allouer les ressources humaines, techniques et financières nécessaires pour </w:t>
      </w:r>
      <w:r w:rsidR="00A8175C">
        <w:rPr>
          <w:b/>
        </w:rPr>
        <w:t>mettre</w:t>
      </w:r>
      <w:r w:rsidR="00153031" w:rsidRPr="006D72A4">
        <w:rPr>
          <w:b/>
        </w:rPr>
        <w:t xml:space="preserve"> en </w:t>
      </w:r>
      <w:r w:rsidR="007B310A" w:rsidRPr="006D72A4">
        <w:rPr>
          <w:b/>
        </w:rPr>
        <w:t>œuvre</w:t>
      </w:r>
      <w:r w:rsidR="00102B34" w:rsidRPr="006D72A4">
        <w:rPr>
          <w:b/>
        </w:rPr>
        <w:t xml:space="preserve"> </w:t>
      </w:r>
      <w:r w:rsidR="00A8175C">
        <w:rPr>
          <w:b/>
        </w:rPr>
        <w:t xml:space="preserve">la </w:t>
      </w:r>
      <w:r w:rsidR="00205406">
        <w:rPr>
          <w:b/>
        </w:rPr>
        <w:t>p</w:t>
      </w:r>
      <w:r w:rsidR="00A8175C" w:rsidRPr="006D72A4">
        <w:rPr>
          <w:b/>
        </w:rPr>
        <w:t xml:space="preserve">olitique </w:t>
      </w:r>
      <w:r w:rsidR="00205406">
        <w:rPr>
          <w:b/>
        </w:rPr>
        <w:t>n</w:t>
      </w:r>
      <w:r w:rsidR="00A8175C" w:rsidRPr="006D72A4">
        <w:rPr>
          <w:b/>
        </w:rPr>
        <w:t>ationale de l’</w:t>
      </w:r>
      <w:r w:rsidR="00205406">
        <w:rPr>
          <w:b/>
        </w:rPr>
        <w:t>e</w:t>
      </w:r>
      <w:r w:rsidR="00A8175C" w:rsidRPr="006D72A4">
        <w:rPr>
          <w:b/>
        </w:rPr>
        <w:t xml:space="preserve">mploi et de la </w:t>
      </w:r>
      <w:r w:rsidR="00205406">
        <w:rPr>
          <w:b/>
        </w:rPr>
        <w:t>f</w:t>
      </w:r>
      <w:r w:rsidR="00A8175C" w:rsidRPr="006D72A4">
        <w:rPr>
          <w:b/>
        </w:rPr>
        <w:t xml:space="preserve">ormation </w:t>
      </w:r>
      <w:r w:rsidR="00205406">
        <w:rPr>
          <w:b/>
        </w:rPr>
        <w:t>p</w:t>
      </w:r>
      <w:r w:rsidR="00A8175C" w:rsidRPr="006D72A4">
        <w:rPr>
          <w:b/>
        </w:rPr>
        <w:t xml:space="preserve">rofessionnelle </w:t>
      </w:r>
      <w:r w:rsidR="00102B34" w:rsidRPr="006D72A4">
        <w:rPr>
          <w:b/>
        </w:rPr>
        <w:t xml:space="preserve">et de garantir </w:t>
      </w:r>
      <w:r w:rsidR="008D26F0" w:rsidRPr="006D72A4">
        <w:rPr>
          <w:b/>
        </w:rPr>
        <w:t xml:space="preserve">que les travailleurs migrants aient </w:t>
      </w:r>
      <w:r w:rsidR="00205406">
        <w:rPr>
          <w:b/>
        </w:rPr>
        <w:t>le même</w:t>
      </w:r>
      <w:r w:rsidR="00205406" w:rsidRPr="006D72A4">
        <w:rPr>
          <w:b/>
        </w:rPr>
        <w:t xml:space="preserve"> </w:t>
      </w:r>
      <w:r w:rsidR="008D26F0" w:rsidRPr="006D72A4">
        <w:rPr>
          <w:b/>
        </w:rPr>
        <w:t xml:space="preserve">accès </w:t>
      </w:r>
      <w:r w:rsidR="00205406">
        <w:rPr>
          <w:b/>
        </w:rPr>
        <w:t>que les</w:t>
      </w:r>
      <w:r w:rsidR="008D26F0" w:rsidRPr="006D72A4">
        <w:rPr>
          <w:b/>
        </w:rPr>
        <w:t xml:space="preserve"> nationaux aux programmes correspondants, conformément à l’art</w:t>
      </w:r>
      <w:r w:rsidR="00C06D97">
        <w:rPr>
          <w:b/>
        </w:rPr>
        <w:t>icle</w:t>
      </w:r>
      <w:r w:rsidR="008D26F0" w:rsidRPr="006D72A4">
        <w:rPr>
          <w:b/>
        </w:rPr>
        <w:t xml:space="preserve"> 43 (</w:t>
      </w:r>
      <w:r w:rsidR="00205406">
        <w:rPr>
          <w:b/>
        </w:rPr>
        <w:t xml:space="preserve">alinéas </w:t>
      </w:r>
      <w:r w:rsidR="008D26F0" w:rsidRPr="006D72A4">
        <w:rPr>
          <w:b/>
        </w:rPr>
        <w:t>b</w:t>
      </w:r>
      <w:r w:rsidR="00205406">
        <w:rPr>
          <w:b/>
        </w:rPr>
        <w:t xml:space="preserve">) et </w:t>
      </w:r>
      <w:r w:rsidR="008D26F0" w:rsidRPr="006D72A4">
        <w:rPr>
          <w:b/>
        </w:rPr>
        <w:t>c</w:t>
      </w:r>
      <w:r w:rsidR="00205406">
        <w:rPr>
          <w:b/>
        </w:rPr>
        <w:t>)</w:t>
      </w:r>
      <w:r w:rsidR="008D26F0" w:rsidRPr="006D72A4">
        <w:rPr>
          <w:b/>
        </w:rPr>
        <w:t>) de la Convention</w:t>
      </w:r>
      <w:r w:rsidR="00CF42AD" w:rsidRPr="006D72A4">
        <w:rPr>
          <w:b/>
        </w:rPr>
        <w:t>.</w:t>
      </w:r>
    </w:p>
    <w:p w14:paraId="1ADEEA50" w14:textId="77777777" w:rsidR="00F940A4" w:rsidRPr="006D72A4" w:rsidRDefault="0033110B" w:rsidP="006D72A4">
      <w:pPr>
        <w:pStyle w:val="H23G"/>
      </w:pPr>
      <w:r w:rsidRPr="006D72A4">
        <w:tab/>
      </w:r>
      <w:r w:rsidR="004622C2" w:rsidRPr="006D72A4">
        <w:tab/>
      </w:r>
      <w:r w:rsidR="00F81D02" w:rsidRPr="006D72A4">
        <w:t>Droit de transférer ses gains et ses économies</w:t>
      </w:r>
    </w:p>
    <w:p w14:paraId="74CFC677" w14:textId="26C80E11" w:rsidR="004622C2" w:rsidRPr="006D72A4" w:rsidRDefault="004622C2" w:rsidP="006D72A4">
      <w:pPr>
        <w:pStyle w:val="SingleTxtG"/>
      </w:pPr>
      <w:r w:rsidRPr="006D72A4">
        <w:tab/>
      </w:r>
      <w:r w:rsidR="009E1ED1" w:rsidRPr="006D72A4">
        <w:t>4</w:t>
      </w:r>
      <w:r w:rsidR="00F70B8F" w:rsidRPr="006D72A4">
        <w:t>3</w:t>
      </w:r>
      <w:r w:rsidRPr="006D72A4">
        <w:t>.</w:t>
      </w:r>
      <w:r w:rsidRPr="006D72A4">
        <w:tab/>
      </w:r>
      <w:r w:rsidR="00F458D3" w:rsidRPr="006D72A4">
        <w:t xml:space="preserve">Le Comité </w:t>
      </w:r>
      <w:r w:rsidR="00394731" w:rsidRPr="006D72A4">
        <w:t>prend note des renseignements donnés par la délégation pendant le dialogue sur</w:t>
      </w:r>
      <w:r w:rsidR="00417045" w:rsidRPr="006D72A4">
        <w:t xml:space="preserve"> </w:t>
      </w:r>
      <w:r w:rsidR="00394731" w:rsidRPr="006D72A4">
        <w:t>les flux de fonds des travailleurs migrants mal</w:t>
      </w:r>
      <w:r w:rsidR="00113526">
        <w:t>gaches</w:t>
      </w:r>
      <w:r w:rsidR="00394731" w:rsidRPr="006D72A4">
        <w:t xml:space="preserve"> à l’étranger et </w:t>
      </w:r>
      <w:r w:rsidR="0053388B">
        <w:t>d</w:t>
      </w:r>
      <w:r w:rsidR="00394731" w:rsidRPr="006D72A4">
        <w:t xml:space="preserve">es travailleurs migrants se trouvant dans l’État partie. Il exprime toutefois </w:t>
      </w:r>
      <w:r w:rsidR="00417045" w:rsidRPr="006D72A4">
        <w:t>sa préoccupation</w:t>
      </w:r>
      <w:r w:rsidR="00C6613F" w:rsidRPr="006D72A4">
        <w:t xml:space="preserve"> </w:t>
      </w:r>
      <w:r w:rsidR="0024748E" w:rsidRPr="006D72A4">
        <w:t xml:space="preserve">par rapport </w:t>
      </w:r>
      <w:r w:rsidR="00C6613F" w:rsidRPr="006D72A4">
        <w:t xml:space="preserve">à </w:t>
      </w:r>
      <w:r w:rsidR="00417045" w:rsidRPr="006D72A4">
        <w:t>l’absence d’informations sur des partenariats avec des institutions financières permettant de faciliter le transfert des revenus</w:t>
      </w:r>
      <w:r w:rsidR="009E737F" w:rsidRPr="006D72A4">
        <w:t xml:space="preserve"> </w:t>
      </w:r>
      <w:r w:rsidR="00CF42AD" w:rsidRPr="006D72A4">
        <w:t xml:space="preserve">et </w:t>
      </w:r>
      <w:r w:rsidR="009E737F" w:rsidRPr="006D72A4">
        <w:t>sur les frais qu</w:t>
      </w:r>
      <w:r w:rsidR="00394731" w:rsidRPr="006D72A4">
        <w:t>e les travailleurs migrants</w:t>
      </w:r>
      <w:r w:rsidR="009E737F" w:rsidRPr="006D72A4">
        <w:t xml:space="preserve"> doivent supporter lorsqu’ils veulent rapatrier leurs gains et leurs économies dans leur pays d’origine.</w:t>
      </w:r>
    </w:p>
    <w:p w14:paraId="61FDC767" w14:textId="1633442A" w:rsidR="00C36248" w:rsidRPr="006D72A4" w:rsidRDefault="00F70B8F" w:rsidP="006D72A4">
      <w:pPr>
        <w:pStyle w:val="SingleTxtG"/>
        <w:rPr>
          <w:b/>
        </w:rPr>
      </w:pPr>
      <w:r w:rsidRPr="006D72A4">
        <w:t>44</w:t>
      </w:r>
      <w:r w:rsidR="008D2284" w:rsidRPr="006D72A4">
        <w:t>.</w:t>
      </w:r>
      <w:r w:rsidR="008D2284" w:rsidRPr="006D72A4">
        <w:tab/>
      </w:r>
      <w:r w:rsidR="008D2284" w:rsidRPr="006D72A4">
        <w:rPr>
          <w:b/>
        </w:rPr>
        <w:t>Le Comité recommande à l’</w:t>
      </w:r>
      <w:r w:rsidR="00CD41BB">
        <w:rPr>
          <w:b/>
        </w:rPr>
        <w:t>État</w:t>
      </w:r>
      <w:r w:rsidR="008D2284" w:rsidRPr="006D72A4">
        <w:rPr>
          <w:b/>
        </w:rPr>
        <w:t xml:space="preserve"> partie </w:t>
      </w:r>
      <w:r w:rsidR="00C36248" w:rsidRPr="006D72A4">
        <w:rPr>
          <w:b/>
        </w:rPr>
        <w:t xml:space="preserve">de </w:t>
      </w:r>
      <w:r w:rsidR="00205406">
        <w:rPr>
          <w:b/>
        </w:rPr>
        <w:t>fournir</w:t>
      </w:r>
      <w:r w:rsidR="00205406" w:rsidRPr="006D72A4">
        <w:rPr>
          <w:b/>
        </w:rPr>
        <w:t xml:space="preserve"> </w:t>
      </w:r>
      <w:r w:rsidR="00C36248" w:rsidRPr="006D72A4">
        <w:rPr>
          <w:b/>
        </w:rPr>
        <w:t>des renseignements dans son prochain rapport périodique sur</w:t>
      </w:r>
      <w:r w:rsidR="00C06D97">
        <w:rPr>
          <w:b/>
        </w:rPr>
        <w:t> </w:t>
      </w:r>
      <w:r w:rsidR="00C36248" w:rsidRPr="006D72A4">
        <w:rPr>
          <w:b/>
        </w:rPr>
        <w:t>:</w:t>
      </w:r>
    </w:p>
    <w:p w14:paraId="5FD7A424" w14:textId="47CAAC11" w:rsidR="00C36248" w:rsidRPr="001A0A15" w:rsidRDefault="00370E93" w:rsidP="00370E93">
      <w:pPr>
        <w:pStyle w:val="SingleTxtG"/>
        <w:rPr>
          <w:b/>
          <w:bCs/>
        </w:rPr>
      </w:pPr>
      <w:r>
        <w:tab/>
      </w:r>
      <w:r>
        <w:tab/>
      </w:r>
      <w:r w:rsidR="00C36248" w:rsidRPr="001A0A15">
        <w:rPr>
          <w:b/>
          <w:bCs/>
        </w:rPr>
        <w:t>a)</w:t>
      </w:r>
      <w:r w:rsidR="00C36248" w:rsidRPr="001A0A15">
        <w:rPr>
          <w:b/>
          <w:bCs/>
        </w:rPr>
        <w:tab/>
      </w:r>
      <w:r w:rsidR="001A0AAB" w:rsidRPr="001A0A15">
        <w:rPr>
          <w:b/>
          <w:bCs/>
        </w:rPr>
        <w:t>L</w:t>
      </w:r>
      <w:r w:rsidR="00C36248" w:rsidRPr="001A0A15">
        <w:rPr>
          <w:b/>
          <w:bCs/>
        </w:rPr>
        <w:t>e coût du transfert de</w:t>
      </w:r>
      <w:r w:rsidR="001A0AAB" w:rsidRPr="001A0A15">
        <w:rPr>
          <w:b/>
          <w:bCs/>
        </w:rPr>
        <w:t xml:space="preserve">s </w:t>
      </w:r>
      <w:r w:rsidR="00C36248" w:rsidRPr="001A0A15">
        <w:rPr>
          <w:b/>
          <w:bCs/>
        </w:rPr>
        <w:t>gains et économies</w:t>
      </w:r>
      <w:r w:rsidR="001A0AAB" w:rsidRPr="001A0A15">
        <w:rPr>
          <w:b/>
          <w:bCs/>
        </w:rPr>
        <w:t xml:space="preserve"> des travailleurs migrants</w:t>
      </w:r>
      <w:r w:rsidR="00E26CF1" w:rsidRPr="001A0A15">
        <w:rPr>
          <w:b/>
          <w:bCs/>
        </w:rPr>
        <w:t xml:space="preserve"> dans leur pays d’origine</w:t>
      </w:r>
      <w:r w:rsidR="00F071BA" w:rsidRPr="001A0A15">
        <w:rPr>
          <w:b/>
          <w:bCs/>
        </w:rPr>
        <w:t> </w:t>
      </w:r>
      <w:r w:rsidR="00C36248" w:rsidRPr="001A0A15">
        <w:rPr>
          <w:b/>
          <w:bCs/>
        </w:rPr>
        <w:t>;</w:t>
      </w:r>
    </w:p>
    <w:p w14:paraId="6EC0DE3B" w14:textId="1431B73B" w:rsidR="00C36248" w:rsidRPr="001A0A15" w:rsidRDefault="00370E93" w:rsidP="00370E93">
      <w:pPr>
        <w:pStyle w:val="SingleTxtG"/>
        <w:rPr>
          <w:b/>
          <w:bCs/>
        </w:rPr>
      </w:pPr>
      <w:r w:rsidRPr="001A0A15">
        <w:rPr>
          <w:b/>
          <w:bCs/>
        </w:rPr>
        <w:tab/>
      </w:r>
      <w:r w:rsidRPr="001A0A15">
        <w:rPr>
          <w:b/>
          <w:bCs/>
        </w:rPr>
        <w:tab/>
      </w:r>
      <w:r w:rsidR="00C36248" w:rsidRPr="001A0A15">
        <w:rPr>
          <w:b/>
          <w:bCs/>
        </w:rPr>
        <w:t>b)</w:t>
      </w:r>
      <w:r w:rsidR="00C36248" w:rsidRPr="001A0A15">
        <w:rPr>
          <w:b/>
          <w:bCs/>
        </w:rPr>
        <w:tab/>
        <w:t xml:space="preserve">Les mesures prises pour faciliter </w:t>
      </w:r>
      <w:r w:rsidR="006D72A4" w:rsidRPr="001A0A15">
        <w:rPr>
          <w:b/>
          <w:bCs/>
        </w:rPr>
        <w:t>ces transferts</w:t>
      </w:r>
      <w:r w:rsidR="00C36248" w:rsidRPr="001A0A15">
        <w:rPr>
          <w:b/>
          <w:bCs/>
        </w:rPr>
        <w:t xml:space="preserve"> </w:t>
      </w:r>
      <w:r w:rsidR="00113526" w:rsidRPr="001A0A15">
        <w:rPr>
          <w:b/>
          <w:bCs/>
        </w:rPr>
        <w:t xml:space="preserve">à </w:t>
      </w:r>
      <w:r w:rsidR="00C36248" w:rsidRPr="001A0A15">
        <w:rPr>
          <w:b/>
          <w:bCs/>
        </w:rPr>
        <w:t>Madagascar, conformément à la cible 10</w:t>
      </w:r>
      <w:r w:rsidR="002121CF" w:rsidRPr="001A0A15">
        <w:rPr>
          <w:b/>
          <w:bCs/>
        </w:rPr>
        <w:t> </w:t>
      </w:r>
      <w:r w:rsidR="00C36248" w:rsidRPr="001A0A15">
        <w:rPr>
          <w:b/>
          <w:bCs/>
        </w:rPr>
        <w:t>c</w:t>
      </w:r>
      <w:r w:rsidR="00022F10" w:rsidRPr="001A0A15">
        <w:rPr>
          <w:b/>
          <w:bCs/>
        </w:rPr>
        <w:t>)</w:t>
      </w:r>
      <w:r w:rsidR="00C36248" w:rsidRPr="001A0A15">
        <w:rPr>
          <w:b/>
          <w:bCs/>
        </w:rPr>
        <w:t xml:space="preserve"> des objectifs de développement durable</w:t>
      </w:r>
      <w:r w:rsidR="00F071BA" w:rsidRPr="001A0A15">
        <w:rPr>
          <w:b/>
          <w:bCs/>
        </w:rPr>
        <w:t> </w:t>
      </w:r>
      <w:r w:rsidR="00C36248" w:rsidRPr="001A0A15">
        <w:rPr>
          <w:b/>
          <w:bCs/>
        </w:rPr>
        <w:t>;</w:t>
      </w:r>
    </w:p>
    <w:p w14:paraId="781A5F83" w14:textId="5A88EFC8" w:rsidR="00C36248" w:rsidRPr="006D72A4" w:rsidRDefault="00C36248" w:rsidP="006D72A4">
      <w:pPr>
        <w:pStyle w:val="SingleTxtG"/>
        <w:rPr>
          <w:b/>
        </w:rPr>
      </w:pPr>
      <w:r w:rsidRPr="001A0A15">
        <w:rPr>
          <w:b/>
          <w:bCs/>
        </w:rPr>
        <w:tab/>
      </w:r>
      <w:r w:rsidRPr="001A0A15">
        <w:rPr>
          <w:b/>
          <w:bCs/>
        </w:rPr>
        <w:tab/>
        <w:t>c)</w:t>
      </w:r>
      <w:r w:rsidRPr="001A0A15">
        <w:rPr>
          <w:b/>
          <w:bCs/>
        </w:rPr>
        <w:tab/>
      </w:r>
      <w:r w:rsidRPr="006D72A4">
        <w:rPr>
          <w:b/>
        </w:rPr>
        <w:t xml:space="preserve">La réglementation bancaire et les contrôles auxquels sont soumises les institutions financières, destinés à empêcher que les travailleurs migrants rentrant au pays </w:t>
      </w:r>
      <w:r w:rsidR="00A64ABA" w:rsidRPr="006D72A4">
        <w:rPr>
          <w:b/>
        </w:rPr>
        <w:t xml:space="preserve">aient </w:t>
      </w:r>
      <w:r w:rsidRPr="006D72A4">
        <w:rPr>
          <w:b/>
        </w:rPr>
        <w:t>à payer des taux et commissions excessifs.</w:t>
      </w:r>
    </w:p>
    <w:p w14:paraId="26CF1BF4" w14:textId="2C45BCAC" w:rsidR="00105DE1" w:rsidRDefault="00721E00" w:rsidP="006D72A4">
      <w:pPr>
        <w:pStyle w:val="H23G"/>
        <w:rPr>
          <w:lang w:val="fr-FR"/>
        </w:rPr>
      </w:pPr>
      <w:r w:rsidRPr="004F3D71">
        <w:rPr>
          <w:lang w:val="fr-FR"/>
        </w:rPr>
        <w:tab/>
      </w:r>
      <w:r w:rsidR="00105DE1">
        <w:rPr>
          <w:lang w:val="fr-FR"/>
        </w:rPr>
        <w:t>4.</w:t>
      </w:r>
      <w:r w:rsidR="00105DE1">
        <w:rPr>
          <w:lang w:val="fr-FR"/>
        </w:rPr>
        <w:tab/>
      </w:r>
      <w:r w:rsidR="00105DE1" w:rsidRPr="00105DE1">
        <w:rPr>
          <w:lang w:val="fr-FR"/>
        </w:rPr>
        <w:t xml:space="preserve">Autres droits des travailleurs migrants et des membres de leur famille </w:t>
      </w:r>
      <w:r w:rsidR="00DF1566">
        <w:rPr>
          <w:lang w:val="fr-FR"/>
        </w:rPr>
        <w:t xml:space="preserve">pourvus </w:t>
      </w:r>
      <w:r w:rsidR="00105DE1" w:rsidRPr="00105DE1">
        <w:rPr>
          <w:lang w:val="fr-FR"/>
        </w:rPr>
        <w:t>de</w:t>
      </w:r>
      <w:r w:rsidR="009A1F63">
        <w:rPr>
          <w:lang w:val="fr-FR"/>
        </w:rPr>
        <w:t> </w:t>
      </w:r>
      <w:r w:rsidR="00105DE1" w:rsidRPr="00105DE1">
        <w:rPr>
          <w:lang w:val="fr-FR"/>
        </w:rPr>
        <w:t>documents ou en situation régulière (art. 36 à 56)</w:t>
      </w:r>
    </w:p>
    <w:p w14:paraId="23481017" w14:textId="3766C1E8" w:rsidR="007711A9" w:rsidRPr="00127B3B" w:rsidRDefault="0060371B" w:rsidP="006D72A4">
      <w:pPr>
        <w:pStyle w:val="H23G"/>
        <w:rPr>
          <w:lang w:val="fr-FR"/>
        </w:rPr>
      </w:pPr>
      <w:r>
        <w:rPr>
          <w:lang w:val="fr-FR"/>
        </w:rPr>
        <w:tab/>
      </w:r>
      <w:r w:rsidR="006D72A4">
        <w:rPr>
          <w:lang w:val="fr-FR"/>
        </w:rPr>
        <w:tab/>
      </w:r>
      <w:r w:rsidR="006D72A4">
        <w:rPr>
          <w:lang w:val="fr-FR"/>
        </w:rPr>
        <w:tab/>
      </w:r>
      <w:r w:rsidR="007711A9" w:rsidRPr="00127B3B">
        <w:rPr>
          <w:lang w:val="fr-FR"/>
        </w:rPr>
        <w:t>Libre choix de la profession</w:t>
      </w:r>
    </w:p>
    <w:p w14:paraId="1E9E1959" w14:textId="3BBEC4C9" w:rsidR="007614F5" w:rsidRDefault="00F70B8F" w:rsidP="007614F5">
      <w:pPr>
        <w:pStyle w:val="SingleTxtG"/>
        <w:rPr>
          <w:lang w:val="fr-FR"/>
        </w:rPr>
      </w:pPr>
      <w:r>
        <w:rPr>
          <w:lang w:val="fr-FR"/>
        </w:rPr>
        <w:t>45</w:t>
      </w:r>
      <w:r w:rsidR="007614F5">
        <w:rPr>
          <w:lang w:val="fr-FR"/>
        </w:rPr>
        <w:t>.</w:t>
      </w:r>
      <w:r w:rsidR="007614F5">
        <w:rPr>
          <w:lang w:val="fr-FR"/>
        </w:rPr>
        <w:tab/>
        <w:t xml:space="preserve">Le Comité </w:t>
      </w:r>
      <w:r w:rsidR="00D76A47">
        <w:rPr>
          <w:lang w:val="fr-FR"/>
        </w:rPr>
        <w:t xml:space="preserve">regrette que </w:t>
      </w:r>
      <w:r w:rsidR="0033607B">
        <w:rPr>
          <w:lang w:val="fr-FR"/>
        </w:rPr>
        <w:t>la loi n</w:t>
      </w:r>
      <w:r w:rsidR="00C06D97" w:rsidRPr="001A0A15">
        <w:rPr>
          <w:vertAlign w:val="superscript"/>
          <w:lang w:val="fr-FR"/>
        </w:rPr>
        <w:t>o</w:t>
      </w:r>
      <w:r w:rsidR="00C06D97">
        <w:rPr>
          <w:lang w:val="fr-FR"/>
        </w:rPr>
        <w:t> </w:t>
      </w:r>
      <w:r w:rsidR="0033607B">
        <w:rPr>
          <w:lang w:val="fr-FR"/>
        </w:rPr>
        <w:t>062-006</w:t>
      </w:r>
      <w:r w:rsidR="00D76A47">
        <w:rPr>
          <w:lang w:val="fr-FR"/>
        </w:rPr>
        <w:t xml:space="preserve">, </w:t>
      </w:r>
      <w:r w:rsidR="00CB03F0">
        <w:rPr>
          <w:lang w:val="fr-FR"/>
        </w:rPr>
        <w:t xml:space="preserve">dans </w:t>
      </w:r>
      <w:r w:rsidR="00D76A47">
        <w:rPr>
          <w:lang w:val="fr-FR"/>
        </w:rPr>
        <w:t>son art</w:t>
      </w:r>
      <w:r w:rsidR="00C06D97">
        <w:rPr>
          <w:lang w:val="fr-FR"/>
        </w:rPr>
        <w:t>icle</w:t>
      </w:r>
      <w:r w:rsidR="00D76A47">
        <w:rPr>
          <w:lang w:val="fr-FR"/>
        </w:rPr>
        <w:t xml:space="preserve"> 8, permet</w:t>
      </w:r>
      <w:r w:rsidR="00EA6DBD">
        <w:rPr>
          <w:lang w:val="fr-FR"/>
        </w:rPr>
        <w:t>te</w:t>
      </w:r>
      <w:r w:rsidR="00D76A47">
        <w:rPr>
          <w:lang w:val="fr-FR"/>
        </w:rPr>
        <w:t xml:space="preserve"> de restreindre les professions que les travailleurs migrants peuvent exercer</w:t>
      </w:r>
      <w:r w:rsidR="00127B3B">
        <w:rPr>
          <w:lang w:val="fr-FR"/>
        </w:rPr>
        <w:t>,</w:t>
      </w:r>
      <w:r w:rsidR="0033607B">
        <w:rPr>
          <w:lang w:val="fr-FR"/>
        </w:rPr>
        <w:t xml:space="preserve"> et que l’art</w:t>
      </w:r>
      <w:r w:rsidR="00C06D97">
        <w:rPr>
          <w:lang w:val="fr-FR"/>
        </w:rPr>
        <w:t>icle</w:t>
      </w:r>
      <w:r w:rsidR="0033607B">
        <w:rPr>
          <w:lang w:val="fr-FR"/>
        </w:rPr>
        <w:t xml:space="preserve"> 9 d</w:t>
      </w:r>
      <w:r w:rsidR="00DF1566">
        <w:rPr>
          <w:lang w:val="fr-FR"/>
        </w:rPr>
        <w:t>e la</w:t>
      </w:r>
      <w:r w:rsidR="0033607B">
        <w:rPr>
          <w:lang w:val="fr-FR"/>
        </w:rPr>
        <w:t xml:space="preserve"> même </w:t>
      </w:r>
      <w:r w:rsidR="00DF1566">
        <w:rPr>
          <w:lang w:val="fr-FR"/>
        </w:rPr>
        <w:t xml:space="preserve">loi </w:t>
      </w:r>
      <w:r w:rsidR="0033607B">
        <w:rPr>
          <w:lang w:val="fr-FR"/>
        </w:rPr>
        <w:t>interdi</w:t>
      </w:r>
      <w:r w:rsidR="00DF1566">
        <w:rPr>
          <w:lang w:val="fr-FR"/>
        </w:rPr>
        <w:t>se</w:t>
      </w:r>
      <w:r w:rsidR="0033607B">
        <w:rPr>
          <w:lang w:val="fr-FR"/>
        </w:rPr>
        <w:t xml:space="preserve"> aux travailleurs migrants de dévier de la profession inscrite sur leur carte de séjour.</w:t>
      </w:r>
    </w:p>
    <w:p w14:paraId="323F40C0" w14:textId="55477CFB" w:rsidR="003D7519" w:rsidRDefault="00F70B8F" w:rsidP="007614F5">
      <w:pPr>
        <w:pStyle w:val="SingleTxtG"/>
        <w:rPr>
          <w:lang w:val="fr-FR"/>
        </w:rPr>
      </w:pPr>
      <w:r>
        <w:rPr>
          <w:lang w:val="fr-FR"/>
        </w:rPr>
        <w:t>46</w:t>
      </w:r>
      <w:r w:rsidR="003D7519">
        <w:rPr>
          <w:lang w:val="fr-FR"/>
        </w:rPr>
        <w:t>.</w:t>
      </w:r>
      <w:r w:rsidR="003D7519">
        <w:rPr>
          <w:lang w:val="fr-FR"/>
        </w:rPr>
        <w:tab/>
      </w:r>
      <w:r w:rsidR="00895BF2">
        <w:rPr>
          <w:b/>
          <w:lang w:val="fr-FR"/>
        </w:rPr>
        <w:t>Le Comité recommande à l’</w:t>
      </w:r>
      <w:r w:rsidR="00CD41BB">
        <w:rPr>
          <w:b/>
          <w:lang w:val="fr-FR"/>
        </w:rPr>
        <w:t>État</w:t>
      </w:r>
      <w:r w:rsidR="00895BF2">
        <w:rPr>
          <w:b/>
          <w:lang w:val="fr-FR"/>
        </w:rPr>
        <w:t xml:space="preserve"> partie </w:t>
      </w:r>
      <w:r w:rsidR="0024748E">
        <w:rPr>
          <w:b/>
          <w:lang w:val="fr-FR"/>
        </w:rPr>
        <w:t xml:space="preserve">de garantir aux travailleurs migrants </w:t>
      </w:r>
      <w:r w:rsidR="005F2326">
        <w:rPr>
          <w:b/>
          <w:lang w:val="fr-FR"/>
        </w:rPr>
        <w:t>sur son territoire</w:t>
      </w:r>
      <w:r w:rsidR="0024748E">
        <w:rPr>
          <w:b/>
          <w:lang w:val="fr-FR"/>
        </w:rPr>
        <w:t xml:space="preserve"> le droit de choisir librement leur activité rémunérée, et </w:t>
      </w:r>
      <w:r w:rsidR="00895BF2">
        <w:rPr>
          <w:b/>
          <w:lang w:val="fr-FR"/>
        </w:rPr>
        <w:t>d’</w:t>
      </w:r>
      <w:r w:rsidR="00895BF2" w:rsidRPr="007F1461">
        <w:rPr>
          <w:b/>
          <w:lang w:val="fr-FR"/>
        </w:rPr>
        <w:t>aligner les lois, règlements et pratiques gouvernant</w:t>
      </w:r>
      <w:r w:rsidR="00895BF2">
        <w:rPr>
          <w:b/>
          <w:lang w:val="fr-FR"/>
        </w:rPr>
        <w:t xml:space="preserve"> les permis de séjour et de résidence </w:t>
      </w:r>
      <w:r w:rsidR="00DF1566">
        <w:rPr>
          <w:b/>
          <w:lang w:val="fr-FR"/>
        </w:rPr>
        <w:t xml:space="preserve">sur les </w:t>
      </w:r>
      <w:r w:rsidR="00895BF2">
        <w:rPr>
          <w:b/>
          <w:lang w:val="fr-FR"/>
        </w:rPr>
        <w:t>dispositions de l’art</w:t>
      </w:r>
      <w:r w:rsidR="00C06D97">
        <w:rPr>
          <w:b/>
          <w:lang w:val="fr-FR"/>
        </w:rPr>
        <w:t>icle</w:t>
      </w:r>
      <w:r w:rsidR="00895BF2">
        <w:rPr>
          <w:b/>
          <w:lang w:val="fr-FR"/>
        </w:rPr>
        <w:t xml:space="preserve"> 52 de la Convention</w:t>
      </w:r>
      <w:r w:rsidR="00CF26D2">
        <w:rPr>
          <w:b/>
          <w:lang w:val="fr-FR"/>
        </w:rPr>
        <w:t>.</w:t>
      </w:r>
    </w:p>
    <w:p w14:paraId="3FA3E249" w14:textId="729F7764" w:rsidR="00721E00" w:rsidRPr="006D72A4" w:rsidRDefault="00105DE1" w:rsidP="006D72A4">
      <w:pPr>
        <w:pStyle w:val="H23G"/>
      </w:pPr>
      <w:r w:rsidRPr="006D72A4">
        <w:lastRenderedPageBreak/>
        <w:tab/>
      </w:r>
      <w:r w:rsidR="00721E00" w:rsidRPr="006D72A4">
        <w:t>5.</w:t>
      </w:r>
      <w:r w:rsidR="00721E00" w:rsidRPr="006D72A4">
        <w:tab/>
      </w:r>
      <w:r w:rsidR="00B3705E" w:rsidRPr="006D72A4">
        <w:tab/>
      </w:r>
      <w:r w:rsidR="00721E00" w:rsidRPr="006D72A4">
        <w:t>Promotion de conditions saines, équitables, dignes et légales en ce qui concerne les</w:t>
      </w:r>
      <w:r w:rsidR="009A1F63">
        <w:t> </w:t>
      </w:r>
      <w:r w:rsidR="00721E00" w:rsidRPr="006D72A4">
        <w:t xml:space="preserve">migrations internationales des travailleurs migrants et des membres </w:t>
      </w:r>
      <w:r w:rsidR="009A1F63">
        <w:br/>
      </w:r>
      <w:r w:rsidR="00721E00" w:rsidRPr="006D72A4">
        <w:t>de leur famille (art. 64 à 71)</w:t>
      </w:r>
    </w:p>
    <w:p w14:paraId="0D2CF0E0" w14:textId="77777777" w:rsidR="00CF26D2" w:rsidRPr="006D72A4" w:rsidRDefault="00721E00" w:rsidP="006D72A4">
      <w:pPr>
        <w:pStyle w:val="H23G"/>
      </w:pPr>
      <w:r w:rsidRPr="006D72A4">
        <w:tab/>
      </w:r>
      <w:r w:rsidRPr="006D72A4">
        <w:tab/>
      </w:r>
      <w:r w:rsidR="00CF26D2" w:rsidRPr="006D72A4">
        <w:t>Enfants en situation de migration internationale</w:t>
      </w:r>
    </w:p>
    <w:p w14:paraId="10217980" w14:textId="329295E8" w:rsidR="00C633B5" w:rsidRPr="006D72A4" w:rsidRDefault="00F70B8F" w:rsidP="006D72A4">
      <w:pPr>
        <w:pStyle w:val="SingleTxtG"/>
      </w:pPr>
      <w:r w:rsidRPr="006D72A4">
        <w:t>47</w:t>
      </w:r>
      <w:r w:rsidR="00C633B5" w:rsidRPr="006D72A4">
        <w:t>.</w:t>
      </w:r>
      <w:r w:rsidR="00C633B5" w:rsidRPr="006D72A4">
        <w:tab/>
      </w:r>
      <w:r w:rsidR="00C276B7" w:rsidRPr="006D72A4">
        <w:t xml:space="preserve">Le Comité </w:t>
      </w:r>
      <w:r w:rsidR="00EA68DC" w:rsidRPr="006D72A4">
        <w:t xml:space="preserve">regrette de manquer d’informations sur le nombre d’enfants </w:t>
      </w:r>
      <w:r w:rsidR="009A6796" w:rsidRPr="006D72A4">
        <w:t>restés au pays d’origine</w:t>
      </w:r>
      <w:r w:rsidR="00E459F5" w:rsidRPr="006D72A4">
        <w:t xml:space="preserve"> et d’enfants </w:t>
      </w:r>
      <w:r w:rsidR="00EA68DC" w:rsidRPr="006D72A4">
        <w:t>revenus dans l’État partie</w:t>
      </w:r>
      <w:r w:rsidR="00133569" w:rsidRPr="006D72A4">
        <w:t xml:space="preserve">, ainsi que </w:t>
      </w:r>
      <w:r w:rsidR="00EA68DC" w:rsidRPr="006D72A4">
        <w:t>sur les politiques mise</w:t>
      </w:r>
      <w:r w:rsidR="000A1B81" w:rsidRPr="006D72A4">
        <w:t>s</w:t>
      </w:r>
      <w:r w:rsidR="00EA68DC" w:rsidRPr="006D72A4">
        <w:t xml:space="preserve"> en œuvre par l’</w:t>
      </w:r>
      <w:r w:rsidR="00CD41BB">
        <w:t>État</w:t>
      </w:r>
      <w:r w:rsidR="00EA68DC" w:rsidRPr="006D72A4">
        <w:t xml:space="preserve"> partie pour faciliter leur réinsertion.</w:t>
      </w:r>
    </w:p>
    <w:p w14:paraId="6F3ED8D9" w14:textId="4E776DD0" w:rsidR="0071147B" w:rsidRPr="006D72A4" w:rsidRDefault="00F70B8F" w:rsidP="00117961">
      <w:pPr>
        <w:pStyle w:val="SingleTxtG"/>
        <w:rPr>
          <w:b/>
        </w:rPr>
      </w:pPr>
      <w:r w:rsidRPr="006D72A4">
        <w:t>48</w:t>
      </w:r>
      <w:r w:rsidR="00EA68DC" w:rsidRPr="006D72A4">
        <w:t>.</w:t>
      </w:r>
      <w:r w:rsidR="00EA68DC" w:rsidRPr="006D72A4">
        <w:tab/>
      </w:r>
      <w:r w:rsidR="0071147B" w:rsidRPr="006D72A4">
        <w:rPr>
          <w:b/>
        </w:rPr>
        <w:t>Le Comité recommande à l’État partie</w:t>
      </w:r>
      <w:r w:rsidR="006C1448" w:rsidRPr="006D72A4">
        <w:rPr>
          <w:b/>
        </w:rPr>
        <w:t>, conformément à</w:t>
      </w:r>
      <w:r w:rsidR="00127B3B" w:rsidRPr="006D72A4">
        <w:rPr>
          <w:b/>
        </w:rPr>
        <w:t xml:space="preserve"> l’observation générale conjointe n</w:t>
      </w:r>
      <w:r w:rsidR="00113526" w:rsidRPr="001A0A15">
        <w:rPr>
          <w:b/>
          <w:vertAlign w:val="superscript"/>
        </w:rPr>
        <w:t>o</w:t>
      </w:r>
      <w:r w:rsidR="00113526">
        <w:rPr>
          <w:b/>
        </w:rPr>
        <w:t> </w:t>
      </w:r>
      <w:r w:rsidR="00127B3B" w:rsidRPr="006D72A4">
        <w:rPr>
          <w:b/>
        </w:rPr>
        <w:t xml:space="preserve">3 (2017) du Comité pour la protection des droits de tous les travailleurs migrants et des membres de leur famille </w:t>
      </w:r>
      <w:r w:rsidR="00544464">
        <w:rPr>
          <w:b/>
        </w:rPr>
        <w:t>et n</w:t>
      </w:r>
      <w:r w:rsidR="00544464" w:rsidRPr="00FC4A71">
        <w:rPr>
          <w:b/>
          <w:vertAlign w:val="superscript"/>
        </w:rPr>
        <w:t>o</w:t>
      </w:r>
      <w:r w:rsidR="00544464">
        <w:rPr>
          <w:b/>
        </w:rPr>
        <w:t xml:space="preserve"> 22 (2017) du Comité des droits de l’enfant </w:t>
      </w:r>
      <w:r w:rsidR="00127B3B" w:rsidRPr="006D72A4">
        <w:rPr>
          <w:b/>
        </w:rPr>
        <w:t xml:space="preserve">sur les principes généraux relatifs aux droits de l’homme des enfants dans le contexte des migrations internationales, et </w:t>
      </w:r>
      <w:r w:rsidR="006C1D67" w:rsidRPr="006D72A4">
        <w:rPr>
          <w:b/>
        </w:rPr>
        <w:t xml:space="preserve">à l’observation générale conjointe </w:t>
      </w:r>
      <w:r w:rsidR="00127B3B" w:rsidRPr="006D72A4">
        <w:rPr>
          <w:b/>
        </w:rPr>
        <w:t>n</w:t>
      </w:r>
      <w:r w:rsidR="00113526" w:rsidRPr="001A0A15">
        <w:rPr>
          <w:b/>
          <w:vertAlign w:val="superscript"/>
        </w:rPr>
        <w:t>o</w:t>
      </w:r>
      <w:r w:rsidR="00113526">
        <w:rPr>
          <w:b/>
        </w:rPr>
        <w:t> </w:t>
      </w:r>
      <w:r w:rsidR="00127B3B" w:rsidRPr="006D72A4">
        <w:rPr>
          <w:b/>
        </w:rPr>
        <w:t xml:space="preserve">4 (2017) </w:t>
      </w:r>
      <w:r w:rsidR="00544464" w:rsidRPr="006D72A4">
        <w:rPr>
          <w:b/>
        </w:rPr>
        <w:t xml:space="preserve">du Comité pour la protection des droits de tous les travailleurs migrants et des membres de leur famille </w:t>
      </w:r>
      <w:r w:rsidR="00544464">
        <w:rPr>
          <w:b/>
        </w:rPr>
        <w:t>et n</w:t>
      </w:r>
      <w:r w:rsidR="00544464" w:rsidRPr="001A0A15">
        <w:rPr>
          <w:b/>
          <w:vertAlign w:val="superscript"/>
        </w:rPr>
        <w:t>o</w:t>
      </w:r>
      <w:r w:rsidR="00544464">
        <w:rPr>
          <w:b/>
        </w:rPr>
        <w:t xml:space="preserve"> 23 (2017) du Comité des droits de l’enfant </w:t>
      </w:r>
      <w:r w:rsidR="00127B3B" w:rsidRPr="006D72A4">
        <w:rPr>
          <w:b/>
        </w:rPr>
        <w:t>sur les obligations des États en matière de droits de l’homme des enfants dans le contexte des migrations internationales dans les pays d’origine, de transit, de destination et de retour</w:t>
      </w:r>
      <w:r w:rsidR="00C06D97">
        <w:rPr>
          <w:b/>
        </w:rPr>
        <w:t> </w:t>
      </w:r>
      <w:r w:rsidR="0071147B" w:rsidRPr="006D72A4">
        <w:rPr>
          <w:b/>
        </w:rPr>
        <w:t>:</w:t>
      </w:r>
    </w:p>
    <w:p w14:paraId="1E484082" w14:textId="6CBE4EBF" w:rsidR="0071147B" w:rsidRPr="001A0A15" w:rsidRDefault="00370E93" w:rsidP="00514616">
      <w:pPr>
        <w:pStyle w:val="SingleTxtG"/>
        <w:rPr>
          <w:b/>
          <w:bCs/>
        </w:rPr>
      </w:pPr>
      <w:r>
        <w:tab/>
      </w:r>
      <w:r>
        <w:tab/>
      </w:r>
      <w:r w:rsidR="0071147B" w:rsidRPr="001A0A15">
        <w:rPr>
          <w:b/>
          <w:bCs/>
        </w:rPr>
        <w:t>a)</w:t>
      </w:r>
      <w:r w:rsidR="0071147B" w:rsidRPr="001A0A15">
        <w:rPr>
          <w:b/>
          <w:bCs/>
        </w:rPr>
        <w:tab/>
      </w:r>
      <w:r w:rsidR="006C1448" w:rsidRPr="001A0A15">
        <w:rPr>
          <w:b/>
          <w:bCs/>
        </w:rPr>
        <w:t>D’adopter une stratégie globale visant à promouvoir et protéger les droits des enfants et de la famille des travailleurs mal</w:t>
      </w:r>
      <w:r w:rsidR="00113526" w:rsidRPr="001A0A15">
        <w:rPr>
          <w:b/>
          <w:bCs/>
        </w:rPr>
        <w:t>gaches</w:t>
      </w:r>
      <w:r w:rsidR="006C1448" w:rsidRPr="001A0A15">
        <w:rPr>
          <w:b/>
          <w:bCs/>
        </w:rPr>
        <w:t xml:space="preserve">, en particulier au moyen de programmes dans les domaines de l’éducation, de l’entrepreneuriat, de </w:t>
      </w:r>
      <w:r w:rsidR="000A345A" w:rsidRPr="001A0A15">
        <w:rPr>
          <w:b/>
          <w:bCs/>
        </w:rPr>
        <w:t xml:space="preserve">la </w:t>
      </w:r>
      <w:r w:rsidR="006C1448" w:rsidRPr="001A0A15">
        <w:rPr>
          <w:b/>
          <w:bCs/>
        </w:rPr>
        <w:t>formation et d</w:t>
      </w:r>
      <w:r w:rsidR="00532BC8" w:rsidRPr="001A0A15">
        <w:rPr>
          <w:b/>
          <w:bCs/>
        </w:rPr>
        <w:t>e l</w:t>
      </w:r>
      <w:r w:rsidR="006C1448" w:rsidRPr="001A0A15">
        <w:rPr>
          <w:b/>
          <w:bCs/>
        </w:rPr>
        <w:t>’action sociale, et de coopérer davantage à ces fins avec les acteurs de la société civile sur place et dans le pays d’origine</w:t>
      </w:r>
      <w:r w:rsidR="009A1F63" w:rsidRPr="001A0A15">
        <w:rPr>
          <w:b/>
          <w:bCs/>
        </w:rPr>
        <w:t> </w:t>
      </w:r>
      <w:r w:rsidR="006C1448" w:rsidRPr="001A0A15">
        <w:rPr>
          <w:b/>
          <w:bCs/>
        </w:rPr>
        <w:t>;</w:t>
      </w:r>
    </w:p>
    <w:p w14:paraId="1B5BD8EB" w14:textId="256302C7" w:rsidR="000E5D5B" w:rsidRPr="006D72A4" w:rsidRDefault="00370E93" w:rsidP="00370E93">
      <w:pPr>
        <w:pStyle w:val="SingleTxtG"/>
        <w:rPr>
          <w:b/>
        </w:rPr>
      </w:pPr>
      <w:r w:rsidRPr="001A0A15">
        <w:rPr>
          <w:b/>
          <w:bCs/>
        </w:rPr>
        <w:tab/>
      </w:r>
      <w:r w:rsidRPr="001A0A15">
        <w:rPr>
          <w:b/>
          <w:bCs/>
        </w:rPr>
        <w:tab/>
      </w:r>
      <w:r w:rsidR="00117961" w:rsidRPr="001A0A15">
        <w:rPr>
          <w:b/>
          <w:bCs/>
        </w:rPr>
        <w:t>b</w:t>
      </w:r>
      <w:r w:rsidR="0071147B" w:rsidRPr="001A0A15">
        <w:rPr>
          <w:b/>
          <w:bCs/>
        </w:rPr>
        <w:t>)</w:t>
      </w:r>
      <w:r w:rsidR="0071147B" w:rsidRPr="001A0A15">
        <w:rPr>
          <w:b/>
          <w:bCs/>
        </w:rPr>
        <w:tab/>
      </w:r>
      <w:r w:rsidR="0071147B" w:rsidRPr="006D72A4">
        <w:rPr>
          <w:b/>
        </w:rPr>
        <w:t xml:space="preserve">De donner des renseignements, dans son prochain rapport périodique, sur les mesures qui auront été prises </w:t>
      </w:r>
      <w:r w:rsidR="00544464">
        <w:rPr>
          <w:b/>
        </w:rPr>
        <w:t>po</w:t>
      </w:r>
      <w:r w:rsidR="0071147B" w:rsidRPr="006D72A4">
        <w:rPr>
          <w:b/>
        </w:rPr>
        <w:t xml:space="preserve">ur la réinstallation et la réinsertion des travailleurs migrants </w:t>
      </w:r>
      <w:r w:rsidR="000C57D5" w:rsidRPr="006D72A4">
        <w:rPr>
          <w:b/>
        </w:rPr>
        <w:t>mal</w:t>
      </w:r>
      <w:r w:rsidR="00113526">
        <w:rPr>
          <w:b/>
        </w:rPr>
        <w:t>gaches</w:t>
      </w:r>
      <w:r w:rsidR="0071147B" w:rsidRPr="006D72A4">
        <w:rPr>
          <w:b/>
        </w:rPr>
        <w:t xml:space="preserve"> à leur retour, y compris le regroupement avec leurs enfants qui sont restés au pays</w:t>
      </w:r>
      <w:r w:rsidR="000E5D5B" w:rsidRPr="006D72A4">
        <w:rPr>
          <w:b/>
        </w:rPr>
        <w:t>.</w:t>
      </w:r>
    </w:p>
    <w:p w14:paraId="5DA0DFD0" w14:textId="6402F9AA" w:rsidR="009E1ED1" w:rsidRPr="006D72A4" w:rsidRDefault="00CF26D2" w:rsidP="006D72A4">
      <w:pPr>
        <w:pStyle w:val="H23G"/>
      </w:pPr>
      <w:r w:rsidRPr="006D72A4">
        <w:tab/>
      </w:r>
      <w:r w:rsidR="009E1ED1" w:rsidRPr="006D72A4">
        <w:tab/>
      </w:r>
      <w:r w:rsidR="00ED2383" w:rsidRPr="006D72A4">
        <w:t>Coopération internationale avec des pays de transit et de destination</w:t>
      </w:r>
    </w:p>
    <w:p w14:paraId="44FB5135" w14:textId="306F60F0" w:rsidR="007C7DDB" w:rsidRPr="006D72A4" w:rsidRDefault="00F70B8F" w:rsidP="006D72A4">
      <w:pPr>
        <w:pStyle w:val="SingleTxtG"/>
      </w:pPr>
      <w:r w:rsidRPr="006D72A4">
        <w:t>49</w:t>
      </w:r>
      <w:r w:rsidR="00B659D5" w:rsidRPr="006D72A4">
        <w:t>.</w:t>
      </w:r>
      <w:r w:rsidR="00B659D5" w:rsidRPr="006D72A4">
        <w:tab/>
        <w:t xml:space="preserve">Le Comité </w:t>
      </w:r>
      <w:r w:rsidR="002E4E5B" w:rsidRPr="006D72A4">
        <w:t>accueille avec satisfaction les renseignements que la délégation a donnés pendant le dialogue</w:t>
      </w:r>
      <w:r w:rsidR="002E4E5B" w:rsidRPr="006D72A4" w:rsidDel="002E4E5B">
        <w:t xml:space="preserve"> </w:t>
      </w:r>
      <w:r w:rsidR="002E4E5B" w:rsidRPr="006D72A4">
        <w:t xml:space="preserve">sur les négociations d’accords bilatéraux </w:t>
      </w:r>
      <w:r w:rsidR="0053388B" w:rsidRPr="006D72A4">
        <w:t>en cours</w:t>
      </w:r>
      <w:r w:rsidR="0053388B">
        <w:t xml:space="preserve"> </w:t>
      </w:r>
      <w:r w:rsidR="002E4E5B" w:rsidRPr="006D72A4">
        <w:t xml:space="preserve">avec </w:t>
      </w:r>
      <w:r w:rsidR="00B37C8C">
        <w:t xml:space="preserve">l’Arabie </w:t>
      </w:r>
      <w:r w:rsidR="001F60DF">
        <w:t>s</w:t>
      </w:r>
      <w:r w:rsidR="00B37C8C">
        <w:t xml:space="preserve">aoudite, </w:t>
      </w:r>
      <w:r w:rsidR="002E4E5B" w:rsidRPr="006D72A4">
        <w:t>Maurice et le Liban. Il note également</w:t>
      </w:r>
      <w:r w:rsidR="00B659D5" w:rsidRPr="006D72A4">
        <w:t xml:space="preserve"> le renouvèlement de l’accord-cadre entre l’</w:t>
      </w:r>
      <w:r w:rsidR="00CD41BB">
        <w:t>État</w:t>
      </w:r>
      <w:r w:rsidR="00B659D5" w:rsidRPr="006D72A4">
        <w:t xml:space="preserve"> partie et les Comores en 2016</w:t>
      </w:r>
      <w:r w:rsidR="00810FFA" w:rsidRPr="006D72A4">
        <w:t xml:space="preserve">. </w:t>
      </w:r>
      <w:r w:rsidR="009515CF" w:rsidRPr="006D72A4">
        <w:t>Le Comité regrette toutefois</w:t>
      </w:r>
      <w:r w:rsidR="007C7DDB" w:rsidRPr="006D72A4">
        <w:t> :</w:t>
      </w:r>
    </w:p>
    <w:p w14:paraId="7DA4B438" w14:textId="05861A77" w:rsidR="007C7DDB" w:rsidRPr="006D72A4" w:rsidRDefault="00370E93" w:rsidP="00370E93">
      <w:pPr>
        <w:pStyle w:val="SingleTxtG"/>
      </w:pPr>
      <w:r>
        <w:tab/>
      </w:r>
      <w:r>
        <w:tab/>
      </w:r>
      <w:r w:rsidR="007C7DDB" w:rsidRPr="006D72A4">
        <w:t>a)</w:t>
      </w:r>
      <w:r w:rsidR="007C7DDB" w:rsidRPr="006D72A4">
        <w:tab/>
      </w:r>
      <w:r w:rsidR="00977FEA" w:rsidRPr="006D72A4">
        <w:t xml:space="preserve">L’absence d’informations sur les accords bilatéraux que l’État partie aurait conclus avec d’autres pays </w:t>
      </w:r>
      <w:r w:rsidR="007113C9">
        <w:t>accueillant</w:t>
      </w:r>
      <w:r w:rsidR="00977FEA" w:rsidRPr="006D72A4">
        <w:t xml:space="preserve"> de</w:t>
      </w:r>
      <w:r w:rsidR="007113C9">
        <w:t>s</w:t>
      </w:r>
      <w:r w:rsidR="00977FEA" w:rsidRPr="006D72A4">
        <w:t xml:space="preserve"> travailleurs migrants mal</w:t>
      </w:r>
      <w:r w:rsidR="00113526">
        <w:t>gaches</w:t>
      </w:r>
      <w:r w:rsidR="00977FEA" w:rsidRPr="006D72A4">
        <w:t>, tels que la Chine, l’Inde et le Koweït</w:t>
      </w:r>
      <w:r w:rsidR="009A1F63">
        <w:t> </w:t>
      </w:r>
      <w:r w:rsidR="007C7DDB" w:rsidRPr="006D72A4">
        <w:t>;</w:t>
      </w:r>
    </w:p>
    <w:p w14:paraId="025D1BE7" w14:textId="6DD3767F" w:rsidR="009515CF" w:rsidRPr="006D72A4" w:rsidRDefault="00370E93" w:rsidP="00370E93">
      <w:pPr>
        <w:pStyle w:val="SingleTxtG"/>
      </w:pPr>
      <w:r>
        <w:tab/>
      </w:r>
      <w:r>
        <w:tab/>
      </w:r>
      <w:r w:rsidR="00963EC3" w:rsidRPr="006D72A4">
        <w:t>b</w:t>
      </w:r>
      <w:r w:rsidR="007C7DDB" w:rsidRPr="006D72A4">
        <w:t>)</w:t>
      </w:r>
      <w:r w:rsidR="007C7DDB" w:rsidRPr="006D72A4">
        <w:tab/>
      </w:r>
      <w:r w:rsidR="00977FEA" w:rsidRPr="006D72A4">
        <w:t xml:space="preserve">Les lenteurs dans les négociations avec l’Arabie </w:t>
      </w:r>
      <w:r w:rsidR="001F60DF">
        <w:t>s</w:t>
      </w:r>
      <w:r w:rsidR="001F60DF" w:rsidRPr="006D72A4">
        <w:t>aoudite</w:t>
      </w:r>
      <w:r w:rsidR="00977FEA" w:rsidRPr="006D72A4">
        <w:t>, et que les accords de 1967, 1969</w:t>
      </w:r>
      <w:r w:rsidR="001F60DF">
        <w:t xml:space="preserve"> </w:t>
      </w:r>
      <w:r w:rsidR="00977FEA" w:rsidRPr="006D72A4">
        <w:t xml:space="preserve">et 1973 avec la France n’aient pas été </w:t>
      </w:r>
      <w:r w:rsidR="003A3DAC">
        <w:t>revus</w:t>
      </w:r>
      <w:r w:rsidR="003A3DAC" w:rsidRPr="006D72A4">
        <w:t xml:space="preserve"> </w:t>
      </w:r>
      <w:r w:rsidR="00977FEA" w:rsidRPr="006D72A4">
        <w:t>après la ratification de la Convention.</w:t>
      </w:r>
    </w:p>
    <w:p w14:paraId="76EAC329" w14:textId="4ABA97F5" w:rsidR="001C1F0A" w:rsidRPr="00735BB9" w:rsidRDefault="00A05684" w:rsidP="00735BB9">
      <w:pPr>
        <w:pStyle w:val="SingleTxtG"/>
      </w:pPr>
      <w:r w:rsidRPr="00735BB9">
        <w:t>5</w:t>
      </w:r>
      <w:r w:rsidR="00F70B8F" w:rsidRPr="00735BB9">
        <w:t>0</w:t>
      </w:r>
      <w:r w:rsidR="00866539" w:rsidRPr="00735BB9">
        <w:t>.</w:t>
      </w:r>
      <w:r w:rsidR="00866539" w:rsidRPr="00735BB9">
        <w:tab/>
      </w:r>
      <w:r w:rsidR="00885978" w:rsidRPr="002B253B">
        <w:rPr>
          <w:b/>
        </w:rPr>
        <w:t>Le Comité recommande à l’État partie</w:t>
      </w:r>
      <w:r w:rsidR="001C1F0A" w:rsidRPr="002B253B">
        <w:rPr>
          <w:b/>
        </w:rPr>
        <w:t> :</w:t>
      </w:r>
    </w:p>
    <w:p w14:paraId="23ED39F6" w14:textId="0D28A50A" w:rsidR="001C1F0A" w:rsidRPr="001A0A15" w:rsidRDefault="00370E93" w:rsidP="00370E93">
      <w:pPr>
        <w:pStyle w:val="SingleTxtG"/>
        <w:rPr>
          <w:b/>
          <w:bCs/>
        </w:rPr>
      </w:pPr>
      <w:r>
        <w:tab/>
      </w:r>
      <w:r>
        <w:tab/>
      </w:r>
      <w:r w:rsidR="001C1F0A" w:rsidRPr="001A0A15">
        <w:rPr>
          <w:b/>
          <w:bCs/>
        </w:rPr>
        <w:t>a)</w:t>
      </w:r>
      <w:r w:rsidR="001C1F0A" w:rsidRPr="001A0A15">
        <w:rPr>
          <w:b/>
          <w:bCs/>
        </w:rPr>
        <w:tab/>
        <w:t>D</w:t>
      </w:r>
      <w:r w:rsidR="00885978" w:rsidRPr="001A0A15">
        <w:rPr>
          <w:b/>
          <w:bCs/>
        </w:rPr>
        <w:t>’intensifier ses efforts pour</w:t>
      </w:r>
      <w:r w:rsidR="001F60DF" w:rsidRPr="001A0A15">
        <w:rPr>
          <w:b/>
          <w:bCs/>
        </w:rPr>
        <w:t xml:space="preserve"> </w:t>
      </w:r>
      <w:r w:rsidR="006D1B4B" w:rsidRPr="001A0A15">
        <w:rPr>
          <w:b/>
          <w:bCs/>
        </w:rPr>
        <w:t>la</w:t>
      </w:r>
      <w:r w:rsidR="002B5566" w:rsidRPr="001A0A15">
        <w:rPr>
          <w:b/>
          <w:bCs/>
        </w:rPr>
        <w:t xml:space="preserve"> signature </w:t>
      </w:r>
      <w:r w:rsidR="0050779C" w:rsidRPr="001A0A15">
        <w:rPr>
          <w:b/>
          <w:bCs/>
        </w:rPr>
        <w:t>d’</w:t>
      </w:r>
      <w:r w:rsidR="002F272E" w:rsidRPr="001A0A15">
        <w:rPr>
          <w:b/>
          <w:bCs/>
        </w:rPr>
        <w:t>a</w:t>
      </w:r>
      <w:r w:rsidR="0050779C" w:rsidRPr="001A0A15">
        <w:rPr>
          <w:b/>
          <w:bCs/>
        </w:rPr>
        <w:t>ccord</w:t>
      </w:r>
      <w:r w:rsidR="002F272E" w:rsidRPr="001A0A15">
        <w:rPr>
          <w:b/>
          <w:bCs/>
        </w:rPr>
        <w:t>s</w:t>
      </w:r>
      <w:r w:rsidR="001F67CF" w:rsidRPr="001A0A15">
        <w:rPr>
          <w:b/>
          <w:bCs/>
        </w:rPr>
        <w:t xml:space="preserve"> bilatéraux</w:t>
      </w:r>
      <w:r w:rsidR="0050779C" w:rsidRPr="001A0A15">
        <w:rPr>
          <w:b/>
          <w:bCs/>
        </w:rPr>
        <w:t xml:space="preserve"> avec l’Arabie </w:t>
      </w:r>
      <w:r w:rsidR="001F60DF" w:rsidRPr="001A0A15">
        <w:rPr>
          <w:b/>
          <w:bCs/>
        </w:rPr>
        <w:t>saoudite</w:t>
      </w:r>
      <w:r w:rsidR="002F272E" w:rsidRPr="001A0A15">
        <w:rPr>
          <w:b/>
          <w:bCs/>
        </w:rPr>
        <w:t>, Maurice</w:t>
      </w:r>
      <w:r w:rsidR="00DB4786" w:rsidRPr="001A0A15">
        <w:rPr>
          <w:b/>
          <w:bCs/>
        </w:rPr>
        <w:t xml:space="preserve"> et </w:t>
      </w:r>
      <w:r w:rsidR="002F272E" w:rsidRPr="001A0A15">
        <w:rPr>
          <w:b/>
          <w:bCs/>
        </w:rPr>
        <w:t>le Liban, ainsi qu’</w:t>
      </w:r>
      <w:r w:rsidR="004D44E4" w:rsidRPr="001A0A15">
        <w:rPr>
          <w:b/>
          <w:bCs/>
        </w:rPr>
        <w:t xml:space="preserve">avec tous les pays accueillant des </w:t>
      </w:r>
      <w:r w:rsidR="003D4D1E" w:rsidRPr="001A0A15">
        <w:rPr>
          <w:b/>
          <w:bCs/>
        </w:rPr>
        <w:t>travailleurs migrants mal</w:t>
      </w:r>
      <w:r w:rsidR="00113526" w:rsidRPr="001A0A15">
        <w:rPr>
          <w:b/>
          <w:bCs/>
        </w:rPr>
        <w:t>gaches</w:t>
      </w:r>
      <w:r w:rsidR="003D4D1E" w:rsidRPr="001A0A15">
        <w:rPr>
          <w:b/>
          <w:bCs/>
        </w:rPr>
        <w:t>, afin de</w:t>
      </w:r>
      <w:r w:rsidR="004D44E4" w:rsidRPr="001A0A15">
        <w:rPr>
          <w:b/>
          <w:bCs/>
        </w:rPr>
        <w:t xml:space="preserve"> favoriser</w:t>
      </w:r>
      <w:r w:rsidR="002B5566" w:rsidRPr="001A0A15">
        <w:rPr>
          <w:b/>
          <w:bCs/>
        </w:rPr>
        <w:t xml:space="preserve"> la migration régulière,</w:t>
      </w:r>
      <w:r w:rsidR="001329E3" w:rsidRPr="001A0A15">
        <w:rPr>
          <w:b/>
          <w:bCs/>
        </w:rPr>
        <w:t xml:space="preserve"> de</w:t>
      </w:r>
      <w:r w:rsidR="002B5566" w:rsidRPr="001A0A15">
        <w:rPr>
          <w:b/>
          <w:bCs/>
        </w:rPr>
        <w:t xml:space="preserve"> </w:t>
      </w:r>
      <w:r w:rsidR="00020FB6" w:rsidRPr="001A0A15">
        <w:rPr>
          <w:b/>
          <w:bCs/>
        </w:rPr>
        <w:t>garantir</w:t>
      </w:r>
      <w:r w:rsidR="002B5566" w:rsidRPr="001A0A15">
        <w:rPr>
          <w:b/>
          <w:bCs/>
        </w:rPr>
        <w:t xml:space="preserve"> des conditions saines, équitables et humaines</w:t>
      </w:r>
      <w:r w:rsidR="001329E3" w:rsidRPr="001A0A15">
        <w:rPr>
          <w:b/>
          <w:bCs/>
        </w:rPr>
        <w:t>,</w:t>
      </w:r>
      <w:r w:rsidR="002B5566" w:rsidRPr="001A0A15">
        <w:rPr>
          <w:b/>
          <w:bCs/>
        </w:rPr>
        <w:t xml:space="preserve"> </w:t>
      </w:r>
      <w:r w:rsidR="00020FB6" w:rsidRPr="001A0A15">
        <w:rPr>
          <w:b/>
          <w:bCs/>
        </w:rPr>
        <w:t xml:space="preserve">et </w:t>
      </w:r>
      <w:r w:rsidR="00AF6669" w:rsidRPr="001A0A15">
        <w:rPr>
          <w:b/>
          <w:bCs/>
        </w:rPr>
        <w:t>que ses ressortissants aient la possibilité de recourir à la protection et à l’assistance, y compris l’assistance juridique, si besoin est, des autorités consulaires pour faire respecter leurs droits</w:t>
      </w:r>
      <w:r w:rsidR="008D4AF0" w:rsidRPr="001A0A15">
        <w:rPr>
          <w:b/>
          <w:bCs/>
        </w:rPr>
        <w:t>, en conformité avec la Convention</w:t>
      </w:r>
      <w:r w:rsidR="001C1F0A" w:rsidRPr="001A0A15">
        <w:rPr>
          <w:b/>
          <w:bCs/>
        </w:rPr>
        <w:t> ;</w:t>
      </w:r>
    </w:p>
    <w:p w14:paraId="373690F4" w14:textId="0E0A0477" w:rsidR="00866539" w:rsidRPr="00735BB9" w:rsidRDefault="00370E93" w:rsidP="00370E93">
      <w:pPr>
        <w:pStyle w:val="SingleTxtG"/>
        <w:rPr>
          <w:b/>
        </w:rPr>
      </w:pPr>
      <w:r w:rsidRPr="001A0A15">
        <w:rPr>
          <w:b/>
          <w:bCs/>
        </w:rPr>
        <w:tab/>
      </w:r>
      <w:r w:rsidRPr="001A0A15">
        <w:rPr>
          <w:b/>
          <w:bCs/>
        </w:rPr>
        <w:tab/>
      </w:r>
      <w:r w:rsidR="001C1F0A" w:rsidRPr="001A0A15">
        <w:rPr>
          <w:b/>
          <w:bCs/>
        </w:rPr>
        <w:t>b)</w:t>
      </w:r>
      <w:r w:rsidR="001C1F0A" w:rsidRPr="001A0A15">
        <w:rPr>
          <w:b/>
          <w:bCs/>
        </w:rPr>
        <w:tab/>
        <w:t>De</w:t>
      </w:r>
      <w:r w:rsidR="001C1F0A" w:rsidRPr="002B253B">
        <w:rPr>
          <w:b/>
        </w:rPr>
        <w:t xml:space="preserve"> veiller à ce que ces accords bilatéraux soient pleinement inspirés des dispositions de la Convention, de </w:t>
      </w:r>
      <w:r w:rsidR="00113526" w:rsidRPr="002B253B">
        <w:rPr>
          <w:b/>
        </w:rPr>
        <w:t>l’</w:t>
      </w:r>
      <w:r w:rsidR="00113526">
        <w:rPr>
          <w:b/>
        </w:rPr>
        <w:t>o</w:t>
      </w:r>
      <w:r w:rsidR="00113526" w:rsidRPr="002B253B">
        <w:rPr>
          <w:b/>
        </w:rPr>
        <w:t xml:space="preserve">bservation </w:t>
      </w:r>
      <w:r w:rsidR="001C1F0A" w:rsidRPr="002B253B">
        <w:rPr>
          <w:b/>
        </w:rPr>
        <w:t>générale n</w:t>
      </w:r>
      <w:r w:rsidR="00113526" w:rsidRPr="001A0A15">
        <w:rPr>
          <w:b/>
          <w:vertAlign w:val="superscript"/>
        </w:rPr>
        <w:t>o</w:t>
      </w:r>
      <w:r w:rsidR="00113526">
        <w:rPr>
          <w:b/>
        </w:rPr>
        <w:t> </w:t>
      </w:r>
      <w:r w:rsidR="001C1F0A" w:rsidRPr="002B253B">
        <w:rPr>
          <w:b/>
        </w:rPr>
        <w:t xml:space="preserve">1, de </w:t>
      </w:r>
      <w:r w:rsidR="00113526" w:rsidRPr="002B253B">
        <w:rPr>
          <w:b/>
        </w:rPr>
        <w:t>l’</w:t>
      </w:r>
      <w:r w:rsidR="00113526">
        <w:rPr>
          <w:b/>
        </w:rPr>
        <w:t>o</w:t>
      </w:r>
      <w:r w:rsidR="00113526" w:rsidRPr="002B253B">
        <w:rPr>
          <w:b/>
        </w:rPr>
        <w:t xml:space="preserve">bservation </w:t>
      </w:r>
      <w:r w:rsidR="001C1F0A" w:rsidRPr="002B253B">
        <w:rPr>
          <w:b/>
        </w:rPr>
        <w:t>générale n</w:t>
      </w:r>
      <w:r w:rsidR="001C1F0A" w:rsidRPr="001A0A15">
        <w:rPr>
          <w:b/>
          <w:vertAlign w:val="superscript"/>
        </w:rPr>
        <w:t>o</w:t>
      </w:r>
      <w:r w:rsidR="001C1F0A" w:rsidRPr="002B253B">
        <w:rPr>
          <w:b/>
        </w:rPr>
        <w:t xml:space="preserve"> 2 </w:t>
      </w:r>
      <w:r w:rsidR="00CA047D">
        <w:rPr>
          <w:b/>
        </w:rPr>
        <w:t xml:space="preserve">(2013) </w:t>
      </w:r>
      <w:r w:rsidR="001C1F0A" w:rsidRPr="002B253B">
        <w:rPr>
          <w:b/>
        </w:rPr>
        <w:t xml:space="preserve">sur les droits des travailleurs migrants en situation irrégulière et des membres de leur famille, </w:t>
      </w:r>
      <w:r w:rsidR="00CA047D">
        <w:rPr>
          <w:b/>
        </w:rPr>
        <w:t>et</w:t>
      </w:r>
      <w:r w:rsidR="005733DC" w:rsidRPr="002B253B">
        <w:rPr>
          <w:b/>
        </w:rPr>
        <w:t xml:space="preserve"> </w:t>
      </w:r>
      <w:r w:rsidR="001C1F0A" w:rsidRPr="002B253B">
        <w:rPr>
          <w:b/>
        </w:rPr>
        <w:t>des observations générales n</w:t>
      </w:r>
      <w:r w:rsidR="00113526" w:rsidRPr="001A0A15">
        <w:rPr>
          <w:b/>
          <w:vertAlign w:val="superscript"/>
        </w:rPr>
        <w:t>o</w:t>
      </w:r>
      <w:r w:rsidR="00113526">
        <w:rPr>
          <w:b/>
        </w:rPr>
        <w:t> </w:t>
      </w:r>
      <w:r w:rsidR="001C1F0A" w:rsidRPr="002B253B">
        <w:rPr>
          <w:b/>
        </w:rPr>
        <w:t>3 et n</w:t>
      </w:r>
      <w:r w:rsidR="00113526" w:rsidRPr="001A0A15">
        <w:rPr>
          <w:b/>
          <w:vertAlign w:val="superscript"/>
        </w:rPr>
        <w:t>o</w:t>
      </w:r>
      <w:r w:rsidR="00113526">
        <w:rPr>
          <w:b/>
        </w:rPr>
        <w:t> </w:t>
      </w:r>
      <w:r w:rsidR="001C1F0A" w:rsidRPr="002B253B">
        <w:rPr>
          <w:b/>
        </w:rPr>
        <w:t>4</w:t>
      </w:r>
      <w:r w:rsidR="00885978" w:rsidRPr="002B253B">
        <w:rPr>
          <w:b/>
        </w:rPr>
        <w:t>.</w:t>
      </w:r>
    </w:p>
    <w:p w14:paraId="4363A44D" w14:textId="77777777" w:rsidR="00390356" w:rsidRPr="006D72A4" w:rsidRDefault="00721E00" w:rsidP="006D72A4">
      <w:pPr>
        <w:pStyle w:val="H23G"/>
      </w:pPr>
      <w:r w:rsidRPr="006D72A4">
        <w:lastRenderedPageBreak/>
        <w:tab/>
      </w:r>
      <w:r w:rsidR="00390356" w:rsidRPr="006D72A4">
        <w:tab/>
        <w:t>Agences de recrutement</w:t>
      </w:r>
    </w:p>
    <w:p w14:paraId="60A2F8A2" w14:textId="315A0420" w:rsidR="00362349" w:rsidRPr="006D72A4" w:rsidRDefault="00390356" w:rsidP="006D72A4">
      <w:pPr>
        <w:pStyle w:val="SingleTxtG"/>
      </w:pPr>
      <w:r w:rsidRPr="006D72A4">
        <w:tab/>
      </w:r>
      <w:r w:rsidR="009E1ED1" w:rsidRPr="006D72A4">
        <w:t>5</w:t>
      </w:r>
      <w:r w:rsidR="00F70B8F" w:rsidRPr="006D72A4">
        <w:t>1</w:t>
      </w:r>
      <w:r w:rsidRPr="006D72A4">
        <w:t>.</w:t>
      </w:r>
      <w:r w:rsidRPr="006D72A4">
        <w:tab/>
      </w:r>
      <w:r w:rsidR="00362349" w:rsidRPr="006D72A4">
        <w:t>Le Comité note avec satisfaction l’adoption de l’arrêté n</w:t>
      </w:r>
      <w:r w:rsidR="002C1743" w:rsidRPr="001A0A15">
        <w:rPr>
          <w:vertAlign w:val="superscript"/>
        </w:rPr>
        <w:t>o</w:t>
      </w:r>
      <w:r w:rsidR="002C1743">
        <w:t> </w:t>
      </w:r>
      <w:r w:rsidR="00362349" w:rsidRPr="006D72A4">
        <w:t>20307/2015/MEETFP du 11 juin 2015 fixant les modalités d’octroi et de retrait d’agrément</w:t>
      </w:r>
      <w:r w:rsidR="005733DC">
        <w:t>s</w:t>
      </w:r>
      <w:r w:rsidR="00362349" w:rsidRPr="006D72A4">
        <w:t xml:space="preserve"> des bureaux de placement privés et leurs obligations. </w:t>
      </w:r>
      <w:r w:rsidR="008B2974" w:rsidRPr="006D72A4">
        <w:t xml:space="preserve">Il est néanmoins préoccupé par des informations indiquant que </w:t>
      </w:r>
      <w:r w:rsidR="00A3403B" w:rsidRPr="006D72A4">
        <w:t>des agences informelles continuent à procéder à des recrutements, y compris d’enfants</w:t>
      </w:r>
      <w:r w:rsidR="00D26F94">
        <w:t>.</w:t>
      </w:r>
    </w:p>
    <w:p w14:paraId="672956CF" w14:textId="260E9736" w:rsidR="00362349" w:rsidRPr="006D72A4" w:rsidRDefault="00F70B8F" w:rsidP="006D72A4">
      <w:pPr>
        <w:pStyle w:val="SingleTxtG"/>
        <w:rPr>
          <w:b/>
        </w:rPr>
      </w:pPr>
      <w:r w:rsidRPr="006D72A4">
        <w:t>52.</w:t>
      </w:r>
      <w:r w:rsidR="00362349" w:rsidRPr="006D72A4">
        <w:tab/>
      </w:r>
      <w:r w:rsidR="00362349" w:rsidRPr="006D72A4">
        <w:rPr>
          <w:b/>
        </w:rPr>
        <w:t>Le Comité recommande à l’</w:t>
      </w:r>
      <w:r w:rsidR="00CD41BB">
        <w:rPr>
          <w:b/>
        </w:rPr>
        <w:t>État</w:t>
      </w:r>
      <w:r w:rsidR="00362349" w:rsidRPr="006D72A4">
        <w:rPr>
          <w:b/>
        </w:rPr>
        <w:t xml:space="preserve"> partie, en conformité avec les Principes de Dhaka pour </w:t>
      </w:r>
      <w:r w:rsidR="008B7A94">
        <w:rPr>
          <w:b/>
        </w:rPr>
        <w:t>la migration dans la dignité</w:t>
      </w:r>
      <w:r w:rsidR="00362349" w:rsidRPr="006D72A4">
        <w:rPr>
          <w:b/>
        </w:rPr>
        <w:t> :</w:t>
      </w:r>
    </w:p>
    <w:p w14:paraId="37F43BFC" w14:textId="7216662C" w:rsidR="00362349" w:rsidRPr="001A0A15" w:rsidRDefault="00362349" w:rsidP="006D72A4">
      <w:pPr>
        <w:pStyle w:val="SingleTxtG"/>
        <w:rPr>
          <w:b/>
          <w:bCs/>
        </w:rPr>
      </w:pPr>
      <w:r w:rsidRPr="009A1F63">
        <w:rPr>
          <w:b/>
        </w:rPr>
        <w:tab/>
      </w:r>
      <w:r w:rsidRPr="009A1F63">
        <w:rPr>
          <w:b/>
        </w:rPr>
        <w:tab/>
      </w:r>
      <w:r w:rsidRPr="001A0A15">
        <w:rPr>
          <w:b/>
          <w:bCs/>
        </w:rPr>
        <w:t>a)</w:t>
      </w:r>
      <w:r w:rsidRPr="001A0A15">
        <w:rPr>
          <w:b/>
          <w:bCs/>
        </w:rPr>
        <w:tab/>
      </w:r>
      <w:r w:rsidR="00C02633" w:rsidRPr="001A0A15">
        <w:rPr>
          <w:b/>
          <w:bCs/>
        </w:rPr>
        <w:t>D</w:t>
      </w:r>
      <w:r w:rsidR="002352AF" w:rsidRPr="001A0A15">
        <w:rPr>
          <w:b/>
          <w:bCs/>
        </w:rPr>
        <w:t>e d</w:t>
      </w:r>
      <w:r w:rsidR="00C02633" w:rsidRPr="001A0A15">
        <w:rPr>
          <w:b/>
          <w:bCs/>
        </w:rPr>
        <w:t xml:space="preserve">évelopper </w:t>
      </w:r>
      <w:r w:rsidR="00D8400C" w:rsidRPr="001A0A15">
        <w:rPr>
          <w:b/>
          <w:bCs/>
        </w:rPr>
        <w:t>des outils opérationnels pour aider les employeurs, les intermédiaires de recrutement et les gouvernements à mettre en œuvre l’arrêté n</w:t>
      </w:r>
      <w:r w:rsidR="006D3669" w:rsidRPr="001A0A15">
        <w:rPr>
          <w:b/>
          <w:bCs/>
          <w:vertAlign w:val="superscript"/>
        </w:rPr>
        <w:t>o</w:t>
      </w:r>
      <w:r w:rsidR="006D3669" w:rsidRPr="001A0A15">
        <w:rPr>
          <w:b/>
          <w:bCs/>
        </w:rPr>
        <w:t> </w:t>
      </w:r>
      <w:r w:rsidR="00150B4F">
        <w:rPr>
          <w:b/>
          <w:bCs/>
        </w:rPr>
        <w:t>20307/2015/MEETFP du 11 </w:t>
      </w:r>
      <w:r w:rsidR="00D8400C" w:rsidRPr="001A0A15">
        <w:rPr>
          <w:b/>
          <w:bCs/>
        </w:rPr>
        <w:t>juin 2015, en coopération avec l’O</w:t>
      </w:r>
      <w:r w:rsidR="006D3669" w:rsidRPr="001A0A15">
        <w:rPr>
          <w:b/>
          <w:bCs/>
        </w:rPr>
        <w:t>rganisation internationale pour les migrations</w:t>
      </w:r>
      <w:r w:rsidR="00D8400C" w:rsidRPr="001A0A15">
        <w:rPr>
          <w:b/>
          <w:bCs/>
        </w:rPr>
        <w:t>, pour promouvoir et renforcer les processus de recrutement et d’emploi éthiques et transparents ;</w:t>
      </w:r>
    </w:p>
    <w:p w14:paraId="27A2646B" w14:textId="43A1441F" w:rsidR="001C73D6" w:rsidRPr="001A0A15" w:rsidRDefault="00370E93" w:rsidP="00370E93">
      <w:pPr>
        <w:pStyle w:val="SingleTxtG"/>
        <w:rPr>
          <w:b/>
          <w:bCs/>
        </w:rPr>
      </w:pPr>
      <w:r w:rsidRPr="001A0A15">
        <w:rPr>
          <w:b/>
          <w:bCs/>
        </w:rPr>
        <w:tab/>
      </w:r>
      <w:r w:rsidRPr="001A0A15">
        <w:rPr>
          <w:b/>
          <w:bCs/>
        </w:rPr>
        <w:tab/>
      </w:r>
      <w:r w:rsidR="00362349" w:rsidRPr="001A0A15">
        <w:rPr>
          <w:b/>
          <w:bCs/>
        </w:rPr>
        <w:t>b)</w:t>
      </w:r>
      <w:r w:rsidR="00362349" w:rsidRPr="001A0A15">
        <w:rPr>
          <w:b/>
          <w:bCs/>
        </w:rPr>
        <w:tab/>
      </w:r>
      <w:r w:rsidR="002352AF" w:rsidRPr="001A0A15">
        <w:rPr>
          <w:b/>
          <w:bCs/>
        </w:rPr>
        <w:t>De r</w:t>
      </w:r>
      <w:r w:rsidR="00D8400C" w:rsidRPr="001A0A15">
        <w:rPr>
          <w:b/>
          <w:bCs/>
        </w:rPr>
        <w:t xml:space="preserve">enforcer le contrôle et les inspections des agences de </w:t>
      </w:r>
      <w:r w:rsidR="002E2C5A" w:rsidRPr="001A0A15">
        <w:rPr>
          <w:b/>
          <w:bCs/>
        </w:rPr>
        <w:t>recrutement</w:t>
      </w:r>
      <w:r w:rsidR="00414701" w:rsidRPr="001A0A15">
        <w:rPr>
          <w:b/>
          <w:bCs/>
        </w:rPr>
        <w:t xml:space="preserve"> pour </w:t>
      </w:r>
      <w:r w:rsidR="008B7A94" w:rsidRPr="001A0A15">
        <w:rPr>
          <w:b/>
          <w:bCs/>
        </w:rPr>
        <w:t xml:space="preserve">veiller à ce </w:t>
      </w:r>
      <w:r w:rsidR="00414701" w:rsidRPr="001A0A15">
        <w:rPr>
          <w:b/>
          <w:bCs/>
        </w:rPr>
        <w:t xml:space="preserve">que </w:t>
      </w:r>
      <w:r w:rsidR="00D333CA" w:rsidRPr="001A0A15">
        <w:rPr>
          <w:b/>
          <w:bCs/>
        </w:rPr>
        <w:t>des conditions de travail adaptées</w:t>
      </w:r>
      <w:r w:rsidR="001C73D6" w:rsidRPr="001A0A15">
        <w:rPr>
          <w:b/>
          <w:bCs/>
        </w:rPr>
        <w:t xml:space="preserve"> soi</w:t>
      </w:r>
      <w:r w:rsidR="001C1F0A" w:rsidRPr="001A0A15">
        <w:rPr>
          <w:b/>
          <w:bCs/>
        </w:rPr>
        <w:t>en</w:t>
      </w:r>
      <w:r w:rsidR="001C73D6" w:rsidRPr="001A0A15">
        <w:rPr>
          <w:b/>
          <w:bCs/>
        </w:rPr>
        <w:t>t offert</w:t>
      </w:r>
      <w:r w:rsidR="001C1F0A" w:rsidRPr="001A0A15">
        <w:rPr>
          <w:b/>
          <w:bCs/>
        </w:rPr>
        <w:t>es</w:t>
      </w:r>
      <w:r w:rsidR="002C1743" w:rsidRPr="001A0A15">
        <w:rPr>
          <w:b/>
          <w:bCs/>
        </w:rPr>
        <w:t xml:space="preserve"> </w:t>
      </w:r>
      <w:r w:rsidR="009A1F63" w:rsidRPr="001A0A15">
        <w:rPr>
          <w:b/>
          <w:bCs/>
        </w:rPr>
        <w:t>aux travailleurs migrants </w:t>
      </w:r>
      <w:r w:rsidR="009E1ED1" w:rsidRPr="001A0A15">
        <w:rPr>
          <w:b/>
          <w:bCs/>
        </w:rPr>
        <w:t>;</w:t>
      </w:r>
    </w:p>
    <w:p w14:paraId="41FE9092" w14:textId="6CFBAAEB" w:rsidR="00362349" w:rsidRPr="006D72A4" w:rsidRDefault="00370E93" w:rsidP="00370E93">
      <w:pPr>
        <w:pStyle w:val="SingleTxtG"/>
        <w:rPr>
          <w:b/>
        </w:rPr>
      </w:pPr>
      <w:r w:rsidRPr="001A0A15">
        <w:rPr>
          <w:b/>
          <w:bCs/>
        </w:rPr>
        <w:tab/>
      </w:r>
      <w:r w:rsidRPr="001A0A15">
        <w:rPr>
          <w:b/>
          <w:bCs/>
        </w:rPr>
        <w:tab/>
      </w:r>
      <w:r w:rsidR="001C73D6" w:rsidRPr="001A0A15">
        <w:rPr>
          <w:b/>
          <w:bCs/>
        </w:rPr>
        <w:t>c)</w:t>
      </w:r>
      <w:r w:rsidR="001C73D6" w:rsidRPr="001A0A15">
        <w:rPr>
          <w:b/>
          <w:bCs/>
        </w:rPr>
        <w:tab/>
      </w:r>
      <w:r w:rsidR="002352AF" w:rsidRPr="001A0A15">
        <w:rPr>
          <w:b/>
          <w:bCs/>
        </w:rPr>
        <w:t>De m</w:t>
      </w:r>
      <w:r w:rsidR="00C02633" w:rsidRPr="001A0A15">
        <w:rPr>
          <w:b/>
          <w:bCs/>
        </w:rPr>
        <w:t>ettre</w:t>
      </w:r>
      <w:r w:rsidR="00C02633">
        <w:rPr>
          <w:b/>
        </w:rPr>
        <w:t xml:space="preserve"> en </w:t>
      </w:r>
      <w:r w:rsidR="00D43C13">
        <w:rPr>
          <w:b/>
        </w:rPr>
        <w:t>place</w:t>
      </w:r>
      <w:r w:rsidR="00C02633">
        <w:rPr>
          <w:b/>
        </w:rPr>
        <w:t xml:space="preserve"> </w:t>
      </w:r>
      <w:r w:rsidR="001C73D6" w:rsidRPr="006D72A4">
        <w:rPr>
          <w:b/>
        </w:rPr>
        <w:t xml:space="preserve">un </w:t>
      </w:r>
      <w:r w:rsidR="002E2C5A" w:rsidRPr="006D72A4">
        <w:rPr>
          <w:b/>
        </w:rPr>
        <w:t xml:space="preserve">système de poursuite effectif pour les agences de recrutement qui dérogent aux règles </w:t>
      </w:r>
      <w:r w:rsidR="001C1F0A" w:rsidRPr="006D72A4">
        <w:rPr>
          <w:b/>
        </w:rPr>
        <w:t>en vigueur</w:t>
      </w:r>
      <w:r w:rsidR="00362349" w:rsidRPr="006D72A4">
        <w:rPr>
          <w:b/>
        </w:rPr>
        <w:t>.</w:t>
      </w:r>
    </w:p>
    <w:p w14:paraId="5DFD0089" w14:textId="08D14A06" w:rsidR="00721E00" w:rsidRPr="006D72A4" w:rsidRDefault="00412FCF" w:rsidP="006D72A4">
      <w:pPr>
        <w:pStyle w:val="H23G"/>
      </w:pPr>
      <w:r w:rsidRPr="006D72A4">
        <w:tab/>
      </w:r>
      <w:r w:rsidRPr="006D72A4">
        <w:tab/>
      </w:r>
      <w:r w:rsidR="007F2677" w:rsidRPr="006D72A4">
        <w:t>Migration irrégulière et t</w:t>
      </w:r>
      <w:r w:rsidR="00721E00" w:rsidRPr="006D72A4">
        <w:t>raite des personnes</w:t>
      </w:r>
    </w:p>
    <w:p w14:paraId="4E0A7D42" w14:textId="0DD8EB1E" w:rsidR="00410B5E" w:rsidRPr="006D72A4" w:rsidRDefault="00F70B8F" w:rsidP="006D72A4">
      <w:pPr>
        <w:pStyle w:val="SingleTxtG"/>
      </w:pPr>
      <w:r w:rsidRPr="006D72A4">
        <w:t>53</w:t>
      </w:r>
      <w:r w:rsidR="00410B5E" w:rsidRPr="006D72A4">
        <w:t>.</w:t>
      </w:r>
      <w:r w:rsidR="00410B5E" w:rsidRPr="006D72A4">
        <w:tab/>
      </w:r>
      <w:r w:rsidR="00986238" w:rsidRPr="006D72A4">
        <w:t xml:space="preserve">Le Comité prend note de </w:t>
      </w:r>
      <w:r w:rsidR="00EC094F" w:rsidRPr="006D72A4">
        <w:t>l’adoption de la loi et d’une politique nationale sur la lutte contre la traite des êtres humains</w:t>
      </w:r>
      <w:r w:rsidR="00410B5E" w:rsidRPr="006D72A4">
        <w:t xml:space="preserve">. Il </w:t>
      </w:r>
      <w:r w:rsidR="007E52FD" w:rsidRPr="006D72A4">
        <w:t xml:space="preserve">exprime pourtant </w:t>
      </w:r>
      <w:r w:rsidR="00F113F4" w:rsidRPr="006D72A4">
        <w:t>son inquiétude par rapport</w:t>
      </w:r>
      <w:r w:rsidR="00C06D97">
        <w:t> </w:t>
      </w:r>
      <w:r w:rsidR="00410B5E" w:rsidRPr="006D72A4">
        <w:t>:</w:t>
      </w:r>
    </w:p>
    <w:p w14:paraId="03741FA0" w14:textId="061876E7" w:rsidR="007F2677" w:rsidRPr="006D72A4" w:rsidRDefault="00511283" w:rsidP="006D72A4">
      <w:pPr>
        <w:pStyle w:val="SingleTxtG"/>
      </w:pPr>
      <w:r>
        <w:tab/>
      </w:r>
      <w:r>
        <w:tab/>
      </w:r>
      <w:r w:rsidR="00410B5E" w:rsidRPr="006D72A4">
        <w:t>a)</w:t>
      </w:r>
      <w:r w:rsidR="00410B5E" w:rsidRPr="006D72A4">
        <w:tab/>
      </w:r>
      <w:r w:rsidR="00205406">
        <w:t>À</w:t>
      </w:r>
      <w:r w:rsidR="007F2677" w:rsidRPr="006D72A4">
        <w:t xml:space="preserve"> la présence de migrants et des membres de leur famille</w:t>
      </w:r>
      <w:r w:rsidR="001C73D6" w:rsidRPr="006D72A4">
        <w:t xml:space="preserve"> en situation irrégulière</w:t>
      </w:r>
      <w:r w:rsidR="00CC18E8" w:rsidRPr="006D72A4">
        <w:t xml:space="preserve"> dans l’</w:t>
      </w:r>
      <w:r w:rsidR="00CD41BB">
        <w:t>État</w:t>
      </w:r>
      <w:r w:rsidR="00CC18E8" w:rsidRPr="006D72A4">
        <w:t xml:space="preserve"> partie</w:t>
      </w:r>
      <w:r w:rsidR="001C73D6" w:rsidRPr="006D72A4">
        <w:t>,</w:t>
      </w:r>
      <w:r w:rsidR="002C1743">
        <w:t xml:space="preserve"> </w:t>
      </w:r>
      <w:r w:rsidR="00DA04D3" w:rsidRPr="006D72A4">
        <w:t xml:space="preserve">et </w:t>
      </w:r>
      <w:r w:rsidR="005733DC">
        <w:t xml:space="preserve">au fait </w:t>
      </w:r>
      <w:r w:rsidR="00DA04D3" w:rsidRPr="006D72A4">
        <w:t>que</w:t>
      </w:r>
      <w:r w:rsidR="008846F5" w:rsidRPr="006D72A4">
        <w:t xml:space="preserve"> l’obligation d</w:t>
      </w:r>
      <w:r w:rsidR="006D3669">
        <w:t>e</w:t>
      </w:r>
      <w:r w:rsidR="008846F5" w:rsidRPr="006D72A4">
        <w:t xml:space="preserve"> cautionnement </w:t>
      </w:r>
      <w:r w:rsidR="00DA04D3" w:rsidRPr="006D72A4">
        <w:t xml:space="preserve">et les </w:t>
      </w:r>
      <w:r w:rsidR="008846F5" w:rsidRPr="006D72A4">
        <w:t xml:space="preserve">tarifs élevés des cartes de séjour ne leur permettent pas de régulariser leur </w:t>
      </w:r>
      <w:r w:rsidR="001C1F0A" w:rsidRPr="006D72A4">
        <w:t>situation </w:t>
      </w:r>
      <w:r w:rsidR="00872BA3" w:rsidRPr="006D72A4">
        <w:t>;</w:t>
      </w:r>
    </w:p>
    <w:p w14:paraId="18EDFE04" w14:textId="259925C4" w:rsidR="003E3928" w:rsidRPr="006D72A4" w:rsidRDefault="00511283" w:rsidP="006D72A4">
      <w:pPr>
        <w:pStyle w:val="SingleTxtG"/>
      </w:pPr>
      <w:r>
        <w:tab/>
      </w:r>
      <w:r>
        <w:tab/>
      </w:r>
      <w:r w:rsidR="007F2677" w:rsidRPr="006D72A4">
        <w:t>b)</w:t>
      </w:r>
      <w:r w:rsidR="007F2677" w:rsidRPr="006D72A4">
        <w:tab/>
      </w:r>
      <w:r w:rsidR="003E3928" w:rsidRPr="006D72A4">
        <w:t xml:space="preserve">Aux informations signalant que </w:t>
      </w:r>
      <w:r w:rsidR="00574961">
        <w:t xml:space="preserve">le territoire de </w:t>
      </w:r>
      <w:r w:rsidR="003E3928" w:rsidRPr="006D72A4">
        <w:t>l’</w:t>
      </w:r>
      <w:r w:rsidR="00CD41BB">
        <w:t>État</w:t>
      </w:r>
      <w:r w:rsidR="003E3928" w:rsidRPr="006D72A4">
        <w:t xml:space="preserve"> partie sert de tremplin </w:t>
      </w:r>
      <w:r w:rsidR="006D3669">
        <w:t>à</w:t>
      </w:r>
      <w:r w:rsidR="006D3669" w:rsidRPr="006D72A4">
        <w:t xml:space="preserve"> </w:t>
      </w:r>
      <w:r w:rsidR="003E3928" w:rsidRPr="006D72A4">
        <w:t>des réseaux de traite d’êtres humains</w:t>
      </w:r>
      <w:r w:rsidR="00F071BA">
        <w:t> </w:t>
      </w:r>
      <w:r w:rsidR="00872BA3" w:rsidRPr="006D72A4">
        <w:t>;</w:t>
      </w:r>
    </w:p>
    <w:p w14:paraId="7D369E77" w14:textId="643EDEEF" w:rsidR="000A1D8A" w:rsidRPr="006D72A4" w:rsidRDefault="00370E93" w:rsidP="00370E93">
      <w:pPr>
        <w:pStyle w:val="SingleTxtG"/>
      </w:pPr>
      <w:r>
        <w:tab/>
      </w:r>
      <w:r>
        <w:tab/>
      </w:r>
      <w:r w:rsidR="003E3928" w:rsidRPr="006D72A4">
        <w:t>c)</w:t>
      </w:r>
      <w:r w:rsidR="003E3928" w:rsidRPr="006D72A4">
        <w:tab/>
      </w:r>
      <w:r w:rsidR="001C73D6" w:rsidRPr="006D72A4">
        <w:t>Aux informations indiquant que la suspension de l</w:t>
      </w:r>
      <w:r w:rsidR="006D3669">
        <w:t>’</w:t>
      </w:r>
      <w:r w:rsidR="001C73D6" w:rsidRPr="006D72A4">
        <w:t xml:space="preserve">envoi de travailleurs malgaches dans les pays à haut risque, à travers le </w:t>
      </w:r>
      <w:r w:rsidR="00205406">
        <w:t>d</w:t>
      </w:r>
      <w:r w:rsidR="00205406" w:rsidRPr="006D72A4">
        <w:t xml:space="preserve">écret </w:t>
      </w:r>
      <w:r w:rsidR="001C73D6" w:rsidRPr="006D72A4">
        <w:t>n</w:t>
      </w:r>
      <w:r w:rsidR="00205406" w:rsidRPr="001A0A15">
        <w:rPr>
          <w:vertAlign w:val="superscript"/>
        </w:rPr>
        <w:t>o</w:t>
      </w:r>
      <w:r w:rsidR="00205406">
        <w:t> </w:t>
      </w:r>
      <w:r w:rsidR="001C73D6" w:rsidRPr="006D72A4">
        <w:t xml:space="preserve">2013-594 du 6 août 2013, </w:t>
      </w:r>
      <w:r w:rsidR="005733DC">
        <w:t xml:space="preserve">a pour effet </w:t>
      </w:r>
      <w:r w:rsidR="006D3669">
        <w:t>d</w:t>
      </w:r>
      <w:r w:rsidR="005733DC">
        <w:t>’</w:t>
      </w:r>
      <w:r w:rsidR="00A43941" w:rsidRPr="006D72A4">
        <w:t>encourage</w:t>
      </w:r>
      <w:r w:rsidR="006D3669">
        <w:t>r</w:t>
      </w:r>
      <w:r w:rsidR="00A43941" w:rsidRPr="006D72A4">
        <w:t xml:space="preserve"> la</w:t>
      </w:r>
      <w:r w:rsidR="001C73D6" w:rsidRPr="006D72A4">
        <w:t xml:space="preserve"> migration irrégulière et expose</w:t>
      </w:r>
      <w:r w:rsidR="005733DC">
        <w:t xml:space="preserve"> ainsi</w:t>
      </w:r>
      <w:r w:rsidR="001C73D6" w:rsidRPr="006D72A4">
        <w:t xml:space="preserve"> </w:t>
      </w:r>
      <w:r w:rsidR="00A43941" w:rsidRPr="006D72A4">
        <w:t xml:space="preserve">les travailleurs migrants </w:t>
      </w:r>
      <w:r w:rsidR="001C73D6" w:rsidRPr="006D72A4">
        <w:t>à la</w:t>
      </w:r>
      <w:r w:rsidR="00872BA3" w:rsidRPr="006D72A4">
        <w:t xml:space="preserve"> traite en Arabie </w:t>
      </w:r>
      <w:r w:rsidR="001F60DF">
        <w:t>s</w:t>
      </w:r>
      <w:r w:rsidR="001F60DF" w:rsidRPr="006D72A4">
        <w:t>aoudite</w:t>
      </w:r>
      <w:r w:rsidR="00872BA3" w:rsidRPr="006D72A4">
        <w:t>, au Liban et en Chine</w:t>
      </w:r>
      <w:r w:rsidR="00F071BA">
        <w:t> </w:t>
      </w:r>
      <w:r w:rsidR="000A1D8A" w:rsidRPr="006D72A4">
        <w:t>;</w:t>
      </w:r>
    </w:p>
    <w:p w14:paraId="291A497A" w14:textId="71521F08" w:rsidR="00C276B7" w:rsidRPr="006D72A4" w:rsidRDefault="00370E93" w:rsidP="00370E93">
      <w:pPr>
        <w:pStyle w:val="SingleTxtG"/>
      </w:pPr>
      <w:r>
        <w:tab/>
      </w:r>
      <w:r>
        <w:tab/>
      </w:r>
      <w:r w:rsidR="000A1D8A" w:rsidRPr="006D72A4">
        <w:t>d)</w:t>
      </w:r>
      <w:r w:rsidR="000A1D8A" w:rsidRPr="006D72A4">
        <w:tab/>
      </w:r>
      <w:r w:rsidR="00FD35F2" w:rsidRPr="006D72A4">
        <w:t xml:space="preserve">Au </w:t>
      </w:r>
      <w:r w:rsidR="00BC0ACD" w:rsidRPr="006D72A4">
        <w:t xml:space="preserve">manque de confiance dans l’appareil judiciaire et </w:t>
      </w:r>
      <w:r w:rsidR="00B240EF">
        <w:t xml:space="preserve">à </w:t>
      </w:r>
      <w:r w:rsidR="00BC0ACD" w:rsidRPr="006D72A4">
        <w:t>la peur des répercussions</w:t>
      </w:r>
      <w:r w:rsidR="00FD35F2" w:rsidRPr="006D72A4">
        <w:t xml:space="preserve">, </w:t>
      </w:r>
      <w:r w:rsidR="00B240EF">
        <w:t xml:space="preserve">qui </w:t>
      </w:r>
      <w:r w:rsidR="000A27FE" w:rsidRPr="006D72A4">
        <w:t>contribu</w:t>
      </w:r>
      <w:r w:rsidR="00B240EF">
        <w:t>e</w:t>
      </w:r>
      <w:r w:rsidR="000A27FE" w:rsidRPr="006D72A4">
        <w:t xml:space="preserve">nt </w:t>
      </w:r>
      <w:r w:rsidR="00FD35F2" w:rsidRPr="006D72A4">
        <w:t>a</w:t>
      </w:r>
      <w:r w:rsidR="00C276B7" w:rsidRPr="006D72A4">
        <w:t xml:space="preserve">u taux bas de condamnations </w:t>
      </w:r>
      <w:r w:rsidR="006D3669">
        <w:t>pour</w:t>
      </w:r>
      <w:r w:rsidR="006D3669" w:rsidRPr="006D72A4">
        <w:t xml:space="preserve"> </w:t>
      </w:r>
      <w:r w:rsidR="00C276B7" w:rsidRPr="006D72A4">
        <w:t>traite de personnes</w:t>
      </w:r>
      <w:r w:rsidR="007D2D13">
        <w:t>,</w:t>
      </w:r>
      <w:r w:rsidR="00C276B7" w:rsidRPr="006D72A4">
        <w:t xml:space="preserve"> servitude domestique et exploitation sexuelle ;</w:t>
      </w:r>
    </w:p>
    <w:p w14:paraId="708193D3" w14:textId="42322FA5" w:rsidR="00767A46" w:rsidRPr="006D72A4" w:rsidRDefault="00370E93" w:rsidP="00370E93">
      <w:pPr>
        <w:pStyle w:val="SingleTxtG"/>
      </w:pPr>
      <w:r>
        <w:tab/>
      </w:r>
      <w:r>
        <w:tab/>
      </w:r>
      <w:r w:rsidR="001824C8" w:rsidRPr="006D72A4">
        <w:t>e</w:t>
      </w:r>
      <w:r w:rsidR="00C276B7" w:rsidRPr="006D72A4">
        <w:t>)</w:t>
      </w:r>
      <w:r w:rsidR="00C276B7" w:rsidRPr="006D72A4">
        <w:tab/>
      </w:r>
      <w:r w:rsidR="00C12B2A" w:rsidRPr="006D72A4">
        <w:t>Aux</w:t>
      </w:r>
      <w:r w:rsidR="00511B0A" w:rsidRPr="006D72A4">
        <w:t xml:space="preserve"> informations indiquant que les</w:t>
      </w:r>
      <w:r w:rsidR="00C12B2A" w:rsidRPr="006D72A4">
        <w:t xml:space="preserve"> services de soutien, de réhabilitation, d’intégration et </w:t>
      </w:r>
      <w:r w:rsidR="00C635F5" w:rsidRPr="006D72A4">
        <w:t>les réparations</w:t>
      </w:r>
      <w:r w:rsidR="00C12B2A" w:rsidRPr="006D72A4">
        <w:t xml:space="preserve"> ne sont pas garantis à tou</w:t>
      </w:r>
      <w:r w:rsidR="007D2D13">
        <w:t>tes</w:t>
      </w:r>
      <w:r w:rsidR="00C12B2A" w:rsidRPr="006D72A4">
        <w:t xml:space="preserve"> les victimes de </w:t>
      </w:r>
      <w:r w:rsidR="007D2D13">
        <w:t xml:space="preserve">la </w:t>
      </w:r>
      <w:r w:rsidR="00C12B2A" w:rsidRPr="006D72A4">
        <w:t>traite.</w:t>
      </w:r>
    </w:p>
    <w:p w14:paraId="361102EF" w14:textId="3B70E767" w:rsidR="007E52FD" w:rsidRPr="006D72A4" w:rsidRDefault="007E52FD" w:rsidP="006D72A4">
      <w:pPr>
        <w:pStyle w:val="SingleTxtG"/>
        <w:rPr>
          <w:b/>
        </w:rPr>
      </w:pPr>
      <w:r w:rsidRPr="006D72A4">
        <w:tab/>
      </w:r>
      <w:r w:rsidR="00F70B8F" w:rsidRPr="006D72A4">
        <w:t>54</w:t>
      </w:r>
      <w:r w:rsidRPr="006D72A4">
        <w:t>.</w:t>
      </w:r>
      <w:r w:rsidRPr="006D72A4">
        <w:rPr>
          <w:b/>
        </w:rPr>
        <w:tab/>
        <w:t>Le Comité recommande à l’</w:t>
      </w:r>
      <w:r w:rsidR="00CD41BB">
        <w:rPr>
          <w:b/>
        </w:rPr>
        <w:t>État</w:t>
      </w:r>
      <w:r w:rsidRPr="006D72A4">
        <w:rPr>
          <w:b/>
        </w:rPr>
        <w:t xml:space="preserve"> partie</w:t>
      </w:r>
      <w:r w:rsidR="00EB10EE" w:rsidRPr="006D72A4">
        <w:rPr>
          <w:b/>
        </w:rPr>
        <w:t>, conformément à l’observation générale n</w:t>
      </w:r>
      <w:r w:rsidR="003267AD" w:rsidRPr="001A0A15">
        <w:rPr>
          <w:b/>
          <w:vertAlign w:val="superscript"/>
        </w:rPr>
        <w:t>o</w:t>
      </w:r>
      <w:r w:rsidR="003267AD">
        <w:rPr>
          <w:b/>
        </w:rPr>
        <w:t> </w:t>
      </w:r>
      <w:r w:rsidR="00EB10EE" w:rsidRPr="006D72A4">
        <w:rPr>
          <w:b/>
        </w:rPr>
        <w:t>2</w:t>
      </w:r>
      <w:r w:rsidR="007D2D13">
        <w:rPr>
          <w:b/>
        </w:rPr>
        <w:t xml:space="preserve"> et </w:t>
      </w:r>
      <w:r w:rsidR="00FD35F2" w:rsidRPr="006D72A4">
        <w:rPr>
          <w:b/>
        </w:rPr>
        <w:t>aux Principes et directives concernant les droits de l</w:t>
      </w:r>
      <w:r w:rsidR="00873BC4">
        <w:rPr>
          <w:b/>
        </w:rPr>
        <w:t>’</w:t>
      </w:r>
      <w:r w:rsidR="00FD35F2" w:rsidRPr="006D72A4">
        <w:rPr>
          <w:b/>
        </w:rPr>
        <w:t>homme et la traite des êtres humains recommandés par le H</w:t>
      </w:r>
      <w:r w:rsidR="00873BC4">
        <w:rPr>
          <w:b/>
        </w:rPr>
        <w:t>aut-Commissariat aux droits de l’homme</w:t>
      </w:r>
      <w:r w:rsidR="00C06D97">
        <w:rPr>
          <w:b/>
        </w:rPr>
        <w:t> </w:t>
      </w:r>
      <w:r w:rsidRPr="006D72A4">
        <w:rPr>
          <w:b/>
        </w:rPr>
        <w:t>:</w:t>
      </w:r>
    </w:p>
    <w:p w14:paraId="45AA5946" w14:textId="041C13E8" w:rsidR="00D72DD5" w:rsidRPr="001A0A15" w:rsidRDefault="006D72A4" w:rsidP="006D72A4">
      <w:pPr>
        <w:pStyle w:val="SingleTxtG"/>
        <w:rPr>
          <w:b/>
          <w:bCs/>
        </w:rPr>
      </w:pPr>
      <w:r>
        <w:rPr>
          <w:b/>
        </w:rPr>
        <w:tab/>
      </w:r>
      <w:r w:rsidR="00511283" w:rsidRPr="009A1F63">
        <w:rPr>
          <w:b/>
        </w:rPr>
        <w:tab/>
      </w:r>
      <w:r w:rsidR="007E52FD" w:rsidRPr="001A0A15">
        <w:rPr>
          <w:b/>
          <w:bCs/>
        </w:rPr>
        <w:t>a)</w:t>
      </w:r>
      <w:r w:rsidR="007E52FD" w:rsidRPr="001A0A15">
        <w:rPr>
          <w:b/>
          <w:bCs/>
        </w:rPr>
        <w:tab/>
      </w:r>
      <w:r w:rsidR="008846F5" w:rsidRPr="001A0A15">
        <w:rPr>
          <w:b/>
          <w:bCs/>
        </w:rPr>
        <w:t>De</w:t>
      </w:r>
      <w:r w:rsidR="00D72DD5" w:rsidRPr="001A0A15">
        <w:rPr>
          <w:b/>
          <w:bCs/>
        </w:rPr>
        <w:t xml:space="preserve"> </w:t>
      </w:r>
      <w:r w:rsidR="00D269E8" w:rsidRPr="001A0A15">
        <w:rPr>
          <w:b/>
          <w:bCs/>
        </w:rPr>
        <w:t>prendre l</w:t>
      </w:r>
      <w:r w:rsidR="00D72DD5" w:rsidRPr="001A0A15">
        <w:rPr>
          <w:b/>
          <w:bCs/>
        </w:rPr>
        <w:t xml:space="preserve">es mesures appropriées pour </w:t>
      </w:r>
      <w:r w:rsidR="00D269E8" w:rsidRPr="001A0A15">
        <w:rPr>
          <w:b/>
          <w:bCs/>
        </w:rPr>
        <w:t>mettre</w:t>
      </w:r>
      <w:r w:rsidR="00D72DD5" w:rsidRPr="001A0A15">
        <w:rPr>
          <w:b/>
          <w:bCs/>
        </w:rPr>
        <w:t xml:space="preserve"> en place de</w:t>
      </w:r>
      <w:r w:rsidR="00D269E8" w:rsidRPr="001A0A15">
        <w:rPr>
          <w:b/>
          <w:bCs/>
        </w:rPr>
        <w:t>s</w:t>
      </w:r>
      <w:r w:rsidR="00D72DD5" w:rsidRPr="001A0A15">
        <w:rPr>
          <w:b/>
          <w:bCs/>
        </w:rPr>
        <w:t xml:space="preserve"> procédures de régularisation de la situation des travailleurs migrants en situation irrégulière et </w:t>
      </w:r>
      <w:r w:rsidR="00D269E8" w:rsidRPr="001A0A15">
        <w:rPr>
          <w:b/>
          <w:bCs/>
        </w:rPr>
        <w:t xml:space="preserve">de </w:t>
      </w:r>
      <w:r w:rsidR="00D72DD5" w:rsidRPr="001A0A15">
        <w:rPr>
          <w:b/>
          <w:bCs/>
        </w:rPr>
        <w:t xml:space="preserve">veiller à ce que </w:t>
      </w:r>
      <w:r w:rsidR="00864078" w:rsidRPr="001A0A15">
        <w:rPr>
          <w:b/>
          <w:bCs/>
        </w:rPr>
        <w:t>ceux-ci</w:t>
      </w:r>
      <w:r w:rsidR="00D72DD5" w:rsidRPr="001A0A15">
        <w:rPr>
          <w:b/>
          <w:bCs/>
        </w:rPr>
        <w:t xml:space="preserve"> soient informés de ces procédures</w:t>
      </w:r>
      <w:r w:rsidR="00D269E8" w:rsidRPr="001A0A15">
        <w:rPr>
          <w:b/>
          <w:bCs/>
        </w:rPr>
        <w:t> ;</w:t>
      </w:r>
    </w:p>
    <w:p w14:paraId="332FB317" w14:textId="191E3AB5" w:rsidR="005252F0" w:rsidRPr="001A0A15" w:rsidRDefault="00370E93" w:rsidP="00370E93">
      <w:pPr>
        <w:pStyle w:val="SingleTxtG"/>
        <w:rPr>
          <w:b/>
          <w:bCs/>
        </w:rPr>
      </w:pPr>
      <w:r w:rsidRPr="001A0A15">
        <w:rPr>
          <w:b/>
          <w:bCs/>
        </w:rPr>
        <w:tab/>
      </w:r>
      <w:r w:rsidRPr="001A0A15">
        <w:rPr>
          <w:b/>
          <w:bCs/>
        </w:rPr>
        <w:tab/>
      </w:r>
      <w:r w:rsidR="00D269E8" w:rsidRPr="001A0A15">
        <w:rPr>
          <w:b/>
          <w:bCs/>
        </w:rPr>
        <w:t>b)</w:t>
      </w:r>
      <w:r w:rsidR="00D269E8" w:rsidRPr="001A0A15">
        <w:rPr>
          <w:b/>
          <w:bCs/>
        </w:rPr>
        <w:tab/>
      </w:r>
      <w:r w:rsidR="005252F0" w:rsidRPr="001A0A15">
        <w:rPr>
          <w:b/>
          <w:bCs/>
        </w:rPr>
        <w:t>D</w:t>
      </w:r>
      <w:r w:rsidR="000B2A51" w:rsidRPr="001A0A15">
        <w:rPr>
          <w:b/>
          <w:bCs/>
        </w:rPr>
        <w:t>’</w:t>
      </w:r>
      <w:r w:rsidR="005252F0" w:rsidRPr="001A0A15">
        <w:rPr>
          <w:b/>
          <w:bCs/>
        </w:rPr>
        <w:t>allouer des ressources budgétaires suffisantes à l’amélioration de la gestion des frontières</w:t>
      </w:r>
      <w:r w:rsidR="000B28D0" w:rsidRPr="001A0A15">
        <w:rPr>
          <w:b/>
          <w:bCs/>
        </w:rPr>
        <w:t xml:space="preserve">, </w:t>
      </w:r>
      <w:r w:rsidR="000B2A51" w:rsidRPr="001A0A15">
        <w:rPr>
          <w:b/>
          <w:bCs/>
        </w:rPr>
        <w:t>et</w:t>
      </w:r>
      <w:r w:rsidR="00FD35F2" w:rsidRPr="001A0A15">
        <w:rPr>
          <w:b/>
          <w:bCs/>
        </w:rPr>
        <w:t xml:space="preserve"> </w:t>
      </w:r>
      <w:r w:rsidR="005252F0" w:rsidRPr="001A0A15">
        <w:rPr>
          <w:b/>
          <w:bCs/>
        </w:rPr>
        <w:t>de</w:t>
      </w:r>
      <w:r w:rsidR="0070223F" w:rsidRPr="001A0A15">
        <w:rPr>
          <w:b/>
          <w:bCs/>
        </w:rPr>
        <w:t xml:space="preserve"> renforcer le</w:t>
      </w:r>
      <w:r w:rsidR="005252F0" w:rsidRPr="001A0A15">
        <w:rPr>
          <w:b/>
          <w:bCs/>
        </w:rPr>
        <w:t xml:space="preserve">s formations sur la traite des êtres humains </w:t>
      </w:r>
      <w:r w:rsidR="00FD35F2" w:rsidRPr="001A0A15">
        <w:rPr>
          <w:b/>
          <w:bCs/>
        </w:rPr>
        <w:t>d</w:t>
      </w:r>
      <w:r w:rsidR="00864078" w:rsidRPr="001A0A15">
        <w:rPr>
          <w:b/>
          <w:bCs/>
        </w:rPr>
        <w:t xml:space="preserve">es </w:t>
      </w:r>
      <w:r w:rsidR="005252F0" w:rsidRPr="001A0A15">
        <w:rPr>
          <w:b/>
          <w:bCs/>
        </w:rPr>
        <w:t>agents des frontières, juges, procureurs, inspecteurs du travail, enseignants, agents de santé et employés des consulats et ambassades de l’</w:t>
      </w:r>
      <w:r w:rsidR="00CD41BB" w:rsidRPr="001A0A15">
        <w:rPr>
          <w:b/>
          <w:bCs/>
        </w:rPr>
        <w:t>État</w:t>
      </w:r>
      <w:r w:rsidR="005252F0" w:rsidRPr="001A0A15">
        <w:rPr>
          <w:b/>
          <w:bCs/>
        </w:rPr>
        <w:t xml:space="preserve"> partie</w:t>
      </w:r>
      <w:r w:rsidR="00F071BA" w:rsidRPr="001A0A15">
        <w:rPr>
          <w:b/>
          <w:bCs/>
        </w:rPr>
        <w:t> </w:t>
      </w:r>
      <w:r w:rsidR="005252F0" w:rsidRPr="001A0A15">
        <w:rPr>
          <w:b/>
          <w:bCs/>
        </w:rPr>
        <w:t>;</w:t>
      </w:r>
    </w:p>
    <w:p w14:paraId="47F638F8" w14:textId="23DD98C0" w:rsidR="008846F5" w:rsidRPr="001A0A15" w:rsidRDefault="00370E93" w:rsidP="00370E93">
      <w:pPr>
        <w:pStyle w:val="SingleTxtG"/>
        <w:rPr>
          <w:b/>
          <w:bCs/>
        </w:rPr>
      </w:pPr>
      <w:r w:rsidRPr="001A0A15">
        <w:rPr>
          <w:b/>
          <w:bCs/>
        </w:rPr>
        <w:tab/>
      </w:r>
      <w:r w:rsidRPr="001A0A15">
        <w:rPr>
          <w:b/>
          <w:bCs/>
        </w:rPr>
        <w:tab/>
      </w:r>
      <w:r w:rsidR="00BC0ACD" w:rsidRPr="001A0A15">
        <w:rPr>
          <w:b/>
          <w:bCs/>
        </w:rPr>
        <w:t>c)</w:t>
      </w:r>
      <w:r w:rsidR="00BC0ACD" w:rsidRPr="001A0A15">
        <w:rPr>
          <w:b/>
          <w:bCs/>
        </w:rPr>
        <w:tab/>
      </w:r>
      <w:r w:rsidR="005252F0" w:rsidRPr="001A0A15">
        <w:rPr>
          <w:b/>
          <w:bCs/>
        </w:rPr>
        <w:t>D’é</w:t>
      </w:r>
      <w:r w:rsidR="008846F5" w:rsidRPr="001A0A15">
        <w:rPr>
          <w:b/>
          <w:bCs/>
        </w:rPr>
        <w:t>tablir des accords bilatéraux permettant de veiller à ce que les travailleurs migrants soient protégés contre les abus et l’exploitation, plutôt que d’interdire les migrations en direction de destinations précises ;</w:t>
      </w:r>
    </w:p>
    <w:p w14:paraId="16DC449C" w14:textId="681E828C" w:rsidR="007E52FD" w:rsidRPr="001A0A15" w:rsidRDefault="00370E93" w:rsidP="00370E93">
      <w:pPr>
        <w:pStyle w:val="SingleTxtG"/>
        <w:rPr>
          <w:b/>
          <w:bCs/>
        </w:rPr>
      </w:pPr>
      <w:r w:rsidRPr="001A0A15">
        <w:rPr>
          <w:b/>
          <w:bCs/>
        </w:rPr>
        <w:lastRenderedPageBreak/>
        <w:tab/>
      </w:r>
      <w:r w:rsidRPr="001A0A15">
        <w:rPr>
          <w:b/>
          <w:bCs/>
        </w:rPr>
        <w:tab/>
      </w:r>
      <w:r w:rsidR="00BC0ACD" w:rsidRPr="001A0A15">
        <w:rPr>
          <w:b/>
          <w:bCs/>
        </w:rPr>
        <w:t>d)</w:t>
      </w:r>
      <w:r w:rsidR="00BC0ACD" w:rsidRPr="001A0A15">
        <w:rPr>
          <w:b/>
          <w:bCs/>
        </w:rPr>
        <w:tab/>
      </w:r>
      <w:r w:rsidR="00EA68DC" w:rsidRPr="001A0A15">
        <w:rPr>
          <w:b/>
          <w:bCs/>
        </w:rPr>
        <w:t xml:space="preserve">De </w:t>
      </w:r>
      <w:r w:rsidR="000B2A51" w:rsidRPr="001A0A15">
        <w:rPr>
          <w:b/>
          <w:bCs/>
        </w:rPr>
        <w:t xml:space="preserve">mettre en œuvre le manuel de procédure visant à détecter et à juger les cas de traite des êtres humains, de </w:t>
      </w:r>
      <w:r w:rsidR="00EA68DC" w:rsidRPr="001A0A15">
        <w:rPr>
          <w:b/>
          <w:bCs/>
        </w:rPr>
        <w:t>v</w:t>
      </w:r>
      <w:r w:rsidR="00EF3ECF" w:rsidRPr="001A0A15">
        <w:rPr>
          <w:b/>
          <w:bCs/>
        </w:rPr>
        <w:t>eiller à ce que tous les actes de traite des personnes et les infractions connexes, y compris la complicité, fassent l</w:t>
      </w:r>
      <w:r w:rsidR="006920A4" w:rsidRPr="001A0A15">
        <w:rPr>
          <w:b/>
          <w:bCs/>
        </w:rPr>
        <w:t>’</w:t>
      </w:r>
      <w:r w:rsidR="00EF3ECF" w:rsidRPr="001A0A15">
        <w:rPr>
          <w:b/>
          <w:bCs/>
        </w:rPr>
        <w:t>objet d</w:t>
      </w:r>
      <w:r w:rsidR="006920A4" w:rsidRPr="001A0A15">
        <w:rPr>
          <w:b/>
          <w:bCs/>
        </w:rPr>
        <w:t>’</w:t>
      </w:r>
      <w:r w:rsidR="00EF3ECF" w:rsidRPr="001A0A15">
        <w:rPr>
          <w:b/>
          <w:bCs/>
        </w:rPr>
        <w:t>une enquête, d</w:t>
      </w:r>
      <w:r w:rsidR="006920A4" w:rsidRPr="001A0A15">
        <w:rPr>
          <w:b/>
          <w:bCs/>
        </w:rPr>
        <w:t>e</w:t>
      </w:r>
      <w:r w:rsidR="00EF3ECF" w:rsidRPr="001A0A15">
        <w:rPr>
          <w:b/>
          <w:bCs/>
        </w:rPr>
        <w:t xml:space="preserve"> poursuite</w:t>
      </w:r>
      <w:r w:rsidR="006920A4" w:rsidRPr="001A0A15">
        <w:rPr>
          <w:b/>
          <w:bCs/>
        </w:rPr>
        <w:t>s</w:t>
      </w:r>
      <w:r w:rsidR="00EF3ECF" w:rsidRPr="001A0A15">
        <w:rPr>
          <w:b/>
          <w:bCs/>
        </w:rPr>
        <w:t xml:space="preserve"> et d</w:t>
      </w:r>
      <w:r w:rsidR="006920A4" w:rsidRPr="001A0A15">
        <w:rPr>
          <w:b/>
          <w:bCs/>
        </w:rPr>
        <w:t>’</w:t>
      </w:r>
      <w:r w:rsidR="00EF3ECF" w:rsidRPr="001A0A15">
        <w:rPr>
          <w:b/>
          <w:bCs/>
        </w:rPr>
        <w:t>une répression rapide et efficace</w:t>
      </w:r>
      <w:r w:rsidR="00770C4F" w:rsidRPr="001A0A15">
        <w:rPr>
          <w:b/>
          <w:bCs/>
        </w:rPr>
        <w:t>,</w:t>
      </w:r>
      <w:r w:rsidR="006920A4" w:rsidRPr="001A0A15">
        <w:rPr>
          <w:b/>
          <w:bCs/>
        </w:rPr>
        <w:t xml:space="preserve"> </w:t>
      </w:r>
      <w:r w:rsidR="00770C4F" w:rsidRPr="001A0A15">
        <w:rPr>
          <w:b/>
          <w:bCs/>
        </w:rPr>
        <w:t>et de garantir que tous les victimes et témoins de crimes, y compris des enfants, bénéficient de la protection garantie par la Convention</w:t>
      </w:r>
      <w:r w:rsidR="00F071BA" w:rsidRPr="001A0A15">
        <w:rPr>
          <w:b/>
          <w:bCs/>
        </w:rPr>
        <w:t> </w:t>
      </w:r>
      <w:r w:rsidR="00EF3ECF" w:rsidRPr="001A0A15">
        <w:rPr>
          <w:b/>
          <w:bCs/>
        </w:rPr>
        <w:t>;</w:t>
      </w:r>
    </w:p>
    <w:p w14:paraId="1B40E586" w14:textId="75831C8F" w:rsidR="007E52FD" w:rsidRDefault="00370E93" w:rsidP="00370E93">
      <w:pPr>
        <w:pStyle w:val="SingleTxtG"/>
        <w:rPr>
          <w:b/>
        </w:rPr>
      </w:pPr>
      <w:r w:rsidRPr="001A0A15">
        <w:rPr>
          <w:b/>
          <w:bCs/>
        </w:rPr>
        <w:tab/>
      </w:r>
      <w:r w:rsidRPr="001A0A15">
        <w:rPr>
          <w:b/>
          <w:bCs/>
        </w:rPr>
        <w:tab/>
      </w:r>
      <w:r w:rsidR="001824C8" w:rsidRPr="001A0A15">
        <w:rPr>
          <w:b/>
          <w:bCs/>
        </w:rPr>
        <w:t>e</w:t>
      </w:r>
      <w:r w:rsidR="00BC0ACD" w:rsidRPr="001A0A15">
        <w:rPr>
          <w:b/>
          <w:bCs/>
        </w:rPr>
        <w:t>)</w:t>
      </w:r>
      <w:r w:rsidR="00EF3ECF" w:rsidRPr="001A0A15">
        <w:rPr>
          <w:b/>
          <w:bCs/>
        </w:rPr>
        <w:tab/>
      </w:r>
      <w:r w:rsidR="00702B7A" w:rsidRPr="001A0A15">
        <w:rPr>
          <w:b/>
          <w:bCs/>
        </w:rPr>
        <w:t>De</w:t>
      </w:r>
      <w:r w:rsidR="00B13EE7" w:rsidRPr="001A0A15">
        <w:rPr>
          <w:b/>
          <w:bCs/>
        </w:rPr>
        <w:t xml:space="preserve"> garantir</w:t>
      </w:r>
      <w:r w:rsidR="00B13EE7" w:rsidRPr="006D72A4">
        <w:rPr>
          <w:b/>
        </w:rPr>
        <w:t xml:space="preserve"> l’accès de </w:t>
      </w:r>
      <w:r w:rsidR="006920A4" w:rsidRPr="006D72A4">
        <w:rPr>
          <w:b/>
        </w:rPr>
        <w:t>tou</w:t>
      </w:r>
      <w:r w:rsidR="006920A4">
        <w:rPr>
          <w:b/>
        </w:rPr>
        <w:t>tes</w:t>
      </w:r>
      <w:r w:rsidR="006920A4" w:rsidRPr="006D72A4">
        <w:rPr>
          <w:b/>
        </w:rPr>
        <w:t xml:space="preserve"> </w:t>
      </w:r>
      <w:r w:rsidR="00B13EE7" w:rsidRPr="006D72A4">
        <w:rPr>
          <w:b/>
        </w:rPr>
        <w:t>les victimes de traite</w:t>
      </w:r>
      <w:r w:rsidR="00702B7A" w:rsidRPr="006D72A4">
        <w:rPr>
          <w:b/>
        </w:rPr>
        <w:t xml:space="preserve"> </w:t>
      </w:r>
      <w:r w:rsidR="009923A7" w:rsidRPr="006D72A4">
        <w:rPr>
          <w:b/>
        </w:rPr>
        <w:t>à une assistance juridique, psychologique, médicale et sociale, ainsi qu’à des foyers et des réparations</w:t>
      </w:r>
      <w:r w:rsidR="00796433" w:rsidRPr="006D72A4">
        <w:rPr>
          <w:b/>
        </w:rPr>
        <w:t>, indépendamment de leur capacité ou de leur volonté de se porter témoin</w:t>
      </w:r>
      <w:r w:rsidR="00B13EE7" w:rsidRPr="006D72A4">
        <w:rPr>
          <w:b/>
        </w:rPr>
        <w:t>,</w:t>
      </w:r>
      <w:r w:rsidR="00587D0B" w:rsidRPr="006D72A4">
        <w:rPr>
          <w:b/>
        </w:rPr>
        <w:t xml:space="preserve"> et </w:t>
      </w:r>
      <w:r w:rsidR="00B13EE7" w:rsidRPr="006D72A4">
        <w:rPr>
          <w:b/>
        </w:rPr>
        <w:t>de</w:t>
      </w:r>
      <w:r w:rsidR="00587D0B" w:rsidRPr="006D72A4">
        <w:rPr>
          <w:b/>
        </w:rPr>
        <w:t xml:space="preserve"> mett</w:t>
      </w:r>
      <w:r w:rsidR="00B13EE7" w:rsidRPr="006D72A4">
        <w:rPr>
          <w:b/>
        </w:rPr>
        <w:t>re</w:t>
      </w:r>
      <w:r w:rsidR="00587D0B" w:rsidRPr="006D72A4">
        <w:rPr>
          <w:b/>
        </w:rPr>
        <w:t xml:space="preserve"> en œuvre </w:t>
      </w:r>
      <w:r w:rsidR="00B13EE7" w:rsidRPr="006D72A4">
        <w:rPr>
          <w:b/>
        </w:rPr>
        <w:t xml:space="preserve">son </w:t>
      </w:r>
      <w:r w:rsidR="00587D0B" w:rsidRPr="006D72A4">
        <w:rPr>
          <w:b/>
        </w:rPr>
        <w:t>manuel de prise en charge des victimes</w:t>
      </w:r>
      <w:r w:rsidR="009923A7" w:rsidRPr="006D72A4">
        <w:rPr>
          <w:b/>
        </w:rPr>
        <w:t>.</w:t>
      </w:r>
    </w:p>
    <w:p w14:paraId="61555350" w14:textId="77777777" w:rsidR="00321C08" w:rsidRPr="006D72A4" w:rsidRDefault="00321C08" w:rsidP="00321C08">
      <w:pPr>
        <w:pStyle w:val="H23G"/>
      </w:pPr>
      <w:r w:rsidRPr="006D72A4">
        <w:tab/>
        <w:t>6.</w:t>
      </w:r>
      <w:r w:rsidRPr="006D72A4">
        <w:tab/>
        <w:t>Diffusion et suivi</w:t>
      </w:r>
    </w:p>
    <w:p w14:paraId="216A0E8A" w14:textId="77777777" w:rsidR="00321C08" w:rsidRPr="006D72A4" w:rsidRDefault="00321C08" w:rsidP="00321C08">
      <w:pPr>
        <w:pStyle w:val="H23G"/>
      </w:pPr>
      <w:r w:rsidRPr="006D72A4">
        <w:tab/>
      </w:r>
      <w:r w:rsidRPr="006D72A4">
        <w:tab/>
      </w:r>
      <w:r w:rsidRPr="006D72A4">
        <w:tab/>
        <w:t>Diffusion</w:t>
      </w:r>
    </w:p>
    <w:p w14:paraId="7CBC7BE0" w14:textId="77777777" w:rsidR="00321C08" w:rsidRPr="00577A59" w:rsidRDefault="00321C08" w:rsidP="00321C08">
      <w:pPr>
        <w:pStyle w:val="SingleTxtG"/>
      </w:pPr>
      <w:r>
        <w:t>55</w:t>
      </w:r>
      <w:r w:rsidRPr="00577A59">
        <w:t>.</w:t>
      </w:r>
      <w:r>
        <w:tab/>
      </w:r>
      <w:r w:rsidRPr="006D72A4">
        <w:rPr>
          <w:b/>
        </w:rPr>
        <w:t>Le Comité demande à l’État partie de garantir la diffusion rapide des présentes observations finales, dans la langue officielle de l’État partie, aux institutions d’État pertinentes à tous les niveaux, notamment auprès des ministères, du Parlement, de l’appareil judiciaire et des autorités locales, ainsi qu’aux organisations non gouvernementales et autres membres de la société civile.</w:t>
      </w:r>
    </w:p>
    <w:p w14:paraId="65E945F8" w14:textId="77777777" w:rsidR="00321C08" w:rsidRPr="006D72A4" w:rsidRDefault="00321C08" w:rsidP="00321C08">
      <w:pPr>
        <w:pStyle w:val="H23G"/>
      </w:pPr>
      <w:r w:rsidRPr="006D72A4">
        <w:tab/>
      </w:r>
      <w:r w:rsidRPr="006D72A4">
        <w:tab/>
        <w:t>Assistance technique</w:t>
      </w:r>
    </w:p>
    <w:p w14:paraId="412E3634" w14:textId="77777777" w:rsidR="00321C08" w:rsidRDefault="00321C08" w:rsidP="00321C08">
      <w:pPr>
        <w:pStyle w:val="SingleTxtG"/>
        <w:rPr>
          <w:b/>
        </w:rPr>
      </w:pPr>
      <w:r>
        <w:t>56.</w:t>
      </w:r>
      <w:r>
        <w:tab/>
      </w:r>
      <w:r w:rsidRPr="006D72A4">
        <w:rPr>
          <w:b/>
        </w:rPr>
        <w:t>Le Comité recommande à l’État partie de faire appel à l’assistance internationale pour la mise en œuvre des recommandations contenues dans les présentes observations finales conformément au Programme de développement durable à l’horizon 2030.</w:t>
      </w:r>
    </w:p>
    <w:p w14:paraId="24E22D14" w14:textId="5C7AC1BB" w:rsidR="00321C08" w:rsidRPr="00313110" w:rsidRDefault="00321C08" w:rsidP="00313110">
      <w:pPr>
        <w:pStyle w:val="H23G"/>
      </w:pPr>
      <w:r w:rsidRPr="00313110">
        <w:tab/>
      </w:r>
      <w:r w:rsidRPr="00313110">
        <w:tab/>
        <w:t>Suivi des observations finales</w:t>
      </w:r>
    </w:p>
    <w:p w14:paraId="232CE823" w14:textId="3DA9F46C" w:rsidR="00313110" w:rsidRPr="00313110" w:rsidRDefault="00321C08" w:rsidP="00313110">
      <w:pPr>
        <w:pStyle w:val="SingleTxtG"/>
        <w:rPr>
          <w:b/>
        </w:rPr>
      </w:pPr>
      <w:r w:rsidRPr="00313110">
        <w:t>57.</w:t>
      </w:r>
      <w:r w:rsidRPr="00313110">
        <w:tab/>
      </w:r>
      <w:r w:rsidRPr="00313110">
        <w:rPr>
          <w:b/>
        </w:rPr>
        <w:t>Le Comité invite l’État partie à lui fournir, d’ici deux ans, soit le 1</w:t>
      </w:r>
      <w:r w:rsidRPr="0021684D">
        <w:rPr>
          <w:b/>
          <w:vertAlign w:val="superscript"/>
        </w:rPr>
        <w:t>er</w:t>
      </w:r>
      <w:r w:rsidR="0021684D">
        <w:rPr>
          <w:b/>
        </w:rPr>
        <w:t xml:space="preserve"> </w:t>
      </w:r>
      <w:r w:rsidRPr="00313110">
        <w:rPr>
          <w:b/>
        </w:rPr>
        <w:t>octobre 2020 au plus tard, des informations écrites sur la mise en œuvre des recommandations figurant aux paragraphes 8, 20, 38 et 50 ci-dessus</w:t>
      </w:r>
      <w:r w:rsidR="00313110">
        <w:rPr>
          <w:b/>
        </w:rPr>
        <w:t>.</w:t>
      </w:r>
    </w:p>
    <w:p w14:paraId="0D69919E" w14:textId="77777777" w:rsidR="00313110" w:rsidRPr="002B253B" w:rsidRDefault="00313110" w:rsidP="00313110">
      <w:pPr>
        <w:pStyle w:val="H23G"/>
      </w:pPr>
      <w:r w:rsidRPr="002B253B">
        <w:tab/>
      </w:r>
      <w:r w:rsidRPr="002B253B">
        <w:tab/>
        <w:t>Prochain rapport périodique</w:t>
      </w:r>
    </w:p>
    <w:p w14:paraId="28198ED7" w14:textId="41EB82C6" w:rsidR="00313110" w:rsidRPr="002B253B" w:rsidRDefault="00313110" w:rsidP="00321C08">
      <w:pPr>
        <w:pStyle w:val="SingleTxtG"/>
      </w:pPr>
      <w:r w:rsidRPr="002E0E62">
        <w:t>58.</w:t>
      </w:r>
      <w:r w:rsidRPr="002E0E62">
        <w:tab/>
      </w:r>
      <w:r w:rsidRPr="002E0E62">
        <w:rPr>
          <w:b/>
        </w:rPr>
        <w:t xml:space="preserve">Le Comité prie l’État partie de soumettre son deuxième rapport périodique d’ici au </w:t>
      </w:r>
      <w:r w:rsidRPr="00D7779A">
        <w:rPr>
          <w:b/>
        </w:rPr>
        <w:t>1</w:t>
      </w:r>
      <w:r w:rsidRPr="00105185">
        <w:rPr>
          <w:b/>
          <w:vertAlign w:val="superscript"/>
        </w:rPr>
        <w:t>er</w:t>
      </w:r>
      <w:r>
        <w:rPr>
          <w:b/>
        </w:rPr>
        <w:t xml:space="preserve"> octobre</w:t>
      </w:r>
      <w:r w:rsidRPr="00D7779A">
        <w:rPr>
          <w:b/>
        </w:rPr>
        <w:t xml:space="preserve"> 2023. Pour</w:t>
      </w:r>
      <w:r w:rsidRPr="006D72A4">
        <w:rPr>
          <w:b/>
        </w:rPr>
        <w:t xml:space="preserve"> ce faire, l’État partie peut souhaiter suivre la procédure simplifiée. Le Comité appelle l’attention de l’État partie sur ses directives harmonisées (</w:t>
      </w:r>
      <w:r w:rsidR="00EE4C2A">
        <w:rPr>
          <w:b/>
        </w:rPr>
        <w:t>HRI/GEN.2/Rev.6</w:t>
      </w:r>
      <w:r w:rsidRPr="006D72A4">
        <w:rPr>
          <w:b/>
        </w:rPr>
        <w:t>).</w:t>
      </w:r>
    </w:p>
    <w:p w14:paraId="381E9513" w14:textId="354416DF" w:rsidR="001158E4" w:rsidRPr="007D64DD" w:rsidRDefault="001158E4" w:rsidP="001158E4">
      <w:pPr>
        <w:spacing w:before="240"/>
        <w:ind w:left="1134" w:right="1134"/>
        <w:jc w:val="center"/>
        <w:rPr>
          <w:b/>
          <w:u w:val="single"/>
        </w:rPr>
      </w:pPr>
      <w:r>
        <w:rPr>
          <w:bCs/>
          <w:u w:val="single"/>
        </w:rPr>
        <w:tab/>
      </w:r>
      <w:r>
        <w:rPr>
          <w:bCs/>
          <w:u w:val="single"/>
        </w:rPr>
        <w:tab/>
      </w:r>
      <w:r>
        <w:rPr>
          <w:bCs/>
          <w:u w:val="single"/>
        </w:rPr>
        <w:tab/>
      </w:r>
      <w:r w:rsidR="009A1F63">
        <w:rPr>
          <w:bCs/>
          <w:u w:val="single"/>
        </w:rPr>
        <w:tab/>
      </w:r>
    </w:p>
    <w:sectPr w:rsidR="001158E4" w:rsidRPr="007D64DD" w:rsidSect="0015197A">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79F2C" w14:textId="77777777" w:rsidR="003B6FE3" w:rsidRDefault="003B6FE3"/>
  </w:endnote>
  <w:endnote w:type="continuationSeparator" w:id="0">
    <w:p w14:paraId="307F98B9" w14:textId="77777777" w:rsidR="003B6FE3" w:rsidRDefault="003B6FE3"/>
  </w:endnote>
  <w:endnote w:type="continuationNotice" w:id="1">
    <w:p w14:paraId="2BF374D4" w14:textId="77777777" w:rsidR="003B6FE3" w:rsidRDefault="003B6F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AC766" w14:textId="66B70A0E" w:rsidR="003B6FE3" w:rsidRDefault="003B6FE3" w:rsidP="001A0A15">
    <w:pPr>
      <w:pStyle w:val="Pieddepage"/>
      <w:tabs>
        <w:tab w:val="right" w:pos="9638"/>
      </w:tabs>
    </w:pPr>
    <w:r w:rsidRPr="002505C9">
      <w:rPr>
        <w:b/>
        <w:sz w:val="18"/>
      </w:rPr>
      <w:fldChar w:fldCharType="begin"/>
    </w:r>
    <w:r w:rsidRPr="002505C9">
      <w:rPr>
        <w:b/>
        <w:sz w:val="18"/>
      </w:rPr>
      <w:instrText xml:space="preserve"> PAGE  \* MERGEFORMAT </w:instrText>
    </w:r>
    <w:r w:rsidRPr="002505C9">
      <w:rPr>
        <w:b/>
        <w:sz w:val="18"/>
      </w:rPr>
      <w:fldChar w:fldCharType="separate"/>
    </w:r>
    <w:r w:rsidR="00D23003">
      <w:rPr>
        <w:b/>
        <w:noProof/>
        <w:sz w:val="18"/>
      </w:rPr>
      <w:t>2</w:t>
    </w:r>
    <w:r w:rsidRPr="002505C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AF73C" w14:textId="438066C4" w:rsidR="003B6FE3" w:rsidRDefault="003B6FE3" w:rsidP="001A0A15">
    <w:pPr>
      <w:pStyle w:val="Pieddepage"/>
      <w:tabs>
        <w:tab w:val="right" w:pos="9638"/>
      </w:tabs>
    </w:pPr>
    <w:r>
      <w:tab/>
    </w:r>
    <w:r w:rsidRPr="002505C9">
      <w:rPr>
        <w:b/>
        <w:sz w:val="18"/>
      </w:rPr>
      <w:fldChar w:fldCharType="begin"/>
    </w:r>
    <w:r w:rsidRPr="002505C9">
      <w:rPr>
        <w:b/>
        <w:sz w:val="18"/>
      </w:rPr>
      <w:instrText xml:space="preserve"> PAGE  \* MERGEFORMAT </w:instrText>
    </w:r>
    <w:r w:rsidRPr="002505C9">
      <w:rPr>
        <w:b/>
        <w:sz w:val="18"/>
      </w:rPr>
      <w:fldChar w:fldCharType="separate"/>
    </w:r>
    <w:r w:rsidR="00D23003">
      <w:rPr>
        <w:b/>
        <w:noProof/>
        <w:sz w:val="18"/>
      </w:rPr>
      <w:t>3</w:t>
    </w:r>
    <w:r w:rsidRPr="002505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1EDAA" w14:textId="6D64FDBB" w:rsidR="007A5A98" w:rsidRPr="007A5A98" w:rsidRDefault="007A5A98" w:rsidP="007A5A98">
    <w:pPr>
      <w:pStyle w:val="Pieddepage"/>
      <w:spacing w:before="120"/>
      <w:rPr>
        <w:sz w:val="20"/>
      </w:rPr>
    </w:pPr>
    <w:r w:rsidRPr="007A5A98">
      <w:rPr>
        <w:rFonts w:ascii="C39T30Lfz" w:hAnsi="C39T30Lfz"/>
        <w:noProof/>
        <w:sz w:val="56"/>
        <w:lang w:eastAsia="fr-CH"/>
      </w:rPr>
      <w:drawing>
        <wp:anchor distT="0" distB="0" distL="114300" distR="114300" simplePos="0" relativeHeight="251660288" behindDoc="0" locked="0" layoutInCell="1" allowOverlap="0" wp14:anchorId="3AF39ACF" wp14:editId="3B362903">
          <wp:simplePos x="0" y="0"/>
          <wp:positionH relativeFrom="margin">
            <wp:posOffset>4320540</wp:posOffset>
          </wp:positionH>
          <wp:positionV relativeFrom="margin">
            <wp:posOffset>9116881</wp:posOffset>
          </wp:positionV>
          <wp:extent cx="1104900" cy="23368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GE.18-17104  (F)</w:t>
    </w:r>
    <w:r>
      <w:rPr>
        <w:sz w:val="20"/>
      </w:rPr>
      <w:br/>
    </w:r>
    <w:r w:rsidRPr="007A5A98">
      <w:rPr>
        <w:rFonts w:ascii="C39T30Lfz" w:hAnsi="C39T30Lfz"/>
        <w:sz w:val="56"/>
      </w:rPr>
      <w:t></w:t>
    </w:r>
    <w:r w:rsidRPr="007A5A98">
      <w:rPr>
        <w:rFonts w:ascii="C39T30Lfz" w:hAnsi="C39T30Lfz"/>
        <w:sz w:val="56"/>
      </w:rPr>
      <w:t></w:t>
    </w:r>
    <w:r w:rsidRPr="007A5A98">
      <w:rPr>
        <w:rFonts w:ascii="C39T30Lfz" w:hAnsi="C39T30Lfz"/>
        <w:sz w:val="56"/>
      </w:rPr>
      <w:t></w:t>
    </w:r>
    <w:r w:rsidRPr="007A5A98">
      <w:rPr>
        <w:rFonts w:ascii="C39T30Lfz" w:hAnsi="C39T30Lfz"/>
        <w:sz w:val="56"/>
      </w:rPr>
      <w:t></w:t>
    </w:r>
    <w:r w:rsidRPr="007A5A98">
      <w:rPr>
        <w:rFonts w:ascii="C39T30Lfz" w:hAnsi="C39T30Lfz"/>
        <w:sz w:val="56"/>
      </w:rPr>
      <w:t></w:t>
    </w:r>
    <w:r w:rsidRPr="007A5A98">
      <w:rPr>
        <w:rFonts w:ascii="C39T30Lfz" w:hAnsi="C39T30Lfz"/>
        <w:sz w:val="56"/>
      </w:rPr>
      <w:t></w:t>
    </w:r>
    <w:r w:rsidRPr="007A5A98">
      <w:rPr>
        <w:rFonts w:ascii="C39T30Lfz" w:hAnsi="C39T30Lfz"/>
        <w:sz w:val="56"/>
      </w:rPr>
      <w:t></w:t>
    </w:r>
    <w:r w:rsidRPr="007A5A98">
      <w:rPr>
        <w:rFonts w:ascii="C39T30Lfz" w:hAnsi="C39T30Lfz"/>
        <w:sz w:val="56"/>
      </w:rPr>
      <w:t></w:t>
    </w:r>
    <w:r w:rsidRPr="007A5A98">
      <w:rPr>
        <w:rFonts w:ascii="C39T30Lfz" w:hAnsi="C39T30Lfz"/>
        <w:sz w:val="56"/>
      </w:rPr>
      <w:t></w:t>
    </w:r>
    <w:r>
      <w:rPr>
        <w:noProof/>
        <w:sz w:val="20"/>
      </w:rPr>
      <w:drawing>
        <wp:anchor distT="0" distB="0" distL="114300" distR="114300" simplePos="0" relativeHeight="251658240" behindDoc="0" locked="0" layoutInCell="1" allowOverlap="1" wp14:anchorId="010EDB31" wp14:editId="5D04B3AA">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CMW/C/MDG/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MDG/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E8C15" w14:textId="77777777" w:rsidR="003B6FE3" w:rsidRPr="00D27D5E" w:rsidRDefault="003B6FE3" w:rsidP="00D27D5E">
      <w:pPr>
        <w:tabs>
          <w:tab w:val="right" w:pos="2155"/>
        </w:tabs>
        <w:spacing w:after="80"/>
        <w:ind w:left="680"/>
        <w:rPr>
          <w:u w:val="single"/>
        </w:rPr>
      </w:pPr>
      <w:r>
        <w:rPr>
          <w:u w:val="single"/>
        </w:rPr>
        <w:tab/>
      </w:r>
    </w:p>
  </w:footnote>
  <w:footnote w:type="continuationSeparator" w:id="0">
    <w:p w14:paraId="69802A9A" w14:textId="77777777" w:rsidR="003B6FE3" w:rsidRPr="00276B0B" w:rsidRDefault="003B6FE3" w:rsidP="00276B0B">
      <w:pPr>
        <w:tabs>
          <w:tab w:val="right" w:pos="2155"/>
        </w:tabs>
        <w:spacing w:after="80"/>
        <w:ind w:left="680"/>
        <w:rPr>
          <w:u w:val="single"/>
        </w:rPr>
      </w:pPr>
      <w:r w:rsidRPr="00276B0B">
        <w:rPr>
          <w:u w:val="single"/>
        </w:rPr>
        <w:tab/>
      </w:r>
    </w:p>
  </w:footnote>
  <w:footnote w:type="continuationNotice" w:id="1">
    <w:p w14:paraId="1B4792CF" w14:textId="77777777" w:rsidR="003B6FE3" w:rsidRDefault="003B6FE3"/>
  </w:footnote>
  <w:footnote w:id="2">
    <w:p w14:paraId="1C2FE211" w14:textId="5B632030" w:rsidR="003B6FE3" w:rsidRPr="00B361B7" w:rsidRDefault="003B6FE3">
      <w:pPr>
        <w:pStyle w:val="Notedebasdepage"/>
        <w:rPr>
          <w:lang w:val="fr-FR"/>
        </w:rPr>
      </w:pPr>
      <w:r>
        <w:rPr>
          <w:rStyle w:val="Appelnotedebasdep"/>
        </w:rPr>
        <w:tab/>
      </w:r>
      <w:r w:rsidRPr="00D23003">
        <w:rPr>
          <w:rStyle w:val="Appelnotedebasdep"/>
          <w:szCs w:val="18"/>
          <w:vertAlign w:val="baseline"/>
        </w:rPr>
        <w:t>*</w:t>
      </w:r>
      <w:r>
        <w:rPr>
          <w:rStyle w:val="Appelnotedebasdep"/>
          <w:sz w:val="20"/>
          <w:vertAlign w:val="baseline"/>
        </w:rPr>
        <w:tab/>
      </w:r>
      <w:r>
        <w:t>Adoptées par le Comité à</w:t>
      </w:r>
      <w:bookmarkStart w:id="0" w:name="_GoBack"/>
      <w:bookmarkEnd w:id="0"/>
      <w:r>
        <w:t xml:space="preserve"> sa vingt-neuvième session (3-12 septembre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6ED86" w14:textId="47C96D7E" w:rsidR="003B6FE3" w:rsidRPr="002505C9" w:rsidRDefault="00B92D83">
    <w:pPr>
      <w:pStyle w:val="En-tte"/>
    </w:pPr>
    <w:r>
      <w:fldChar w:fldCharType="begin"/>
    </w:r>
    <w:r>
      <w:instrText xml:space="preserve"> TITLE  \* MERGEFORMAT </w:instrText>
    </w:r>
    <w:r>
      <w:fldChar w:fldCharType="separate"/>
    </w:r>
    <w:r w:rsidR="0047443E">
      <w:t>CMW/C/MDG/CO/1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D7E11" w14:textId="0FB9ABF9" w:rsidR="003B6FE3" w:rsidRDefault="00B92D83" w:rsidP="001A0A15">
    <w:pPr>
      <w:pStyle w:val="En-tte"/>
      <w:jc w:val="right"/>
    </w:pPr>
    <w:r>
      <w:fldChar w:fldCharType="begin"/>
    </w:r>
    <w:r>
      <w:instrText xml:space="preserve"> TITLE  \* MERGEFORMA</w:instrText>
    </w:r>
    <w:r>
      <w:instrText xml:space="preserve">T </w:instrText>
    </w:r>
    <w:r>
      <w:fldChar w:fldCharType="separate"/>
    </w:r>
    <w:r w:rsidR="0047443E">
      <w:t>CMW/C/MDG/CO/1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 w15:restartNumberingAfterBreak="0">
    <w:nsid w:val="74E0791E"/>
    <w:multiLevelType w:val="hybridMultilevel"/>
    <w:tmpl w:val="3992E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activeWritingStyle w:appName="MSWord" w:lang="en-GB" w:vendorID="64" w:dllVersion="5"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 w:vendorID="64" w:dllVersion="6" w:nlCheck="1" w:checkStyle="1"/>
  <w:activeWritingStyle w:appName="MSWord" w:lang="es-CR" w:vendorID="64" w:dllVersion="6" w:nlCheck="1" w:checkStyle="0"/>
  <w:activeWritingStyle w:appName="MSWord" w:lang="fr-CH" w:vendorID="64" w:dllVersion="0" w:nlCheck="1" w:checkStyle="0"/>
  <w:activeWritingStyle w:appName="MSWord" w:lang="fr-FR"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697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5C9"/>
    <w:rsid w:val="00000085"/>
    <w:rsid w:val="0000480C"/>
    <w:rsid w:val="000059BC"/>
    <w:rsid w:val="00006608"/>
    <w:rsid w:val="0001203E"/>
    <w:rsid w:val="00013AD2"/>
    <w:rsid w:val="00016AC5"/>
    <w:rsid w:val="00017147"/>
    <w:rsid w:val="00020798"/>
    <w:rsid w:val="00020FB6"/>
    <w:rsid w:val="00020FD0"/>
    <w:rsid w:val="0002292B"/>
    <w:rsid w:val="00022F10"/>
    <w:rsid w:val="00024149"/>
    <w:rsid w:val="00026098"/>
    <w:rsid w:val="00030095"/>
    <w:rsid w:val="0003248A"/>
    <w:rsid w:val="000359B4"/>
    <w:rsid w:val="00037F10"/>
    <w:rsid w:val="000410B8"/>
    <w:rsid w:val="00042B14"/>
    <w:rsid w:val="00044C33"/>
    <w:rsid w:val="000502E5"/>
    <w:rsid w:val="00051ACF"/>
    <w:rsid w:val="00051BE1"/>
    <w:rsid w:val="000538EC"/>
    <w:rsid w:val="0005744A"/>
    <w:rsid w:val="00057F80"/>
    <w:rsid w:val="00060AB7"/>
    <w:rsid w:val="0006480A"/>
    <w:rsid w:val="0006679A"/>
    <w:rsid w:val="000712C8"/>
    <w:rsid w:val="000737E6"/>
    <w:rsid w:val="000745E6"/>
    <w:rsid w:val="00076034"/>
    <w:rsid w:val="00080129"/>
    <w:rsid w:val="000801A3"/>
    <w:rsid w:val="00083A01"/>
    <w:rsid w:val="000906C1"/>
    <w:rsid w:val="0009088E"/>
    <w:rsid w:val="000922BA"/>
    <w:rsid w:val="00093181"/>
    <w:rsid w:val="00094C53"/>
    <w:rsid w:val="000A054C"/>
    <w:rsid w:val="000A1B81"/>
    <w:rsid w:val="000A1D8A"/>
    <w:rsid w:val="000A27FE"/>
    <w:rsid w:val="000A286B"/>
    <w:rsid w:val="000A3177"/>
    <w:rsid w:val="000A345A"/>
    <w:rsid w:val="000A4502"/>
    <w:rsid w:val="000A5AEB"/>
    <w:rsid w:val="000B1A02"/>
    <w:rsid w:val="000B28D0"/>
    <w:rsid w:val="000B2A51"/>
    <w:rsid w:val="000B3A43"/>
    <w:rsid w:val="000B4792"/>
    <w:rsid w:val="000C23CD"/>
    <w:rsid w:val="000C47B4"/>
    <w:rsid w:val="000C57D5"/>
    <w:rsid w:val="000C5889"/>
    <w:rsid w:val="000C5CF5"/>
    <w:rsid w:val="000C6410"/>
    <w:rsid w:val="000C78F7"/>
    <w:rsid w:val="000D3984"/>
    <w:rsid w:val="000D40AA"/>
    <w:rsid w:val="000D5C96"/>
    <w:rsid w:val="000D5D00"/>
    <w:rsid w:val="000D5EB5"/>
    <w:rsid w:val="000E2FF7"/>
    <w:rsid w:val="000E4306"/>
    <w:rsid w:val="000E5D5B"/>
    <w:rsid w:val="000E6B95"/>
    <w:rsid w:val="000F0160"/>
    <w:rsid w:val="000F0FDD"/>
    <w:rsid w:val="000F1BB7"/>
    <w:rsid w:val="000F41F2"/>
    <w:rsid w:val="00102B34"/>
    <w:rsid w:val="00103E0F"/>
    <w:rsid w:val="00104D16"/>
    <w:rsid w:val="00105185"/>
    <w:rsid w:val="001054B8"/>
    <w:rsid w:val="00105789"/>
    <w:rsid w:val="00105DE1"/>
    <w:rsid w:val="0011104B"/>
    <w:rsid w:val="0011323E"/>
    <w:rsid w:val="00113526"/>
    <w:rsid w:val="001158E4"/>
    <w:rsid w:val="00116B8D"/>
    <w:rsid w:val="00117961"/>
    <w:rsid w:val="00121A61"/>
    <w:rsid w:val="00124185"/>
    <w:rsid w:val="00124A66"/>
    <w:rsid w:val="001252F5"/>
    <w:rsid w:val="00125B19"/>
    <w:rsid w:val="00127B3B"/>
    <w:rsid w:val="00127CE6"/>
    <w:rsid w:val="001329E3"/>
    <w:rsid w:val="00133569"/>
    <w:rsid w:val="00134B51"/>
    <w:rsid w:val="00137C3F"/>
    <w:rsid w:val="00142F2F"/>
    <w:rsid w:val="00144E4E"/>
    <w:rsid w:val="001450DA"/>
    <w:rsid w:val="00147723"/>
    <w:rsid w:val="00147AB7"/>
    <w:rsid w:val="00150B4F"/>
    <w:rsid w:val="0015197A"/>
    <w:rsid w:val="00153031"/>
    <w:rsid w:val="001540AD"/>
    <w:rsid w:val="00154D0E"/>
    <w:rsid w:val="00160540"/>
    <w:rsid w:val="00160D35"/>
    <w:rsid w:val="00163DA3"/>
    <w:rsid w:val="00166045"/>
    <w:rsid w:val="00172EA5"/>
    <w:rsid w:val="001751D2"/>
    <w:rsid w:val="001757CA"/>
    <w:rsid w:val="00175F18"/>
    <w:rsid w:val="001768B5"/>
    <w:rsid w:val="00177D68"/>
    <w:rsid w:val="001824C8"/>
    <w:rsid w:val="0018477B"/>
    <w:rsid w:val="001847D2"/>
    <w:rsid w:val="00191EE8"/>
    <w:rsid w:val="00192EEB"/>
    <w:rsid w:val="0019613E"/>
    <w:rsid w:val="001969D4"/>
    <w:rsid w:val="001975DE"/>
    <w:rsid w:val="00197B73"/>
    <w:rsid w:val="001A0A15"/>
    <w:rsid w:val="001A0AAB"/>
    <w:rsid w:val="001A20FB"/>
    <w:rsid w:val="001A4437"/>
    <w:rsid w:val="001A4A96"/>
    <w:rsid w:val="001A6F56"/>
    <w:rsid w:val="001A7D0D"/>
    <w:rsid w:val="001B6CC1"/>
    <w:rsid w:val="001C0FD1"/>
    <w:rsid w:val="001C1F0A"/>
    <w:rsid w:val="001C20D6"/>
    <w:rsid w:val="001C437D"/>
    <w:rsid w:val="001C73D6"/>
    <w:rsid w:val="001D0E8B"/>
    <w:rsid w:val="001D1E45"/>
    <w:rsid w:val="001D2EC4"/>
    <w:rsid w:val="001D4163"/>
    <w:rsid w:val="001D7838"/>
    <w:rsid w:val="001D79BC"/>
    <w:rsid w:val="001D7F8A"/>
    <w:rsid w:val="001E026E"/>
    <w:rsid w:val="001E34BE"/>
    <w:rsid w:val="001E3FEB"/>
    <w:rsid w:val="001E4A02"/>
    <w:rsid w:val="001F2FC2"/>
    <w:rsid w:val="001F60DF"/>
    <w:rsid w:val="001F67CF"/>
    <w:rsid w:val="001F6B25"/>
    <w:rsid w:val="00201254"/>
    <w:rsid w:val="00202150"/>
    <w:rsid w:val="00203571"/>
    <w:rsid w:val="0020480D"/>
    <w:rsid w:val="00205406"/>
    <w:rsid w:val="00210012"/>
    <w:rsid w:val="002121CF"/>
    <w:rsid w:val="002131FA"/>
    <w:rsid w:val="00213993"/>
    <w:rsid w:val="002157F6"/>
    <w:rsid w:val="0021604F"/>
    <w:rsid w:val="0021684D"/>
    <w:rsid w:val="00217B1F"/>
    <w:rsid w:val="00221240"/>
    <w:rsid w:val="002238F0"/>
    <w:rsid w:val="00225A8C"/>
    <w:rsid w:val="00226513"/>
    <w:rsid w:val="0023188F"/>
    <w:rsid w:val="00232A38"/>
    <w:rsid w:val="00234E1D"/>
    <w:rsid w:val="002352AF"/>
    <w:rsid w:val="0024081B"/>
    <w:rsid w:val="00240C24"/>
    <w:rsid w:val="00244456"/>
    <w:rsid w:val="0024480F"/>
    <w:rsid w:val="002450CB"/>
    <w:rsid w:val="00246F70"/>
    <w:rsid w:val="0024748E"/>
    <w:rsid w:val="002505C9"/>
    <w:rsid w:val="0025069C"/>
    <w:rsid w:val="00251775"/>
    <w:rsid w:val="0025612B"/>
    <w:rsid w:val="00256D2B"/>
    <w:rsid w:val="00256D3F"/>
    <w:rsid w:val="00256D53"/>
    <w:rsid w:val="00261AA9"/>
    <w:rsid w:val="00263449"/>
    <w:rsid w:val="00263978"/>
    <w:rsid w:val="00263F5B"/>
    <w:rsid w:val="002659F1"/>
    <w:rsid w:val="0026662C"/>
    <w:rsid w:val="00276B0B"/>
    <w:rsid w:val="0028215D"/>
    <w:rsid w:val="002827AD"/>
    <w:rsid w:val="00285403"/>
    <w:rsid w:val="00285810"/>
    <w:rsid w:val="00287E79"/>
    <w:rsid w:val="002928F9"/>
    <w:rsid w:val="00292E3B"/>
    <w:rsid w:val="00295899"/>
    <w:rsid w:val="00295D55"/>
    <w:rsid w:val="002A50A7"/>
    <w:rsid w:val="002A59E1"/>
    <w:rsid w:val="002A5D07"/>
    <w:rsid w:val="002B021B"/>
    <w:rsid w:val="002B253B"/>
    <w:rsid w:val="002B4CC7"/>
    <w:rsid w:val="002B5566"/>
    <w:rsid w:val="002C0DF4"/>
    <w:rsid w:val="002C1743"/>
    <w:rsid w:val="002C1D4F"/>
    <w:rsid w:val="002C2489"/>
    <w:rsid w:val="002C476B"/>
    <w:rsid w:val="002D1086"/>
    <w:rsid w:val="002D2FB2"/>
    <w:rsid w:val="002D33E5"/>
    <w:rsid w:val="002D46D0"/>
    <w:rsid w:val="002D67D8"/>
    <w:rsid w:val="002E02FF"/>
    <w:rsid w:val="002E0E62"/>
    <w:rsid w:val="002E24D6"/>
    <w:rsid w:val="002E2C5A"/>
    <w:rsid w:val="002E3E6E"/>
    <w:rsid w:val="002E47FD"/>
    <w:rsid w:val="002E4E5B"/>
    <w:rsid w:val="002E5914"/>
    <w:rsid w:val="002E7A95"/>
    <w:rsid w:val="002E7F82"/>
    <w:rsid w:val="002F0CC3"/>
    <w:rsid w:val="002F2188"/>
    <w:rsid w:val="002F272E"/>
    <w:rsid w:val="002F2D94"/>
    <w:rsid w:val="002F383C"/>
    <w:rsid w:val="002F5B44"/>
    <w:rsid w:val="003016B7"/>
    <w:rsid w:val="003026CC"/>
    <w:rsid w:val="00304426"/>
    <w:rsid w:val="00313110"/>
    <w:rsid w:val="00313EA7"/>
    <w:rsid w:val="00314935"/>
    <w:rsid w:val="0032134E"/>
    <w:rsid w:val="00321468"/>
    <w:rsid w:val="0032160D"/>
    <w:rsid w:val="00321C08"/>
    <w:rsid w:val="003267AD"/>
    <w:rsid w:val="00330464"/>
    <w:rsid w:val="0033110B"/>
    <w:rsid w:val="00332AA3"/>
    <w:rsid w:val="00334D95"/>
    <w:rsid w:val="00335622"/>
    <w:rsid w:val="0033607B"/>
    <w:rsid w:val="003376DF"/>
    <w:rsid w:val="00342A14"/>
    <w:rsid w:val="00344D05"/>
    <w:rsid w:val="003515AA"/>
    <w:rsid w:val="003536F3"/>
    <w:rsid w:val="003564B5"/>
    <w:rsid w:val="00356938"/>
    <w:rsid w:val="00361C5D"/>
    <w:rsid w:val="00362349"/>
    <w:rsid w:val="003626FE"/>
    <w:rsid w:val="003646F6"/>
    <w:rsid w:val="003650A0"/>
    <w:rsid w:val="00370E93"/>
    <w:rsid w:val="00374106"/>
    <w:rsid w:val="00376008"/>
    <w:rsid w:val="00376486"/>
    <w:rsid w:val="00385242"/>
    <w:rsid w:val="00390356"/>
    <w:rsid w:val="0039123B"/>
    <w:rsid w:val="00394731"/>
    <w:rsid w:val="00395BBF"/>
    <w:rsid w:val="00395ED7"/>
    <w:rsid w:val="00397275"/>
    <w:rsid w:val="003976D5"/>
    <w:rsid w:val="00397D2A"/>
    <w:rsid w:val="003A1404"/>
    <w:rsid w:val="003A1A20"/>
    <w:rsid w:val="003A2A9F"/>
    <w:rsid w:val="003A3DAC"/>
    <w:rsid w:val="003A3E27"/>
    <w:rsid w:val="003A4C31"/>
    <w:rsid w:val="003A50C6"/>
    <w:rsid w:val="003A6F1D"/>
    <w:rsid w:val="003A7E3C"/>
    <w:rsid w:val="003B1B7A"/>
    <w:rsid w:val="003B1C37"/>
    <w:rsid w:val="003B241F"/>
    <w:rsid w:val="003B363D"/>
    <w:rsid w:val="003B41CB"/>
    <w:rsid w:val="003B48A5"/>
    <w:rsid w:val="003B6FE3"/>
    <w:rsid w:val="003B771D"/>
    <w:rsid w:val="003C0A9F"/>
    <w:rsid w:val="003C21BA"/>
    <w:rsid w:val="003C357A"/>
    <w:rsid w:val="003D1574"/>
    <w:rsid w:val="003D2CE3"/>
    <w:rsid w:val="003D4D1E"/>
    <w:rsid w:val="003D5B4D"/>
    <w:rsid w:val="003D6C68"/>
    <w:rsid w:val="003D7519"/>
    <w:rsid w:val="003E05CD"/>
    <w:rsid w:val="003E0E43"/>
    <w:rsid w:val="003E261D"/>
    <w:rsid w:val="003E3928"/>
    <w:rsid w:val="003E4953"/>
    <w:rsid w:val="003F00A5"/>
    <w:rsid w:val="003F057E"/>
    <w:rsid w:val="00400DA9"/>
    <w:rsid w:val="00400DD4"/>
    <w:rsid w:val="00404A1C"/>
    <w:rsid w:val="00406819"/>
    <w:rsid w:val="00410B5E"/>
    <w:rsid w:val="00412FCF"/>
    <w:rsid w:val="00414701"/>
    <w:rsid w:val="004159D0"/>
    <w:rsid w:val="00417045"/>
    <w:rsid w:val="00417C50"/>
    <w:rsid w:val="00420BD1"/>
    <w:rsid w:val="0042160F"/>
    <w:rsid w:val="004221A0"/>
    <w:rsid w:val="004232C0"/>
    <w:rsid w:val="00425BAC"/>
    <w:rsid w:val="00427A95"/>
    <w:rsid w:val="00431FE8"/>
    <w:rsid w:val="004340A8"/>
    <w:rsid w:val="00436851"/>
    <w:rsid w:val="004373EE"/>
    <w:rsid w:val="004475E9"/>
    <w:rsid w:val="0044766F"/>
    <w:rsid w:val="0045064E"/>
    <w:rsid w:val="004510D7"/>
    <w:rsid w:val="004546DA"/>
    <w:rsid w:val="00460954"/>
    <w:rsid w:val="004622C2"/>
    <w:rsid w:val="00462E95"/>
    <w:rsid w:val="00463952"/>
    <w:rsid w:val="00465D9B"/>
    <w:rsid w:val="00467A55"/>
    <w:rsid w:val="004703FD"/>
    <w:rsid w:val="00471C19"/>
    <w:rsid w:val="0047443E"/>
    <w:rsid w:val="00481FC4"/>
    <w:rsid w:val="0048649C"/>
    <w:rsid w:val="00487F81"/>
    <w:rsid w:val="00491A3D"/>
    <w:rsid w:val="004928BC"/>
    <w:rsid w:val="00496813"/>
    <w:rsid w:val="004A1BF4"/>
    <w:rsid w:val="004A290C"/>
    <w:rsid w:val="004A356B"/>
    <w:rsid w:val="004A5414"/>
    <w:rsid w:val="004A7F40"/>
    <w:rsid w:val="004B1775"/>
    <w:rsid w:val="004B3155"/>
    <w:rsid w:val="004C0FF1"/>
    <w:rsid w:val="004C1CD4"/>
    <w:rsid w:val="004C3708"/>
    <w:rsid w:val="004C46FB"/>
    <w:rsid w:val="004C48F1"/>
    <w:rsid w:val="004C6143"/>
    <w:rsid w:val="004C6FD8"/>
    <w:rsid w:val="004D44E4"/>
    <w:rsid w:val="004D5D75"/>
    <w:rsid w:val="004D60A1"/>
    <w:rsid w:val="004E11FC"/>
    <w:rsid w:val="004E30DA"/>
    <w:rsid w:val="004F01DF"/>
    <w:rsid w:val="004F02D7"/>
    <w:rsid w:val="004F11EC"/>
    <w:rsid w:val="004F135D"/>
    <w:rsid w:val="004F218A"/>
    <w:rsid w:val="004F3F1B"/>
    <w:rsid w:val="004F41B4"/>
    <w:rsid w:val="004F6099"/>
    <w:rsid w:val="004F6A20"/>
    <w:rsid w:val="00504A70"/>
    <w:rsid w:val="0050605F"/>
    <w:rsid w:val="00506F90"/>
    <w:rsid w:val="0050779C"/>
    <w:rsid w:val="0051051B"/>
    <w:rsid w:val="00511283"/>
    <w:rsid w:val="00511B0A"/>
    <w:rsid w:val="00511D9F"/>
    <w:rsid w:val="00513AFC"/>
    <w:rsid w:val="0051424B"/>
    <w:rsid w:val="00514616"/>
    <w:rsid w:val="00514C4B"/>
    <w:rsid w:val="00515991"/>
    <w:rsid w:val="005159B6"/>
    <w:rsid w:val="00515CD2"/>
    <w:rsid w:val="005217C0"/>
    <w:rsid w:val="00522723"/>
    <w:rsid w:val="005252F0"/>
    <w:rsid w:val="00526381"/>
    <w:rsid w:val="00526B25"/>
    <w:rsid w:val="00531307"/>
    <w:rsid w:val="00532BC8"/>
    <w:rsid w:val="0053388B"/>
    <w:rsid w:val="00533D5E"/>
    <w:rsid w:val="0053419B"/>
    <w:rsid w:val="005375E0"/>
    <w:rsid w:val="00537A3B"/>
    <w:rsid w:val="005420EE"/>
    <w:rsid w:val="00543D5E"/>
    <w:rsid w:val="00544464"/>
    <w:rsid w:val="00545CD5"/>
    <w:rsid w:val="005461A1"/>
    <w:rsid w:val="00546CCA"/>
    <w:rsid w:val="005475AD"/>
    <w:rsid w:val="00552978"/>
    <w:rsid w:val="00557898"/>
    <w:rsid w:val="00557DE5"/>
    <w:rsid w:val="00560CC4"/>
    <w:rsid w:val="00564D7F"/>
    <w:rsid w:val="00566109"/>
    <w:rsid w:val="00571F41"/>
    <w:rsid w:val="005733DC"/>
    <w:rsid w:val="005744B8"/>
    <w:rsid w:val="00574961"/>
    <w:rsid w:val="00577A59"/>
    <w:rsid w:val="0058043D"/>
    <w:rsid w:val="0058315D"/>
    <w:rsid w:val="00587C43"/>
    <w:rsid w:val="00587D0B"/>
    <w:rsid w:val="00590903"/>
    <w:rsid w:val="00592430"/>
    <w:rsid w:val="0059252C"/>
    <w:rsid w:val="005929A1"/>
    <w:rsid w:val="005935A9"/>
    <w:rsid w:val="00596485"/>
    <w:rsid w:val="00597B39"/>
    <w:rsid w:val="005A1C8F"/>
    <w:rsid w:val="005A2B81"/>
    <w:rsid w:val="005A576C"/>
    <w:rsid w:val="005A5B56"/>
    <w:rsid w:val="005A7AFD"/>
    <w:rsid w:val="005B079E"/>
    <w:rsid w:val="005B083B"/>
    <w:rsid w:val="005B460E"/>
    <w:rsid w:val="005B5CA9"/>
    <w:rsid w:val="005C0FE6"/>
    <w:rsid w:val="005C142C"/>
    <w:rsid w:val="005C22F1"/>
    <w:rsid w:val="005C3255"/>
    <w:rsid w:val="005C550F"/>
    <w:rsid w:val="005D2278"/>
    <w:rsid w:val="005D2856"/>
    <w:rsid w:val="005D42DA"/>
    <w:rsid w:val="005E171D"/>
    <w:rsid w:val="005E1D13"/>
    <w:rsid w:val="005E4ED9"/>
    <w:rsid w:val="005E5D1F"/>
    <w:rsid w:val="005E7E1F"/>
    <w:rsid w:val="005E7F1E"/>
    <w:rsid w:val="005F1D50"/>
    <w:rsid w:val="005F2326"/>
    <w:rsid w:val="005F52F5"/>
    <w:rsid w:val="005F5B1A"/>
    <w:rsid w:val="00602068"/>
    <w:rsid w:val="00602C77"/>
    <w:rsid w:val="006036E4"/>
    <w:rsid w:val="0060371B"/>
    <w:rsid w:val="006043F5"/>
    <w:rsid w:val="00611ADF"/>
    <w:rsid w:val="00611D43"/>
    <w:rsid w:val="00612D48"/>
    <w:rsid w:val="00614799"/>
    <w:rsid w:val="006159EA"/>
    <w:rsid w:val="00616B45"/>
    <w:rsid w:val="00622F76"/>
    <w:rsid w:val="006272AC"/>
    <w:rsid w:val="00630D9B"/>
    <w:rsid w:val="00631953"/>
    <w:rsid w:val="00634A98"/>
    <w:rsid w:val="0063635B"/>
    <w:rsid w:val="00636617"/>
    <w:rsid w:val="00641F24"/>
    <w:rsid w:val="006430DD"/>
    <w:rsid w:val="006431D7"/>
    <w:rsid w:val="006439EC"/>
    <w:rsid w:val="00644147"/>
    <w:rsid w:val="00647C90"/>
    <w:rsid w:val="006519B5"/>
    <w:rsid w:val="00654506"/>
    <w:rsid w:val="00654F16"/>
    <w:rsid w:val="0065552B"/>
    <w:rsid w:val="0066543D"/>
    <w:rsid w:val="00673FCA"/>
    <w:rsid w:val="0067465C"/>
    <w:rsid w:val="006749BE"/>
    <w:rsid w:val="00675D25"/>
    <w:rsid w:val="00677F43"/>
    <w:rsid w:val="006805A9"/>
    <w:rsid w:val="006821C9"/>
    <w:rsid w:val="006828F0"/>
    <w:rsid w:val="0068514F"/>
    <w:rsid w:val="0068613E"/>
    <w:rsid w:val="00690077"/>
    <w:rsid w:val="00691D67"/>
    <w:rsid w:val="006920A4"/>
    <w:rsid w:val="00696828"/>
    <w:rsid w:val="00696B02"/>
    <w:rsid w:val="00697BE9"/>
    <w:rsid w:val="00697FD6"/>
    <w:rsid w:val="006A079D"/>
    <w:rsid w:val="006A203F"/>
    <w:rsid w:val="006A36F2"/>
    <w:rsid w:val="006A39B4"/>
    <w:rsid w:val="006A3EB5"/>
    <w:rsid w:val="006A5BDA"/>
    <w:rsid w:val="006A64DC"/>
    <w:rsid w:val="006A7EAE"/>
    <w:rsid w:val="006B3926"/>
    <w:rsid w:val="006B4590"/>
    <w:rsid w:val="006C05FA"/>
    <w:rsid w:val="006C1448"/>
    <w:rsid w:val="006C1D67"/>
    <w:rsid w:val="006C2688"/>
    <w:rsid w:val="006C3276"/>
    <w:rsid w:val="006C3328"/>
    <w:rsid w:val="006C340C"/>
    <w:rsid w:val="006C507B"/>
    <w:rsid w:val="006D1305"/>
    <w:rsid w:val="006D1B4B"/>
    <w:rsid w:val="006D2ACC"/>
    <w:rsid w:val="006D3669"/>
    <w:rsid w:val="006D4012"/>
    <w:rsid w:val="006D4B17"/>
    <w:rsid w:val="006D5D85"/>
    <w:rsid w:val="006D6852"/>
    <w:rsid w:val="006D72A4"/>
    <w:rsid w:val="006E50FF"/>
    <w:rsid w:val="006F0D90"/>
    <w:rsid w:val="006F0E91"/>
    <w:rsid w:val="006F0EBB"/>
    <w:rsid w:val="006F5F34"/>
    <w:rsid w:val="006F6530"/>
    <w:rsid w:val="00700BEA"/>
    <w:rsid w:val="0070223F"/>
    <w:rsid w:val="00702B7A"/>
    <w:rsid w:val="007030B2"/>
    <w:rsid w:val="0070347C"/>
    <w:rsid w:val="007034F2"/>
    <w:rsid w:val="00705D9E"/>
    <w:rsid w:val="00710558"/>
    <w:rsid w:val="007113C9"/>
    <w:rsid w:val="0071147B"/>
    <w:rsid w:val="007114B7"/>
    <w:rsid w:val="007176C1"/>
    <w:rsid w:val="00720F2B"/>
    <w:rsid w:val="00721E00"/>
    <w:rsid w:val="00735A0D"/>
    <w:rsid w:val="00735BB9"/>
    <w:rsid w:val="00736EA2"/>
    <w:rsid w:val="007376DB"/>
    <w:rsid w:val="00741ED4"/>
    <w:rsid w:val="00742329"/>
    <w:rsid w:val="0074535C"/>
    <w:rsid w:val="0074571F"/>
    <w:rsid w:val="007520A1"/>
    <w:rsid w:val="00753D77"/>
    <w:rsid w:val="00754D59"/>
    <w:rsid w:val="00755730"/>
    <w:rsid w:val="00760A9F"/>
    <w:rsid w:val="007614F5"/>
    <w:rsid w:val="00763555"/>
    <w:rsid w:val="00767A46"/>
    <w:rsid w:val="00770C4F"/>
    <w:rsid w:val="007711A9"/>
    <w:rsid w:val="00771D7F"/>
    <w:rsid w:val="00777CEF"/>
    <w:rsid w:val="00780596"/>
    <w:rsid w:val="0078164F"/>
    <w:rsid w:val="007834C7"/>
    <w:rsid w:val="0078738F"/>
    <w:rsid w:val="00796433"/>
    <w:rsid w:val="007A1330"/>
    <w:rsid w:val="007A13B8"/>
    <w:rsid w:val="007A5A98"/>
    <w:rsid w:val="007A5B78"/>
    <w:rsid w:val="007B0E10"/>
    <w:rsid w:val="007B18CC"/>
    <w:rsid w:val="007B310A"/>
    <w:rsid w:val="007B6436"/>
    <w:rsid w:val="007C0375"/>
    <w:rsid w:val="007C1892"/>
    <w:rsid w:val="007C195D"/>
    <w:rsid w:val="007C1E99"/>
    <w:rsid w:val="007C1F0F"/>
    <w:rsid w:val="007C45D6"/>
    <w:rsid w:val="007C7DDB"/>
    <w:rsid w:val="007D2856"/>
    <w:rsid w:val="007D2D13"/>
    <w:rsid w:val="007D392F"/>
    <w:rsid w:val="007D78BD"/>
    <w:rsid w:val="007E19D0"/>
    <w:rsid w:val="007E24F1"/>
    <w:rsid w:val="007E52FD"/>
    <w:rsid w:val="007E7F92"/>
    <w:rsid w:val="007F12D1"/>
    <w:rsid w:val="007F1461"/>
    <w:rsid w:val="007F22B2"/>
    <w:rsid w:val="007F2677"/>
    <w:rsid w:val="007F2EF0"/>
    <w:rsid w:val="007F55CB"/>
    <w:rsid w:val="007F5803"/>
    <w:rsid w:val="008004E9"/>
    <w:rsid w:val="00801210"/>
    <w:rsid w:val="008035B6"/>
    <w:rsid w:val="0080676D"/>
    <w:rsid w:val="00807237"/>
    <w:rsid w:val="00810426"/>
    <w:rsid w:val="00810FFA"/>
    <w:rsid w:val="00811261"/>
    <w:rsid w:val="008125FD"/>
    <w:rsid w:val="0081280F"/>
    <w:rsid w:val="00814C78"/>
    <w:rsid w:val="00815F10"/>
    <w:rsid w:val="00820A6A"/>
    <w:rsid w:val="00821B54"/>
    <w:rsid w:val="008262EF"/>
    <w:rsid w:val="00826AD1"/>
    <w:rsid w:val="00827AD0"/>
    <w:rsid w:val="00831534"/>
    <w:rsid w:val="008339DA"/>
    <w:rsid w:val="0083402E"/>
    <w:rsid w:val="00835F37"/>
    <w:rsid w:val="0084097B"/>
    <w:rsid w:val="00843115"/>
    <w:rsid w:val="00843CEF"/>
    <w:rsid w:val="00844750"/>
    <w:rsid w:val="008456FF"/>
    <w:rsid w:val="00845A64"/>
    <w:rsid w:val="0084799F"/>
    <w:rsid w:val="00847ACE"/>
    <w:rsid w:val="00847B47"/>
    <w:rsid w:val="008518BA"/>
    <w:rsid w:val="008550CB"/>
    <w:rsid w:val="00856883"/>
    <w:rsid w:val="0085760B"/>
    <w:rsid w:val="00860CC8"/>
    <w:rsid w:val="00864078"/>
    <w:rsid w:val="0086624D"/>
    <w:rsid w:val="008662EA"/>
    <w:rsid w:val="00866539"/>
    <w:rsid w:val="008711A0"/>
    <w:rsid w:val="00871A0C"/>
    <w:rsid w:val="0087223C"/>
    <w:rsid w:val="00872BA3"/>
    <w:rsid w:val="00873BC4"/>
    <w:rsid w:val="00874B3D"/>
    <w:rsid w:val="00880ADE"/>
    <w:rsid w:val="00881D46"/>
    <w:rsid w:val="008834DF"/>
    <w:rsid w:val="008846F5"/>
    <w:rsid w:val="00885978"/>
    <w:rsid w:val="00885FEC"/>
    <w:rsid w:val="008872FF"/>
    <w:rsid w:val="008906C1"/>
    <w:rsid w:val="008937FA"/>
    <w:rsid w:val="008945D2"/>
    <w:rsid w:val="00895BF2"/>
    <w:rsid w:val="008A26AF"/>
    <w:rsid w:val="008A27E1"/>
    <w:rsid w:val="008A45BE"/>
    <w:rsid w:val="008A4E1F"/>
    <w:rsid w:val="008B106F"/>
    <w:rsid w:val="008B2974"/>
    <w:rsid w:val="008B44C4"/>
    <w:rsid w:val="008B4D9E"/>
    <w:rsid w:val="008B7765"/>
    <w:rsid w:val="008B7A94"/>
    <w:rsid w:val="008C23F3"/>
    <w:rsid w:val="008C2A87"/>
    <w:rsid w:val="008C2B33"/>
    <w:rsid w:val="008C356E"/>
    <w:rsid w:val="008C3AC4"/>
    <w:rsid w:val="008C451D"/>
    <w:rsid w:val="008C49D7"/>
    <w:rsid w:val="008C4FCD"/>
    <w:rsid w:val="008C5C82"/>
    <w:rsid w:val="008C72AA"/>
    <w:rsid w:val="008C76C6"/>
    <w:rsid w:val="008C77E6"/>
    <w:rsid w:val="008C7B6C"/>
    <w:rsid w:val="008D1109"/>
    <w:rsid w:val="008D2284"/>
    <w:rsid w:val="008D26F0"/>
    <w:rsid w:val="008D4AF0"/>
    <w:rsid w:val="008D55DD"/>
    <w:rsid w:val="008E2FA9"/>
    <w:rsid w:val="008E46DD"/>
    <w:rsid w:val="008E7FAE"/>
    <w:rsid w:val="008F36BA"/>
    <w:rsid w:val="008F652B"/>
    <w:rsid w:val="00900723"/>
    <w:rsid w:val="0090147C"/>
    <w:rsid w:val="0090180C"/>
    <w:rsid w:val="00911BF7"/>
    <w:rsid w:val="0091386F"/>
    <w:rsid w:val="0091448C"/>
    <w:rsid w:val="009153CB"/>
    <w:rsid w:val="00915C38"/>
    <w:rsid w:val="0091784C"/>
    <w:rsid w:val="00923887"/>
    <w:rsid w:val="00927688"/>
    <w:rsid w:val="00927D28"/>
    <w:rsid w:val="00930F32"/>
    <w:rsid w:val="0093421C"/>
    <w:rsid w:val="00934898"/>
    <w:rsid w:val="0093502C"/>
    <w:rsid w:val="00936576"/>
    <w:rsid w:val="00937D94"/>
    <w:rsid w:val="009405F2"/>
    <w:rsid w:val="009406AC"/>
    <w:rsid w:val="00942C70"/>
    <w:rsid w:val="00945250"/>
    <w:rsid w:val="009515CF"/>
    <w:rsid w:val="00952B7E"/>
    <w:rsid w:val="00953A13"/>
    <w:rsid w:val="00955EBB"/>
    <w:rsid w:val="0095696A"/>
    <w:rsid w:val="00957EA4"/>
    <w:rsid w:val="009619D9"/>
    <w:rsid w:val="009631E6"/>
    <w:rsid w:val="00963EC3"/>
    <w:rsid w:val="00970051"/>
    <w:rsid w:val="00971636"/>
    <w:rsid w:val="0097627A"/>
    <w:rsid w:val="00976C32"/>
    <w:rsid w:val="00976FE4"/>
    <w:rsid w:val="00977A8B"/>
    <w:rsid w:val="00977E8B"/>
    <w:rsid w:val="00977EC8"/>
    <w:rsid w:val="00977FEA"/>
    <w:rsid w:val="00980B0E"/>
    <w:rsid w:val="00981D8D"/>
    <w:rsid w:val="00982440"/>
    <w:rsid w:val="009828F9"/>
    <w:rsid w:val="009836B4"/>
    <w:rsid w:val="00986238"/>
    <w:rsid w:val="00987571"/>
    <w:rsid w:val="009908FD"/>
    <w:rsid w:val="00991469"/>
    <w:rsid w:val="009923A7"/>
    <w:rsid w:val="009930C7"/>
    <w:rsid w:val="0099334C"/>
    <w:rsid w:val="009938E0"/>
    <w:rsid w:val="0099502D"/>
    <w:rsid w:val="00995375"/>
    <w:rsid w:val="009979F3"/>
    <w:rsid w:val="009A1F63"/>
    <w:rsid w:val="009A4BE2"/>
    <w:rsid w:val="009A6796"/>
    <w:rsid w:val="009B10BA"/>
    <w:rsid w:val="009B3B5F"/>
    <w:rsid w:val="009B7B57"/>
    <w:rsid w:val="009C05BC"/>
    <w:rsid w:val="009C1752"/>
    <w:rsid w:val="009C741E"/>
    <w:rsid w:val="009D02BE"/>
    <w:rsid w:val="009D3A8C"/>
    <w:rsid w:val="009D5BA2"/>
    <w:rsid w:val="009D6BA3"/>
    <w:rsid w:val="009D6F77"/>
    <w:rsid w:val="009E1E58"/>
    <w:rsid w:val="009E1ED1"/>
    <w:rsid w:val="009E4597"/>
    <w:rsid w:val="009E6178"/>
    <w:rsid w:val="009E737F"/>
    <w:rsid w:val="009E7956"/>
    <w:rsid w:val="009E7989"/>
    <w:rsid w:val="009F711B"/>
    <w:rsid w:val="00A00713"/>
    <w:rsid w:val="00A0144D"/>
    <w:rsid w:val="00A02B4A"/>
    <w:rsid w:val="00A041F1"/>
    <w:rsid w:val="00A05684"/>
    <w:rsid w:val="00A11CF3"/>
    <w:rsid w:val="00A125F0"/>
    <w:rsid w:val="00A13CBA"/>
    <w:rsid w:val="00A15963"/>
    <w:rsid w:val="00A15C27"/>
    <w:rsid w:val="00A20946"/>
    <w:rsid w:val="00A21A15"/>
    <w:rsid w:val="00A22431"/>
    <w:rsid w:val="00A2492E"/>
    <w:rsid w:val="00A25912"/>
    <w:rsid w:val="00A2753F"/>
    <w:rsid w:val="00A308AD"/>
    <w:rsid w:val="00A3403B"/>
    <w:rsid w:val="00A3481C"/>
    <w:rsid w:val="00A34F9F"/>
    <w:rsid w:val="00A35800"/>
    <w:rsid w:val="00A35AF7"/>
    <w:rsid w:val="00A35C14"/>
    <w:rsid w:val="00A35D59"/>
    <w:rsid w:val="00A40812"/>
    <w:rsid w:val="00A42085"/>
    <w:rsid w:val="00A43941"/>
    <w:rsid w:val="00A43AF5"/>
    <w:rsid w:val="00A47E35"/>
    <w:rsid w:val="00A53F5E"/>
    <w:rsid w:val="00A54D6F"/>
    <w:rsid w:val="00A568E5"/>
    <w:rsid w:val="00A6085C"/>
    <w:rsid w:val="00A627BA"/>
    <w:rsid w:val="00A63C44"/>
    <w:rsid w:val="00A64ABA"/>
    <w:rsid w:val="00A64DD2"/>
    <w:rsid w:val="00A740A0"/>
    <w:rsid w:val="00A75544"/>
    <w:rsid w:val="00A75B5F"/>
    <w:rsid w:val="00A76C07"/>
    <w:rsid w:val="00A8112C"/>
    <w:rsid w:val="00A8175C"/>
    <w:rsid w:val="00A817BA"/>
    <w:rsid w:val="00A8224A"/>
    <w:rsid w:val="00A83F76"/>
    <w:rsid w:val="00A850C7"/>
    <w:rsid w:val="00A85FC5"/>
    <w:rsid w:val="00A86FAA"/>
    <w:rsid w:val="00A96F4F"/>
    <w:rsid w:val="00AA2618"/>
    <w:rsid w:val="00AB09FF"/>
    <w:rsid w:val="00AB1965"/>
    <w:rsid w:val="00AB267F"/>
    <w:rsid w:val="00AB3CBC"/>
    <w:rsid w:val="00AC09D4"/>
    <w:rsid w:val="00AC15BE"/>
    <w:rsid w:val="00AC67A1"/>
    <w:rsid w:val="00AC69EE"/>
    <w:rsid w:val="00AC6E88"/>
    <w:rsid w:val="00AC7977"/>
    <w:rsid w:val="00AC7D2E"/>
    <w:rsid w:val="00AD73C0"/>
    <w:rsid w:val="00AE29AD"/>
    <w:rsid w:val="00AE29CB"/>
    <w:rsid w:val="00AE352C"/>
    <w:rsid w:val="00AE4EAC"/>
    <w:rsid w:val="00AE5D07"/>
    <w:rsid w:val="00AE713E"/>
    <w:rsid w:val="00AF6669"/>
    <w:rsid w:val="00B01BBE"/>
    <w:rsid w:val="00B03214"/>
    <w:rsid w:val="00B04BB4"/>
    <w:rsid w:val="00B07F7C"/>
    <w:rsid w:val="00B1275F"/>
    <w:rsid w:val="00B13EE7"/>
    <w:rsid w:val="00B16CD0"/>
    <w:rsid w:val="00B17C73"/>
    <w:rsid w:val="00B2018A"/>
    <w:rsid w:val="00B21F19"/>
    <w:rsid w:val="00B240EF"/>
    <w:rsid w:val="00B2639C"/>
    <w:rsid w:val="00B27CBB"/>
    <w:rsid w:val="00B27DEB"/>
    <w:rsid w:val="00B32E2D"/>
    <w:rsid w:val="00B34194"/>
    <w:rsid w:val="00B35075"/>
    <w:rsid w:val="00B361B7"/>
    <w:rsid w:val="00B36E37"/>
    <w:rsid w:val="00B3705E"/>
    <w:rsid w:val="00B37C8C"/>
    <w:rsid w:val="00B4041D"/>
    <w:rsid w:val="00B40EF0"/>
    <w:rsid w:val="00B41F30"/>
    <w:rsid w:val="00B478F1"/>
    <w:rsid w:val="00B5012F"/>
    <w:rsid w:val="00B512D8"/>
    <w:rsid w:val="00B55409"/>
    <w:rsid w:val="00B57EFF"/>
    <w:rsid w:val="00B60A06"/>
    <w:rsid w:val="00B61990"/>
    <w:rsid w:val="00B62895"/>
    <w:rsid w:val="00B63904"/>
    <w:rsid w:val="00B659D5"/>
    <w:rsid w:val="00B705D9"/>
    <w:rsid w:val="00B72682"/>
    <w:rsid w:val="00B72A92"/>
    <w:rsid w:val="00B74A77"/>
    <w:rsid w:val="00B7633B"/>
    <w:rsid w:val="00B8004D"/>
    <w:rsid w:val="00B90233"/>
    <w:rsid w:val="00B90E10"/>
    <w:rsid w:val="00B9142D"/>
    <w:rsid w:val="00B92D83"/>
    <w:rsid w:val="00B948BB"/>
    <w:rsid w:val="00B956C1"/>
    <w:rsid w:val="00BA3EB0"/>
    <w:rsid w:val="00BA7FCB"/>
    <w:rsid w:val="00BB05C0"/>
    <w:rsid w:val="00BB2CF5"/>
    <w:rsid w:val="00BB2DFD"/>
    <w:rsid w:val="00BB44FD"/>
    <w:rsid w:val="00BB5361"/>
    <w:rsid w:val="00BB6EBB"/>
    <w:rsid w:val="00BC0ACD"/>
    <w:rsid w:val="00BC0BBF"/>
    <w:rsid w:val="00BC5759"/>
    <w:rsid w:val="00BC7164"/>
    <w:rsid w:val="00BC799E"/>
    <w:rsid w:val="00BD0737"/>
    <w:rsid w:val="00BD7F25"/>
    <w:rsid w:val="00BE4B9D"/>
    <w:rsid w:val="00BE512F"/>
    <w:rsid w:val="00BE5444"/>
    <w:rsid w:val="00BF0556"/>
    <w:rsid w:val="00BF14E4"/>
    <w:rsid w:val="00BF3715"/>
    <w:rsid w:val="00C00EFB"/>
    <w:rsid w:val="00C02633"/>
    <w:rsid w:val="00C02F41"/>
    <w:rsid w:val="00C06D97"/>
    <w:rsid w:val="00C12087"/>
    <w:rsid w:val="00C12B2A"/>
    <w:rsid w:val="00C12C41"/>
    <w:rsid w:val="00C20522"/>
    <w:rsid w:val="00C21079"/>
    <w:rsid w:val="00C213E4"/>
    <w:rsid w:val="00C2343A"/>
    <w:rsid w:val="00C23ACE"/>
    <w:rsid w:val="00C261F8"/>
    <w:rsid w:val="00C26BCC"/>
    <w:rsid w:val="00C276B7"/>
    <w:rsid w:val="00C32D1D"/>
    <w:rsid w:val="00C33100"/>
    <w:rsid w:val="00C35C09"/>
    <w:rsid w:val="00C36248"/>
    <w:rsid w:val="00C36B82"/>
    <w:rsid w:val="00C40155"/>
    <w:rsid w:val="00C40E44"/>
    <w:rsid w:val="00C42C53"/>
    <w:rsid w:val="00C43B7A"/>
    <w:rsid w:val="00C43BD9"/>
    <w:rsid w:val="00C444A0"/>
    <w:rsid w:val="00C46342"/>
    <w:rsid w:val="00C5177A"/>
    <w:rsid w:val="00C5449F"/>
    <w:rsid w:val="00C54B2C"/>
    <w:rsid w:val="00C56251"/>
    <w:rsid w:val="00C56CD0"/>
    <w:rsid w:val="00C56D77"/>
    <w:rsid w:val="00C633B5"/>
    <w:rsid w:val="00C635F5"/>
    <w:rsid w:val="00C65540"/>
    <w:rsid w:val="00C65BA1"/>
    <w:rsid w:val="00C65F8C"/>
    <w:rsid w:val="00C6613F"/>
    <w:rsid w:val="00C67642"/>
    <w:rsid w:val="00C67CB2"/>
    <w:rsid w:val="00C7198E"/>
    <w:rsid w:val="00C7673B"/>
    <w:rsid w:val="00C8270B"/>
    <w:rsid w:val="00C8674F"/>
    <w:rsid w:val="00C90498"/>
    <w:rsid w:val="00C92067"/>
    <w:rsid w:val="00C94483"/>
    <w:rsid w:val="00C952E8"/>
    <w:rsid w:val="00C96E56"/>
    <w:rsid w:val="00CA047D"/>
    <w:rsid w:val="00CA16CA"/>
    <w:rsid w:val="00CA1888"/>
    <w:rsid w:val="00CA424B"/>
    <w:rsid w:val="00CA4C22"/>
    <w:rsid w:val="00CA6372"/>
    <w:rsid w:val="00CB03F0"/>
    <w:rsid w:val="00CB61AE"/>
    <w:rsid w:val="00CC112D"/>
    <w:rsid w:val="00CC18E8"/>
    <w:rsid w:val="00CC26D6"/>
    <w:rsid w:val="00CC2FE9"/>
    <w:rsid w:val="00CC320F"/>
    <w:rsid w:val="00CC7134"/>
    <w:rsid w:val="00CD1A71"/>
    <w:rsid w:val="00CD1FBB"/>
    <w:rsid w:val="00CD2B51"/>
    <w:rsid w:val="00CD41BB"/>
    <w:rsid w:val="00CE1033"/>
    <w:rsid w:val="00CE196E"/>
    <w:rsid w:val="00CE2CD8"/>
    <w:rsid w:val="00CE484D"/>
    <w:rsid w:val="00CE540C"/>
    <w:rsid w:val="00CE5EC2"/>
    <w:rsid w:val="00CF088C"/>
    <w:rsid w:val="00CF237B"/>
    <w:rsid w:val="00CF26D2"/>
    <w:rsid w:val="00CF3046"/>
    <w:rsid w:val="00CF40A0"/>
    <w:rsid w:val="00CF42AD"/>
    <w:rsid w:val="00D016B5"/>
    <w:rsid w:val="00D034F1"/>
    <w:rsid w:val="00D03A8F"/>
    <w:rsid w:val="00D0663E"/>
    <w:rsid w:val="00D11089"/>
    <w:rsid w:val="00D12F47"/>
    <w:rsid w:val="00D168E0"/>
    <w:rsid w:val="00D17A4F"/>
    <w:rsid w:val="00D206C2"/>
    <w:rsid w:val="00D20B97"/>
    <w:rsid w:val="00D22494"/>
    <w:rsid w:val="00D23003"/>
    <w:rsid w:val="00D263E1"/>
    <w:rsid w:val="00D269E8"/>
    <w:rsid w:val="00D26F94"/>
    <w:rsid w:val="00D27D5E"/>
    <w:rsid w:val="00D309F2"/>
    <w:rsid w:val="00D3284B"/>
    <w:rsid w:val="00D333CA"/>
    <w:rsid w:val="00D344E5"/>
    <w:rsid w:val="00D35DE8"/>
    <w:rsid w:val="00D376B8"/>
    <w:rsid w:val="00D438E8"/>
    <w:rsid w:val="00D43C13"/>
    <w:rsid w:val="00D4601B"/>
    <w:rsid w:val="00D50CA7"/>
    <w:rsid w:val="00D51468"/>
    <w:rsid w:val="00D5547C"/>
    <w:rsid w:val="00D56697"/>
    <w:rsid w:val="00D605A5"/>
    <w:rsid w:val="00D615A3"/>
    <w:rsid w:val="00D61B2D"/>
    <w:rsid w:val="00D6313D"/>
    <w:rsid w:val="00D641DD"/>
    <w:rsid w:val="00D65A9D"/>
    <w:rsid w:val="00D67468"/>
    <w:rsid w:val="00D70DD2"/>
    <w:rsid w:val="00D721EC"/>
    <w:rsid w:val="00D725DC"/>
    <w:rsid w:val="00D72DD5"/>
    <w:rsid w:val="00D76A47"/>
    <w:rsid w:val="00D77558"/>
    <w:rsid w:val="00D7779A"/>
    <w:rsid w:val="00D77B08"/>
    <w:rsid w:val="00D8400C"/>
    <w:rsid w:val="00D916BD"/>
    <w:rsid w:val="00D94958"/>
    <w:rsid w:val="00D94FD0"/>
    <w:rsid w:val="00D96E01"/>
    <w:rsid w:val="00DA04D3"/>
    <w:rsid w:val="00DA2A89"/>
    <w:rsid w:val="00DB37BC"/>
    <w:rsid w:val="00DB3EC0"/>
    <w:rsid w:val="00DB4360"/>
    <w:rsid w:val="00DB4786"/>
    <w:rsid w:val="00DB47DE"/>
    <w:rsid w:val="00DB7DC4"/>
    <w:rsid w:val="00DC46D7"/>
    <w:rsid w:val="00DC4D60"/>
    <w:rsid w:val="00DC6836"/>
    <w:rsid w:val="00DC6F7C"/>
    <w:rsid w:val="00DD13D1"/>
    <w:rsid w:val="00DD2C87"/>
    <w:rsid w:val="00DD3762"/>
    <w:rsid w:val="00DD51CB"/>
    <w:rsid w:val="00DE112E"/>
    <w:rsid w:val="00DE1D51"/>
    <w:rsid w:val="00DE3976"/>
    <w:rsid w:val="00DE4D0D"/>
    <w:rsid w:val="00DE54FB"/>
    <w:rsid w:val="00DE6D90"/>
    <w:rsid w:val="00DF002F"/>
    <w:rsid w:val="00DF0464"/>
    <w:rsid w:val="00DF1566"/>
    <w:rsid w:val="00DF53E6"/>
    <w:rsid w:val="00DF6DAF"/>
    <w:rsid w:val="00E0223B"/>
    <w:rsid w:val="00E0244D"/>
    <w:rsid w:val="00E03487"/>
    <w:rsid w:val="00E03BEA"/>
    <w:rsid w:val="00E03C5B"/>
    <w:rsid w:val="00E03CF9"/>
    <w:rsid w:val="00E04A93"/>
    <w:rsid w:val="00E11430"/>
    <w:rsid w:val="00E12C24"/>
    <w:rsid w:val="00E2134B"/>
    <w:rsid w:val="00E22A42"/>
    <w:rsid w:val="00E23293"/>
    <w:rsid w:val="00E2354E"/>
    <w:rsid w:val="00E2493F"/>
    <w:rsid w:val="00E25AD4"/>
    <w:rsid w:val="00E26CF1"/>
    <w:rsid w:val="00E30613"/>
    <w:rsid w:val="00E31468"/>
    <w:rsid w:val="00E42A5C"/>
    <w:rsid w:val="00E43051"/>
    <w:rsid w:val="00E43801"/>
    <w:rsid w:val="00E459F5"/>
    <w:rsid w:val="00E5252D"/>
    <w:rsid w:val="00E61391"/>
    <w:rsid w:val="00E62B23"/>
    <w:rsid w:val="00E63BD6"/>
    <w:rsid w:val="00E659FD"/>
    <w:rsid w:val="00E6668F"/>
    <w:rsid w:val="00E66B62"/>
    <w:rsid w:val="00E6725E"/>
    <w:rsid w:val="00E72597"/>
    <w:rsid w:val="00E733C2"/>
    <w:rsid w:val="00E76C6A"/>
    <w:rsid w:val="00E77A8B"/>
    <w:rsid w:val="00E77C5F"/>
    <w:rsid w:val="00E81920"/>
    <w:rsid w:val="00E81E94"/>
    <w:rsid w:val="00E82607"/>
    <w:rsid w:val="00E8317B"/>
    <w:rsid w:val="00E83981"/>
    <w:rsid w:val="00E85842"/>
    <w:rsid w:val="00E9117F"/>
    <w:rsid w:val="00E92978"/>
    <w:rsid w:val="00E93EA7"/>
    <w:rsid w:val="00E9400E"/>
    <w:rsid w:val="00E95B55"/>
    <w:rsid w:val="00EA68DC"/>
    <w:rsid w:val="00EA6DBD"/>
    <w:rsid w:val="00EA7DE1"/>
    <w:rsid w:val="00EB10EE"/>
    <w:rsid w:val="00EB1440"/>
    <w:rsid w:val="00EB17BB"/>
    <w:rsid w:val="00EB4761"/>
    <w:rsid w:val="00EB606C"/>
    <w:rsid w:val="00EC094F"/>
    <w:rsid w:val="00EC575A"/>
    <w:rsid w:val="00EC71A2"/>
    <w:rsid w:val="00ED2383"/>
    <w:rsid w:val="00ED69A7"/>
    <w:rsid w:val="00ED7ED7"/>
    <w:rsid w:val="00EE2324"/>
    <w:rsid w:val="00EE2E7E"/>
    <w:rsid w:val="00EE34C3"/>
    <w:rsid w:val="00EE3A4F"/>
    <w:rsid w:val="00EE4C2A"/>
    <w:rsid w:val="00EE708F"/>
    <w:rsid w:val="00EE7608"/>
    <w:rsid w:val="00EF3ECF"/>
    <w:rsid w:val="00EF5D9E"/>
    <w:rsid w:val="00F00BB1"/>
    <w:rsid w:val="00F0210B"/>
    <w:rsid w:val="00F022D7"/>
    <w:rsid w:val="00F028BE"/>
    <w:rsid w:val="00F034E2"/>
    <w:rsid w:val="00F0378C"/>
    <w:rsid w:val="00F03A2C"/>
    <w:rsid w:val="00F03FD6"/>
    <w:rsid w:val="00F071BA"/>
    <w:rsid w:val="00F0787C"/>
    <w:rsid w:val="00F10DC5"/>
    <w:rsid w:val="00F113F4"/>
    <w:rsid w:val="00F128EC"/>
    <w:rsid w:val="00F130B8"/>
    <w:rsid w:val="00F14EE6"/>
    <w:rsid w:val="00F21716"/>
    <w:rsid w:val="00F21DF7"/>
    <w:rsid w:val="00F2293A"/>
    <w:rsid w:val="00F233B6"/>
    <w:rsid w:val="00F24686"/>
    <w:rsid w:val="00F2737D"/>
    <w:rsid w:val="00F3098D"/>
    <w:rsid w:val="00F32891"/>
    <w:rsid w:val="00F34437"/>
    <w:rsid w:val="00F34EEF"/>
    <w:rsid w:val="00F3616F"/>
    <w:rsid w:val="00F37213"/>
    <w:rsid w:val="00F37D0A"/>
    <w:rsid w:val="00F40C6A"/>
    <w:rsid w:val="00F458D3"/>
    <w:rsid w:val="00F45B75"/>
    <w:rsid w:val="00F473D4"/>
    <w:rsid w:val="00F503C0"/>
    <w:rsid w:val="00F55BFF"/>
    <w:rsid w:val="00F57F9E"/>
    <w:rsid w:val="00F61247"/>
    <w:rsid w:val="00F620DB"/>
    <w:rsid w:val="00F62CBE"/>
    <w:rsid w:val="00F63C42"/>
    <w:rsid w:val="00F63DD4"/>
    <w:rsid w:val="00F6497D"/>
    <w:rsid w:val="00F6621D"/>
    <w:rsid w:val="00F70B8F"/>
    <w:rsid w:val="00F71BA1"/>
    <w:rsid w:val="00F7276F"/>
    <w:rsid w:val="00F72BC7"/>
    <w:rsid w:val="00F73964"/>
    <w:rsid w:val="00F7424B"/>
    <w:rsid w:val="00F81D02"/>
    <w:rsid w:val="00F82377"/>
    <w:rsid w:val="00F855C8"/>
    <w:rsid w:val="00F873C6"/>
    <w:rsid w:val="00F87993"/>
    <w:rsid w:val="00F940A4"/>
    <w:rsid w:val="00FA15BA"/>
    <w:rsid w:val="00FA1D6F"/>
    <w:rsid w:val="00FA5A79"/>
    <w:rsid w:val="00FA6C61"/>
    <w:rsid w:val="00FA6F6A"/>
    <w:rsid w:val="00FB0BFE"/>
    <w:rsid w:val="00FB2976"/>
    <w:rsid w:val="00FB30C4"/>
    <w:rsid w:val="00FB4C51"/>
    <w:rsid w:val="00FB5C88"/>
    <w:rsid w:val="00FB7868"/>
    <w:rsid w:val="00FC1D91"/>
    <w:rsid w:val="00FC3CF6"/>
    <w:rsid w:val="00FC3D3B"/>
    <w:rsid w:val="00FC551F"/>
    <w:rsid w:val="00FC6BA9"/>
    <w:rsid w:val="00FC7132"/>
    <w:rsid w:val="00FD01C5"/>
    <w:rsid w:val="00FD0B15"/>
    <w:rsid w:val="00FD35F2"/>
    <w:rsid w:val="00FD424F"/>
    <w:rsid w:val="00FD4E2D"/>
    <w:rsid w:val="00FD5649"/>
    <w:rsid w:val="00FD5E87"/>
    <w:rsid w:val="00FD7686"/>
    <w:rsid w:val="00FE0673"/>
    <w:rsid w:val="00FE3BF8"/>
    <w:rsid w:val="00FE40A9"/>
    <w:rsid w:val="00FE44C5"/>
    <w:rsid w:val="00FE58E7"/>
    <w:rsid w:val="00FF1DBD"/>
    <w:rsid w:val="00FF326E"/>
    <w:rsid w:val="00FF681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oNotEmbedSmartTags/>
  <w:decimalSymbol w:val=","/>
  <w:listSeparator w:val=";"/>
  <w14:docId w14:val="314249FD"/>
  <w15:docId w15:val="{12F5A752-9808-4127-95EA-92446674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4D0D"/>
    <w:pPr>
      <w:suppressAutoHyphens/>
      <w:spacing w:line="240" w:lineRule="atLeast"/>
    </w:pPr>
    <w:rPr>
      <w:lang w:val="fr-CH" w:eastAsia="en-US"/>
    </w:rPr>
  </w:style>
  <w:style w:type="paragraph" w:styleId="Titre1">
    <w:name w:val="heading 1"/>
    <w:aliases w:val="Table_G"/>
    <w:basedOn w:val="SingleTxtG"/>
    <w:next w:val="SingleTxtG"/>
    <w:qFormat/>
    <w:rsid w:val="00D438E8"/>
    <w:pPr>
      <w:keepNext/>
      <w:keepLines/>
      <w:spacing w:after="0" w:line="240" w:lineRule="auto"/>
      <w:ind w:right="0"/>
      <w:jc w:val="left"/>
      <w:outlineLvl w:val="0"/>
    </w:pPr>
  </w:style>
  <w:style w:type="paragraph" w:styleId="Titre2">
    <w:name w:val="heading 2"/>
    <w:basedOn w:val="Normal"/>
    <w:next w:val="Normal"/>
    <w:semiHidden/>
    <w:qFormat/>
    <w:rsid w:val="00D438E8"/>
    <w:pPr>
      <w:outlineLvl w:val="1"/>
    </w:pPr>
  </w:style>
  <w:style w:type="paragraph" w:styleId="Titre3">
    <w:name w:val="heading 3"/>
    <w:basedOn w:val="Normal"/>
    <w:next w:val="Normal"/>
    <w:semiHidden/>
    <w:qFormat/>
    <w:rsid w:val="00D438E8"/>
    <w:pPr>
      <w:outlineLvl w:val="2"/>
    </w:pPr>
  </w:style>
  <w:style w:type="paragraph" w:styleId="Titre4">
    <w:name w:val="heading 4"/>
    <w:basedOn w:val="Normal"/>
    <w:next w:val="Normal"/>
    <w:semiHidden/>
    <w:qFormat/>
    <w:rsid w:val="00D438E8"/>
    <w:pPr>
      <w:outlineLvl w:val="3"/>
    </w:pPr>
  </w:style>
  <w:style w:type="paragraph" w:styleId="Titre5">
    <w:name w:val="heading 5"/>
    <w:basedOn w:val="Normal"/>
    <w:next w:val="Normal"/>
    <w:semiHidden/>
    <w:qFormat/>
    <w:rsid w:val="00D438E8"/>
    <w:pPr>
      <w:outlineLvl w:val="4"/>
    </w:pPr>
  </w:style>
  <w:style w:type="paragraph" w:styleId="Titre6">
    <w:name w:val="heading 6"/>
    <w:basedOn w:val="Normal"/>
    <w:next w:val="Normal"/>
    <w:semiHidden/>
    <w:qFormat/>
    <w:rsid w:val="00D438E8"/>
    <w:pPr>
      <w:outlineLvl w:val="5"/>
    </w:pPr>
  </w:style>
  <w:style w:type="paragraph" w:styleId="Titre7">
    <w:name w:val="heading 7"/>
    <w:basedOn w:val="Normal"/>
    <w:next w:val="Normal"/>
    <w:semiHidden/>
    <w:qFormat/>
    <w:rsid w:val="00D438E8"/>
    <w:pPr>
      <w:outlineLvl w:val="6"/>
    </w:pPr>
  </w:style>
  <w:style w:type="paragraph" w:styleId="Titre8">
    <w:name w:val="heading 8"/>
    <w:basedOn w:val="Normal"/>
    <w:next w:val="Normal"/>
    <w:semiHidden/>
    <w:qFormat/>
    <w:rsid w:val="00D438E8"/>
    <w:pPr>
      <w:outlineLvl w:val="7"/>
    </w:pPr>
  </w:style>
  <w:style w:type="paragraph" w:styleId="Titre9">
    <w:name w:val="heading 9"/>
    <w:basedOn w:val="Normal"/>
    <w:next w:val="Normal"/>
    <w:semiHidden/>
    <w:qFormat/>
    <w:rsid w:val="00D438E8"/>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D438E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D438E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438E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438E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438E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438E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438E8"/>
    <w:pPr>
      <w:spacing w:after="120"/>
      <w:ind w:left="1134" w:right="1134"/>
      <w:jc w:val="both"/>
    </w:pPr>
  </w:style>
  <w:style w:type="paragraph" w:customStyle="1" w:styleId="SLG">
    <w:name w:val="__S_L_G"/>
    <w:basedOn w:val="Normal"/>
    <w:next w:val="Normal"/>
    <w:rsid w:val="00D438E8"/>
    <w:pPr>
      <w:keepNext/>
      <w:keepLines/>
      <w:spacing w:before="240" w:after="240" w:line="580" w:lineRule="exact"/>
      <w:ind w:left="1134" w:right="1134"/>
    </w:pPr>
    <w:rPr>
      <w:b/>
      <w:sz w:val="56"/>
    </w:rPr>
  </w:style>
  <w:style w:type="paragraph" w:customStyle="1" w:styleId="SMG">
    <w:name w:val="__S_M_G"/>
    <w:basedOn w:val="Normal"/>
    <w:next w:val="Normal"/>
    <w:rsid w:val="00D438E8"/>
    <w:pPr>
      <w:keepNext/>
      <w:keepLines/>
      <w:spacing w:before="240" w:after="240" w:line="420" w:lineRule="exact"/>
      <w:ind w:left="1134" w:right="1134"/>
    </w:pPr>
    <w:rPr>
      <w:b/>
      <w:sz w:val="40"/>
    </w:rPr>
  </w:style>
  <w:style w:type="paragraph" w:customStyle="1" w:styleId="SSG">
    <w:name w:val="__S_S_G"/>
    <w:basedOn w:val="Normal"/>
    <w:next w:val="Normal"/>
    <w:rsid w:val="00D438E8"/>
    <w:pPr>
      <w:keepNext/>
      <w:keepLines/>
      <w:spacing w:before="240" w:after="240" w:line="300" w:lineRule="exact"/>
      <w:ind w:left="1134" w:right="1134"/>
    </w:pPr>
    <w:rPr>
      <w:b/>
      <w:sz w:val="28"/>
    </w:rPr>
  </w:style>
  <w:style w:type="paragraph" w:customStyle="1" w:styleId="XLargeG">
    <w:name w:val="__XLarge_G"/>
    <w:basedOn w:val="Normal"/>
    <w:next w:val="Normal"/>
    <w:rsid w:val="00D438E8"/>
    <w:pPr>
      <w:keepNext/>
      <w:keepLines/>
      <w:spacing w:before="240" w:after="240" w:line="420" w:lineRule="exact"/>
      <w:ind w:left="1134" w:right="1134"/>
    </w:pPr>
    <w:rPr>
      <w:b/>
      <w:sz w:val="40"/>
    </w:rPr>
  </w:style>
  <w:style w:type="paragraph" w:customStyle="1" w:styleId="Bullet1G">
    <w:name w:val="_Bullet 1_G"/>
    <w:basedOn w:val="Normal"/>
    <w:qFormat/>
    <w:rsid w:val="00D438E8"/>
    <w:pPr>
      <w:numPr>
        <w:numId w:val="1"/>
      </w:numPr>
      <w:spacing w:after="120"/>
      <w:ind w:right="1134"/>
      <w:jc w:val="both"/>
    </w:pPr>
  </w:style>
  <w:style w:type="paragraph" w:customStyle="1" w:styleId="Bullet2G">
    <w:name w:val="_Bullet 2_G"/>
    <w:basedOn w:val="Normal"/>
    <w:qFormat/>
    <w:rsid w:val="00D438E8"/>
    <w:pPr>
      <w:numPr>
        <w:numId w:val="2"/>
      </w:numPr>
      <w:spacing w:after="120"/>
      <w:ind w:right="1134"/>
      <w:jc w:val="both"/>
    </w:pPr>
  </w:style>
  <w:style w:type="character" w:styleId="Appelnotedebasdep">
    <w:name w:val="footnote reference"/>
    <w:aliases w:val="4_G,Ref,de nota al pie,Footnote Reference Number"/>
    <w:basedOn w:val="Policepardfaut"/>
    <w:qFormat/>
    <w:rsid w:val="00D438E8"/>
    <w:rPr>
      <w:rFonts w:ascii="Times New Roman" w:hAnsi="Times New Roman"/>
      <w:sz w:val="18"/>
      <w:vertAlign w:val="superscript"/>
      <w:lang w:val="fr-CH"/>
    </w:rPr>
  </w:style>
  <w:style w:type="character" w:styleId="Appeldenotedefin">
    <w:name w:val="endnote reference"/>
    <w:aliases w:val="1_G"/>
    <w:basedOn w:val="Appelnotedebasdep"/>
    <w:qFormat/>
    <w:rsid w:val="00D438E8"/>
    <w:rPr>
      <w:rFonts w:ascii="Times New Roman" w:hAnsi="Times New Roman"/>
      <w:sz w:val="18"/>
      <w:vertAlign w:val="superscript"/>
      <w:lang w:val="fr-CH"/>
    </w:rPr>
  </w:style>
  <w:style w:type="paragraph" w:styleId="En-tte">
    <w:name w:val="header"/>
    <w:aliases w:val="6_G"/>
    <w:basedOn w:val="Normal"/>
    <w:next w:val="Normal"/>
    <w:qFormat/>
    <w:rsid w:val="00D438E8"/>
    <w:pPr>
      <w:pBdr>
        <w:bottom w:val="single" w:sz="4" w:space="4" w:color="auto"/>
      </w:pBdr>
      <w:spacing w:line="240" w:lineRule="auto"/>
    </w:pPr>
    <w:rPr>
      <w:b/>
      <w:sz w:val="18"/>
    </w:rPr>
  </w:style>
  <w:style w:type="paragraph" w:styleId="Notedebasdepage">
    <w:name w:val="footnote text"/>
    <w:aliases w:val="5_G,Footnote Text Char Char Char,single space,footnote text,Текст сноски Знак,Footnote reference,FA Fu,Footnote Text Char Char Char Char Char,Footnote Text Char Char Char Car,Footnote Text Char Char Char Car Car Car Car Car Car"/>
    <w:basedOn w:val="Normal"/>
    <w:link w:val="NotedebasdepageCar"/>
    <w:qFormat/>
    <w:rsid w:val="00D438E8"/>
    <w:pPr>
      <w:tabs>
        <w:tab w:val="right" w:pos="1021"/>
      </w:tabs>
      <w:spacing w:line="220" w:lineRule="exact"/>
      <w:ind w:left="1134" w:right="1134" w:hanging="1134"/>
    </w:pPr>
    <w:rPr>
      <w:sz w:val="18"/>
    </w:rPr>
  </w:style>
  <w:style w:type="paragraph" w:styleId="Notedefin">
    <w:name w:val="endnote text"/>
    <w:aliases w:val="2_G"/>
    <w:basedOn w:val="Notedebasdepage"/>
    <w:qFormat/>
    <w:rsid w:val="00D438E8"/>
  </w:style>
  <w:style w:type="character" w:styleId="Numrodepage">
    <w:name w:val="page number"/>
    <w:aliases w:val="7_G"/>
    <w:basedOn w:val="Policepardfaut"/>
    <w:semiHidden/>
    <w:rsid w:val="00D438E8"/>
    <w:rPr>
      <w:rFonts w:ascii="Times New Roman" w:hAnsi="Times New Roman"/>
      <w:b/>
      <w:sz w:val="18"/>
      <w:lang w:val="fr-CH"/>
    </w:rPr>
  </w:style>
  <w:style w:type="paragraph" w:styleId="Pieddepage">
    <w:name w:val="footer"/>
    <w:aliases w:val="3_G"/>
    <w:basedOn w:val="Normal"/>
    <w:next w:val="Normal"/>
    <w:qFormat/>
    <w:rsid w:val="00D438E8"/>
    <w:pPr>
      <w:spacing w:line="240" w:lineRule="auto"/>
    </w:pPr>
    <w:rPr>
      <w:sz w:val="16"/>
    </w:rPr>
  </w:style>
  <w:style w:type="character" w:styleId="Lienhypertexte">
    <w:name w:val="Hyperlink"/>
    <w:basedOn w:val="Policepardfaut"/>
    <w:semiHidden/>
    <w:rsid w:val="00D438E8"/>
    <w:rPr>
      <w:color w:val="auto"/>
      <w:u w:val="none"/>
    </w:rPr>
  </w:style>
  <w:style w:type="character" w:styleId="Lienhypertextesuivivisit">
    <w:name w:val="FollowedHyperlink"/>
    <w:basedOn w:val="Policepardfaut"/>
    <w:semiHidden/>
    <w:rsid w:val="00D438E8"/>
    <w:rPr>
      <w:color w:val="auto"/>
      <w:u w:val="none"/>
    </w:rPr>
  </w:style>
  <w:style w:type="table" w:styleId="Grilledetableau1">
    <w:name w:val="Table Grid 1"/>
    <w:basedOn w:val="TableauNormal"/>
    <w:semiHidden/>
    <w:rsid w:val="00D438E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semiHidden/>
    <w:rsid w:val="00D438E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semiHidden/>
    <w:rsid w:val="00DE4D0D"/>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DE4D0D"/>
    <w:rPr>
      <w:rFonts w:ascii="Tahoma" w:hAnsi="Tahoma" w:cs="Tahoma"/>
      <w:sz w:val="16"/>
      <w:szCs w:val="16"/>
      <w:lang w:val="fr-CH" w:eastAsia="en-US"/>
    </w:rPr>
  </w:style>
  <w:style w:type="paragraph" w:customStyle="1" w:styleId="ParNoG">
    <w:name w:val="_ParNo_G"/>
    <w:basedOn w:val="SingleTxtG"/>
    <w:qFormat/>
    <w:rsid w:val="005B083B"/>
    <w:pPr>
      <w:numPr>
        <w:numId w:val="3"/>
      </w:numPr>
      <w:kinsoku w:val="0"/>
      <w:overflowPunct w:val="0"/>
      <w:autoSpaceDE w:val="0"/>
      <w:autoSpaceDN w:val="0"/>
      <w:adjustRightInd w:val="0"/>
      <w:snapToGrid w:val="0"/>
    </w:pPr>
  </w:style>
  <w:style w:type="character" w:customStyle="1" w:styleId="NotedebasdepageCar">
    <w:name w:val="Note de bas de page Car"/>
    <w:aliases w:val="5_G Car,Footnote Text Char Char Char Car1,single space Car,footnote text Car,Текст сноски Знак Car,Footnote reference Car,FA Fu Car,Footnote Text Char Char Char Char Char Car,Footnote Text Char Char Char Car Car"/>
    <w:link w:val="Notedebasdepage"/>
    <w:rsid w:val="002505C9"/>
    <w:rPr>
      <w:sz w:val="18"/>
      <w:lang w:val="fr-CH" w:eastAsia="en-US"/>
    </w:rPr>
  </w:style>
  <w:style w:type="character" w:customStyle="1" w:styleId="H1GChar">
    <w:name w:val="_ H_1_G Char"/>
    <w:link w:val="H1G"/>
    <w:rsid w:val="00B2018A"/>
    <w:rPr>
      <w:b/>
      <w:sz w:val="24"/>
      <w:lang w:val="fr-CH" w:eastAsia="en-US"/>
    </w:rPr>
  </w:style>
  <w:style w:type="character" w:customStyle="1" w:styleId="H23GChar">
    <w:name w:val="_ H_2/3_G Char"/>
    <w:link w:val="H23G"/>
    <w:rsid w:val="00B2018A"/>
    <w:rPr>
      <w:b/>
      <w:lang w:val="fr-CH" w:eastAsia="en-US"/>
    </w:rPr>
  </w:style>
  <w:style w:type="character" w:styleId="Marquedecommentaire">
    <w:name w:val="annotation reference"/>
    <w:basedOn w:val="Policepardfaut"/>
    <w:semiHidden/>
    <w:unhideWhenUsed/>
    <w:rsid w:val="00721E00"/>
    <w:rPr>
      <w:sz w:val="16"/>
      <w:szCs w:val="16"/>
    </w:rPr>
  </w:style>
  <w:style w:type="paragraph" w:styleId="Commentaire">
    <w:name w:val="annotation text"/>
    <w:basedOn w:val="Normal"/>
    <w:link w:val="CommentaireCar"/>
    <w:semiHidden/>
    <w:unhideWhenUsed/>
    <w:rsid w:val="00721E00"/>
    <w:pPr>
      <w:spacing w:line="240" w:lineRule="auto"/>
    </w:pPr>
  </w:style>
  <w:style w:type="character" w:customStyle="1" w:styleId="CommentaireCar">
    <w:name w:val="Commentaire Car"/>
    <w:basedOn w:val="Policepardfaut"/>
    <w:link w:val="Commentaire"/>
    <w:semiHidden/>
    <w:rsid w:val="00721E00"/>
    <w:rPr>
      <w:lang w:val="fr-CH" w:eastAsia="en-US"/>
    </w:rPr>
  </w:style>
  <w:style w:type="paragraph" w:styleId="Objetducommentaire">
    <w:name w:val="annotation subject"/>
    <w:basedOn w:val="Commentaire"/>
    <w:next w:val="Commentaire"/>
    <w:link w:val="ObjetducommentaireCar"/>
    <w:semiHidden/>
    <w:unhideWhenUsed/>
    <w:rsid w:val="00721E00"/>
    <w:rPr>
      <w:b/>
      <w:bCs/>
    </w:rPr>
  </w:style>
  <w:style w:type="character" w:customStyle="1" w:styleId="ObjetducommentaireCar">
    <w:name w:val="Objet du commentaire Car"/>
    <w:basedOn w:val="CommentaireCar"/>
    <w:link w:val="Objetducommentaire"/>
    <w:semiHidden/>
    <w:rsid w:val="00721E00"/>
    <w:rPr>
      <w:b/>
      <w:bCs/>
      <w:lang w:val="fr-CH" w:eastAsia="en-US"/>
    </w:rPr>
  </w:style>
  <w:style w:type="character" w:customStyle="1" w:styleId="SingleTxtGChar">
    <w:name w:val="_ Single Txt_G Char"/>
    <w:link w:val="SingleTxtG"/>
    <w:locked/>
    <w:rsid w:val="00E30613"/>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547577">
      <w:bodyDiv w:val="1"/>
      <w:marLeft w:val="0"/>
      <w:marRight w:val="0"/>
      <w:marTop w:val="0"/>
      <w:marBottom w:val="0"/>
      <w:divBdr>
        <w:top w:val="none" w:sz="0" w:space="0" w:color="auto"/>
        <w:left w:val="none" w:sz="0" w:space="0" w:color="auto"/>
        <w:bottom w:val="none" w:sz="0" w:space="0" w:color="auto"/>
        <w:right w:val="none" w:sz="0" w:space="0" w:color="auto"/>
      </w:divBdr>
    </w:div>
    <w:div w:id="518814992">
      <w:bodyDiv w:val="1"/>
      <w:marLeft w:val="0"/>
      <w:marRight w:val="0"/>
      <w:marTop w:val="0"/>
      <w:marBottom w:val="0"/>
      <w:divBdr>
        <w:top w:val="none" w:sz="0" w:space="0" w:color="auto"/>
        <w:left w:val="none" w:sz="0" w:space="0" w:color="auto"/>
        <w:bottom w:val="none" w:sz="0" w:space="0" w:color="auto"/>
        <w:right w:val="none" w:sz="0" w:space="0" w:color="auto"/>
      </w:divBdr>
    </w:div>
    <w:div w:id="532158079">
      <w:bodyDiv w:val="1"/>
      <w:marLeft w:val="0"/>
      <w:marRight w:val="0"/>
      <w:marTop w:val="0"/>
      <w:marBottom w:val="0"/>
      <w:divBdr>
        <w:top w:val="none" w:sz="0" w:space="0" w:color="auto"/>
        <w:left w:val="none" w:sz="0" w:space="0" w:color="auto"/>
        <w:bottom w:val="none" w:sz="0" w:space="0" w:color="auto"/>
        <w:right w:val="none" w:sz="0" w:space="0" w:color="auto"/>
      </w:divBdr>
    </w:div>
    <w:div w:id="564679786">
      <w:bodyDiv w:val="1"/>
      <w:marLeft w:val="0"/>
      <w:marRight w:val="0"/>
      <w:marTop w:val="0"/>
      <w:marBottom w:val="0"/>
      <w:divBdr>
        <w:top w:val="none" w:sz="0" w:space="0" w:color="auto"/>
        <w:left w:val="none" w:sz="0" w:space="0" w:color="auto"/>
        <w:bottom w:val="none" w:sz="0" w:space="0" w:color="auto"/>
        <w:right w:val="none" w:sz="0" w:space="0" w:color="auto"/>
      </w:divBdr>
    </w:div>
    <w:div w:id="633029382">
      <w:bodyDiv w:val="1"/>
      <w:marLeft w:val="0"/>
      <w:marRight w:val="0"/>
      <w:marTop w:val="0"/>
      <w:marBottom w:val="0"/>
      <w:divBdr>
        <w:top w:val="none" w:sz="0" w:space="0" w:color="auto"/>
        <w:left w:val="none" w:sz="0" w:space="0" w:color="auto"/>
        <w:bottom w:val="none" w:sz="0" w:space="0" w:color="auto"/>
        <w:right w:val="none" w:sz="0" w:space="0" w:color="auto"/>
      </w:divBdr>
    </w:div>
    <w:div w:id="748577268">
      <w:bodyDiv w:val="1"/>
      <w:marLeft w:val="0"/>
      <w:marRight w:val="0"/>
      <w:marTop w:val="0"/>
      <w:marBottom w:val="0"/>
      <w:divBdr>
        <w:top w:val="none" w:sz="0" w:space="0" w:color="auto"/>
        <w:left w:val="none" w:sz="0" w:space="0" w:color="auto"/>
        <w:bottom w:val="none" w:sz="0" w:space="0" w:color="auto"/>
        <w:right w:val="none" w:sz="0" w:space="0" w:color="auto"/>
      </w:divBdr>
    </w:div>
    <w:div w:id="778064244">
      <w:bodyDiv w:val="1"/>
      <w:marLeft w:val="0"/>
      <w:marRight w:val="0"/>
      <w:marTop w:val="0"/>
      <w:marBottom w:val="0"/>
      <w:divBdr>
        <w:top w:val="none" w:sz="0" w:space="0" w:color="auto"/>
        <w:left w:val="none" w:sz="0" w:space="0" w:color="auto"/>
        <w:bottom w:val="none" w:sz="0" w:space="0" w:color="auto"/>
        <w:right w:val="none" w:sz="0" w:space="0" w:color="auto"/>
      </w:divBdr>
    </w:div>
    <w:div w:id="892473363">
      <w:bodyDiv w:val="1"/>
      <w:marLeft w:val="0"/>
      <w:marRight w:val="0"/>
      <w:marTop w:val="0"/>
      <w:marBottom w:val="0"/>
      <w:divBdr>
        <w:top w:val="none" w:sz="0" w:space="0" w:color="auto"/>
        <w:left w:val="none" w:sz="0" w:space="0" w:color="auto"/>
        <w:bottom w:val="none" w:sz="0" w:space="0" w:color="auto"/>
        <w:right w:val="none" w:sz="0" w:space="0" w:color="auto"/>
      </w:divBdr>
    </w:div>
    <w:div w:id="1076174575">
      <w:bodyDiv w:val="1"/>
      <w:marLeft w:val="0"/>
      <w:marRight w:val="0"/>
      <w:marTop w:val="0"/>
      <w:marBottom w:val="0"/>
      <w:divBdr>
        <w:top w:val="none" w:sz="0" w:space="0" w:color="auto"/>
        <w:left w:val="none" w:sz="0" w:space="0" w:color="auto"/>
        <w:bottom w:val="none" w:sz="0" w:space="0" w:color="auto"/>
        <w:right w:val="none" w:sz="0" w:space="0" w:color="auto"/>
      </w:divBdr>
    </w:div>
    <w:div w:id="1081758646">
      <w:bodyDiv w:val="1"/>
      <w:marLeft w:val="0"/>
      <w:marRight w:val="0"/>
      <w:marTop w:val="0"/>
      <w:marBottom w:val="0"/>
      <w:divBdr>
        <w:top w:val="none" w:sz="0" w:space="0" w:color="auto"/>
        <w:left w:val="none" w:sz="0" w:space="0" w:color="auto"/>
        <w:bottom w:val="none" w:sz="0" w:space="0" w:color="auto"/>
        <w:right w:val="none" w:sz="0" w:space="0" w:color="auto"/>
      </w:divBdr>
    </w:div>
    <w:div w:id="1319579779">
      <w:bodyDiv w:val="1"/>
      <w:marLeft w:val="0"/>
      <w:marRight w:val="0"/>
      <w:marTop w:val="0"/>
      <w:marBottom w:val="0"/>
      <w:divBdr>
        <w:top w:val="none" w:sz="0" w:space="0" w:color="auto"/>
        <w:left w:val="none" w:sz="0" w:space="0" w:color="auto"/>
        <w:bottom w:val="none" w:sz="0" w:space="0" w:color="auto"/>
        <w:right w:val="none" w:sz="0" w:space="0" w:color="auto"/>
      </w:divBdr>
    </w:div>
    <w:div w:id="1362632656">
      <w:bodyDiv w:val="1"/>
      <w:marLeft w:val="0"/>
      <w:marRight w:val="0"/>
      <w:marTop w:val="0"/>
      <w:marBottom w:val="0"/>
      <w:divBdr>
        <w:top w:val="none" w:sz="0" w:space="0" w:color="auto"/>
        <w:left w:val="none" w:sz="0" w:space="0" w:color="auto"/>
        <w:bottom w:val="none" w:sz="0" w:space="0" w:color="auto"/>
        <w:right w:val="none" w:sz="0" w:space="0" w:color="auto"/>
      </w:divBdr>
    </w:div>
    <w:div w:id="1373267227">
      <w:bodyDiv w:val="1"/>
      <w:marLeft w:val="0"/>
      <w:marRight w:val="0"/>
      <w:marTop w:val="0"/>
      <w:marBottom w:val="0"/>
      <w:divBdr>
        <w:top w:val="none" w:sz="0" w:space="0" w:color="auto"/>
        <w:left w:val="none" w:sz="0" w:space="0" w:color="auto"/>
        <w:bottom w:val="none" w:sz="0" w:space="0" w:color="auto"/>
        <w:right w:val="none" w:sz="0" w:space="0" w:color="auto"/>
      </w:divBdr>
    </w:div>
    <w:div w:id="1437293069">
      <w:bodyDiv w:val="1"/>
      <w:marLeft w:val="0"/>
      <w:marRight w:val="0"/>
      <w:marTop w:val="0"/>
      <w:marBottom w:val="0"/>
      <w:divBdr>
        <w:top w:val="none" w:sz="0" w:space="0" w:color="auto"/>
        <w:left w:val="none" w:sz="0" w:space="0" w:color="auto"/>
        <w:bottom w:val="none" w:sz="0" w:space="0" w:color="auto"/>
        <w:right w:val="none" w:sz="0" w:space="0" w:color="auto"/>
      </w:divBdr>
    </w:div>
    <w:div w:id="1519151699">
      <w:bodyDiv w:val="1"/>
      <w:marLeft w:val="0"/>
      <w:marRight w:val="0"/>
      <w:marTop w:val="0"/>
      <w:marBottom w:val="0"/>
      <w:divBdr>
        <w:top w:val="none" w:sz="0" w:space="0" w:color="auto"/>
        <w:left w:val="none" w:sz="0" w:space="0" w:color="auto"/>
        <w:bottom w:val="none" w:sz="0" w:space="0" w:color="auto"/>
        <w:right w:val="none" w:sz="0" w:space="0" w:color="auto"/>
      </w:divBdr>
    </w:div>
    <w:div w:id="1586721460">
      <w:bodyDiv w:val="1"/>
      <w:marLeft w:val="0"/>
      <w:marRight w:val="0"/>
      <w:marTop w:val="0"/>
      <w:marBottom w:val="0"/>
      <w:divBdr>
        <w:top w:val="none" w:sz="0" w:space="0" w:color="auto"/>
        <w:left w:val="none" w:sz="0" w:space="0" w:color="auto"/>
        <w:bottom w:val="none" w:sz="0" w:space="0" w:color="auto"/>
        <w:right w:val="none" w:sz="0" w:space="0" w:color="auto"/>
      </w:divBdr>
    </w:div>
    <w:div w:id="1652055796">
      <w:bodyDiv w:val="1"/>
      <w:marLeft w:val="0"/>
      <w:marRight w:val="0"/>
      <w:marTop w:val="0"/>
      <w:marBottom w:val="0"/>
      <w:divBdr>
        <w:top w:val="none" w:sz="0" w:space="0" w:color="auto"/>
        <w:left w:val="none" w:sz="0" w:space="0" w:color="auto"/>
        <w:bottom w:val="none" w:sz="0" w:space="0" w:color="auto"/>
        <w:right w:val="none" w:sz="0" w:space="0" w:color="auto"/>
      </w:divBdr>
    </w:div>
    <w:div w:id="1687058758">
      <w:bodyDiv w:val="1"/>
      <w:marLeft w:val="0"/>
      <w:marRight w:val="0"/>
      <w:marTop w:val="0"/>
      <w:marBottom w:val="0"/>
      <w:divBdr>
        <w:top w:val="none" w:sz="0" w:space="0" w:color="auto"/>
        <w:left w:val="none" w:sz="0" w:space="0" w:color="auto"/>
        <w:bottom w:val="none" w:sz="0" w:space="0" w:color="auto"/>
        <w:right w:val="none" w:sz="0" w:space="0" w:color="auto"/>
      </w:divBdr>
    </w:div>
    <w:div w:id="1906378186">
      <w:bodyDiv w:val="1"/>
      <w:marLeft w:val="0"/>
      <w:marRight w:val="0"/>
      <w:marTop w:val="0"/>
      <w:marBottom w:val="0"/>
      <w:divBdr>
        <w:top w:val="none" w:sz="0" w:space="0" w:color="auto"/>
        <w:left w:val="none" w:sz="0" w:space="0" w:color="auto"/>
        <w:bottom w:val="none" w:sz="0" w:space="0" w:color="auto"/>
        <w:right w:val="none" w:sz="0" w:space="0" w:color="auto"/>
      </w:divBdr>
    </w:div>
    <w:div w:id="2057579296">
      <w:bodyDiv w:val="1"/>
      <w:marLeft w:val="0"/>
      <w:marRight w:val="0"/>
      <w:marTop w:val="0"/>
      <w:marBottom w:val="0"/>
      <w:divBdr>
        <w:top w:val="none" w:sz="0" w:space="0" w:color="auto"/>
        <w:left w:val="none" w:sz="0" w:space="0" w:color="auto"/>
        <w:bottom w:val="none" w:sz="0" w:space="0" w:color="auto"/>
        <w:right w:val="none" w:sz="0" w:space="0" w:color="auto"/>
      </w:divBdr>
    </w:div>
    <w:div w:id="2060546998">
      <w:bodyDiv w:val="1"/>
      <w:marLeft w:val="0"/>
      <w:marRight w:val="0"/>
      <w:marTop w:val="0"/>
      <w:marBottom w:val="0"/>
      <w:divBdr>
        <w:top w:val="none" w:sz="0" w:space="0" w:color="auto"/>
        <w:left w:val="none" w:sz="0" w:space="0" w:color="auto"/>
        <w:bottom w:val="none" w:sz="0" w:space="0" w:color="auto"/>
        <w:right w:val="none" w:sz="0" w:space="0" w:color="auto"/>
      </w:divBdr>
    </w:div>
    <w:div w:id="2116362500">
      <w:bodyDiv w:val="1"/>
      <w:marLeft w:val="0"/>
      <w:marRight w:val="0"/>
      <w:marTop w:val="0"/>
      <w:marBottom w:val="0"/>
      <w:divBdr>
        <w:top w:val="none" w:sz="0" w:space="0" w:color="auto"/>
        <w:left w:val="none" w:sz="0" w:space="0" w:color="auto"/>
        <w:bottom w:val="none" w:sz="0" w:space="0" w:color="auto"/>
        <w:right w:val="none" w:sz="0" w:space="0" w:color="auto"/>
      </w:divBdr>
    </w:div>
    <w:div w:id="213228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MW\CMW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05893-92ED-412E-9F39-013F525E2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CMW_F.dotm</Template>
  <TotalTime>13</TotalTime>
  <Pages>12</Pages>
  <Words>6113</Words>
  <Characters>33317</Characters>
  <Application>Microsoft Office Word</Application>
  <DocSecurity>0</DocSecurity>
  <Lines>584</Lines>
  <Paragraphs>215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CMW/C/MDG/CO/1</vt:lpstr>
      <vt:lpstr>CMW/C/MDG/CO/1</vt:lpstr>
    </vt:vector>
  </TitlesOfParts>
  <Company>Corinne</Company>
  <LinksUpToDate>false</LinksUpToDate>
  <CharactersWithSpaces>39215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CMW/C/MDG/CO/1</dc:title>
  <dc:subject/>
  <dc:creator>Nath V.</dc:creator>
  <cp:keywords/>
  <dc:description/>
  <cp:lastModifiedBy>Maud Dariche</cp:lastModifiedBy>
  <cp:revision>3</cp:revision>
  <cp:lastPrinted>2018-10-16T06:18:00Z</cp:lastPrinted>
  <dcterms:created xsi:type="dcterms:W3CDTF">2018-10-16T06:18:00Z</dcterms:created>
  <dcterms:modified xsi:type="dcterms:W3CDTF">2018-10-16T06:31:00Z</dcterms:modified>
</cp:coreProperties>
</file>