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1FD3C37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DF6455" w14:textId="77777777" w:rsidR="002D5AAC" w:rsidRDefault="002D5AAC" w:rsidP="007052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18EB8A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110519" w14:textId="77777777" w:rsidR="002D5AAC" w:rsidRDefault="007052D4" w:rsidP="007052D4">
            <w:pPr>
              <w:jc w:val="right"/>
            </w:pPr>
            <w:r w:rsidRPr="007052D4">
              <w:rPr>
                <w:sz w:val="40"/>
              </w:rPr>
              <w:t>CRC</w:t>
            </w:r>
            <w:r>
              <w:t>/C/COK/CO/2-5</w:t>
            </w:r>
          </w:p>
        </w:tc>
      </w:tr>
      <w:tr w:rsidR="002D5AAC" w:rsidRPr="007052D4" w14:paraId="0E0FA6AD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FBE34B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4E626E4" wp14:editId="1C6ED33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4BA1DF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C8D9186" w14:textId="77777777" w:rsidR="007052D4" w:rsidRDefault="007052D4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E148D48" w14:textId="77777777" w:rsidR="007052D4" w:rsidRDefault="007052D4" w:rsidP="007052D4">
            <w:pPr>
              <w:rPr>
                <w:lang w:val="en-US"/>
              </w:rPr>
            </w:pPr>
            <w:r>
              <w:t>2 April 2020</w:t>
            </w:r>
          </w:p>
          <w:p w14:paraId="257CE790" w14:textId="77777777" w:rsidR="007052D4" w:rsidRDefault="007052D4" w:rsidP="00705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CC4213" w14:textId="77777777" w:rsidR="007052D4" w:rsidRPr="00B937DF" w:rsidRDefault="007052D4" w:rsidP="007052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79F12D" w14:textId="77777777" w:rsidR="007052D4" w:rsidRPr="007052D4" w:rsidRDefault="007052D4" w:rsidP="007052D4">
      <w:pPr>
        <w:spacing w:before="120"/>
        <w:rPr>
          <w:rFonts w:eastAsiaTheme="minorEastAsia"/>
          <w:b/>
          <w:bCs/>
          <w:sz w:val="24"/>
          <w:szCs w:val="24"/>
        </w:rPr>
      </w:pPr>
      <w:r w:rsidRPr="007052D4">
        <w:rPr>
          <w:b/>
          <w:bCs/>
          <w:sz w:val="24"/>
          <w:szCs w:val="24"/>
        </w:rPr>
        <w:t>Комитет по правам ребенка</w:t>
      </w:r>
    </w:p>
    <w:p w14:paraId="2625F2E9" w14:textId="77777777" w:rsidR="007052D4" w:rsidRPr="006C1DD3" w:rsidRDefault="007052D4" w:rsidP="007052D4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</w:t>
      </w:r>
      <w:r>
        <w:rPr>
          <w:bCs/>
        </w:rPr>
        <w:br/>
      </w:r>
      <w:r>
        <w:rPr>
          <w:bCs/>
        </w:rPr>
        <w:t>второму</w:t>
      </w:r>
      <w:r w:rsidRPr="007052D4">
        <w:rPr>
          <w:bCs/>
        </w:rPr>
        <w:t>‒</w:t>
      </w:r>
      <w:r>
        <w:rPr>
          <w:bCs/>
        </w:rPr>
        <w:t>пятому периодическим докладам</w:t>
      </w:r>
      <w:r>
        <w:rPr>
          <w:bCs/>
        </w:rPr>
        <w:br/>
      </w:r>
      <w:r>
        <w:rPr>
          <w:bCs/>
        </w:rPr>
        <w:t>Островов Кука</w:t>
      </w:r>
      <w:r w:rsidRPr="007052D4">
        <w:rPr>
          <w:b w:val="0"/>
          <w:bCs/>
          <w:position w:val="6"/>
          <w:sz w:val="20"/>
          <w:szCs w:val="14"/>
        </w:rPr>
        <w:footnoteReference w:customMarkFollows="1" w:id="1"/>
        <w:t>*</w:t>
      </w:r>
    </w:p>
    <w:p w14:paraId="18E4AAE4" w14:textId="77777777" w:rsidR="007052D4" w:rsidRPr="006C1DD3" w:rsidRDefault="007052D4" w:rsidP="007052D4">
      <w:pPr>
        <w:pStyle w:val="HChG"/>
      </w:pPr>
      <w:r>
        <w:tab/>
      </w:r>
      <w:r>
        <w:t>I.</w:t>
      </w:r>
      <w:r>
        <w:tab/>
      </w:r>
      <w:r>
        <w:rPr>
          <w:bCs/>
        </w:rPr>
        <w:t>Введение</w:t>
      </w:r>
    </w:p>
    <w:p w14:paraId="177CA2EE" w14:textId="77777777" w:rsidR="007052D4" w:rsidRPr="006C1DD3" w:rsidRDefault="007052D4" w:rsidP="007052D4">
      <w:pPr>
        <w:pStyle w:val="SingleTxtG"/>
      </w:pPr>
      <w:r>
        <w:t>1.</w:t>
      </w:r>
      <w:r>
        <w:tab/>
        <w:t>Комитет рассмотрел объединенные второй</w:t>
      </w:r>
      <w:r w:rsidRPr="00621E87">
        <w:t>‒</w:t>
      </w:r>
      <w:r>
        <w:t>пятый периодические доклады Островов Кука (CRC/C/COK/2-5) на своих 2467</w:t>
      </w:r>
      <w:r>
        <w:t xml:space="preserve">-м </w:t>
      </w:r>
      <w:r>
        <w:t>и 2468-м заседаниях</w:t>
      </w:r>
      <w:r>
        <w:t xml:space="preserve"> </w:t>
      </w:r>
      <w:r>
        <w:t>(см. CRC/C/</w:t>
      </w:r>
      <w:r>
        <w:t xml:space="preserve"> </w:t>
      </w:r>
      <w:r>
        <w:t>SR.2467 и 2468), состоявшихся 5 марта 2020 года, и на своем 2470-м заседании, состоявшемся 6 марта 2020 года, принял настоящие заключительные замечания.</w:t>
      </w:r>
    </w:p>
    <w:p w14:paraId="23833D7C" w14:textId="77777777" w:rsidR="007052D4" w:rsidRPr="006C1DD3" w:rsidRDefault="007052D4" w:rsidP="007052D4">
      <w:pPr>
        <w:pStyle w:val="SingleTxtG"/>
      </w:pPr>
      <w:r>
        <w:t>2.</w:t>
      </w:r>
      <w:r>
        <w:tab/>
        <w:t>Комитет приветствует представление объединенных второго</w:t>
      </w:r>
      <w:r w:rsidRPr="00621E87">
        <w:t>‒</w:t>
      </w:r>
      <w:r>
        <w:t>пятого периодических докладов государства-участника и письменных ответов на перечень вопросов (CRC/C/COK/RQ/2-5), которые позволили лучше понять положение в области прав детей в государстве-участнике. Комитет дает высокую оценку конструктивному диалогу, состоявшемуся с высокопоставленной и многопрофильной делегацией государства-участника.</w:t>
      </w:r>
    </w:p>
    <w:p w14:paraId="7CDA7A49" w14:textId="77777777" w:rsidR="007052D4" w:rsidRPr="006C1DD3" w:rsidRDefault="007052D4" w:rsidP="007052D4">
      <w:pPr>
        <w:pStyle w:val="HChG"/>
      </w:pPr>
      <w:r>
        <w:tab/>
      </w:r>
      <w:r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64924438" w14:textId="77777777" w:rsidR="007052D4" w:rsidRPr="006C1DD3" w:rsidRDefault="007052D4" w:rsidP="007052D4">
      <w:pPr>
        <w:pStyle w:val="SingleTxtG"/>
      </w:pPr>
      <w:r>
        <w:t>3.</w:t>
      </w:r>
      <w:r>
        <w:tab/>
        <w:t>Комитет приветствует ратификацию государством-участником Конвенции Международной организации труда (МОТ) 1999 года о наихудших формах детского труда (№</w:t>
      </w:r>
      <w:r>
        <w:t> </w:t>
      </w:r>
      <w:r>
        <w:t>182). Комитет с удовлетворением отмечает законодательные, институциональные и политические меры, принятые для осуществления Конвенции,</w:t>
      </w:r>
      <w:r>
        <w:br/>
      </w:r>
      <w:r>
        <w:t>в частности принятие Закона о защите и поддержке семьи 2017 года и национальной политики в интересах детей на 2017</w:t>
      </w:r>
      <w:r w:rsidRPr="00621E87">
        <w:t>‒</w:t>
      </w:r>
      <w:r>
        <w:t>2021 годы (te pito manava o te anau).</w:t>
      </w:r>
      <w:r>
        <w:br/>
      </w:r>
      <w:r>
        <w:t>Он приветствует прогресс, достигнутый в деле снижения детской смертности.</w:t>
      </w:r>
    </w:p>
    <w:p w14:paraId="5A50025E" w14:textId="77777777" w:rsidR="007052D4" w:rsidRPr="006C1DD3" w:rsidRDefault="007052D4" w:rsidP="007052D4">
      <w:pPr>
        <w:pStyle w:val="HChG"/>
      </w:pPr>
      <w:r>
        <w:tab/>
      </w:r>
      <w:r>
        <w:t>III.</w:t>
      </w:r>
      <w:r>
        <w:tab/>
      </w:r>
      <w:r>
        <w:rPr>
          <w:bCs/>
        </w:rPr>
        <w:t>Основные проблемы, вызывающие обеспокоенность,</w:t>
      </w:r>
      <w:r>
        <w:rPr>
          <w:bCs/>
        </w:rPr>
        <w:br/>
      </w:r>
      <w:r>
        <w:rPr>
          <w:bCs/>
        </w:rPr>
        <w:t>и рекомендации</w:t>
      </w:r>
    </w:p>
    <w:p w14:paraId="4A77AAD0" w14:textId="77777777" w:rsidR="007052D4" w:rsidRPr="006C1DD3" w:rsidRDefault="007052D4" w:rsidP="007052D4">
      <w:pPr>
        <w:pStyle w:val="SingleTxtG"/>
        <w:rPr>
          <w:b/>
          <w:bCs/>
        </w:rPr>
      </w:pPr>
      <w:r>
        <w:t>4.</w:t>
      </w:r>
      <w:r>
        <w:tab/>
      </w:r>
      <w:r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настоятельно призывает государство-участник обеспечить конструктивное участие детей в разработке и осуществлении стратегий</w:t>
      </w:r>
      <w:r>
        <w:rPr>
          <w:b/>
          <w:bCs/>
        </w:rPr>
        <w:br/>
      </w:r>
      <w:r>
        <w:rPr>
          <w:b/>
          <w:bCs/>
        </w:rPr>
        <w:lastRenderedPageBreak/>
        <w:t>и программ, направленных на достижение всех 17 Целей в области устойчивого развития, в той мере, в какой они касаются детей.</w:t>
      </w:r>
    </w:p>
    <w:p w14:paraId="6BE0BF28" w14:textId="77777777" w:rsidR="007052D4" w:rsidRPr="006C1DD3" w:rsidRDefault="007052D4" w:rsidP="007052D4">
      <w:pPr>
        <w:pStyle w:val="H1G"/>
      </w:pPr>
      <w:r>
        <w:tab/>
      </w:r>
      <w:r>
        <w:t>A.</w:t>
      </w:r>
      <w:r>
        <w:tab/>
      </w:r>
      <w:r>
        <w:rPr>
          <w:bCs/>
        </w:rPr>
        <w:t>Общие меры по осуществлению (статьи 4, 42 и 44 (пункт 6))</w:t>
      </w:r>
    </w:p>
    <w:p w14:paraId="28125A51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Предыдущие рекомендации Комитета</w:t>
      </w:r>
    </w:p>
    <w:p w14:paraId="631FA7C5" w14:textId="77777777" w:rsidR="007052D4" w:rsidRPr="006C1DD3" w:rsidRDefault="007052D4" w:rsidP="007052D4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 для выполнения рекомендаций, которые содержались в его предыдущих заключительных замечаниях, принятых в 2012 году (CRC/C/COK/CO/1),</w:t>
      </w:r>
      <w:r>
        <w:rPr>
          <w:b/>
          <w:bCs/>
        </w:rPr>
        <w:br/>
      </w:r>
      <w:r>
        <w:rPr>
          <w:b/>
          <w:bCs/>
        </w:rPr>
        <w:t>и не были выполнены либо были выполнены в неполном объеме, в частности, рекомендаций в отношении оговорок и заявлений (пункт 7);</w:t>
      </w:r>
      <w:r>
        <w:t xml:space="preserve"> </w:t>
      </w:r>
      <w:r>
        <w:rPr>
          <w:b/>
          <w:bCs/>
        </w:rPr>
        <w:t>всеобъемлющей политики и стратегии (пункт 12);</w:t>
      </w:r>
      <w:r>
        <w:t xml:space="preserve"> </w:t>
      </w:r>
      <w:r>
        <w:rPr>
          <w:b/>
          <w:bCs/>
        </w:rPr>
        <w:t>выделения ресурсов (пункт 16);</w:t>
      </w:r>
      <w:r>
        <w:t xml:space="preserve"> </w:t>
      </w:r>
      <w:r>
        <w:rPr>
          <w:b/>
          <w:bCs/>
        </w:rPr>
        <w:t>сбора</w:t>
      </w:r>
      <w:r>
        <w:rPr>
          <w:b/>
          <w:bCs/>
        </w:rPr>
        <w:br/>
      </w:r>
      <w:r>
        <w:rPr>
          <w:b/>
          <w:bCs/>
        </w:rPr>
        <w:t>данных (пункт 18);</w:t>
      </w:r>
      <w:r>
        <w:t xml:space="preserve"> </w:t>
      </w:r>
      <w:r>
        <w:rPr>
          <w:b/>
          <w:bCs/>
        </w:rPr>
        <w:t>распространения информации, повышения уровня осведомленности и подготовки (пункт 20);</w:t>
      </w:r>
      <w:r>
        <w:t xml:space="preserve"> </w:t>
      </w:r>
      <w:r>
        <w:rPr>
          <w:b/>
          <w:bCs/>
        </w:rPr>
        <w:t>права на неприкосновенность</w:t>
      </w:r>
      <w:r>
        <w:rPr>
          <w:b/>
          <w:bCs/>
        </w:rPr>
        <w:br/>
      </w:r>
      <w:r>
        <w:rPr>
          <w:b/>
          <w:bCs/>
        </w:rPr>
        <w:t>частной жизни (пункт 34);</w:t>
      </w:r>
      <w:r>
        <w:t xml:space="preserve"> </w:t>
      </w:r>
      <w:r>
        <w:rPr>
          <w:b/>
          <w:bCs/>
        </w:rPr>
        <w:t>и здоровья подростков (пункты 46, 50 и 52).</w:t>
      </w:r>
    </w:p>
    <w:p w14:paraId="5074224F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Оговорки и заявления</w:t>
      </w:r>
    </w:p>
    <w:p w14:paraId="12550034" w14:textId="77777777" w:rsidR="007052D4" w:rsidRPr="006C1DD3" w:rsidRDefault="007052D4" w:rsidP="007052D4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напоминает о своих предыдущих рекомендациях (CRC/C/COK/</w:t>
      </w:r>
      <w:r w:rsidRPr="007052D4">
        <w:rPr>
          <w:b/>
          <w:bCs/>
        </w:rPr>
        <w:t xml:space="preserve"> </w:t>
      </w:r>
      <w:r>
        <w:rPr>
          <w:b/>
          <w:bCs/>
        </w:rPr>
        <w:t>CO/1, пункт 7), в которых он призвал государство-участник активизировать усилия, направленные на снятие оговорок по статьям 2 и 10 Конвенции и отзыв заявления по пункту 1 статьи 2 Конвенции, а также общего заявления о неприменимости Конвенции во внутреннем праве.</w:t>
      </w:r>
    </w:p>
    <w:p w14:paraId="61F573A6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</w:p>
    <w:p w14:paraId="2062A051" w14:textId="77777777" w:rsidR="007052D4" w:rsidRPr="006C1DD3" w:rsidRDefault="007052D4" w:rsidP="007052D4">
      <w:pPr>
        <w:pStyle w:val="SingleTxtG"/>
      </w:pPr>
      <w:r>
        <w:t>7.</w:t>
      </w:r>
      <w:r>
        <w:tab/>
        <w:t>Комитет приветствует принятие Закона о защите и поддержке семьи. Вместе с тем он обеспокоен отсутствием всеобъемлющего закона о правах детей, который бы позволил инкорпорировать Конвенции во внутреннее законодательство. Он также обеспокоен сохраняющимися в законодательных актах правовыми положениями, которые не согласуются с принципами и положениями Конвенции, в том числе в Законе Островов Кука 1915 года и Законе о преступлениях 1969 года.</w:t>
      </w:r>
    </w:p>
    <w:p w14:paraId="02AD0451" w14:textId="77777777" w:rsidR="007052D4" w:rsidRPr="006C1DD3" w:rsidRDefault="007052D4" w:rsidP="007052D4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рекомендует государству-участнику разработать всеобъемлющий закон о правах детей и продолжить пересмотр своих действующих законов, касающихся прав детей, включая Закон Островов Кука и Закон о преступлениях, с тем чтобы обеспечить их полное соответствие принципам и положениям Конвенции.</w:t>
      </w:r>
    </w:p>
    <w:p w14:paraId="428B5671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</w:p>
    <w:p w14:paraId="767FFDAC" w14:textId="77777777" w:rsidR="007052D4" w:rsidRPr="006C1DD3" w:rsidRDefault="007052D4" w:rsidP="007052D4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высоко оценивает принятие национальной политики в интересах детей на 2017</w:t>
      </w:r>
      <w:r w:rsidRPr="007052D4">
        <w:rPr>
          <w:b/>
          <w:bCs/>
        </w:rPr>
        <w:t>‒</w:t>
      </w:r>
      <w:r>
        <w:rPr>
          <w:b/>
          <w:bCs/>
        </w:rPr>
        <w:t>2021 годы (te pito manava o te anau), а также национальной молодежной политики на период 2015</w:t>
      </w:r>
      <w:r w:rsidRPr="007052D4">
        <w:rPr>
          <w:b/>
          <w:bCs/>
        </w:rPr>
        <w:t>‒</w:t>
      </w:r>
      <w:r>
        <w:rPr>
          <w:b/>
          <w:bCs/>
        </w:rPr>
        <w:t>2020 годов.</w:t>
      </w:r>
      <w:r>
        <w:t xml:space="preserve"> </w:t>
      </w:r>
      <w:r>
        <w:rPr>
          <w:b/>
          <w:bCs/>
        </w:rPr>
        <w:t>Он рекомендует государству-участнику разработать на основе этой политики стратегию, содержащую элементы, необходимые для ее реализации, и выделить для ее осуществления достаточные людские, технические и финансовые ресурсы.</w:t>
      </w:r>
    </w:p>
    <w:p w14:paraId="2733B169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0529E1CA" w14:textId="77777777" w:rsidR="007052D4" w:rsidRPr="006C1DD3" w:rsidRDefault="007052D4" w:rsidP="007052D4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приветствует создание Национального консультативного комитета по правам ребенка в качестве национального механизма по координации осуществления Конвенции, но рекомендует государству-участнику обеспечить этот орган достаточными людскими, техническими и финансовыми ресурсами, с тем чтобы он мог эффективно координировать, контролировать</w:t>
      </w:r>
      <w:r w:rsidR="002B4339">
        <w:rPr>
          <w:b/>
          <w:bCs/>
        </w:rPr>
        <w:br/>
      </w:r>
      <w:r>
        <w:rPr>
          <w:b/>
          <w:bCs/>
        </w:rPr>
        <w:t>и оценивать национальную политику и программы, касающиеся прав детей.</w:t>
      </w:r>
    </w:p>
    <w:p w14:paraId="32C7B14A" w14:textId="77777777" w:rsidR="007052D4" w:rsidRPr="006C1DD3" w:rsidRDefault="007052D4" w:rsidP="007052D4">
      <w:pPr>
        <w:pStyle w:val="H23G"/>
      </w:pPr>
      <w:r>
        <w:lastRenderedPageBreak/>
        <w:tab/>
      </w:r>
      <w:r>
        <w:tab/>
      </w:r>
      <w:r>
        <w:rPr>
          <w:bCs/>
        </w:rPr>
        <w:t>Выделение ресурсов</w:t>
      </w:r>
    </w:p>
    <w:p w14:paraId="31E9327C" w14:textId="77777777" w:rsidR="007052D4" w:rsidRPr="006C1DD3" w:rsidRDefault="007052D4" w:rsidP="007052D4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Ссылаясь на свое замечание общего порядка № 19 (2016) о государственных бюджетных ассигнованиях для осуществления прав детей, Комитет рекомендует государству-участнику:</w:t>
      </w:r>
    </w:p>
    <w:p w14:paraId="5A428747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a)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увеличить бюджетные ассигнования на осуществление всех законодательных актов, политики, планов и программ в интересах детей во всех соответствующих секторах с уделением приоритетного внимания здравоохранению, образованию и социальной защите;</w:t>
      </w:r>
    </w:p>
    <w:p w14:paraId="454C8C87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b)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использовать в процессе составления бюджета учитывающий права ребенка подход и применять специальные показатели и систему отслеживания для контроля за распределением и использованием ресурсов, выделяемых в интересах детей;</w:t>
      </w:r>
    </w:p>
    <w:p w14:paraId="24B7F9CD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c)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обеспечить транспарентные и основанные на широком участии процессы составления бюджета, в которых могут эффективно участвовать гражданское общество, общественность и дети.</w:t>
      </w:r>
    </w:p>
    <w:p w14:paraId="40F6F062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5C70C14F" w14:textId="77777777" w:rsidR="007052D4" w:rsidRPr="00ED4706" w:rsidRDefault="007052D4" w:rsidP="007052D4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В свете своего замечания общего порядка № 5 (2003) об общих мерах по осуществлению Конвенции Комитет рекомендует государству-участнику:</w:t>
      </w:r>
    </w:p>
    <w:p w14:paraId="6CB4C824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a)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принять эффективные меры для осуществления своей стратегии развития статистики на 2015</w:t>
      </w:r>
      <w:r w:rsidRPr="002B4339">
        <w:rPr>
          <w:b/>
          <w:bCs/>
        </w:rPr>
        <w:t>‒</w:t>
      </w:r>
      <w:r w:rsidR="007052D4" w:rsidRPr="002B4339">
        <w:rPr>
          <w:b/>
          <w:bCs/>
        </w:rPr>
        <w:t>2025 годы и создать комплексную и всеобъемлющую систему сбора и обработки данных, которая бы охватывала все области Конвенции и содержала дезагрегированные по соответствующих факторам данные для облегчения анализа положения всех детей;</w:t>
      </w:r>
    </w:p>
    <w:p w14:paraId="6E6F021D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b)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обеспечить обмен данными и показателями между министерствами, организациями гражданского общества и партнерами по развитию;</w:t>
      </w:r>
    </w:p>
    <w:p w14:paraId="33B10840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c)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обеспечить эффективное использование данных для разработки, мониторинга и оценки политики, программ и проектов, направленных на осуществление Конвенции;</w:t>
      </w:r>
    </w:p>
    <w:p w14:paraId="29964084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d)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укреплять техническое сотрудничество, в частности, с Детским фондом Организации Объединенных Наций (ЮНИСЕФ) и партнерами по развитию и учитывать руководящие принципы Управления Верховного комиссара Организации Объединенных Наций по правам человека под названием «Показатели соблюдения прав человека: руководство по количественной оценке и осуществлению» в процессе определения, сбора и распространения статистической информации.</w:t>
      </w:r>
    </w:p>
    <w:p w14:paraId="0435C373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</w:p>
    <w:p w14:paraId="1D97CECC" w14:textId="77777777" w:rsidR="007052D4" w:rsidRPr="006C1DD3" w:rsidRDefault="007052D4" w:rsidP="007052D4">
      <w:pPr>
        <w:pStyle w:val="SingleTxtG"/>
      </w:pPr>
      <w:r>
        <w:t>13.</w:t>
      </w:r>
      <w:r>
        <w:tab/>
        <w:t>Комитет с обеспокоенностью отмечает, что государство-участник еще не создало национального правозащитного учреждения, наделенного четкими полномочиями по проведению регулярного контроля и оценки прогресса в деле осуществления прав детей в соответствии с Конвенцией, в том числе полномочиями получать, расследовать и рассматривать жалобы, подаваемые детьми или от их имени.</w:t>
      </w:r>
    </w:p>
    <w:p w14:paraId="63E52E8A" w14:textId="77777777" w:rsidR="007052D4" w:rsidRPr="006C1DD3" w:rsidRDefault="007052D4" w:rsidP="007052D4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Ссылаясь на свое замечание общего порядка № 2 (2002) о роли независимых правозащитных учреждений в деле поощрения и защиты прав ребенка и на свои предыдущие рекомендации (CRC/C/COK/CO/1, пункт 14), Комитет рекомендует государству-участнику в срочном порядке создать в полном соответствии с Принципами, касающимися статуса национальных учреждений, занимающихся поощрением и защитой прав человека (Парижскими принципами), национальное правозащитное учреждение для наблюдения за соблюдением прав детей, а также для получения, расследования и рассмотрения жалоб, поступающих от детей или от их имени, с использованием процедуры, учитывающей специфику и интересы детей.</w:t>
      </w:r>
      <w:r>
        <w:t xml:space="preserve"> </w:t>
      </w:r>
      <w:r>
        <w:rPr>
          <w:b/>
          <w:bCs/>
        </w:rPr>
        <w:t>Комитет призывает государство-</w:t>
      </w:r>
      <w:r>
        <w:rPr>
          <w:b/>
          <w:bCs/>
        </w:rPr>
        <w:lastRenderedPageBreak/>
        <w:t>участник продолжать обращаться за технической помощью, в частности,</w:t>
      </w:r>
      <w:r w:rsidR="002B4339">
        <w:rPr>
          <w:b/>
          <w:bCs/>
        </w:rPr>
        <w:br/>
      </w:r>
      <w:r>
        <w:rPr>
          <w:b/>
          <w:bCs/>
        </w:rPr>
        <w:t>к УВКПЧ и Программе развития Организации Объединенных Наций.</w:t>
      </w:r>
    </w:p>
    <w:p w14:paraId="6A375A71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уровня осведомленности</w:t>
      </w:r>
      <w:r w:rsidR="002B4339">
        <w:rPr>
          <w:bCs/>
        </w:rPr>
        <w:br/>
      </w:r>
      <w:r>
        <w:rPr>
          <w:bCs/>
        </w:rPr>
        <w:t>и подготовка</w:t>
      </w:r>
    </w:p>
    <w:p w14:paraId="689599FC" w14:textId="77777777" w:rsidR="007052D4" w:rsidRPr="006C1DD3" w:rsidRDefault="007052D4" w:rsidP="007052D4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напоминает о своих предыдущих рекомендациях (CRC/C/COK/</w:t>
      </w:r>
      <w:r w:rsidR="002B4339">
        <w:rPr>
          <w:b/>
          <w:bCs/>
        </w:rPr>
        <w:t xml:space="preserve"> </w:t>
      </w:r>
      <w:r>
        <w:rPr>
          <w:b/>
          <w:bCs/>
        </w:rPr>
        <w:t>CO/1, пункт 20) и рекомендует государству-участнику:</w:t>
      </w:r>
    </w:p>
    <w:p w14:paraId="4E4138D4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a)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укреплять информационно-просветительские программы, включая кампании, и усилия по обеспечению широкого признания и понимания положений и принципов Конвенции и обеспечивать, чтобы дети, родители, островные общины, традиционные, религиозные и общинные лидеры и гражданское общество играли ключевую роль в реализации таких инициатив по всей стране, в том числе на отдаленных островах;</w:t>
      </w:r>
    </w:p>
    <w:p w14:paraId="372E0684" w14:textId="77777777" w:rsidR="007052D4" w:rsidRPr="002B4339" w:rsidRDefault="002B4339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2B4339">
        <w:rPr>
          <w:b/>
        </w:rPr>
        <w:tab/>
        <w:t>b)</w:t>
      </w:r>
      <w:r w:rsidR="007052D4" w:rsidRPr="002B4339">
        <w:rPr>
          <w:b/>
        </w:rPr>
        <w:tab/>
      </w:r>
      <w:r w:rsidR="007052D4" w:rsidRPr="002B4339">
        <w:rPr>
          <w:b/>
          <w:bCs/>
        </w:rPr>
        <w:t>продолжать обеспечивать надлежащую и систематическую подготовку по вопросам прав детей и Конвенции для специалистов, работающих с детьми и в интересах детей, в том числе в таких сферах, как образование, здравоохранение, социальная защита и правосудие.</w:t>
      </w:r>
    </w:p>
    <w:p w14:paraId="7BBCC633" w14:textId="77777777" w:rsidR="007052D4" w:rsidRPr="006C1DD3" w:rsidRDefault="002B4339" w:rsidP="007052D4">
      <w:pPr>
        <w:pStyle w:val="H1G"/>
      </w:pPr>
      <w:r>
        <w:tab/>
      </w:r>
      <w:r w:rsidR="007052D4">
        <w:t>B.</w:t>
      </w:r>
      <w:r w:rsidR="007052D4">
        <w:tab/>
      </w:r>
      <w:r w:rsidR="007052D4">
        <w:rPr>
          <w:bCs/>
        </w:rPr>
        <w:t>Определение понятия ребенок (статья 1)</w:t>
      </w:r>
    </w:p>
    <w:p w14:paraId="140C80FA" w14:textId="77777777" w:rsidR="007052D4" w:rsidRPr="006C1DD3" w:rsidRDefault="007052D4" w:rsidP="007052D4">
      <w:pPr>
        <w:pStyle w:val="SingleTxtG"/>
      </w:pPr>
      <w:r>
        <w:t>16.</w:t>
      </w:r>
      <w:r>
        <w:tab/>
        <w:t>Комитет отмечает, что, согласно Закону о защите и поддержке семьи, Закону об образовании и национальной политике в интересах детей на 2017</w:t>
      </w:r>
      <w:r w:rsidR="002B4339" w:rsidRPr="00621E87">
        <w:t>‒</w:t>
      </w:r>
      <w:r>
        <w:t>2021 годы (te pito manava o te anau), ребенком является лицо, не достигшего 18-летнего возраста, однако он обеспокоен тем, что законопроект о внесении поправок в Закон о браке еще не принят и что, следовательно, минимальный возраст вступления в брак по-прежнему составляет 16 лет</w:t>
      </w:r>
      <w:r w:rsidR="002B4339">
        <w:t xml:space="preserve"> </w:t>
      </w:r>
      <w:r w:rsidR="002B4339" w:rsidRPr="00621E87">
        <w:t>‒</w:t>
      </w:r>
      <w:r>
        <w:t xml:space="preserve"> или даже меньше, если на это имеется согласие родителя или опекуна ребенка.</w:t>
      </w:r>
    </w:p>
    <w:p w14:paraId="3EBCA068" w14:textId="77777777" w:rsidR="007052D4" w:rsidRPr="006C1DD3" w:rsidRDefault="007052D4" w:rsidP="007052D4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 в безотлагательном порядке пересмотреть свое законодательство в целях обеспечения того, чтобы минимальный возраст вступления в брак был установлен на уровне 18 лет как для девочек, так и для мальчиков без каких-либо исключений.</w:t>
      </w:r>
    </w:p>
    <w:p w14:paraId="6562885A" w14:textId="77777777" w:rsidR="007052D4" w:rsidRPr="006C1DD3" w:rsidRDefault="002B4339" w:rsidP="007052D4">
      <w:pPr>
        <w:pStyle w:val="H1G"/>
      </w:pPr>
      <w:r>
        <w:tab/>
      </w:r>
      <w:r w:rsidR="007052D4">
        <w:t>C.</w:t>
      </w:r>
      <w:r w:rsidR="007052D4">
        <w:tab/>
      </w:r>
      <w:r w:rsidR="007052D4">
        <w:rPr>
          <w:bCs/>
        </w:rPr>
        <w:t>Общие принципы (статьи 2, 3, 6 и 12)</w:t>
      </w:r>
    </w:p>
    <w:p w14:paraId="1015C4FB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2E329452" w14:textId="77777777" w:rsidR="007052D4" w:rsidRPr="006C1DD3" w:rsidRDefault="007052D4" w:rsidP="007052D4">
      <w:pPr>
        <w:pStyle w:val="SingleTxtG"/>
      </w:pPr>
      <w:r>
        <w:t>18.</w:t>
      </w:r>
      <w:r>
        <w:tab/>
        <w:t>Комитет обеспокоен наличием большого числа дискриминационных законов,</w:t>
      </w:r>
      <w:r w:rsidR="002B4339">
        <w:br/>
      </w:r>
      <w:r>
        <w:t>в частности Законом о преступлениях, который криминализирует половые отношения между мальчиками по их обоюдному согласию, а также Законом Островов Кука в отношении прав усыновленных/удочеренных детей.</w:t>
      </w:r>
    </w:p>
    <w:p w14:paraId="6570DE09" w14:textId="77777777" w:rsidR="007052D4" w:rsidRPr="006C1DD3" w:rsidRDefault="007052D4" w:rsidP="007052D4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Принимая во внимание задачу 10.3 Целей в области устойчивого развития, Комитет рекомендует государству-участнику отменить дискриминационные положения в своем законодательстве для обеспечения соблюдения прав, закрепленных в Конвенции.</w:t>
      </w:r>
    </w:p>
    <w:p w14:paraId="3602EDB7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29665548" w14:textId="77777777" w:rsidR="007052D4" w:rsidRPr="006C1DD3" w:rsidRDefault="007052D4" w:rsidP="007052D4">
      <w:pPr>
        <w:pStyle w:val="SingleTxtG"/>
      </w:pPr>
      <w:r>
        <w:t>20.</w:t>
      </w:r>
      <w:r>
        <w:tab/>
        <w:t>Комитет приветствует признание принципа наилучшего обеспечения интересов ребенка в Законе о защите и поддержке семьи, но вместе с тем выражает обеспокоенность по поводу того, что этот принцип недостаточно отражен во всех соответствующих законодательных актах, стратегиях, программах и проектах, которые имеют отношение к детям и сказываются на них, и не находит последовательного применения в решениях, затрагивающих детей, в том числе в семье, школе и общине, а также в ходе административных и судебных разбирательств.</w:t>
      </w:r>
    </w:p>
    <w:p w14:paraId="55E26FCA" w14:textId="77777777" w:rsidR="007052D4" w:rsidRPr="006C1DD3" w:rsidRDefault="007052D4" w:rsidP="002B4339">
      <w:pPr>
        <w:pStyle w:val="SingleTxtG"/>
        <w:pageBreakBefore/>
        <w:rPr>
          <w:b/>
          <w:bCs/>
        </w:rPr>
      </w:pPr>
      <w:r>
        <w:lastRenderedPageBreak/>
        <w:t>21.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 обеспечить учет принципа наилучшего обеспечения интересов ребенка в законодательстве и во всех стратегиях, программах и проектах, имеющих отношение к детям и сказывающихся на них, а также его последовательное применение во всех административных и судебных процессах и разработать процедуры и критерии для обеспечения надлежащей оценки наилучших интересов ребенка при принятии решений в отношении любых детей.</w:t>
      </w:r>
    </w:p>
    <w:p w14:paraId="6AE780E8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Уважение мнения ребенка</w:t>
      </w:r>
    </w:p>
    <w:p w14:paraId="4E492D08" w14:textId="77777777" w:rsidR="007052D4" w:rsidRPr="006C1DD3" w:rsidRDefault="007052D4" w:rsidP="007052D4">
      <w:pPr>
        <w:pStyle w:val="SingleTxtG"/>
      </w:pPr>
      <w:r>
        <w:t>22.</w:t>
      </w:r>
      <w:r>
        <w:tab/>
        <w:t xml:space="preserve">Комитет высоко оценивает тот факт, что Закон о защите и поддержке семьи предоставляет детям возможность выражать свои мнения в ходе судебных разбирательств, затрагивающих их интересы. Он отмечает наличие у детей возможности выражать свои взгляды и участвовать в принятии решений в школах, </w:t>
      </w:r>
      <w:r w:rsidR="00EE5CEA">
        <w:br/>
        <w:t>н</w:t>
      </w:r>
      <w:r>
        <w:t>о по-прежнему обеспокоен тем, что дети не могут действенным образом участвовать в принятии затрагивающих их решений в семье и общине, в том числе по причине бытующих в обществе традиционных представлений, которые препятствуют уважению взглядов ребенка.</w:t>
      </w:r>
    </w:p>
    <w:p w14:paraId="68516358" w14:textId="77777777" w:rsidR="007052D4" w:rsidRPr="006C1DD3" w:rsidRDefault="007052D4" w:rsidP="007052D4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Ссылаясь на свое замечание общего порядка № 12 (2009) о праве ребенка быть заслушанным, Комитет напоминает о своих предыдущих рекомендациях (CRC/C/COK/CO/1, пункт 30) и рекомендует государству-участнику:</w:t>
      </w:r>
    </w:p>
    <w:p w14:paraId="155D2633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a)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усилить систематическую подготовку специалистов, работающих с детьми и в их интересах, особенно в рамках административных и судебных процедур, и разработать оперативные процедуры или регламенты для таких специалистов с целью обеспечения уделения должного внимания мнениям детей в ходе таких процедур;</w:t>
      </w:r>
    </w:p>
    <w:p w14:paraId="318F3657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b)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осуществлять программы и мероприятия по повышению уровня осведомленности в целях борьбы с бытующими в обществе негативными представлениями, которые препятствует осуществлению права детей быть заслушанными, и содействовать конструктивному и полноправному участию всех детей в жизни семьи и общины.</w:t>
      </w:r>
    </w:p>
    <w:p w14:paraId="5E2469D7" w14:textId="77777777" w:rsidR="007052D4" w:rsidRPr="006C1DD3" w:rsidRDefault="00EE5CEA" w:rsidP="007052D4">
      <w:pPr>
        <w:pStyle w:val="H1G"/>
      </w:pPr>
      <w:r>
        <w:tab/>
      </w:r>
      <w:r w:rsidR="007052D4">
        <w:t>D.</w:t>
      </w:r>
      <w:r w:rsidR="007052D4">
        <w:tab/>
      </w:r>
      <w:r w:rsidR="007052D4">
        <w:rPr>
          <w:bCs/>
        </w:rPr>
        <w:t>Гражданские права и свободы (статьи 7, 8 и 13–17)</w:t>
      </w:r>
    </w:p>
    <w:p w14:paraId="35FD4CD3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</w:t>
      </w:r>
    </w:p>
    <w:p w14:paraId="51790DD2" w14:textId="77777777" w:rsidR="007052D4" w:rsidRPr="006C1DD3" w:rsidRDefault="007052D4" w:rsidP="007052D4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Комитет напоминает о своих предыдущих рекомендациях (CRC/C/COK/</w:t>
      </w:r>
      <w:r w:rsidR="00EE5CEA">
        <w:rPr>
          <w:b/>
          <w:bCs/>
        </w:rPr>
        <w:t xml:space="preserve"> </w:t>
      </w:r>
      <w:r>
        <w:rPr>
          <w:b/>
          <w:bCs/>
        </w:rPr>
        <w:t>CO/1, пункт 34) и настоятельно призывает государство-участник принять и осуществлять законодательство с целью предоставления детям юридической защиты в случае нарушения их права на неприкосновенность частной жизни.</w:t>
      </w:r>
      <w:r w:rsidR="00EE5CEA">
        <w:br/>
      </w:r>
      <w:r>
        <w:rPr>
          <w:b/>
          <w:bCs/>
        </w:rPr>
        <w:t>Он также рекомендует государству-участнику создать конфиденциальные службы консультирования и каналы уведомления и осуществлять для специалистов, работающих с детьми и в их интересах, информационно-просветительские программы для обеспечения уважения права детей на неприкосновенность частной жизни.</w:t>
      </w:r>
    </w:p>
    <w:p w14:paraId="2C1422F5" w14:textId="77777777" w:rsidR="007052D4" w:rsidRPr="006C1DD3" w:rsidRDefault="00EE5CEA" w:rsidP="007052D4">
      <w:pPr>
        <w:pStyle w:val="H1G"/>
      </w:pPr>
      <w:r>
        <w:tab/>
      </w:r>
      <w:r w:rsidR="007052D4">
        <w:t>E.</w:t>
      </w:r>
      <w:r w:rsidR="007052D4">
        <w:tab/>
      </w:r>
      <w:r w:rsidR="007052D4">
        <w:rPr>
          <w:bCs/>
        </w:rPr>
        <w:t>Насилие в отношении детей (статьи 19, 24 (пункт 3), 28 (пункт 2), 34, 37 (пункт a)) и 39)</w:t>
      </w:r>
    </w:p>
    <w:p w14:paraId="1B8DD989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14:paraId="2BDF3004" w14:textId="77777777" w:rsidR="007052D4" w:rsidRPr="006C1DD3" w:rsidRDefault="007052D4" w:rsidP="007052D4">
      <w:pPr>
        <w:pStyle w:val="SingleTxtG"/>
      </w:pPr>
      <w:r>
        <w:t>25.</w:t>
      </w:r>
      <w:r>
        <w:tab/>
        <w:t xml:space="preserve">Комитет отмечает, что Закон об образовании запрещает телесные наказания в школах, но в то же время серьезно обеспокоен тем, что они по-прежнему законодательно разрешены в других местах, в том числе дома, в учреждениях альтернативного ухода, некоторых учреждениях по уходу за детьми в дневное время и пенитенциарных учреждениях. Комитет особенно обеспокоен тем, что статья 32 </w:t>
      </w:r>
      <w:r>
        <w:lastRenderedPageBreak/>
        <w:t>законопроекта о преступлениях, разработанного в 2017 году, предусматривает,</w:t>
      </w:r>
      <w:r w:rsidR="00EE5CEA">
        <w:br/>
      </w:r>
      <w:r>
        <w:t xml:space="preserve">как и Закон о преступлениях, так называемое </w:t>
      </w:r>
      <w:r w:rsidR="00EE5CEA">
        <w:t>«</w:t>
      </w:r>
      <w:r>
        <w:t>законное исправление ребенка</w:t>
      </w:r>
      <w:r w:rsidR="00EE5CEA">
        <w:t>»</w:t>
      </w:r>
      <w:r>
        <w:t>.</w:t>
      </w:r>
    </w:p>
    <w:p w14:paraId="2C41DBBA" w14:textId="77777777" w:rsidR="007052D4" w:rsidRPr="006C1DD3" w:rsidRDefault="007052D4" w:rsidP="007052D4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14:paraId="759732FA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a)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отменить законы, допускающие телесные наказания детей,</w:t>
      </w:r>
      <w:r>
        <w:rPr>
          <w:b/>
          <w:bCs/>
        </w:rPr>
        <w:br/>
      </w:r>
      <w:r w:rsidR="007052D4" w:rsidRPr="00EE5CEA">
        <w:rPr>
          <w:b/>
          <w:bCs/>
        </w:rPr>
        <w:t>и принять законодательство, эксплицитно запрещающее такие наказания во всех местах;</w:t>
      </w:r>
    </w:p>
    <w:p w14:paraId="448B9ACE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b)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активизировать усилия в целях поощрения позитивных, ненасильственных и основанных на участии форм воспитания детей и поддержания дисциплины, в том числе путем укрепления информационно-просветительских программ и кампаний, ориентированных на детей, родителей, учителей и традиционных, религиозных и общинных лидеров.</w:t>
      </w:r>
    </w:p>
    <w:p w14:paraId="3ABE9F96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Жестокое обращение и отсутствие заботы</w:t>
      </w:r>
    </w:p>
    <w:p w14:paraId="3DFD13A9" w14:textId="77777777" w:rsidR="007052D4" w:rsidRPr="006C1DD3" w:rsidRDefault="007052D4" w:rsidP="007052D4">
      <w:pPr>
        <w:pStyle w:val="SingleTxtG"/>
      </w:pPr>
      <w:r>
        <w:t>27.</w:t>
      </w:r>
      <w:r>
        <w:tab/>
        <w:t>Комитет приветствует тот факт, что, в соответствии с Законом о защите и поддержке семьи школьная администрация и учителя обязаны сообщать о случаях жестокого обращения с детьми, но вместе с тем выражает обеспокоенность по поводу занижения сведений о жестоком обращении с детьми и отсутствии заботы о них, в том числе дома, в школах и общине. Он также обеспокоен отсутствием у сотрудников правоохранительных и судебных органов достаточного потенциала для рассмотрения дел, связанных с жестоким обращением, отсутствием заботы и бытовым насилием.</w:t>
      </w:r>
    </w:p>
    <w:p w14:paraId="30E80FE4" w14:textId="77777777" w:rsidR="007052D4" w:rsidRPr="006C1DD3" w:rsidRDefault="007052D4" w:rsidP="007052D4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во внимание задачу 16.2 Целей</w:t>
      </w:r>
      <w:r w:rsidR="00EE5CEA">
        <w:rPr>
          <w:b/>
          <w:bCs/>
        </w:rPr>
        <w:br/>
      </w:r>
      <w:r>
        <w:rPr>
          <w:b/>
          <w:bCs/>
        </w:rPr>
        <w:t>в области устойчивого развития, Комитет рекомендует государству-участнику:</w:t>
      </w:r>
    </w:p>
    <w:p w14:paraId="51B65AF8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a)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разработать всеобъемлющую политику и стратегию в целях предупреждения жестокого обращения, отсутствия заботы и бытового насилия в отношении детей и борьбы с этими явлениями, а также осуществлять информационно-просветительские программы и кампании с участием детей;</w:t>
      </w:r>
    </w:p>
    <w:p w14:paraId="5BCCBE53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b)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осуществить сбор данных о детях, ставших жертвами жестокого обращения, отсутствия заботы и бытового насилия в государстве-участнике,</w:t>
      </w:r>
      <w:r>
        <w:rPr>
          <w:b/>
          <w:bCs/>
        </w:rPr>
        <w:br/>
      </w:r>
      <w:r w:rsidR="007052D4" w:rsidRPr="00EE5CEA">
        <w:rPr>
          <w:b/>
          <w:bCs/>
        </w:rPr>
        <w:t>и провести всеобъемлющую оценку масштабов, причин и характера такого насилия;</w:t>
      </w:r>
    </w:p>
    <w:p w14:paraId="58AE5503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c)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обеспечить детям, родителям и специалистам, работающим с детьми и в их интересах, доступ к механизмам и четким процедурам подачи жалоб в связи со случаями жестокого обращения, отсутствия заботы и бытового насилия, а также гарантировать детям доступ к ориентированной конкретно на них поддержке и услугам, включая реабилитацию и реинтеграцию;</w:t>
      </w:r>
    </w:p>
    <w:p w14:paraId="33002C48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d)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обеспечить систематическую подготовку судей, прокуроров, сотрудников полиции и социальных работников по вопросам предупреждения и мониторинга случаев жестокого обращения, отсутствия заботы и бытового насилия в отношении детей;</w:t>
      </w:r>
    </w:p>
    <w:p w14:paraId="28AF97FB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e)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поощрять осуществление на уровне общин программ, направленных на предупреждение и решение проблемы жестокого обращения, отсутствия заботы и бытового насилия в отношении детей, в том числе путем привлечения бывших жертв, волонтеров и членов общин и организации их соответствующей подготовки.</w:t>
      </w:r>
    </w:p>
    <w:p w14:paraId="73663925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14:paraId="33AB2CCA" w14:textId="77777777" w:rsidR="007052D4" w:rsidRPr="006C1DD3" w:rsidRDefault="007052D4" w:rsidP="007052D4">
      <w:pPr>
        <w:pStyle w:val="SingleTxtG"/>
      </w:pPr>
      <w:r>
        <w:t>29.</w:t>
      </w:r>
      <w:r>
        <w:tab/>
        <w:t>Комитет серьезно обеспокоен широкими масштабами сексуальной эксплуатации детей и надругательств над ними, в том числе в школе и в семье, а также несообщения о таких случаях из-за боязни стигматизации и отсутствия конфиденциальных и ориентированных на детей процедур представления сведений.</w:t>
      </w:r>
    </w:p>
    <w:p w14:paraId="48E20E09" w14:textId="77777777" w:rsidR="007052D4" w:rsidRPr="006C1DD3" w:rsidRDefault="007052D4" w:rsidP="007052D4">
      <w:pPr>
        <w:pStyle w:val="SingleTxtG"/>
        <w:rPr>
          <w:b/>
          <w:bCs/>
        </w:rPr>
      </w:pPr>
      <w:r>
        <w:lastRenderedPageBreak/>
        <w:t>30.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3414224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a)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обеспечить, чтобы закон предоставлял всем детям, мальчикам и девочкам, не достигшим 18 лет, защиту от всех форм сексуальной эксплуатации и сексуальных надругательств;</w:t>
      </w:r>
    </w:p>
    <w:p w14:paraId="199334E0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b)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четко определить возраст согласия на вступление в половые отношения и обеспечить, чтобы подростки, вступающие в половые отношения друг с другом, не подвергались уголовному преследованию;</w:t>
      </w:r>
    </w:p>
    <w:p w14:paraId="3F602807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c)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ввести уголовную ответственность за размещение материалов о сексуальных надругательствах над детьми в онлайновой среде, сексуальную эксплуатацию детей в коммерческих целях и домогательства к детям в онлайновом режиме;</w:t>
      </w:r>
    </w:p>
    <w:p w14:paraId="66EC664A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d)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провести всеобъемлющее исследование масштабов и коренных причин уязвимости детей перед сексуальной эксплуатацией и сексуальными надругательствами, в том числе в семье и религиозных учреждениях,</w:t>
      </w:r>
      <w:r>
        <w:rPr>
          <w:b/>
          <w:bCs/>
        </w:rPr>
        <w:br/>
      </w:r>
      <w:r w:rsidR="007052D4" w:rsidRPr="00EE5CEA">
        <w:rPr>
          <w:b/>
          <w:bCs/>
        </w:rPr>
        <w:t>и использовать его результаты при разработке национального плана действий по предупреждению этого явления и борьбе с ним;</w:t>
      </w:r>
    </w:p>
    <w:p w14:paraId="161D053E" w14:textId="77777777" w:rsidR="007052D4" w:rsidRPr="00EE5CEA" w:rsidRDefault="007052D4" w:rsidP="007052D4">
      <w:pPr>
        <w:pStyle w:val="SingleTxtG"/>
        <w:rPr>
          <w:b/>
          <w:bCs/>
        </w:rPr>
      </w:pPr>
      <w:r w:rsidRPr="00EE5CEA">
        <w:rPr>
          <w:b/>
        </w:rPr>
        <w:tab/>
      </w:r>
      <w:r w:rsidR="00EE5CEA">
        <w:rPr>
          <w:b/>
        </w:rPr>
        <w:tab/>
      </w:r>
      <w:r w:rsidRPr="00EE5CEA">
        <w:rPr>
          <w:b/>
        </w:rPr>
        <w:t>e)</w:t>
      </w:r>
      <w:r w:rsidRPr="00EE5CEA">
        <w:rPr>
          <w:b/>
        </w:rPr>
        <w:tab/>
      </w:r>
      <w:r w:rsidRPr="00EE5CEA">
        <w:rPr>
          <w:b/>
          <w:bCs/>
        </w:rPr>
        <w:t>обеспечить, чтобы о подозрениях относительно сексуальных надругательств и сексуальной эксплуатации сообщалось в обязательном порядке, чтобы расследования и преследование производились с учетом специфики детей и с привлечением различных секторов, и чтобы взрослые правонарушители подвергались надлежащему судебному преследованию и наказаниям, соразмерным тяжести совершенных ими преступлений;</w:t>
      </w:r>
    </w:p>
    <w:p w14:paraId="725EE5A0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f)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бороться со стигматизацией детей, ставших жертвами сексуальной эксплуатации и сексуальных надругательств, и создать для них доступные, конфиденциальные, ориентированные на детей и специализированные механизмы поддержки, включая механизмы психологического консультирования и реабилитации, а также оказания помощи в целях социальной реинтеграции.</w:t>
      </w:r>
    </w:p>
    <w:p w14:paraId="3D9C1D9E" w14:textId="77777777" w:rsidR="007052D4" w:rsidRPr="006C1DD3" w:rsidRDefault="00EE5CEA" w:rsidP="007052D4">
      <w:pPr>
        <w:pStyle w:val="H1G"/>
      </w:pPr>
      <w:r>
        <w:tab/>
      </w:r>
      <w:r w:rsidR="007052D4">
        <w:t>F.</w:t>
      </w:r>
      <w:r w:rsidR="007052D4">
        <w:tab/>
      </w:r>
      <w:r w:rsidR="007052D4">
        <w:rPr>
          <w:bCs/>
        </w:rPr>
        <w:t>Семейное окружение и альтернативный уход (статьи 5, 9–11,</w:t>
      </w:r>
      <w:r>
        <w:rPr>
          <w:bCs/>
        </w:rPr>
        <w:br/>
      </w:r>
      <w:r w:rsidR="007052D4">
        <w:rPr>
          <w:bCs/>
        </w:rPr>
        <w:t>18 (пункты 1 и 2), 20, 21, 25 и 27 (пункт 4))</w:t>
      </w:r>
    </w:p>
    <w:p w14:paraId="2928FEDB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</w:p>
    <w:p w14:paraId="24C5E3D6" w14:textId="77777777" w:rsidR="007052D4" w:rsidRPr="006C1DD3" w:rsidRDefault="007052D4" w:rsidP="007052D4">
      <w:pPr>
        <w:pStyle w:val="SingleTxtG"/>
      </w:pPr>
      <w:r>
        <w:t>31.</w:t>
      </w:r>
      <w:r>
        <w:tab/>
        <w:t>Комитет отмечает, что Закон о трудовых отношениях 2012 года предусматривает отпуск по беременности и родам для работающих матерей,</w:t>
      </w:r>
      <w:r w:rsidR="00EE5CEA">
        <w:br/>
      </w:r>
      <w:r>
        <w:t>но в то же время обеспокоен тем, что отпуск по беременности и родам длится всего шесть недель, что значительно меньше международных стандартов, установленных МОТ. Он также обеспокоен тем, что, несмотря на предыдущие рекомендации Комитета, государство-участник не обеспечило доступ к учреждениям дневного ухода за детьми младше школьного возраста.</w:t>
      </w:r>
    </w:p>
    <w:p w14:paraId="56C25F22" w14:textId="77777777" w:rsidR="007052D4" w:rsidRPr="006C1DD3" w:rsidRDefault="007052D4" w:rsidP="007052D4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напоминает о своих предыдущих рекомендациях (CRC/C/COK/</w:t>
      </w:r>
      <w:r w:rsidR="004E7C2D">
        <w:rPr>
          <w:b/>
          <w:bCs/>
        </w:rPr>
        <w:t xml:space="preserve"> </w:t>
      </w:r>
      <w:r>
        <w:rPr>
          <w:b/>
          <w:bCs/>
        </w:rPr>
        <w:t>CO/1, пункт 38) и рекомендует государству-участнику:</w:t>
      </w:r>
    </w:p>
    <w:p w14:paraId="79C885BF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a)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рассмотреть вопрос об увеличении продолжительности отпуска по беременности и родам до международно приемлемого уровня в соответствии с замечанием общего порядка № 7 (2005) Комитета об осуществлении прав ребенка в раннем детстве;</w:t>
      </w:r>
    </w:p>
    <w:p w14:paraId="1CBFEDE5" w14:textId="77777777" w:rsidR="007052D4" w:rsidRPr="00EE5CEA" w:rsidRDefault="007052D4" w:rsidP="007052D4">
      <w:pPr>
        <w:pStyle w:val="SingleTxtG"/>
        <w:rPr>
          <w:b/>
          <w:bCs/>
        </w:rPr>
      </w:pPr>
      <w:r w:rsidRPr="00EE5CEA">
        <w:rPr>
          <w:b/>
        </w:rPr>
        <w:tab/>
      </w:r>
      <w:r w:rsidR="00EE5CEA">
        <w:rPr>
          <w:b/>
        </w:rPr>
        <w:tab/>
      </w:r>
      <w:r w:rsidRPr="00EE5CEA">
        <w:rPr>
          <w:b/>
        </w:rPr>
        <w:t>b)</w:t>
      </w:r>
      <w:r w:rsidRPr="00EE5CEA">
        <w:rPr>
          <w:b/>
        </w:rPr>
        <w:tab/>
      </w:r>
      <w:r w:rsidRPr="00EE5CEA">
        <w:rPr>
          <w:b/>
          <w:bCs/>
        </w:rPr>
        <w:t>обеспечить доступ к учреждениям дневного ухода за детьми младше школьного возраста;</w:t>
      </w:r>
    </w:p>
    <w:p w14:paraId="0A162743" w14:textId="77777777" w:rsidR="007052D4" w:rsidRPr="00EE5CEA" w:rsidRDefault="00EE5CEA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EE5CEA">
        <w:rPr>
          <w:b/>
        </w:rPr>
        <w:tab/>
        <w:t>c)</w:t>
      </w:r>
      <w:r w:rsidR="007052D4" w:rsidRPr="00EE5CEA">
        <w:rPr>
          <w:b/>
        </w:rPr>
        <w:tab/>
      </w:r>
      <w:r w:rsidR="007052D4" w:rsidRPr="00EE5CEA">
        <w:rPr>
          <w:b/>
          <w:bCs/>
        </w:rPr>
        <w:t>активизировать усилия по повышению осведомленности родителей и лиц, ухаживающих за детьми, о наилучших видах практики воспитания детей и равенстве родительских обязанностях отцов и матерей.</w:t>
      </w:r>
    </w:p>
    <w:p w14:paraId="0EECEA3E" w14:textId="77777777" w:rsidR="007052D4" w:rsidRPr="006C1DD3" w:rsidRDefault="007052D4" w:rsidP="007052D4">
      <w:pPr>
        <w:pStyle w:val="H23G"/>
      </w:pPr>
      <w:r>
        <w:lastRenderedPageBreak/>
        <w:tab/>
      </w:r>
      <w:r>
        <w:tab/>
      </w:r>
      <w:r>
        <w:rPr>
          <w:bCs/>
        </w:rPr>
        <w:t>Дети, лишенные семейного окружения</w:t>
      </w:r>
    </w:p>
    <w:p w14:paraId="31E30924" w14:textId="77777777" w:rsidR="007052D4" w:rsidRPr="006C1DD3" w:rsidRDefault="007052D4" w:rsidP="007052D4">
      <w:pPr>
        <w:pStyle w:val="SingleTxtG"/>
      </w:pPr>
      <w:r>
        <w:t>33.</w:t>
      </w:r>
      <w:r>
        <w:tab/>
        <w:t>Комитет отмечает, что дети, лишенные семейного окружения, традиционно передаются на попечение расширенной семьи, но обеспокоен ограниченной поддержкой, которая оказывается родственникам, обеспечивающим уход.</w:t>
      </w:r>
    </w:p>
    <w:p w14:paraId="6DE281E4" w14:textId="77777777" w:rsidR="007052D4" w:rsidRPr="006C1DD3" w:rsidRDefault="007052D4" w:rsidP="007052D4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Комитет рекомендует государству-участнику обеспечить оказание надлежащей поддержки всем формам альтернативного ухода, включая неформальный уход со стороны членов расширенной семьи.</w:t>
      </w:r>
    </w:p>
    <w:p w14:paraId="259E0389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Усыновление/удочерение</w:t>
      </w:r>
    </w:p>
    <w:p w14:paraId="39FA746A" w14:textId="77777777" w:rsidR="007052D4" w:rsidRPr="006C1DD3" w:rsidRDefault="007052D4" w:rsidP="007052D4">
      <w:pPr>
        <w:pStyle w:val="SingleTxtG"/>
      </w:pPr>
      <w:r>
        <w:t>35.</w:t>
      </w:r>
      <w:r>
        <w:tab/>
        <w:t>Комитет по-прежнему обеспокоен отсутствием законодательства, политики и механизмов, регулирующих как внутренние, так и международные усыновления/</w:t>
      </w:r>
      <w:r w:rsidR="004E7C2D">
        <w:t xml:space="preserve"> </w:t>
      </w:r>
      <w:r>
        <w:t>удочерения.</w:t>
      </w:r>
    </w:p>
    <w:p w14:paraId="5850D196" w14:textId="77777777" w:rsidR="007052D4" w:rsidRPr="006C1DD3" w:rsidRDefault="007052D4" w:rsidP="007052D4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Комитет напоминает о своих предыдущих рекомендациях (CRC/C/COK/</w:t>
      </w:r>
      <w:r w:rsidR="004E7C2D">
        <w:rPr>
          <w:b/>
          <w:bCs/>
        </w:rPr>
        <w:t xml:space="preserve"> </w:t>
      </w:r>
      <w:r>
        <w:rPr>
          <w:b/>
          <w:bCs/>
        </w:rPr>
        <w:t>CO/1, пункт 42) и рекомендует государству-участнику:</w:t>
      </w:r>
    </w:p>
    <w:p w14:paraId="2F85417B" w14:textId="77777777" w:rsidR="007052D4" w:rsidRPr="004E7C2D" w:rsidRDefault="004E7C2D" w:rsidP="007052D4">
      <w:pPr>
        <w:pStyle w:val="SingleTxtG"/>
        <w:rPr>
          <w:b/>
          <w:bCs/>
        </w:rPr>
      </w:pPr>
      <w:r>
        <w:tab/>
      </w:r>
      <w:r w:rsidR="007052D4">
        <w:tab/>
      </w:r>
      <w:r w:rsidR="007052D4" w:rsidRPr="004E7C2D">
        <w:rPr>
          <w:b/>
        </w:rPr>
        <w:t>a)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принять законодательство, политику и механизмы для регулирования внутренних и международных усыновлений/удочерений, которые бы обеспечивали защиту прав и наилучших интересов ребенка в соответствии с принципами и положениями Конвенции;</w:t>
      </w:r>
      <w:r w:rsidR="007052D4" w:rsidRPr="004E7C2D">
        <w:rPr>
          <w:b/>
        </w:rPr>
        <w:t xml:space="preserve"> </w:t>
      </w:r>
    </w:p>
    <w:p w14:paraId="262DEB4B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b)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создать процедуры контроля и оценки как внутреннего,</w:t>
      </w:r>
      <w:r>
        <w:rPr>
          <w:b/>
          <w:bCs/>
        </w:rPr>
        <w:br/>
      </w:r>
      <w:r w:rsidR="007052D4" w:rsidRPr="004E7C2D">
        <w:rPr>
          <w:b/>
          <w:bCs/>
        </w:rPr>
        <w:t>так и международного усыновления/удочерения.</w:t>
      </w:r>
    </w:p>
    <w:p w14:paraId="4AA86D65" w14:textId="77777777" w:rsidR="007052D4" w:rsidRPr="006C1DD3" w:rsidRDefault="004E7C2D" w:rsidP="007052D4">
      <w:pPr>
        <w:pStyle w:val="H1G"/>
      </w:pPr>
      <w:r>
        <w:tab/>
      </w:r>
      <w:r w:rsidR="007052D4">
        <w:t>G.</w:t>
      </w:r>
      <w:r w:rsidR="007052D4">
        <w:tab/>
      </w:r>
      <w:r w:rsidR="007052D4">
        <w:rPr>
          <w:bCs/>
        </w:rPr>
        <w:t>Дети-инвалиды (статья 23)</w:t>
      </w:r>
    </w:p>
    <w:p w14:paraId="3A798AAB" w14:textId="77777777" w:rsidR="007052D4" w:rsidRPr="006C1DD3" w:rsidRDefault="007052D4" w:rsidP="007052D4">
      <w:pPr>
        <w:pStyle w:val="SingleTxtG"/>
      </w:pPr>
      <w:r>
        <w:t>37.</w:t>
      </w:r>
      <w:r>
        <w:tab/>
        <w:t>Комитет высоко оценивает тот факт, что государство-участник увеличило возраст, до которого дети-инвалиды могут получать детские пособия, с 12 до 16 лет. Он также высоко оценивает шаги, предпринятые для облегчения доступа детей-инвалидов к инклюзивному образованию, в том числе путем оказания им индивидуальной помощи в обычных школах и повышения доступности школьных зданий. Вместе с тем Комитет обеспокоен недостатками в осуществлении законов и политики государства-участника, касающихся детей-инвалидов.</w:t>
      </w:r>
    </w:p>
    <w:p w14:paraId="63C986D4" w14:textId="77777777" w:rsidR="007052D4" w:rsidRPr="006C1DD3" w:rsidRDefault="007052D4" w:rsidP="007052D4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Ссылаясь на свое замечание общего порядка № 9 (2006) о правах детей-инвалидов, Комитет рекомендует государству-участнику при полноценном и действенном участии детей-инвалидов:</w:t>
      </w:r>
    </w:p>
    <w:p w14:paraId="45466282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a)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уделять приоритетное внимание адаптации инфраструктуры в целях улучшения доступа к общественным зданиям и пространствам, включая школы;</w:t>
      </w:r>
    </w:p>
    <w:p w14:paraId="383DF9DB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b)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продолжать оказывать индивидуальную помощь детям-инвалидам для обеспечения их всестороннего участия в инклюзивном обучении в обычных школах, в том числе путем подготовки и назначения достаточного числа квалифицированных помощников преподавателей;</w:t>
      </w:r>
    </w:p>
    <w:p w14:paraId="3CA71E3A" w14:textId="77777777" w:rsidR="007052D4" w:rsidRPr="004E7C2D" w:rsidRDefault="007052D4" w:rsidP="007052D4">
      <w:pPr>
        <w:pStyle w:val="SingleTxtG"/>
        <w:rPr>
          <w:b/>
          <w:bCs/>
        </w:rPr>
      </w:pPr>
      <w:r w:rsidRPr="004E7C2D">
        <w:rPr>
          <w:b/>
        </w:rPr>
        <w:tab/>
      </w:r>
      <w:r w:rsidR="004E7C2D">
        <w:rPr>
          <w:b/>
        </w:rPr>
        <w:tab/>
      </w:r>
      <w:r w:rsidRPr="004E7C2D">
        <w:rPr>
          <w:b/>
        </w:rPr>
        <w:t>c)</w:t>
      </w:r>
      <w:r w:rsidRPr="004E7C2D">
        <w:rPr>
          <w:b/>
        </w:rPr>
        <w:tab/>
      </w:r>
      <w:r w:rsidRPr="004E7C2D">
        <w:rPr>
          <w:b/>
          <w:bCs/>
        </w:rPr>
        <w:t>продолжать оказывать поддержку и услуги на уровне общин,</w:t>
      </w:r>
      <w:r w:rsidR="004E7C2D">
        <w:rPr>
          <w:b/>
          <w:bCs/>
        </w:rPr>
        <w:br/>
      </w:r>
      <w:r w:rsidRPr="004E7C2D">
        <w:rPr>
          <w:b/>
          <w:bCs/>
        </w:rPr>
        <w:t>с тем чтобы семьи могли ухаживать за детьми-инвалидами;</w:t>
      </w:r>
    </w:p>
    <w:p w14:paraId="723F5E79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d)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проводить информационно-просветительские кампании, ориентированные на государственных должностных лиц, общественность, традиционных, религиозных и общинных лидеров и семьи, в целях формирования позитивного образа детей-инвалидов для обеспечения их полной интеграции в общество.</w:t>
      </w:r>
    </w:p>
    <w:p w14:paraId="04184C22" w14:textId="77777777" w:rsidR="007052D4" w:rsidRPr="006C1DD3" w:rsidRDefault="004E7C2D" w:rsidP="007052D4">
      <w:pPr>
        <w:pStyle w:val="H1G"/>
      </w:pPr>
      <w:r>
        <w:lastRenderedPageBreak/>
        <w:tab/>
      </w:r>
      <w:r w:rsidR="007052D4">
        <w:t>H.</w:t>
      </w:r>
      <w:r w:rsidR="007052D4">
        <w:tab/>
      </w:r>
      <w:r w:rsidR="007052D4">
        <w:rPr>
          <w:bCs/>
        </w:rPr>
        <w:t>Базовое медицинское обслуживание и социальное обеспечение (статьи 6, 18 (пункт 3), 24, 26, 27 (пункты 1–3) и 33)</w:t>
      </w:r>
    </w:p>
    <w:p w14:paraId="332D77B7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</w:p>
    <w:p w14:paraId="72566645" w14:textId="77777777" w:rsidR="007052D4" w:rsidRPr="006C1DD3" w:rsidRDefault="007052D4" w:rsidP="007052D4">
      <w:pPr>
        <w:pStyle w:val="SingleTxtG"/>
      </w:pPr>
      <w:r>
        <w:t>39.</w:t>
      </w:r>
      <w:r>
        <w:tab/>
        <w:t xml:space="preserve">Комитет приветствует конкретные меры, принятые для предоставления медицинских услуг пациентам на отдаленных островах, такие как программа </w:t>
      </w:r>
      <w:r w:rsidR="004E7C2D">
        <w:t>«</w:t>
      </w:r>
      <w:r>
        <w:t>летучие медицинские бригады</w:t>
      </w:r>
      <w:r w:rsidR="004E7C2D">
        <w:t>»</w:t>
      </w:r>
      <w:r>
        <w:t>, использование коммуникационных технологий для консультирования по медицинским вопросам и перевод пациентов на остров Раротонга или за границу, когда это необходимо. Комитет приветствует снижение показателей неонатальной и младенческой смертности, а также смертности среди детей в возрасте до пяти лет, но по-прежнему обеспокоен существующими в стране различиями в части доступа к медицинскому обслуживанию, включая первичную и профилактическую медико-санитарную помощь, а также тем, что показатели неонатальной и младенческой смертности и смертности среди детей в возрасте до пяти лет на отдаленных островах выше, чем на острове Раротонга.</w:t>
      </w:r>
    </w:p>
    <w:p w14:paraId="779E4725" w14:textId="77777777" w:rsidR="007052D4" w:rsidRPr="006C1DD3" w:rsidRDefault="007052D4" w:rsidP="007052D4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Ссылаясь на свое замечание общего порядка № 15 (2013) о праве ребенка на наивысший достижимый уровень здоровья и принимая во внимание</w:t>
      </w:r>
      <w:r w:rsidR="004E7C2D">
        <w:rPr>
          <w:b/>
          <w:bCs/>
        </w:rPr>
        <w:br/>
      </w:r>
      <w:r>
        <w:rPr>
          <w:b/>
          <w:bCs/>
        </w:rPr>
        <w:t>задачу 3.2 Целей в области устойчивого развития, Комитет рекомендует государству-участнику:</w:t>
      </w:r>
    </w:p>
    <w:p w14:paraId="0E1C4DCE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a)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усилить меры по расширению доступа к качественному медицинскому обслуживанию во всей стране, в том числе на отдаленных островах, и выделить на эти цели достаточные людские, технические и финансовые ресурсы;</w:t>
      </w:r>
    </w:p>
    <w:p w14:paraId="6EE198F2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b)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усилить меры по исключению предотвратимой смертности среди младенцев и детей в возрасте до пяти лет, особенно на отдаленных островах,</w:t>
      </w:r>
      <w:r>
        <w:rPr>
          <w:b/>
          <w:bCs/>
        </w:rPr>
        <w:br/>
      </w:r>
      <w:r w:rsidR="007052D4" w:rsidRPr="004E7C2D">
        <w:rPr>
          <w:b/>
          <w:bCs/>
        </w:rPr>
        <w:t>и следовать положениям Технического руководства УВКПЧ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(A/HRC/27/31).</w:t>
      </w:r>
    </w:p>
    <w:p w14:paraId="5FB57632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</w:p>
    <w:p w14:paraId="4F8446C9" w14:textId="77777777" w:rsidR="007052D4" w:rsidRPr="006C1DD3" w:rsidRDefault="007052D4" w:rsidP="007052D4">
      <w:pPr>
        <w:pStyle w:val="SingleTxtG"/>
      </w:pPr>
      <w:r>
        <w:t>41.</w:t>
      </w:r>
      <w:r>
        <w:tab/>
        <w:t>Комитет обеспокоен ростом числа детей, у которых, согласно оценкам, имеются проблемы с психическим здоровьем: согласно обследованию, проведенному государством-участником в 2015 году, 16,1% учащихся пытались, по крайней мере один раз, покончить жизнь самоубийством.</w:t>
      </w:r>
    </w:p>
    <w:p w14:paraId="209C7912" w14:textId="77777777" w:rsidR="007052D4" w:rsidRPr="006C1DD3" w:rsidRDefault="007052D4" w:rsidP="007052D4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Принимая во внимание задачу 3.4 Целей в области устойчивого</w:t>
      </w:r>
      <w:r w:rsidR="004E7C2D">
        <w:rPr>
          <w:b/>
          <w:bCs/>
        </w:rPr>
        <w:br/>
      </w:r>
      <w:r>
        <w:rPr>
          <w:b/>
          <w:bCs/>
        </w:rPr>
        <w:t>развития, Комитет рекомендует государству-участнику разработать на основе результатов проведенного им обследования национальную стратегию в целях эффективной профилактики самоубийств среди детей и устранения их коренных причин посредством принятия психологических, образовательных и социальных мер и обеспечения соответствующей терапии для детей, семей и населения в целом.</w:t>
      </w:r>
    </w:p>
    <w:p w14:paraId="2DDD582B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1F8C3F0B" w14:textId="77777777" w:rsidR="007052D4" w:rsidRPr="006C1DD3" w:rsidRDefault="007052D4" w:rsidP="007052D4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Ссылаясь на свои предыдущие рекомендации (CRC/C/COK/CO/1,</w:t>
      </w:r>
      <w:r w:rsidR="004E7C2D">
        <w:rPr>
          <w:b/>
          <w:bCs/>
        </w:rPr>
        <w:br/>
      </w:r>
      <w:r>
        <w:rPr>
          <w:b/>
          <w:bCs/>
        </w:rPr>
        <w:t>пункты 46, 50 и 52), замечание общего порядка № 4 (2003) о здоровье и развитии подростков в контексте Конвенции и замечание общего порядка № 20 (2016)</w:t>
      </w:r>
      <w:r w:rsidR="004E7C2D">
        <w:rPr>
          <w:b/>
          <w:bCs/>
        </w:rPr>
        <w:br/>
      </w:r>
      <w:r>
        <w:rPr>
          <w:b/>
          <w:bCs/>
        </w:rPr>
        <w:t>об осуществлении прав ребенка в подростковом возрасте, Комитет рекомендует государству-участнику:</w:t>
      </w:r>
    </w:p>
    <w:p w14:paraId="625B3F2B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a)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 xml:space="preserve">использовать процесс пересмотра Закона о преступлениях для декриминализации абортов, по крайней мере в случаях изнасилования, инцеста и риска для жизни и здоровья матери, продолжать постепенно декриминализировать аборты при любых обстоятельствах и предоставлять четкие указания медицинским работникам и информацию подросткам о </w:t>
      </w:r>
      <w:r w:rsidR="007052D4" w:rsidRPr="004E7C2D">
        <w:rPr>
          <w:b/>
          <w:bCs/>
        </w:rPr>
        <w:lastRenderedPageBreak/>
        <w:t>безопасном аборте и уходе после аборта, обеспечивая при этом должный учет мнений беременных девочек при принятии всех решений об абортах;</w:t>
      </w:r>
    </w:p>
    <w:p w14:paraId="61933AF9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b)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усилить меры в целях обеспечения всем подросткам действенного доступа к конфиденциальным услугам и информации в области репродуктивного здоровья и консультирования, а также к современным формам контрацепции, включая бесплатную экстренную контрацепцию;</w:t>
      </w:r>
    </w:p>
    <w:p w14:paraId="684A40F1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c)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продолжать осуществлять просветительские программы по вопросам сексуального и репродуктивного здоровья и охватить ими всю страну, уделяя при этом особое внимание девочкам и мальчикам-подросткам, а также предупреждению ранней беременности и заболеваний, передаваемых половым путем;</w:t>
      </w:r>
    </w:p>
    <w:p w14:paraId="03AA3944" w14:textId="77777777" w:rsidR="007052D4" w:rsidRPr="004E7C2D" w:rsidRDefault="007052D4" w:rsidP="007052D4">
      <w:pPr>
        <w:pStyle w:val="SingleTxtG"/>
        <w:rPr>
          <w:b/>
          <w:bCs/>
        </w:rPr>
      </w:pPr>
      <w:r w:rsidRPr="004E7C2D">
        <w:rPr>
          <w:b/>
        </w:rPr>
        <w:tab/>
      </w:r>
      <w:r w:rsidR="004E7C2D">
        <w:rPr>
          <w:b/>
        </w:rPr>
        <w:tab/>
      </w:r>
      <w:r w:rsidRPr="004E7C2D">
        <w:rPr>
          <w:b/>
        </w:rPr>
        <w:t>d)</w:t>
      </w:r>
      <w:r w:rsidRPr="004E7C2D">
        <w:rPr>
          <w:b/>
        </w:rPr>
        <w:tab/>
      </w:r>
      <w:r w:rsidRPr="004E7C2D">
        <w:rPr>
          <w:b/>
          <w:bCs/>
        </w:rPr>
        <w:t>продолжать принимать меры по решению проблемы избыточного веса у детей, в том числе путем повышения осведомленности общественности о проблемах питания и здоровых привычках питания;</w:t>
      </w:r>
    </w:p>
    <w:p w14:paraId="3463A5C5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e)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принять необходимые меры для борьбы с употреблением алкоголя</w:t>
      </w:r>
      <w:r>
        <w:rPr>
          <w:b/>
          <w:bCs/>
        </w:rPr>
        <w:br/>
      </w:r>
      <w:r w:rsidR="007052D4" w:rsidRPr="004E7C2D">
        <w:rPr>
          <w:b/>
          <w:bCs/>
        </w:rPr>
        <w:t>и наркотиков детьми и подростками, в частности путем предоставления им точной и объективной информации о вредных последствиях употребления алкоголя, курения, наркомании и токсикомании и обучения их жизненным навыкам в отношении профилактики злоупотребления психоактивными веществами, включая табак и алкоголь, а также создать доступные и учитывающие молодежную специфику службы наркологической помощи и снижения вреда;</w:t>
      </w:r>
    </w:p>
    <w:p w14:paraId="6DDB35A7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f)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 xml:space="preserve">эффективно осуществлять Закон </w:t>
      </w:r>
      <w:r>
        <w:rPr>
          <w:b/>
          <w:bCs/>
        </w:rPr>
        <w:t>«</w:t>
      </w:r>
      <w:r w:rsidR="007052D4" w:rsidRPr="004E7C2D">
        <w:rPr>
          <w:b/>
          <w:bCs/>
        </w:rPr>
        <w:t>О наркотиках и неправомерном использовании наркотиков</w:t>
      </w:r>
      <w:r>
        <w:rPr>
          <w:b/>
          <w:bCs/>
        </w:rPr>
        <w:t>»</w:t>
      </w:r>
      <w:r w:rsidR="007052D4" w:rsidRPr="004E7C2D">
        <w:rPr>
          <w:b/>
          <w:bCs/>
        </w:rPr>
        <w:t xml:space="preserve"> 2004 года и принимать все необходимые меры для пресечения незаконного оборота наркотиков.</w:t>
      </w:r>
    </w:p>
    <w:p w14:paraId="0DA645A0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3EC9CBA3" w14:textId="77777777" w:rsidR="007052D4" w:rsidRPr="006C1DD3" w:rsidRDefault="007052D4" w:rsidP="007052D4">
      <w:pPr>
        <w:pStyle w:val="SingleTxtG"/>
      </w:pPr>
      <w:r>
        <w:t>44.</w:t>
      </w:r>
      <w:r>
        <w:tab/>
        <w:t>Комитет отмечает меры, принятые с целью усиления адаптации к изменению климата и повышения устойчивости к нему, включая меры по уменьшению опасности бедствий, но в то же время глубоко обеспокоен следующим:</w:t>
      </w:r>
    </w:p>
    <w:p w14:paraId="5E96151D" w14:textId="77777777" w:rsidR="007052D4" w:rsidRPr="006C1DD3" w:rsidRDefault="004E7C2D" w:rsidP="007052D4">
      <w:pPr>
        <w:pStyle w:val="SingleTxtG"/>
      </w:pPr>
      <w:r>
        <w:tab/>
      </w:r>
      <w:r w:rsidR="007052D4">
        <w:tab/>
        <w:t>a)</w:t>
      </w:r>
      <w:r w:rsidR="007052D4">
        <w:tab/>
        <w:t>все более негативным воздействием изменения глобального климата и стихийных бедствий на права ребенка на Островах Кука, в том числе на права на жизнь, выживание и развитие, недискриминацию, образование, здоровье, достаточное жилище и безопасную питьевую воду и санитарию;</w:t>
      </w:r>
    </w:p>
    <w:p w14:paraId="3EB4DEC4" w14:textId="77777777" w:rsidR="007052D4" w:rsidRPr="006C1DD3" w:rsidRDefault="004E7C2D" w:rsidP="007052D4">
      <w:pPr>
        <w:pStyle w:val="SingleTxtG"/>
      </w:pPr>
      <w:r>
        <w:tab/>
      </w:r>
      <w:r w:rsidR="007052D4">
        <w:tab/>
        <w:t>b)</w:t>
      </w:r>
      <w:r w:rsidR="007052D4">
        <w:tab/>
        <w:t>недостаточным учетом прав и потребностей детей, включая детей-инвалидов, в политике и программах действий по вопросам изменения климата, в том числе в деятельности по уменьшению связанного с климатом риска бедствий, обеспечению готовности к ним, реагирования на них и ликвидации их последствий;</w:t>
      </w:r>
    </w:p>
    <w:p w14:paraId="3BD2C7E4" w14:textId="77777777" w:rsidR="007052D4" w:rsidRPr="006C1DD3" w:rsidRDefault="004E7C2D" w:rsidP="007052D4">
      <w:pPr>
        <w:pStyle w:val="SingleTxtG"/>
      </w:pPr>
      <w:r>
        <w:tab/>
      </w:r>
      <w:r w:rsidR="007052D4">
        <w:tab/>
        <w:t>c)</w:t>
      </w:r>
      <w:r w:rsidR="007052D4">
        <w:tab/>
        <w:t>отсутствием возможностей для действенного участия детей в дискуссиях и процессе принятия решений, связанных с изменением климата.</w:t>
      </w:r>
    </w:p>
    <w:p w14:paraId="204B42A2" w14:textId="77777777" w:rsidR="007052D4" w:rsidRPr="006C1DD3" w:rsidRDefault="007052D4" w:rsidP="007052D4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Комитет обращает внимание на задачу 13.5 Целей в области устойчивого развития и рекомендует государству-участнику:</w:t>
      </w:r>
    </w:p>
    <w:p w14:paraId="0247FB4D" w14:textId="77777777" w:rsidR="007052D4" w:rsidRPr="004E7C2D" w:rsidRDefault="004E7C2D" w:rsidP="007052D4">
      <w:pPr>
        <w:pStyle w:val="SingleTxtG"/>
        <w:rPr>
          <w:b/>
          <w:bCs/>
        </w:rPr>
      </w:pPr>
      <w:r>
        <w:tab/>
      </w:r>
      <w:r w:rsidR="007052D4">
        <w:tab/>
      </w:r>
      <w:r w:rsidR="007052D4" w:rsidRPr="004E7C2D">
        <w:rPr>
          <w:b/>
        </w:rPr>
        <w:t>a)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обеспечить учет особой уязвимости и нужд детей, а также их мнений при разработке политики или программ, направленных на решение проблем изменения климата и сокращение опасности бедствий;</w:t>
      </w:r>
    </w:p>
    <w:p w14:paraId="1E80602A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b)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осуществлять сбор дезагрегированных по соответствующим факторам данных с целью определения видов и уровней риска, которому подвергаются дети в связи с различными бедствиями, для разработки соответствующей международной, региональной и национальной политики, рамок и соглашений;</w:t>
      </w:r>
    </w:p>
    <w:p w14:paraId="3DF5DEA9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c)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 xml:space="preserve">укреплять меры по повышению информированности и готовности детей к изменению климата и стихийным бедствиям, в том числе путем </w:t>
      </w:r>
      <w:r w:rsidR="007052D4" w:rsidRPr="004E7C2D">
        <w:rPr>
          <w:b/>
          <w:bCs/>
        </w:rPr>
        <w:lastRenderedPageBreak/>
        <w:t>включения вопросов окружающей среды и изменения климата в национальную учебную программу;</w:t>
      </w:r>
    </w:p>
    <w:p w14:paraId="1C6BDB1B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d)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наладить двустороннее, многостороннее, региональное</w:t>
      </w:r>
      <w:r>
        <w:rPr>
          <w:b/>
          <w:bCs/>
        </w:rPr>
        <w:br/>
      </w:r>
      <w:r w:rsidR="007052D4" w:rsidRPr="004E7C2D">
        <w:rPr>
          <w:b/>
          <w:bCs/>
        </w:rPr>
        <w:t>и международное сотрудничество для реализации настоящих рекомендаций.</w:t>
      </w:r>
    </w:p>
    <w:p w14:paraId="70C148E3" w14:textId="77777777" w:rsidR="007052D4" w:rsidRPr="006C1DD3" w:rsidRDefault="004E7C2D" w:rsidP="007052D4">
      <w:pPr>
        <w:pStyle w:val="H1G"/>
      </w:pPr>
      <w:r>
        <w:tab/>
      </w:r>
      <w:r w:rsidR="007052D4">
        <w:t>I.</w:t>
      </w:r>
      <w:r w:rsidR="007052D4">
        <w:tab/>
      </w:r>
      <w:r w:rsidR="007052D4">
        <w:rPr>
          <w:bCs/>
        </w:rPr>
        <w:t>Образование, досуг и культурная деятельность (статьи 28–31)</w:t>
      </w:r>
    </w:p>
    <w:p w14:paraId="42162181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66102136" w14:textId="77777777" w:rsidR="007052D4" w:rsidRPr="006C1DD3" w:rsidRDefault="007052D4" w:rsidP="007052D4">
      <w:pPr>
        <w:pStyle w:val="SingleTxtG"/>
      </w:pPr>
      <w:r>
        <w:t>46.</w:t>
      </w:r>
      <w:r>
        <w:tab/>
        <w:t>Комитет приветствует тот факт, что образование является обязательным для детей в возрасте от 5 до 16 лет, а также поддержку, оказываемую беременным девушкам-подросткам и матерям-подросткам, с тем чтобы они могли продолжать получать образование. Комитет с удовлетворением принимает к сведению информацию о высоких показателях зачисления в начальные школы и большом числе учащихся, продолжающих учиться в средних школах, но по-прежнему обеспокоен различиями между детьми, проживающими на острове Раротонга и на отдаленных островах, в части их доступа к качественному образованию, особенно к дошкольному образованию и профессионально-технической подготовке.</w:t>
      </w:r>
    </w:p>
    <w:p w14:paraId="13D6FC2C" w14:textId="77777777" w:rsidR="007052D4" w:rsidRPr="006C1DD3" w:rsidRDefault="007052D4" w:rsidP="007052D4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Принимая во внимание задачи 4.2, 4.4, 4.5, 4.7 и 4.c Целей в области устойчивого развития Комитет рекомендует государству-участнику:</w:t>
      </w:r>
    </w:p>
    <w:p w14:paraId="3994D883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a)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активизировать усилия по борьбе с существующим в стране неравенством в том, что касается доступа к качественному образованию,</w:t>
      </w:r>
      <w:r>
        <w:rPr>
          <w:b/>
          <w:bCs/>
        </w:rPr>
        <w:br/>
      </w:r>
      <w:r w:rsidR="007052D4" w:rsidRPr="004E7C2D">
        <w:rPr>
          <w:b/>
          <w:bCs/>
        </w:rPr>
        <w:t>и поощрять равные возможности в области образования для детей, проживающих на отдаленных островах;</w:t>
      </w:r>
    </w:p>
    <w:p w14:paraId="1E42D9BB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b)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продолжать повышать доступность и качество профессиональной подготовки с целью развития соответствующих навыков у детей и молодых людей, особенно тех, кто прекратил обучение в школе;</w:t>
      </w:r>
    </w:p>
    <w:p w14:paraId="05A7A0FF" w14:textId="77777777" w:rsidR="007052D4" w:rsidRPr="004E7C2D" w:rsidRDefault="004E7C2D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4E7C2D">
        <w:rPr>
          <w:b/>
        </w:rPr>
        <w:tab/>
        <w:t>c)</w:t>
      </w:r>
      <w:r w:rsidR="007052D4" w:rsidRPr="004E7C2D">
        <w:rPr>
          <w:b/>
        </w:rPr>
        <w:tab/>
      </w:r>
      <w:r w:rsidR="007052D4" w:rsidRPr="004E7C2D">
        <w:rPr>
          <w:b/>
          <w:bCs/>
        </w:rPr>
        <w:t>выделять достаточные людские, технические и финансовые ресурсы для расширения доступа к качественному дошкольному образованию и системе ухода за детьми младшего возраста по всей стране.</w:t>
      </w:r>
    </w:p>
    <w:p w14:paraId="0AD803BF" w14:textId="77777777" w:rsidR="007052D4" w:rsidRPr="006C1DD3" w:rsidRDefault="004E7C2D" w:rsidP="007052D4">
      <w:pPr>
        <w:pStyle w:val="H1G"/>
      </w:pPr>
      <w:r>
        <w:tab/>
      </w:r>
      <w:r w:rsidR="007052D4">
        <w:t>J.</w:t>
      </w:r>
      <w:r w:rsidR="007052D4">
        <w:tab/>
      </w:r>
      <w:r w:rsidR="007052D4">
        <w:rPr>
          <w:bCs/>
        </w:rPr>
        <w:t>Специальные меры защиты (статьи 22, 30, 32, 33, 35, 36,</w:t>
      </w:r>
      <w:r>
        <w:rPr>
          <w:bCs/>
        </w:rPr>
        <w:br/>
      </w:r>
      <w:r w:rsidR="007052D4">
        <w:rPr>
          <w:bCs/>
        </w:rPr>
        <w:t>37 (подпункты b)–d)) и 38–40)</w:t>
      </w:r>
    </w:p>
    <w:p w14:paraId="1C147734" w14:textId="77777777" w:rsidR="007052D4" w:rsidRPr="006C1DD3" w:rsidRDefault="007052D4" w:rsidP="007052D4">
      <w:pPr>
        <w:pStyle w:val="H23G"/>
      </w:pPr>
      <w:r>
        <w:tab/>
      </w:r>
      <w:r>
        <w:tab/>
      </w:r>
      <w:r w:rsidRPr="004E7C2D">
        <w:rPr>
          <w:bCs/>
        </w:rPr>
        <w:t>Дети в условиях миграции</w:t>
      </w:r>
    </w:p>
    <w:p w14:paraId="582DBDF0" w14:textId="77777777" w:rsidR="007052D4" w:rsidRPr="006C1DD3" w:rsidRDefault="007052D4" w:rsidP="007052D4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Отмечая, что международная миграция в контексте изменения климата и стихийных бедствий может все больше затрагивать детей, Комитет рекомендует государству-участнику рассмотреть возможность разработки законодательства, политики и программ для регулирования международной миграции детей, которые бы обеспечивали учет прав и потребностей детей.</w:t>
      </w:r>
    </w:p>
    <w:p w14:paraId="6DDC74EE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3D7EB902" w14:textId="77777777" w:rsidR="007052D4" w:rsidRPr="006C1DD3" w:rsidRDefault="007052D4" w:rsidP="007052D4">
      <w:pPr>
        <w:pStyle w:val="SingleTxtG"/>
      </w:pPr>
      <w:r>
        <w:t>49.</w:t>
      </w:r>
      <w:r>
        <w:tab/>
        <w:t>Комитет с удовлетворением отмечает сокращение числа случаев, когда детям официально предъявлялись обвинения в совершении преступлений, предусмотренных Уголовным кодексом, главным образом благодаря урегулированию конфликтов при посредничестве общин и te koro akaau. Вместе с тем Комитет по-прежнему обеспокоен тем, что:</w:t>
      </w:r>
    </w:p>
    <w:p w14:paraId="418C66F4" w14:textId="77777777" w:rsidR="007052D4" w:rsidRPr="006C1DD3" w:rsidRDefault="007052D4" w:rsidP="007052D4">
      <w:pPr>
        <w:pStyle w:val="SingleTxtG"/>
      </w:pPr>
      <w:r>
        <w:tab/>
      </w:r>
      <w:r w:rsidR="0078323D">
        <w:tab/>
      </w:r>
      <w:r>
        <w:t>a)</w:t>
      </w:r>
      <w:r>
        <w:tab/>
        <w:t>в законопроекте о преступлениях, как и в Законе о преступлениях, минимальный возраст наступления уголовной ответственности установлен на уровне 10 лет;</w:t>
      </w:r>
    </w:p>
    <w:p w14:paraId="425687B1" w14:textId="77777777" w:rsidR="007052D4" w:rsidRPr="006C1DD3" w:rsidRDefault="0078323D" w:rsidP="007052D4">
      <w:pPr>
        <w:pStyle w:val="SingleTxtG"/>
      </w:pPr>
      <w:r>
        <w:tab/>
      </w:r>
      <w:r w:rsidR="007052D4">
        <w:tab/>
        <w:t>b)</w:t>
      </w:r>
      <w:r w:rsidR="007052D4">
        <w:tab/>
        <w:t xml:space="preserve">в Законе 1968 года о предупреждении преступности среди несовершеннолетних ребенок определяется как лицо младше 16 лет, и поэтому с детьми в возрасте от 16 до 18 лет обращаются как со взрослыми, и на них не </w:t>
      </w:r>
      <w:r w:rsidR="007052D4">
        <w:lastRenderedPageBreak/>
        <w:t>распространяются специальные меры защиты детей в ходе уголовного судопроизводства;</w:t>
      </w:r>
    </w:p>
    <w:p w14:paraId="0CA05E1B" w14:textId="77777777" w:rsidR="007052D4" w:rsidRPr="006C1DD3" w:rsidRDefault="0078323D" w:rsidP="007052D4">
      <w:pPr>
        <w:pStyle w:val="SingleTxtG"/>
      </w:pPr>
      <w:r>
        <w:tab/>
      </w:r>
      <w:r w:rsidR="007052D4">
        <w:tab/>
        <w:t>c)</w:t>
      </w:r>
      <w:r w:rsidR="007052D4">
        <w:tab/>
        <w:t>законодательство не содержит положений, которые бы гарантировали, что лишение детей свободы может применяться лишь в качестве крайней меры и в течение как можно более короткого периода времени.</w:t>
      </w:r>
    </w:p>
    <w:p w14:paraId="7F46EC40" w14:textId="77777777" w:rsidR="007052D4" w:rsidRPr="006C1DD3" w:rsidRDefault="007052D4" w:rsidP="007052D4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Ссылаясь на свое замечание общего порядка № 24 (2019) о правах ребенка в системе правосудия в отношении детей, Комитет настоятельно призывает государство-участник:</w:t>
      </w:r>
    </w:p>
    <w:p w14:paraId="5EE2472A" w14:textId="77777777" w:rsidR="007052D4" w:rsidRPr="00566FE7" w:rsidRDefault="007052D4" w:rsidP="007052D4">
      <w:pPr>
        <w:pStyle w:val="SingleTxtG"/>
        <w:rPr>
          <w:b/>
          <w:bCs/>
        </w:rPr>
      </w:pPr>
      <w:r w:rsidRPr="00566FE7">
        <w:rPr>
          <w:b/>
        </w:rPr>
        <w:tab/>
      </w:r>
      <w:r w:rsidR="00566FE7">
        <w:rPr>
          <w:b/>
        </w:rPr>
        <w:tab/>
      </w:r>
      <w:r w:rsidRPr="00566FE7">
        <w:rPr>
          <w:b/>
        </w:rPr>
        <w:t>a)</w:t>
      </w:r>
      <w:r w:rsidRPr="00566FE7">
        <w:rPr>
          <w:b/>
        </w:rPr>
        <w:tab/>
      </w:r>
      <w:r w:rsidRPr="00566FE7">
        <w:rPr>
          <w:b/>
          <w:bCs/>
        </w:rPr>
        <w:t>повысить минимальный возраст наступления уголовной ответственности, по крайней мере, до 14 лет;</w:t>
      </w:r>
    </w:p>
    <w:p w14:paraId="29D0F019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b)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пересмотреть свое законодательство для обеспечения того, чтобы</w:t>
      </w:r>
      <w:r>
        <w:rPr>
          <w:b/>
          <w:bCs/>
        </w:rPr>
        <w:br/>
      </w:r>
      <w:r w:rsidR="007052D4" w:rsidRPr="00566FE7">
        <w:rPr>
          <w:b/>
          <w:bCs/>
        </w:rPr>
        <w:t>со всеми детьми в возрасте до 18 лет обращались как с детьми, и чтобы лица, достигшие минимального возраста наступления уголовной ответственности, были охвачены системой правосудия в отношении детей;</w:t>
      </w:r>
    </w:p>
    <w:p w14:paraId="4F97C0C1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c)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обеспечивать, чтобы заключение под стражей использовалось лишь в качестве крайней меры и в течение как можно более короткого периода времени;</w:t>
      </w:r>
    </w:p>
    <w:p w14:paraId="0BCA8582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d)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продолжать поощрять, в соответствии с международными стандартами, применение в отношении детей, обвиняемых в совершении уголовных преступлений, внесудебных мер, таких как выведение несовершеннолетних правонарушителей из системы уголовного правосудия, посредничество общин и консультирование, включая Te Koro Akaau;</w:t>
      </w:r>
    </w:p>
    <w:p w14:paraId="73707416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e)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обратиться за технической помощью к международным, региональным и двусторонним партнерам, в частности к ЮНИСЕФ и УВКПЧ.</w:t>
      </w:r>
    </w:p>
    <w:p w14:paraId="3C22621C" w14:textId="77777777" w:rsidR="007052D4" w:rsidRPr="006C1DD3" w:rsidRDefault="007052D4" w:rsidP="007052D4">
      <w:pPr>
        <w:pStyle w:val="H23G"/>
      </w:pPr>
      <w:r>
        <w:tab/>
      </w:r>
      <w:r>
        <w:tab/>
      </w:r>
      <w:r>
        <w:rPr>
          <w:bCs/>
        </w:rPr>
        <w:t>Дети, ставшие жертвами и свидетелями преступлений</w:t>
      </w:r>
    </w:p>
    <w:p w14:paraId="0E1A983A" w14:textId="77777777" w:rsidR="007052D4" w:rsidRPr="006C1DD3" w:rsidRDefault="007052D4" w:rsidP="007052D4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укрепить учитывающие детскую специфику судебные механизмы в интересах детей, ставших жертвами</w:t>
      </w:r>
      <w:r w:rsidR="00566FE7">
        <w:rPr>
          <w:b/>
          <w:bCs/>
        </w:rPr>
        <w:br/>
      </w:r>
      <w:r>
        <w:rPr>
          <w:b/>
          <w:bCs/>
        </w:rPr>
        <w:t>и свидетелями преступлений, в том числе в части проведения допросов в рамках расследования.</w:t>
      </w:r>
    </w:p>
    <w:p w14:paraId="2D4EAA8F" w14:textId="77777777" w:rsidR="007052D4" w:rsidRPr="006C1DD3" w:rsidRDefault="00566FE7" w:rsidP="007052D4">
      <w:pPr>
        <w:pStyle w:val="H1G"/>
      </w:pPr>
      <w:bookmarkStart w:id="0" w:name="_Toc507168181"/>
      <w:r>
        <w:tab/>
      </w:r>
      <w:r w:rsidR="007052D4">
        <w:t>K.</w:t>
      </w:r>
      <w:r w:rsidR="007052D4">
        <w:tab/>
      </w:r>
      <w:r w:rsidR="007052D4">
        <w:rPr>
          <w:bCs/>
        </w:rPr>
        <w:t>Ратификация Факультативных протоколов к Конвенции</w:t>
      </w:r>
      <w:bookmarkEnd w:id="0"/>
    </w:p>
    <w:p w14:paraId="3DF20059" w14:textId="77777777" w:rsidR="007052D4" w:rsidRPr="006C1DD3" w:rsidRDefault="007052D4" w:rsidP="007052D4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 к Конвенции, касающийся участия детей в вооруженных конфликтах, Факультативный протокол к Конвенции, касающийся торговли детьми, детской проституции и детской порнографии, а также Факультативный протокол к Конвенции, касающийся процедуры сообщений.</w:t>
      </w:r>
    </w:p>
    <w:p w14:paraId="08042C5A" w14:textId="77777777" w:rsidR="007052D4" w:rsidRPr="006C1DD3" w:rsidRDefault="00566FE7" w:rsidP="007052D4">
      <w:pPr>
        <w:pStyle w:val="H1G"/>
      </w:pPr>
      <w:r>
        <w:tab/>
      </w:r>
      <w:r w:rsidR="007052D4">
        <w:t>L.</w:t>
      </w:r>
      <w:r w:rsidR="007052D4">
        <w:tab/>
      </w:r>
      <w:r w:rsidR="007052D4">
        <w:rPr>
          <w:bCs/>
        </w:rPr>
        <w:t>Ратификация международных договоров по правам человека</w:t>
      </w:r>
    </w:p>
    <w:p w14:paraId="23264041" w14:textId="77777777" w:rsidR="007052D4" w:rsidRPr="006C1DD3" w:rsidRDefault="007052D4" w:rsidP="007052D4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человека, участником которых оно еще не является:</w:t>
      </w:r>
    </w:p>
    <w:p w14:paraId="0D7BC300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a)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Международного пакта о гражданских и политических правах;</w:t>
      </w:r>
    </w:p>
    <w:p w14:paraId="5FF4921E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b)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Международного пакта об экономических, социальных и культурных правах;</w:t>
      </w:r>
    </w:p>
    <w:p w14:paraId="44966ECD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c)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Конвенции против пыток и других жестоких, бесчеловечных</w:t>
      </w:r>
      <w:r>
        <w:rPr>
          <w:b/>
          <w:bCs/>
        </w:rPr>
        <w:br/>
      </w:r>
      <w:r w:rsidR="007052D4" w:rsidRPr="00566FE7">
        <w:rPr>
          <w:b/>
          <w:bCs/>
        </w:rPr>
        <w:t>или унижающих достоинство видов обращения и наказания;</w:t>
      </w:r>
    </w:p>
    <w:p w14:paraId="5A258982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="007052D4" w:rsidRPr="00566FE7">
        <w:rPr>
          <w:b/>
        </w:rPr>
        <w:tab/>
        <w:t>d)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Международной конвенции для защиты всех лиц от насильственных исчезновений;</w:t>
      </w:r>
    </w:p>
    <w:p w14:paraId="6D1934AA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e)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Международной конвенции о ликвидации всех форм расовой дискриминации;</w:t>
      </w:r>
    </w:p>
    <w:p w14:paraId="7B0641EF" w14:textId="77777777" w:rsidR="007052D4" w:rsidRPr="00566FE7" w:rsidRDefault="00566FE7" w:rsidP="007052D4">
      <w:pPr>
        <w:pStyle w:val="SingleTxtG"/>
        <w:rPr>
          <w:b/>
          <w:bCs/>
        </w:rPr>
      </w:pPr>
      <w:r>
        <w:rPr>
          <w:b/>
        </w:rPr>
        <w:tab/>
      </w:r>
      <w:r w:rsidR="007052D4" w:rsidRPr="00566FE7">
        <w:rPr>
          <w:b/>
        </w:rPr>
        <w:tab/>
        <w:t>f)</w:t>
      </w:r>
      <w:r w:rsidR="007052D4" w:rsidRPr="00566FE7">
        <w:rPr>
          <w:b/>
        </w:rPr>
        <w:tab/>
      </w:r>
      <w:r w:rsidR="007052D4" w:rsidRPr="00566FE7">
        <w:rPr>
          <w:b/>
          <w:bCs/>
        </w:rPr>
        <w:t>Международной конвенции о защите прав всех трудящихся-мигрантов и членов их семей.</w:t>
      </w:r>
    </w:p>
    <w:p w14:paraId="3A1C687C" w14:textId="77777777" w:rsidR="007052D4" w:rsidRPr="006C1DD3" w:rsidRDefault="00566FE7" w:rsidP="007052D4">
      <w:pPr>
        <w:pStyle w:val="H1G"/>
      </w:pPr>
      <w:r>
        <w:tab/>
      </w:r>
      <w:r w:rsidR="007052D4">
        <w:t>M.</w:t>
      </w:r>
      <w:r w:rsidR="007052D4">
        <w:tab/>
      </w:r>
      <w:r w:rsidR="007052D4">
        <w:rPr>
          <w:bCs/>
        </w:rPr>
        <w:t>Сотрудничество с региональными органами</w:t>
      </w:r>
    </w:p>
    <w:p w14:paraId="6EE11DDB" w14:textId="77777777" w:rsidR="007052D4" w:rsidRPr="006C1DD3" w:rsidRDefault="007052D4" w:rsidP="007052D4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рекомендует государству-участнику сотрудничать, в частности,</w:t>
      </w:r>
      <w:r w:rsidR="00566FE7">
        <w:rPr>
          <w:b/>
          <w:bCs/>
        </w:rPr>
        <w:br/>
      </w:r>
      <w:r>
        <w:rPr>
          <w:b/>
          <w:bCs/>
        </w:rPr>
        <w:t>с региональными организациями, такими как Тихоокеанское сообщество</w:t>
      </w:r>
      <w:r w:rsidR="00566FE7">
        <w:rPr>
          <w:b/>
          <w:bCs/>
        </w:rPr>
        <w:br/>
      </w:r>
      <w:r>
        <w:rPr>
          <w:b/>
          <w:bCs/>
        </w:rPr>
        <w:t>и Форум тихоокеанских островов.</w:t>
      </w:r>
    </w:p>
    <w:p w14:paraId="4D435F55" w14:textId="77777777" w:rsidR="007052D4" w:rsidRPr="006C1DD3" w:rsidRDefault="00566FE7" w:rsidP="007052D4">
      <w:pPr>
        <w:pStyle w:val="HChG"/>
      </w:pPr>
      <w:r>
        <w:tab/>
      </w:r>
      <w:r w:rsidR="007052D4">
        <w:t>IV.</w:t>
      </w:r>
      <w:r w:rsidR="007052D4">
        <w:tab/>
      </w:r>
      <w:r w:rsidR="007052D4">
        <w:rPr>
          <w:bCs/>
        </w:rPr>
        <w:t>Меры по осуществлению и представление докладов</w:t>
      </w:r>
    </w:p>
    <w:p w14:paraId="2CAD14A0" w14:textId="77777777" w:rsidR="007052D4" w:rsidRPr="006C1DD3" w:rsidRDefault="00566FE7" w:rsidP="007052D4">
      <w:pPr>
        <w:pStyle w:val="H1G"/>
      </w:pPr>
      <w:r>
        <w:tab/>
      </w:r>
      <w:r w:rsidR="007052D4">
        <w:t>A.</w:t>
      </w:r>
      <w:r w:rsidR="007052D4">
        <w:tab/>
      </w:r>
      <w:r w:rsidR="007052D4">
        <w:rPr>
          <w:bCs/>
        </w:rPr>
        <w:t>Последующая деятельность и распространение информации</w:t>
      </w:r>
    </w:p>
    <w:p w14:paraId="06FD0250" w14:textId="77777777" w:rsidR="007052D4" w:rsidRPr="006C1DD3" w:rsidRDefault="007052D4" w:rsidP="007052D4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также рекомендует широко распространить на используемых в стране языках объединенные второй–пятый периодические доклады, письменные ответы на перечень вопросов и настоящие заключительные замечания.</w:t>
      </w:r>
      <w:r>
        <w:t xml:space="preserve"> </w:t>
      </w:r>
    </w:p>
    <w:p w14:paraId="334E75C7" w14:textId="77777777" w:rsidR="007052D4" w:rsidRPr="006C1DD3" w:rsidRDefault="00566FE7" w:rsidP="007052D4">
      <w:pPr>
        <w:pStyle w:val="H1G"/>
      </w:pPr>
      <w:r>
        <w:tab/>
      </w:r>
      <w:r w:rsidR="007052D4">
        <w:t>B.</w:t>
      </w:r>
      <w:r w:rsidR="007052D4">
        <w:tab/>
      </w:r>
      <w:r w:rsidR="007052D4">
        <w:rPr>
          <w:bCs/>
        </w:rPr>
        <w:t>Национальный механизм представления докладов</w:t>
      </w:r>
      <w:r>
        <w:rPr>
          <w:bCs/>
        </w:rPr>
        <w:br/>
      </w:r>
      <w:r w:rsidR="007052D4">
        <w:rPr>
          <w:bCs/>
        </w:rPr>
        <w:t>и осуществления последующих мер</w:t>
      </w:r>
    </w:p>
    <w:p w14:paraId="64092E67" w14:textId="77777777" w:rsidR="007052D4" w:rsidRPr="006C1DD3" w:rsidRDefault="007052D4" w:rsidP="007052D4">
      <w:pPr>
        <w:pStyle w:val="SingleTxtG"/>
        <w:rPr>
          <w:b/>
          <w:bCs/>
        </w:rPr>
      </w:pPr>
      <w:r>
        <w:t>56.</w:t>
      </w:r>
      <w:r>
        <w:tab/>
      </w:r>
      <w:r>
        <w:rPr>
          <w:b/>
          <w:bCs/>
        </w:rPr>
        <w:t xml:space="preserve">Комитет рекомендует государству-участнику создать постоянно действующую правительственную структуру, которая бы отвечала за координацию и подготовку докладов для международных и региональных правозащитных механизмов и взаимодействие с ними, </w:t>
      </w:r>
      <w:bookmarkStart w:id="1" w:name="_GoBack"/>
      <w:bookmarkEnd w:id="1"/>
      <w:r>
        <w:rPr>
          <w:b/>
          <w:bCs/>
        </w:rPr>
        <w:t>а также за координацию и мониторинг последующей деятельности и осуществления на национальном уровне договорных обязательств, равно как и рекомендаций и решений таких механизмов.</w:t>
      </w:r>
      <w:r>
        <w:t xml:space="preserve"> </w:t>
      </w:r>
      <w:r>
        <w:rPr>
          <w:b/>
          <w:bCs/>
        </w:rPr>
        <w:t>Комитет подчеркивает, что подобная структура должна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гражданским обществом.</w:t>
      </w:r>
      <w:r>
        <w:t xml:space="preserve"> </w:t>
      </w:r>
    </w:p>
    <w:p w14:paraId="4F4620D3" w14:textId="77777777" w:rsidR="007052D4" w:rsidRPr="006C1DD3" w:rsidRDefault="00566FE7" w:rsidP="007052D4">
      <w:pPr>
        <w:pStyle w:val="H1G"/>
      </w:pPr>
      <w:r>
        <w:tab/>
      </w:r>
      <w:r w:rsidR="007052D4">
        <w:t>C.</w:t>
      </w:r>
      <w:r w:rsidR="007052D4">
        <w:tab/>
      </w:r>
      <w:r w:rsidR="007052D4">
        <w:rPr>
          <w:bCs/>
        </w:rPr>
        <w:t>Следующий доклад</w:t>
      </w:r>
    </w:p>
    <w:p w14:paraId="50661EB6" w14:textId="77777777" w:rsidR="007052D4" w:rsidRPr="006C1DD3" w:rsidRDefault="007052D4" w:rsidP="007052D4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предлагает государству-участнику представить свой шестой периодический доклад к 5 июля 2025 года и включить в него информацию о последующих мерах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(см. 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 w:rsidR="00566FE7">
        <w:br/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</w:p>
    <w:p w14:paraId="78B500B5" w14:textId="77777777" w:rsidR="007052D4" w:rsidRPr="006C1DD3" w:rsidRDefault="007052D4" w:rsidP="007052D4">
      <w:pPr>
        <w:pStyle w:val="SingleTxtG"/>
        <w:rPr>
          <w:b/>
          <w:bCs/>
        </w:rPr>
      </w:pPr>
      <w:r>
        <w:lastRenderedPageBreak/>
        <w:t>58.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 (HRI/GEN/2/Rev.6, глава I), и в соответствии с пунктом 16</w:t>
      </w:r>
      <w:r w:rsidR="00566FE7">
        <w:rPr>
          <w:b/>
          <w:bCs/>
        </w:rPr>
        <w:br/>
      </w:r>
      <w:r>
        <w:rPr>
          <w:b/>
          <w:bCs/>
        </w:rPr>
        <w:t>резолюции 68/268 Генеральной Ассамблеи.</w:t>
      </w:r>
    </w:p>
    <w:p w14:paraId="52E922BA" w14:textId="77777777" w:rsidR="007052D4" w:rsidRPr="006C1DD3" w:rsidRDefault="007052D4" w:rsidP="007052D4">
      <w:pPr>
        <w:pStyle w:val="SingleTxtG"/>
        <w:spacing w:before="240" w:after="0"/>
        <w:jc w:val="center"/>
        <w:rPr>
          <w:b/>
          <w:bCs/>
        </w:rPr>
      </w:pPr>
      <w:r w:rsidRPr="006C1DD3">
        <w:rPr>
          <w:u w:val="single"/>
        </w:rPr>
        <w:tab/>
      </w:r>
      <w:r w:rsidRPr="006C1DD3">
        <w:rPr>
          <w:u w:val="single"/>
        </w:rPr>
        <w:tab/>
      </w:r>
      <w:r w:rsidRPr="006C1DD3">
        <w:rPr>
          <w:u w:val="single"/>
        </w:rPr>
        <w:tab/>
      </w:r>
      <w:r w:rsidR="00566FE7">
        <w:rPr>
          <w:u w:val="single"/>
        </w:rPr>
        <w:tab/>
      </w:r>
    </w:p>
    <w:sectPr w:rsidR="007052D4" w:rsidRPr="006C1DD3" w:rsidSect="007052D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F82F" w14:textId="77777777" w:rsidR="009C3BA9" w:rsidRPr="00A312BC" w:rsidRDefault="009C3BA9" w:rsidP="00A312BC"/>
  </w:endnote>
  <w:endnote w:type="continuationSeparator" w:id="0">
    <w:p w14:paraId="4EA706FE" w14:textId="77777777" w:rsidR="009C3BA9" w:rsidRPr="00A312BC" w:rsidRDefault="009C3B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4CE" w14:textId="77777777" w:rsidR="007052D4" w:rsidRPr="007052D4" w:rsidRDefault="007052D4">
    <w:pPr>
      <w:pStyle w:val="a8"/>
    </w:pPr>
    <w:r w:rsidRPr="007052D4">
      <w:rPr>
        <w:b/>
        <w:sz w:val="18"/>
      </w:rPr>
      <w:fldChar w:fldCharType="begin"/>
    </w:r>
    <w:r w:rsidRPr="007052D4">
      <w:rPr>
        <w:b/>
        <w:sz w:val="18"/>
      </w:rPr>
      <w:instrText xml:space="preserve"> PAGE  \* MERGEFORMAT </w:instrText>
    </w:r>
    <w:r w:rsidRPr="007052D4">
      <w:rPr>
        <w:b/>
        <w:sz w:val="18"/>
      </w:rPr>
      <w:fldChar w:fldCharType="separate"/>
    </w:r>
    <w:r w:rsidRPr="007052D4">
      <w:rPr>
        <w:b/>
        <w:noProof/>
        <w:sz w:val="18"/>
      </w:rPr>
      <w:t>2</w:t>
    </w:r>
    <w:r w:rsidRPr="007052D4">
      <w:rPr>
        <w:b/>
        <w:sz w:val="18"/>
      </w:rPr>
      <w:fldChar w:fldCharType="end"/>
    </w:r>
    <w:r>
      <w:rPr>
        <w:b/>
        <w:sz w:val="18"/>
      </w:rPr>
      <w:tab/>
    </w:r>
    <w:r>
      <w:t>GE.20-05061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39F8" w14:textId="77777777" w:rsidR="007052D4" w:rsidRPr="007052D4" w:rsidRDefault="007052D4" w:rsidP="007052D4">
    <w:pPr>
      <w:pStyle w:val="a8"/>
      <w:tabs>
        <w:tab w:val="clear" w:pos="9639"/>
        <w:tab w:val="right" w:pos="9638"/>
      </w:tabs>
      <w:rPr>
        <w:b/>
        <w:sz w:val="18"/>
      </w:rPr>
    </w:pPr>
    <w:r>
      <w:t>GE.20-05061</w:t>
    </w:r>
    <w:r>
      <w:tab/>
    </w:r>
    <w:r w:rsidRPr="007052D4">
      <w:rPr>
        <w:b/>
        <w:sz w:val="18"/>
      </w:rPr>
      <w:fldChar w:fldCharType="begin"/>
    </w:r>
    <w:r w:rsidRPr="007052D4">
      <w:rPr>
        <w:b/>
        <w:sz w:val="18"/>
      </w:rPr>
      <w:instrText xml:space="preserve"> PAGE  \* MERGEFORMAT </w:instrText>
    </w:r>
    <w:r w:rsidRPr="007052D4">
      <w:rPr>
        <w:b/>
        <w:sz w:val="18"/>
      </w:rPr>
      <w:fldChar w:fldCharType="separate"/>
    </w:r>
    <w:r w:rsidRPr="007052D4">
      <w:rPr>
        <w:b/>
        <w:noProof/>
        <w:sz w:val="18"/>
      </w:rPr>
      <w:t>3</w:t>
    </w:r>
    <w:r w:rsidRPr="007052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4581" w14:textId="77777777" w:rsidR="00042B72" w:rsidRPr="007052D4" w:rsidRDefault="007052D4" w:rsidP="007052D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F908A0" wp14:editId="34CCD9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20-05061  (R)  </w:t>
    </w:r>
    <w:r>
      <w:rPr>
        <w:lang w:val="fr-CH"/>
      </w:rPr>
      <w:t>160420  210420</w:t>
    </w:r>
    <w:r>
      <w:br/>
    </w:r>
    <w:r w:rsidRPr="007052D4">
      <w:rPr>
        <w:rFonts w:ascii="C39T30Lfz" w:hAnsi="C39T30Lfz"/>
        <w:kern w:val="14"/>
        <w:sz w:val="56"/>
      </w:rPr>
      <w:t></w:t>
    </w:r>
    <w:r w:rsidRPr="007052D4">
      <w:rPr>
        <w:rFonts w:ascii="C39T30Lfz" w:hAnsi="C39T30Lfz"/>
        <w:kern w:val="14"/>
        <w:sz w:val="56"/>
      </w:rPr>
      <w:t></w:t>
    </w:r>
    <w:r w:rsidRPr="007052D4">
      <w:rPr>
        <w:rFonts w:ascii="C39T30Lfz" w:hAnsi="C39T30Lfz"/>
        <w:kern w:val="14"/>
        <w:sz w:val="56"/>
      </w:rPr>
      <w:t></w:t>
    </w:r>
    <w:r w:rsidRPr="007052D4">
      <w:rPr>
        <w:rFonts w:ascii="C39T30Lfz" w:hAnsi="C39T30Lfz"/>
        <w:kern w:val="14"/>
        <w:sz w:val="56"/>
      </w:rPr>
      <w:t></w:t>
    </w:r>
    <w:r w:rsidRPr="007052D4">
      <w:rPr>
        <w:rFonts w:ascii="C39T30Lfz" w:hAnsi="C39T30Lfz"/>
        <w:kern w:val="14"/>
        <w:sz w:val="56"/>
      </w:rPr>
      <w:t></w:t>
    </w:r>
    <w:r w:rsidRPr="007052D4">
      <w:rPr>
        <w:rFonts w:ascii="C39T30Lfz" w:hAnsi="C39T30Lfz"/>
        <w:kern w:val="14"/>
        <w:sz w:val="56"/>
      </w:rPr>
      <w:t></w:t>
    </w:r>
    <w:r w:rsidRPr="007052D4">
      <w:rPr>
        <w:rFonts w:ascii="C39T30Lfz" w:hAnsi="C39T30Lfz"/>
        <w:kern w:val="14"/>
        <w:sz w:val="56"/>
      </w:rPr>
      <w:t></w:t>
    </w:r>
    <w:r w:rsidRPr="007052D4">
      <w:rPr>
        <w:rFonts w:ascii="C39T30Lfz" w:hAnsi="C39T30Lfz"/>
        <w:kern w:val="14"/>
        <w:sz w:val="56"/>
      </w:rPr>
      <w:t></w:t>
    </w:r>
    <w:r w:rsidRPr="007052D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4FEDFF" wp14:editId="2E6A52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COK/CO/2-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COK/CO/2-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8073" w14:textId="77777777" w:rsidR="009C3BA9" w:rsidRPr="001075E9" w:rsidRDefault="009C3B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025145" w14:textId="77777777" w:rsidR="009C3BA9" w:rsidRDefault="009C3B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F017FE" w14:textId="77777777" w:rsidR="007052D4" w:rsidRPr="006C1DD3" w:rsidRDefault="007052D4" w:rsidP="007052D4">
      <w:pPr>
        <w:pStyle w:val="ad"/>
        <w:spacing w:after="240"/>
      </w:pPr>
      <w:r>
        <w:tab/>
        <w:t>*</w:t>
      </w:r>
      <w:r>
        <w:tab/>
        <w:t>Приняты Комитетом на его восемьдесят четвертой внеочередной сессии (2</w:t>
      </w:r>
      <w:r w:rsidRPr="00621E87">
        <w:t>‒</w:t>
      </w:r>
      <w:r>
        <w:t>6 марта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160E" w14:textId="1B54C7F1" w:rsidR="007052D4" w:rsidRPr="007052D4" w:rsidRDefault="007052D4">
    <w:pPr>
      <w:pStyle w:val="a5"/>
    </w:pPr>
    <w:fldSimple w:instr=" TITLE  \* MERGEFORMAT ">
      <w:r w:rsidR="008F5DD7">
        <w:t>CRC/C/COK/CO/2-5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CF3A" w14:textId="426D31A5" w:rsidR="007052D4" w:rsidRPr="007052D4" w:rsidRDefault="007052D4" w:rsidP="007052D4">
    <w:pPr>
      <w:pStyle w:val="a5"/>
      <w:jc w:val="right"/>
    </w:pPr>
    <w:fldSimple w:instr=" TITLE  \* MERGEFORMAT ">
      <w:r w:rsidR="008F5DD7">
        <w:t>CRC/C/COK/CO/2-5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A9"/>
    <w:rsid w:val="00033EE1"/>
    <w:rsid w:val="00042B72"/>
    <w:rsid w:val="000558BD"/>
    <w:rsid w:val="000B13AF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4339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33867"/>
    <w:rsid w:val="00452493"/>
    <w:rsid w:val="00453318"/>
    <w:rsid w:val="00454E07"/>
    <w:rsid w:val="00472C5C"/>
    <w:rsid w:val="004E7C2D"/>
    <w:rsid w:val="0050108D"/>
    <w:rsid w:val="00513081"/>
    <w:rsid w:val="00517901"/>
    <w:rsid w:val="00526683"/>
    <w:rsid w:val="00566FE7"/>
    <w:rsid w:val="005709E0"/>
    <w:rsid w:val="00572E19"/>
    <w:rsid w:val="005961C8"/>
    <w:rsid w:val="005D7914"/>
    <w:rsid w:val="005E2B41"/>
    <w:rsid w:val="005F0B42"/>
    <w:rsid w:val="00654AB1"/>
    <w:rsid w:val="00661FA3"/>
    <w:rsid w:val="00681A10"/>
    <w:rsid w:val="006A1ED8"/>
    <w:rsid w:val="006C2031"/>
    <w:rsid w:val="006D461A"/>
    <w:rsid w:val="006F35EE"/>
    <w:rsid w:val="007021FF"/>
    <w:rsid w:val="007052D4"/>
    <w:rsid w:val="00712895"/>
    <w:rsid w:val="00757357"/>
    <w:rsid w:val="0078323D"/>
    <w:rsid w:val="007B4656"/>
    <w:rsid w:val="007E6A77"/>
    <w:rsid w:val="00806737"/>
    <w:rsid w:val="00825F8D"/>
    <w:rsid w:val="00834B71"/>
    <w:rsid w:val="0086445C"/>
    <w:rsid w:val="00894693"/>
    <w:rsid w:val="008A08AA"/>
    <w:rsid w:val="008A08D7"/>
    <w:rsid w:val="008B6909"/>
    <w:rsid w:val="008F5DD7"/>
    <w:rsid w:val="00906890"/>
    <w:rsid w:val="00911BE4"/>
    <w:rsid w:val="00951972"/>
    <w:rsid w:val="009608F3"/>
    <w:rsid w:val="009A24AC"/>
    <w:rsid w:val="009C3BA9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E4A67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E5CEA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C3ECFF"/>
  <w15:docId w15:val="{00E56486-28C6-44E2-A0F6-7FDEA1D2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14</Pages>
  <Words>4850</Words>
  <Characters>33322</Characters>
  <Application>Microsoft Office Word</Application>
  <DocSecurity>0</DocSecurity>
  <Lines>4760</Lines>
  <Paragraphs>1468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CRC/C/COK/CO/2-5</vt:lpstr>
      <vt:lpstr>A/</vt:lpstr>
      <vt:lpstr>A/</vt:lpstr>
    </vt:vector>
  </TitlesOfParts>
  <Company>DCM</Company>
  <LinksUpToDate>false</LinksUpToDate>
  <CharactersWithSpaces>36704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CRC/C/COK/CO/2-5</dc:title>
  <dc:subject/>
  <dc:creator>Anna KISSELEVA</dc:creator>
  <cp:keywords/>
  <cp:lastModifiedBy>Anna Kisseleva</cp:lastModifiedBy>
  <cp:revision>3</cp:revision>
  <cp:lastPrinted>2020-04-21T13:10:00Z</cp:lastPrinted>
  <dcterms:created xsi:type="dcterms:W3CDTF">2020-04-21T13:10:00Z</dcterms:created>
  <dcterms:modified xsi:type="dcterms:W3CDTF">2020-04-21T13:11:00Z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