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EC7A38" w:rsidP="000B4AAB">
            <w:pPr>
              <w:jc w:val="right"/>
            </w:pPr>
            <w:r w:rsidRPr="00EC7A38">
              <w:rPr>
                <w:sz w:val="40"/>
              </w:rPr>
              <w:t>CCPR</w:t>
            </w:r>
            <w:r>
              <w:t>/C/SWE/QPR/7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930269"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8C5E3B" w:rsidRDefault="00B56E9C" w:rsidP="00267F5F">
            <w:pPr>
              <w:spacing w:before="120" w:line="380" w:lineRule="exact"/>
              <w:rPr>
                <w:sz w:val="34"/>
              </w:rPr>
            </w:pPr>
            <w:r w:rsidRPr="008C5E3B">
              <w:rPr>
                <w:b/>
                <w:sz w:val="34"/>
                <w:szCs w:val="40"/>
              </w:rPr>
              <w:t xml:space="preserve">International </w:t>
            </w:r>
            <w:r w:rsidR="00060C3A" w:rsidRPr="008C5E3B">
              <w:rPr>
                <w:b/>
                <w:sz w:val="34"/>
                <w:szCs w:val="40"/>
              </w:rPr>
              <w:t>Covenant on</w:t>
            </w:r>
            <w:r w:rsidR="00060C3A" w:rsidRPr="008C5E3B">
              <w:rPr>
                <w:b/>
                <w:sz w:val="34"/>
                <w:szCs w:val="40"/>
              </w:rPr>
              <w:br/>
              <w:t>Civil and Political R</w:t>
            </w:r>
            <w:r w:rsidR="00703577" w:rsidRPr="008C5E3B">
              <w:rPr>
                <w:b/>
                <w:sz w:val="34"/>
                <w:szCs w:val="40"/>
              </w:rPr>
              <w:t>ights</w:t>
            </w:r>
          </w:p>
        </w:tc>
        <w:tc>
          <w:tcPr>
            <w:tcW w:w="2835" w:type="dxa"/>
            <w:tcBorders>
              <w:top w:val="single" w:sz="4" w:space="0" w:color="auto"/>
              <w:bottom w:val="single" w:sz="12" w:space="0" w:color="auto"/>
            </w:tcBorders>
          </w:tcPr>
          <w:p w:rsidR="00B56E9C" w:rsidRPr="008C5E3B" w:rsidRDefault="00EC7A38" w:rsidP="00EC7A38">
            <w:pPr>
              <w:spacing w:before="240" w:line="240" w:lineRule="exact"/>
            </w:pPr>
            <w:r w:rsidRPr="008C5E3B">
              <w:t xml:space="preserve">Distr.: </w:t>
            </w:r>
            <w:r w:rsidR="000B4AAB" w:rsidRPr="008C5E3B">
              <w:t>General</w:t>
            </w:r>
          </w:p>
          <w:p w:rsidR="00EC7A38" w:rsidRPr="008C5E3B" w:rsidRDefault="008C5E3B" w:rsidP="008C5E3B">
            <w:pPr>
              <w:spacing w:line="240" w:lineRule="exact"/>
            </w:pPr>
            <w:r>
              <w:t>2</w:t>
            </w:r>
            <w:r w:rsidR="00F04C3F">
              <w:t>4</w:t>
            </w:r>
            <w:r w:rsidR="003165E5" w:rsidRPr="008C5E3B">
              <w:t xml:space="preserve"> April</w:t>
            </w:r>
            <w:r w:rsidR="00EC7A38" w:rsidRPr="008C5E3B">
              <w:t xml:space="preserve"> 2014</w:t>
            </w:r>
          </w:p>
          <w:p w:rsidR="00EC7A38" w:rsidRPr="008C5E3B" w:rsidRDefault="00EC7A38" w:rsidP="00EC7A38">
            <w:pPr>
              <w:spacing w:line="240" w:lineRule="exact"/>
            </w:pPr>
          </w:p>
          <w:p w:rsidR="00EC7A38" w:rsidRPr="008C5E3B" w:rsidRDefault="00EC7A38" w:rsidP="00EC7A38">
            <w:pPr>
              <w:spacing w:line="240" w:lineRule="exact"/>
            </w:pPr>
            <w:r w:rsidRPr="008C5E3B">
              <w:t>Original: English</w:t>
            </w:r>
          </w:p>
        </w:tc>
      </w:tr>
    </w:tbl>
    <w:p w:rsidR="00EC7A38" w:rsidRDefault="00EC7A38" w:rsidP="00EC7A38">
      <w:pPr>
        <w:autoSpaceDE w:val="0"/>
        <w:autoSpaceDN w:val="0"/>
        <w:adjustRightInd w:val="0"/>
        <w:spacing w:before="120"/>
        <w:rPr>
          <w:b/>
          <w:bCs/>
          <w:sz w:val="24"/>
          <w:szCs w:val="24"/>
        </w:rPr>
      </w:pPr>
      <w:r>
        <w:rPr>
          <w:b/>
          <w:bCs/>
          <w:sz w:val="24"/>
          <w:szCs w:val="24"/>
        </w:rPr>
        <w:t>Human Rights Committee</w:t>
      </w:r>
    </w:p>
    <w:p w:rsidR="00EC7A38" w:rsidRDefault="00EC7A38" w:rsidP="008B6202">
      <w:pPr>
        <w:pStyle w:val="HChG"/>
      </w:pPr>
      <w:r>
        <w:tab/>
      </w:r>
      <w:r>
        <w:tab/>
        <w:t>List of issue</w:t>
      </w:r>
      <w:r w:rsidRPr="002A792A">
        <w:t>s prior to s</w:t>
      </w:r>
      <w:r>
        <w:t xml:space="preserve">ubmission of the seventh periodic report of </w:t>
      </w:r>
      <w:smartTag w:uri="urn:schemas-microsoft-com:office:smarttags" w:element="country-region">
        <w:smartTag w:uri="urn:schemas-microsoft-com:office:smarttags" w:element="place">
          <w:r>
            <w:t>Sweden</w:t>
          </w:r>
        </w:smartTag>
      </w:smartTag>
      <w:r w:rsidR="00B30285" w:rsidRPr="00B30285">
        <w:rPr>
          <w:rStyle w:val="FootnoteReference"/>
          <w:b w:val="0"/>
          <w:bCs/>
          <w:sz w:val="20"/>
          <w:vertAlign w:val="baseline"/>
        </w:rPr>
        <w:footnoteReference w:customMarkFollows="1" w:id="2"/>
        <w:t>*</w:t>
      </w:r>
    </w:p>
    <w:tbl>
      <w:tblPr>
        <w:tblW w:w="0" w:type="auto"/>
        <w:jc w:val="center"/>
        <w:tblBorders>
          <w:left w:val="single" w:sz="4" w:space="0" w:color="auto"/>
          <w:right w:val="single" w:sz="4" w:space="0" w:color="auto"/>
        </w:tblBorders>
        <w:tblLayout w:type="fixed"/>
        <w:tblCellMar>
          <w:left w:w="0" w:type="dxa"/>
          <w:right w:w="0" w:type="dxa"/>
        </w:tblCellMar>
        <w:tblLook w:val="04A0"/>
      </w:tblPr>
      <w:tblGrid>
        <w:gridCol w:w="7654"/>
      </w:tblGrid>
      <w:tr w:rsidR="00EC7A38" w:rsidTr="00930269">
        <w:trPr>
          <w:trHeight w:val="240"/>
          <w:jc w:val="center"/>
        </w:trPr>
        <w:tc>
          <w:tcPr>
            <w:tcW w:w="7654" w:type="dxa"/>
            <w:tcBorders>
              <w:top w:val="single" w:sz="4" w:space="0" w:color="auto"/>
              <w:left w:val="single" w:sz="4" w:space="0" w:color="auto"/>
              <w:bottom w:val="nil"/>
              <w:right w:val="single" w:sz="4" w:space="0" w:color="auto"/>
            </w:tcBorders>
          </w:tcPr>
          <w:p w:rsidR="00EC7A38" w:rsidRDefault="00EC7A38" w:rsidP="00B30285">
            <w:pPr>
              <w:suppressAutoHyphens w:val="0"/>
              <w:spacing w:line="240" w:lineRule="auto"/>
            </w:pPr>
          </w:p>
        </w:tc>
      </w:tr>
      <w:tr w:rsidR="00EC7A38" w:rsidTr="00930269">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tcPr>
          <w:p w:rsidR="00EC7A38" w:rsidRDefault="00EC7A38" w:rsidP="00B30285">
            <w:pPr>
              <w:spacing w:after="120"/>
              <w:ind w:firstLine="567"/>
              <w:jc w:val="both"/>
            </w:pPr>
            <w:r>
              <w:t>The Human Rights Committee, at its ninety-seventh sess</w:t>
            </w:r>
            <w:r w:rsidR="00B30285">
              <w:t>ion (A/65/40 (Vol. </w:t>
            </w:r>
            <w:r>
              <w:t>I), para.</w:t>
            </w:r>
            <w:r w:rsidR="00B30285">
              <w:t> </w:t>
            </w:r>
            <w:r>
              <w:t>40), established an optional procedure which consists in the preparation and adoption of a list of issues to be transmitted to the State party concerned prior to the submission of its periodic report. The replies of the State party to this list of issues will constitute its report under article 40 of the Covenant.</w:t>
            </w:r>
          </w:p>
        </w:tc>
      </w:tr>
      <w:tr w:rsidR="00EC7A38" w:rsidTr="00930269">
        <w:trPr>
          <w:trHeight w:val="20"/>
          <w:jc w:val="center"/>
        </w:trPr>
        <w:tc>
          <w:tcPr>
            <w:tcW w:w="7654" w:type="dxa"/>
            <w:tcBorders>
              <w:top w:val="nil"/>
              <w:left w:val="single" w:sz="4" w:space="0" w:color="auto"/>
              <w:bottom w:val="single" w:sz="4" w:space="0" w:color="auto"/>
              <w:right w:val="single" w:sz="4" w:space="0" w:color="auto"/>
            </w:tcBorders>
          </w:tcPr>
          <w:p w:rsidR="00EC7A38" w:rsidRDefault="00EC7A38" w:rsidP="00930269">
            <w:pPr>
              <w:suppressAutoHyphens w:val="0"/>
              <w:spacing w:line="240" w:lineRule="auto"/>
            </w:pPr>
          </w:p>
        </w:tc>
      </w:tr>
    </w:tbl>
    <w:p w:rsidR="00EC7A38" w:rsidRDefault="00EC7A38" w:rsidP="00EC7A38">
      <w:pPr>
        <w:pStyle w:val="H1G"/>
        <w:rPr>
          <w:sz w:val="28"/>
          <w:szCs w:val="28"/>
        </w:rPr>
      </w:pPr>
      <w:r>
        <w:tab/>
      </w:r>
      <w:r>
        <w:tab/>
        <w:t>General information on the national human rights situation, including new measures and developments relating to the implementation of the Covenant</w:t>
      </w:r>
    </w:p>
    <w:p w:rsidR="00EC7A38" w:rsidRPr="00DC6664" w:rsidRDefault="00D360A9" w:rsidP="00DC45D0">
      <w:pPr>
        <w:pStyle w:val="SingleTxtG"/>
        <w:numPr>
          <w:ilvl w:val="0"/>
          <w:numId w:val="3"/>
        </w:numPr>
        <w:tabs>
          <w:tab w:val="clear" w:pos="2835"/>
        </w:tabs>
        <w:ind w:left="1134"/>
      </w:pPr>
      <w:r>
        <w:rPr>
          <w:noProof/>
          <w:lang w:val="en-US" w:eastAsia="ja-JP"/>
        </w:rPr>
        <w:pict>
          <v:shape id="_x0000_s1026" type="#_x0000_t75" style="position:absolute;left:0;text-align:left;margin-left:432.55pt;margin-top:623.6pt;width:50.25pt;height:50.25pt;z-index:1;mso-position-horizontal-relative:margin;mso-position-vertical-relative:margin" o:allowoverlap="f">
            <v:imagedata r:id="rId8" o:title="7&amp;Size=2 &amp;Lang=E"/>
            <w10:wrap anchorx="margin" anchory="margin"/>
          </v:shape>
        </w:pict>
      </w:r>
      <w:r w:rsidR="00EC7A38" w:rsidRPr="00DC6664">
        <w:t xml:space="preserve">Please provide detailed information on: </w:t>
      </w:r>
    </w:p>
    <w:p w:rsidR="00EC7A38" w:rsidRPr="00DC6664" w:rsidRDefault="00EC7A38" w:rsidP="00FF0559">
      <w:pPr>
        <w:pStyle w:val="SingleTxtG"/>
        <w:ind w:firstLine="567"/>
      </w:pPr>
      <w:r w:rsidRPr="00DC6664">
        <w:t>(a)</w:t>
      </w:r>
      <w:r w:rsidRPr="00DC6664">
        <w:tab/>
        <w:t xml:space="preserve">Any significant developments in the legal and institutional framework within </w:t>
      </w:r>
      <w:r w:rsidRPr="00111C77">
        <w:t>which human rights are promoted and protected at the national level that have taken place since the previous periodic report, including any relevant case law through which the Covenant has been applied or used as a tool to interpret domestic law by Swedish courts</w:t>
      </w:r>
      <w:r w:rsidR="004B300C" w:rsidRPr="00111C77">
        <w:t>;</w:t>
      </w:r>
      <w:r w:rsidRPr="00DC6664">
        <w:t xml:space="preserve"> </w:t>
      </w:r>
    </w:p>
    <w:p w:rsidR="00EC7A38" w:rsidRPr="00DC6664" w:rsidRDefault="00EC7A38" w:rsidP="00427E2E">
      <w:pPr>
        <w:pStyle w:val="SingleTxtG"/>
        <w:ind w:firstLine="567"/>
      </w:pPr>
      <w:r w:rsidRPr="00DC6664">
        <w:t>(</w:t>
      </w:r>
      <w:r w:rsidR="007A1F2C">
        <w:t>b</w:t>
      </w:r>
      <w:r w:rsidRPr="00DC6664">
        <w:t>)</w:t>
      </w:r>
      <w:r w:rsidRPr="00DC6664">
        <w:tab/>
        <w:t>Significant political and administrative measures adopted since the previous report to promote and protect human rights under the Covenant, and the resources allocated theret</w:t>
      </w:r>
      <w:r w:rsidRPr="00793400">
        <w:t xml:space="preserve">o, </w:t>
      </w:r>
      <w:r w:rsidR="00427E2E">
        <w:t xml:space="preserve">and </w:t>
      </w:r>
      <w:r w:rsidRPr="00793400">
        <w:t>their ob</w:t>
      </w:r>
      <w:r w:rsidRPr="00DC6664">
        <w:t>jectives and results</w:t>
      </w:r>
      <w:r w:rsidR="004B300C">
        <w:t>; and</w:t>
      </w:r>
      <w:r w:rsidRPr="00DC6664">
        <w:t xml:space="preserve"> </w:t>
      </w:r>
    </w:p>
    <w:p w:rsidR="00EC7A38" w:rsidRPr="008962EA" w:rsidRDefault="00DC6664" w:rsidP="00E7217F">
      <w:pPr>
        <w:pStyle w:val="SingleTxtG"/>
        <w:ind w:firstLine="567"/>
      </w:pPr>
      <w:r>
        <w:t>(</w:t>
      </w:r>
      <w:r w:rsidR="007A1F2C">
        <w:t>c</w:t>
      </w:r>
      <w:r>
        <w:t>)</w:t>
      </w:r>
      <w:r w:rsidR="00EC7A38">
        <w:tab/>
        <w:t xml:space="preserve">Steps </w:t>
      </w:r>
      <w:r w:rsidR="00EC7A38" w:rsidRPr="005B31AA">
        <w:t>taken to establish a mechanism to consistently ensure the compatibility of domestic law, at all levels of government, with the Covenant</w:t>
      </w:r>
      <w:r w:rsidR="00EC7A38">
        <w:t xml:space="preserve">, and </w:t>
      </w:r>
      <w:r w:rsidR="00E7217F">
        <w:t>particularly on</w:t>
      </w:r>
      <w:r w:rsidR="00EC7A38">
        <w:t xml:space="preserve"> the strategies to ensure that all rights protected under the Covenant are observed in practice and in principle in the law of the State party (CCPR/C/SWE/CO/6, para. 5). </w:t>
      </w:r>
    </w:p>
    <w:p w:rsidR="00EC7A38" w:rsidRPr="00285CAC" w:rsidRDefault="00EC7A38" w:rsidP="00EC7A38">
      <w:pPr>
        <w:pStyle w:val="H1G"/>
        <w:rPr>
          <w:rFonts w:eastAsia="SimSun"/>
          <w:lang w:eastAsia="zh-CN"/>
        </w:rPr>
      </w:pPr>
      <w:r>
        <w:rPr>
          <w:rFonts w:eastAsia="SimSun"/>
          <w:lang w:eastAsia="zh-CN"/>
        </w:rPr>
        <w:tab/>
      </w:r>
      <w:r>
        <w:rPr>
          <w:rFonts w:eastAsia="SimSun"/>
          <w:lang w:eastAsia="zh-CN"/>
        </w:rPr>
        <w:tab/>
      </w:r>
      <w:r w:rsidRPr="00CD4904">
        <w:rPr>
          <w:rFonts w:eastAsia="SimSun"/>
          <w:lang w:eastAsia="zh-CN"/>
        </w:rPr>
        <w:t>Specif</w:t>
      </w:r>
      <w:r w:rsidRPr="00285CAC">
        <w:rPr>
          <w:rFonts w:eastAsia="SimSun"/>
          <w:lang w:eastAsia="zh-CN"/>
        </w:rPr>
        <w:t xml:space="preserve">ic information on the implementation of articles 1 to 27 of the </w:t>
      </w:r>
      <w:r>
        <w:rPr>
          <w:rFonts w:eastAsia="SimSun"/>
          <w:lang w:eastAsia="zh-CN"/>
        </w:rPr>
        <w:t>C</w:t>
      </w:r>
      <w:r w:rsidRPr="00285CAC">
        <w:rPr>
          <w:rFonts w:eastAsia="SimSun"/>
          <w:lang w:eastAsia="zh-CN"/>
        </w:rPr>
        <w:t xml:space="preserve">ovenant, </w:t>
      </w:r>
      <w:r w:rsidRPr="00285CAC">
        <w:t>including</w:t>
      </w:r>
      <w:r w:rsidRPr="00285CAC">
        <w:rPr>
          <w:rFonts w:eastAsia="SimSun"/>
          <w:lang w:eastAsia="zh-CN"/>
        </w:rPr>
        <w:t xml:space="preserve"> with reg</w:t>
      </w:r>
      <w:r>
        <w:rPr>
          <w:rFonts w:eastAsia="SimSun"/>
          <w:lang w:eastAsia="zh-CN"/>
        </w:rPr>
        <w:t xml:space="preserve">ard to the previous </w:t>
      </w:r>
      <w:r w:rsidRPr="00285CAC">
        <w:rPr>
          <w:rFonts w:eastAsia="SimSun"/>
          <w:lang w:eastAsia="zh-CN"/>
        </w:rPr>
        <w:t>recommendations</w:t>
      </w:r>
      <w:r w:rsidR="004B300C">
        <w:rPr>
          <w:rFonts w:eastAsia="SimSun"/>
          <w:lang w:eastAsia="zh-CN"/>
        </w:rPr>
        <w:t xml:space="preserve"> of the Committee</w:t>
      </w:r>
    </w:p>
    <w:p w:rsidR="00EC7A38" w:rsidRPr="00CD4904" w:rsidRDefault="00EC7A38" w:rsidP="00DC45D0">
      <w:pPr>
        <w:pStyle w:val="H23G"/>
        <w:rPr>
          <w:lang w:eastAsia="en-GB"/>
        </w:rPr>
      </w:pPr>
      <w:r w:rsidRPr="00285CAC">
        <w:tab/>
      </w:r>
      <w:r w:rsidRPr="00285CAC">
        <w:tab/>
      </w:r>
      <w:r w:rsidRPr="0076652C">
        <w:t>C</w:t>
      </w:r>
      <w:r w:rsidRPr="0076652C">
        <w:rPr>
          <w:lang w:eastAsia="zh-CN"/>
        </w:rPr>
        <w:t>onstitutional and legal framework within which the Covenant is implemented, right</w:t>
      </w:r>
      <w:r w:rsidR="00DC45D0" w:rsidRPr="0076652C">
        <w:rPr>
          <w:lang w:eastAsia="zh-CN"/>
        </w:rPr>
        <w:t> </w:t>
      </w:r>
      <w:r w:rsidRPr="0076652C">
        <w:rPr>
          <w:lang w:eastAsia="zh-CN"/>
        </w:rPr>
        <w:t>to an effective remedy (art. 2)</w:t>
      </w:r>
      <w:r w:rsidRPr="00CD4904">
        <w:t xml:space="preserve"> </w:t>
      </w:r>
    </w:p>
    <w:p w:rsidR="00EC7A38" w:rsidRDefault="00EC7A38" w:rsidP="00DC45D0">
      <w:pPr>
        <w:pStyle w:val="SingleTxtG"/>
        <w:numPr>
          <w:ilvl w:val="0"/>
          <w:numId w:val="3"/>
        </w:numPr>
        <w:tabs>
          <w:tab w:val="clear" w:pos="2835"/>
        </w:tabs>
        <w:ind w:left="1134"/>
      </w:pPr>
      <w:r w:rsidRPr="00CD4904">
        <w:t xml:space="preserve">Please indicate whether the State party envisages </w:t>
      </w:r>
      <w:r>
        <w:t xml:space="preserve">reconsidering its position on </w:t>
      </w:r>
      <w:r w:rsidRPr="00CD4904">
        <w:t xml:space="preserve">withdrawing or reviewing its reservations to article 10, paragraph 3, </w:t>
      </w:r>
      <w:r w:rsidR="0076652C">
        <w:t xml:space="preserve">to </w:t>
      </w:r>
      <w:r w:rsidRPr="00CD4904">
        <w:t xml:space="preserve">article 14, paragraph 7, and </w:t>
      </w:r>
      <w:r w:rsidR="0076652C">
        <w:t xml:space="preserve">to </w:t>
      </w:r>
      <w:r w:rsidRPr="00CD4904">
        <w:t>a</w:t>
      </w:r>
      <w:r w:rsidRPr="00E4112D">
        <w:t>rticle 20, paragraph 1, of the Covenant</w:t>
      </w:r>
      <w:r w:rsidR="0076652C" w:rsidRPr="00E4112D">
        <w:t>.</w:t>
      </w:r>
      <w:r w:rsidRPr="00E4112D">
        <w:t xml:space="preserve"> If not, please explain why it does not intend to do so (CCPR/C/SWE/CO/6, para. 6).</w:t>
      </w:r>
      <w:r w:rsidRPr="00DC6664">
        <w:rPr>
          <w:rStyle w:val="FootnoteReference"/>
        </w:rPr>
        <w:t xml:space="preserve"> </w:t>
      </w:r>
    </w:p>
    <w:p w:rsidR="00EC7A38" w:rsidRPr="00DC6664" w:rsidRDefault="00EC7A38" w:rsidP="00DC45D0">
      <w:pPr>
        <w:pStyle w:val="SingleTxtG"/>
        <w:numPr>
          <w:ilvl w:val="0"/>
          <w:numId w:val="3"/>
        </w:numPr>
        <w:tabs>
          <w:tab w:val="clear" w:pos="2835"/>
        </w:tabs>
        <w:ind w:left="1134"/>
      </w:pPr>
      <w:r w:rsidRPr="00DC6664">
        <w:t>Please provide updated information on:</w:t>
      </w:r>
    </w:p>
    <w:p w:rsidR="00EC7A38" w:rsidRPr="00DC6664" w:rsidRDefault="00EC7A38" w:rsidP="00427E2E">
      <w:pPr>
        <w:pStyle w:val="SingleTxtG"/>
        <w:ind w:firstLine="567"/>
      </w:pPr>
      <w:r w:rsidRPr="00DC6664">
        <w:t>(a)</w:t>
      </w:r>
      <w:r w:rsidRPr="00DC6664">
        <w:tab/>
      </w:r>
      <w:r w:rsidR="00CD49FB">
        <w:t>The e</w:t>
      </w:r>
      <w:r w:rsidRPr="00DC6664">
        <w:t xml:space="preserve">ffects of the consolidation of the Ombudsman’s mandate </w:t>
      </w:r>
      <w:r w:rsidR="00427E2E">
        <w:t>as of</w:t>
      </w:r>
      <w:r w:rsidR="00427E2E">
        <w:br/>
      </w:r>
      <w:r w:rsidRPr="00DC6664">
        <w:t xml:space="preserve">1 January 2009, </w:t>
      </w:r>
      <w:r w:rsidR="00CD49FB">
        <w:t xml:space="preserve">the </w:t>
      </w:r>
      <w:r w:rsidRPr="00DC6664">
        <w:t>steps taken to strength</w:t>
      </w:r>
      <w:r w:rsidRPr="00CF2054">
        <w:t>en</w:t>
      </w:r>
      <w:r w:rsidR="00427E2E">
        <w:t xml:space="preserve"> her or his</w:t>
      </w:r>
      <w:r w:rsidRPr="00CF2054">
        <w:t xml:space="preserve"> independence and mand</w:t>
      </w:r>
      <w:r w:rsidRPr="00DC6664">
        <w:t>ate to offer effective protection against all forms of discrimination</w:t>
      </w:r>
      <w:r w:rsidR="00CD49FB">
        <w:t>,</w:t>
      </w:r>
      <w:r w:rsidRPr="00DC6664">
        <w:t xml:space="preserve"> and the number of cases in which discrimination was established by the Ombudsman</w:t>
      </w:r>
      <w:r w:rsidR="0076652C">
        <w:t>;</w:t>
      </w:r>
      <w:r w:rsidRPr="00DC6664">
        <w:t xml:space="preserve"> </w:t>
      </w:r>
      <w:r w:rsidR="00406F07">
        <w:t>and</w:t>
      </w:r>
    </w:p>
    <w:p w:rsidR="00EC7A38" w:rsidRDefault="00EC7A38" w:rsidP="006D2BF0">
      <w:pPr>
        <w:pStyle w:val="SingleTxtG"/>
        <w:ind w:firstLine="567"/>
      </w:pPr>
      <w:r w:rsidRPr="00DC6664">
        <w:t>(b)</w:t>
      </w:r>
      <w:r w:rsidRPr="00DC6664">
        <w:tab/>
      </w:r>
      <w:r w:rsidR="00CD49FB">
        <w:t>The p</w:t>
      </w:r>
      <w:r w:rsidRPr="00DC6664">
        <w:t xml:space="preserve">rogress made, if any, </w:t>
      </w:r>
      <w:r w:rsidR="00CD49FB">
        <w:t>in establishing</w:t>
      </w:r>
      <w:r w:rsidRPr="00DC6664">
        <w:t xml:space="preserve"> an independent national institution with a broad human rights mandate, </w:t>
      </w:r>
      <w:r w:rsidR="006D2BF0">
        <w:t>which is</w:t>
      </w:r>
      <w:r w:rsidRPr="00DC6664">
        <w:t xml:space="preserve"> provided with adequate financial and human resources, in conformity with the Paris Princ</w:t>
      </w:r>
      <w:r w:rsidRPr="00E4112D">
        <w:t>iples (CCPR/C/SWE/CO/6, para. 4).</w:t>
      </w:r>
      <w:r w:rsidR="00B30285">
        <w:rPr>
          <w:rStyle w:val="FootnoteReference"/>
        </w:rPr>
        <w:t xml:space="preserve"> </w:t>
      </w:r>
    </w:p>
    <w:p w:rsidR="00EC7A38" w:rsidRPr="00DC6664" w:rsidRDefault="00EC7A38" w:rsidP="00BE6897">
      <w:pPr>
        <w:pStyle w:val="SingleTxtG"/>
        <w:numPr>
          <w:ilvl w:val="0"/>
          <w:numId w:val="3"/>
        </w:numPr>
        <w:tabs>
          <w:tab w:val="clear" w:pos="2835"/>
        </w:tabs>
        <w:ind w:left="1134"/>
      </w:pPr>
      <w:r w:rsidRPr="00DC6664">
        <w:t>Please provide information on</w:t>
      </w:r>
      <w:r w:rsidR="00066301">
        <w:t xml:space="preserve"> the </w:t>
      </w:r>
      <w:r w:rsidR="007421B3" w:rsidRPr="00DC6664">
        <w:t xml:space="preserve">procedures and mechanisms </w:t>
      </w:r>
      <w:r w:rsidR="006D2BF0">
        <w:t>that</w:t>
      </w:r>
      <w:r w:rsidR="007421B3">
        <w:t xml:space="preserve"> </w:t>
      </w:r>
      <w:r w:rsidR="007421B3" w:rsidRPr="00DC6664">
        <w:t xml:space="preserve">are in place </w:t>
      </w:r>
      <w:r w:rsidR="006D2BF0">
        <w:t>to</w:t>
      </w:r>
      <w:r w:rsidR="007421B3">
        <w:t xml:space="preserve"> </w:t>
      </w:r>
      <w:r w:rsidRPr="00DC6664">
        <w:t>implement the Committee’s concluding obser</w:t>
      </w:r>
      <w:r w:rsidR="00DC45D0">
        <w:t>vation</w:t>
      </w:r>
      <w:r w:rsidR="00DC45D0" w:rsidRPr="00E4112D">
        <w:t>s (CCPR/C/SWE/CO/6, para. </w:t>
      </w:r>
      <w:r w:rsidRPr="00E4112D">
        <w:t>22)</w:t>
      </w:r>
      <w:r w:rsidR="006D2BF0" w:rsidRPr="00E4112D">
        <w:t xml:space="preserve"> </w:t>
      </w:r>
      <w:r w:rsidR="007421B3" w:rsidRPr="00E4112D">
        <w:t>a</w:t>
      </w:r>
      <w:r w:rsidR="007421B3">
        <w:t>nd</w:t>
      </w:r>
      <w:r w:rsidRPr="00DC6664">
        <w:t xml:space="preserve"> </w:t>
      </w:r>
      <w:r w:rsidR="00F07125">
        <w:t xml:space="preserve">its </w:t>
      </w:r>
      <w:r w:rsidRPr="00DC6664">
        <w:t>Views under t</w:t>
      </w:r>
      <w:r w:rsidRPr="00BE6897">
        <w:t>he Opti</w:t>
      </w:r>
      <w:r w:rsidRPr="00DC6664">
        <w:t>onal Protocol to the Covenant.</w:t>
      </w:r>
      <w:r w:rsidR="00B30285">
        <w:t xml:space="preserve"> </w:t>
      </w:r>
    </w:p>
    <w:p w:rsidR="00EC7A38" w:rsidRPr="00E750D4" w:rsidRDefault="00EC7A38" w:rsidP="00DC6664">
      <w:pPr>
        <w:pStyle w:val="H23G"/>
      </w:pPr>
      <w:r>
        <w:rPr>
          <w:lang w:eastAsia="zh-CN"/>
        </w:rPr>
        <w:tab/>
      </w:r>
      <w:r>
        <w:rPr>
          <w:lang w:eastAsia="zh-CN"/>
        </w:rPr>
        <w:tab/>
      </w:r>
      <w:r w:rsidRPr="00E750D4">
        <w:t>Counter</w:t>
      </w:r>
      <w:r>
        <w:t>-</w:t>
      </w:r>
      <w:r w:rsidRPr="00E750D4">
        <w:t xml:space="preserve">terrorism measures and respect for </w:t>
      </w:r>
      <w:r>
        <w:t>rights</w:t>
      </w:r>
      <w:r w:rsidRPr="003607F9">
        <w:t xml:space="preserve"> </w:t>
      </w:r>
      <w:r w:rsidRPr="00E750D4">
        <w:t>guaranteed in the Covenant</w:t>
      </w:r>
      <w:r>
        <w:t xml:space="preserve"> </w:t>
      </w:r>
      <w:r w:rsidR="00DC45D0">
        <w:t>(arts. </w:t>
      </w:r>
      <w:r w:rsidRPr="00E750D4">
        <w:t>2, 7, 9, 14</w:t>
      </w:r>
      <w:r>
        <w:t xml:space="preserve">, 17 </w:t>
      </w:r>
      <w:r w:rsidRPr="00E750D4">
        <w:t>and 26)</w:t>
      </w:r>
    </w:p>
    <w:p w:rsidR="00EC7A38" w:rsidRPr="00DC6664" w:rsidRDefault="00EC7A38" w:rsidP="00DC45D0">
      <w:pPr>
        <w:pStyle w:val="SingleTxtG"/>
        <w:numPr>
          <w:ilvl w:val="0"/>
          <w:numId w:val="3"/>
        </w:numPr>
        <w:tabs>
          <w:tab w:val="clear" w:pos="2835"/>
        </w:tabs>
        <w:ind w:left="1134"/>
      </w:pPr>
      <w:r w:rsidRPr="00DC6664">
        <w:t xml:space="preserve">Please report on the specific measures taken to: </w:t>
      </w:r>
    </w:p>
    <w:p w:rsidR="00EC7A38" w:rsidRPr="00DC6664" w:rsidRDefault="00EC7A38" w:rsidP="00F07125">
      <w:pPr>
        <w:pStyle w:val="SingleTxtG"/>
        <w:ind w:firstLine="567"/>
      </w:pPr>
      <w:r w:rsidRPr="00DC6664">
        <w:t>(a)</w:t>
      </w:r>
      <w:r w:rsidRPr="00DC6664">
        <w:tab/>
        <w:t xml:space="preserve">Ensure that </w:t>
      </w:r>
      <w:r w:rsidR="00F07125">
        <w:t>the State party’s</w:t>
      </w:r>
      <w:r w:rsidR="00F07125" w:rsidRPr="00DC6664">
        <w:t xml:space="preserve"> </w:t>
      </w:r>
      <w:r w:rsidRPr="00DC6664">
        <w:t>counter-terrorism legislation and practices are in full conformity with the provisions of the Covenant, especially articles 9 and 14</w:t>
      </w:r>
      <w:r w:rsidR="00F07125">
        <w:t>;</w:t>
      </w:r>
    </w:p>
    <w:p w:rsidR="00EC7A38" w:rsidRDefault="00EC7A38" w:rsidP="00F07125">
      <w:pPr>
        <w:pStyle w:val="SingleTxtG"/>
        <w:ind w:firstLine="567"/>
      </w:pPr>
      <w:r w:rsidRPr="00DC6664">
        <w:t>(b)</w:t>
      </w:r>
      <w:r w:rsidRPr="00DC6664">
        <w:tab/>
        <w:t>Limit the reported discrepancy between the number of arrests and number of convictions under the Terrorism Act</w:t>
      </w:r>
      <w:r w:rsidR="00F07125">
        <w:t>; and</w:t>
      </w:r>
      <w:r>
        <w:t xml:space="preserve"> </w:t>
      </w:r>
    </w:p>
    <w:p w:rsidR="00EC7A38" w:rsidRDefault="00EC7A38" w:rsidP="00DC45D0">
      <w:pPr>
        <w:pStyle w:val="SingleTxtG"/>
        <w:ind w:firstLine="567"/>
      </w:pPr>
      <w:r>
        <w:t>(c)</w:t>
      </w:r>
      <w:r>
        <w:tab/>
        <w:t>Assess the impact of application of the Terrorism Act, including on minority communities</w:t>
      </w:r>
      <w:r w:rsidR="00F07125">
        <w:t>,</w:t>
      </w:r>
      <w:r>
        <w:t xml:space="preserve"> and in particular to prevent </w:t>
      </w:r>
      <w:r w:rsidR="00F07125">
        <w:t xml:space="preserve">the </w:t>
      </w:r>
      <w:r>
        <w:t>reported police profiling and discrimination in the administration of justice.</w:t>
      </w:r>
      <w:r w:rsidR="00B30285">
        <w:t xml:space="preserve"> </w:t>
      </w:r>
    </w:p>
    <w:p w:rsidR="00EC7A38" w:rsidRDefault="00EC7A38" w:rsidP="00F07125">
      <w:pPr>
        <w:pStyle w:val="SingleTxtG"/>
        <w:numPr>
          <w:ilvl w:val="0"/>
          <w:numId w:val="3"/>
        </w:numPr>
        <w:tabs>
          <w:tab w:val="clear" w:pos="2835"/>
        </w:tabs>
        <w:ind w:left="1134"/>
      </w:pPr>
      <w:r w:rsidRPr="00CD4904">
        <w:t>Please</w:t>
      </w:r>
      <w:r>
        <w:t xml:space="preserve"> provide information about the safeguards to ensure that the gathering, storage and use of personal data pursuant to the 2008 Law on Signals Intelligence in Defence Operations (Surveillance Act) </w:t>
      </w:r>
      <w:r w:rsidR="00F07125">
        <w:t>are</w:t>
      </w:r>
      <w:r>
        <w:t xml:space="preserve"> consistent with </w:t>
      </w:r>
      <w:r w:rsidR="00F07125">
        <w:t xml:space="preserve">the State party’s </w:t>
      </w:r>
      <w:r>
        <w:t>obligations under article 17 of the Covenant. Has the processing and gathering of information been subject to review and supervision by an independent and impartial body (CCPR/C/SWE/CO/6, para. 18)?</w:t>
      </w:r>
      <w:r w:rsidR="00B30285">
        <w:t xml:space="preserve"> </w:t>
      </w:r>
    </w:p>
    <w:p w:rsidR="00EC7A38" w:rsidRPr="0039120C" w:rsidRDefault="00EC7A38" w:rsidP="00DC45D0">
      <w:pPr>
        <w:pStyle w:val="SingleTxtG"/>
        <w:numPr>
          <w:ilvl w:val="0"/>
          <w:numId w:val="3"/>
        </w:numPr>
        <w:tabs>
          <w:tab w:val="clear" w:pos="2835"/>
        </w:tabs>
        <w:ind w:left="1134"/>
      </w:pPr>
      <w:r w:rsidRPr="00CD4904">
        <w:t>Please</w:t>
      </w:r>
      <w:r>
        <w:t xml:space="preserve"> provide updated information on the steps taken to effectively investigate the alleged involvement of the Swedish authorities in rendition and detention programmes, and </w:t>
      </w:r>
      <w:r w:rsidR="00EB12C0">
        <w:t>on any follow-up measures</w:t>
      </w:r>
      <w:r>
        <w:t>.</w:t>
      </w:r>
    </w:p>
    <w:p w:rsidR="00EC7A38" w:rsidRPr="00545404" w:rsidRDefault="00EC7A38" w:rsidP="00DC6664">
      <w:pPr>
        <w:pStyle w:val="H23G"/>
        <w:rPr>
          <w:lang w:eastAsia="zh-CN"/>
        </w:rPr>
      </w:pPr>
      <w:r>
        <w:rPr>
          <w:lang w:eastAsia="zh-CN"/>
        </w:rPr>
        <w:tab/>
      </w:r>
      <w:r>
        <w:rPr>
          <w:lang w:eastAsia="zh-CN"/>
        </w:rPr>
        <w:tab/>
        <w:t>P</w:t>
      </w:r>
      <w:r w:rsidRPr="00285CAC">
        <w:rPr>
          <w:lang w:eastAsia="zh-CN"/>
        </w:rPr>
        <w:t>rohibition of torture and of other cruel, inhuman or degrading treatment or punishment</w:t>
      </w:r>
      <w:r w:rsidR="00677A36">
        <w:rPr>
          <w:lang w:eastAsia="zh-CN"/>
        </w:rPr>
        <w:t xml:space="preserve">, </w:t>
      </w:r>
      <w:r>
        <w:rPr>
          <w:lang w:eastAsia="zh-CN"/>
        </w:rPr>
        <w:t>t</w:t>
      </w:r>
      <w:r w:rsidRPr="00CD4904">
        <w:rPr>
          <w:lang w:eastAsia="zh-CN"/>
        </w:rPr>
        <w:t>reatment of persons deprived of their liberty</w:t>
      </w:r>
      <w:r w:rsidR="00677A36">
        <w:rPr>
          <w:lang w:eastAsia="zh-CN"/>
        </w:rPr>
        <w:t>,</w:t>
      </w:r>
      <w:r w:rsidRPr="00CD4904">
        <w:rPr>
          <w:lang w:eastAsia="zh-CN"/>
        </w:rPr>
        <w:t xml:space="preserve"> </w:t>
      </w:r>
      <w:r>
        <w:rPr>
          <w:lang w:eastAsia="zh-CN"/>
        </w:rPr>
        <w:t xml:space="preserve">and protection of the security of persons </w:t>
      </w:r>
      <w:r w:rsidRPr="00285CAC">
        <w:rPr>
          <w:lang w:eastAsia="zh-CN"/>
        </w:rPr>
        <w:t xml:space="preserve">(arts. </w:t>
      </w:r>
      <w:r>
        <w:rPr>
          <w:lang w:eastAsia="zh-CN"/>
        </w:rPr>
        <w:t xml:space="preserve">2, </w:t>
      </w:r>
      <w:r w:rsidRPr="00285CAC">
        <w:rPr>
          <w:lang w:eastAsia="zh-CN"/>
        </w:rPr>
        <w:t>6</w:t>
      </w:r>
      <w:r>
        <w:rPr>
          <w:lang w:eastAsia="zh-CN"/>
        </w:rPr>
        <w:t>,</w:t>
      </w:r>
      <w:r w:rsidRPr="00285CAC">
        <w:rPr>
          <w:lang w:eastAsia="zh-CN"/>
        </w:rPr>
        <w:t xml:space="preserve"> 7</w:t>
      </w:r>
      <w:r>
        <w:rPr>
          <w:lang w:eastAsia="zh-CN"/>
        </w:rPr>
        <w:t>, 9, 10, 13 and 14)</w:t>
      </w:r>
    </w:p>
    <w:p w:rsidR="00EC7A38" w:rsidRPr="00CD4904" w:rsidRDefault="00EC7A38" w:rsidP="00DC45D0">
      <w:pPr>
        <w:pStyle w:val="SingleTxtG"/>
        <w:numPr>
          <w:ilvl w:val="0"/>
          <w:numId w:val="3"/>
        </w:numPr>
        <w:tabs>
          <w:tab w:val="clear" w:pos="2835"/>
        </w:tabs>
        <w:ind w:left="1134"/>
      </w:pPr>
      <w:r w:rsidRPr="00CD4904">
        <w:t xml:space="preserve">Please indicate whether, and to what extent, the State party envisages: </w:t>
      </w:r>
    </w:p>
    <w:p w:rsidR="00EC7A38" w:rsidRPr="00CD4904" w:rsidRDefault="00EC7A38" w:rsidP="00677A36">
      <w:pPr>
        <w:pStyle w:val="SingleTxtG"/>
        <w:ind w:firstLine="567"/>
      </w:pPr>
      <w:r>
        <w:t>(a)</w:t>
      </w:r>
      <w:r w:rsidRPr="00CD4904">
        <w:tab/>
        <w:t xml:space="preserve">Incorporating a specific crime of torture into </w:t>
      </w:r>
      <w:r w:rsidR="00406F07">
        <w:t xml:space="preserve">its </w:t>
      </w:r>
      <w:r w:rsidRPr="00CD4904">
        <w:t>domestic criminal law</w:t>
      </w:r>
      <w:r w:rsidR="00677A36">
        <w:t>; and</w:t>
      </w:r>
      <w:r w:rsidRPr="00CD4904">
        <w:t xml:space="preserve"> </w:t>
      </w:r>
    </w:p>
    <w:p w:rsidR="00EC7A38" w:rsidRPr="00CD4904" w:rsidRDefault="00EC7A38" w:rsidP="00DC45D0">
      <w:pPr>
        <w:pStyle w:val="SingleTxtG"/>
        <w:ind w:firstLine="567"/>
      </w:pPr>
      <w:r w:rsidRPr="00DC6664">
        <w:t>(b)</w:t>
      </w:r>
      <w:r w:rsidRPr="00DC6664">
        <w:tab/>
        <w:t>Reviewing its rules and provisions on the statute of limitations applicable to criminal charges of conduct amounting to torture</w:t>
      </w:r>
      <w:r w:rsidR="00406F07">
        <w:t>,</w:t>
      </w:r>
      <w:r w:rsidRPr="00DC6664">
        <w:t xml:space="preserve"> and bringing them fully in line with international</w:t>
      </w:r>
      <w:r>
        <w:t xml:space="preserve"> standards.</w:t>
      </w:r>
      <w:r w:rsidRPr="00CD4904">
        <w:t xml:space="preserve"> </w:t>
      </w:r>
    </w:p>
    <w:p w:rsidR="00EC7A38" w:rsidRPr="00DC6664" w:rsidRDefault="00EC7A38" w:rsidP="00DC45D0">
      <w:pPr>
        <w:pStyle w:val="SingleTxtG"/>
        <w:numPr>
          <w:ilvl w:val="0"/>
          <w:numId w:val="3"/>
        </w:numPr>
        <w:tabs>
          <w:tab w:val="clear" w:pos="2835"/>
        </w:tabs>
        <w:ind w:left="1134"/>
      </w:pPr>
      <w:r w:rsidRPr="00DC6664">
        <w:t xml:space="preserve">Please indicate whether, and to what extent, the State party envisages: </w:t>
      </w:r>
    </w:p>
    <w:p w:rsidR="00EC7A38" w:rsidRDefault="00EC7A38" w:rsidP="00ED1229">
      <w:pPr>
        <w:pStyle w:val="SingleTxtG"/>
        <w:ind w:firstLine="567"/>
      </w:pPr>
      <w:r w:rsidRPr="00DC6664">
        <w:t>(a)</w:t>
      </w:r>
      <w:r w:rsidRPr="00DC6664">
        <w:tab/>
        <w:t xml:space="preserve">Ensuring that all persons held in detention are afforded fundamental legal safeguards </w:t>
      </w:r>
      <w:r w:rsidR="00ED1229">
        <w:t>that include</w:t>
      </w:r>
      <w:r w:rsidR="00ED1229" w:rsidRPr="00DC6664">
        <w:t xml:space="preserve"> </w:t>
      </w:r>
      <w:r w:rsidRPr="00DC6664">
        <w:t xml:space="preserve">the right to have access to a lawyer – including, where necessary, a public defence counsel – from the very outset of their deprivation of liberty, and </w:t>
      </w:r>
      <w:r w:rsidR="00C208DD">
        <w:t xml:space="preserve">the right to have access to </w:t>
      </w:r>
      <w:r w:rsidRPr="00DC6664">
        <w:t>an interpre</w:t>
      </w:r>
      <w:r w:rsidRPr="00CD4904">
        <w:t>ter</w:t>
      </w:r>
      <w:r w:rsidR="00677A36">
        <w:t>;</w:t>
      </w:r>
      <w:r w:rsidRPr="00CD4904">
        <w:t xml:space="preserve"> </w:t>
      </w:r>
    </w:p>
    <w:p w:rsidR="00EC7A38" w:rsidRPr="00CD4904" w:rsidRDefault="00EC7A38" w:rsidP="00B0654F">
      <w:pPr>
        <w:pStyle w:val="SingleTxtG"/>
        <w:ind w:firstLine="567"/>
      </w:pPr>
      <w:r>
        <w:t>(b)</w:t>
      </w:r>
      <w:r>
        <w:tab/>
      </w:r>
      <w:r w:rsidRPr="00DC6664">
        <w:t xml:space="preserve">Ensuring that all restrictions on contacts between pre-trial detainees and the </w:t>
      </w:r>
      <w:r w:rsidR="00B0654F">
        <w:t>outside</w:t>
      </w:r>
      <w:r w:rsidR="00B0654F" w:rsidRPr="00DC6664">
        <w:t xml:space="preserve"> </w:t>
      </w:r>
      <w:r w:rsidRPr="00DC6664">
        <w:t>world do not</w:t>
      </w:r>
      <w:r>
        <w:t xml:space="preserve"> exceed what is strictly necessary </w:t>
      </w:r>
      <w:r w:rsidR="00B0654F">
        <w:t xml:space="preserve">given </w:t>
      </w:r>
      <w:r>
        <w:t>the exigencies of the situation</w:t>
      </w:r>
      <w:r w:rsidR="00677A36">
        <w:t>; and</w:t>
      </w:r>
    </w:p>
    <w:p w:rsidR="00EC7A38" w:rsidRDefault="00EC7A38" w:rsidP="00C208DD">
      <w:pPr>
        <w:pStyle w:val="SingleTxtG"/>
        <w:ind w:firstLine="567"/>
      </w:pPr>
      <w:r w:rsidRPr="00CD4904">
        <w:t>(</w:t>
      </w:r>
      <w:r w:rsidR="007A1F2C">
        <w:t>c</w:t>
      </w:r>
      <w:r w:rsidRPr="00CD4904">
        <w:t>)</w:t>
      </w:r>
      <w:r w:rsidRPr="00CD4904">
        <w:tab/>
        <w:t xml:space="preserve">Establishing an independent civilian body with </w:t>
      </w:r>
      <w:r w:rsidR="00B0654F">
        <w:t xml:space="preserve">the </w:t>
      </w:r>
      <w:r w:rsidRPr="00CD4904">
        <w:t>authority to receive and investigate all complaints of excessive use of force and other abuse</w:t>
      </w:r>
      <w:r w:rsidR="00B0654F">
        <w:t>s</w:t>
      </w:r>
      <w:r w:rsidRPr="00CD4904">
        <w:t xml:space="preserve"> of power by </w:t>
      </w:r>
      <w:r w:rsidR="00B0654F">
        <w:t xml:space="preserve">the </w:t>
      </w:r>
      <w:r w:rsidRPr="00CD4904">
        <w:t>police</w:t>
      </w:r>
      <w:r>
        <w:t xml:space="preserve"> (CCPR/C/SWE/CO/6, para. 15) </w:t>
      </w:r>
      <w:r w:rsidRPr="004871A4">
        <w:t>to provide access to effective</w:t>
      </w:r>
      <w:r>
        <w:t xml:space="preserve"> remedies for police misconduct.</w:t>
      </w:r>
    </w:p>
    <w:p w:rsidR="00EC7A38" w:rsidRDefault="00EC7A38" w:rsidP="006C53C9">
      <w:pPr>
        <w:pStyle w:val="SingleTxtG"/>
        <w:numPr>
          <w:ilvl w:val="0"/>
          <w:numId w:val="3"/>
        </w:numPr>
        <w:tabs>
          <w:tab w:val="clear" w:pos="2835"/>
        </w:tabs>
        <w:ind w:left="1134"/>
      </w:pPr>
      <w:r w:rsidRPr="00DB2179">
        <w:rPr>
          <w:bCs/>
        </w:rPr>
        <w:t xml:space="preserve">Please report on specific measures </w:t>
      </w:r>
      <w:r w:rsidR="009C69E1">
        <w:rPr>
          <w:bCs/>
        </w:rPr>
        <w:t xml:space="preserve">that have been </w:t>
      </w:r>
      <w:r w:rsidRPr="00DB2179">
        <w:rPr>
          <w:bCs/>
        </w:rPr>
        <w:t xml:space="preserve">taken to address allegations of police violence and </w:t>
      </w:r>
      <w:r w:rsidR="009C69E1">
        <w:rPr>
          <w:bCs/>
        </w:rPr>
        <w:t>the use of</w:t>
      </w:r>
      <w:r w:rsidRPr="00DB2179">
        <w:rPr>
          <w:bCs/>
        </w:rPr>
        <w:t xml:space="preserve"> excessive force by the police. Please provide statistics on the annual number of complaints of police violence lodged since 2009, the number of investigations opened, their outcome</w:t>
      </w:r>
      <w:r w:rsidR="009C69E1">
        <w:rPr>
          <w:bCs/>
        </w:rPr>
        <w:t>,</w:t>
      </w:r>
      <w:r w:rsidRPr="00DB2179">
        <w:rPr>
          <w:bCs/>
        </w:rPr>
        <w:t xml:space="preserve"> and any penalties imposed on </w:t>
      </w:r>
      <w:r w:rsidR="006C53C9">
        <w:rPr>
          <w:bCs/>
        </w:rPr>
        <w:t>police officers who had</w:t>
      </w:r>
      <w:r w:rsidRPr="00DB2179">
        <w:rPr>
          <w:bCs/>
        </w:rPr>
        <w:t xml:space="preserve"> resorted to excessive force or violence.</w:t>
      </w:r>
      <w:r w:rsidR="00DC45D0">
        <w:t xml:space="preserve"> </w:t>
      </w:r>
    </w:p>
    <w:p w:rsidR="00B15A01" w:rsidRPr="00DB2179" w:rsidRDefault="00B15A01" w:rsidP="00DC45D0">
      <w:pPr>
        <w:pStyle w:val="SingleTxtG"/>
        <w:numPr>
          <w:ilvl w:val="0"/>
          <w:numId w:val="3"/>
        </w:numPr>
        <w:tabs>
          <w:tab w:val="clear" w:pos="2835"/>
        </w:tabs>
        <w:ind w:left="1134"/>
      </w:pPr>
      <w:r w:rsidRPr="00B15A01">
        <w:t xml:space="preserve">Please report on whether the State party plans to establish an adequate monitoring and reporting system on the use of electroshock therapy in psychiatric institutions </w:t>
      </w:r>
      <w:r w:rsidR="009C69E1">
        <w:t>so as</w:t>
      </w:r>
      <w:r w:rsidRPr="00B15A01">
        <w:t xml:space="preserve"> to prevent any abuse</w:t>
      </w:r>
      <w:r w:rsidR="009C69E1">
        <w:t>s</w:t>
      </w:r>
      <w:r w:rsidRPr="00B15A01">
        <w:t xml:space="preserve"> (CCPR/C/SWE/CO/6, para. 11).</w:t>
      </w:r>
      <w:r w:rsidR="009C69E1">
        <w:t xml:space="preserve"> </w:t>
      </w:r>
    </w:p>
    <w:p w:rsidR="00EC7A38" w:rsidRDefault="00EC7A38" w:rsidP="00EC7A38">
      <w:pPr>
        <w:pStyle w:val="H23G"/>
        <w:rPr>
          <w:rStyle w:val="SingleTxtGChar"/>
        </w:rPr>
      </w:pPr>
      <w:r>
        <w:rPr>
          <w:rStyle w:val="SingleTxtGChar"/>
        </w:rPr>
        <w:tab/>
      </w:r>
      <w:r>
        <w:rPr>
          <w:rStyle w:val="SingleTxtGChar"/>
        </w:rPr>
        <w:tab/>
      </w:r>
      <w:r w:rsidRPr="00C01B53">
        <w:rPr>
          <w:rStyle w:val="SingleTxtGChar"/>
        </w:rPr>
        <w:t xml:space="preserve">Non-discrimination and </w:t>
      </w:r>
      <w:r>
        <w:rPr>
          <w:rStyle w:val="SingleTxtGChar"/>
        </w:rPr>
        <w:t xml:space="preserve">rights </w:t>
      </w:r>
      <w:r w:rsidRPr="00C01B53">
        <w:rPr>
          <w:rStyle w:val="SingleTxtGChar"/>
        </w:rPr>
        <w:t>of non-citizens (arts. 2</w:t>
      </w:r>
      <w:r>
        <w:rPr>
          <w:rStyle w:val="SingleTxtGChar"/>
        </w:rPr>
        <w:t xml:space="preserve">, </w:t>
      </w:r>
      <w:r w:rsidRPr="00C01B53">
        <w:rPr>
          <w:rStyle w:val="SingleTxtGChar"/>
        </w:rPr>
        <w:t>26</w:t>
      </w:r>
      <w:r>
        <w:rPr>
          <w:rStyle w:val="SingleTxtGChar"/>
        </w:rPr>
        <w:t xml:space="preserve"> and 27</w:t>
      </w:r>
      <w:r w:rsidRPr="00C01B53">
        <w:rPr>
          <w:rStyle w:val="SingleTxtGChar"/>
        </w:rPr>
        <w:t>)</w:t>
      </w:r>
    </w:p>
    <w:p w:rsidR="009F7978" w:rsidRDefault="009F7978" w:rsidP="00DC45D0">
      <w:pPr>
        <w:pStyle w:val="SingleTxtG"/>
        <w:numPr>
          <w:ilvl w:val="0"/>
          <w:numId w:val="3"/>
        </w:numPr>
        <w:tabs>
          <w:tab w:val="clear" w:pos="2835"/>
        </w:tabs>
        <w:ind w:left="1134"/>
      </w:pPr>
      <w:r>
        <w:t xml:space="preserve">Please provide information on: </w:t>
      </w:r>
    </w:p>
    <w:p w:rsidR="00EC7A38" w:rsidRDefault="009F7978" w:rsidP="00422E52">
      <w:pPr>
        <w:pStyle w:val="SingleTxtG"/>
        <w:ind w:firstLine="567"/>
      </w:pPr>
      <w:r>
        <w:t>(a)</w:t>
      </w:r>
      <w:r w:rsidR="008B6202">
        <w:tab/>
      </w:r>
      <w:r>
        <w:t>W</w:t>
      </w:r>
      <w:r w:rsidR="00EC7A38">
        <w:t xml:space="preserve">hether the Anti-Discrimination Act </w:t>
      </w:r>
      <w:r w:rsidR="00EC7A38" w:rsidRPr="00227894">
        <w:t>(2008:567</w:t>
      </w:r>
      <w:r w:rsidR="00EC7A38">
        <w:t>) provides protection against all forms of discrimination</w:t>
      </w:r>
      <w:r w:rsidR="00422E52">
        <w:t>,</w:t>
      </w:r>
      <w:r w:rsidR="00EC7A38">
        <w:t xml:space="preserve"> and </w:t>
      </w:r>
      <w:r>
        <w:t xml:space="preserve">on the availability of </w:t>
      </w:r>
      <w:r w:rsidR="00EC7A38">
        <w:t xml:space="preserve">legal remedies </w:t>
      </w:r>
      <w:r w:rsidR="00422E52">
        <w:t>for</w:t>
      </w:r>
      <w:r>
        <w:t xml:space="preserve"> </w:t>
      </w:r>
      <w:r w:rsidR="00EC7A38">
        <w:t xml:space="preserve">wrongful acts </w:t>
      </w:r>
      <w:r w:rsidR="00422E52">
        <w:t>by</w:t>
      </w:r>
      <w:r w:rsidR="00EC7A38">
        <w:t xml:space="preserve"> private individuals or public officials</w:t>
      </w:r>
      <w:r w:rsidR="00EC7A38" w:rsidRPr="00CA3F2B">
        <w:t xml:space="preserve"> </w:t>
      </w:r>
      <w:r w:rsidR="00EC7A38">
        <w:t xml:space="preserve">and </w:t>
      </w:r>
      <w:r w:rsidR="00422E52">
        <w:t xml:space="preserve">for </w:t>
      </w:r>
      <w:r w:rsidR="00EC7A38" w:rsidRPr="00CA3F2B">
        <w:t>discrimination based on political opinion</w:t>
      </w:r>
      <w:r w:rsidR="00EC7A38">
        <w:t xml:space="preserve">, </w:t>
      </w:r>
      <w:r w:rsidR="00EC7A38" w:rsidRPr="00CA3F2B">
        <w:t>social origin</w:t>
      </w:r>
      <w:r w:rsidR="00EC7A38">
        <w:t xml:space="preserve"> or </w:t>
      </w:r>
      <w:r w:rsidR="00422E52">
        <w:t xml:space="preserve">the </w:t>
      </w:r>
      <w:r w:rsidR="00EC7A38">
        <w:t>use of a particular language</w:t>
      </w:r>
      <w:r w:rsidR="00406F07">
        <w:t>; and</w:t>
      </w:r>
      <w:r w:rsidR="00B30285">
        <w:t xml:space="preserve"> </w:t>
      </w:r>
    </w:p>
    <w:p w:rsidR="00EC7A38" w:rsidRDefault="009F7978" w:rsidP="00EE5A69">
      <w:pPr>
        <w:pStyle w:val="SingleTxtG"/>
        <w:ind w:firstLine="567"/>
        <w:rPr>
          <w:lang w:eastAsia="zh-CN"/>
        </w:rPr>
      </w:pPr>
      <w:r>
        <w:t>(b)</w:t>
      </w:r>
      <w:r w:rsidR="008B6202">
        <w:tab/>
      </w:r>
      <w:r>
        <w:t>M</w:t>
      </w:r>
      <w:r w:rsidR="00EC7A38">
        <w:t>easures to address</w:t>
      </w:r>
      <w:r w:rsidR="00422E52">
        <w:t xml:space="preserve"> the</w:t>
      </w:r>
      <w:r w:rsidR="00EC7A38">
        <w:t xml:space="preserve"> reportedly growing social exclusion and de facto segregation </w:t>
      </w:r>
      <w:r w:rsidR="00EC7A38" w:rsidRPr="00C01B53">
        <w:t xml:space="preserve">in </w:t>
      </w:r>
      <w:r w:rsidR="00EC7A38">
        <w:t>the State party along ethnic and socioeconomic lines</w:t>
      </w:r>
      <w:r w:rsidR="00422E52">
        <w:t>, which</w:t>
      </w:r>
      <w:r w:rsidR="00EC7A38" w:rsidRPr="00CD4904">
        <w:t xml:space="preserve"> resurfaced during the 2013 riots in Sto</w:t>
      </w:r>
      <w:r w:rsidR="00EC7A38">
        <w:t xml:space="preserve">ckholm and other municipalities and which </w:t>
      </w:r>
      <w:r w:rsidR="00EE5A69">
        <w:t>mainly impact</w:t>
      </w:r>
      <w:r w:rsidR="00EC7A38">
        <w:t xml:space="preserve"> foreign-born persons, </w:t>
      </w:r>
      <w:r w:rsidR="00422E52">
        <w:t>particularly</w:t>
      </w:r>
      <w:r w:rsidR="00EC7A38">
        <w:t xml:space="preserve"> Afro-Swedes and Muslims</w:t>
      </w:r>
      <w:r w:rsidR="00582DA6">
        <w:t xml:space="preserve">, and </w:t>
      </w:r>
      <w:r w:rsidR="00422E52" w:rsidRPr="00E4112D">
        <w:t>on</w:t>
      </w:r>
      <w:r w:rsidR="00422E52">
        <w:t xml:space="preserve"> </w:t>
      </w:r>
      <w:r w:rsidR="00EC7A38">
        <w:t xml:space="preserve">the results of the Comprehensive National Strategy for Integration with a view to addressing prevailing discrimination against persons of foreign origin throughout the country. </w:t>
      </w:r>
    </w:p>
    <w:p w:rsidR="00EC7A38" w:rsidRPr="00C01B53" w:rsidRDefault="00EC7A38" w:rsidP="00CF2054">
      <w:pPr>
        <w:pStyle w:val="SingleTxtG"/>
        <w:numPr>
          <w:ilvl w:val="0"/>
          <w:numId w:val="3"/>
        </w:numPr>
        <w:tabs>
          <w:tab w:val="clear" w:pos="2835"/>
        </w:tabs>
        <w:ind w:left="1134"/>
        <w:rPr>
          <w:lang w:eastAsia="zh-CN"/>
        </w:rPr>
      </w:pPr>
      <w:r>
        <w:rPr>
          <w:lang w:eastAsia="zh-CN"/>
        </w:rPr>
        <w:t>Please provide updated information on</w:t>
      </w:r>
      <w:r w:rsidR="00F44090">
        <w:rPr>
          <w:lang w:eastAsia="zh-CN"/>
        </w:rPr>
        <w:t xml:space="preserve"> the</w:t>
      </w:r>
      <w:r w:rsidR="00582DA6">
        <w:rPr>
          <w:lang w:eastAsia="zh-CN"/>
        </w:rPr>
        <w:t xml:space="preserve"> </w:t>
      </w:r>
      <w:r w:rsidR="00F44090">
        <w:rPr>
          <w:lang w:eastAsia="zh-CN"/>
        </w:rPr>
        <w:t>e</w:t>
      </w:r>
      <w:r w:rsidRPr="00D22465">
        <w:rPr>
          <w:lang w:eastAsia="zh-CN"/>
        </w:rPr>
        <w:t>ffectiveness of the measures taken to ensure equal enj</w:t>
      </w:r>
      <w:r w:rsidRPr="00CF2054">
        <w:rPr>
          <w:lang w:eastAsia="zh-CN"/>
        </w:rPr>
        <w:t xml:space="preserve">oyment </w:t>
      </w:r>
      <w:r w:rsidR="00CF2054">
        <w:rPr>
          <w:lang w:eastAsia="zh-CN"/>
        </w:rPr>
        <w:t xml:space="preserve">by Roma of </w:t>
      </w:r>
      <w:r w:rsidR="00116B73">
        <w:rPr>
          <w:lang w:eastAsia="zh-CN"/>
        </w:rPr>
        <w:t xml:space="preserve">the </w:t>
      </w:r>
      <w:r w:rsidR="00CF2054">
        <w:rPr>
          <w:lang w:eastAsia="zh-CN"/>
        </w:rPr>
        <w:t>rights under the Covenant</w:t>
      </w:r>
      <w:r w:rsidRPr="00D22465">
        <w:rPr>
          <w:lang w:eastAsia="zh-CN"/>
        </w:rPr>
        <w:t xml:space="preserve">, and in particular on strategies to overcome continued prejudice against Roma in Swedish society, </w:t>
      </w:r>
      <w:r w:rsidR="0014407D">
        <w:rPr>
          <w:lang w:eastAsia="zh-CN"/>
        </w:rPr>
        <w:t xml:space="preserve">to </w:t>
      </w:r>
      <w:r w:rsidRPr="00D22465">
        <w:rPr>
          <w:lang w:eastAsia="zh-CN"/>
        </w:rPr>
        <w:t>enhance access by Roma to education, employment, housing and health</w:t>
      </w:r>
      <w:r w:rsidR="0014407D">
        <w:rPr>
          <w:lang w:eastAsia="zh-CN"/>
        </w:rPr>
        <w:t xml:space="preserve"> care</w:t>
      </w:r>
      <w:r>
        <w:rPr>
          <w:lang w:eastAsia="zh-CN"/>
        </w:rPr>
        <w:t xml:space="preserve">, </w:t>
      </w:r>
      <w:r w:rsidR="0014407D">
        <w:rPr>
          <w:lang w:eastAsia="zh-CN"/>
        </w:rPr>
        <w:t xml:space="preserve">to </w:t>
      </w:r>
      <w:r>
        <w:rPr>
          <w:lang w:eastAsia="zh-CN"/>
        </w:rPr>
        <w:t>protect Roma from hate crimes</w:t>
      </w:r>
      <w:r w:rsidR="0014407D">
        <w:rPr>
          <w:lang w:eastAsia="zh-CN"/>
        </w:rPr>
        <w:t>,</w:t>
      </w:r>
      <w:r w:rsidRPr="00D22465">
        <w:rPr>
          <w:lang w:eastAsia="zh-CN"/>
        </w:rPr>
        <w:t xml:space="preserve"> and</w:t>
      </w:r>
      <w:r w:rsidR="0014407D">
        <w:rPr>
          <w:lang w:eastAsia="zh-CN"/>
        </w:rPr>
        <w:t xml:space="preserve"> to</w:t>
      </w:r>
      <w:r w:rsidRPr="00D22465">
        <w:rPr>
          <w:lang w:eastAsia="zh-CN"/>
        </w:rPr>
        <w:t xml:space="preserve"> provide redress to the </w:t>
      </w:r>
      <w:r w:rsidR="0014407D">
        <w:rPr>
          <w:lang w:eastAsia="zh-CN"/>
        </w:rPr>
        <w:t>individuals affected</w:t>
      </w:r>
      <w:r w:rsidRPr="00D22465">
        <w:rPr>
          <w:lang w:eastAsia="zh-CN"/>
        </w:rPr>
        <w:t xml:space="preserve"> on the basis of the</w:t>
      </w:r>
      <w:r w:rsidR="00EE7035">
        <w:rPr>
          <w:lang w:eastAsia="zh-CN"/>
        </w:rPr>
        <w:br/>
      </w:r>
      <w:r w:rsidRPr="00D22465">
        <w:rPr>
          <w:lang w:eastAsia="zh-CN"/>
        </w:rPr>
        <w:t>Anti-Discrimination Act.</w:t>
      </w:r>
    </w:p>
    <w:p w:rsidR="00EC7A38" w:rsidRPr="00CD4904" w:rsidRDefault="00EC7A38" w:rsidP="00EC7A38">
      <w:pPr>
        <w:pStyle w:val="H23G"/>
        <w:rPr>
          <w:rStyle w:val="SingleTxtGChar"/>
        </w:rPr>
      </w:pPr>
      <w:r>
        <w:tab/>
      </w:r>
      <w:r>
        <w:tab/>
        <w:t>Equal rights of men and women</w:t>
      </w:r>
      <w:r w:rsidR="00793400">
        <w:t>,</w:t>
      </w:r>
      <w:r w:rsidR="00F44090">
        <w:t xml:space="preserve"> and</w:t>
      </w:r>
      <w:r>
        <w:t xml:space="preserve"> non-discrimination of women</w:t>
      </w:r>
      <w:r w:rsidRPr="00E750D4">
        <w:t xml:space="preserve"> (arts. 2</w:t>
      </w:r>
      <w:r>
        <w:t>, 3</w:t>
      </w:r>
      <w:r w:rsidR="002716FD">
        <w:t xml:space="preserve"> </w:t>
      </w:r>
      <w:r>
        <w:t>and 26)</w:t>
      </w:r>
    </w:p>
    <w:p w:rsidR="00EC7A38" w:rsidRPr="00FC40B3" w:rsidRDefault="00EC7A38" w:rsidP="00DC45D0">
      <w:pPr>
        <w:pStyle w:val="SingleTxtG"/>
        <w:numPr>
          <w:ilvl w:val="0"/>
          <w:numId w:val="3"/>
        </w:numPr>
        <w:tabs>
          <w:tab w:val="clear" w:pos="2835"/>
        </w:tabs>
        <w:ind w:left="1134"/>
        <w:rPr>
          <w:rStyle w:val="SingleTxtGChar"/>
        </w:rPr>
      </w:pPr>
      <w:r w:rsidRPr="00CD4904">
        <w:rPr>
          <w:rStyle w:val="SingleTxtGChar"/>
        </w:rPr>
        <w:t xml:space="preserve">What recent efforts have been made to narrow the wage gap between men and women and </w:t>
      </w:r>
      <w:r w:rsidR="00793170">
        <w:rPr>
          <w:rStyle w:val="SingleTxtGChar"/>
        </w:rPr>
        <w:t xml:space="preserve">to </w:t>
      </w:r>
      <w:r w:rsidRPr="00CD4904">
        <w:rPr>
          <w:rStyle w:val="SingleTxtGChar"/>
        </w:rPr>
        <w:t>facilitate full-time employment</w:t>
      </w:r>
      <w:r>
        <w:rPr>
          <w:rStyle w:val="SingleTxtGChar"/>
        </w:rPr>
        <w:t xml:space="preserve"> </w:t>
      </w:r>
      <w:r w:rsidR="00793170">
        <w:rPr>
          <w:rStyle w:val="SingleTxtGChar"/>
        </w:rPr>
        <w:t>for</w:t>
      </w:r>
      <w:r>
        <w:rPr>
          <w:rStyle w:val="SingleTxtGChar"/>
        </w:rPr>
        <w:t xml:space="preserve"> women (</w:t>
      </w:r>
      <w:r w:rsidRPr="005E6473">
        <w:rPr>
          <w:rStyle w:val="SingleTxtGChar"/>
        </w:rPr>
        <w:t xml:space="preserve">CCPR/C/SWE/CO/6, para. </w:t>
      </w:r>
      <w:r>
        <w:rPr>
          <w:rStyle w:val="SingleTxtGChar"/>
        </w:rPr>
        <w:t>7)?</w:t>
      </w:r>
      <w:r w:rsidR="00B30285">
        <w:rPr>
          <w:rStyle w:val="SingleTxtGChar"/>
        </w:rPr>
        <w:t xml:space="preserve"> </w:t>
      </w:r>
    </w:p>
    <w:p w:rsidR="00EC7A38" w:rsidRPr="00256707" w:rsidRDefault="00EC7A38" w:rsidP="00EC7A38">
      <w:pPr>
        <w:pStyle w:val="H23G"/>
        <w:rPr>
          <w:rStyle w:val="SingleTxtGChar"/>
        </w:rPr>
      </w:pPr>
      <w:r>
        <w:rPr>
          <w:rStyle w:val="SingleTxtGChar"/>
        </w:rPr>
        <w:tab/>
      </w:r>
      <w:r>
        <w:rPr>
          <w:rStyle w:val="SingleTxtGChar"/>
        </w:rPr>
        <w:tab/>
      </w:r>
      <w:r w:rsidRPr="00256707">
        <w:rPr>
          <w:rStyle w:val="SingleTxtGChar"/>
        </w:rPr>
        <w:t>Violence against women</w:t>
      </w:r>
      <w:r>
        <w:rPr>
          <w:rStyle w:val="SingleTxtGChar"/>
        </w:rPr>
        <w:t xml:space="preserve"> and children</w:t>
      </w:r>
      <w:r w:rsidRPr="00256707">
        <w:rPr>
          <w:rStyle w:val="SingleTxtGChar"/>
        </w:rPr>
        <w:t xml:space="preserve"> (arts. 2, 3, 7</w:t>
      </w:r>
      <w:r>
        <w:rPr>
          <w:rStyle w:val="SingleTxtGChar"/>
        </w:rPr>
        <w:t>, 8, 24</w:t>
      </w:r>
      <w:r w:rsidRPr="00256707">
        <w:rPr>
          <w:rStyle w:val="SingleTxtGChar"/>
        </w:rPr>
        <w:t xml:space="preserve"> and 26)</w:t>
      </w:r>
      <w:r w:rsidRPr="00714393">
        <w:t xml:space="preserve"> </w:t>
      </w:r>
    </w:p>
    <w:p w:rsidR="00EC7A38" w:rsidRDefault="00EC7A38" w:rsidP="00DC45D0">
      <w:pPr>
        <w:pStyle w:val="SingleTxtG"/>
        <w:numPr>
          <w:ilvl w:val="0"/>
          <w:numId w:val="3"/>
        </w:numPr>
        <w:tabs>
          <w:tab w:val="clear" w:pos="2835"/>
        </w:tabs>
        <w:ind w:left="1134"/>
        <w:rPr>
          <w:rStyle w:val="SingleTxtGChar"/>
        </w:rPr>
      </w:pPr>
      <w:r>
        <w:rPr>
          <w:rStyle w:val="SingleTxtGChar"/>
        </w:rPr>
        <w:t xml:space="preserve">Please provide updated information on: </w:t>
      </w:r>
    </w:p>
    <w:p w:rsidR="00EC7A38" w:rsidRDefault="00EC7A38" w:rsidP="002E0906">
      <w:pPr>
        <w:pStyle w:val="SingleTxtG"/>
        <w:ind w:firstLine="567"/>
      </w:pPr>
      <w:r>
        <w:rPr>
          <w:rStyle w:val="SingleTxtGChar"/>
        </w:rPr>
        <w:t>(a)</w:t>
      </w:r>
      <w:r>
        <w:rPr>
          <w:rStyle w:val="SingleTxtGChar"/>
        </w:rPr>
        <w:tab/>
      </w:r>
      <w:r w:rsidR="002E0906">
        <w:rPr>
          <w:rStyle w:val="SingleTxtGChar"/>
        </w:rPr>
        <w:t>The e</w:t>
      </w:r>
      <w:r>
        <w:t>ffectiveness of the measures and strategies</w:t>
      </w:r>
      <w:r w:rsidR="002E0906">
        <w:t xml:space="preserve"> in the State party</w:t>
      </w:r>
      <w:r>
        <w:t xml:space="preserve"> to prevent and combat violence against women, including domestic </w:t>
      </w:r>
      <w:r w:rsidR="00340078">
        <w:t xml:space="preserve">and sexual </w:t>
      </w:r>
      <w:r>
        <w:t>violence, marital rape</w:t>
      </w:r>
      <w:r w:rsidR="002E0906">
        <w:t>,</w:t>
      </w:r>
      <w:r>
        <w:t xml:space="preserve"> and violence at work, </w:t>
      </w:r>
      <w:r w:rsidRPr="00E4112D">
        <w:t xml:space="preserve">and </w:t>
      </w:r>
      <w:r w:rsidR="002E0906" w:rsidRPr="00E4112D">
        <w:t>o</w:t>
      </w:r>
      <w:r w:rsidR="00E4112D">
        <w:t xml:space="preserve">f </w:t>
      </w:r>
      <w:r w:rsidRPr="00E4112D">
        <w:t>th</w:t>
      </w:r>
      <w:r>
        <w:t xml:space="preserve">e steps for </w:t>
      </w:r>
      <w:r w:rsidR="002E0906">
        <w:t>rehabilitating</w:t>
      </w:r>
      <w:r>
        <w:t xml:space="preserve"> men convicted of sexual violence and violent offences in close relationships, taking into account the </w:t>
      </w:r>
      <w:r w:rsidRPr="002A7298">
        <w:t>Committee’s previous recommendat</w:t>
      </w:r>
      <w:r>
        <w:t>ions (CCPR/C/SWE/CO/6, para. 8)</w:t>
      </w:r>
      <w:r w:rsidR="00406F07">
        <w:t>;</w:t>
      </w:r>
    </w:p>
    <w:p w:rsidR="00EC7A38" w:rsidRDefault="00EC7A38" w:rsidP="00A04E77">
      <w:pPr>
        <w:pStyle w:val="SingleTxtG"/>
        <w:ind w:firstLine="567"/>
      </w:pPr>
      <w:r>
        <w:t>(b)</w:t>
      </w:r>
      <w:r>
        <w:tab/>
      </w:r>
      <w:r w:rsidR="002E0906">
        <w:t>The s</w:t>
      </w:r>
      <w:r>
        <w:t xml:space="preserve">cope of and reasons for underreporting of sexual offences, especially against persons with disabilities, and any measures </w:t>
      </w:r>
      <w:r w:rsidR="00A04E77">
        <w:t xml:space="preserve">that </w:t>
      </w:r>
      <w:r>
        <w:t>are being taken to increase the level of reporting</w:t>
      </w:r>
      <w:r w:rsidR="00406F07">
        <w:t>;</w:t>
      </w:r>
    </w:p>
    <w:p w:rsidR="00EC7A38" w:rsidRDefault="00EC7A38" w:rsidP="003B2D58">
      <w:pPr>
        <w:pStyle w:val="SingleTxtG"/>
        <w:ind w:firstLine="567"/>
      </w:pPr>
      <w:r>
        <w:t>(c)</w:t>
      </w:r>
      <w:r>
        <w:tab/>
        <w:t>Steps taken in order to combat sexual attacks against minors</w:t>
      </w:r>
      <w:r w:rsidR="00406F07">
        <w:t>; and</w:t>
      </w:r>
    </w:p>
    <w:p w:rsidR="00EC7A38" w:rsidRPr="00256707" w:rsidRDefault="00EC7A38" w:rsidP="002E0906">
      <w:pPr>
        <w:pStyle w:val="SingleTxtG"/>
        <w:ind w:firstLine="567"/>
      </w:pPr>
      <w:r>
        <w:t>(d)</w:t>
      </w:r>
      <w:r>
        <w:tab/>
      </w:r>
      <w:r w:rsidR="002E0906">
        <w:t>The a</w:t>
      </w:r>
      <w:r w:rsidRPr="00256707">
        <w:t xml:space="preserve">vailability and adequacy of legal and social services for women </w:t>
      </w:r>
      <w:r>
        <w:t xml:space="preserve">and children </w:t>
      </w:r>
      <w:r w:rsidR="00A04E77">
        <w:t xml:space="preserve">who are </w:t>
      </w:r>
      <w:r w:rsidRPr="00256707">
        <w:t xml:space="preserve">victims of domestic </w:t>
      </w:r>
      <w:r w:rsidR="00340078" w:rsidRPr="00340078">
        <w:t xml:space="preserve">and sexual </w:t>
      </w:r>
      <w:r w:rsidRPr="00256707">
        <w:t>violence</w:t>
      </w:r>
      <w:r>
        <w:t xml:space="preserve">, including those with special needs, in particular women and children with disabilities. </w:t>
      </w:r>
    </w:p>
    <w:p w:rsidR="00EC7A38" w:rsidRDefault="007D06D7" w:rsidP="00DC45D0">
      <w:pPr>
        <w:pStyle w:val="SingleTxtG"/>
        <w:numPr>
          <w:ilvl w:val="0"/>
          <w:numId w:val="3"/>
        </w:numPr>
        <w:tabs>
          <w:tab w:val="clear" w:pos="2835"/>
        </w:tabs>
        <w:ind w:left="1134"/>
      </w:pPr>
      <w:r>
        <w:t>P</w:t>
      </w:r>
      <w:r w:rsidR="00EC7A38" w:rsidRPr="009D1918">
        <w:t xml:space="preserve">lease provide </w:t>
      </w:r>
      <w:r w:rsidR="00EC7A38">
        <w:t xml:space="preserve">updated </w:t>
      </w:r>
      <w:r w:rsidR="00EC7A38" w:rsidRPr="009D1918">
        <w:t>information on</w:t>
      </w:r>
      <w:r w:rsidR="00EC7A38">
        <w:t>:</w:t>
      </w:r>
    </w:p>
    <w:p w:rsidR="00EC7A38" w:rsidRDefault="00EC7A38" w:rsidP="00270E49">
      <w:pPr>
        <w:pStyle w:val="SingleTxtG"/>
        <w:ind w:firstLine="567"/>
      </w:pPr>
      <w:r>
        <w:t>(a)</w:t>
      </w:r>
      <w:r>
        <w:tab/>
      </w:r>
      <w:r w:rsidR="00270E49">
        <w:t>The p</w:t>
      </w:r>
      <w:r w:rsidRPr="00F17E38">
        <w:t xml:space="preserve">ractical application of the newly amended provisions of the Criminal Code </w:t>
      </w:r>
      <w:r w:rsidR="00270E49">
        <w:t>that</w:t>
      </w:r>
      <w:r w:rsidR="00270E49" w:rsidRPr="00F17E38">
        <w:t xml:space="preserve"> </w:t>
      </w:r>
      <w:r w:rsidRPr="00F17E38">
        <w:t xml:space="preserve">introduce stricter penalties for the offences related to trafficking </w:t>
      </w:r>
      <w:r>
        <w:t>in persons, including c</w:t>
      </w:r>
      <w:r w:rsidRPr="00F17E38">
        <w:t>hildren</w:t>
      </w:r>
      <w:r w:rsidR="00406F07">
        <w:t>;</w:t>
      </w:r>
      <w:r>
        <w:t xml:space="preserve"> </w:t>
      </w:r>
    </w:p>
    <w:p w:rsidR="00EC7A38" w:rsidRDefault="00EC7A38" w:rsidP="00151C24">
      <w:pPr>
        <w:pStyle w:val="SingleTxtG"/>
        <w:ind w:firstLine="567"/>
      </w:pPr>
      <w:r>
        <w:t>(b)</w:t>
      </w:r>
      <w:r>
        <w:tab/>
      </w:r>
      <w:r w:rsidR="00270E49">
        <w:t>The e</w:t>
      </w:r>
      <w:r w:rsidRPr="00F17E38">
        <w:t xml:space="preserve">ffectiveness of </w:t>
      </w:r>
      <w:r w:rsidR="00151C24">
        <w:t xml:space="preserve">the </w:t>
      </w:r>
      <w:r w:rsidRPr="00F17E38">
        <w:t>protection and assistance mea</w:t>
      </w:r>
      <w:r w:rsidRPr="00E16B84">
        <w:t>sures</w:t>
      </w:r>
      <w:r w:rsidR="00151C24" w:rsidRPr="00E16B84">
        <w:t xml:space="preserve"> in the State party</w:t>
      </w:r>
      <w:r w:rsidRPr="00E16B84">
        <w:t>,</w:t>
      </w:r>
      <w:r w:rsidRPr="00F17E38">
        <w:t xml:space="preserve"> including shelter and medical treatment, </w:t>
      </w:r>
      <w:r w:rsidR="00270E49">
        <w:t>for</w:t>
      </w:r>
      <w:r w:rsidRPr="00F17E38">
        <w:t xml:space="preserve"> persons vulnerable to or exposed to prostitution and trafficking</w:t>
      </w:r>
      <w:r w:rsidR="00406F07">
        <w:t>;</w:t>
      </w:r>
      <w:r>
        <w:t xml:space="preserve"> </w:t>
      </w:r>
    </w:p>
    <w:p w:rsidR="00EC7A38" w:rsidRDefault="00EC7A38" w:rsidP="003B2D58">
      <w:pPr>
        <w:pStyle w:val="SingleTxtG"/>
        <w:ind w:firstLine="567"/>
      </w:pPr>
      <w:r>
        <w:t>(c)</w:t>
      </w:r>
      <w:r>
        <w:tab/>
      </w:r>
      <w:r w:rsidR="007D06D7">
        <w:t>E</w:t>
      </w:r>
      <w:r w:rsidRPr="00F17E38">
        <w:t xml:space="preserve">fforts to train law enforcement officers </w:t>
      </w:r>
      <w:r>
        <w:t xml:space="preserve">and judges </w:t>
      </w:r>
      <w:r w:rsidRPr="00F17E38">
        <w:t>to proactively identify and respond to cases of sexual exploita</w:t>
      </w:r>
      <w:r>
        <w:t>tion, labour exploitation and trafficking in persons, and to p</w:t>
      </w:r>
      <w:r w:rsidRPr="00161456">
        <w:t>rosecute and punish such acts</w:t>
      </w:r>
      <w:r w:rsidR="00406F07">
        <w:t>;</w:t>
      </w:r>
    </w:p>
    <w:p w:rsidR="00EC7A38" w:rsidRDefault="00EC7A38" w:rsidP="00151C24">
      <w:pPr>
        <w:pStyle w:val="SingleTxtG"/>
        <w:ind w:firstLine="567"/>
      </w:pPr>
      <w:r>
        <w:t>(d)</w:t>
      </w:r>
      <w:r>
        <w:tab/>
        <w:t>A</w:t>
      </w:r>
      <w:r w:rsidRPr="00161456">
        <w:t>ssist</w:t>
      </w:r>
      <w:r w:rsidR="007D06D7">
        <w:t>ance</w:t>
      </w:r>
      <w:r w:rsidRPr="00161456">
        <w:t xml:space="preserve"> and protect</w:t>
      </w:r>
      <w:r w:rsidR="007D06D7">
        <w:t xml:space="preserve">ion </w:t>
      </w:r>
      <w:r w:rsidR="00151C24">
        <w:t>for</w:t>
      </w:r>
      <w:r w:rsidRPr="00161456">
        <w:t xml:space="preserve"> the victims of sexual exploitation and trafficking</w:t>
      </w:r>
      <w:r w:rsidR="00151C24">
        <w:t>,</w:t>
      </w:r>
      <w:r w:rsidRPr="00161456">
        <w:t xml:space="preserve"> regardless of thei</w:t>
      </w:r>
      <w:r>
        <w:t xml:space="preserve">r cooperation in investigations, and reparation </w:t>
      </w:r>
      <w:r w:rsidR="00151C24">
        <w:t>for</w:t>
      </w:r>
      <w:r>
        <w:t xml:space="preserve"> victims</w:t>
      </w:r>
      <w:r w:rsidR="00406F07">
        <w:t>;</w:t>
      </w:r>
      <w:r>
        <w:t xml:space="preserve"> </w:t>
      </w:r>
    </w:p>
    <w:p w:rsidR="00EC7A38" w:rsidRDefault="00EC7A38" w:rsidP="003B2D58">
      <w:pPr>
        <w:pStyle w:val="SingleTxtG"/>
        <w:ind w:firstLine="567"/>
      </w:pPr>
      <w:r>
        <w:t>(e)</w:t>
      </w:r>
      <w:r>
        <w:tab/>
      </w:r>
      <w:r w:rsidR="007D06D7">
        <w:t>Efforts to e</w:t>
      </w:r>
      <w:r w:rsidRPr="00161456">
        <w:t>nsure that victims of sexual exploitation and trafficking, including children, are not arrested, subjected to lengthy detention and deported</w:t>
      </w:r>
      <w:r w:rsidR="003B2D58">
        <w:t>,</w:t>
      </w:r>
      <w:r w:rsidRPr="00161456">
        <w:t xml:space="preserve"> for breach of </w:t>
      </w:r>
      <w:r>
        <w:t>im</w:t>
      </w:r>
      <w:r w:rsidRPr="00161456">
        <w:t>migration regulations</w:t>
      </w:r>
      <w:r w:rsidR="00406F07">
        <w:t>; and</w:t>
      </w:r>
      <w:r>
        <w:t xml:space="preserve"> </w:t>
      </w:r>
    </w:p>
    <w:p w:rsidR="00EC7A38" w:rsidRDefault="00EC7A38" w:rsidP="00DC45D0">
      <w:pPr>
        <w:pStyle w:val="SingleTxtG"/>
        <w:ind w:firstLine="567"/>
      </w:pPr>
      <w:r>
        <w:t>(f)</w:t>
      </w:r>
      <w:r>
        <w:tab/>
      </w:r>
      <w:r w:rsidR="007D06D7">
        <w:t>Measures to c</w:t>
      </w:r>
      <w:r w:rsidRPr="00F17E38">
        <w:t>ombat child sex tourism</w:t>
      </w:r>
      <w:r>
        <w:t xml:space="preserve">. </w:t>
      </w:r>
    </w:p>
    <w:p w:rsidR="00EC7A38" w:rsidRDefault="00EC7A38" w:rsidP="003B2D58">
      <w:pPr>
        <w:pStyle w:val="SingleTxtG"/>
        <w:numPr>
          <w:ilvl w:val="0"/>
          <w:numId w:val="3"/>
        </w:numPr>
        <w:tabs>
          <w:tab w:val="clear" w:pos="2835"/>
        </w:tabs>
        <w:ind w:left="1134"/>
      </w:pPr>
      <w:r>
        <w:t>What specific measures is the State party taking or planning to take to protect foreign labourers employed in the berry</w:t>
      </w:r>
      <w:r w:rsidR="003B2D58">
        <w:t>-</w:t>
      </w:r>
      <w:r>
        <w:t xml:space="preserve">picking sector from labour exploitation, inadequate </w:t>
      </w:r>
      <w:r w:rsidR="003B2D58">
        <w:t>living conditions</w:t>
      </w:r>
      <w:r>
        <w:t xml:space="preserve"> and debt bondage</w:t>
      </w:r>
      <w:r w:rsidR="00406F07">
        <w:t>?</w:t>
      </w:r>
    </w:p>
    <w:p w:rsidR="00EC7A38" w:rsidRDefault="00EC7A38" w:rsidP="00FD7649">
      <w:pPr>
        <w:pStyle w:val="H23G"/>
      </w:pPr>
      <w:r w:rsidRPr="00285CAC">
        <w:rPr>
          <w:lang w:eastAsia="zh-CN"/>
        </w:rPr>
        <w:tab/>
      </w:r>
      <w:r w:rsidRPr="00285CAC">
        <w:rPr>
          <w:lang w:eastAsia="zh-CN"/>
        </w:rPr>
        <w:tab/>
      </w:r>
      <w:r w:rsidR="007D06D7">
        <w:rPr>
          <w:lang w:eastAsia="zh-CN"/>
        </w:rPr>
        <w:t>Refugees and asylum</w:t>
      </w:r>
      <w:r w:rsidR="003B2D58">
        <w:rPr>
          <w:lang w:eastAsia="zh-CN"/>
        </w:rPr>
        <w:t xml:space="preserve"> </w:t>
      </w:r>
      <w:r w:rsidR="007D06D7">
        <w:rPr>
          <w:lang w:eastAsia="zh-CN"/>
        </w:rPr>
        <w:t>seekers</w:t>
      </w:r>
      <w:r w:rsidRPr="00402619">
        <w:t xml:space="preserve"> (arts. 2, </w:t>
      </w:r>
      <w:r w:rsidR="002D3E8D">
        <w:t xml:space="preserve">7, 9, </w:t>
      </w:r>
      <w:r w:rsidRPr="00402619">
        <w:t>13</w:t>
      </w:r>
      <w:r w:rsidR="002D3E8D">
        <w:t xml:space="preserve">, </w:t>
      </w:r>
      <w:r w:rsidRPr="00402619">
        <w:t>14</w:t>
      </w:r>
      <w:r w:rsidR="002D3E8D">
        <w:t xml:space="preserve"> and 24</w:t>
      </w:r>
      <w:r w:rsidRPr="00402619">
        <w:t>)</w:t>
      </w:r>
      <w:r>
        <w:rPr>
          <w:lang w:eastAsia="zh-CN"/>
        </w:rPr>
        <w:t xml:space="preserve"> </w:t>
      </w:r>
    </w:p>
    <w:p w:rsidR="00EC7A38" w:rsidRDefault="00EC7A38" w:rsidP="00DC45D0">
      <w:pPr>
        <w:pStyle w:val="SingleTxtG"/>
        <w:numPr>
          <w:ilvl w:val="0"/>
          <w:numId w:val="3"/>
        </w:numPr>
        <w:tabs>
          <w:tab w:val="clear" w:pos="2835"/>
        </w:tabs>
        <w:ind w:left="1134"/>
      </w:pPr>
      <w:r w:rsidRPr="00402619">
        <w:t>Please provid</w:t>
      </w:r>
      <w:r>
        <w:t xml:space="preserve">e </w:t>
      </w:r>
      <w:r w:rsidRPr="00402619">
        <w:t>updated information on:</w:t>
      </w:r>
      <w:r>
        <w:t xml:space="preserve"> </w:t>
      </w:r>
    </w:p>
    <w:p w:rsidR="00EC7A38" w:rsidRDefault="00EC7A38" w:rsidP="003B2D58">
      <w:pPr>
        <w:pStyle w:val="SingleTxtG"/>
        <w:ind w:firstLine="567"/>
      </w:pPr>
      <w:r>
        <w:t>(a)</w:t>
      </w:r>
      <w:r>
        <w:tab/>
      </w:r>
      <w:r w:rsidR="003B2D58">
        <w:t>The c</w:t>
      </w:r>
      <w:r w:rsidRPr="00172783">
        <w:t xml:space="preserve">ompatibility </w:t>
      </w:r>
      <w:r>
        <w:t xml:space="preserve">with the Covenant, in particular its </w:t>
      </w:r>
      <w:r w:rsidRPr="004B2C2F">
        <w:t>articles 13 and 14</w:t>
      </w:r>
      <w:r>
        <w:t xml:space="preserve">, of the laws and practices concerning </w:t>
      </w:r>
      <w:r w:rsidR="003B2D58">
        <w:t xml:space="preserve">returns of refugees and asylum </w:t>
      </w:r>
      <w:r>
        <w:t xml:space="preserve">seekers from the territory of the State party, including the </w:t>
      </w:r>
      <w:r w:rsidRPr="004B2C2F">
        <w:t>accelerated procedures under the Aliens Act</w:t>
      </w:r>
      <w:r w:rsidR="00406F07">
        <w:t>;</w:t>
      </w:r>
      <w:r>
        <w:t xml:space="preserve"> </w:t>
      </w:r>
    </w:p>
    <w:p w:rsidR="00EC7A38" w:rsidRDefault="00EC7A38" w:rsidP="00634FD7">
      <w:pPr>
        <w:pStyle w:val="SingleTxtG"/>
        <w:ind w:firstLine="567"/>
      </w:pPr>
      <w:r>
        <w:t>(b)</w:t>
      </w:r>
      <w:r>
        <w:tab/>
        <w:t>Grounds for expulsion and the procedures leading to it</w:t>
      </w:r>
      <w:r w:rsidR="00634FD7">
        <w:t>,</w:t>
      </w:r>
      <w:r>
        <w:t xml:space="preserve"> including those for reaching a decision on the legality or illegality of </w:t>
      </w:r>
      <w:r w:rsidR="00634FD7">
        <w:t>a person’s stay</w:t>
      </w:r>
      <w:r w:rsidR="00C36F52">
        <w:t xml:space="preserve"> in the country</w:t>
      </w:r>
      <w:r w:rsidR="00406F07">
        <w:t>; and</w:t>
      </w:r>
      <w:r w:rsidR="00C36F52">
        <w:t xml:space="preserve"> </w:t>
      </w:r>
    </w:p>
    <w:p w:rsidR="00EC7A38" w:rsidRDefault="00EC7A38" w:rsidP="00C36F52">
      <w:pPr>
        <w:pStyle w:val="SingleTxtG"/>
        <w:ind w:firstLine="567"/>
      </w:pPr>
      <w:r>
        <w:t>(c)</w:t>
      </w:r>
      <w:r>
        <w:tab/>
        <w:t xml:space="preserve">Efforts to </w:t>
      </w:r>
      <w:r w:rsidRPr="006C5DD2">
        <w:t>limit the length of detention</w:t>
      </w:r>
      <w:r w:rsidR="003B2D58">
        <w:t xml:space="preserve"> of asylum </w:t>
      </w:r>
      <w:r>
        <w:t xml:space="preserve">seekers </w:t>
      </w:r>
      <w:r w:rsidRPr="00EA02E1">
        <w:t>(CCPR/C/SWE/CO/6, para. 17)</w:t>
      </w:r>
      <w:r>
        <w:t>.</w:t>
      </w:r>
      <w:r w:rsidR="00B30285">
        <w:t xml:space="preserve"> </w:t>
      </w:r>
    </w:p>
    <w:p w:rsidR="00EC7A38" w:rsidRDefault="00EC7A38" w:rsidP="00FA6FF5">
      <w:pPr>
        <w:pStyle w:val="SingleTxtG"/>
        <w:numPr>
          <w:ilvl w:val="0"/>
          <w:numId w:val="3"/>
        </w:numPr>
        <w:tabs>
          <w:tab w:val="clear" w:pos="2835"/>
        </w:tabs>
        <w:ind w:left="1134"/>
      </w:pPr>
      <w:r>
        <w:t xml:space="preserve">Please provide updated information on cases in which the State party has relied on diplomatic assurances since the adoption of its last concluding observations and describe in detail the mechanisms, including judicial mechanisms, put in place to ensure that the State party’s reliance on assurances fully met its obligations under the Covenant. Please clarify, </w:t>
      </w:r>
      <w:r w:rsidRPr="00D806EB">
        <w:t xml:space="preserve">in the context of “qualified security cases” under the Act </w:t>
      </w:r>
      <w:r w:rsidR="00FA6FF5">
        <w:t>concerning</w:t>
      </w:r>
      <w:r w:rsidRPr="00D806EB">
        <w:t xml:space="preserve"> Special Control</w:t>
      </w:r>
      <w:r w:rsidR="00FA6FF5">
        <w:t>s in Respect</w:t>
      </w:r>
      <w:r w:rsidRPr="00D806EB">
        <w:t xml:space="preserve"> of Aliens, </w:t>
      </w:r>
      <w:r w:rsidRPr="00BD7B36">
        <w:t>wha</w:t>
      </w:r>
      <w:r>
        <w:t>t circumstances are considered by the Migration Court of Appeal as impediments to the enforcement of expulsion orders.</w:t>
      </w:r>
      <w:r w:rsidR="00B30285">
        <w:t xml:space="preserve"> </w:t>
      </w:r>
    </w:p>
    <w:p w:rsidR="00EC7A38" w:rsidRDefault="00EC7A38" w:rsidP="00DC45D0">
      <w:pPr>
        <w:pStyle w:val="SingleTxtG"/>
        <w:numPr>
          <w:ilvl w:val="0"/>
          <w:numId w:val="3"/>
        </w:numPr>
        <w:tabs>
          <w:tab w:val="clear" w:pos="2835"/>
        </w:tabs>
        <w:ind w:left="1134"/>
      </w:pPr>
      <w:r>
        <w:t>Please provide information on the alleged forced repatriation of 531 Iraqi nationals in 2012 and specify the measures and mechanisms put in place to ensure that this specific repatriation and other deportations of this kind do not result in a violation of the rights protected under the Covenant.</w:t>
      </w:r>
    </w:p>
    <w:p w:rsidR="00EC7A38" w:rsidRDefault="00EC7A38" w:rsidP="00664595">
      <w:pPr>
        <w:pStyle w:val="SingleTxtG"/>
        <w:numPr>
          <w:ilvl w:val="0"/>
          <w:numId w:val="3"/>
        </w:numPr>
        <w:tabs>
          <w:tab w:val="clear" w:pos="2835"/>
        </w:tabs>
        <w:ind w:left="1134"/>
      </w:pPr>
      <w:r w:rsidRPr="00402619">
        <w:t>Please</w:t>
      </w:r>
      <w:r w:rsidRPr="00172783">
        <w:t xml:space="preserve"> assess the implementation of the EU-funded European Return Platform for Unaccompanied Minors</w:t>
      </w:r>
      <w:r w:rsidR="00664595">
        <w:t>, which is</w:t>
      </w:r>
      <w:r w:rsidRPr="00172783">
        <w:t xml:space="preserve"> intended to initiate the return of unaccompanied children to </w:t>
      </w:r>
      <w:r w:rsidR="00F5600B">
        <w:t xml:space="preserve">their </w:t>
      </w:r>
      <w:r w:rsidRPr="00172783">
        <w:t>countries of origin</w:t>
      </w:r>
      <w:r w:rsidR="00F5600B">
        <w:t>,</w:t>
      </w:r>
      <w:r w:rsidRPr="00172783">
        <w:t xml:space="preserve"> despite often serious risks of violence, military recruitment and destitution, which may give rise to the violations of the Covenant</w:t>
      </w:r>
      <w:r>
        <w:t xml:space="preserve">. Please also </w:t>
      </w:r>
      <w:r w:rsidRPr="00172783">
        <w:t xml:space="preserve">indicate the number of unaccompanied </w:t>
      </w:r>
      <w:r>
        <w:t xml:space="preserve">children </w:t>
      </w:r>
      <w:r w:rsidRPr="00172783">
        <w:t>who ha</w:t>
      </w:r>
      <w:r w:rsidR="003B7667">
        <w:t>ve</w:t>
      </w:r>
      <w:r w:rsidRPr="00172783">
        <w:t xml:space="preserve"> been returned thus far.</w:t>
      </w:r>
      <w:r>
        <w:t xml:space="preserve"> </w:t>
      </w:r>
    </w:p>
    <w:p w:rsidR="00EC7A38" w:rsidRPr="00577773" w:rsidRDefault="00EC7A38" w:rsidP="00FD7649">
      <w:pPr>
        <w:pStyle w:val="H23G"/>
        <w:rPr>
          <w:lang w:eastAsia="zh-CN"/>
        </w:rPr>
      </w:pPr>
      <w:r>
        <w:rPr>
          <w:lang w:eastAsia="zh-CN"/>
        </w:rPr>
        <w:tab/>
      </w:r>
      <w:r>
        <w:rPr>
          <w:lang w:eastAsia="zh-CN"/>
        </w:rPr>
        <w:tab/>
      </w:r>
      <w:r w:rsidR="00F85E29">
        <w:rPr>
          <w:lang w:eastAsia="zh-CN"/>
        </w:rPr>
        <w:t>Protection of minority groups</w:t>
      </w:r>
      <w:r w:rsidRPr="00577773">
        <w:rPr>
          <w:lang w:eastAsia="zh-CN"/>
        </w:rPr>
        <w:t xml:space="preserve"> (arts. </w:t>
      </w:r>
      <w:r>
        <w:rPr>
          <w:lang w:eastAsia="zh-CN"/>
        </w:rPr>
        <w:t xml:space="preserve">2, 9, </w:t>
      </w:r>
      <w:r w:rsidR="00F85E29">
        <w:rPr>
          <w:lang w:eastAsia="zh-CN"/>
        </w:rPr>
        <w:t xml:space="preserve">18, </w:t>
      </w:r>
      <w:r w:rsidRPr="00577773">
        <w:rPr>
          <w:lang w:eastAsia="zh-CN"/>
        </w:rPr>
        <w:t>19</w:t>
      </w:r>
      <w:r>
        <w:rPr>
          <w:lang w:eastAsia="zh-CN"/>
        </w:rPr>
        <w:t xml:space="preserve">, </w:t>
      </w:r>
      <w:r w:rsidRPr="00577773">
        <w:rPr>
          <w:lang w:eastAsia="zh-CN"/>
        </w:rPr>
        <w:t>20</w:t>
      </w:r>
      <w:r>
        <w:rPr>
          <w:lang w:eastAsia="zh-CN"/>
        </w:rPr>
        <w:t xml:space="preserve"> and 26</w:t>
      </w:r>
      <w:r w:rsidRPr="00577773">
        <w:rPr>
          <w:lang w:eastAsia="zh-CN"/>
        </w:rPr>
        <w:t>)</w:t>
      </w:r>
    </w:p>
    <w:p w:rsidR="00EC7A38" w:rsidRDefault="00EC7A38" w:rsidP="00036F8C">
      <w:pPr>
        <w:pStyle w:val="SingleTxtG"/>
        <w:numPr>
          <w:ilvl w:val="0"/>
          <w:numId w:val="3"/>
        </w:numPr>
        <w:tabs>
          <w:tab w:val="clear" w:pos="2835"/>
        </w:tabs>
        <w:ind w:left="1134"/>
        <w:rPr>
          <w:lang w:eastAsia="zh-CN"/>
        </w:rPr>
      </w:pPr>
      <w:r w:rsidRPr="00393490">
        <w:rPr>
          <w:lang w:eastAsia="zh-CN"/>
        </w:rPr>
        <w:t xml:space="preserve">In </w:t>
      </w:r>
      <w:r>
        <w:rPr>
          <w:lang w:eastAsia="zh-CN"/>
        </w:rPr>
        <w:t>light of the Committee’s previous concluding recommendations (CCPR/C/SWE/CO/6, para. 19), please provide updated information on</w:t>
      </w:r>
      <w:r w:rsidR="001D0FD0">
        <w:rPr>
          <w:lang w:eastAsia="zh-CN"/>
        </w:rPr>
        <w:t xml:space="preserve"> </w:t>
      </w:r>
      <w:r w:rsidR="00406F07">
        <w:rPr>
          <w:lang w:eastAsia="zh-CN"/>
        </w:rPr>
        <w:t>the measures</w:t>
      </w:r>
      <w:r>
        <w:rPr>
          <w:lang w:eastAsia="zh-CN"/>
        </w:rPr>
        <w:t xml:space="preserve"> taken to prevent</w:t>
      </w:r>
      <w:r w:rsidR="001D0FD0">
        <w:rPr>
          <w:lang w:eastAsia="zh-CN"/>
        </w:rPr>
        <w:t>,</w:t>
      </w:r>
      <w:r>
        <w:rPr>
          <w:lang w:eastAsia="zh-CN"/>
        </w:rPr>
        <w:t xml:space="preserve"> combat </w:t>
      </w:r>
      <w:r w:rsidR="001D0FD0">
        <w:rPr>
          <w:lang w:eastAsia="zh-CN"/>
        </w:rPr>
        <w:t xml:space="preserve">and criminalize </w:t>
      </w:r>
      <w:r>
        <w:rPr>
          <w:lang w:eastAsia="zh-CN"/>
        </w:rPr>
        <w:t xml:space="preserve">hate speech, which </w:t>
      </w:r>
      <w:r w:rsidRPr="00393490">
        <w:rPr>
          <w:lang w:eastAsia="zh-CN"/>
        </w:rPr>
        <w:t>ha</w:t>
      </w:r>
      <w:r>
        <w:rPr>
          <w:lang w:eastAsia="zh-CN"/>
        </w:rPr>
        <w:t>s</w:t>
      </w:r>
      <w:r w:rsidRPr="00393490">
        <w:rPr>
          <w:lang w:eastAsia="zh-CN"/>
        </w:rPr>
        <w:t xml:space="preserve"> </w:t>
      </w:r>
      <w:r>
        <w:rPr>
          <w:lang w:eastAsia="zh-CN"/>
        </w:rPr>
        <w:t xml:space="preserve">reportedly </w:t>
      </w:r>
      <w:r w:rsidRPr="00393490">
        <w:rPr>
          <w:lang w:eastAsia="zh-CN"/>
        </w:rPr>
        <w:t xml:space="preserve">been </w:t>
      </w:r>
      <w:r>
        <w:rPr>
          <w:lang w:eastAsia="zh-CN"/>
        </w:rPr>
        <w:t xml:space="preserve">on the rise against Muslims, Afro-Swedes, Roma and Jews. Please </w:t>
      </w:r>
      <w:r w:rsidR="001D0FD0">
        <w:rPr>
          <w:lang w:eastAsia="zh-CN"/>
        </w:rPr>
        <w:t xml:space="preserve">also indicate </w:t>
      </w:r>
      <w:r>
        <w:rPr>
          <w:lang w:eastAsia="zh-CN"/>
        </w:rPr>
        <w:t xml:space="preserve">whether the State party intends to address </w:t>
      </w:r>
      <w:r w:rsidR="00664595">
        <w:rPr>
          <w:lang w:eastAsia="zh-CN"/>
        </w:rPr>
        <w:t xml:space="preserve">the question of </w:t>
      </w:r>
      <w:r>
        <w:rPr>
          <w:lang w:eastAsia="zh-CN"/>
        </w:rPr>
        <w:t>hateful online messages directed against members of such groups.</w:t>
      </w:r>
      <w:r w:rsidR="001D0FD0">
        <w:rPr>
          <w:lang w:eastAsia="zh-CN"/>
        </w:rPr>
        <w:t xml:space="preserve"> Moreover, please comment on the effectiveness of the me</w:t>
      </w:r>
      <w:r w:rsidR="001D0FD0" w:rsidRPr="001D0FD0">
        <w:rPr>
          <w:lang w:eastAsia="zh-CN"/>
        </w:rPr>
        <w:t xml:space="preserve">asures </w:t>
      </w:r>
      <w:r w:rsidR="001D0FD0">
        <w:rPr>
          <w:lang w:eastAsia="zh-CN"/>
        </w:rPr>
        <w:t xml:space="preserve">taken </w:t>
      </w:r>
      <w:r w:rsidR="001D0FD0" w:rsidRPr="001D0FD0">
        <w:rPr>
          <w:lang w:eastAsia="zh-CN"/>
        </w:rPr>
        <w:t xml:space="preserve">to curb hate speech and hate crimes and </w:t>
      </w:r>
      <w:r w:rsidR="001D0FD0">
        <w:rPr>
          <w:lang w:eastAsia="zh-CN"/>
        </w:rPr>
        <w:t xml:space="preserve">clarify </w:t>
      </w:r>
      <w:r w:rsidR="001D0FD0" w:rsidRPr="001D0FD0">
        <w:rPr>
          <w:lang w:eastAsia="zh-CN"/>
        </w:rPr>
        <w:t>whether the</w:t>
      </w:r>
      <w:r w:rsidR="00036F8C">
        <w:rPr>
          <w:lang w:eastAsia="zh-CN"/>
        </w:rPr>
        <w:t>se</w:t>
      </w:r>
      <w:r w:rsidR="001D0FD0" w:rsidRPr="001D0FD0">
        <w:rPr>
          <w:lang w:eastAsia="zh-CN"/>
        </w:rPr>
        <w:t xml:space="preserve"> are applied throughout the country.</w:t>
      </w:r>
    </w:p>
    <w:p w:rsidR="00EC7A38" w:rsidRPr="00A75903" w:rsidRDefault="00EC7A38" w:rsidP="00DA3818">
      <w:pPr>
        <w:pStyle w:val="SingleTxtG"/>
        <w:numPr>
          <w:ilvl w:val="0"/>
          <w:numId w:val="3"/>
        </w:numPr>
        <w:tabs>
          <w:tab w:val="clear" w:pos="2835"/>
        </w:tabs>
        <w:ind w:left="1134"/>
        <w:rPr>
          <w:lang w:eastAsia="zh-CN"/>
        </w:rPr>
      </w:pPr>
      <w:r w:rsidRPr="00402619">
        <w:rPr>
          <w:lang w:eastAsia="zh-CN"/>
        </w:rPr>
        <w:t xml:space="preserve">Given the reported increase </w:t>
      </w:r>
      <w:r w:rsidR="00036F8C">
        <w:rPr>
          <w:lang w:eastAsia="zh-CN"/>
        </w:rPr>
        <w:t>in</w:t>
      </w:r>
      <w:r w:rsidRPr="00402619">
        <w:rPr>
          <w:lang w:eastAsia="zh-CN"/>
        </w:rPr>
        <w:t xml:space="preserve"> hate crimes</w:t>
      </w:r>
      <w:r w:rsidR="00036F8C">
        <w:rPr>
          <w:lang w:eastAsia="zh-CN"/>
        </w:rPr>
        <w:t>,</w:t>
      </w:r>
      <w:r w:rsidRPr="00402619">
        <w:rPr>
          <w:lang w:eastAsia="zh-CN"/>
        </w:rPr>
        <w:t xml:space="preserve"> including physical assaults against members of religious minorities including Muslims and Jews, and </w:t>
      </w:r>
      <w:r w:rsidR="00FA6FF5">
        <w:rPr>
          <w:lang w:eastAsia="zh-CN"/>
        </w:rPr>
        <w:t xml:space="preserve">attacks against </w:t>
      </w:r>
      <w:r w:rsidRPr="00402619">
        <w:rPr>
          <w:lang w:eastAsia="zh-CN"/>
        </w:rPr>
        <w:t>their places of worship, please provide information on measures taken to ensure equal enjoyment of the right to freedom of religion or belief in full conformity with article 18 of the Covenant. Please elaborate on the efforts to review school textbooks and material</w:t>
      </w:r>
      <w:r w:rsidR="00264978">
        <w:rPr>
          <w:lang w:eastAsia="zh-CN"/>
        </w:rPr>
        <w:t>s</w:t>
      </w:r>
      <w:r w:rsidRPr="00402619">
        <w:rPr>
          <w:lang w:eastAsia="zh-CN"/>
        </w:rPr>
        <w:t xml:space="preserve"> in order to prevent stereotypes and discriminatory attitudes towards minority congregations</w:t>
      </w:r>
      <w:r>
        <w:rPr>
          <w:lang w:eastAsia="zh-CN"/>
        </w:rPr>
        <w:t xml:space="preserve">. </w:t>
      </w:r>
      <w:r w:rsidR="00DA3818">
        <w:rPr>
          <w:lang w:eastAsia="zh-CN"/>
        </w:rPr>
        <w:t>Please a</w:t>
      </w:r>
      <w:r>
        <w:rPr>
          <w:lang w:eastAsia="zh-CN"/>
        </w:rPr>
        <w:t>lso indicate whether the State party intends to address the chronic negative portrayal</w:t>
      </w:r>
      <w:r w:rsidR="00DA3818">
        <w:rPr>
          <w:lang w:eastAsia="zh-CN"/>
        </w:rPr>
        <w:t xml:space="preserve"> in the media</w:t>
      </w:r>
      <w:r>
        <w:rPr>
          <w:lang w:eastAsia="zh-CN"/>
        </w:rPr>
        <w:t xml:space="preserve"> of members of the Muslim minority.</w:t>
      </w:r>
      <w:r w:rsidR="00B30285">
        <w:rPr>
          <w:lang w:eastAsia="zh-CN"/>
        </w:rPr>
        <w:t xml:space="preserve"> </w:t>
      </w:r>
    </w:p>
    <w:p w:rsidR="00EC7A38" w:rsidRPr="00502022" w:rsidRDefault="00EC7A38" w:rsidP="00EC7A38">
      <w:pPr>
        <w:pStyle w:val="H23G"/>
        <w:rPr>
          <w:lang w:eastAsia="zh-CN"/>
        </w:rPr>
      </w:pPr>
      <w:r>
        <w:rPr>
          <w:lang w:eastAsia="zh-CN"/>
        </w:rPr>
        <w:tab/>
      </w:r>
      <w:r>
        <w:rPr>
          <w:lang w:eastAsia="zh-CN"/>
        </w:rPr>
        <w:tab/>
      </w:r>
      <w:r w:rsidR="004E3B49">
        <w:rPr>
          <w:lang w:eastAsia="zh-CN"/>
        </w:rPr>
        <w:t xml:space="preserve">Indigenous peoples </w:t>
      </w:r>
      <w:r w:rsidRPr="00402619">
        <w:rPr>
          <w:lang w:eastAsia="zh-CN"/>
        </w:rPr>
        <w:t>(arts. 1, 2, 14, 25, 26 and 27)</w:t>
      </w:r>
    </w:p>
    <w:p w:rsidR="00EC7A38" w:rsidRDefault="00EC7A38" w:rsidP="00406F07">
      <w:pPr>
        <w:pStyle w:val="SingleTxtG"/>
        <w:numPr>
          <w:ilvl w:val="0"/>
          <w:numId w:val="3"/>
        </w:numPr>
        <w:tabs>
          <w:tab w:val="clear" w:pos="2835"/>
        </w:tabs>
        <w:ind w:left="1134"/>
        <w:rPr>
          <w:lang w:eastAsia="zh-CN"/>
        </w:rPr>
      </w:pPr>
      <w:r>
        <w:rPr>
          <w:lang w:eastAsia="zh-CN"/>
        </w:rPr>
        <w:t>In light of the</w:t>
      </w:r>
      <w:r w:rsidR="00DA3818">
        <w:rPr>
          <w:lang w:eastAsia="zh-CN"/>
        </w:rPr>
        <w:t xml:space="preserve"> Committee’s</w:t>
      </w:r>
      <w:r>
        <w:rPr>
          <w:lang w:eastAsia="zh-CN"/>
        </w:rPr>
        <w:t xml:space="preserve"> previous concluding observations, p</w:t>
      </w:r>
      <w:r w:rsidRPr="00402619">
        <w:rPr>
          <w:lang w:eastAsia="zh-CN"/>
        </w:rPr>
        <w:t>lease provide updated information on:</w:t>
      </w:r>
      <w:r>
        <w:rPr>
          <w:lang w:eastAsia="zh-CN"/>
        </w:rPr>
        <w:t xml:space="preserve"> </w:t>
      </w:r>
    </w:p>
    <w:p w:rsidR="00EC7A38" w:rsidRPr="00D22465" w:rsidRDefault="00EC7A38" w:rsidP="00DA3818">
      <w:pPr>
        <w:pStyle w:val="SingleTxtG"/>
        <w:ind w:firstLine="567"/>
        <w:rPr>
          <w:lang w:eastAsia="zh-CN"/>
        </w:rPr>
      </w:pPr>
      <w:r>
        <w:rPr>
          <w:lang w:eastAsia="zh-CN"/>
        </w:rPr>
        <w:t>(a)</w:t>
      </w:r>
      <w:r>
        <w:rPr>
          <w:lang w:eastAsia="zh-CN"/>
        </w:rPr>
        <w:tab/>
        <w:t xml:space="preserve">Legislative and other measures that have been adopted to ensure respect for the right of Sami communities to offer free, prior and informed consent and effective participation in decision-making whenever their rights may be affected by projects, including </w:t>
      </w:r>
      <w:r w:rsidR="00DA3818">
        <w:rPr>
          <w:lang w:eastAsia="zh-CN"/>
        </w:rPr>
        <w:t>for the extraction of</w:t>
      </w:r>
      <w:r>
        <w:rPr>
          <w:lang w:eastAsia="zh-CN"/>
        </w:rPr>
        <w:t xml:space="preserve"> natural resources, carried out in their </w:t>
      </w:r>
      <w:r w:rsidRPr="00D22465">
        <w:rPr>
          <w:lang w:eastAsia="zh-CN"/>
        </w:rPr>
        <w:t xml:space="preserve">traditional territories and impacting </w:t>
      </w:r>
      <w:r w:rsidR="00DA3818">
        <w:rPr>
          <w:lang w:eastAsia="zh-CN"/>
        </w:rPr>
        <w:t xml:space="preserve">on </w:t>
      </w:r>
      <w:r w:rsidRPr="00D22465">
        <w:rPr>
          <w:lang w:eastAsia="zh-CN"/>
        </w:rPr>
        <w:t>the means of subsistence for the Sami people (CCPR/C/SWE/CO/6,</w:t>
      </w:r>
      <w:r w:rsidR="00EE7035">
        <w:rPr>
          <w:lang w:eastAsia="zh-CN"/>
        </w:rPr>
        <w:br/>
      </w:r>
      <w:r w:rsidRPr="00D22465">
        <w:rPr>
          <w:lang w:eastAsia="zh-CN"/>
        </w:rPr>
        <w:t>para. 20)</w:t>
      </w:r>
      <w:r w:rsidR="00406F07">
        <w:rPr>
          <w:lang w:eastAsia="zh-CN"/>
        </w:rPr>
        <w:t>;</w:t>
      </w:r>
      <w:r w:rsidRPr="00D22465">
        <w:rPr>
          <w:lang w:eastAsia="zh-CN"/>
        </w:rPr>
        <w:t xml:space="preserve"> </w:t>
      </w:r>
    </w:p>
    <w:p w:rsidR="00EC7A38" w:rsidRPr="00E16B84" w:rsidRDefault="00EC7A38" w:rsidP="00406F07">
      <w:pPr>
        <w:pStyle w:val="SingleTxtG"/>
        <w:ind w:firstLine="567"/>
        <w:rPr>
          <w:lang w:eastAsia="zh-CN"/>
        </w:rPr>
      </w:pPr>
      <w:r>
        <w:rPr>
          <w:lang w:eastAsia="zh-CN"/>
        </w:rPr>
        <w:t>(b)</w:t>
      </w:r>
      <w:r w:rsidRPr="00D22465">
        <w:rPr>
          <w:lang w:eastAsia="zh-CN"/>
        </w:rPr>
        <w:tab/>
        <w:t>Measures that have been taken to facilitate the adoption of the new legislation on Sami land and resource rights, in consultation with th</w:t>
      </w:r>
      <w:r w:rsidRPr="00852267">
        <w:rPr>
          <w:lang w:eastAsia="zh-CN"/>
        </w:rPr>
        <w:t xml:space="preserve">e </w:t>
      </w:r>
      <w:r w:rsidR="00406F07" w:rsidRPr="00852267">
        <w:rPr>
          <w:lang w:eastAsia="zh-CN"/>
        </w:rPr>
        <w:t>communities concerned</w:t>
      </w:r>
      <w:r w:rsidRPr="00D22465">
        <w:rPr>
          <w:lang w:eastAsia="zh-CN"/>
        </w:rPr>
        <w:t xml:space="preserve"> (CCPR/C/SWE/CO/6, para. 20)</w:t>
      </w:r>
      <w:r w:rsidR="00406F07">
        <w:rPr>
          <w:lang w:eastAsia="zh-CN"/>
        </w:rPr>
        <w:t>,</w:t>
      </w:r>
      <w:r w:rsidRPr="00D22465">
        <w:rPr>
          <w:lang w:eastAsia="zh-CN"/>
        </w:rPr>
        <w:t xml:space="preserve"> and </w:t>
      </w:r>
      <w:r w:rsidR="00406F07">
        <w:rPr>
          <w:lang w:eastAsia="zh-CN"/>
        </w:rPr>
        <w:t xml:space="preserve">the </w:t>
      </w:r>
      <w:r w:rsidRPr="00D22465">
        <w:rPr>
          <w:lang w:eastAsia="zh-CN"/>
        </w:rPr>
        <w:t xml:space="preserve">measures envisaged to contribute to the timely </w:t>
      </w:r>
      <w:r w:rsidRPr="00E16B84">
        <w:rPr>
          <w:lang w:eastAsia="zh-CN"/>
        </w:rPr>
        <w:t>negotiation and adoption of a Nordic Sami Convention</w:t>
      </w:r>
      <w:r w:rsidR="00406F07" w:rsidRPr="00E16B84">
        <w:rPr>
          <w:lang w:eastAsia="zh-CN"/>
        </w:rPr>
        <w:t>; and</w:t>
      </w:r>
      <w:r w:rsidR="00B30285" w:rsidRPr="00E16B84">
        <w:rPr>
          <w:lang w:eastAsia="zh-CN"/>
        </w:rPr>
        <w:t xml:space="preserve"> </w:t>
      </w:r>
    </w:p>
    <w:p w:rsidR="00EC7A38" w:rsidRDefault="00EC7A38" w:rsidP="00852267">
      <w:pPr>
        <w:pStyle w:val="SingleTxtG"/>
        <w:ind w:firstLine="567"/>
        <w:rPr>
          <w:lang w:eastAsia="zh-CN"/>
        </w:rPr>
      </w:pPr>
      <w:r w:rsidRPr="00E16B84">
        <w:rPr>
          <w:lang w:eastAsia="zh-CN"/>
        </w:rPr>
        <w:t>(c)</w:t>
      </w:r>
      <w:r w:rsidRPr="00E16B84">
        <w:rPr>
          <w:lang w:eastAsia="zh-CN"/>
        </w:rPr>
        <w:tab/>
        <w:t xml:space="preserve">Steps taken to grant adequate legal aid to Sami villages in </w:t>
      </w:r>
      <w:r w:rsidR="00852267" w:rsidRPr="00E16B84">
        <w:rPr>
          <w:lang w:eastAsia="zh-CN"/>
        </w:rPr>
        <w:t xml:space="preserve">connection with </w:t>
      </w:r>
      <w:r w:rsidRPr="00E16B84">
        <w:rPr>
          <w:lang w:eastAsia="zh-CN"/>
        </w:rPr>
        <w:t xml:space="preserve">court disputes concerning land and grazing rights, </w:t>
      </w:r>
      <w:r w:rsidR="00852267" w:rsidRPr="00E16B84">
        <w:rPr>
          <w:lang w:eastAsia="zh-CN"/>
        </w:rPr>
        <w:t xml:space="preserve">and </w:t>
      </w:r>
      <w:r w:rsidRPr="00E16B84">
        <w:rPr>
          <w:lang w:eastAsia="zh-CN"/>
        </w:rPr>
        <w:t xml:space="preserve">plans to develop legislation providing for a flexible burden of proof and lighter standards of proof in such cases </w:t>
      </w:r>
      <w:r w:rsidR="00852267" w:rsidRPr="00E16B84">
        <w:rPr>
          <w:lang w:eastAsia="zh-CN"/>
        </w:rPr>
        <w:t xml:space="preserve">as well as </w:t>
      </w:r>
      <w:r w:rsidRPr="00E16B84">
        <w:rPr>
          <w:lang w:eastAsia="zh-CN"/>
        </w:rPr>
        <w:t>alternative means for settling land disputes (CCPR/C/SWE/CO/6, para. 21).</w:t>
      </w:r>
      <w:r w:rsidRPr="00D22465">
        <w:rPr>
          <w:lang w:eastAsia="zh-CN"/>
        </w:rPr>
        <w:t xml:space="preserve"> </w:t>
      </w:r>
    </w:p>
    <w:p w:rsidR="00EC7A38" w:rsidRPr="005A34DA" w:rsidRDefault="00EC7A38" w:rsidP="00852267">
      <w:pPr>
        <w:pStyle w:val="H23G"/>
        <w:rPr>
          <w:lang w:eastAsia="zh-CN"/>
        </w:rPr>
      </w:pPr>
      <w:r>
        <w:rPr>
          <w:lang w:eastAsia="zh-CN"/>
        </w:rPr>
        <w:tab/>
      </w:r>
      <w:r>
        <w:rPr>
          <w:lang w:eastAsia="zh-CN"/>
        </w:rPr>
        <w:tab/>
        <w:t xml:space="preserve">Rights of </w:t>
      </w:r>
      <w:r w:rsidR="00852267">
        <w:rPr>
          <w:lang w:eastAsia="zh-CN"/>
        </w:rPr>
        <w:t>p</w:t>
      </w:r>
      <w:r>
        <w:rPr>
          <w:lang w:eastAsia="zh-CN"/>
        </w:rPr>
        <w:t xml:space="preserve">ersons with </w:t>
      </w:r>
      <w:r w:rsidR="00852267">
        <w:rPr>
          <w:lang w:eastAsia="zh-CN"/>
        </w:rPr>
        <w:t>d</w:t>
      </w:r>
      <w:r>
        <w:rPr>
          <w:lang w:eastAsia="zh-CN"/>
        </w:rPr>
        <w:t>isabilities (arts. 2 and 26)</w:t>
      </w:r>
    </w:p>
    <w:p w:rsidR="00EC7A38" w:rsidRPr="00406F07" w:rsidRDefault="00EC7A38" w:rsidP="00DC45D0">
      <w:pPr>
        <w:pStyle w:val="SingleTxtG"/>
        <w:numPr>
          <w:ilvl w:val="0"/>
          <w:numId w:val="3"/>
        </w:numPr>
        <w:tabs>
          <w:tab w:val="clear" w:pos="2835"/>
        </w:tabs>
        <w:ind w:left="1134"/>
        <w:rPr>
          <w:color w:val="000000"/>
          <w:lang w:eastAsia="zh-CN"/>
        </w:rPr>
      </w:pPr>
      <w:r w:rsidRPr="00406F07">
        <w:rPr>
          <w:color w:val="000000"/>
          <w:lang w:eastAsia="zh-CN"/>
        </w:rPr>
        <w:t xml:space="preserve">Please </w:t>
      </w:r>
      <w:r w:rsidR="004E3B49" w:rsidRPr="00406F07">
        <w:rPr>
          <w:color w:val="000000"/>
          <w:lang w:eastAsia="zh-CN"/>
        </w:rPr>
        <w:t>provide information</w:t>
      </w:r>
      <w:r w:rsidRPr="00406F07">
        <w:rPr>
          <w:color w:val="000000"/>
          <w:lang w:eastAsia="zh-CN"/>
        </w:rPr>
        <w:t xml:space="preserve"> on</w:t>
      </w:r>
      <w:r w:rsidR="00DC45D0" w:rsidRPr="00406F07">
        <w:rPr>
          <w:color w:val="000000"/>
          <w:lang w:eastAsia="zh-CN"/>
        </w:rPr>
        <w:t>:</w:t>
      </w:r>
    </w:p>
    <w:p w:rsidR="00EC7A38" w:rsidRPr="00406F07" w:rsidRDefault="00FC4A9E" w:rsidP="00FC4A9E">
      <w:pPr>
        <w:pStyle w:val="SingleTxtG"/>
        <w:ind w:firstLine="567"/>
        <w:rPr>
          <w:color w:val="000000"/>
          <w:lang w:eastAsia="zh-CN"/>
        </w:rPr>
      </w:pPr>
      <w:r w:rsidRPr="00406F07">
        <w:rPr>
          <w:color w:val="000000"/>
          <w:lang w:eastAsia="zh-CN"/>
        </w:rPr>
        <w:t>(a)</w:t>
      </w:r>
      <w:r w:rsidRPr="00406F07">
        <w:rPr>
          <w:color w:val="000000"/>
          <w:lang w:eastAsia="zh-CN"/>
        </w:rPr>
        <w:tab/>
      </w:r>
      <w:r w:rsidR="00DC45D0" w:rsidRPr="00406F07">
        <w:rPr>
          <w:color w:val="000000"/>
          <w:lang w:eastAsia="zh-CN"/>
        </w:rPr>
        <w:t>M</w:t>
      </w:r>
      <w:r w:rsidR="00EC7A38" w:rsidRPr="00406F07">
        <w:rPr>
          <w:color w:val="000000"/>
          <w:lang w:eastAsia="zh-CN"/>
        </w:rPr>
        <w:t>easures to increase awareness among persons with disabilities about their rights and the possibilities to seek protection and redress against violations of their rights, including in institutional care</w:t>
      </w:r>
      <w:r w:rsidR="004E3B49" w:rsidRPr="00406F07">
        <w:rPr>
          <w:color w:val="000000"/>
          <w:lang w:eastAsia="zh-CN"/>
        </w:rPr>
        <w:t>;</w:t>
      </w:r>
      <w:r w:rsidR="00EC7A38" w:rsidRPr="00406F07">
        <w:rPr>
          <w:color w:val="000000"/>
          <w:lang w:eastAsia="zh-CN"/>
        </w:rPr>
        <w:t xml:space="preserve"> </w:t>
      </w:r>
    </w:p>
    <w:p w:rsidR="00EC7A38" w:rsidRPr="00406F07" w:rsidRDefault="00FC4A9E" w:rsidP="00FC4A9E">
      <w:pPr>
        <w:pStyle w:val="SingleTxtG"/>
        <w:ind w:firstLine="567"/>
        <w:rPr>
          <w:color w:val="000000"/>
          <w:lang w:eastAsia="zh-CN"/>
        </w:rPr>
      </w:pPr>
      <w:r w:rsidRPr="00406F07">
        <w:rPr>
          <w:color w:val="000000"/>
          <w:lang w:eastAsia="zh-CN"/>
        </w:rPr>
        <w:t>(b)</w:t>
      </w:r>
      <w:r w:rsidRPr="00406F07">
        <w:rPr>
          <w:color w:val="000000"/>
          <w:lang w:eastAsia="zh-CN"/>
        </w:rPr>
        <w:tab/>
      </w:r>
      <w:r w:rsidR="00EC27C9">
        <w:rPr>
          <w:color w:val="000000"/>
          <w:lang w:eastAsia="zh-CN"/>
        </w:rPr>
        <w:t>The p</w:t>
      </w:r>
      <w:r w:rsidR="00EC7A38" w:rsidRPr="00406F07">
        <w:rPr>
          <w:color w:val="000000"/>
          <w:lang w:eastAsia="zh-CN"/>
        </w:rPr>
        <w:t xml:space="preserve">ractical accessibility of disabled persons to social services and goods, including at the </w:t>
      </w:r>
      <w:r w:rsidR="00EC27C9">
        <w:rPr>
          <w:color w:val="000000"/>
          <w:lang w:eastAsia="zh-CN"/>
        </w:rPr>
        <w:t>municipality level,</w:t>
      </w:r>
      <w:r w:rsidR="00BF260A" w:rsidRPr="00406F07">
        <w:rPr>
          <w:color w:val="000000"/>
          <w:lang w:eastAsia="zh-CN"/>
        </w:rPr>
        <w:t xml:space="preserve"> </w:t>
      </w:r>
      <w:r w:rsidR="00103F8D" w:rsidRPr="00406F07">
        <w:rPr>
          <w:color w:val="000000"/>
          <w:lang w:eastAsia="zh-CN"/>
        </w:rPr>
        <w:t>m</w:t>
      </w:r>
      <w:r w:rsidR="00EC7A38" w:rsidRPr="00406F07">
        <w:rPr>
          <w:color w:val="000000"/>
          <w:lang w:eastAsia="zh-CN"/>
        </w:rPr>
        <w:t>easures to increase the employment rate for persons with disabilities, including those with reduced work capacity (CCPR/C/SWE/CO/6, para. 10)</w:t>
      </w:r>
      <w:r w:rsidR="00EC27C9">
        <w:rPr>
          <w:color w:val="000000"/>
          <w:lang w:eastAsia="zh-CN"/>
        </w:rPr>
        <w:t>,</w:t>
      </w:r>
      <w:r w:rsidR="004E3B49" w:rsidRPr="00406F07">
        <w:rPr>
          <w:color w:val="000000"/>
          <w:lang w:eastAsia="zh-CN"/>
        </w:rPr>
        <w:t xml:space="preserve"> and</w:t>
      </w:r>
      <w:r w:rsidR="00EC7A38" w:rsidRPr="00406F07">
        <w:rPr>
          <w:color w:val="000000"/>
          <w:lang w:eastAsia="zh-CN"/>
        </w:rPr>
        <w:t xml:space="preserve"> </w:t>
      </w:r>
      <w:r w:rsidR="004E3B49" w:rsidRPr="00406F07">
        <w:rPr>
          <w:color w:val="000000"/>
          <w:lang w:eastAsia="zh-CN"/>
        </w:rPr>
        <w:t>t</w:t>
      </w:r>
      <w:r w:rsidR="00EC7A38" w:rsidRPr="00406F07">
        <w:rPr>
          <w:color w:val="000000"/>
          <w:lang w:eastAsia="zh-CN"/>
        </w:rPr>
        <w:t xml:space="preserve">he ability of private schools to deny admission to students with disabilities if the costs of integrating </w:t>
      </w:r>
      <w:r w:rsidR="000D6ACF">
        <w:rPr>
          <w:color w:val="000000"/>
          <w:lang w:eastAsia="zh-CN"/>
        </w:rPr>
        <w:t xml:space="preserve">them </w:t>
      </w:r>
      <w:r w:rsidR="00EC7A38" w:rsidRPr="00406F07">
        <w:rPr>
          <w:color w:val="000000"/>
          <w:lang w:eastAsia="zh-CN"/>
        </w:rPr>
        <w:t>are deemed too high.</w:t>
      </w:r>
    </w:p>
    <w:p w:rsidR="00442A83" w:rsidRPr="00FD7649" w:rsidRDefault="00EC7A38" w:rsidP="00FD7649">
      <w:pPr>
        <w:tabs>
          <w:tab w:val="left" w:pos="1701"/>
        </w:tabs>
        <w:spacing w:before="240"/>
        <w:ind w:left="1134" w:right="1134"/>
        <w:jc w:val="center"/>
        <w:rPr>
          <w:u w:val="single"/>
          <w:lang w:eastAsia="zh-CN"/>
        </w:rPr>
      </w:pPr>
      <w:r>
        <w:rPr>
          <w:u w:val="single"/>
          <w:lang w:eastAsia="zh-CN"/>
        </w:rPr>
        <w:tab/>
      </w:r>
      <w:r>
        <w:rPr>
          <w:u w:val="single"/>
          <w:lang w:eastAsia="zh-CN"/>
        </w:rPr>
        <w:tab/>
      </w:r>
      <w:r>
        <w:rPr>
          <w:u w:val="single"/>
          <w:lang w:eastAsia="zh-CN"/>
        </w:rPr>
        <w:tab/>
      </w:r>
    </w:p>
    <w:sectPr w:rsidR="00442A83" w:rsidRPr="00FD7649" w:rsidSect="00EC7A3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1AD" w:rsidRDefault="003661AD"/>
  </w:endnote>
  <w:endnote w:type="continuationSeparator" w:id="0">
    <w:p w:rsidR="003661AD" w:rsidRDefault="003661AD"/>
  </w:endnote>
  <w:endnote w:type="continuationNotice" w:id="1">
    <w:p w:rsidR="003661AD" w:rsidRDefault="003661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AD" w:rsidRPr="00EC7A38" w:rsidRDefault="003661AD" w:rsidP="00EC7A38">
    <w:pPr>
      <w:pStyle w:val="Footer"/>
      <w:tabs>
        <w:tab w:val="right" w:pos="9638"/>
      </w:tabs>
    </w:pPr>
    <w:r w:rsidRPr="00EC7A38">
      <w:rPr>
        <w:b/>
        <w:sz w:val="18"/>
      </w:rPr>
      <w:fldChar w:fldCharType="begin"/>
    </w:r>
    <w:r w:rsidRPr="00EC7A38">
      <w:rPr>
        <w:b/>
        <w:sz w:val="18"/>
      </w:rPr>
      <w:instrText xml:space="preserve"> PAGE  \* MERGEFORMAT </w:instrText>
    </w:r>
    <w:r w:rsidRPr="00EC7A38">
      <w:rPr>
        <w:b/>
        <w:sz w:val="18"/>
      </w:rPr>
      <w:fldChar w:fldCharType="separate"/>
    </w:r>
    <w:r>
      <w:rPr>
        <w:b/>
        <w:noProof/>
        <w:sz w:val="18"/>
      </w:rPr>
      <w:t>6</w:t>
    </w:r>
    <w:r w:rsidRPr="00EC7A3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AD" w:rsidRPr="00EC7A38" w:rsidRDefault="003661AD" w:rsidP="00EC7A38">
    <w:pPr>
      <w:pStyle w:val="Footer"/>
      <w:tabs>
        <w:tab w:val="right" w:pos="9638"/>
      </w:tabs>
      <w:rPr>
        <w:b/>
        <w:sz w:val="18"/>
      </w:rPr>
    </w:pPr>
    <w:r>
      <w:tab/>
    </w:r>
    <w:r w:rsidRPr="00EC7A38">
      <w:rPr>
        <w:b/>
        <w:sz w:val="18"/>
      </w:rPr>
      <w:fldChar w:fldCharType="begin"/>
    </w:r>
    <w:r w:rsidRPr="00EC7A38">
      <w:rPr>
        <w:b/>
        <w:sz w:val="18"/>
      </w:rPr>
      <w:instrText xml:space="preserve"> PAGE  \* MERGEFORMAT </w:instrText>
    </w:r>
    <w:r w:rsidRPr="00EC7A38">
      <w:rPr>
        <w:b/>
        <w:sz w:val="18"/>
      </w:rPr>
      <w:fldChar w:fldCharType="separate"/>
    </w:r>
    <w:r>
      <w:rPr>
        <w:b/>
        <w:noProof/>
        <w:sz w:val="18"/>
      </w:rPr>
      <w:t>5</w:t>
    </w:r>
    <w:r w:rsidRPr="00EC7A3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AD" w:rsidRPr="00EC7A38" w:rsidRDefault="003661AD">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t>GE.14-42757</w:t>
    </w:r>
    <w:r>
      <w:br/>
    </w:r>
    <w:r w:rsidRPr="00026984">
      <w:rPr>
        <w:rFonts w:ascii="C39T30Lfz" w:hAnsi="C39T30Lfz"/>
        <w:sz w:val="56"/>
      </w:rPr>
      <w:t></w:t>
    </w:r>
    <w:r w:rsidRPr="00026984">
      <w:rPr>
        <w:rFonts w:ascii="C39T30Lfz" w:hAnsi="C39T30Lfz"/>
        <w:sz w:val="56"/>
      </w:rPr>
      <w:t></w:t>
    </w:r>
    <w:r w:rsidRPr="00026984">
      <w:rPr>
        <w:rFonts w:ascii="C39T30Lfz" w:hAnsi="C39T30Lfz"/>
        <w:sz w:val="56"/>
      </w:rPr>
      <w:t></w:t>
    </w:r>
    <w:r w:rsidRPr="00026984">
      <w:rPr>
        <w:rFonts w:ascii="C39T30Lfz" w:hAnsi="C39T30Lfz"/>
        <w:sz w:val="56"/>
      </w:rPr>
      <w:t></w:t>
    </w:r>
    <w:r w:rsidRPr="00026984">
      <w:rPr>
        <w:rFonts w:ascii="C39T30Lfz" w:hAnsi="C39T30Lfz"/>
        <w:sz w:val="56"/>
      </w:rPr>
      <w:t></w:t>
    </w:r>
    <w:r w:rsidRPr="00026984">
      <w:rPr>
        <w:rFonts w:ascii="C39T30Lfz" w:hAnsi="C39T30Lfz"/>
        <w:sz w:val="56"/>
      </w:rPr>
      <w:t></w:t>
    </w:r>
    <w:r w:rsidRPr="00026984">
      <w:rPr>
        <w:rFonts w:ascii="C39T30Lfz" w:hAnsi="C39T30Lfz"/>
        <w:sz w:val="56"/>
      </w:rPr>
      <w:t></w:t>
    </w:r>
    <w:r w:rsidRPr="00026984">
      <w:rPr>
        <w:rFonts w:ascii="C39T30Lfz" w:hAnsi="C39T30Lfz"/>
        <w:sz w:val="56"/>
      </w:rPr>
      <w:t></w:t>
    </w:r>
    <w:r w:rsidRPr="00026984">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1AD" w:rsidRPr="000B175B" w:rsidRDefault="003661AD" w:rsidP="000B175B">
      <w:pPr>
        <w:tabs>
          <w:tab w:val="right" w:pos="2155"/>
        </w:tabs>
        <w:spacing w:after="80"/>
        <w:ind w:left="680"/>
        <w:rPr>
          <w:u w:val="single"/>
        </w:rPr>
      </w:pPr>
      <w:r>
        <w:rPr>
          <w:u w:val="single"/>
        </w:rPr>
        <w:tab/>
      </w:r>
    </w:p>
  </w:footnote>
  <w:footnote w:type="continuationSeparator" w:id="0">
    <w:p w:rsidR="003661AD" w:rsidRPr="00FC68B7" w:rsidRDefault="003661AD" w:rsidP="00FC68B7">
      <w:pPr>
        <w:tabs>
          <w:tab w:val="left" w:pos="2155"/>
        </w:tabs>
        <w:spacing w:after="80"/>
        <w:ind w:left="680"/>
        <w:rPr>
          <w:u w:val="single"/>
        </w:rPr>
      </w:pPr>
      <w:r>
        <w:rPr>
          <w:u w:val="single"/>
        </w:rPr>
        <w:tab/>
      </w:r>
    </w:p>
  </w:footnote>
  <w:footnote w:type="continuationNotice" w:id="1">
    <w:p w:rsidR="003661AD" w:rsidRDefault="003661AD"/>
  </w:footnote>
  <w:footnote w:id="2">
    <w:p w:rsidR="003661AD" w:rsidRPr="001B54E4" w:rsidRDefault="003661AD">
      <w:pPr>
        <w:pStyle w:val="FootnoteText"/>
        <w:rPr>
          <w:lang w:val="en-US"/>
        </w:rPr>
      </w:pPr>
      <w:r>
        <w:tab/>
      </w:r>
      <w:r w:rsidRPr="00B30285">
        <w:rPr>
          <w:rStyle w:val="FootnoteReference"/>
          <w:sz w:val="20"/>
          <w:vertAlign w:val="baseline"/>
        </w:rPr>
        <w:t>*</w:t>
      </w:r>
      <w:r>
        <w:rPr>
          <w:sz w:val="20"/>
        </w:rPr>
        <w:tab/>
      </w:r>
      <w:r w:rsidRPr="00CE0DE3">
        <w:t xml:space="preserve">Adopted by the Committee at its </w:t>
      </w:r>
      <w:r>
        <w:t>110th</w:t>
      </w:r>
      <w:r w:rsidRPr="00CE0DE3">
        <w:t xml:space="preserve"> session (</w:t>
      </w:r>
      <w:r>
        <w:t>10–28 March 2014</w:t>
      </w:r>
      <w:r w:rsidRPr="00CE0DE3">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AD" w:rsidRPr="00EC7A38" w:rsidRDefault="003661AD">
    <w:pPr>
      <w:pStyle w:val="Header"/>
    </w:pPr>
    <w:r>
      <w:t>CCPR/C/SWE/QPR/7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AD" w:rsidRPr="00EC7A38" w:rsidRDefault="003661AD" w:rsidP="00EC7A38">
    <w:pPr>
      <w:pStyle w:val="Header"/>
      <w:jc w:val="right"/>
    </w:pPr>
    <w:r>
      <w:t>CCPR/C/SWE/QPR/7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1F50B4"/>
    <w:multiLevelType w:val="hybridMultilevel"/>
    <w:tmpl w:val="BCB2874E"/>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
    <w:nsid w:val="30F85B95"/>
    <w:multiLevelType w:val="hybridMultilevel"/>
    <w:tmpl w:val="8AE03724"/>
    <w:lvl w:ilvl="0" w:tplc="A9F0D42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7A38"/>
    <w:rsid w:val="0002166A"/>
    <w:rsid w:val="00026984"/>
    <w:rsid w:val="000272B3"/>
    <w:rsid w:val="00036F8C"/>
    <w:rsid w:val="00050F6B"/>
    <w:rsid w:val="00057E97"/>
    <w:rsid w:val="00060C3A"/>
    <w:rsid w:val="00066301"/>
    <w:rsid w:val="00072C8C"/>
    <w:rsid w:val="000733B5"/>
    <w:rsid w:val="0007347F"/>
    <w:rsid w:val="00075FF4"/>
    <w:rsid w:val="00081815"/>
    <w:rsid w:val="000931C0"/>
    <w:rsid w:val="000B175B"/>
    <w:rsid w:val="000B3A0F"/>
    <w:rsid w:val="000B4AAB"/>
    <w:rsid w:val="000B4EF7"/>
    <w:rsid w:val="000C2C03"/>
    <w:rsid w:val="000C2D2E"/>
    <w:rsid w:val="000D6ACF"/>
    <w:rsid w:val="000E0415"/>
    <w:rsid w:val="00103F8D"/>
    <w:rsid w:val="001103AA"/>
    <w:rsid w:val="00111C77"/>
    <w:rsid w:val="00116B73"/>
    <w:rsid w:val="00135EBA"/>
    <w:rsid w:val="0014407D"/>
    <w:rsid w:val="00151C24"/>
    <w:rsid w:val="00160C36"/>
    <w:rsid w:val="00165F3A"/>
    <w:rsid w:val="00183968"/>
    <w:rsid w:val="001A4CFE"/>
    <w:rsid w:val="001A6686"/>
    <w:rsid w:val="001B4B04"/>
    <w:rsid w:val="001B54E4"/>
    <w:rsid w:val="001B79CC"/>
    <w:rsid w:val="001C6663"/>
    <w:rsid w:val="001C7895"/>
    <w:rsid w:val="001D0C8C"/>
    <w:rsid w:val="001D0FD0"/>
    <w:rsid w:val="001D26DF"/>
    <w:rsid w:val="001D3A03"/>
    <w:rsid w:val="00202DA8"/>
    <w:rsid w:val="00211E0B"/>
    <w:rsid w:val="0023012C"/>
    <w:rsid w:val="0023210C"/>
    <w:rsid w:val="00253BB1"/>
    <w:rsid w:val="00264978"/>
    <w:rsid w:val="00267F5F"/>
    <w:rsid w:val="00270E49"/>
    <w:rsid w:val="002716FD"/>
    <w:rsid w:val="00286B4D"/>
    <w:rsid w:val="002A1D7B"/>
    <w:rsid w:val="002A508B"/>
    <w:rsid w:val="002A5E9C"/>
    <w:rsid w:val="002A792A"/>
    <w:rsid w:val="002B7E59"/>
    <w:rsid w:val="002D3E8D"/>
    <w:rsid w:val="002E0906"/>
    <w:rsid w:val="002E4B71"/>
    <w:rsid w:val="002F175C"/>
    <w:rsid w:val="003165E5"/>
    <w:rsid w:val="003229D8"/>
    <w:rsid w:val="00340078"/>
    <w:rsid w:val="00352709"/>
    <w:rsid w:val="003661AD"/>
    <w:rsid w:val="00367567"/>
    <w:rsid w:val="00371178"/>
    <w:rsid w:val="0038336C"/>
    <w:rsid w:val="003A0ABE"/>
    <w:rsid w:val="003A0C94"/>
    <w:rsid w:val="003A6810"/>
    <w:rsid w:val="003B0B95"/>
    <w:rsid w:val="003B2D58"/>
    <w:rsid w:val="003B7667"/>
    <w:rsid w:val="003C2BE1"/>
    <w:rsid w:val="003C2CC4"/>
    <w:rsid w:val="003D4B23"/>
    <w:rsid w:val="00406F07"/>
    <w:rsid w:val="00410C89"/>
    <w:rsid w:val="00421E49"/>
    <w:rsid w:val="00422E52"/>
    <w:rsid w:val="00426B9B"/>
    <w:rsid w:val="00427E2E"/>
    <w:rsid w:val="004325CB"/>
    <w:rsid w:val="00436B33"/>
    <w:rsid w:val="00442A83"/>
    <w:rsid w:val="00445711"/>
    <w:rsid w:val="0045495B"/>
    <w:rsid w:val="00487488"/>
    <w:rsid w:val="004B300C"/>
    <w:rsid w:val="004C3448"/>
    <w:rsid w:val="004E3B49"/>
    <w:rsid w:val="0052136D"/>
    <w:rsid w:val="0052775E"/>
    <w:rsid w:val="005420F2"/>
    <w:rsid w:val="0054670B"/>
    <w:rsid w:val="005628B6"/>
    <w:rsid w:val="00582DA6"/>
    <w:rsid w:val="005838FC"/>
    <w:rsid w:val="005848B3"/>
    <w:rsid w:val="00590F87"/>
    <w:rsid w:val="00592C4A"/>
    <w:rsid w:val="005B3DB3"/>
    <w:rsid w:val="005F7717"/>
    <w:rsid w:val="005F7B75"/>
    <w:rsid w:val="006001EE"/>
    <w:rsid w:val="00605042"/>
    <w:rsid w:val="00611FC4"/>
    <w:rsid w:val="006176FB"/>
    <w:rsid w:val="00634FD7"/>
    <w:rsid w:val="00640B26"/>
    <w:rsid w:val="00652D0A"/>
    <w:rsid w:val="00662BB6"/>
    <w:rsid w:val="00664595"/>
    <w:rsid w:val="00677A36"/>
    <w:rsid w:val="00684626"/>
    <w:rsid w:val="00684C21"/>
    <w:rsid w:val="006C53C9"/>
    <w:rsid w:val="006D2BF0"/>
    <w:rsid w:val="006D37AF"/>
    <w:rsid w:val="006D51D0"/>
    <w:rsid w:val="006E564B"/>
    <w:rsid w:val="006E63ED"/>
    <w:rsid w:val="006E7191"/>
    <w:rsid w:val="00703577"/>
    <w:rsid w:val="0072632A"/>
    <w:rsid w:val="007327D5"/>
    <w:rsid w:val="007421B3"/>
    <w:rsid w:val="007423F6"/>
    <w:rsid w:val="007629C8"/>
    <w:rsid w:val="0076652C"/>
    <w:rsid w:val="00773339"/>
    <w:rsid w:val="00775401"/>
    <w:rsid w:val="00793170"/>
    <w:rsid w:val="00793400"/>
    <w:rsid w:val="007A1F2C"/>
    <w:rsid w:val="007B6BA5"/>
    <w:rsid w:val="007C3390"/>
    <w:rsid w:val="007C4F4B"/>
    <w:rsid w:val="007C784F"/>
    <w:rsid w:val="007D06D7"/>
    <w:rsid w:val="007E0B2D"/>
    <w:rsid w:val="007F6611"/>
    <w:rsid w:val="008105B8"/>
    <w:rsid w:val="008242D7"/>
    <w:rsid w:val="008257B1"/>
    <w:rsid w:val="00843767"/>
    <w:rsid w:val="00852267"/>
    <w:rsid w:val="008644D5"/>
    <w:rsid w:val="008679D9"/>
    <w:rsid w:val="008979B1"/>
    <w:rsid w:val="008A1DB2"/>
    <w:rsid w:val="008A6B25"/>
    <w:rsid w:val="008A6C4F"/>
    <w:rsid w:val="008B181B"/>
    <w:rsid w:val="008B2335"/>
    <w:rsid w:val="008B6202"/>
    <w:rsid w:val="008C5E3B"/>
    <w:rsid w:val="008E0678"/>
    <w:rsid w:val="009075F1"/>
    <w:rsid w:val="00910F40"/>
    <w:rsid w:val="00912C08"/>
    <w:rsid w:val="009223CA"/>
    <w:rsid w:val="00930269"/>
    <w:rsid w:val="0093550E"/>
    <w:rsid w:val="00940F93"/>
    <w:rsid w:val="0095347F"/>
    <w:rsid w:val="009760F3"/>
    <w:rsid w:val="009909F5"/>
    <w:rsid w:val="009A0E8D"/>
    <w:rsid w:val="009B26E7"/>
    <w:rsid w:val="009B7B4D"/>
    <w:rsid w:val="009C04AB"/>
    <w:rsid w:val="009C69E1"/>
    <w:rsid w:val="009F7978"/>
    <w:rsid w:val="00A00A3F"/>
    <w:rsid w:val="00A01489"/>
    <w:rsid w:val="00A04E77"/>
    <w:rsid w:val="00A116E1"/>
    <w:rsid w:val="00A338F1"/>
    <w:rsid w:val="00A44615"/>
    <w:rsid w:val="00A72F22"/>
    <w:rsid w:val="00A7360F"/>
    <w:rsid w:val="00A748A6"/>
    <w:rsid w:val="00A769F4"/>
    <w:rsid w:val="00A776B4"/>
    <w:rsid w:val="00A94361"/>
    <w:rsid w:val="00AA293C"/>
    <w:rsid w:val="00AB1F43"/>
    <w:rsid w:val="00AE49E7"/>
    <w:rsid w:val="00B0654F"/>
    <w:rsid w:val="00B13E9B"/>
    <w:rsid w:val="00B15A01"/>
    <w:rsid w:val="00B30179"/>
    <w:rsid w:val="00B30285"/>
    <w:rsid w:val="00B339A7"/>
    <w:rsid w:val="00B56E4A"/>
    <w:rsid w:val="00B56E9C"/>
    <w:rsid w:val="00B57D3B"/>
    <w:rsid w:val="00B64B1F"/>
    <w:rsid w:val="00B6553F"/>
    <w:rsid w:val="00B66E5E"/>
    <w:rsid w:val="00B758B0"/>
    <w:rsid w:val="00B77D05"/>
    <w:rsid w:val="00B81206"/>
    <w:rsid w:val="00B81E12"/>
    <w:rsid w:val="00B9067B"/>
    <w:rsid w:val="00B96507"/>
    <w:rsid w:val="00B971F1"/>
    <w:rsid w:val="00BA0567"/>
    <w:rsid w:val="00BC03E1"/>
    <w:rsid w:val="00BC2C23"/>
    <w:rsid w:val="00BC6986"/>
    <w:rsid w:val="00BC74E9"/>
    <w:rsid w:val="00BE6897"/>
    <w:rsid w:val="00BE79C1"/>
    <w:rsid w:val="00BF260A"/>
    <w:rsid w:val="00BF5676"/>
    <w:rsid w:val="00BF68A8"/>
    <w:rsid w:val="00C116BD"/>
    <w:rsid w:val="00C11A03"/>
    <w:rsid w:val="00C208DD"/>
    <w:rsid w:val="00C35225"/>
    <w:rsid w:val="00C36F52"/>
    <w:rsid w:val="00C463DD"/>
    <w:rsid w:val="00C4724C"/>
    <w:rsid w:val="00C629A0"/>
    <w:rsid w:val="00C745C3"/>
    <w:rsid w:val="00C9295E"/>
    <w:rsid w:val="00CD49FB"/>
    <w:rsid w:val="00CE218B"/>
    <w:rsid w:val="00CE4A8F"/>
    <w:rsid w:val="00CF2054"/>
    <w:rsid w:val="00D14579"/>
    <w:rsid w:val="00D2031B"/>
    <w:rsid w:val="00D24E41"/>
    <w:rsid w:val="00D25FE2"/>
    <w:rsid w:val="00D360A9"/>
    <w:rsid w:val="00D43252"/>
    <w:rsid w:val="00D47EEA"/>
    <w:rsid w:val="00D57601"/>
    <w:rsid w:val="00D95303"/>
    <w:rsid w:val="00D978C6"/>
    <w:rsid w:val="00DA3111"/>
    <w:rsid w:val="00DA3818"/>
    <w:rsid w:val="00DA3C1C"/>
    <w:rsid w:val="00DB0C79"/>
    <w:rsid w:val="00DC45D0"/>
    <w:rsid w:val="00DC6664"/>
    <w:rsid w:val="00DE4B48"/>
    <w:rsid w:val="00DF1537"/>
    <w:rsid w:val="00E16B84"/>
    <w:rsid w:val="00E27346"/>
    <w:rsid w:val="00E405E6"/>
    <w:rsid w:val="00E4112D"/>
    <w:rsid w:val="00E71BC8"/>
    <w:rsid w:val="00E7217F"/>
    <w:rsid w:val="00E7260F"/>
    <w:rsid w:val="00E779FC"/>
    <w:rsid w:val="00E80DBD"/>
    <w:rsid w:val="00E96630"/>
    <w:rsid w:val="00EB12C0"/>
    <w:rsid w:val="00EB2581"/>
    <w:rsid w:val="00EC27C9"/>
    <w:rsid w:val="00EC7679"/>
    <w:rsid w:val="00EC7A38"/>
    <w:rsid w:val="00ED1229"/>
    <w:rsid w:val="00ED7A2A"/>
    <w:rsid w:val="00EE5A69"/>
    <w:rsid w:val="00EE7035"/>
    <w:rsid w:val="00EF1D7F"/>
    <w:rsid w:val="00F04C3F"/>
    <w:rsid w:val="00F07125"/>
    <w:rsid w:val="00F20C3D"/>
    <w:rsid w:val="00F43E9E"/>
    <w:rsid w:val="00F44090"/>
    <w:rsid w:val="00F5600B"/>
    <w:rsid w:val="00F85E29"/>
    <w:rsid w:val="00F9057C"/>
    <w:rsid w:val="00F906D7"/>
    <w:rsid w:val="00F90EDE"/>
    <w:rsid w:val="00F93781"/>
    <w:rsid w:val="00FA6FF5"/>
    <w:rsid w:val="00FB5C9F"/>
    <w:rsid w:val="00FB613B"/>
    <w:rsid w:val="00FC4A9E"/>
    <w:rsid w:val="00FC68B7"/>
    <w:rsid w:val="00FD7649"/>
    <w:rsid w:val="00FE106A"/>
    <w:rsid w:val="00FF0559"/>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lang/>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EC7A38"/>
    <w:rPr>
      <w:lang w:eastAsia="en-US"/>
    </w:rPr>
  </w:style>
  <w:style w:type="character" w:customStyle="1" w:styleId="H23GChar">
    <w:name w:val="_ H_2/3_G Char"/>
    <w:link w:val="H23G"/>
    <w:rsid w:val="00EC7A38"/>
    <w:rPr>
      <w:b/>
      <w:lang w:eastAsia="en-US"/>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locked/>
    <w:rsid w:val="00EC7A38"/>
    <w:rPr>
      <w:sz w:val="18"/>
      <w:lang w:eastAsia="en-US"/>
    </w:rPr>
  </w:style>
  <w:style w:type="paragraph" w:styleId="BalloonText">
    <w:name w:val="Balloon Text"/>
    <w:basedOn w:val="Normal"/>
    <w:link w:val="BalloonTextChar"/>
    <w:rsid w:val="000B4AAB"/>
    <w:pPr>
      <w:spacing w:line="240" w:lineRule="auto"/>
    </w:pPr>
    <w:rPr>
      <w:rFonts w:ascii="Tahoma" w:hAnsi="Tahoma"/>
      <w:sz w:val="16"/>
      <w:szCs w:val="16"/>
      <w:lang/>
    </w:rPr>
  </w:style>
  <w:style w:type="character" w:customStyle="1" w:styleId="BalloonTextChar">
    <w:name w:val="Balloon Text Char"/>
    <w:link w:val="BalloonText"/>
    <w:rsid w:val="000B4AAB"/>
    <w:rPr>
      <w:rFonts w:ascii="Tahoma" w:hAnsi="Tahoma" w:cs="Tahoma"/>
      <w:sz w:val="16"/>
      <w:szCs w:val="16"/>
      <w:lang w:eastAsia="en-US"/>
    </w:rPr>
  </w:style>
  <w:style w:type="character" w:styleId="CommentReference">
    <w:name w:val="annotation reference"/>
    <w:semiHidden/>
    <w:rsid w:val="00CD49FB"/>
    <w:rPr>
      <w:sz w:val="16"/>
      <w:szCs w:val="16"/>
    </w:rPr>
  </w:style>
  <w:style w:type="paragraph" w:styleId="CommentText">
    <w:name w:val="annotation text"/>
    <w:basedOn w:val="Normal"/>
    <w:semiHidden/>
    <w:rsid w:val="00CD49FB"/>
  </w:style>
  <w:style w:type="paragraph" w:styleId="CommentSubject">
    <w:name w:val="annotation subject"/>
    <w:basedOn w:val="CommentText"/>
    <w:next w:val="CommentText"/>
    <w:semiHidden/>
    <w:rsid w:val="00CD49FB"/>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6</Pages>
  <Words>2358</Words>
  <Characters>13113</Characters>
  <Application>Microsoft Office Outlook</Application>
  <DocSecurity>4</DocSecurity>
  <Lines>226</Lines>
  <Paragraphs>92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Brigoli</cp:lastModifiedBy>
  <cp:revision>2</cp:revision>
  <cp:lastPrinted>2014-04-28T12:59:00Z</cp:lastPrinted>
  <dcterms:created xsi:type="dcterms:W3CDTF">2014-04-28T13:54:00Z</dcterms:created>
  <dcterms:modified xsi:type="dcterms:W3CDTF">2014-04-28T13:54:00Z</dcterms:modified>
</cp:coreProperties>
</file>