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4409">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71492" w:rsidP="00471492">
            <w:pPr>
              <w:jc w:val="right"/>
            </w:pPr>
            <w:r w:rsidRPr="00471492">
              <w:rPr>
                <w:sz w:val="40"/>
              </w:rPr>
              <w:t>CAT</w:t>
            </w:r>
            <w:r>
              <w:t>/C/CAN/Q/6</w:t>
            </w:r>
          </w:p>
        </w:tc>
      </w:tr>
      <w:tr w:rsidR="002D5AAC" w:rsidTr="00464409">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471492" w:rsidRDefault="00471492" w:rsidP="00712895">
            <w:pPr>
              <w:spacing w:before="240"/>
            </w:pPr>
            <w:r>
              <w:t>Distr. general</w:t>
            </w:r>
          </w:p>
          <w:p w:rsidR="00471492" w:rsidRDefault="00471492" w:rsidP="00471492">
            <w:pPr>
              <w:spacing w:line="240" w:lineRule="exact"/>
            </w:pPr>
            <w:r>
              <w:t>4 de enero de 2012</w:t>
            </w:r>
          </w:p>
          <w:p w:rsidR="00471492" w:rsidRDefault="00471492" w:rsidP="00471492">
            <w:pPr>
              <w:spacing w:line="240" w:lineRule="exact"/>
            </w:pPr>
            <w:r>
              <w:t>Español</w:t>
            </w:r>
          </w:p>
          <w:p w:rsidR="002D5AAC" w:rsidRDefault="00471492" w:rsidP="00471492">
            <w:pPr>
              <w:spacing w:line="240" w:lineRule="exact"/>
            </w:pPr>
            <w:r>
              <w:t>Original: inglés</w:t>
            </w:r>
          </w:p>
        </w:tc>
      </w:tr>
    </w:tbl>
    <w:p w:rsidR="00464409" w:rsidRPr="00034F1E" w:rsidRDefault="00464409" w:rsidP="00464409">
      <w:pPr>
        <w:spacing w:before="120"/>
        <w:rPr>
          <w:b/>
          <w:sz w:val="24"/>
        </w:rPr>
      </w:pPr>
      <w:r w:rsidRPr="00034F1E">
        <w:rPr>
          <w:b/>
          <w:sz w:val="24"/>
        </w:rPr>
        <w:t>Comité contra la Tortura</w:t>
      </w:r>
    </w:p>
    <w:p w:rsidR="00464409" w:rsidRPr="00034F1E" w:rsidRDefault="00464409" w:rsidP="00464409">
      <w:pPr>
        <w:rPr>
          <w:b/>
        </w:rPr>
      </w:pPr>
      <w:r w:rsidRPr="00034F1E">
        <w:rPr>
          <w:b/>
        </w:rPr>
        <w:t>47º período de sesiones</w:t>
      </w:r>
    </w:p>
    <w:p w:rsidR="00464409" w:rsidRPr="00034F1E" w:rsidRDefault="00464409" w:rsidP="00464409">
      <w:r w:rsidRPr="00034F1E">
        <w:t>31 de octubre a 25 de noviembre de 2011</w:t>
      </w:r>
    </w:p>
    <w:p w:rsidR="00464409" w:rsidRPr="00034F1E" w:rsidRDefault="00464409" w:rsidP="008B4227">
      <w:pPr>
        <w:pStyle w:val="HChG"/>
      </w:pPr>
      <w:r w:rsidRPr="00034F1E">
        <w:tab/>
      </w:r>
      <w:r w:rsidRPr="00034F1E">
        <w:tab/>
        <w:t>Lista de cuestiones</w:t>
      </w:r>
      <w:r>
        <w:t xml:space="preserve"> </w:t>
      </w:r>
      <w:r w:rsidRPr="00034F1E">
        <w:t>que deben abordarse al examinar</w:t>
      </w:r>
      <w:r w:rsidR="008B4227">
        <w:br/>
      </w:r>
      <w:r w:rsidRPr="00034F1E">
        <w:t>el sexto informe periódico del Canadá (CAT/C/CAN/6)</w:t>
      </w:r>
    </w:p>
    <w:p w:rsidR="00464409" w:rsidRPr="00034F1E" w:rsidRDefault="00464409" w:rsidP="00464409">
      <w:pPr>
        <w:pStyle w:val="H1G"/>
        <w:rPr>
          <w:rFonts w:eastAsia="Malgun Gothic"/>
        </w:rPr>
      </w:pPr>
      <w:r w:rsidRPr="00034F1E">
        <w:rPr>
          <w:rFonts w:eastAsia="Malgun Gothic"/>
        </w:rPr>
        <w:tab/>
      </w:r>
      <w:r w:rsidRPr="00034F1E">
        <w:rPr>
          <w:rFonts w:eastAsia="Malgun Gothic"/>
        </w:rPr>
        <w:tab/>
        <w:t>Artículo 2</w:t>
      </w:r>
      <w:r w:rsidRPr="001F5759">
        <w:rPr>
          <w:rStyle w:val="FootnoteReference"/>
          <w:rFonts w:eastAsia="Malgun Gothic"/>
          <w:b w:val="0"/>
        </w:rPr>
        <w:footnoteReference w:id="1"/>
      </w:r>
    </w:p>
    <w:p w:rsidR="00464409" w:rsidRPr="00034F1E" w:rsidRDefault="00464409" w:rsidP="00464409">
      <w:pPr>
        <w:pStyle w:val="SingleTxtG"/>
        <w:rPr>
          <w:rFonts w:eastAsia="Malgun Gothic"/>
        </w:rPr>
      </w:pPr>
      <w:r w:rsidRPr="00034F1E">
        <w:rPr>
          <w:rFonts w:eastAsia="Malgun Gothic"/>
        </w:rPr>
        <w:t>1.</w:t>
      </w:r>
      <w:r w:rsidRPr="00034F1E">
        <w:rPr>
          <w:rFonts w:eastAsia="Malgun Gothic"/>
        </w:rPr>
        <w:tab/>
        <w:t>El informe presentado por el Estado parte comprende</w:t>
      </w:r>
      <w:r>
        <w:rPr>
          <w:rFonts w:eastAsia="Malgun Gothic"/>
        </w:rPr>
        <w:t xml:space="preserve"> el período que va de agosto de </w:t>
      </w:r>
      <w:r w:rsidRPr="00034F1E">
        <w:rPr>
          <w:rFonts w:eastAsia="Malgun Gothic"/>
        </w:rPr>
        <w:t>2004 a diciembre de 2007</w:t>
      </w:r>
      <w:r w:rsidRPr="001F5759">
        <w:rPr>
          <w:rStyle w:val="FootnoteReference"/>
          <w:rFonts w:eastAsia="Malgun Gothic"/>
        </w:rPr>
        <w:footnoteReference w:id="2"/>
      </w:r>
      <w:r w:rsidRPr="00034F1E">
        <w:rPr>
          <w:rFonts w:eastAsia="Malgun Gothic"/>
        </w:rPr>
        <w:t xml:space="preserve">. Sírvanse </w:t>
      </w:r>
      <w:r>
        <w:rPr>
          <w:rFonts w:eastAsia="Malgun Gothic"/>
        </w:rPr>
        <w:t xml:space="preserve">facilitar </w:t>
      </w:r>
      <w:r w:rsidRPr="00034F1E">
        <w:rPr>
          <w:rFonts w:eastAsia="Malgun Gothic"/>
        </w:rPr>
        <w:t>al Comité información actualizada acerca de las novedades que sean pertinentes en el marco legal e institucional, así como de las nuevas medidas políticas, administrativas o de otra índole que se hayan adoptado para prevenir los actos de tortura, con inclusión de los planes o programas nacionales de derechos humanos, de haberlos, los recursos asignados a ellos y sus medios, objetivos y resultados.</w:t>
      </w:r>
    </w:p>
    <w:p w:rsidR="00464409" w:rsidRPr="00034F1E" w:rsidRDefault="00464409" w:rsidP="00464409">
      <w:pPr>
        <w:pStyle w:val="SingleTxtG"/>
        <w:rPr>
          <w:rFonts w:eastAsia="Malgun Gothic"/>
        </w:rPr>
      </w:pPr>
      <w:r w:rsidRPr="00034F1E">
        <w:rPr>
          <w:rFonts w:eastAsia="Malgun Gothic"/>
        </w:rPr>
        <w:t>2.</w:t>
      </w:r>
      <w:r w:rsidRPr="00034F1E">
        <w:rPr>
          <w:rFonts w:eastAsia="Malgun Gothic"/>
        </w:rPr>
        <w:tab/>
        <w:t xml:space="preserve">Sírvanse proporcionar información actualizada acerca de las salvaguardias legales y otras medidas adoptadas para cerciorarse de que todos los detenidos puedan hacer valer en la práctica las garantías procesales fundamentales desde el momento mismo de la detención, como el derecho de consultar a un abogado y a un médico de su elección, así como el derecho a informar a un familiar, a ser informado de sus derechos y a ser llevado sin demora ante un juez. Sírvanse especificar </w:t>
      </w:r>
      <w:r>
        <w:rPr>
          <w:rFonts w:eastAsia="Malgun Gothic"/>
        </w:rPr>
        <w:t>el funcionamiento y la financiación d</w:t>
      </w:r>
      <w:r w:rsidRPr="00034F1E">
        <w:rPr>
          <w:rFonts w:eastAsia="Malgun Gothic"/>
        </w:rPr>
        <w:t>el sistema de asistencia judicial que existe en el país. ¿</w:t>
      </w:r>
      <w:r>
        <w:rPr>
          <w:rFonts w:eastAsia="Malgun Gothic"/>
        </w:rPr>
        <w:t>Existe</w:t>
      </w:r>
      <w:r w:rsidRPr="00034F1E">
        <w:rPr>
          <w:rFonts w:eastAsia="Malgun Gothic"/>
        </w:rPr>
        <w:t xml:space="preserve"> en todos los </w:t>
      </w:r>
      <w:r>
        <w:rPr>
          <w:rFonts w:eastAsia="Malgun Gothic"/>
        </w:rPr>
        <w:t>centros</w:t>
      </w:r>
      <w:r w:rsidRPr="00034F1E">
        <w:rPr>
          <w:rFonts w:eastAsia="Malgun Gothic"/>
        </w:rPr>
        <w:t xml:space="preserve"> de detención una declaración de los derechos de los detenidos que estos puedan consultar</w:t>
      </w:r>
      <w:r w:rsidRPr="001F5759">
        <w:rPr>
          <w:rStyle w:val="FootnoteReference"/>
          <w:rFonts w:eastAsia="Malgun Gothic"/>
        </w:rPr>
        <w:footnoteReference w:id="3"/>
      </w:r>
      <w:r>
        <w:rPr>
          <w:rFonts w:eastAsia="Malgun Gothic"/>
        </w:rPr>
        <w:t>?</w:t>
      </w:r>
    </w:p>
    <w:p w:rsidR="00464409" w:rsidRPr="00034F1E" w:rsidRDefault="00464409" w:rsidP="00464409">
      <w:pPr>
        <w:pStyle w:val="SingleTxtG"/>
        <w:keepNext/>
        <w:keepLines/>
        <w:rPr>
          <w:rFonts w:eastAsia="Malgun Gothic"/>
        </w:rPr>
      </w:pPr>
      <w:r w:rsidRPr="00034F1E">
        <w:rPr>
          <w:rFonts w:eastAsia="Malgun Gothic"/>
        </w:rPr>
        <w:t>3.</w:t>
      </w:r>
      <w:r w:rsidRPr="00034F1E">
        <w:rPr>
          <w:rFonts w:eastAsia="Malgun Gothic"/>
        </w:rPr>
        <w:tab/>
        <w:t>Sírvanse indicar al Comité en qué estado se encuentra el nuevo proyecto de ley C-4 y qué consecuencias tiene en cuanto al cumplimiento de la Convención por el Estado parte, especialmente en relación con la detención obligatoria de cualquier grupo de personas, incluidos niños, que entren en el Canadá en forma irregular.</w:t>
      </w:r>
    </w:p>
    <w:p w:rsidR="00464409" w:rsidRPr="00034F1E" w:rsidRDefault="00464409" w:rsidP="00464409">
      <w:pPr>
        <w:pStyle w:val="SingleTxtG"/>
        <w:rPr>
          <w:rFonts w:eastAsia="Malgun Gothic"/>
        </w:rPr>
      </w:pPr>
      <w:r w:rsidRPr="00034F1E">
        <w:rPr>
          <w:rFonts w:eastAsia="Malgun Gothic"/>
        </w:rPr>
        <w:t>4.</w:t>
      </w:r>
      <w:r w:rsidRPr="00034F1E">
        <w:rPr>
          <w:rFonts w:eastAsia="Malgun Gothic"/>
        </w:rPr>
        <w:tab/>
        <w:t xml:space="preserve">Sírvanse especificar las medidas adoptadas por las autoridades del Canadá para cumplir las recomendaciones de los mecanismos de derechos humanos de las Naciones Unidas, incluido el </w:t>
      </w:r>
      <w:r>
        <w:rPr>
          <w:rFonts w:eastAsia="Malgun Gothic"/>
        </w:rPr>
        <w:t xml:space="preserve">párrafo 5 b) de las recomendaciones del </w:t>
      </w:r>
      <w:r w:rsidRPr="00034F1E">
        <w:rPr>
          <w:rFonts w:eastAsia="Malgun Gothic"/>
        </w:rPr>
        <w:t>Comité, en relación con la utilización de certificados de seguridad con arreglo a la Ley de inmigración y protección de los refugiados</w:t>
      </w:r>
      <w:r w:rsidRPr="001F5759">
        <w:rPr>
          <w:rStyle w:val="FootnoteReference"/>
          <w:rFonts w:eastAsia="Malgun Gothic"/>
        </w:rPr>
        <w:footnoteReference w:id="4"/>
      </w:r>
      <w:r w:rsidRPr="00034F1E">
        <w:rPr>
          <w:rFonts w:eastAsia="Malgun Gothic"/>
        </w:rPr>
        <w:t xml:space="preserve">. En particular, y con respecto a las </w:t>
      </w:r>
      <w:r>
        <w:rPr>
          <w:rFonts w:eastAsia="Malgun Gothic"/>
        </w:rPr>
        <w:t>modificaciones</w:t>
      </w:r>
      <w:r w:rsidRPr="00034F1E">
        <w:rPr>
          <w:rFonts w:eastAsia="Malgun Gothic"/>
        </w:rPr>
        <w:t xml:space="preserve"> a esa </w:t>
      </w:r>
      <w:r>
        <w:rPr>
          <w:rFonts w:eastAsia="Malgun Gothic"/>
        </w:rPr>
        <w:t>l</w:t>
      </w:r>
      <w:r w:rsidRPr="00034F1E">
        <w:rPr>
          <w:rFonts w:eastAsia="Malgun Gothic"/>
        </w:rPr>
        <w:t>ey que se introdujeron después de</w:t>
      </w:r>
      <w:r>
        <w:rPr>
          <w:rFonts w:eastAsia="Malgun Gothic"/>
        </w:rPr>
        <w:t xml:space="preserve"> </w:t>
      </w:r>
      <w:r w:rsidRPr="00034F1E">
        <w:rPr>
          <w:rFonts w:eastAsia="Malgun Gothic"/>
        </w:rPr>
        <w:t>l</w:t>
      </w:r>
      <w:r>
        <w:rPr>
          <w:rFonts w:eastAsia="Malgun Gothic"/>
        </w:rPr>
        <w:t>a</w:t>
      </w:r>
      <w:r w:rsidRPr="00034F1E">
        <w:rPr>
          <w:rFonts w:eastAsia="Malgun Gothic"/>
        </w:rPr>
        <w:t xml:space="preserve"> </w:t>
      </w:r>
      <w:r>
        <w:rPr>
          <w:rFonts w:eastAsia="Malgun Gothic"/>
        </w:rPr>
        <w:t>sentencia</w:t>
      </w:r>
      <w:r w:rsidRPr="00034F1E">
        <w:rPr>
          <w:rFonts w:eastAsia="Malgun Gothic"/>
        </w:rPr>
        <w:t xml:space="preserve"> del Tribunal Supremo en </w:t>
      </w:r>
      <w:r>
        <w:rPr>
          <w:rFonts w:eastAsia="Malgun Gothic"/>
        </w:rPr>
        <w:t>e</w:t>
      </w:r>
      <w:r w:rsidRPr="00034F1E">
        <w:rPr>
          <w:rFonts w:eastAsia="Malgun Gothic"/>
        </w:rPr>
        <w:t xml:space="preserve">l </w:t>
      </w:r>
      <w:r>
        <w:rPr>
          <w:rFonts w:eastAsia="Malgun Gothic"/>
        </w:rPr>
        <w:t>asunto</w:t>
      </w:r>
      <w:r w:rsidRPr="00034F1E">
        <w:rPr>
          <w:rFonts w:eastAsia="Malgun Gothic"/>
        </w:rPr>
        <w:t xml:space="preserve"> </w:t>
      </w:r>
      <w:r w:rsidRPr="00034F1E">
        <w:rPr>
          <w:rFonts w:eastAsia="Malgun Gothic"/>
          <w:i/>
        </w:rPr>
        <w:t xml:space="preserve">Charkaoui c. el Ministro de Ciudadanía e Inmigración y otros </w:t>
      </w:r>
      <w:r w:rsidRPr="00034F1E">
        <w:rPr>
          <w:rFonts w:eastAsia="Malgun Gothic"/>
        </w:rPr>
        <w:t>(CAT/C/CAN/6, párrs.</w:t>
      </w:r>
      <w:r w:rsidR="0073417A">
        <w:rPr>
          <w:rFonts w:eastAsia="Malgun Gothic"/>
        </w:rPr>
        <w:t xml:space="preserve"> </w:t>
      </w:r>
      <w:r w:rsidRPr="00034F1E">
        <w:rPr>
          <w:rFonts w:eastAsia="Malgun Gothic"/>
        </w:rPr>
        <w:t>16 y 17), sírvanse proporcionar información acerca de</w:t>
      </w:r>
      <w:r w:rsidRPr="001F5759">
        <w:rPr>
          <w:rStyle w:val="FootnoteReference"/>
          <w:rFonts w:eastAsia="Malgun Gothic"/>
        </w:rPr>
        <w:footnoteReference w:id="5"/>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ab/>
        <w:t>a)</w:t>
      </w:r>
      <w:r w:rsidRPr="00034F1E">
        <w:rPr>
          <w:rFonts w:eastAsia="Malgun Gothic"/>
        </w:rPr>
        <w:tab/>
        <w:t>Si la detención de sospechosos de delitos de terrorismo u otros delitos tiene lugar en el marco de un procedimiento penal y de conformidad con las garantías correspondientes que consagran las normas internacionales. De lo contrario, indi</w:t>
      </w:r>
      <w:r>
        <w:rPr>
          <w:rFonts w:eastAsia="Malgun Gothic"/>
        </w:rPr>
        <w:t>quen</w:t>
      </w:r>
      <w:r w:rsidRPr="00034F1E">
        <w:rPr>
          <w:rFonts w:eastAsia="Malgun Gothic"/>
        </w:rPr>
        <w:t xml:space="preserve"> en qué medida considera el Estado parte la posibilidad de modificar su política de </w:t>
      </w:r>
      <w:r>
        <w:rPr>
          <w:rFonts w:eastAsia="Malgun Gothic"/>
        </w:rPr>
        <w:t>recurrir a</w:t>
      </w:r>
      <w:r w:rsidRPr="00034F1E">
        <w:rPr>
          <w:rFonts w:eastAsia="Malgun Gothic"/>
        </w:rPr>
        <w:t xml:space="preserve"> la detención administrativa y </w:t>
      </w:r>
      <w:r>
        <w:rPr>
          <w:rFonts w:eastAsia="Malgun Gothic"/>
        </w:rPr>
        <w:t xml:space="preserve">a </w:t>
      </w:r>
      <w:r w:rsidRPr="00034F1E">
        <w:rPr>
          <w:rFonts w:eastAsia="Malgun Gothic"/>
        </w:rPr>
        <w:t>las leyes de inmigración para detener a sospechosos de terrorismo</w:t>
      </w:r>
      <w:r>
        <w:rPr>
          <w:rFonts w:eastAsia="Malgun Gothic"/>
        </w:rPr>
        <w:t>.</w:t>
      </w:r>
    </w:p>
    <w:p w:rsidR="00464409" w:rsidRPr="00034F1E" w:rsidRDefault="00464409" w:rsidP="00464409">
      <w:pPr>
        <w:pStyle w:val="SingleTxtG"/>
        <w:rPr>
          <w:rFonts w:eastAsia="Malgun Gothic"/>
        </w:rPr>
      </w:pPr>
      <w:r w:rsidRPr="00034F1E">
        <w:rPr>
          <w:rFonts w:eastAsia="Malgun Gothic"/>
        </w:rPr>
        <w:tab/>
        <w:t>b)</w:t>
      </w:r>
      <w:r w:rsidRPr="00034F1E">
        <w:rPr>
          <w:rFonts w:eastAsia="Malgun Gothic"/>
        </w:rPr>
        <w:tab/>
        <w:t>Si se ha fijado una duración máxima de la detención administrativa en virtud de certificados de seguridad. De lo contrario</w:t>
      </w:r>
      <w:r>
        <w:rPr>
          <w:rFonts w:eastAsia="Malgun Gothic"/>
        </w:rPr>
        <w:t>,</w:t>
      </w:r>
      <w:r w:rsidRPr="00034F1E">
        <w:rPr>
          <w:rFonts w:eastAsia="Malgun Gothic"/>
        </w:rPr>
        <w:t xml:space="preserve"> proporcion</w:t>
      </w:r>
      <w:r>
        <w:rPr>
          <w:rFonts w:eastAsia="Malgun Gothic"/>
        </w:rPr>
        <w:t>en</w:t>
      </w:r>
      <w:r w:rsidRPr="00034F1E">
        <w:rPr>
          <w:rFonts w:eastAsia="Malgun Gothic"/>
        </w:rPr>
        <w:t xml:space="preserve"> información detallada acerca de las medidas adoptadas para prohibir la detención indefinida en espera de juicio sin que se presenten cargos o se incoe un proceso</w:t>
      </w:r>
      <w:r>
        <w:rPr>
          <w:rFonts w:eastAsia="Malgun Gothic"/>
        </w:rPr>
        <w:t>.</w:t>
      </w:r>
    </w:p>
    <w:p w:rsidR="00464409" w:rsidRPr="00034F1E" w:rsidRDefault="00464409" w:rsidP="00464409">
      <w:pPr>
        <w:pStyle w:val="SingleTxtG"/>
        <w:rPr>
          <w:rFonts w:eastAsia="Malgun Gothic"/>
        </w:rPr>
      </w:pPr>
      <w:r w:rsidRPr="00034F1E">
        <w:rPr>
          <w:rFonts w:eastAsia="Malgun Gothic"/>
        </w:rPr>
        <w:tab/>
        <w:t>c)</w:t>
      </w:r>
      <w:r w:rsidRPr="00034F1E">
        <w:rPr>
          <w:rFonts w:eastAsia="Malgun Gothic"/>
        </w:rPr>
        <w:tab/>
        <w:t xml:space="preserve">Si la detención de los extranjeros que no sean residentes permanentes sigue teniendo carácter obligatorio. </w:t>
      </w:r>
      <w:r>
        <w:rPr>
          <w:rFonts w:eastAsia="Malgun Gothic"/>
        </w:rPr>
        <w:t>De ser así</w:t>
      </w:r>
      <w:r w:rsidRPr="00034F1E">
        <w:rPr>
          <w:rFonts w:eastAsia="Malgun Gothic"/>
        </w:rPr>
        <w:t>, ¿considera el Estado parte la posibilidad de revisar su práctica de manera que la detención se decida e</w:t>
      </w:r>
      <w:r>
        <w:rPr>
          <w:rFonts w:eastAsia="Malgun Gothic"/>
        </w:rPr>
        <w:t>xaminando</w:t>
      </w:r>
      <w:r w:rsidRPr="00034F1E">
        <w:rPr>
          <w:rFonts w:eastAsia="Malgun Gothic"/>
        </w:rPr>
        <w:t xml:space="preserve"> cada caso concreto?</w:t>
      </w:r>
    </w:p>
    <w:p w:rsidR="00464409" w:rsidRPr="00034F1E" w:rsidRDefault="00464409" w:rsidP="00464409">
      <w:pPr>
        <w:pStyle w:val="SingleTxtG"/>
        <w:rPr>
          <w:rFonts w:eastAsia="Malgun Gothic"/>
        </w:rPr>
      </w:pPr>
      <w:r w:rsidRPr="00034F1E">
        <w:rPr>
          <w:rFonts w:eastAsia="Malgun Gothic"/>
        </w:rPr>
        <w:tab/>
        <w:t>d)</w:t>
      </w:r>
      <w:r w:rsidRPr="00034F1E">
        <w:rPr>
          <w:rFonts w:eastAsia="Malgun Gothic"/>
        </w:rPr>
        <w:tab/>
        <w:t>La base sobre la cual se revisan los certificados de seguridad. Indi</w:t>
      </w:r>
      <w:r>
        <w:rPr>
          <w:rFonts w:eastAsia="Malgun Gothic"/>
        </w:rPr>
        <w:t>quen</w:t>
      </w:r>
      <w:r w:rsidRPr="00034F1E">
        <w:rPr>
          <w:rFonts w:eastAsia="Malgun Gothic"/>
        </w:rPr>
        <w:t xml:space="preserve"> si el interesado puede consultar la información y las pruebas empleadas</w:t>
      </w:r>
      <w:r>
        <w:rPr>
          <w:rFonts w:eastAsia="Malgun Gothic"/>
        </w:rPr>
        <w:t>.</w:t>
      </w:r>
    </w:p>
    <w:p w:rsidR="00464409" w:rsidRPr="00034F1E" w:rsidRDefault="00464409" w:rsidP="00464409">
      <w:pPr>
        <w:pStyle w:val="SingleTxtG"/>
        <w:rPr>
          <w:rFonts w:eastAsia="Malgun Gothic"/>
        </w:rPr>
      </w:pPr>
      <w:r w:rsidRPr="00034F1E">
        <w:rPr>
          <w:rFonts w:eastAsia="Malgun Gothic"/>
        </w:rPr>
        <w:tab/>
        <w:t>e)</w:t>
      </w:r>
      <w:r w:rsidRPr="00034F1E">
        <w:rPr>
          <w:rFonts w:eastAsia="Malgun Gothic"/>
        </w:rPr>
        <w:tab/>
        <w:t xml:space="preserve">La postura del Estado parte en cuanto a las cuestiones planteadas en el proceso del </w:t>
      </w:r>
      <w:r>
        <w:rPr>
          <w:rFonts w:eastAsia="Malgun Gothic"/>
        </w:rPr>
        <w:t>e</w:t>
      </w:r>
      <w:r w:rsidRPr="00034F1E">
        <w:rPr>
          <w:rFonts w:eastAsia="Malgun Gothic"/>
        </w:rPr>
        <w:t xml:space="preserve">xamen </w:t>
      </w:r>
      <w:r>
        <w:rPr>
          <w:rFonts w:eastAsia="Malgun Gothic"/>
        </w:rPr>
        <w:t>p</w:t>
      </w:r>
      <w:r w:rsidRPr="00034F1E">
        <w:rPr>
          <w:rFonts w:eastAsia="Malgun Gothic"/>
        </w:rPr>
        <w:t>eriódic</w:t>
      </w:r>
      <w:r>
        <w:rPr>
          <w:rFonts w:eastAsia="Malgun Gothic"/>
        </w:rPr>
        <w:t xml:space="preserve">o universal </w:t>
      </w:r>
      <w:r w:rsidRPr="00034F1E">
        <w:rPr>
          <w:rFonts w:eastAsia="Malgun Gothic"/>
        </w:rPr>
        <w:t xml:space="preserve">de que los abogados especiales tienen </w:t>
      </w:r>
      <w:r>
        <w:rPr>
          <w:rFonts w:eastAsia="Malgun Gothic"/>
        </w:rPr>
        <w:t xml:space="preserve">posibilidades </w:t>
      </w:r>
      <w:r w:rsidRPr="00034F1E">
        <w:rPr>
          <w:rFonts w:eastAsia="Malgun Gothic"/>
        </w:rPr>
        <w:t xml:space="preserve">muy restringidas de hacer </w:t>
      </w:r>
      <w:r>
        <w:rPr>
          <w:rFonts w:eastAsia="Malgun Gothic"/>
        </w:rPr>
        <w:t>re</w:t>
      </w:r>
      <w:r w:rsidRPr="00034F1E">
        <w:rPr>
          <w:rFonts w:eastAsia="Malgun Gothic"/>
        </w:rPr>
        <w:t>preguntas o de obtener pruebas en forma independiente</w:t>
      </w:r>
      <w:r w:rsidRPr="001F5759">
        <w:rPr>
          <w:rStyle w:val="FootnoteReference"/>
          <w:rFonts w:eastAsia="Malgun Gothic"/>
        </w:rPr>
        <w:footnoteReference w:id="6"/>
      </w:r>
      <w:r w:rsidRPr="00034F1E">
        <w:rPr>
          <w:rFonts w:eastAsia="Malgun Gothic"/>
        </w:rPr>
        <w:t>; y</w:t>
      </w:r>
    </w:p>
    <w:p w:rsidR="00464409" w:rsidRPr="00034F1E" w:rsidRDefault="00464409" w:rsidP="00464409">
      <w:pPr>
        <w:pStyle w:val="SingleTxtG"/>
        <w:rPr>
          <w:rFonts w:eastAsia="Malgun Gothic"/>
        </w:rPr>
      </w:pPr>
      <w:r w:rsidRPr="00034F1E">
        <w:rPr>
          <w:rFonts w:eastAsia="Malgun Gothic"/>
        </w:rPr>
        <w:tab/>
        <w:t>f)</w:t>
      </w:r>
      <w:r w:rsidRPr="00034F1E">
        <w:rPr>
          <w:rFonts w:eastAsia="Malgun Gothic"/>
        </w:rPr>
        <w:tab/>
        <w:t xml:space="preserve">Cualesquiera otras medidas que se hayan tomado o se prevea tomar para </w:t>
      </w:r>
      <w:r>
        <w:rPr>
          <w:rFonts w:eastAsia="Malgun Gothic"/>
        </w:rPr>
        <w:t xml:space="preserve">dar pleno </w:t>
      </w:r>
      <w:r w:rsidRPr="00034F1E">
        <w:rPr>
          <w:rFonts w:eastAsia="Malgun Gothic"/>
        </w:rPr>
        <w:t>cumpli</w:t>
      </w:r>
      <w:r>
        <w:rPr>
          <w:rFonts w:eastAsia="Malgun Gothic"/>
        </w:rPr>
        <w:t>miento</w:t>
      </w:r>
      <w:r w:rsidRPr="00034F1E">
        <w:rPr>
          <w:rFonts w:eastAsia="Malgun Gothic"/>
        </w:rPr>
        <w:t xml:space="preserve"> </w:t>
      </w:r>
      <w:r>
        <w:rPr>
          <w:rFonts w:eastAsia="Malgun Gothic"/>
        </w:rPr>
        <w:t>a la sentencia</w:t>
      </w:r>
      <w:r w:rsidRPr="00034F1E">
        <w:rPr>
          <w:rFonts w:eastAsia="Malgun Gothic"/>
        </w:rPr>
        <w:t xml:space="preserve"> del Tribunal Supremo </w:t>
      </w:r>
      <w:r>
        <w:rPr>
          <w:rFonts w:eastAsia="Malgun Gothic"/>
        </w:rPr>
        <w:t>anteriormente</w:t>
      </w:r>
      <w:r w:rsidRPr="00034F1E">
        <w:rPr>
          <w:rFonts w:eastAsia="Malgun Gothic"/>
        </w:rPr>
        <w:t xml:space="preserve"> mencionad</w:t>
      </w:r>
      <w:r>
        <w:rPr>
          <w:rFonts w:eastAsia="Malgun Gothic"/>
        </w:rPr>
        <w:t>a</w:t>
      </w:r>
      <w:r w:rsidRPr="00034F1E">
        <w:rPr>
          <w:rFonts w:eastAsia="Malgun Gothic"/>
        </w:rPr>
        <w:t xml:space="preserve">. </w:t>
      </w:r>
      <w:r>
        <w:rPr>
          <w:rFonts w:eastAsia="Malgun Gothic"/>
        </w:rPr>
        <w:t>Faciliten</w:t>
      </w:r>
      <w:r w:rsidRPr="00034F1E">
        <w:rPr>
          <w:rFonts w:eastAsia="Malgun Gothic"/>
        </w:rPr>
        <w:t xml:space="preserve"> información actualizada acerca de si ha habido casos en que un órgano judicial haya </w:t>
      </w:r>
      <w:r>
        <w:rPr>
          <w:rFonts w:eastAsia="Malgun Gothic"/>
        </w:rPr>
        <w:t>determinado</w:t>
      </w:r>
      <w:r w:rsidRPr="00034F1E">
        <w:rPr>
          <w:rFonts w:eastAsia="Malgun Gothic"/>
        </w:rPr>
        <w:t xml:space="preserve"> que un período prolongado de detención en virtud de ese régimen ha llegado a un punto que equivale a un trato cruel e inhumano.</w:t>
      </w:r>
    </w:p>
    <w:p w:rsidR="00464409" w:rsidRPr="00034F1E" w:rsidRDefault="00464409" w:rsidP="00464409">
      <w:pPr>
        <w:pStyle w:val="SingleTxtG"/>
        <w:rPr>
          <w:rFonts w:eastAsia="Malgun Gothic"/>
        </w:rPr>
      </w:pPr>
      <w:r w:rsidRPr="00034F1E">
        <w:rPr>
          <w:rFonts w:eastAsia="Malgun Gothic"/>
        </w:rPr>
        <w:t>5.</w:t>
      </w:r>
      <w:r w:rsidRPr="00034F1E">
        <w:rPr>
          <w:rFonts w:eastAsia="Malgun Gothic"/>
        </w:rPr>
        <w:tab/>
        <w:t xml:space="preserve">Habida cuenta de que el Estado parte ha aceptado la recomendación formulada en el curso del </w:t>
      </w:r>
      <w:r>
        <w:rPr>
          <w:rFonts w:eastAsia="Malgun Gothic"/>
        </w:rPr>
        <w:t>examen periódico universal</w:t>
      </w:r>
      <w:r w:rsidRPr="00034F1E">
        <w:rPr>
          <w:rFonts w:eastAsia="Malgun Gothic"/>
        </w:rPr>
        <w:t xml:space="preserve"> de que prevenga la violencia contra la mujer y luche contra ella, en particular la mujer aborigen, sírvanse proporcionar información actualizada acerca de</w:t>
      </w:r>
      <w:r w:rsidRPr="001F5759">
        <w:rPr>
          <w:rStyle w:val="FootnoteReference"/>
          <w:rFonts w:eastAsia="Malgun Gothic"/>
        </w:rPr>
        <w:footnoteReference w:id="7"/>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ab/>
        <w:t>a)</w:t>
      </w:r>
      <w:r w:rsidRPr="00034F1E">
        <w:rPr>
          <w:rFonts w:eastAsia="Malgun Gothic"/>
        </w:rPr>
        <w:tab/>
        <w:t>Las medidas adoptadas para que las denuncias de actos de violencia contra la mujer sean objeto de una investigación independiente, pronta y minuciosa y para que los autores sean enjuiciados y reciban la sanción que proceda</w:t>
      </w:r>
      <w:r>
        <w:rPr>
          <w:rFonts w:eastAsia="Malgun Gothic"/>
        </w:rPr>
        <w:t>.</w:t>
      </w:r>
    </w:p>
    <w:p w:rsidR="00464409" w:rsidRPr="00034F1E" w:rsidRDefault="00464409" w:rsidP="00464409">
      <w:pPr>
        <w:pStyle w:val="SingleTxtG"/>
        <w:rPr>
          <w:rFonts w:eastAsia="Malgun Gothic"/>
        </w:rPr>
      </w:pPr>
      <w:r w:rsidRPr="00034F1E">
        <w:rPr>
          <w:rFonts w:eastAsia="Malgun Gothic"/>
        </w:rPr>
        <w:tab/>
        <w:t>b)</w:t>
      </w:r>
      <w:r w:rsidRPr="00034F1E">
        <w:rPr>
          <w:rFonts w:eastAsia="Malgun Gothic"/>
        </w:rPr>
        <w:tab/>
        <w:t>Los resultados de la investigación de casos de mujeres aborígenes que han desaparecido o han sido asesinadas. Indi</w:t>
      </w:r>
      <w:r>
        <w:rPr>
          <w:rFonts w:eastAsia="Malgun Gothic"/>
        </w:rPr>
        <w:t>quen</w:t>
      </w:r>
      <w:r w:rsidRPr="00034F1E">
        <w:rPr>
          <w:rFonts w:eastAsia="Malgun Gothic"/>
        </w:rPr>
        <w:t xml:space="preserve"> si el Estado parte ha llevado a cabo un análisis de esos casos para abordar las causas profundas y ha tomado las medidas necesarias para corregir las deficiencias del sistema</w:t>
      </w:r>
      <w:r>
        <w:rPr>
          <w:rStyle w:val="FootnoteReference"/>
          <w:rFonts w:eastAsia="Malgun Gothic"/>
        </w:rPr>
        <w:footnoteReference w:id="8"/>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ab/>
        <w:t>c)</w:t>
      </w:r>
      <w:r w:rsidRPr="00034F1E">
        <w:rPr>
          <w:rFonts w:eastAsia="Malgun Gothic"/>
        </w:rPr>
        <w:tab/>
        <w:t xml:space="preserve">Los datos, incluidas estadísticas, sobre denuncias recibidas, investigaciones realizadas, procesos entablados, sentencias condenatorias dictadas y penas impuestas en relación con actos de violencia contra la mujer, en particular </w:t>
      </w:r>
      <w:r>
        <w:rPr>
          <w:rFonts w:eastAsia="Malgun Gothic"/>
        </w:rPr>
        <w:t>mujeres pertenecientes a</w:t>
      </w:r>
      <w:r w:rsidRPr="00034F1E">
        <w:rPr>
          <w:rFonts w:eastAsia="Malgun Gothic"/>
        </w:rPr>
        <w:t xml:space="preserve"> minorías religiosas y étnicas, así como sobre indemnizaci</w:t>
      </w:r>
      <w:r>
        <w:rPr>
          <w:rFonts w:eastAsia="Malgun Gothic"/>
        </w:rPr>
        <w:t>o</w:t>
      </w:r>
      <w:r w:rsidRPr="00034F1E">
        <w:rPr>
          <w:rFonts w:eastAsia="Malgun Gothic"/>
        </w:rPr>
        <w:t>n</w:t>
      </w:r>
      <w:r>
        <w:rPr>
          <w:rFonts w:eastAsia="Malgun Gothic"/>
        </w:rPr>
        <w:t>es</w:t>
      </w:r>
      <w:r w:rsidRPr="00034F1E">
        <w:rPr>
          <w:rFonts w:eastAsia="Malgun Gothic"/>
        </w:rPr>
        <w:t xml:space="preserve"> pagada</w:t>
      </w:r>
      <w:r>
        <w:rPr>
          <w:rFonts w:eastAsia="Malgun Gothic"/>
        </w:rPr>
        <w:t>s</w:t>
      </w:r>
      <w:r w:rsidRPr="00034F1E">
        <w:rPr>
          <w:rFonts w:eastAsia="Malgun Gothic"/>
        </w:rPr>
        <w:t xml:space="preserve"> a las víctimas.</w:t>
      </w:r>
    </w:p>
    <w:p w:rsidR="00464409" w:rsidRPr="00034F1E" w:rsidRDefault="00464409" w:rsidP="00464409">
      <w:pPr>
        <w:pStyle w:val="SingleTxtG"/>
        <w:rPr>
          <w:rFonts w:eastAsia="Malgun Gothic"/>
        </w:rPr>
      </w:pPr>
      <w:r w:rsidRPr="00034F1E">
        <w:rPr>
          <w:rFonts w:eastAsia="Malgun Gothic"/>
        </w:rPr>
        <w:t>6.</w:t>
      </w:r>
      <w:r w:rsidRPr="00034F1E">
        <w:rPr>
          <w:rFonts w:eastAsia="Malgun Gothic"/>
        </w:rPr>
        <w:tab/>
        <w:t>Sírvanse presentar información detallada acerca de las medidas adoptadas para promulgar leyes que se refieran específicamente a las denuncias de violencia doméstica ordinaria, que la tipifiquen y en las que se disponga que las víctimas de la violencia doméstica tendrán acceso a</w:t>
      </w:r>
      <w:r>
        <w:rPr>
          <w:rFonts w:eastAsia="Malgun Gothic"/>
        </w:rPr>
        <w:t xml:space="preserve"> </w:t>
      </w:r>
      <w:r w:rsidRPr="00034F1E">
        <w:rPr>
          <w:rFonts w:eastAsia="Malgun Gothic"/>
        </w:rPr>
        <w:t xml:space="preserve">medios inmediatos de </w:t>
      </w:r>
      <w:r>
        <w:rPr>
          <w:rFonts w:eastAsia="Malgun Gothic"/>
        </w:rPr>
        <w:t>reparación</w:t>
      </w:r>
      <w:r w:rsidRPr="00034F1E">
        <w:rPr>
          <w:rFonts w:eastAsia="Malgun Gothic"/>
        </w:rPr>
        <w:t xml:space="preserve"> y protección y que los autores serán procesados y condenados a la pena que corresponda</w:t>
      </w:r>
      <w:r w:rsidRPr="001F5759">
        <w:rPr>
          <w:rStyle w:val="FootnoteReference"/>
          <w:rFonts w:eastAsia="Malgun Gothic"/>
        </w:rPr>
        <w:footnoteReference w:id="9"/>
      </w:r>
      <w:r w:rsidRPr="00034F1E">
        <w:rPr>
          <w:rFonts w:eastAsia="Malgun Gothic"/>
        </w:rPr>
        <w:t xml:space="preserve">. Sírvanse identificar los factores que </w:t>
      </w:r>
      <w:r>
        <w:rPr>
          <w:rFonts w:eastAsia="Malgun Gothic"/>
        </w:rPr>
        <w:t>impidan</w:t>
      </w:r>
      <w:r w:rsidRPr="00034F1E">
        <w:rPr>
          <w:rFonts w:eastAsia="Malgun Gothic"/>
        </w:rPr>
        <w:t xml:space="preserve"> la promulgación de esa legislación. Proporcion</w:t>
      </w:r>
      <w:r>
        <w:rPr>
          <w:rFonts w:eastAsia="Malgun Gothic"/>
        </w:rPr>
        <w:t>en también</w:t>
      </w:r>
      <w:r w:rsidRPr="00034F1E">
        <w:rPr>
          <w:rFonts w:eastAsia="Malgun Gothic"/>
        </w:rPr>
        <w:t xml:space="preserve"> datos estadísticos sobre denuncias recibidas, investigaciones realizadas, procesos entablados, sentencias condenatorias dictadas y penas impuestas </w:t>
      </w:r>
      <w:r>
        <w:rPr>
          <w:rFonts w:eastAsia="Malgun Gothic"/>
        </w:rPr>
        <w:t>en relación con</w:t>
      </w:r>
      <w:r w:rsidRPr="00034F1E">
        <w:rPr>
          <w:rFonts w:eastAsia="Malgun Gothic"/>
        </w:rPr>
        <w:t xml:space="preserve"> actos de violencia doméstica, desglosados por provincia, origen étnico y edad.</w:t>
      </w:r>
    </w:p>
    <w:p w:rsidR="00464409" w:rsidRPr="00034F1E" w:rsidRDefault="00464409" w:rsidP="00464409">
      <w:pPr>
        <w:pStyle w:val="SingleTxtG"/>
        <w:rPr>
          <w:rFonts w:eastAsia="Malgun Gothic"/>
        </w:rPr>
      </w:pPr>
      <w:r w:rsidRPr="00034F1E">
        <w:rPr>
          <w:rFonts w:eastAsia="Malgun Gothic"/>
        </w:rPr>
        <w:t>7.</w:t>
      </w:r>
      <w:r w:rsidRPr="00034F1E">
        <w:rPr>
          <w:rFonts w:eastAsia="Malgun Gothic"/>
        </w:rPr>
        <w:tab/>
        <w:t xml:space="preserve">Sírvanse proporcionar información acerca de las medidas adoptadas para </w:t>
      </w:r>
      <w:r>
        <w:rPr>
          <w:rFonts w:eastAsia="Malgun Gothic"/>
        </w:rPr>
        <w:t>seguir mejorando</w:t>
      </w:r>
      <w:r w:rsidRPr="00034F1E">
        <w:rPr>
          <w:rFonts w:eastAsia="Malgun Gothic"/>
        </w:rPr>
        <w:t xml:space="preserve"> la protección y asistencia ofrecidas a las víctimas de la trata, con inclusión de medidas de prevención, reintegración social y acceso a asistencia psicológica y atención de la salud en forma coordinada y adecuada desde un punto de vista cultural mediante, entre otras cosas, una cooperación más estrecha con organizaciones no gubernamentales y con los países de origen</w:t>
      </w:r>
      <w:r w:rsidRPr="001F5759">
        <w:rPr>
          <w:rStyle w:val="FootnoteReference"/>
          <w:rFonts w:eastAsia="Malgun Gothic"/>
        </w:rPr>
        <w:footnoteReference w:id="10"/>
      </w:r>
      <w:r w:rsidRPr="00034F1E">
        <w:rPr>
          <w:rFonts w:eastAsia="Malgun Gothic"/>
        </w:rPr>
        <w:t>. Proporcion</w:t>
      </w:r>
      <w:r>
        <w:rPr>
          <w:rFonts w:eastAsia="Malgun Gothic"/>
        </w:rPr>
        <w:t>en</w:t>
      </w:r>
      <w:r w:rsidRPr="00034F1E">
        <w:rPr>
          <w:rFonts w:eastAsia="Malgun Gothic"/>
        </w:rPr>
        <w:t xml:space="preserve"> datos estadísticos </w:t>
      </w:r>
      <w:r>
        <w:rPr>
          <w:rFonts w:eastAsia="Malgun Gothic"/>
        </w:rPr>
        <w:t>sobre</w:t>
      </w:r>
      <w:r w:rsidRPr="00034F1E">
        <w:rPr>
          <w:rFonts w:eastAsia="Malgun Gothic"/>
        </w:rPr>
        <w:t xml:space="preserve"> denuncias recibidas, investigaciones realizadas, procesos entablados, sentencias condenatorias dictadas y penas impuestas </w:t>
      </w:r>
      <w:r>
        <w:rPr>
          <w:rFonts w:eastAsia="Malgun Gothic"/>
        </w:rPr>
        <w:t xml:space="preserve">en relación con </w:t>
      </w:r>
      <w:r w:rsidRPr="00034F1E">
        <w:rPr>
          <w:rFonts w:eastAsia="Malgun Gothic"/>
        </w:rPr>
        <w:t>actos de trata de personas.</w:t>
      </w:r>
    </w:p>
    <w:p w:rsidR="00464409" w:rsidRPr="00034F1E" w:rsidRDefault="00464409" w:rsidP="00464409">
      <w:pPr>
        <w:pStyle w:val="SingleTxtG"/>
      </w:pPr>
      <w:r w:rsidRPr="00034F1E">
        <w:rPr>
          <w:rFonts w:eastAsia="Malgun Gothic"/>
        </w:rPr>
        <w:t>8.</w:t>
      </w:r>
      <w:r w:rsidRPr="00034F1E">
        <w:rPr>
          <w:rFonts w:eastAsia="Malgun Gothic"/>
        </w:rPr>
        <w:tab/>
        <w:t xml:space="preserve">Sírvanse proporcionar información actualizada y datos estadísticos, desglosados por </w:t>
      </w:r>
      <w:r>
        <w:rPr>
          <w:rFonts w:eastAsia="Malgun Gothic"/>
        </w:rPr>
        <w:t>delito</w:t>
      </w:r>
      <w:r w:rsidRPr="00034F1E">
        <w:rPr>
          <w:rFonts w:eastAsia="Malgun Gothic"/>
        </w:rPr>
        <w:t xml:space="preserve">, ubicación geográfica, origen étnico, edad y género, respecto de las denuncias de actos de tortura, tentativa de tortura y complicidad o participación en la tortura o actos que constituyan trato cruel, inhumano o degradante que se hayan </w:t>
      </w:r>
      <w:r>
        <w:rPr>
          <w:rFonts w:eastAsia="Malgun Gothic"/>
        </w:rPr>
        <w:t>presentado</w:t>
      </w:r>
      <w:r w:rsidRPr="00034F1E">
        <w:rPr>
          <w:rFonts w:eastAsia="Malgun Gothic"/>
        </w:rPr>
        <w:t xml:space="preserve"> durante el período </w:t>
      </w:r>
      <w:r>
        <w:rPr>
          <w:rFonts w:eastAsia="Malgun Gothic"/>
        </w:rPr>
        <w:t xml:space="preserve">a </w:t>
      </w:r>
      <w:r w:rsidRPr="00034F1E">
        <w:rPr>
          <w:rFonts w:eastAsia="Malgun Gothic"/>
        </w:rPr>
        <w:t>que se refiere el informe, así como respecto de las investigaciones realizadas, los procesos entablados, las sentencias condenatorias dictadas y las sanciones penales y disciplinarias impuestas.</w:t>
      </w:r>
    </w:p>
    <w:p w:rsidR="00464409" w:rsidRPr="00034F1E" w:rsidRDefault="00464409" w:rsidP="00464409">
      <w:pPr>
        <w:pStyle w:val="H1G"/>
        <w:rPr>
          <w:rFonts w:eastAsia="Malgun Gothic"/>
        </w:rPr>
      </w:pPr>
      <w:r w:rsidRPr="00034F1E">
        <w:rPr>
          <w:rFonts w:eastAsia="Malgun Gothic"/>
        </w:rPr>
        <w:tab/>
      </w:r>
      <w:r w:rsidRPr="00034F1E">
        <w:rPr>
          <w:rFonts w:eastAsia="Malgun Gothic"/>
        </w:rPr>
        <w:tab/>
        <w:t>Artículo 3</w:t>
      </w:r>
    </w:p>
    <w:p w:rsidR="00464409" w:rsidRPr="00034F1E" w:rsidRDefault="00464409" w:rsidP="00464409">
      <w:pPr>
        <w:pStyle w:val="SingleTxtG"/>
        <w:rPr>
          <w:rFonts w:eastAsia="Malgun Gothic"/>
        </w:rPr>
      </w:pPr>
      <w:r w:rsidRPr="00034F1E">
        <w:rPr>
          <w:rFonts w:eastAsia="Malgun Gothic"/>
        </w:rPr>
        <w:t>9.</w:t>
      </w:r>
      <w:r w:rsidRPr="00034F1E">
        <w:rPr>
          <w:rFonts w:eastAsia="Malgun Gothic"/>
        </w:rPr>
        <w:tab/>
        <w:t xml:space="preserve">Habida cuenta de las recomendaciones anteriores del Comité (párr. 5 a)) y de la carta de seguimiento de fecha 29 de abril de 2009, sírvanse proporcionar información actualizada acerca de las medidas adoptadas para respetar incondicionalmente el carácter absoluto del artículo 3 de la Convención en todas las circunstancias e incorporar plenamente sus disposiciones en la legislación interna del Estado parte. ¿Cómo cumple el Canadá la obligación que le impone el artículo 3 de la Convención, en circunstancias </w:t>
      </w:r>
      <w:r>
        <w:rPr>
          <w:rFonts w:eastAsia="Malgun Gothic"/>
        </w:rPr>
        <w:t>en</w:t>
      </w:r>
      <w:r w:rsidRPr="00034F1E">
        <w:rPr>
          <w:rFonts w:eastAsia="Malgun Gothic"/>
        </w:rPr>
        <w:t xml:space="preserve"> que su legislación establece excepciones al principio de no devolución</w:t>
      </w:r>
      <w:r w:rsidRPr="001F5759">
        <w:rPr>
          <w:rStyle w:val="FootnoteReference"/>
          <w:rFonts w:eastAsia="Malgun Gothic"/>
        </w:rPr>
        <w:footnoteReference w:id="11"/>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10.</w:t>
      </w:r>
      <w:r w:rsidRPr="00034F1E">
        <w:rPr>
          <w:rFonts w:eastAsia="Malgun Gothic"/>
        </w:rPr>
        <w:tab/>
        <w:t xml:space="preserve">Teniendo en cuenta la política del Estado parte de </w:t>
      </w:r>
      <w:r>
        <w:rPr>
          <w:rFonts w:eastAsia="Malgun Gothic"/>
        </w:rPr>
        <w:t>recurrir a</w:t>
      </w:r>
      <w:r w:rsidRPr="00034F1E">
        <w:rPr>
          <w:rFonts w:eastAsia="Malgun Gothic"/>
        </w:rPr>
        <w:t xml:space="preserve">l proceso de inmigración para deportar o expulsar a una persona en lugar de hacerlo en el marco de un procedimiento penal, sírvanse proporcionar información detallada acerca de los casos de expulsión o deportación por razones de seguridad iniciados con arreglo a la Ley de inmigración y protección de los refugiados. ¿Se propone el Estado parte poner término a las exclusiones que enuncia esa </w:t>
      </w:r>
      <w:r>
        <w:rPr>
          <w:rFonts w:eastAsia="Malgun Gothic"/>
        </w:rPr>
        <w:t>l</w:t>
      </w:r>
      <w:r w:rsidRPr="00034F1E">
        <w:rPr>
          <w:rFonts w:eastAsia="Malgun Gothic"/>
        </w:rPr>
        <w:t>ey, a saber, la exclusión general del estatuto de refugiado y la exclusión expresa de ciertas categorías de personas que constituyen un riesgo de</w:t>
      </w:r>
      <w:r>
        <w:rPr>
          <w:rFonts w:eastAsia="Malgun Gothic"/>
        </w:rPr>
        <w:t>sde el punto de vista de la</w:t>
      </w:r>
      <w:r w:rsidRPr="00034F1E">
        <w:rPr>
          <w:rFonts w:eastAsia="Malgun Gothic"/>
        </w:rPr>
        <w:t xml:space="preserve"> seguridad o </w:t>
      </w:r>
      <w:r>
        <w:rPr>
          <w:rFonts w:eastAsia="Malgun Gothic"/>
        </w:rPr>
        <w:t xml:space="preserve">del derecho </w:t>
      </w:r>
      <w:r w:rsidRPr="00034F1E">
        <w:rPr>
          <w:rFonts w:eastAsia="Malgun Gothic"/>
        </w:rPr>
        <w:t>penal y, de esa manera, hacer extensivo a todas las personas actualmente excluidas el derecho a la condición de personas protegidas y a la protección contra la devolución en caso de riesgo de tortura</w:t>
      </w:r>
      <w:r w:rsidRPr="001F5759">
        <w:rPr>
          <w:rStyle w:val="FootnoteReference"/>
          <w:rFonts w:eastAsia="Malgun Gothic"/>
        </w:rPr>
        <w:footnoteReference w:id="12"/>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11.</w:t>
      </w:r>
      <w:r w:rsidRPr="00034F1E">
        <w:rPr>
          <w:rFonts w:eastAsia="Malgun Gothic"/>
        </w:rPr>
        <w:tab/>
        <w:t>Sírvanse presentar información detallada acerca de: a) hasta qué punto establece el Estado parte la revisión judicial de los elementos de fondo, en lugar de limitarse a su carácter razonable, de la decisión de expulsar a una persona cuando haya motivos fundados para considera</w:t>
      </w:r>
      <w:r>
        <w:rPr>
          <w:rFonts w:eastAsia="Malgun Gothic"/>
        </w:rPr>
        <w:t>r</w:t>
      </w:r>
      <w:r w:rsidRPr="00034F1E">
        <w:rPr>
          <w:rFonts w:eastAsia="Malgun Gothic"/>
        </w:rPr>
        <w:t xml:space="preserve"> que corre peligro de ser sometida a tortura</w:t>
      </w:r>
      <w:r w:rsidRPr="001F5759">
        <w:rPr>
          <w:rStyle w:val="FootnoteReference"/>
          <w:rFonts w:eastAsia="Malgun Gothic"/>
        </w:rPr>
        <w:footnoteReference w:id="13"/>
      </w:r>
      <w:r>
        <w:rPr>
          <w:rFonts w:eastAsia="Malgun Gothic"/>
        </w:rPr>
        <w:t>;</w:t>
      </w:r>
      <w:r w:rsidRPr="00034F1E">
        <w:rPr>
          <w:rFonts w:eastAsia="Malgun Gothic"/>
        </w:rPr>
        <w:t xml:space="preserve"> y b) las medidas que se hayan tomado para mejorar el programa de evaluación del riesgo antes de la deportación (informe del Estado parte, párrs. 31 y 33).</w:t>
      </w:r>
    </w:p>
    <w:p w:rsidR="00464409" w:rsidRPr="00034F1E" w:rsidRDefault="00464409" w:rsidP="00464409">
      <w:pPr>
        <w:pStyle w:val="SingleTxtG"/>
        <w:rPr>
          <w:rFonts w:eastAsia="Malgun Gothic"/>
        </w:rPr>
      </w:pPr>
      <w:r w:rsidRPr="00034F1E">
        <w:rPr>
          <w:rFonts w:eastAsia="Malgun Gothic"/>
        </w:rPr>
        <w:t>12.</w:t>
      </w:r>
      <w:r w:rsidRPr="00034F1E">
        <w:rPr>
          <w:rFonts w:eastAsia="Malgun Gothic"/>
        </w:rPr>
        <w:tab/>
        <w:t xml:space="preserve">Con referencia al párrafo 42 del informe del Estado parte y habida cuenta de las anteriores observaciones finales del Comité (párr. 5 </w:t>
      </w:r>
      <w:r>
        <w:rPr>
          <w:rFonts w:eastAsia="Malgun Gothic"/>
        </w:rPr>
        <w:t>a</w:t>
      </w:r>
      <w:r w:rsidRPr="00034F1E">
        <w:rPr>
          <w:rFonts w:eastAsia="Malgun Gothic"/>
        </w:rPr>
        <w:t>))</w:t>
      </w:r>
      <w:r>
        <w:rPr>
          <w:rFonts w:eastAsia="Malgun Gothic"/>
        </w:rPr>
        <w:t>,</w:t>
      </w:r>
      <w:r w:rsidRPr="00034F1E">
        <w:rPr>
          <w:rFonts w:eastAsia="Malgun Gothic"/>
        </w:rPr>
        <w:t xml:space="preserve"> sírvanse aclarar las siguientes cuestiones respecto de las seguridades diplomáticas en el Estado parte: a) los requisitos mínimos para esas seguridades o garantías</w:t>
      </w:r>
      <w:r>
        <w:rPr>
          <w:rFonts w:eastAsia="Malgun Gothic"/>
        </w:rPr>
        <w:t>;</w:t>
      </w:r>
      <w:r w:rsidRPr="00034F1E">
        <w:rPr>
          <w:rFonts w:eastAsia="Malgun Gothic"/>
        </w:rPr>
        <w:t xml:space="preserve"> b) las medidas adoptadas para garantizar la existencia de disposiciones de seguimiento después del regreso y que las seguridades o garantías ofrecidas se puedan hacer valer ante los tribunales</w:t>
      </w:r>
      <w:r>
        <w:rPr>
          <w:rFonts w:eastAsia="Malgun Gothic"/>
        </w:rPr>
        <w:t>;</w:t>
      </w:r>
      <w:r w:rsidRPr="00034F1E">
        <w:rPr>
          <w:rFonts w:eastAsia="Malgun Gothic"/>
        </w:rPr>
        <w:t xml:space="preserve"> y c) todos los casos en que se hayan dado seguridades diplomáticas y todos aquellos en que no se hayan cumplido, de haberlos, a partir del examen del informe anterior</w:t>
      </w:r>
      <w:r w:rsidRPr="001F5759">
        <w:rPr>
          <w:rStyle w:val="FootnoteReference"/>
          <w:rFonts w:eastAsia="Malgun Gothic"/>
        </w:rPr>
        <w:footnoteReference w:id="14"/>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13.</w:t>
      </w:r>
      <w:r w:rsidRPr="00034F1E">
        <w:rPr>
          <w:rFonts w:eastAsia="Malgun Gothic"/>
        </w:rPr>
        <w:tab/>
        <w:t xml:space="preserve">Sírvanse proporcionar información acerca de si el Estado parte ha </w:t>
      </w:r>
      <w:r>
        <w:rPr>
          <w:rFonts w:eastAsia="Malgun Gothic"/>
        </w:rPr>
        <w:t>recurrido la sentencia</w:t>
      </w:r>
      <w:r w:rsidRPr="00034F1E">
        <w:rPr>
          <w:rFonts w:eastAsia="Malgun Gothic"/>
        </w:rPr>
        <w:t xml:space="preserve"> del Tribunal Supremo en la causa </w:t>
      </w:r>
      <w:r w:rsidRPr="00034F1E">
        <w:rPr>
          <w:rFonts w:eastAsia="Malgun Gothic"/>
          <w:i/>
        </w:rPr>
        <w:t>Amnesty International Canada et al. v Chief of the Defence Staff for the Canadian Forces et al.</w:t>
      </w:r>
      <w:r>
        <w:rPr>
          <w:rFonts w:eastAsia="Malgun Gothic"/>
        </w:rPr>
        <w:t>,</w:t>
      </w:r>
      <w:r w:rsidRPr="00034F1E">
        <w:rPr>
          <w:rFonts w:eastAsia="Malgun Gothic"/>
        </w:rPr>
        <w:t xml:space="preserve"> </w:t>
      </w:r>
      <w:r>
        <w:rPr>
          <w:rFonts w:eastAsia="Malgun Gothic"/>
        </w:rPr>
        <w:t>en la que</w:t>
      </w:r>
      <w:r w:rsidRPr="00034F1E">
        <w:rPr>
          <w:rFonts w:eastAsia="Malgun Gothic"/>
        </w:rPr>
        <w:t xml:space="preserve"> no se reconoce </w:t>
      </w:r>
      <w:r>
        <w:rPr>
          <w:rFonts w:eastAsia="Malgun Gothic"/>
        </w:rPr>
        <w:t>l</w:t>
      </w:r>
      <w:r w:rsidRPr="00034F1E">
        <w:rPr>
          <w:rFonts w:eastAsia="Malgun Gothic"/>
        </w:rPr>
        <w:t>a obligación de no devolución en virtud de las normas internacionales de derechos humanos y de su propia Carta de Derechos y Libertades, en circunstancias e</w:t>
      </w:r>
      <w:r>
        <w:rPr>
          <w:rFonts w:eastAsia="Malgun Gothic"/>
        </w:rPr>
        <w:t>n</w:t>
      </w:r>
      <w:r w:rsidRPr="00034F1E">
        <w:rPr>
          <w:rFonts w:eastAsia="Malgun Gothic"/>
        </w:rPr>
        <w:t xml:space="preserve"> que puede haber un </w:t>
      </w:r>
      <w:r>
        <w:rPr>
          <w:rFonts w:eastAsia="Malgun Gothic"/>
        </w:rPr>
        <w:t>riesgo</w:t>
      </w:r>
      <w:r w:rsidRPr="00034F1E">
        <w:rPr>
          <w:rFonts w:eastAsia="Malgun Gothic"/>
        </w:rPr>
        <w:t xml:space="preserve"> de tortura</w:t>
      </w:r>
      <w:r>
        <w:rPr>
          <w:rFonts w:eastAsia="Malgun Gothic"/>
        </w:rPr>
        <w:t>s</w:t>
      </w:r>
      <w:r w:rsidRPr="00034F1E">
        <w:rPr>
          <w:rFonts w:eastAsia="Malgun Gothic"/>
        </w:rPr>
        <w:t xml:space="preserve"> </w:t>
      </w:r>
      <w:r>
        <w:rPr>
          <w:rFonts w:eastAsia="Malgun Gothic"/>
        </w:rPr>
        <w:t>a</w:t>
      </w:r>
      <w:r w:rsidRPr="00034F1E">
        <w:rPr>
          <w:rFonts w:eastAsia="Malgun Gothic"/>
        </w:rPr>
        <w:t xml:space="preserve"> detenidos que sus fuerzas en el Afganistán quieren tras</w:t>
      </w:r>
      <w:r>
        <w:rPr>
          <w:rFonts w:eastAsia="Malgun Gothic"/>
        </w:rPr>
        <w:t>lad</w:t>
      </w:r>
      <w:r w:rsidRPr="00034F1E">
        <w:rPr>
          <w:rFonts w:eastAsia="Malgun Gothic"/>
        </w:rPr>
        <w:t>ar a las autoridades afganas</w:t>
      </w:r>
      <w:r w:rsidRPr="001F5759">
        <w:rPr>
          <w:rStyle w:val="FootnoteReference"/>
          <w:rFonts w:eastAsia="Malgun Gothic"/>
        </w:rPr>
        <w:footnoteReference w:id="15"/>
      </w:r>
      <w:r w:rsidRPr="00034F1E">
        <w:rPr>
          <w:rFonts w:eastAsia="Malgun Gothic"/>
        </w:rPr>
        <w:t>.</w:t>
      </w:r>
      <w:r w:rsidRPr="00034F1E">
        <w:rPr>
          <w:rFonts w:eastAsia="Malgun Gothic"/>
          <w:sz w:val="18"/>
          <w:vertAlign w:val="superscript"/>
        </w:rPr>
        <w:t xml:space="preserve"> </w:t>
      </w:r>
    </w:p>
    <w:p w:rsidR="00464409" w:rsidRPr="00034F1E" w:rsidRDefault="00464409" w:rsidP="00464409">
      <w:pPr>
        <w:pStyle w:val="SingleTxtG"/>
        <w:rPr>
          <w:rFonts w:eastAsia="Malgun Gothic"/>
        </w:rPr>
      </w:pPr>
      <w:r w:rsidRPr="00034F1E">
        <w:rPr>
          <w:rFonts w:eastAsia="Malgun Gothic"/>
        </w:rPr>
        <w:t>14.</w:t>
      </w:r>
      <w:r w:rsidRPr="00034F1E">
        <w:rPr>
          <w:rFonts w:eastAsia="Malgun Gothic"/>
        </w:rPr>
        <w:tab/>
        <w:t>Sírvanse proporcionar información actualizada acerca de los casos de</w:t>
      </w:r>
      <w:r>
        <w:rPr>
          <w:rFonts w:eastAsia="Malgun Gothic"/>
        </w:rPr>
        <w:t>:</w:t>
      </w:r>
      <w:r w:rsidRPr="00034F1E">
        <w:rPr>
          <w:rFonts w:eastAsia="Malgun Gothic"/>
        </w:rPr>
        <w:t xml:space="preserve"> a) Mostafa Dadar (CAT/C/35/D/258/2004) deportado al Irán a pesar de haberse constatado una violación de la Convención</w:t>
      </w:r>
      <w:r>
        <w:rPr>
          <w:rFonts w:eastAsia="Malgun Gothic"/>
        </w:rPr>
        <w:t>;</w:t>
      </w:r>
      <w:r w:rsidRPr="00034F1E">
        <w:rPr>
          <w:rFonts w:eastAsia="Malgun Gothic"/>
        </w:rPr>
        <w:t xml:space="preserve"> b) Bachan Singh Sogi (CAT/C/39/D/297/2006), deportado a la India por razones de seguridad a pesar de las reiteradas solicitudes del Comité de que se </w:t>
      </w:r>
      <w:r>
        <w:rPr>
          <w:rFonts w:eastAsia="Malgun Gothic"/>
        </w:rPr>
        <w:t>adoptaran</w:t>
      </w:r>
      <w:r w:rsidRPr="00034F1E">
        <w:rPr>
          <w:rFonts w:eastAsia="Malgun Gothic"/>
        </w:rPr>
        <w:t xml:space="preserve"> medidas provisionales</w:t>
      </w:r>
      <w:r>
        <w:rPr>
          <w:rFonts w:eastAsia="Malgun Gothic"/>
        </w:rPr>
        <w:t>;</w:t>
      </w:r>
      <w:r w:rsidRPr="00034F1E">
        <w:rPr>
          <w:rFonts w:eastAsia="Malgun Gothic"/>
        </w:rPr>
        <w:t xml:space="preserve"> c) Iván Apaolaza Sancho</w:t>
      </w:r>
      <w:r>
        <w:rPr>
          <w:rFonts w:eastAsia="Malgun Gothic"/>
        </w:rPr>
        <w:t>,</w:t>
      </w:r>
      <w:r w:rsidRPr="00034F1E">
        <w:rPr>
          <w:rFonts w:eastAsia="Malgun Gothic"/>
        </w:rPr>
        <w:t xml:space="preserve"> que fue encadenado a su asiento en el vuelo en que era deportado a España tras haber estado </w:t>
      </w:r>
      <w:r>
        <w:rPr>
          <w:rFonts w:eastAsia="Malgun Gothic"/>
        </w:rPr>
        <w:t xml:space="preserve">en </w:t>
      </w:r>
      <w:r w:rsidRPr="00034F1E">
        <w:rPr>
          <w:rFonts w:eastAsia="Malgun Gothic"/>
        </w:rPr>
        <w:t>deten</w:t>
      </w:r>
      <w:r>
        <w:rPr>
          <w:rFonts w:eastAsia="Malgun Gothic"/>
        </w:rPr>
        <w:t>c</w:t>
      </w:r>
      <w:r w:rsidRPr="00034F1E">
        <w:rPr>
          <w:rFonts w:eastAsia="Malgun Gothic"/>
        </w:rPr>
        <w:t>i</w:t>
      </w:r>
      <w:r>
        <w:rPr>
          <w:rFonts w:eastAsia="Malgun Gothic"/>
        </w:rPr>
        <w:t>ón</w:t>
      </w:r>
      <w:r w:rsidRPr="00034F1E">
        <w:rPr>
          <w:rFonts w:eastAsia="Malgun Gothic"/>
        </w:rPr>
        <w:t xml:space="preserve"> durante 16 meses en el Canadá sin </w:t>
      </w:r>
      <w:r>
        <w:rPr>
          <w:rFonts w:eastAsia="Malgun Gothic"/>
        </w:rPr>
        <w:t>ser imputado;</w:t>
      </w:r>
      <w:r w:rsidRPr="00034F1E">
        <w:rPr>
          <w:rFonts w:eastAsia="Malgun Gothic"/>
        </w:rPr>
        <w:t xml:space="preserve"> y d) Adel Benhmuda, deportado a Libia en 2008 con su familia, incluidos dos hijos nacidos en el Canadá, y que había sido objeto de </w:t>
      </w:r>
      <w:r>
        <w:rPr>
          <w:rFonts w:eastAsia="Malgun Gothic"/>
        </w:rPr>
        <w:t xml:space="preserve">presuntos </w:t>
      </w:r>
      <w:r w:rsidRPr="00034F1E">
        <w:rPr>
          <w:rFonts w:eastAsia="Malgun Gothic"/>
        </w:rPr>
        <w:t>malos tratos en prisión</w:t>
      </w:r>
      <w:r w:rsidRPr="001F5759">
        <w:rPr>
          <w:rStyle w:val="FootnoteReference"/>
          <w:rFonts w:eastAsia="Malgun Gothic"/>
        </w:rPr>
        <w:footnoteReference w:id="16"/>
      </w:r>
      <w:r w:rsidRPr="00034F1E">
        <w:rPr>
          <w:rFonts w:eastAsia="Malgun Gothic"/>
        </w:rPr>
        <w:t xml:space="preserve">. Sírvanse explicar </w:t>
      </w:r>
      <w:r>
        <w:rPr>
          <w:rFonts w:eastAsia="Malgun Gothic"/>
        </w:rPr>
        <w:t>el</w:t>
      </w:r>
      <w:r w:rsidRPr="00034F1E">
        <w:rPr>
          <w:rFonts w:eastAsia="Malgun Gothic"/>
        </w:rPr>
        <w:t xml:space="preserve"> procedimiento se</w:t>
      </w:r>
      <w:r>
        <w:rPr>
          <w:rFonts w:eastAsia="Malgun Gothic"/>
        </w:rPr>
        <w:t>guido</w:t>
      </w:r>
      <w:r w:rsidRPr="00034F1E">
        <w:rPr>
          <w:rFonts w:eastAsia="Malgun Gothic"/>
        </w:rPr>
        <w:t xml:space="preserve">, </w:t>
      </w:r>
      <w:r>
        <w:rPr>
          <w:rFonts w:eastAsia="Malgun Gothic"/>
        </w:rPr>
        <w:t>las</w:t>
      </w:r>
      <w:r w:rsidRPr="00034F1E">
        <w:rPr>
          <w:rFonts w:eastAsia="Malgun Gothic"/>
        </w:rPr>
        <w:t xml:space="preserve"> garantías </w:t>
      </w:r>
      <w:r>
        <w:rPr>
          <w:rFonts w:eastAsia="Malgun Gothic"/>
        </w:rPr>
        <w:t>recibidas</w:t>
      </w:r>
      <w:r w:rsidRPr="00034F1E">
        <w:rPr>
          <w:rFonts w:eastAsia="Malgun Gothic"/>
        </w:rPr>
        <w:t xml:space="preserve"> y </w:t>
      </w:r>
      <w:r>
        <w:rPr>
          <w:rFonts w:eastAsia="Malgun Gothic"/>
        </w:rPr>
        <w:t>los</w:t>
      </w:r>
      <w:r w:rsidRPr="00034F1E">
        <w:rPr>
          <w:rFonts w:eastAsia="Malgun Gothic"/>
        </w:rPr>
        <w:t xml:space="preserve"> mecanismos de seguimiento</w:t>
      </w:r>
      <w:r>
        <w:rPr>
          <w:rFonts w:eastAsia="Malgun Gothic"/>
        </w:rPr>
        <w:t>,</w:t>
      </w:r>
      <w:r w:rsidRPr="00034F1E">
        <w:rPr>
          <w:rFonts w:eastAsia="Malgun Gothic"/>
        </w:rPr>
        <w:t xml:space="preserve"> </w:t>
      </w:r>
      <w:r>
        <w:rPr>
          <w:rFonts w:eastAsia="Malgun Gothic"/>
        </w:rPr>
        <w:t>así como la manera en que</w:t>
      </w:r>
      <w:r w:rsidRPr="00034F1E">
        <w:rPr>
          <w:rFonts w:eastAsia="Malgun Gothic"/>
        </w:rPr>
        <w:t xml:space="preserve"> es compatible esa práctica con la obligación de no devolución que incumbe al Estado parte en virtud de la Convención. ¿Hasta qué punto ha procedido el Estado parte a investigar todas las denuncias de </w:t>
      </w:r>
      <w:r>
        <w:rPr>
          <w:rFonts w:eastAsia="Malgun Gothic"/>
        </w:rPr>
        <w:t>contraven</w:t>
      </w:r>
      <w:r w:rsidRPr="00034F1E">
        <w:rPr>
          <w:rFonts w:eastAsia="Malgun Gothic"/>
        </w:rPr>
        <w:t>ción del artículo 3 de la Convención y proporcionado recursos?</w:t>
      </w:r>
    </w:p>
    <w:p w:rsidR="00464409" w:rsidRPr="00034F1E" w:rsidRDefault="00464409" w:rsidP="00464409">
      <w:pPr>
        <w:pStyle w:val="SingleTxtG"/>
        <w:rPr>
          <w:rFonts w:eastAsia="Malgun Gothic"/>
        </w:rPr>
      </w:pPr>
      <w:r w:rsidRPr="00034F1E">
        <w:rPr>
          <w:rFonts w:eastAsia="Malgun Gothic"/>
        </w:rPr>
        <w:t>15.</w:t>
      </w:r>
      <w:r w:rsidRPr="00034F1E">
        <w:rPr>
          <w:rFonts w:eastAsia="Malgun Gothic"/>
        </w:rPr>
        <w:tab/>
        <w:t>Sírvanse proporcionar datos, desglosados por edad, sexo y nacionalidad, sobre:</w:t>
      </w:r>
    </w:p>
    <w:p w:rsidR="00464409" w:rsidRPr="00034F1E" w:rsidRDefault="00464409" w:rsidP="00464409">
      <w:pPr>
        <w:pStyle w:val="SingleTxtG"/>
        <w:rPr>
          <w:rFonts w:eastAsia="Malgun Gothic"/>
        </w:rPr>
      </w:pPr>
      <w:r w:rsidRPr="00034F1E">
        <w:rPr>
          <w:rFonts w:eastAsia="Malgun Gothic"/>
        </w:rPr>
        <w:tab/>
        <w:t>a)</w:t>
      </w:r>
      <w:r w:rsidRPr="00034F1E">
        <w:rPr>
          <w:rFonts w:eastAsia="Malgun Gothic"/>
        </w:rPr>
        <w:tab/>
        <w:t>El número de solicitudes de asilo re</w:t>
      </w:r>
      <w:r>
        <w:rPr>
          <w:rFonts w:eastAsia="Malgun Gothic"/>
        </w:rPr>
        <w:t>cibi</w:t>
      </w:r>
      <w:r w:rsidRPr="00034F1E">
        <w:rPr>
          <w:rFonts w:eastAsia="Malgun Gothic"/>
        </w:rPr>
        <w:t>das y aprobadas;</w:t>
      </w:r>
    </w:p>
    <w:p w:rsidR="00464409" w:rsidRPr="00034F1E" w:rsidRDefault="00464409" w:rsidP="00464409">
      <w:pPr>
        <w:pStyle w:val="SingleTxtG"/>
        <w:rPr>
          <w:rFonts w:eastAsia="Malgun Gothic"/>
        </w:rPr>
      </w:pPr>
      <w:r w:rsidRPr="00034F1E">
        <w:rPr>
          <w:rFonts w:eastAsia="Malgun Gothic"/>
        </w:rPr>
        <w:tab/>
        <w:t>b)</w:t>
      </w:r>
      <w:r w:rsidRPr="00034F1E">
        <w:rPr>
          <w:rFonts w:eastAsia="Malgun Gothic"/>
        </w:rPr>
        <w:tab/>
        <w:t>El número de solicitantes de asilo cuyas peticiones fueron aceptadas porque habían sido o corrían el riesgo de ser torturados si eran devueltos a su país de origen; y</w:t>
      </w:r>
    </w:p>
    <w:p w:rsidR="00464409" w:rsidRPr="00034F1E" w:rsidRDefault="00464409" w:rsidP="00464409">
      <w:pPr>
        <w:pStyle w:val="SingleTxtG"/>
        <w:rPr>
          <w:rFonts w:eastAsia="Malgun Gothic"/>
        </w:rPr>
      </w:pPr>
      <w:r w:rsidRPr="00034F1E">
        <w:rPr>
          <w:rFonts w:eastAsia="Malgun Gothic"/>
        </w:rPr>
        <w:tab/>
        <w:t>c)</w:t>
      </w:r>
      <w:r w:rsidRPr="00034F1E">
        <w:rPr>
          <w:rFonts w:eastAsia="Malgun Gothic"/>
        </w:rPr>
        <w:tab/>
        <w:t>El número de casos de expulsiones o deportaciones forzadas (sírvanse indicar cuántos de ellos se referían a personas cuya solicitud de asilo había sido rechazada) y los países de destino de la expulsión.</w:t>
      </w:r>
    </w:p>
    <w:p w:rsidR="00464409" w:rsidRPr="00034F1E" w:rsidRDefault="00464409" w:rsidP="00464409">
      <w:pPr>
        <w:pStyle w:val="H1G"/>
        <w:rPr>
          <w:rFonts w:eastAsia="Malgun Gothic"/>
        </w:rPr>
      </w:pPr>
      <w:r w:rsidRPr="00034F1E">
        <w:rPr>
          <w:rFonts w:eastAsia="Malgun Gothic"/>
        </w:rPr>
        <w:tab/>
      </w:r>
      <w:r w:rsidRPr="00034F1E">
        <w:rPr>
          <w:rFonts w:eastAsia="Malgun Gothic"/>
        </w:rPr>
        <w:tab/>
        <w:t>Artículo 4</w:t>
      </w:r>
    </w:p>
    <w:p w:rsidR="00464409" w:rsidRPr="00034F1E" w:rsidRDefault="00464409" w:rsidP="00464409">
      <w:pPr>
        <w:pStyle w:val="SingleTxtG"/>
        <w:rPr>
          <w:rFonts w:eastAsia="Malgun Gothic"/>
        </w:rPr>
      </w:pPr>
      <w:r w:rsidRPr="00034F1E">
        <w:rPr>
          <w:rFonts w:eastAsia="Malgun Gothic"/>
        </w:rPr>
        <w:t>16.</w:t>
      </w:r>
      <w:r w:rsidRPr="00034F1E">
        <w:rPr>
          <w:rFonts w:eastAsia="Malgun Gothic"/>
        </w:rPr>
        <w:tab/>
        <w:t xml:space="preserve">¿Quién es competente a nivel provincial para poner en práctica las principales disposiciones de la Convención que hayan sido incorporadas en la legislación federal y para incoar procesos en caso de </w:t>
      </w:r>
      <w:r>
        <w:rPr>
          <w:rFonts w:eastAsia="Malgun Gothic"/>
        </w:rPr>
        <w:t>infracción</w:t>
      </w:r>
      <w:r w:rsidRPr="00034F1E">
        <w:rPr>
          <w:rFonts w:eastAsia="Malgun Gothic"/>
        </w:rPr>
        <w:t xml:space="preserve"> de esas disposiciones? ¿Cuáles son las sanciones previstas para el delito de tortura, tentativa de tortura y complicidad o participación en la tortura y qué disposiciones d</w:t>
      </w:r>
      <w:r>
        <w:rPr>
          <w:rFonts w:eastAsia="Malgun Gothic"/>
        </w:rPr>
        <w:t>el Código Penal son aplicables?</w:t>
      </w:r>
    </w:p>
    <w:p w:rsidR="00464409" w:rsidRPr="00034F1E" w:rsidRDefault="00464409" w:rsidP="00464409">
      <w:pPr>
        <w:pStyle w:val="H1G"/>
        <w:rPr>
          <w:rFonts w:eastAsia="Malgun Gothic"/>
          <w:lang w:eastAsia="ko-KR"/>
        </w:rPr>
      </w:pPr>
      <w:r w:rsidRPr="00034F1E">
        <w:rPr>
          <w:rFonts w:eastAsia="Malgun Gothic"/>
        </w:rPr>
        <w:tab/>
      </w:r>
      <w:r w:rsidRPr="00034F1E">
        <w:rPr>
          <w:rFonts w:eastAsia="Malgun Gothic"/>
        </w:rPr>
        <w:tab/>
        <w:t>Artículos 5, 7 y 8</w:t>
      </w:r>
    </w:p>
    <w:p w:rsidR="00464409" w:rsidRPr="00034F1E" w:rsidRDefault="00464409" w:rsidP="00464409">
      <w:pPr>
        <w:pStyle w:val="SingleTxtG"/>
        <w:rPr>
          <w:rFonts w:eastAsia="Malgun Gothic"/>
        </w:rPr>
      </w:pPr>
      <w:r w:rsidRPr="00034F1E">
        <w:rPr>
          <w:rFonts w:eastAsia="Malgun Gothic"/>
        </w:rPr>
        <w:t>17.</w:t>
      </w:r>
      <w:r w:rsidRPr="00034F1E">
        <w:rPr>
          <w:rFonts w:eastAsia="Malgun Gothic"/>
        </w:rPr>
        <w:tab/>
        <w:t>Sírvanse proporcionar</w:t>
      </w:r>
      <w:r>
        <w:rPr>
          <w:rFonts w:eastAsia="Malgun Gothic"/>
        </w:rPr>
        <w:t>:</w:t>
      </w:r>
      <w:r w:rsidRPr="00034F1E">
        <w:rPr>
          <w:rFonts w:eastAsia="Malgun Gothic"/>
        </w:rPr>
        <w:t xml:space="preserve"> a) información detallada sobre la forma en que el Estado parte ha ejercido su jurisdicción universal </w:t>
      </w:r>
      <w:r>
        <w:rPr>
          <w:rFonts w:eastAsia="Malgun Gothic"/>
        </w:rPr>
        <w:t>respecto de</w:t>
      </w:r>
      <w:r w:rsidRPr="00034F1E">
        <w:rPr>
          <w:rFonts w:eastAsia="Malgun Gothic"/>
        </w:rPr>
        <w:t xml:space="preserve"> personas responsables de actos de tortura, dondequiera que se hayan producido o cualquiera que haya sido la nacionalidad del autor o de la víctima</w:t>
      </w:r>
      <w:r>
        <w:rPr>
          <w:rFonts w:eastAsia="Malgun Gothic"/>
        </w:rPr>
        <w:t>;</w:t>
      </w:r>
      <w:r w:rsidRPr="00034F1E">
        <w:rPr>
          <w:rFonts w:eastAsia="Malgun Gothic"/>
        </w:rPr>
        <w:t xml:space="preserve"> y b) ejemplos concretos y los textos de las decisiones</w:t>
      </w:r>
      <w:r>
        <w:rPr>
          <w:rFonts w:eastAsia="Malgun Gothic"/>
        </w:rPr>
        <w:t>, si las hubiera,</w:t>
      </w:r>
      <w:r w:rsidRPr="00034F1E">
        <w:rPr>
          <w:rFonts w:eastAsia="Malgun Gothic"/>
        </w:rPr>
        <w:t xml:space="preserve"> sobre el particular, incluidos los resultados de los exámenes efectuados por el Comité de Coordinación de Operaciones del Programa</w:t>
      </w:r>
      <w:r w:rsidRPr="001F5759">
        <w:rPr>
          <w:rStyle w:val="FootnoteReference"/>
          <w:rFonts w:eastAsia="Malgun Gothic"/>
        </w:rPr>
        <w:footnoteReference w:id="17"/>
      </w:r>
      <w:r w:rsidRPr="00034F1E">
        <w:rPr>
          <w:rFonts w:eastAsia="Malgun Gothic"/>
        </w:rPr>
        <w:t xml:space="preserve"> y acerca de los dos casos a que se hace referencia en el párrafo</w:t>
      </w:r>
      <w:r>
        <w:rPr>
          <w:rFonts w:eastAsia="Malgun Gothic"/>
        </w:rPr>
        <w:t xml:space="preserve"> </w:t>
      </w:r>
      <w:r w:rsidRPr="00034F1E">
        <w:rPr>
          <w:rFonts w:eastAsia="Malgun Gothic"/>
        </w:rPr>
        <w:t xml:space="preserve">49 del informe del Estado parte. A ese respecto, sírvanse formular comentarios acerca de la información que obra en poder del Comité de que el Canadá ha optado por deportar a los autores de crímenes internacionales, en lugar de </w:t>
      </w:r>
      <w:r>
        <w:rPr>
          <w:rFonts w:eastAsia="Malgun Gothic"/>
        </w:rPr>
        <w:t>procesarlos por la vía</w:t>
      </w:r>
      <w:r w:rsidRPr="00034F1E">
        <w:rPr>
          <w:rFonts w:eastAsia="Malgun Gothic"/>
        </w:rPr>
        <w:t xml:space="preserve"> penal, y no ha tomado medidas efectivas para ejercer su jurisdicción universal </w:t>
      </w:r>
      <w:r>
        <w:rPr>
          <w:rFonts w:eastAsia="Malgun Gothic"/>
        </w:rPr>
        <w:t>respecto de</w:t>
      </w:r>
      <w:r w:rsidRPr="00034F1E">
        <w:rPr>
          <w:rFonts w:eastAsia="Malgun Gothic"/>
        </w:rPr>
        <w:t xml:space="preserve"> personas responsables de actos de tortura, en circunstancias </w:t>
      </w:r>
      <w:r>
        <w:rPr>
          <w:rFonts w:eastAsia="Malgun Gothic"/>
        </w:rPr>
        <w:t>en</w:t>
      </w:r>
      <w:r w:rsidRPr="00034F1E">
        <w:rPr>
          <w:rFonts w:eastAsia="Malgun Gothic"/>
        </w:rPr>
        <w:t xml:space="preserve"> que su legislación, concretamente disposiciones del Código Penal y de la Ley sobre crímenes de lesa humanidad y crímenes de guerra, establece la jurisdicción universal y autoriza por lo tanto a </w:t>
      </w:r>
      <w:r>
        <w:rPr>
          <w:rFonts w:eastAsia="Malgun Gothic"/>
        </w:rPr>
        <w:t>procesar</w:t>
      </w:r>
      <w:r w:rsidRPr="00034F1E">
        <w:rPr>
          <w:rFonts w:eastAsia="Malgun Gothic"/>
        </w:rPr>
        <w:t xml:space="preserve"> a los autores de esos actos en el país.</w:t>
      </w:r>
    </w:p>
    <w:p w:rsidR="00464409" w:rsidRPr="00034F1E" w:rsidRDefault="00464409" w:rsidP="00464409">
      <w:pPr>
        <w:pStyle w:val="SingleTxtG"/>
        <w:keepNext/>
        <w:keepLines/>
        <w:rPr>
          <w:rFonts w:eastAsia="Malgun Gothic"/>
        </w:rPr>
      </w:pPr>
      <w:r w:rsidRPr="00034F1E">
        <w:rPr>
          <w:rFonts w:eastAsia="Malgun Gothic"/>
        </w:rPr>
        <w:t>18.</w:t>
      </w:r>
      <w:r w:rsidRPr="00034F1E">
        <w:rPr>
          <w:rFonts w:eastAsia="Malgun Gothic"/>
        </w:rPr>
        <w:tab/>
        <w:t xml:space="preserve">Sírvanse proporcionar información acerca de si el Estado parte ha rechazado, por alguna razón, solicitudes de un tercer Estado </w:t>
      </w:r>
      <w:r>
        <w:rPr>
          <w:rFonts w:eastAsia="Malgun Gothic"/>
        </w:rPr>
        <w:t>para</w:t>
      </w:r>
      <w:r w:rsidRPr="00034F1E">
        <w:rPr>
          <w:rFonts w:eastAsia="Malgun Gothic"/>
        </w:rPr>
        <w:t xml:space="preserve"> extradi</w:t>
      </w:r>
      <w:r>
        <w:rPr>
          <w:rFonts w:eastAsia="Malgun Gothic"/>
        </w:rPr>
        <w:t>tar</w:t>
      </w:r>
      <w:r w:rsidRPr="00034F1E">
        <w:rPr>
          <w:rFonts w:eastAsia="Malgun Gothic"/>
        </w:rPr>
        <w:t xml:space="preserve"> </w:t>
      </w:r>
      <w:r>
        <w:rPr>
          <w:rFonts w:eastAsia="Malgun Gothic"/>
        </w:rPr>
        <w:t xml:space="preserve">a </w:t>
      </w:r>
      <w:r w:rsidRPr="00034F1E">
        <w:rPr>
          <w:rFonts w:eastAsia="Malgun Gothic"/>
        </w:rPr>
        <w:t xml:space="preserve">algún sospechoso de haber cometido un delito de tortura y, por consiguiente, ha iniciado un proceso penal en su contra. </w:t>
      </w:r>
      <w:r>
        <w:rPr>
          <w:rFonts w:eastAsia="Malgun Gothic"/>
        </w:rPr>
        <w:t>Faciliten</w:t>
      </w:r>
      <w:r w:rsidRPr="00034F1E">
        <w:rPr>
          <w:rFonts w:eastAsia="Malgun Gothic"/>
        </w:rPr>
        <w:t xml:space="preserve"> información acerca de casos nuevos que hayan llegado a </w:t>
      </w:r>
      <w:r>
        <w:rPr>
          <w:rFonts w:eastAsia="Malgun Gothic"/>
        </w:rPr>
        <w:t>juicio</w:t>
      </w:r>
      <w:r w:rsidRPr="00034F1E">
        <w:rPr>
          <w:rFonts w:eastAsia="Malgun Gothic"/>
        </w:rPr>
        <w:t xml:space="preserve"> y </w:t>
      </w:r>
      <w:r>
        <w:rPr>
          <w:rFonts w:eastAsia="Malgun Gothic"/>
        </w:rPr>
        <w:t>de su</w:t>
      </w:r>
      <w:r w:rsidRPr="00034F1E">
        <w:rPr>
          <w:rFonts w:eastAsia="Malgun Gothic"/>
        </w:rPr>
        <w:t xml:space="preserve"> resultado.</w:t>
      </w:r>
    </w:p>
    <w:p w:rsidR="00464409" w:rsidRPr="00034F1E" w:rsidRDefault="00464409" w:rsidP="00464409">
      <w:pPr>
        <w:pStyle w:val="H1G"/>
        <w:rPr>
          <w:rFonts w:eastAsia="Malgun Gothic"/>
        </w:rPr>
      </w:pPr>
      <w:r w:rsidRPr="00034F1E">
        <w:rPr>
          <w:rFonts w:eastAsia="Malgun Gothic"/>
        </w:rPr>
        <w:tab/>
      </w:r>
      <w:r w:rsidRPr="00034F1E">
        <w:rPr>
          <w:rFonts w:eastAsia="Malgun Gothic"/>
        </w:rPr>
        <w:tab/>
        <w:t>Artículo 10</w:t>
      </w:r>
    </w:p>
    <w:p w:rsidR="00464409" w:rsidRPr="00034F1E" w:rsidRDefault="00464409" w:rsidP="00464409">
      <w:pPr>
        <w:pStyle w:val="SingleTxtG"/>
        <w:rPr>
          <w:rFonts w:eastAsia="Malgun Gothic"/>
        </w:rPr>
      </w:pPr>
      <w:r w:rsidRPr="00034F1E">
        <w:rPr>
          <w:rFonts w:eastAsia="Malgun Gothic"/>
        </w:rPr>
        <w:t>19.</w:t>
      </w:r>
      <w:r w:rsidRPr="00034F1E">
        <w:rPr>
          <w:rFonts w:eastAsia="Malgun Gothic"/>
        </w:rPr>
        <w:tab/>
        <w:t>Sírvanse proporcionar información actualizada sobre:</w:t>
      </w:r>
    </w:p>
    <w:p w:rsidR="00464409" w:rsidRPr="00034F1E" w:rsidRDefault="00464409" w:rsidP="00464409">
      <w:pPr>
        <w:pStyle w:val="SingleTxtG"/>
        <w:rPr>
          <w:rFonts w:eastAsia="Malgun Gothic"/>
          <w:lang w:eastAsia="ko-KR"/>
        </w:rPr>
      </w:pPr>
      <w:r>
        <w:rPr>
          <w:rFonts w:eastAsia="Malgun Gothic"/>
          <w:lang w:eastAsia="ko-KR"/>
        </w:rPr>
        <w:tab/>
      </w:r>
      <w:r w:rsidRPr="00034F1E">
        <w:rPr>
          <w:rFonts w:eastAsia="Malgun Gothic"/>
          <w:lang w:eastAsia="ko-KR"/>
        </w:rPr>
        <w:t>a)</w:t>
      </w:r>
      <w:r w:rsidRPr="00034F1E">
        <w:rPr>
          <w:rFonts w:eastAsia="Malgun Gothic"/>
          <w:lang w:eastAsia="ko-KR"/>
        </w:rPr>
        <w:tab/>
        <w:t>Los programas de educación y capacitación para personal de las fuerzas del orden, personal penitenciario y personal de centros de detención, miembros del poder judicial y fiscales, así como funcionarios consulares, con respecto a las obligaciones que impone al Estado parte la Convención</w:t>
      </w:r>
      <w:r>
        <w:rPr>
          <w:rFonts w:eastAsia="Malgun Gothic"/>
          <w:lang w:eastAsia="ko-KR"/>
        </w:rPr>
        <w:t>.</w:t>
      </w:r>
    </w:p>
    <w:p w:rsidR="00464409" w:rsidRPr="00034F1E" w:rsidRDefault="00464409" w:rsidP="00464409">
      <w:pPr>
        <w:pStyle w:val="SingleTxtG"/>
        <w:rPr>
          <w:rFonts w:eastAsia="Malgun Gothic"/>
          <w:lang w:eastAsia="ko-KR"/>
        </w:rPr>
      </w:pPr>
      <w:r>
        <w:rPr>
          <w:rFonts w:eastAsia="Malgun Gothic"/>
          <w:lang w:eastAsia="ko-KR"/>
        </w:rPr>
        <w:tab/>
      </w:r>
      <w:r w:rsidRPr="00034F1E">
        <w:rPr>
          <w:rFonts w:eastAsia="Malgun Gothic"/>
          <w:lang w:eastAsia="ko-KR"/>
        </w:rPr>
        <w:t>b)</w:t>
      </w:r>
      <w:r w:rsidRPr="00034F1E">
        <w:rPr>
          <w:rFonts w:eastAsia="Malgun Gothic"/>
          <w:lang w:eastAsia="ko-KR"/>
        </w:rPr>
        <w:tab/>
        <w:t>La capacitación de médicos forenses y personal médico, especialmente respecto de la utilización del Protocolo de Estambul; y</w:t>
      </w:r>
    </w:p>
    <w:p w:rsidR="00464409" w:rsidRPr="00034F1E" w:rsidRDefault="00464409" w:rsidP="00464409">
      <w:pPr>
        <w:pStyle w:val="SingleTxtG"/>
        <w:rPr>
          <w:rFonts w:eastAsia="Malgun Gothic"/>
          <w:lang w:eastAsia="ko-KR"/>
        </w:rPr>
      </w:pPr>
      <w:r>
        <w:rPr>
          <w:rFonts w:eastAsia="Malgun Gothic"/>
          <w:lang w:eastAsia="ko-KR"/>
        </w:rPr>
        <w:tab/>
      </w:r>
      <w:r w:rsidRPr="00034F1E">
        <w:rPr>
          <w:rFonts w:eastAsia="Malgun Gothic"/>
          <w:lang w:eastAsia="ko-KR"/>
        </w:rPr>
        <w:t>c)</w:t>
      </w:r>
      <w:r w:rsidRPr="00034F1E">
        <w:rPr>
          <w:rFonts w:eastAsia="Malgun Gothic"/>
          <w:lang w:eastAsia="ko-KR"/>
        </w:rPr>
        <w:tab/>
        <w:t>Las medidas adoptadas para formular y aplicar una metodología que permita evaluar la aplicación de sus programas de capacitación y educación, así como la eficacia y l</w:t>
      </w:r>
      <w:r>
        <w:rPr>
          <w:rFonts w:eastAsia="Malgun Gothic"/>
          <w:lang w:eastAsia="ko-KR"/>
        </w:rPr>
        <w:t>a</w:t>
      </w:r>
      <w:r w:rsidRPr="00034F1E">
        <w:rPr>
          <w:rFonts w:eastAsia="Malgun Gothic"/>
          <w:lang w:eastAsia="ko-KR"/>
        </w:rPr>
        <w:t xml:space="preserve"> </w:t>
      </w:r>
      <w:r>
        <w:rPr>
          <w:rFonts w:eastAsia="Malgun Gothic"/>
          <w:lang w:eastAsia="ko-KR"/>
        </w:rPr>
        <w:t>repercusión</w:t>
      </w:r>
      <w:r w:rsidRPr="00034F1E">
        <w:rPr>
          <w:rFonts w:eastAsia="Malgun Gothic"/>
          <w:lang w:eastAsia="ko-KR"/>
        </w:rPr>
        <w:t xml:space="preserve"> de estos programas </w:t>
      </w:r>
      <w:r>
        <w:rPr>
          <w:rFonts w:eastAsia="Malgun Gothic"/>
          <w:lang w:eastAsia="ko-KR"/>
        </w:rPr>
        <w:t xml:space="preserve">en la </w:t>
      </w:r>
      <w:r w:rsidRPr="00034F1E">
        <w:rPr>
          <w:rFonts w:eastAsia="Malgun Gothic"/>
          <w:lang w:eastAsia="ko-KR"/>
        </w:rPr>
        <w:t>reduc</w:t>
      </w:r>
      <w:r>
        <w:rPr>
          <w:rFonts w:eastAsia="Malgun Gothic"/>
          <w:lang w:eastAsia="ko-KR"/>
        </w:rPr>
        <w:t>c</w:t>
      </w:r>
      <w:r w:rsidRPr="00034F1E">
        <w:rPr>
          <w:rFonts w:eastAsia="Malgun Gothic"/>
          <w:lang w:eastAsia="ko-KR"/>
        </w:rPr>
        <w:t>i</w:t>
      </w:r>
      <w:r>
        <w:rPr>
          <w:rFonts w:eastAsia="Malgun Gothic"/>
          <w:lang w:eastAsia="ko-KR"/>
        </w:rPr>
        <w:t>ón de</w:t>
      </w:r>
      <w:r w:rsidRPr="00034F1E">
        <w:rPr>
          <w:rFonts w:eastAsia="Malgun Gothic"/>
          <w:lang w:eastAsia="ko-KR"/>
        </w:rPr>
        <w:t xml:space="preserve"> los casos de tortura y malos tratos. </w:t>
      </w:r>
      <w:r>
        <w:rPr>
          <w:rFonts w:eastAsia="Malgun Gothic"/>
          <w:lang w:eastAsia="ko-KR"/>
        </w:rPr>
        <w:t>Faciliten</w:t>
      </w:r>
      <w:r w:rsidRPr="00034F1E">
        <w:rPr>
          <w:rFonts w:eastAsia="Malgun Gothic"/>
          <w:lang w:eastAsia="ko-KR"/>
        </w:rPr>
        <w:t xml:space="preserve"> información sobre el contenido y la aplicación de la metodología en cuestión, así como </w:t>
      </w:r>
      <w:r>
        <w:rPr>
          <w:rFonts w:eastAsia="Malgun Gothic"/>
          <w:lang w:eastAsia="ko-KR"/>
        </w:rPr>
        <w:t xml:space="preserve">sobre </w:t>
      </w:r>
      <w:r w:rsidRPr="00034F1E">
        <w:rPr>
          <w:rFonts w:eastAsia="Malgun Gothic"/>
          <w:lang w:eastAsia="ko-KR"/>
        </w:rPr>
        <w:t>los resultados de las medidas aplicadas.</w:t>
      </w:r>
    </w:p>
    <w:p w:rsidR="00464409" w:rsidRPr="00034F1E" w:rsidRDefault="00464409" w:rsidP="00464409">
      <w:pPr>
        <w:pStyle w:val="H1G"/>
        <w:rPr>
          <w:rFonts w:eastAsia="Malgun Gothic"/>
        </w:rPr>
      </w:pPr>
      <w:r w:rsidRPr="00034F1E">
        <w:rPr>
          <w:rFonts w:eastAsia="Malgun Gothic"/>
        </w:rPr>
        <w:tab/>
      </w:r>
      <w:r w:rsidRPr="00034F1E">
        <w:rPr>
          <w:rFonts w:eastAsia="Malgun Gothic"/>
        </w:rPr>
        <w:tab/>
        <w:t>Artículos 11 y 16</w:t>
      </w:r>
    </w:p>
    <w:p w:rsidR="00464409" w:rsidRPr="00034F1E" w:rsidRDefault="00464409" w:rsidP="00464409">
      <w:pPr>
        <w:pStyle w:val="SingleTxtG"/>
        <w:rPr>
          <w:rFonts w:eastAsia="Malgun Gothic"/>
        </w:rPr>
      </w:pPr>
      <w:r w:rsidRPr="00034F1E">
        <w:rPr>
          <w:rFonts w:eastAsia="Malgun Gothic"/>
        </w:rPr>
        <w:t>20.</w:t>
      </w:r>
      <w:r w:rsidRPr="00034F1E">
        <w:rPr>
          <w:rFonts w:eastAsia="Malgun Gothic"/>
        </w:rPr>
        <w:tab/>
        <w:t>Sírvanse indicar de qué manera el Estado</w:t>
      </w:r>
      <w:r>
        <w:rPr>
          <w:rFonts w:eastAsia="Malgun Gothic"/>
        </w:rPr>
        <w:t xml:space="preserve"> parte,</w:t>
      </w:r>
      <w:r w:rsidRPr="00034F1E">
        <w:rPr>
          <w:rFonts w:eastAsia="Malgun Gothic"/>
        </w:rPr>
        <w:t xml:space="preserve"> para evitar actos de tortura, ha mantenido e</w:t>
      </w:r>
      <w:r>
        <w:rPr>
          <w:rFonts w:eastAsia="Malgun Gothic"/>
        </w:rPr>
        <w:t>n</w:t>
      </w:r>
      <w:r w:rsidRPr="00034F1E">
        <w:rPr>
          <w:rFonts w:eastAsia="Malgun Gothic"/>
        </w:rPr>
        <w:t xml:space="preserve"> examen sistemático las normas</w:t>
      </w:r>
      <w:r>
        <w:rPr>
          <w:rFonts w:eastAsia="Malgun Gothic"/>
        </w:rPr>
        <w:t xml:space="preserve">, </w:t>
      </w:r>
      <w:r w:rsidRPr="00034F1E">
        <w:rPr>
          <w:rFonts w:eastAsia="Malgun Gothic"/>
        </w:rPr>
        <w:t xml:space="preserve">las instrucciones, los métodos y las prácticas de interrogatorio, así como </w:t>
      </w:r>
      <w:r>
        <w:rPr>
          <w:rFonts w:eastAsia="Malgun Gothic"/>
        </w:rPr>
        <w:t xml:space="preserve">de </w:t>
      </w:r>
      <w:r w:rsidRPr="00034F1E">
        <w:rPr>
          <w:rFonts w:eastAsia="Malgun Gothic"/>
        </w:rPr>
        <w:t xml:space="preserve">las disposiciones relativas a la custodia y el trato de las personas </w:t>
      </w:r>
      <w:r>
        <w:rPr>
          <w:rFonts w:eastAsia="Malgun Gothic"/>
        </w:rPr>
        <w:t>objeto de</w:t>
      </w:r>
      <w:r w:rsidRPr="00034F1E">
        <w:rPr>
          <w:rFonts w:eastAsia="Malgun Gothic"/>
        </w:rPr>
        <w:t xml:space="preserve"> cualquier forma de detención, reclusión o prisión. Indi</w:t>
      </w:r>
      <w:r>
        <w:rPr>
          <w:rFonts w:eastAsia="Malgun Gothic"/>
        </w:rPr>
        <w:t>quen</w:t>
      </w:r>
      <w:r w:rsidRPr="00034F1E">
        <w:rPr>
          <w:rFonts w:eastAsia="Malgun Gothic"/>
        </w:rPr>
        <w:t xml:space="preserve"> las </w:t>
      </w:r>
      <w:r>
        <w:rPr>
          <w:rFonts w:eastAsia="Malgun Gothic"/>
        </w:rPr>
        <w:t>modificaciones de</w:t>
      </w:r>
      <w:r w:rsidRPr="00034F1E">
        <w:rPr>
          <w:rFonts w:eastAsia="Malgun Gothic"/>
        </w:rPr>
        <w:t xml:space="preserve"> estas normas e instrucciones que </w:t>
      </w:r>
      <w:r>
        <w:rPr>
          <w:rFonts w:eastAsia="Malgun Gothic"/>
        </w:rPr>
        <w:t>sean pertinentes</w:t>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21.</w:t>
      </w:r>
      <w:r w:rsidRPr="00034F1E">
        <w:rPr>
          <w:rFonts w:eastAsia="Malgun Gothic"/>
        </w:rPr>
        <w:tab/>
        <w:t xml:space="preserve">Sírvanse </w:t>
      </w:r>
      <w:r>
        <w:rPr>
          <w:rFonts w:eastAsia="Malgun Gothic"/>
        </w:rPr>
        <w:t>facilitar</w:t>
      </w:r>
      <w:r w:rsidRPr="00034F1E">
        <w:rPr>
          <w:rFonts w:eastAsia="Malgun Gothic"/>
        </w:rPr>
        <w:t xml:space="preserve"> información actualizada acerca de los efectos de los diversos programas, entre ellos la estrategia de intervención, adoptados por el Estado parte para reducir los incidentes importantes de violencia entre reclusos en </w:t>
      </w:r>
      <w:r>
        <w:rPr>
          <w:rFonts w:eastAsia="Malgun Gothic"/>
        </w:rPr>
        <w:t>los centros</w:t>
      </w:r>
      <w:r w:rsidRPr="00034F1E">
        <w:rPr>
          <w:rFonts w:eastAsia="Malgun Gothic"/>
        </w:rPr>
        <w:t xml:space="preserve"> de detención</w:t>
      </w:r>
      <w:r w:rsidRPr="001F5759">
        <w:rPr>
          <w:rStyle w:val="FootnoteReference"/>
          <w:rFonts w:eastAsia="Malgun Gothic"/>
        </w:rPr>
        <w:footnoteReference w:id="18"/>
      </w:r>
      <w:r w:rsidRPr="00034F1E">
        <w:rPr>
          <w:rFonts w:eastAsia="Malgun Gothic"/>
        </w:rPr>
        <w:t xml:space="preserve">. </w:t>
      </w:r>
      <w:r>
        <w:rPr>
          <w:rFonts w:eastAsia="Malgun Gothic"/>
        </w:rPr>
        <w:t>Faciliten asimismo:</w:t>
      </w:r>
      <w:r w:rsidRPr="00034F1E">
        <w:rPr>
          <w:rFonts w:eastAsia="Malgun Gothic"/>
        </w:rPr>
        <w:t xml:space="preserve"> a) datos estadísticos acerca de las denuncias recibidas, las investigaciones realizadas, los procesos entablados, las sentencias condenatorias dictadas y las penas impuestas </w:t>
      </w:r>
      <w:r>
        <w:rPr>
          <w:rFonts w:eastAsia="Malgun Gothic"/>
        </w:rPr>
        <w:t>en relación con</w:t>
      </w:r>
      <w:r w:rsidRPr="00034F1E">
        <w:rPr>
          <w:rFonts w:eastAsia="Malgun Gothic"/>
        </w:rPr>
        <w:t xml:space="preserve"> esos incidentes</w:t>
      </w:r>
      <w:r>
        <w:rPr>
          <w:rFonts w:eastAsia="Malgun Gothic"/>
        </w:rPr>
        <w:t>;</w:t>
      </w:r>
      <w:r w:rsidRPr="00034F1E">
        <w:rPr>
          <w:rFonts w:eastAsia="Malgun Gothic"/>
        </w:rPr>
        <w:t xml:space="preserve"> y b) el número de reclu</w:t>
      </w:r>
      <w:r>
        <w:rPr>
          <w:rFonts w:eastAsia="Malgun Gothic"/>
        </w:rPr>
        <w:t>s</w:t>
      </w:r>
      <w:r w:rsidRPr="00034F1E">
        <w:rPr>
          <w:rFonts w:eastAsia="Malgun Gothic"/>
        </w:rPr>
        <w:t xml:space="preserve">os en establecimientos penitenciarios del Canadá y la medida en que el número de reclusos </w:t>
      </w:r>
      <w:r>
        <w:rPr>
          <w:rFonts w:eastAsia="Malgun Gothic"/>
        </w:rPr>
        <w:t>d</w:t>
      </w:r>
      <w:r w:rsidRPr="00034F1E">
        <w:rPr>
          <w:rFonts w:eastAsia="Malgun Gothic"/>
        </w:rPr>
        <w:t>e cada un</w:t>
      </w:r>
      <w:r>
        <w:rPr>
          <w:rFonts w:eastAsia="Malgun Gothic"/>
        </w:rPr>
        <w:t>o</w:t>
      </w:r>
      <w:r w:rsidRPr="00034F1E">
        <w:rPr>
          <w:rFonts w:eastAsia="Malgun Gothic"/>
        </w:rPr>
        <w:t xml:space="preserve"> de ell</w:t>
      </w:r>
      <w:r>
        <w:rPr>
          <w:rFonts w:eastAsia="Malgun Gothic"/>
        </w:rPr>
        <w:t>o</w:t>
      </w:r>
      <w:r w:rsidRPr="00034F1E">
        <w:rPr>
          <w:rFonts w:eastAsia="Malgun Gothic"/>
        </w:rPr>
        <w:t>s excede su capacidad.</w:t>
      </w:r>
    </w:p>
    <w:p w:rsidR="00464409" w:rsidRPr="00034F1E" w:rsidRDefault="00464409" w:rsidP="00464409">
      <w:pPr>
        <w:pStyle w:val="SingleTxtG"/>
        <w:rPr>
          <w:rFonts w:eastAsia="Malgun Gothic"/>
        </w:rPr>
      </w:pPr>
      <w:r w:rsidRPr="00034F1E">
        <w:rPr>
          <w:rFonts w:eastAsia="Malgun Gothic"/>
        </w:rPr>
        <w:t>22.</w:t>
      </w:r>
      <w:r w:rsidRPr="00034F1E">
        <w:rPr>
          <w:rFonts w:eastAsia="Malgun Gothic"/>
        </w:rPr>
        <w:tab/>
        <w:t xml:space="preserve">Sírvanse </w:t>
      </w:r>
      <w:r>
        <w:rPr>
          <w:rFonts w:eastAsia="Malgun Gothic"/>
        </w:rPr>
        <w:t>aportar</w:t>
      </w:r>
      <w:r w:rsidRPr="00034F1E">
        <w:rPr>
          <w:rFonts w:eastAsia="Malgun Gothic"/>
        </w:rPr>
        <w:t xml:space="preserve"> información </w:t>
      </w:r>
      <w:r>
        <w:rPr>
          <w:rFonts w:eastAsia="Malgun Gothic"/>
        </w:rPr>
        <w:t>sobre</w:t>
      </w:r>
      <w:r w:rsidRPr="00034F1E">
        <w:rPr>
          <w:rFonts w:eastAsia="Malgun Gothic"/>
        </w:rPr>
        <w:t xml:space="preserve"> los progresos realizados en la puesta en práctica de las 109 recomendaciones del informe del Panel de Examen Independiente del Servicio Penitenciario del Canadá (CSC), publicado en 2007 (informe del Estado parte, párr. 66).</w:t>
      </w:r>
    </w:p>
    <w:p w:rsidR="00464409" w:rsidRPr="00034F1E" w:rsidRDefault="00464409" w:rsidP="00464409">
      <w:pPr>
        <w:pStyle w:val="SingleTxtG"/>
        <w:rPr>
          <w:rFonts w:eastAsia="Malgun Gothic"/>
        </w:rPr>
      </w:pPr>
      <w:r w:rsidRPr="00034F1E">
        <w:rPr>
          <w:rFonts w:eastAsia="Malgun Gothic"/>
        </w:rPr>
        <w:t>23.</w:t>
      </w:r>
      <w:r w:rsidRPr="00034F1E">
        <w:rPr>
          <w:rFonts w:eastAsia="Malgun Gothic"/>
        </w:rPr>
        <w:tab/>
        <w:t xml:space="preserve">Sírvanse referirse a la situación de las reclusas y a la política del Estado parte en cuanto a la dotación mixta de personal en el sistema </w:t>
      </w:r>
      <w:r>
        <w:rPr>
          <w:rFonts w:eastAsia="Malgun Gothic"/>
        </w:rPr>
        <w:t>penitenciario</w:t>
      </w:r>
      <w:r w:rsidRPr="00034F1E">
        <w:rPr>
          <w:rFonts w:eastAsia="Malgun Gothic"/>
        </w:rPr>
        <w:t xml:space="preserve">. </w:t>
      </w:r>
      <w:r>
        <w:rPr>
          <w:rFonts w:eastAsia="Malgun Gothic"/>
        </w:rPr>
        <w:t xml:space="preserve">Faciliten </w:t>
      </w:r>
      <w:r w:rsidRPr="00034F1E">
        <w:rPr>
          <w:rFonts w:eastAsia="Malgun Gothic"/>
        </w:rPr>
        <w:t xml:space="preserve">información detallada acerca de si se ha establecido un mecanismo externo de recurso y supervisión para las mujeres recluidas en establecimientos federales y si sigue habiendo </w:t>
      </w:r>
      <w:r>
        <w:rPr>
          <w:rFonts w:eastAsia="Malgun Gothic"/>
        </w:rPr>
        <w:t>niñas recluidas</w:t>
      </w:r>
      <w:r w:rsidRPr="00034F1E">
        <w:rPr>
          <w:rFonts w:eastAsia="Malgun Gothic"/>
        </w:rPr>
        <w:t xml:space="preserve"> en centros </w:t>
      </w:r>
      <w:r>
        <w:rPr>
          <w:rFonts w:eastAsia="Malgun Gothic"/>
        </w:rPr>
        <w:t xml:space="preserve">mixtos </w:t>
      </w:r>
      <w:r w:rsidRPr="00034F1E">
        <w:rPr>
          <w:rFonts w:eastAsia="Malgun Gothic"/>
        </w:rPr>
        <w:t>de detención para jóvenes</w:t>
      </w:r>
      <w:r w:rsidRPr="001F5759">
        <w:rPr>
          <w:rStyle w:val="FootnoteReference"/>
          <w:rFonts w:eastAsia="Malgun Gothic"/>
        </w:rPr>
        <w:footnoteReference w:id="19"/>
      </w:r>
      <w:r w:rsidRPr="00034F1E">
        <w:rPr>
          <w:rFonts w:eastAsia="Malgun Gothic"/>
        </w:rPr>
        <w:t>.</w:t>
      </w:r>
    </w:p>
    <w:p w:rsidR="00464409" w:rsidRPr="00034F1E" w:rsidRDefault="00464409" w:rsidP="00464409">
      <w:pPr>
        <w:pStyle w:val="H1G"/>
        <w:rPr>
          <w:rFonts w:eastAsia="Malgun Gothic"/>
          <w:lang w:eastAsia="ko-KR"/>
        </w:rPr>
      </w:pPr>
      <w:r w:rsidRPr="00034F1E">
        <w:rPr>
          <w:rFonts w:eastAsia="Malgun Gothic"/>
        </w:rPr>
        <w:tab/>
      </w:r>
      <w:r w:rsidRPr="00034F1E">
        <w:rPr>
          <w:rFonts w:eastAsia="Malgun Gothic"/>
        </w:rPr>
        <w:tab/>
        <w:t>Artículos 12</w:t>
      </w:r>
      <w:r w:rsidRPr="00034F1E">
        <w:rPr>
          <w:rFonts w:eastAsia="Malgun Gothic"/>
          <w:lang w:eastAsia="ko-KR"/>
        </w:rPr>
        <w:t xml:space="preserve"> y 13</w:t>
      </w:r>
    </w:p>
    <w:p w:rsidR="00464409" w:rsidRPr="00034F1E" w:rsidRDefault="00464409" w:rsidP="00464409">
      <w:pPr>
        <w:pStyle w:val="SingleTxtG"/>
        <w:rPr>
          <w:rFonts w:eastAsia="Malgun Gothic"/>
        </w:rPr>
      </w:pPr>
      <w:r w:rsidRPr="00034F1E">
        <w:rPr>
          <w:rFonts w:eastAsia="Malgun Gothic"/>
        </w:rPr>
        <w:t>2</w:t>
      </w:r>
      <w:r>
        <w:rPr>
          <w:rFonts w:eastAsia="Malgun Gothic"/>
        </w:rPr>
        <w:t>4</w:t>
      </w:r>
      <w:r w:rsidRPr="00034F1E">
        <w:rPr>
          <w:rFonts w:eastAsia="Malgun Gothic"/>
        </w:rPr>
        <w:t>.</w:t>
      </w:r>
      <w:r w:rsidRPr="00034F1E">
        <w:rPr>
          <w:rFonts w:eastAsia="Malgun Gothic"/>
        </w:rPr>
        <w:tab/>
        <w:t xml:space="preserve">Habida cuenta de las anteriores observaciones finales del Comité (párr. 5 i)), sírvanse </w:t>
      </w:r>
      <w:r>
        <w:rPr>
          <w:rFonts w:eastAsia="Malgun Gothic"/>
        </w:rPr>
        <w:t>facilitar</w:t>
      </w:r>
      <w:r w:rsidRPr="00034F1E">
        <w:rPr>
          <w:rFonts w:eastAsia="Malgun Gothic"/>
        </w:rPr>
        <w:t xml:space="preserve"> información actualizada sobre:</w:t>
      </w:r>
    </w:p>
    <w:p w:rsidR="00464409" w:rsidRPr="00034F1E" w:rsidRDefault="00464409" w:rsidP="00464409">
      <w:pPr>
        <w:pStyle w:val="SingleTxtG"/>
        <w:rPr>
          <w:rFonts w:eastAsia="Malgun Gothic"/>
          <w:lang w:eastAsia="ko-KR"/>
        </w:rPr>
      </w:pPr>
      <w:r>
        <w:rPr>
          <w:rFonts w:eastAsia="Malgun Gothic"/>
          <w:lang w:eastAsia="ko-KR"/>
        </w:rPr>
        <w:tab/>
      </w:r>
      <w:r w:rsidRPr="00034F1E">
        <w:rPr>
          <w:rFonts w:eastAsia="Malgun Gothic"/>
          <w:lang w:eastAsia="ko-KR"/>
        </w:rPr>
        <w:t>a)</w:t>
      </w:r>
      <w:r w:rsidRPr="00034F1E">
        <w:rPr>
          <w:rFonts w:eastAsia="Malgun Gothic"/>
          <w:lang w:eastAsia="ko-KR"/>
        </w:rPr>
        <w:tab/>
        <w:t>La competencia de la Comisión Encargada de Examinar las Denuncias Públicas contra la Real Policía Montada del Canadá para investigar todas las actividades de ese cuerpo de policía que están comprendidas en su mandato y presentar informes al respecto; y</w:t>
      </w:r>
    </w:p>
    <w:p w:rsidR="00464409" w:rsidRPr="00034F1E" w:rsidRDefault="00464409" w:rsidP="00464409">
      <w:pPr>
        <w:pStyle w:val="SingleTxtG"/>
        <w:rPr>
          <w:rFonts w:eastAsia="Malgun Gothic"/>
          <w:lang w:eastAsia="ko-KR"/>
        </w:rPr>
      </w:pPr>
      <w:r>
        <w:rPr>
          <w:rFonts w:eastAsia="Malgun Gothic"/>
          <w:lang w:eastAsia="ko-KR"/>
        </w:rPr>
        <w:tab/>
      </w:r>
      <w:r w:rsidRPr="00034F1E">
        <w:rPr>
          <w:rFonts w:eastAsia="Malgun Gothic"/>
          <w:lang w:eastAsia="ko-KR"/>
        </w:rPr>
        <w:t>b)</w:t>
      </w:r>
      <w:r w:rsidRPr="00034F1E">
        <w:rPr>
          <w:rFonts w:eastAsia="Malgun Gothic"/>
          <w:lang w:eastAsia="ko-KR"/>
        </w:rPr>
        <w:tab/>
        <w:t xml:space="preserve">Las medidas adoptadas para cerciorarse de que existan mecanismos externos e independientes para investigar denuncias </w:t>
      </w:r>
      <w:r>
        <w:rPr>
          <w:rFonts w:eastAsia="Malgun Gothic"/>
          <w:lang w:eastAsia="ko-KR"/>
        </w:rPr>
        <w:t>relacionadas con</w:t>
      </w:r>
      <w:r w:rsidRPr="00034F1E">
        <w:rPr>
          <w:rFonts w:eastAsia="Malgun Gothic"/>
          <w:lang w:eastAsia="ko-KR"/>
        </w:rPr>
        <w:t xml:space="preserve"> el comportamiento de agentes de las fuerzas del orden en todas las jurisdicciones</w:t>
      </w:r>
      <w:r w:rsidRPr="001F5759">
        <w:rPr>
          <w:rStyle w:val="FootnoteReference"/>
          <w:rFonts w:eastAsia="Malgun Gothic"/>
        </w:rPr>
        <w:footnoteReference w:id="20"/>
      </w:r>
      <w:r w:rsidRPr="00034F1E">
        <w:rPr>
          <w:rFonts w:eastAsia="Malgun Gothic"/>
          <w:lang w:eastAsia="ko-KR"/>
        </w:rPr>
        <w:t>.</w:t>
      </w:r>
    </w:p>
    <w:p w:rsidR="00464409" w:rsidRPr="00034F1E" w:rsidRDefault="00464409" w:rsidP="00464409">
      <w:pPr>
        <w:pStyle w:val="SingleTxtG"/>
        <w:rPr>
          <w:rFonts w:eastAsia="Malgun Gothic"/>
        </w:rPr>
      </w:pPr>
      <w:r w:rsidRPr="00034F1E">
        <w:rPr>
          <w:rFonts w:eastAsia="Malgun Gothic"/>
        </w:rPr>
        <w:t>2</w:t>
      </w:r>
      <w:r>
        <w:rPr>
          <w:rFonts w:eastAsia="Malgun Gothic"/>
        </w:rPr>
        <w:t>5</w:t>
      </w:r>
      <w:r w:rsidRPr="00034F1E">
        <w:rPr>
          <w:rFonts w:eastAsia="Malgun Gothic"/>
        </w:rPr>
        <w:t>.</w:t>
      </w:r>
      <w:r w:rsidRPr="00034F1E">
        <w:rPr>
          <w:rFonts w:eastAsia="Malgun Gothic"/>
        </w:rPr>
        <w:tab/>
        <w:t>Sírvanse proporcionar información detallada acerca del estado en que se encuentra el cumplimiento de varias recomendaciones formul</w:t>
      </w:r>
      <w:r>
        <w:rPr>
          <w:rFonts w:eastAsia="Malgun Gothic"/>
        </w:rPr>
        <w:t>adas por el Magistrado Dennis O'</w:t>
      </w:r>
      <w:r w:rsidRPr="00034F1E">
        <w:rPr>
          <w:rFonts w:eastAsia="Malgun Gothic"/>
        </w:rPr>
        <w:t xml:space="preserve">Connor tras el informe de la Comisión de Investigación en el caso de Maher Arar </w:t>
      </w:r>
      <w:r>
        <w:rPr>
          <w:rFonts w:eastAsia="Malgun Gothic"/>
        </w:rPr>
        <w:t>(informe del Estado parte, párr.</w:t>
      </w:r>
      <w:r w:rsidRPr="00034F1E">
        <w:rPr>
          <w:rFonts w:eastAsia="Malgun Gothic"/>
        </w:rPr>
        <w:t xml:space="preserve"> 20), especialmente con respecto al establecimiento de un mecanismo </w:t>
      </w:r>
      <w:r>
        <w:rPr>
          <w:rFonts w:eastAsia="Malgun Gothic"/>
        </w:rPr>
        <w:t xml:space="preserve">general </w:t>
      </w:r>
      <w:r w:rsidRPr="00034F1E">
        <w:rPr>
          <w:rFonts w:eastAsia="Malgun Gothic"/>
        </w:rPr>
        <w:t xml:space="preserve">de examen y supervisión de las operaciones de seguridad e inteligencia en el Canadá. ¿Ha preparado el Estado parte un plan de aplicación con un </w:t>
      </w:r>
      <w:r>
        <w:rPr>
          <w:rFonts w:eastAsia="Malgun Gothic"/>
        </w:rPr>
        <w:t>calendario</w:t>
      </w:r>
      <w:r w:rsidRPr="00034F1E">
        <w:rPr>
          <w:rFonts w:eastAsia="Malgun Gothic"/>
        </w:rPr>
        <w:t xml:space="preserve"> respecto de todas esas recomendaciones? ¿Qué medidas </w:t>
      </w:r>
      <w:r>
        <w:rPr>
          <w:rFonts w:eastAsia="Malgun Gothic"/>
        </w:rPr>
        <w:t>podrían adoptarse para evitar</w:t>
      </w:r>
      <w:r w:rsidRPr="00034F1E">
        <w:rPr>
          <w:rFonts w:eastAsia="Malgun Gothic"/>
        </w:rPr>
        <w:t xml:space="preserve"> que los funcionarios canadienses repitieran actos </w:t>
      </w:r>
      <w:r>
        <w:rPr>
          <w:rFonts w:eastAsia="Malgun Gothic"/>
        </w:rPr>
        <w:t xml:space="preserve">como los </w:t>
      </w:r>
      <w:r w:rsidRPr="00034F1E">
        <w:rPr>
          <w:rFonts w:eastAsia="Malgun Gothic"/>
        </w:rPr>
        <w:t>que dieron lugar al tras</w:t>
      </w:r>
      <w:r>
        <w:rPr>
          <w:rFonts w:eastAsia="Malgun Gothic"/>
        </w:rPr>
        <w:t>l</w:t>
      </w:r>
      <w:r w:rsidRPr="00034F1E">
        <w:rPr>
          <w:rFonts w:eastAsia="Malgun Gothic"/>
        </w:rPr>
        <w:t>a</w:t>
      </w:r>
      <w:r>
        <w:rPr>
          <w:rFonts w:eastAsia="Malgun Gothic"/>
        </w:rPr>
        <w:t>d</w:t>
      </w:r>
      <w:r w:rsidRPr="00034F1E">
        <w:rPr>
          <w:rFonts w:eastAsia="Malgun Gothic"/>
        </w:rPr>
        <w:t>o de esa persona y a la presunta complicidad en los abusos de que fue objeto mientras se encontraba detenido en Siria</w:t>
      </w:r>
      <w:r w:rsidRPr="001F5759">
        <w:rPr>
          <w:rStyle w:val="FootnoteReference"/>
          <w:rFonts w:eastAsia="Malgun Gothic"/>
        </w:rPr>
        <w:footnoteReference w:id="21"/>
      </w:r>
      <w:r>
        <w:rPr>
          <w:rFonts w:eastAsia="Malgun Gothic"/>
        </w:rPr>
        <w:t>?</w:t>
      </w:r>
    </w:p>
    <w:p w:rsidR="00464409" w:rsidRPr="00034F1E" w:rsidRDefault="00464409" w:rsidP="00464409">
      <w:pPr>
        <w:pStyle w:val="SingleTxtG"/>
        <w:rPr>
          <w:rFonts w:eastAsia="Malgun Gothic"/>
        </w:rPr>
      </w:pPr>
      <w:r w:rsidRPr="00034F1E">
        <w:rPr>
          <w:rFonts w:eastAsia="Malgun Gothic"/>
        </w:rPr>
        <w:t>2</w:t>
      </w:r>
      <w:r>
        <w:rPr>
          <w:rFonts w:eastAsia="Malgun Gothic"/>
        </w:rPr>
        <w:t>6</w:t>
      </w:r>
      <w:r w:rsidRPr="00034F1E">
        <w:rPr>
          <w:rFonts w:eastAsia="Malgun Gothic"/>
        </w:rPr>
        <w:t>.</w:t>
      </w:r>
      <w:r w:rsidRPr="00034F1E">
        <w:rPr>
          <w:rFonts w:eastAsia="Malgun Gothic"/>
        </w:rPr>
        <w:tab/>
        <w:t xml:space="preserve">Sírvanse </w:t>
      </w:r>
      <w:r>
        <w:rPr>
          <w:rFonts w:eastAsia="Malgun Gothic"/>
        </w:rPr>
        <w:t>aportar</w:t>
      </w:r>
      <w:r w:rsidRPr="00034F1E">
        <w:rPr>
          <w:rFonts w:eastAsia="Malgun Gothic"/>
        </w:rPr>
        <w:t xml:space="preserve"> información acerca de l</w:t>
      </w:r>
      <w:r>
        <w:rPr>
          <w:rFonts w:eastAsia="Malgun Gothic"/>
        </w:rPr>
        <w:t>a</w:t>
      </w:r>
      <w:r w:rsidRPr="00034F1E">
        <w:rPr>
          <w:rFonts w:eastAsia="Malgun Gothic"/>
        </w:rPr>
        <w:t xml:space="preserve">s </w:t>
      </w:r>
      <w:r>
        <w:rPr>
          <w:rFonts w:eastAsia="Malgun Gothic"/>
        </w:rPr>
        <w:t>conclusiones</w:t>
      </w:r>
      <w:r w:rsidRPr="00034F1E">
        <w:rPr>
          <w:rFonts w:eastAsia="Malgun Gothic"/>
        </w:rPr>
        <w:t xml:space="preserve"> de la investigación del caso de tres árabo-canadienses que llevó a cabo el ex Magistrado del </w:t>
      </w:r>
      <w:r>
        <w:rPr>
          <w:rFonts w:eastAsia="Malgun Gothic"/>
        </w:rPr>
        <w:t>Tribunal</w:t>
      </w:r>
      <w:r w:rsidRPr="00034F1E">
        <w:rPr>
          <w:rFonts w:eastAsia="Malgun Gothic"/>
        </w:rPr>
        <w:t xml:space="preserve"> Suprem</w:t>
      </w:r>
      <w:r>
        <w:rPr>
          <w:rFonts w:eastAsia="Malgun Gothic"/>
        </w:rPr>
        <w:t>o</w:t>
      </w:r>
      <w:r w:rsidRPr="00034F1E">
        <w:rPr>
          <w:rFonts w:eastAsia="Malgun Gothic"/>
        </w:rPr>
        <w:t xml:space="preserve"> Frank Iaccobucci y </w:t>
      </w:r>
      <w:r>
        <w:rPr>
          <w:rFonts w:eastAsia="Malgun Gothic"/>
        </w:rPr>
        <w:t>sobre</w:t>
      </w:r>
      <w:r w:rsidRPr="00034F1E">
        <w:rPr>
          <w:rFonts w:eastAsia="Malgun Gothic"/>
        </w:rPr>
        <w:t xml:space="preserve"> las medidas tomadas por el Estado parte para garantizar una investigación independiente, pública y transparente y cumplir las recomendaciones que dimanen de ella. Según información que obra en poder del Comité, los </w:t>
      </w:r>
      <w:r>
        <w:rPr>
          <w:rFonts w:eastAsia="Malgun Gothic"/>
        </w:rPr>
        <w:t>interesados</w:t>
      </w:r>
      <w:r w:rsidRPr="00034F1E">
        <w:rPr>
          <w:rFonts w:eastAsia="Malgun Gothic"/>
        </w:rPr>
        <w:t xml:space="preserve"> y sus abogados fueron excluidos del proceso y no tuvieron acceso a información alguna.</w:t>
      </w:r>
      <w:r>
        <w:rPr>
          <w:rFonts w:eastAsia="Malgun Gothic"/>
        </w:rPr>
        <w:t xml:space="preserve"> </w:t>
      </w:r>
      <w:r w:rsidRPr="00034F1E">
        <w:rPr>
          <w:rFonts w:eastAsia="Malgun Gothic"/>
          <w:lang w:eastAsia="ko-KR"/>
        </w:rPr>
        <w:t>Formul</w:t>
      </w:r>
      <w:r>
        <w:rPr>
          <w:rFonts w:eastAsia="Malgun Gothic"/>
          <w:lang w:eastAsia="ko-KR"/>
        </w:rPr>
        <w:t>en</w:t>
      </w:r>
      <w:r w:rsidRPr="00034F1E">
        <w:rPr>
          <w:rFonts w:eastAsia="Malgun Gothic"/>
          <w:lang w:eastAsia="ko-KR"/>
        </w:rPr>
        <w:t xml:space="preserve"> </w:t>
      </w:r>
      <w:r>
        <w:rPr>
          <w:rFonts w:eastAsia="Malgun Gothic"/>
          <w:lang w:eastAsia="ko-KR"/>
        </w:rPr>
        <w:t xml:space="preserve">observaciones </w:t>
      </w:r>
      <w:r w:rsidRPr="00034F1E">
        <w:rPr>
          <w:rFonts w:eastAsia="Malgun Gothic"/>
          <w:lang w:eastAsia="ko-KR"/>
        </w:rPr>
        <w:t xml:space="preserve">acerca de esta denuncia y </w:t>
      </w:r>
      <w:r>
        <w:rPr>
          <w:rFonts w:eastAsia="Malgun Gothic"/>
          <w:lang w:eastAsia="ko-KR"/>
        </w:rPr>
        <w:t>expongan</w:t>
      </w:r>
      <w:r w:rsidRPr="00034F1E">
        <w:rPr>
          <w:rFonts w:eastAsia="Malgun Gothic"/>
          <w:lang w:eastAsia="ko-KR"/>
        </w:rPr>
        <w:t xml:space="preserve"> cualquier </w:t>
      </w:r>
      <w:r>
        <w:rPr>
          <w:rFonts w:eastAsia="Malgun Gothic"/>
          <w:lang w:eastAsia="ko-KR"/>
        </w:rPr>
        <w:t xml:space="preserve">asunto </w:t>
      </w:r>
      <w:r w:rsidRPr="00034F1E">
        <w:rPr>
          <w:rFonts w:eastAsia="Malgun Gothic"/>
          <w:lang w:eastAsia="ko-KR"/>
        </w:rPr>
        <w:t>pertinente a</w:t>
      </w:r>
      <w:r>
        <w:rPr>
          <w:rFonts w:eastAsia="Malgun Gothic"/>
          <w:lang w:eastAsia="ko-KR"/>
        </w:rPr>
        <w:t>l</w:t>
      </w:r>
      <w:r w:rsidRPr="00034F1E">
        <w:rPr>
          <w:rFonts w:eastAsia="Malgun Gothic"/>
          <w:lang w:eastAsia="ko-KR"/>
        </w:rPr>
        <w:t xml:space="preserve"> respecto, como </w:t>
      </w:r>
      <w:r>
        <w:rPr>
          <w:rFonts w:eastAsia="Malgun Gothic"/>
          <w:lang w:eastAsia="ko-KR"/>
        </w:rPr>
        <w:t>e</w:t>
      </w:r>
      <w:r w:rsidRPr="00034F1E">
        <w:rPr>
          <w:rFonts w:eastAsia="Malgun Gothic"/>
          <w:lang w:eastAsia="ko-KR"/>
        </w:rPr>
        <w:t xml:space="preserve">l </w:t>
      </w:r>
      <w:r>
        <w:rPr>
          <w:rFonts w:eastAsia="Malgun Gothic"/>
          <w:lang w:eastAsia="ko-KR"/>
        </w:rPr>
        <w:t>asunto</w:t>
      </w:r>
      <w:r w:rsidRPr="00034F1E">
        <w:rPr>
          <w:rFonts w:eastAsia="Malgun Gothic"/>
        </w:rPr>
        <w:t xml:space="preserve"> </w:t>
      </w:r>
      <w:r w:rsidRPr="00034F1E">
        <w:rPr>
          <w:rFonts w:eastAsia="Malgun Gothic"/>
          <w:i/>
        </w:rPr>
        <w:t>Khadr</w:t>
      </w:r>
      <w:r w:rsidRPr="00034F1E">
        <w:rPr>
          <w:rFonts w:eastAsia="Malgun Gothic"/>
        </w:rPr>
        <w:t xml:space="preserve"> mencionad</w:t>
      </w:r>
      <w:r>
        <w:rPr>
          <w:rFonts w:eastAsia="Malgun Gothic"/>
        </w:rPr>
        <w:t>o</w:t>
      </w:r>
      <w:r w:rsidRPr="00034F1E">
        <w:rPr>
          <w:rFonts w:eastAsia="Malgun Gothic"/>
        </w:rPr>
        <w:t xml:space="preserve"> en la carta de seguimiento del Comité de 29 de abril de 2009, así como </w:t>
      </w:r>
      <w:r>
        <w:rPr>
          <w:rFonts w:eastAsia="Malgun Gothic"/>
        </w:rPr>
        <w:t xml:space="preserve">acerca de </w:t>
      </w:r>
      <w:r w:rsidRPr="00034F1E">
        <w:rPr>
          <w:rFonts w:eastAsia="Malgun Gothic"/>
        </w:rPr>
        <w:t xml:space="preserve">las medidas adoptadas para </w:t>
      </w:r>
      <w:r>
        <w:rPr>
          <w:rFonts w:eastAsia="Malgun Gothic"/>
        </w:rPr>
        <w:t xml:space="preserve">hacer valer </w:t>
      </w:r>
      <w:r w:rsidRPr="00034F1E">
        <w:rPr>
          <w:rFonts w:eastAsia="Malgun Gothic"/>
        </w:rPr>
        <w:t xml:space="preserve">los derechos de los nacionales a los que se </w:t>
      </w:r>
      <w:r>
        <w:rPr>
          <w:rFonts w:eastAsia="Malgun Gothic"/>
        </w:rPr>
        <w:t>sometió</w:t>
      </w:r>
      <w:r w:rsidRPr="00034F1E">
        <w:rPr>
          <w:rFonts w:eastAsia="Malgun Gothic"/>
        </w:rPr>
        <w:t xml:space="preserve"> indebidamente </w:t>
      </w:r>
      <w:r>
        <w:rPr>
          <w:rFonts w:eastAsia="Malgun Gothic"/>
        </w:rPr>
        <w:t>a restricciones</w:t>
      </w:r>
      <w:r w:rsidRPr="00034F1E">
        <w:rPr>
          <w:rFonts w:eastAsia="Malgun Gothic"/>
        </w:rPr>
        <w:t xml:space="preserve"> mientras se encontraban detenidos.</w:t>
      </w:r>
    </w:p>
    <w:p w:rsidR="00464409" w:rsidRPr="00034F1E" w:rsidRDefault="00464409" w:rsidP="00464409">
      <w:pPr>
        <w:pStyle w:val="H1G"/>
        <w:rPr>
          <w:rFonts w:eastAsia="Malgun Gothic"/>
        </w:rPr>
      </w:pPr>
      <w:r w:rsidRPr="00034F1E">
        <w:rPr>
          <w:rFonts w:eastAsia="Malgun Gothic"/>
        </w:rPr>
        <w:tab/>
      </w:r>
      <w:r w:rsidRPr="00034F1E">
        <w:rPr>
          <w:rFonts w:eastAsia="Malgun Gothic"/>
        </w:rPr>
        <w:tab/>
        <w:t>Artículo 14</w:t>
      </w:r>
    </w:p>
    <w:p w:rsidR="00464409" w:rsidRDefault="00464409" w:rsidP="00464409">
      <w:pPr>
        <w:pStyle w:val="SingleTxtG"/>
        <w:rPr>
          <w:rFonts w:eastAsia="Malgun Gothic"/>
        </w:rPr>
      </w:pPr>
      <w:r w:rsidRPr="00034F1E">
        <w:rPr>
          <w:rFonts w:eastAsia="Malgun Gothic"/>
        </w:rPr>
        <w:t>2</w:t>
      </w:r>
      <w:r>
        <w:rPr>
          <w:rFonts w:eastAsia="Malgun Gothic"/>
        </w:rPr>
        <w:t>7</w:t>
      </w:r>
      <w:r w:rsidRPr="00034F1E">
        <w:rPr>
          <w:rFonts w:eastAsia="Malgun Gothic"/>
        </w:rPr>
        <w:t>.</w:t>
      </w:r>
      <w:r w:rsidRPr="00034F1E">
        <w:rPr>
          <w:rFonts w:eastAsia="Malgun Gothic"/>
        </w:rPr>
        <w:tab/>
        <w:t xml:space="preserve">Habida cuenta de las anteriores observaciones finales del Comité (párr. 5 f)), sírvanse proporcionar información actualizada sobre las medidas adoptadas para </w:t>
      </w:r>
      <w:r>
        <w:rPr>
          <w:rFonts w:eastAsia="Malgun Gothic"/>
        </w:rPr>
        <w:t>asegurar el pago</w:t>
      </w:r>
      <w:r w:rsidRPr="00034F1E">
        <w:rPr>
          <w:rFonts w:eastAsia="Malgun Gothic"/>
        </w:rPr>
        <w:t xml:space="preserve">, por conducto de </w:t>
      </w:r>
      <w:r>
        <w:rPr>
          <w:rFonts w:eastAsia="Malgun Gothic"/>
        </w:rPr>
        <w:t xml:space="preserve">la </w:t>
      </w:r>
      <w:r w:rsidRPr="00034F1E">
        <w:rPr>
          <w:rFonts w:eastAsia="Malgun Gothic"/>
        </w:rPr>
        <w:t xml:space="preserve">jurisdicción civil, </w:t>
      </w:r>
      <w:r>
        <w:rPr>
          <w:rFonts w:eastAsia="Malgun Gothic"/>
        </w:rPr>
        <w:t xml:space="preserve">de </w:t>
      </w:r>
      <w:r w:rsidRPr="00034F1E">
        <w:rPr>
          <w:rFonts w:eastAsia="Malgun Gothic"/>
        </w:rPr>
        <w:t>una indemnización a todas las víctimas de tortura</w:t>
      </w:r>
      <w:r w:rsidRPr="001F5759">
        <w:rPr>
          <w:rStyle w:val="FootnoteReference"/>
          <w:rFonts w:eastAsia="Malgun Gothic"/>
        </w:rPr>
        <w:footnoteReference w:id="22"/>
      </w:r>
      <w:r w:rsidRPr="00034F1E">
        <w:rPr>
          <w:rFonts w:eastAsia="Malgun Gothic"/>
        </w:rPr>
        <w:t xml:space="preserve">. Sírvanse </w:t>
      </w:r>
      <w:r>
        <w:rPr>
          <w:rFonts w:eastAsia="Malgun Gothic"/>
        </w:rPr>
        <w:t xml:space="preserve">mencionar </w:t>
      </w:r>
      <w:r w:rsidRPr="00034F1E">
        <w:rPr>
          <w:rFonts w:eastAsia="Malgun Gothic"/>
        </w:rPr>
        <w:t xml:space="preserve">el número de solicitudes presentadas, el número </w:t>
      </w:r>
      <w:r>
        <w:rPr>
          <w:rFonts w:eastAsia="Malgun Gothic"/>
        </w:rPr>
        <w:t>de las estimadas</w:t>
      </w:r>
      <w:r w:rsidRPr="00034F1E">
        <w:rPr>
          <w:rFonts w:eastAsia="Malgun Gothic"/>
        </w:rPr>
        <w:t>, l</w:t>
      </w:r>
      <w:r>
        <w:rPr>
          <w:rFonts w:eastAsia="Malgun Gothic"/>
        </w:rPr>
        <w:t>os</w:t>
      </w:r>
      <w:r w:rsidRPr="00034F1E">
        <w:rPr>
          <w:rFonts w:eastAsia="Malgun Gothic"/>
        </w:rPr>
        <w:t xml:space="preserve"> importe</w:t>
      </w:r>
      <w:r>
        <w:rPr>
          <w:rFonts w:eastAsia="Malgun Gothic"/>
        </w:rPr>
        <w:t>s</w:t>
      </w:r>
      <w:r w:rsidRPr="00034F1E">
        <w:rPr>
          <w:rFonts w:eastAsia="Malgun Gothic"/>
        </w:rPr>
        <w:t xml:space="preserve"> </w:t>
      </w:r>
      <w:r>
        <w:rPr>
          <w:rFonts w:eastAsia="Malgun Gothic"/>
        </w:rPr>
        <w:t>concedidos</w:t>
      </w:r>
      <w:r w:rsidRPr="00034F1E">
        <w:rPr>
          <w:rFonts w:eastAsia="Malgun Gothic"/>
        </w:rPr>
        <w:t xml:space="preserve"> y la</w:t>
      </w:r>
      <w:r>
        <w:rPr>
          <w:rFonts w:eastAsia="Malgun Gothic"/>
        </w:rPr>
        <w:t>s</w:t>
      </w:r>
      <w:r w:rsidRPr="00034F1E">
        <w:rPr>
          <w:rFonts w:eastAsia="Malgun Gothic"/>
        </w:rPr>
        <w:t xml:space="preserve"> suma</w:t>
      </w:r>
      <w:r>
        <w:rPr>
          <w:rFonts w:eastAsia="Malgun Gothic"/>
        </w:rPr>
        <w:t>s</w:t>
      </w:r>
      <w:r w:rsidRPr="00034F1E">
        <w:rPr>
          <w:rFonts w:eastAsia="Malgun Gothic"/>
        </w:rPr>
        <w:t xml:space="preserve"> efectivamente pagada</w:t>
      </w:r>
      <w:r>
        <w:rPr>
          <w:rFonts w:eastAsia="Malgun Gothic"/>
        </w:rPr>
        <w:t>s</w:t>
      </w:r>
      <w:r w:rsidRPr="00034F1E">
        <w:rPr>
          <w:rFonts w:eastAsia="Malgun Gothic"/>
        </w:rPr>
        <w:t xml:space="preserve"> en cada caso.</w:t>
      </w:r>
    </w:p>
    <w:p w:rsidR="00464409" w:rsidRDefault="00464409" w:rsidP="00464409">
      <w:pPr>
        <w:pStyle w:val="H1G"/>
        <w:rPr>
          <w:rFonts w:eastAsia="Malgun Gothic"/>
        </w:rPr>
      </w:pPr>
      <w:r>
        <w:rPr>
          <w:rFonts w:eastAsia="Malgun Gothic"/>
        </w:rPr>
        <w:tab/>
      </w:r>
      <w:r>
        <w:rPr>
          <w:rFonts w:eastAsia="Malgun Gothic"/>
        </w:rPr>
        <w:tab/>
      </w:r>
      <w:r w:rsidRPr="00034F1E">
        <w:rPr>
          <w:rFonts w:eastAsia="Malgun Gothic"/>
        </w:rPr>
        <w:t>Artículo 1</w:t>
      </w:r>
      <w:r>
        <w:rPr>
          <w:rFonts w:eastAsia="Malgun Gothic"/>
        </w:rPr>
        <w:t>6</w:t>
      </w:r>
    </w:p>
    <w:p w:rsidR="00464409" w:rsidRPr="00034F1E" w:rsidRDefault="00464409" w:rsidP="00464409">
      <w:pPr>
        <w:pStyle w:val="SingleTxtG"/>
        <w:rPr>
          <w:rFonts w:eastAsia="Malgun Gothic"/>
        </w:rPr>
      </w:pPr>
      <w:r w:rsidRPr="00034F1E">
        <w:rPr>
          <w:rFonts w:eastAsia="Malgun Gothic"/>
        </w:rPr>
        <w:t>2</w:t>
      </w:r>
      <w:r>
        <w:rPr>
          <w:rFonts w:eastAsia="Malgun Gothic"/>
        </w:rPr>
        <w:t>8</w:t>
      </w:r>
      <w:r w:rsidRPr="00034F1E">
        <w:rPr>
          <w:rFonts w:eastAsia="Malgun Gothic"/>
        </w:rPr>
        <w:t>.</w:t>
      </w:r>
      <w:r w:rsidRPr="00034F1E">
        <w:rPr>
          <w:rFonts w:eastAsia="Malgun Gothic"/>
        </w:rPr>
        <w:tab/>
        <w:t xml:space="preserve">Sírvanse proporcionar información acerca de las medidas que se hayan tomado para promulgar leyes que eliminen la autorización vigente para emplear </w:t>
      </w:r>
      <w:r>
        <w:rPr>
          <w:rFonts w:eastAsia="Malgun Gothic"/>
        </w:rPr>
        <w:t>"</w:t>
      </w:r>
      <w:r w:rsidRPr="00034F1E">
        <w:rPr>
          <w:rFonts w:eastAsia="Malgun Gothic"/>
        </w:rPr>
        <w:t>fuerza razonable</w:t>
      </w:r>
      <w:r>
        <w:rPr>
          <w:rFonts w:eastAsia="Malgun Gothic"/>
        </w:rPr>
        <w:t>"</w:t>
      </w:r>
      <w:r w:rsidRPr="00034F1E">
        <w:rPr>
          <w:rFonts w:eastAsia="Malgun Gothic"/>
        </w:rPr>
        <w:t xml:space="preserve"> </w:t>
      </w:r>
      <w:r>
        <w:rPr>
          <w:rFonts w:eastAsia="Malgun Gothic"/>
        </w:rPr>
        <w:t>para castigar a los</w:t>
      </w:r>
      <w:r w:rsidRPr="00034F1E">
        <w:rPr>
          <w:rFonts w:eastAsia="Malgun Gothic"/>
        </w:rPr>
        <w:t xml:space="preserve"> niños y prohibir expresamente cualquier forma de violencia contra l</w:t>
      </w:r>
      <w:r>
        <w:rPr>
          <w:rFonts w:eastAsia="Malgun Gothic"/>
        </w:rPr>
        <w:t>os</w:t>
      </w:r>
      <w:r w:rsidRPr="00034F1E">
        <w:rPr>
          <w:rFonts w:eastAsia="Malgun Gothic"/>
        </w:rPr>
        <w:t xml:space="preserve"> niño</w:t>
      </w:r>
      <w:r>
        <w:rPr>
          <w:rFonts w:eastAsia="Malgun Gothic"/>
        </w:rPr>
        <w:t>s</w:t>
      </w:r>
      <w:r w:rsidRPr="00034F1E">
        <w:rPr>
          <w:rFonts w:eastAsia="Malgun Gothic"/>
        </w:rPr>
        <w:t xml:space="preserve"> en el seno de la familia, en las escuelas y en otras instituciones en que puedan encontrarse</w:t>
      </w:r>
      <w:r w:rsidRPr="00034F1E">
        <w:rPr>
          <w:rFonts w:eastAsia="Malgun Gothic"/>
          <w:sz w:val="18"/>
          <w:vertAlign w:val="superscript"/>
        </w:rPr>
        <w:footnoteReference w:id="23"/>
      </w:r>
      <w:r w:rsidRPr="00034F1E">
        <w:rPr>
          <w:rFonts w:eastAsia="Malgun Gothic"/>
        </w:rPr>
        <w:t>. C</w:t>
      </w:r>
      <w:r>
        <w:rPr>
          <w:rFonts w:eastAsia="Malgun Gothic"/>
        </w:rPr>
        <w:t>o</w:t>
      </w:r>
      <w:r w:rsidRPr="00034F1E">
        <w:rPr>
          <w:rFonts w:eastAsia="Malgun Gothic"/>
        </w:rPr>
        <w:t>mo resultado de ello, ¿ha derogado el Canadá el artículo 43 del Código Penal, como ha recomendado reiteradamente el Comité de Derechos del Niño (CRC/C/15/Add.215, párr. 32)</w:t>
      </w:r>
      <w:r w:rsidRPr="00034F1E">
        <w:rPr>
          <w:rFonts w:eastAsia="Malgun Gothic"/>
          <w:sz w:val="18"/>
          <w:vertAlign w:val="superscript"/>
        </w:rPr>
        <w:footnoteReference w:id="24"/>
      </w:r>
      <w:r w:rsidRPr="00034F1E">
        <w:rPr>
          <w:rFonts w:eastAsia="Malgun Gothic"/>
        </w:rPr>
        <w:t xml:space="preserve">? ¿Qué procesos se han incoado, qué condenas se han dictado y qué medidas correctivas se han adoptado </w:t>
      </w:r>
      <w:r>
        <w:rPr>
          <w:rFonts w:eastAsia="Malgun Gothic"/>
        </w:rPr>
        <w:t xml:space="preserve">en relación </w:t>
      </w:r>
      <w:r w:rsidRPr="00034F1E">
        <w:rPr>
          <w:rFonts w:eastAsia="Malgun Gothic"/>
        </w:rPr>
        <w:t xml:space="preserve">con los responsables de esos actos y en qué forma se ha cerciorado el Estado parte de que los responsables </w:t>
      </w:r>
      <w:r>
        <w:rPr>
          <w:rFonts w:eastAsia="Malgun Gothic"/>
        </w:rPr>
        <w:t xml:space="preserve">salgan </w:t>
      </w:r>
      <w:r w:rsidRPr="00034F1E">
        <w:rPr>
          <w:rFonts w:eastAsia="Malgun Gothic"/>
        </w:rPr>
        <w:t>de las escuelas e instituciones de manera que los actos denunciados no puedan repetirse?</w:t>
      </w:r>
    </w:p>
    <w:p w:rsidR="00464409" w:rsidRPr="00034F1E" w:rsidRDefault="00464409" w:rsidP="00464409">
      <w:pPr>
        <w:pStyle w:val="SingleTxtG"/>
        <w:rPr>
          <w:rFonts w:eastAsia="Malgun Gothic"/>
        </w:rPr>
      </w:pPr>
      <w:r w:rsidRPr="00034F1E">
        <w:rPr>
          <w:rFonts w:eastAsia="Malgun Gothic"/>
        </w:rPr>
        <w:t>2</w:t>
      </w:r>
      <w:r>
        <w:rPr>
          <w:rFonts w:eastAsia="Malgun Gothic"/>
        </w:rPr>
        <w:t>9</w:t>
      </w:r>
      <w:r w:rsidRPr="00034F1E">
        <w:rPr>
          <w:rFonts w:eastAsia="Malgun Gothic"/>
        </w:rPr>
        <w:t>.</w:t>
      </w:r>
      <w:r w:rsidRPr="00034F1E">
        <w:rPr>
          <w:rFonts w:eastAsia="Malgun Gothic"/>
        </w:rPr>
        <w:tab/>
        <w:t xml:space="preserve">Habida cuenta de las anteriores observaciones finales del Comité (párr. 5 h)) y de la aceptación por el Estado parte de la recomendación formulada con ocasión del </w:t>
      </w:r>
      <w:r>
        <w:rPr>
          <w:rFonts w:eastAsia="Malgun Gothic"/>
        </w:rPr>
        <w:t>examen periódico universal</w:t>
      </w:r>
      <w:r w:rsidRPr="00034F1E">
        <w:rPr>
          <w:rFonts w:eastAsia="Malgun Gothic"/>
        </w:rPr>
        <w:t xml:space="preserve"> (A/HRC/11/17/Add.1, párr. 55), sírvanse proporcionar información detallada acerca de si el Estado parte ha efectuado un estudio público e independiente y un examen de política respecto </w:t>
      </w:r>
      <w:r>
        <w:rPr>
          <w:rFonts w:eastAsia="Malgun Gothic"/>
        </w:rPr>
        <w:t>de</w:t>
      </w:r>
      <w:r w:rsidRPr="00034F1E">
        <w:rPr>
          <w:rFonts w:eastAsia="Malgun Gothic"/>
        </w:rPr>
        <w:t xml:space="preserve"> las continuas </w:t>
      </w:r>
      <w:r>
        <w:rPr>
          <w:rFonts w:eastAsia="Malgun Gothic"/>
        </w:rPr>
        <w:t>acusaciones</w:t>
      </w:r>
      <w:r w:rsidRPr="00034F1E">
        <w:rPr>
          <w:rFonts w:eastAsia="Malgun Gothic"/>
        </w:rPr>
        <w:t xml:space="preserve"> de que la policía</w:t>
      </w:r>
      <w:r>
        <w:rPr>
          <w:rFonts w:eastAsia="Malgun Gothic"/>
        </w:rPr>
        <w:t xml:space="preserve">, tanto a nivel federal como provincial, </w:t>
      </w:r>
      <w:r w:rsidRPr="00034F1E">
        <w:rPr>
          <w:rFonts w:eastAsia="Malgun Gothic"/>
        </w:rPr>
        <w:t>hace uso excesivo de la fuerza y uso indebido de armas químicas, irritantes, incapacitantes o mecánicas</w:t>
      </w:r>
      <w:r>
        <w:rPr>
          <w:rFonts w:eastAsia="Malgun Gothic"/>
        </w:rPr>
        <w:t>,</w:t>
      </w:r>
      <w:r w:rsidRPr="00034F1E">
        <w:rPr>
          <w:rFonts w:eastAsia="Malgun Gothic"/>
        </w:rPr>
        <w:t xml:space="preserve"> muchas veces como medidas antidisturbios</w:t>
      </w:r>
      <w:r w:rsidRPr="00034F1E">
        <w:rPr>
          <w:rFonts w:eastAsia="Malgun Gothic"/>
          <w:sz w:val="18"/>
          <w:vertAlign w:val="superscript"/>
        </w:rPr>
        <w:footnoteReference w:id="25"/>
      </w:r>
      <w:r w:rsidRPr="00034F1E">
        <w:rPr>
          <w:rFonts w:eastAsia="Malgun Gothic"/>
        </w:rPr>
        <w:t>. Sírvase además proporcionar información sobre:</w:t>
      </w:r>
    </w:p>
    <w:p w:rsidR="00464409" w:rsidRPr="00034F1E" w:rsidRDefault="00464409" w:rsidP="00464409">
      <w:pPr>
        <w:pStyle w:val="SingleTxtG"/>
        <w:rPr>
          <w:rFonts w:eastAsia="Malgun Gothic"/>
        </w:rPr>
      </w:pPr>
      <w:r w:rsidRPr="00034F1E">
        <w:rPr>
          <w:rFonts w:eastAsia="Malgun Gothic"/>
        </w:rPr>
        <w:tab/>
        <w:t>a)</w:t>
      </w:r>
      <w:r w:rsidRPr="00034F1E">
        <w:rPr>
          <w:rFonts w:eastAsia="Malgun Gothic"/>
        </w:rPr>
        <w:tab/>
        <w:t>L</w:t>
      </w:r>
      <w:r>
        <w:rPr>
          <w:rFonts w:eastAsia="Malgun Gothic"/>
        </w:rPr>
        <w:t>a</w:t>
      </w:r>
      <w:r w:rsidRPr="00034F1E">
        <w:rPr>
          <w:rFonts w:eastAsia="Malgun Gothic"/>
        </w:rPr>
        <w:t xml:space="preserve">s </w:t>
      </w:r>
      <w:r>
        <w:rPr>
          <w:rFonts w:eastAsia="Malgun Gothic"/>
        </w:rPr>
        <w:t>conclusiones</w:t>
      </w:r>
      <w:r w:rsidRPr="00034F1E">
        <w:rPr>
          <w:rFonts w:eastAsia="Malgun Gothic"/>
        </w:rPr>
        <w:t xml:space="preserve"> de la investigación de las denuncias de faltas de conducta de la policía y malos tratos infligidos por ella durante protestas relacionadas con la tenencia de la tierra en Tyendinaga (Ontario). Sírvanse también indicar las medidas adoptadas para aplicar las recomendaciones de la investigación de Ipperwash </w:t>
      </w:r>
      <w:r>
        <w:rPr>
          <w:rFonts w:eastAsia="Malgun Gothic"/>
        </w:rPr>
        <w:t>en relación con la muerte de un hombre</w:t>
      </w:r>
      <w:r w:rsidRPr="00034F1E">
        <w:rPr>
          <w:rFonts w:eastAsia="Malgun Gothic"/>
        </w:rPr>
        <w:t xml:space="preserve"> indígena no armado que participaba en una protesta </w:t>
      </w:r>
      <w:r>
        <w:rPr>
          <w:rFonts w:eastAsia="Malgun Gothic"/>
        </w:rPr>
        <w:t>sobre la tenencia</w:t>
      </w:r>
      <w:r w:rsidRPr="00034F1E">
        <w:rPr>
          <w:rFonts w:eastAsia="Malgun Gothic"/>
        </w:rPr>
        <w:t xml:space="preserve"> de tierra</w:t>
      </w:r>
      <w:r>
        <w:rPr>
          <w:rFonts w:eastAsia="Malgun Gothic"/>
        </w:rPr>
        <w:t>s</w:t>
      </w:r>
      <w:r w:rsidRPr="00034F1E">
        <w:rPr>
          <w:rFonts w:eastAsia="Malgun Gothic"/>
        </w:rPr>
        <w:t xml:space="preserve"> </w:t>
      </w:r>
      <w:r>
        <w:rPr>
          <w:rFonts w:eastAsia="Malgun Gothic"/>
        </w:rPr>
        <w:t xml:space="preserve">como consecuencia de los disparos </w:t>
      </w:r>
      <w:r w:rsidRPr="00034F1E">
        <w:rPr>
          <w:rFonts w:eastAsia="Malgun Gothic"/>
        </w:rPr>
        <w:t>de un francotirador de la Policía Provincial de Ontario</w:t>
      </w:r>
      <w:r>
        <w:rPr>
          <w:rFonts w:eastAsia="Malgun Gothic"/>
        </w:rPr>
        <w:t>.</w:t>
      </w:r>
    </w:p>
    <w:p w:rsidR="00464409" w:rsidRPr="00034F1E" w:rsidRDefault="00464409" w:rsidP="00464409">
      <w:pPr>
        <w:pStyle w:val="SingleTxtG"/>
        <w:rPr>
          <w:rFonts w:eastAsia="Malgun Gothic"/>
        </w:rPr>
      </w:pPr>
      <w:r w:rsidRPr="00034F1E">
        <w:rPr>
          <w:rFonts w:eastAsia="Malgun Gothic"/>
        </w:rPr>
        <w:tab/>
        <w:t>b)</w:t>
      </w:r>
      <w:r w:rsidRPr="00034F1E">
        <w:rPr>
          <w:rFonts w:eastAsia="Malgun Gothic"/>
        </w:rPr>
        <w:tab/>
        <w:t xml:space="preserve">La respuesta de la policía a las protestas públicas </w:t>
      </w:r>
      <w:r>
        <w:rPr>
          <w:rFonts w:eastAsia="Malgun Gothic"/>
        </w:rPr>
        <w:t>d</w:t>
      </w:r>
      <w:r w:rsidRPr="00034F1E">
        <w:rPr>
          <w:rFonts w:eastAsia="Malgun Gothic"/>
        </w:rPr>
        <w:t xml:space="preserve">e gran </w:t>
      </w:r>
      <w:r>
        <w:rPr>
          <w:rFonts w:eastAsia="Malgun Gothic"/>
        </w:rPr>
        <w:t xml:space="preserve">magnitud </w:t>
      </w:r>
      <w:r w:rsidRPr="00034F1E">
        <w:rPr>
          <w:rFonts w:eastAsia="Malgun Gothic"/>
        </w:rPr>
        <w:t xml:space="preserve">que tuvieron lugar en Toronto cuando </w:t>
      </w:r>
      <w:r>
        <w:rPr>
          <w:rFonts w:eastAsia="Malgun Gothic"/>
        </w:rPr>
        <w:t xml:space="preserve">el </w:t>
      </w:r>
      <w:r w:rsidRPr="00034F1E">
        <w:rPr>
          <w:rFonts w:eastAsia="Malgun Gothic"/>
        </w:rPr>
        <w:t xml:space="preserve">Canadá fue sede en junio de 2010 de las cumbres del </w:t>
      </w:r>
      <w:r>
        <w:rPr>
          <w:rFonts w:eastAsia="Malgun Gothic"/>
        </w:rPr>
        <w:t>G-8</w:t>
      </w:r>
      <w:r w:rsidRPr="00034F1E">
        <w:rPr>
          <w:rFonts w:eastAsia="Malgun Gothic"/>
        </w:rPr>
        <w:t xml:space="preserve"> y el G</w:t>
      </w:r>
      <w:r>
        <w:rPr>
          <w:rFonts w:eastAsia="Malgun Gothic"/>
        </w:rPr>
        <w:t>-20</w:t>
      </w:r>
      <w:r w:rsidRPr="00034F1E">
        <w:rPr>
          <w:rFonts w:eastAsia="Malgun Gothic"/>
        </w:rPr>
        <w:t>. Sírvanse indicar la medida en que el Estado parte haya procedido a una investigación pública de todos los aspectos de la operación de seguridad</w:t>
      </w:r>
      <w:r>
        <w:rPr>
          <w:rFonts w:eastAsia="Malgun Gothic"/>
        </w:rPr>
        <w:t>.</w:t>
      </w:r>
    </w:p>
    <w:p w:rsidR="00464409" w:rsidRPr="00034F1E" w:rsidRDefault="00464409" w:rsidP="00464409">
      <w:pPr>
        <w:pStyle w:val="SingleTxtG"/>
        <w:rPr>
          <w:rFonts w:eastAsia="Malgun Gothic"/>
        </w:rPr>
      </w:pPr>
      <w:r w:rsidRPr="00034F1E">
        <w:rPr>
          <w:rFonts w:eastAsia="Malgun Gothic"/>
        </w:rPr>
        <w:tab/>
        <w:t>c)</w:t>
      </w:r>
      <w:r w:rsidRPr="00034F1E">
        <w:rPr>
          <w:rFonts w:eastAsia="Malgun Gothic"/>
        </w:rPr>
        <w:tab/>
        <w:t>L</w:t>
      </w:r>
      <w:r>
        <w:rPr>
          <w:rFonts w:eastAsia="Malgun Gothic"/>
        </w:rPr>
        <w:t>a</w:t>
      </w:r>
      <w:r w:rsidRPr="00034F1E">
        <w:rPr>
          <w:rFonts w:eastAsia="Malgun Gothic"/>
        </w:rPr>
        <w:t xml:space="preserve">s </w:t>
      </w:r>
      <w:r>
        <w:rPr>
          <w:rFonts w:eastAsia="Malgun Gothic"/>
        </w:rPr>
        <w:t>conclusiones</w:t>
      </w:r>
      <w:r w:rsidRPr="00034F1E">
        <w:rPr>
          <w:rFonts w:eastAsia="Malgun Gothic"/>
        </w:rPr>
        <w:t xml:space="preserve"> de la investigación de la muerte de </w:t>
      </w:r>
      <w:r>
        <w:rPr>
          <w:rFonts w:eastAsia="Malgun Gothic"/>
        </w:rPr>
        <w:t xml:space="preserve">varias </w:t>
      </w:r>
      <w:r w:rsidRPr="00034F1E">
        <w:rPr>
          <w:rFonts w:eastAsia="Malgun Gothic"/>
        </w:rPr>
        <w:t>personas despué</w:t>
      </w:r>
      <w:r>
        <w:rPr>
          <w:rFonts w:eastAsia="Malgun Gothic"/>
        </w:rPr>
        <w:t xml:space="preserve">s de recibir disparos de armas </w:t>
      </w:r>
      <w:r w:rsidRPr="00034F1E">
        <w:rPr>
          <w:rFonts w:eastAsia="Malgun Gothic"/>
        </w:rPr>
        <w:t xml:space="preserve">Taser, incluido el caso de Robert Dziekanski, que </w:t>
      </w:r>
      <w:r>
        <w:rPr>
          <w:rFonts w:eastAsia="Malgun Gothic"/>
        </w:rPr>
        <w:t>murió</w:t>
      </w:r>
      <w:r w:rsidRPr="00034F1E">
        <w:rPr>
          <w:rFonts w:eastAsia="Malgun Gothic"/>
        </w:rPr>
        <w:t xml:space="preserve"> tras recibir un disparo de un </w:t>
      </w:r>
      <w:r>
        <w:rPr>
          <w:rFonts w:eastAsia="Malgun Gothic"/>
        </w:rPr>
        <w:t>arma</w:t>
      </w:r>
      <w:r w:rsidRPr="00034F1E">
        <w:rPr>
          <w:rFonts w:eastAsia="Malgun Gothic"/>
        </w:rPr>
        <w:t xml:space="preserve"> Taser de la Rea</w:t>
      </w:r>
      <w:r>
        <w:rPr>
          <w:rFonts w:eastAsia="Malgun Gothic"/>
        </w:rPr>
        <w:t>l Policía Montada del Canadá el </w:t>
      </w:r>
      <w:r w:rsidRPr="00034F1E">
        <w:rPr>
          <w:rFonts w:eastAsia="Malgun Gothic"/>
        </w:rPr>
        <w:t>14 de octubre de 2007 en el Aeropuerto Internacional de Vancouver</w:t>
      </w:r>
      <w:r>
        <w:rPr>
          <w:rFonts w:eastAsia="Malgun Gothic"/>
        </w:rPr>
        <w:t>.</w:t>
      </w:r>
    </w:p>
    <w:p w:rsidR="00464409" w:rsidRPr="00034F1E" w:rsidRDefault="00464409" w:rsidP="00464409">
      <w:pPr>
        <w:pStyle w:val="SingleTxtG"/>
        <w:rPr>
          <w:rFonts w:eastAsia="Malgun Gothic"/>
        </w:rPr>
      </w:pPr>
      <w:r w:rsidRPr="00034F1E">
        <w:rPr>
          <w:rFonts w:eastAsia="Malgun Gothic"/>
        </w:rPr>
        <w:tab/>
        <w:t>d)</w:t>
      </w:r>
      <w:r w:rsidRPr="00034F1E">
        <w:rPr>
          <w:rFonts w:eastAsia="Malgun Gothic"/>
        </w:rPr>
        <w:tab/>
        <w:t xml:space="preserve">Qué opinión tiene el Estado parte respecto de la información que obra en poder del Comité acerca de la falta de adiestramiento de las fuerzas del orden en el empleo de </w:t>
      </w:r>
      <w:r>
        <w:rPr>
          <w:rFonts w:eastAsia="Malgun Gothic"/>
        </w:rPr>
        <w:t>armas</w:t>
      </w:r>
      <w:r w:rsidRPr="00034F1E">
        <w:rPr>
          <w:rFonts w:eastAsia="Malgun Gothic"/>
        </w:rPr>
        <w:t xml:space="preserve"> Taser</w:t>
      </w:r>
      <w:r>
        <w:rPr>
          <w:rFonts w:eastAsia="Malgun Gothic"/>
        </w:rPr>
        <w:t>;</w:t>
      </w:r>
      <w:r w:rsidRPr="00034F1E">
        <w:rPr>
          <w:rFonts w:eastAsia="Malgun Gothic"/>
        </w:rPr>
        <w:t xml:space="preserve"> y</w:t>
      </w:r>
    </w:p>
    <w:p w:rsidR="00464409" w:rsidRPr="00034F1E" w:rsidRDefault="00464409" w:rsidP="00464409">
      <w:pPr>
        <w:pStyle w:val="SingleTxtG"/>
        <w:rPr>
          <w:rFonts w:eastAsia="Malgun Gothic"/>
        </w:rPr>
      </w:pPr>
      <w:r w:rsidRPr="00034F1E">
        <w:rPr>
          <w:rFonts w:eastAsia="Malgun Gothic"/>
        </w:rPr>
        <w:tab/>
        <w:t>e)</w:t>
      </w:r>
      <w:r w:rsidRPr="00034F1E">
        <w:rPr>
          <w:rFonts w:eastAsia="Malgun Gothic"/>
        </w:rPr>
        <w:tab/>
        <w:t>Datos estadísticos acerca de denuncias recibidas, investigaciones realizadas, procesos entablados, sentencias condenatorias dictadas y penas impuestas en casos de denuncia de empleo excesivo de la fuerza por agentes de las fuerzas del orden.</w:t>
      </w:r>
    </w:p>
    <w:p w:rsidR="00464409" w:rsidRPr="00034F1E" w:rsidRDefault="00464409" w:rsidP="00464409">
      <w:pPr>
        <w:pStyle w:val="H1G"/>
        <w:rPr>
          <w:rFonts w:eastAsia="Malgun Gothic"/>
        </w:rPr>
      </w:pPr>
      <w:r w:rsidRPr="00034F1E">
        <w:rPr>
          <w:rFonts w:eastAsia="Malgun Gothic"/>
        </w:rPr>
        <w:tab/>
      </w:r>
      <w:r w:rsidRPr="00034F1E">
        <w:rPr>
          <w:rFonts w:eastAsia="Malgun Gothic"/>
        </w:rPr>
        <w:tab/>
        <w:t>Otros asuntos</w:t>
      </w:r>
    </w:p>
    <w:p w:rsidR="00464409" w:rsidRPr="00034F1E" w:rsidRDefault="00464409" w:rsidP="00464409">
      <w:pPr>
        <w:pStyle w:val="SingleTxtG"/>
        <w:rPr>
          <w:rFonts w:eastAsia="Malgun Gothic"/>
        </w:rPr>
      </w:pPr>
      <w:r w:rsidRPr="00034F1E">
        <w:rPr>
          <w:rFonts w:eastAsia="Malgun Gothic"/>
        </w:rPr>
        <w:t>30.</w:t>
      </w:r>
      <w:r w:rsidRPr="00034F1E">
        <w:rPr>
          <w:rFonts w:eastAsia="Malgun Gothic"/>
        </w:rPr>
        <w:tab/>
        <w:t xml:space="preserve">Sírvanse proporcionar al Comité información acerca de si la Ley contra el terrorismo y otras medidas de lucha contra el terrorismo han </w:t>
      </w:r>
      <w:r>
        <w:rPr>
          <w:rFonts w:eastAsia="Malgun Gothic"/>
        </w:rPr>
        <w:t>repercutido</w:t>
      </w:r>
      <w:r w:rsidRPr="00034F1E">
        <w:rPr>
          <w:rFonts w:eastAsia="Malgun Gothic"/>
        </w:rPr>
        <w:t xml:space="preserve"> en l</w:t>
      </w:r>
      <w:r>
        <w:rPr>
          <w:rFonts w:eastAsia="Malgun Gothic"/>
        </w:rPr>
        <w:t>a</w:t>
      </w:r>
      <w:r w:rsidRPr="00034F1E">
        <w:rPr>
          <w:rFonts w:eastAsia="Malgun Gothic"/>
        </w:rPr>
        <w:t xml:space="preserve"> </w:t>
      </w:r>
      <w:r>
        <w:rPr>
          <w:rFonts w:eastAsia="Malgun Gothic"/>
        </w:rPr>
        <w:t xml:space="preserve">ley </w:t>
      </w:r>
      <w:r w:rsidRPr="00034F1E">
        <w:rPr>
          <w:rFonts w:eastAsia="Malgun Gothic"/>
        </w:rPr>
        <w:t xml:space="preserve">y en la práctica </w:t>
      </w:r>
      <w:r>
        <w:rPr>
          <w:rFonts w:eastAsia="Malgun Gothic"/>
        </w:rPr>
        <w:t xml:space="preserve">en </w:t>
      </w:r>
      <w:r w:rsidRPr="00034F1E">
        <w:rPr>
          <w:rFonts w:eastAsia="Malgun Gothic"/>
        </w:rPr>
        <w:t xml:space="preserve">las salvaguardias de </w:t>
      </w:r>
      <w:r>
        <w:rPr>
          <w:rFonts w:eastAsia="Malgun Gothic"/>
        </w:rPr>
        <w:t xml:space="preserve">los </w:t>
      </w:r>
      <w:r w:rsidRPr="00034F1E">
        <w:rPr>
          <w:rFonts w:eastAsia="Malgun Gothic"/>
        </w:rPr>
        <w:t>derechos humanos y en qué forma</w:t>
      </w:r>
      <w:r>
        <w:rPr>
          <w:rFonts w:eastAsia="Malgun Gothic"/>
        </w:rPr>
        <w:t>;</w:t>
      </w:r>
      <w:r w:rsidRPr="00034F1E">
        <w:rPr>
          <w:rFonts w:eastAsia="Malgun Gothic"/>
        </w:rPr>
        <w:t xml:space="preserve"> y de qué manera </w:t>
      </w:r>
      <w:r>
        <w:rPr>
          <w:rFonts w:eastAsia="Malgun Gothic"/>
        </w:rPr>
        <w:t>se ajustan</w:t>
      </w:r>
      <w:r w:rsidRPr="00034F1E">
        <w:rPr>
          <w:rFonts w:eastAsia="Malgun Gothic"/>
        </w:rPr>
        <w:t xml:space="preserve"> esas medidas </w:t>
      </w:r>
      <w:r>
        <w:rPr>
          <w:rFonts w:eastAsia="Malgun Gothic"/>
        </w:rPr>
        <w:t xml:space="preserve">a </w:t>
      </w:r>
      <w:r w:rsidRPr="00034F1E">
        <w:rPr>
          <w:rFonts w:eastAsia="Malgun Gothic"/>
        </w:rPr>
        <w:t xml:space="preserve">las obligaciones que impone al Estado parte el derecho internacional, especialmente la Convención, de conformidad con las resoluciones pertinentes del Consejo de Seguridad, en </w:t>
      </w:r>
      <w:r w:rsidRPr="00F04019">
        <w:rPr>
          <w:rFonts w:eastAsia="Malgun Gothic"/>
          <w:spacing w:val="-2"/>
        </w:rPr>
        <w:t>particular la resolución 1624 (2005). Describ</w:t>
      </w:r>
      <w:r>
        <w:rPr>
          <w:rFonts w:eastAsia="Malgun Gothic"/>
          <w:spacing w:val="-2"/>
        </w:rPr>
        <w:t>an</w:t>
      </w:r>
      <w:r w:rsidRPr="00F04019">
        <w:rPr>
          <w:rFonts w:eastAsia="Malgun Gothic"/>
          <w:spacing w:val="-2"/>
        </w:rPr>
        <w:t xml:space="preserve"> la capacitación </w:t>
      </w:r>
      <w:r>
        <w:rPr>
          <w:rFonts w:eastAsia="Malgun Gothic"/>
          <w:spacing w:val="-2"/>
        </w:rPr>
        <w:t>al respecto que reciben</w:t>
      </w:r>
      <w:r w:rsidRPr="00F04019">
        <w:rPr>
          <w:rFonts w:eastAsia="Malgun Gothic"/>
          <w:spacing w:val="-2"/>
        </w:rPr>
        <w:t xml:space="preserve"> los agentes del orden e indi</w:t>
      </w:r>
      <w:r>
        <w:rPr>
          <w:rFonts w:eastAsia="Malgun Gothic"/>
          <w:spacing w:val="-2"/>
        </w:rPr>
        <w:t>quen</w:t>
      </w:r>
      <w:r w:rsidRPr="00F04019">
        <w:rPr>
          <w:rFonts w:eastAsia="Malgun Gothic"/>
          <w:spacing w:val="-2"/>
        </w:rPr>
        <w:t xml:space="preserve"> el número y el tipo de personas condenadas con arreglo a esa legislación; las salvaguardias y los recursos </w:t>
      </w:r>
      <w:r>
        <w:rPr>
          <w:rFonts w:eastAsia="Malgun Gothic"/>
          <w:spacing w:val="-2"/>
        </w:rPr>
        <w:t xml:space="preserve">jurídicos </w:t>
      </w:r>
      <w:r w:rsidRPr="00F04019">
        <w:rPr>
          <w:rFonts w:eastAsia="Malgun Gothic"/>
          <w:spacing w:val="-2"/>
        </w:rPr>
        <w:t>de que disponen</w:t>
      </w:r>
      <w:r>
        <w:rPr>
          <w:rFonts w:eastAsia="Malgun Gothic"/>
          <w:spacing w:val="-2"/>
        </w:rPr>
        <w:t>,</w:t>
      </w:r>
      <w:r w:rsidRPr="00F04019">
        <w:rPr>
          <w:rFonts w:eastAsia="Malgun Gothic"/>
          <w:spacing w:val="-2"/>
        </w:rPr>
        <w:t xml:space="preserve"> en la ley y en la práctica</w:t>
      </w:r>
      <w:r>
        <w:rPr>
          <w:rFonts w:eastAsia="Malgun Gothic"/>
          <w:spacing w:val="-2"/>
        </w:rPr>
        <w:t>,</w:t>
      </w:r>
      <w:r w:rsidRPr="00F04019">
        <w:rPr>
          <w:rFonts w:eastAsia="Malgun Gothic"/>
          <w:spacing w:val="-2"/>
        </w:rPr>
        <w:t xml:space="preserve"> quienes son objeto de medidas antiterroristas; si ha habido denuncias de incumplimiento de las normas internacionales y el curso dado a esas denuncias.</w:t>
      </w:r>
    </w:p>
    <w:p w:rsidR="00464409" w:rsidRPr="00034F1E" w:rsidRDefault="00464409" w:rsidP="00464409">
      <w:pPr>
        <w:pStyle w:val="SingleTxtG"/>
        <w:rPr>
          <w:rFonts w:eastAsia="Malgun Gothic"/>
        </w:rPr>
      </w:pPr>
      <w:r w:rsidRPr="00034F1E">
        <w:rPr>
          <w:rFonts w:eastAsia="Malgun Gothic"/>
        </w:rPr>
        <w:t>31.</w:t>
      </w:r>
      <w:r w:rsidRPr="00034F1E">
        <w:rPr>
          <w:rFonts w:eastAsia="Malgun Gothic"/>
        </w:rPr>
        <w:tab/>
        <w:t xml:space="preserve">Con referencia a los párrafos 13 y 14 del informe del Estado parte, sírvanse indicar si el texto </w:t>
      </w:r>
      <w:r>
        <w:rPr>
          <w:rFonts w:eastAsia="Malgun Gothic"/>
        </w:rPr>
        <w:t>modificado</w:t>
      </w:r>
      <w:r w:rsidRPr="00034F1E">
        <w:rPr>
          <w:rFonts w:eastAsia="Malgun Gothic"/>
        </w:rPr>
        <w:t xml:space="preserve"> de la Ley contra el terrorismo incluye una cláusula expresa contraria a la discriminación y una definición más precisa de terrorismo, como recomendaron el Comité para la Eliminación de la Discriminación Racial (CERD/C/CAN/CO/18, párr.14) y el Comité de Derechos Humanos (CCPR/C/CAN/CO/5, párr. 12</w:t>
      </w:r>
      <w:r w:rsidRPr="00034F1E">
        <w:rPr>
          <w:rFonts w:eastAsia="Malgun Gothic"/>
          <w:sz w:val="18"/>
        </w:rPr>
        <w:t>)</w:t>
      </w:r>
      <w:r w:rsidRPr="00034F1E">
        <w:rPr>
          <w:rFonts w:eastAsia="Malgun Gothic"/>
          <w:sz w:val="18"/>
          <w:vertAlign w:val="superscript"/>
        </w:rPr>
        <w:footnoteReference w:id="26"/>
      </w:r>
      <w:r w:rsidRPr="00034F1E">
        <w:rPr>
          <w:rFonts w:eastAsia="Malgun Gothic"/>
        </w:rPr>
        <w:t>.</w:t>
      </w:r>
    </w:p>
    <w:p w:rsidR="00464409" w:rsidRPr="00034F1E" w:rsidRDefault="00464409" w:rsidP="00464409">
      <w:pPr>
        <w:pStyle w:val="SingleTxtG"/>
        <w:rPr>
          <w:rFonts w:eastAsia="Malgun Gothic"/>
        </w:rPr>
      </w:pPr>
      <w:r w:rsidRPr="00034F1E">
        <w:rPr>
          <w:rFonts w:eastAsia="Malgun Gothic"/>
        </w:rPr>
        <w:t>32.</w:t>
      </w:r>
      <w:r w:rsidRPr="00034F1E">
        <w:rPr>
          <w:rFonts w:eastAsia="Malgun Gothic"/>
        </w:rPr>
        <w:tab/>
        <w:t xml:space="preserve">¿Qué medidas se han tomado para </w:t>
      </w:r>
      <w:r>
        <w:rPr>
          <w:rFonts w:eastAsia="Malgun Gothic"/>
        </w:rPr>
        <w:t>cerciorarse</w:t>
      </w:r>
      <w:r w:rsidRPr="00034F1E">
        <w:rPr>
          <w:rFonts w:eastAsia="Malgun Gothic"/>
        </w:rPr>
        <w:t xml:space="preserve"> de que haya un examen independiente de todos los casos de ciudadanos canadienses sospechosos de terrorismo o de poseer información </w:t>
      </w:r>
      <w:r>
        <w:rPr>
          <w:rFonts w:eastAsia="Malgun Gothic"/>
        </w:rPr>
        <w:t>relacionada con el</w:t>
      </w:r>
      <w:r w:rsidRPr="00034F1E">
        <w:rPr>
          <w:rFonts w:eastAsia="Malgun Gothic"/>
        </w:rPr>
        <w:t xml:space="preserve"> terrorismo y que hayan sido detenidos en países en que se tem</w:t>
      </w:r>
      <w:r>
        <w:rPr>
          <w:rFonts w:eastAsia="Malgun Gothic"/>
        </w:rPr>
        <w:t>a</w:t>
      </w:r>
      <w:r w:rsidRPr="00034F1E">
        <w:rPr>
          <w:rFonts w:eastAsia="Malgun Gothic"/>
        </w:rPr>
        <w:t xml:space="preserve"> que ha</w:t>
      </w:r>
      <w:r>
        <w:rPr>
          <w:rFonts w:eastAsia="Malgun Gothic"/>
        </w:rPr>
        <w:t>ya</w:t>
      </w:r>
      <w:r w:rsidRPr="00034F1E">
        <w:rPr>
          <w:rFonts w:eastAsia="Malgun Gothic"/>
        </w:rPr>
        <w:t>n sido o pueden ser objeto de tortura</w:t>
      </w:r>
      <w:r>
        <w:rPr>
          <w:rFonts w:eastAsia="Malgun Gothic"/>
        </w:rPr>
        <w:t>s</w:t>
      </w:r>
      <w:r w:rsidRPr="00034F1E">
        <w:rPr>
          <w:rFonts w:eastAsia="Malgun Gothic"/>
        </w:rPr>
        <w:t xml:space="preserve"> o malos tratos</w:t>
      </w:r>
      <w:r w:rsidRPr="00034F1E">
        <w:rPr>
          <w:rFonts w:eastAsia="Malgun Gothic"/>
          <w:sz w:val="18"/>
          <w:vertAlign w:val="superscript"/>
        </w:rPr>
        <w:footnoteReference w:id="27"/>
      </w:r>
      <w:r>
        <w:rPr>
          <w:rFonts w:eastAsia="Malgun Gothic"/>
        </w:rPr>
        <w:t>?</w:t>
      </w:r>
    </w:p>
    <w:p w:rsidR="00464409" w:rsidRPr="00034F1E" w:rsidRDefault="00464409" w:rsidP="00464409">
      <w:pPr>
        <w:pStyle w:val="SingleTxtG"/>
        <w:rPr>
          <w:rFonts w:eastAsia="Malgun Gothic"/>
        </w:rPr>
      </w:pPr>
      <w:r w:rsidRPr="00034F1E">
        <w:rPr>
          <w:rFonts w:eastAsia="Malgun Gothic"/>
        </w:rPr>
        <w:t>33.</w:t>
      </w:r>
      <w:r w:rsidRPr="00034F1E">
        <w:rPr>
          <w:rFonts w:eastAsia="Malgun Gothic"/>
        </w:rPr>
        <w:tab/>
        <w:t xml:space="preserve">Habida cuenta de las recomendaciones formuladas por el Comité (párr. 5 j)) y por el Grupo de Trabajo del Examen Periódico Universal (A/HRC/11/17, párr. 86 2)), así como de las promesas hechas por el Estado parte al Consejo de Derechos Humanos en 2006, sírvanse presentar al Comité información actualizada </w:t>
      </w:r>
      <w:r>
        <w:rPr>
          <w:rFonts w:eastAsia="Malgun Gothic"/>
        </w:rPr>
        <w:t>sobre las conclusiones</w:t>
      </w:r>
      <w:r w:rsidRPr="00034F1E">
        <w:rPr>
          <w:rFonts w:eastAsia="Malgun Gothic"/>
        </w:rPr>
        <w:t xml:space="preserve"> del </w:t>
      </w:r>
      <w:r>
        <w:rPr>
          <w:rFonts w:eastAsia="Malgun Gothic"/>
        </w:rPr>
        <w:t xml:space="preserve">prolongado </w:t>
      </w:r>
      <w:r w:rsidRPr="00034F1E">
        <w:rPr>
          <w:rFonts w:eastAsia="Malgun Gothic"/>
        </w:rPr>
        <w:t xml:space="preserve">debate, </w:t>
      </w:r>
      <w:r>
        <w:rPr>
          <w:rFonts w:eastAsia="Malgun Gothic"/>
        </w:rPr>
        <w:t>sobre</w:t>
      </w:r>
      <w:r w:rsidRPr="00034F1E">
        <w:rPr>
          <w:rFonts w:eastAsia="Malgun Gothic"/>
        </w:rPr>
        <w:t xml:space="preserve"> si se ha de ratificar el Protocolo Facultativo de la Convención. En caso de que el Estado parte no haya tomado aún una decisión, sírvase indicar</w:t>
      </w:r>
      <w:r>
        <w:rPr>
          <w:rFonts w:eastAsia="Malgun Gothic"/>
        </w:rPr>
        <w:t>:</w:t>
      </w:r>
      <w:r w:rsidRPr="00034F1E">
        <w:rPr>
          <w:rFonts w:eastAsia="Malgun Gothic"/>
        </w:rPr>
        <w:t xml:space="preserve"> a) l</w:t>
      </w:r>
      <w:r>
        <w:rPr>
          <w:rFonts w:eastAsia="Malgun Gothic"/>
        </w:rPr>
        <w:t>a</w:t>
      </w:r>
      <w:r w:rsidRPr="00034F1E">
        <w:rPr>
          <w:rFonts w:eastAsia="Malgun Gothic"/>
        </w:rPr>
        <w:t xml:space="preserve">s </w:t>
      </w:r>
      <w:r>
        <w:rPr>
          <w:rFonts w:eastAsia="Malgun Gothic"/>
        </w:rPr>
        <w:t>conclusiones</w:t>
      </w:r>
      <w:r w:rsidRPr="00034F1E">
        <w:rPr>
          <w:rFonts w:eastAsia="Malgun Gothic"/>
        </w:rPr>
        <w:t xml:space="preserve"> del análisis sobre las consecuencias de la ratificación del Protocolo Facultativo para </w:t>
      </w:r>
      <w:r>
        <w:rPr>
          <w:rFonts w:eastAsia="Malgun Gothic"/>
        </w:rPr>
        <w:t xml:space="preserve">el </w:t>
      </w:r>
      <w:r w:rsidRPr="00034F1E">
        <w:rPr>
          <w:rFonts w:eastAsia="Malgun Gothic"/>
        </w:rPr>
        <w:t>Canadá</w:t>
      </w:r>
      <w:r>
        <w:rPr>
          <w:rFonts w:eastAsia="Malgun Gothic"/>
        </w:rPr>
        <w:t>;</w:t>
      </w:r>
      <w:r w:rsidRPr="00034F1E">
        <w:rPr>
          <w:rFonts w:eastAsia="Malgun Gothic"/>
        </w:rPr>
        <w:t xml:space="preserve"> y b) las medidas adoptadas para establecer o designar un mecanismo nacional que realice visitas periódicas a centros de privación de la libertad a fin de prevenir torturas u otros tratos o </w:t>
      </w:r>
      <w:r>
        <w:rPr>
          <w:rFonts w:eastAsia="Malgun Gothic"/>
        </w:rPr>
        <w:t>penas</w:t>
      </w:r>
      <w:r w:rsidRPr="00034F1E">
        <w:rPr>
          <w:rFonts w:eastAsia="Malgun Gothic"/>
        </w:rPr>
        <w:t xml:space="preserve"> crueles, inhumanos o degradantes</w:t>
      </w:r>
      <w:r w:rsidRPr="00034F1E">
        <w:rPr>
          <w:rFonts w:eastAsia="Malgun Gothic"/>
          <w:sz w:val="18"/>
          <w:vertAlign w:val="superscript"/>
        </w:rPr>
        <w:footnoteReference w:id="28"/>
      </w:r>
      <w:r>
        <w:rPr>
          <w:rFonts w:eastAsia="Malgun Gothic"/>
        </w:rPr>
        <w:t>.</w:t>
      </w:r>
    </w:p>
    <w:p w:rsidR="00381C24" w:rsidRDefault="00464409" w:rsidP="00464409">
      <w:pPr>
        <w:pStyle w:val="SingleTxtG"/>
        <w:keepNext/>
        <w:keepLines/>
        <w:rPr>
          <w:rFonts w:eastAsia="Malgun Gothic"/>
        </w:rPr>
      </w:pPr>
      <w:r w:rsidRPr="00034F1E">
        <w:rPr>
          <w:rFonts w:eastAsia="Malgun Gothic"/>
        </w:rPr>
        <w:t>34.</w:t>
      </w:r>
      <w:r w:rsidRPr="00034F1E">
        <w:rPr>
          <w:rFonts w:eastAsia="Malgun Gothic"/>
        </w:rPr>
        <w:tab/>
        <w:t xml:space="preserve">Sírvanse indicar si </w:t>
      </w:r>
      <w:r>
        <w:rPr>
          <w:rFonts w:eastAsia="Malgun Gothic"/>
        </w:rPr>
        <w:t>existe</w:t>
      </w:r>
      <w:r w:rsidRPr="00034F1E">
        <w:rPr>
          <w:rFonts w:eastAsia="Malgun Gothic"/>
        </w:rPr>
        <w:t xml:space="preserve"> legislación vigente </w:t>
      </w:r>
      <w:r>
        <w:rPr>
          <w:rFonts w:eastAsia="Malgun Gothic"/>
        </w:rPr>
        <w:t>par</w:t>
      </w:r>
      <w:r w:rsidRPr="00034F1E">
        <w:rPr>
          <w:rFonts w:eastAsia="Malgun Gothic"/>
        </w:rPr>
        <w:t>a prevenir y pro</w:t>
      </w:r>
      <w:r>
        <w:rPr>
          <w:rFonts w:eastAsia="Malgun Gothic"/>
        </w:rPr>
        <w:t>hibir</w:t>
      </w:r>
      <w:r w:rsidRPr="00034F1E">
        <w:rPr>
          <w:rFonts w:eastAsia="Malgun Gothic"/>
        </w:rPr>
        <w:t xml:space="preserve"> la producción, el comercio, la exportación y el empleo de equipo específicamente destinado a infligir tortura</w:t>
      </w:r>
      <w:r>
        <w:rPr>
          <w:rFonts w:eastAsia="Malgun Gothic"/>
        </w:rPr>
        <w:t>s</w:t>
      </w:r>
      <w:r w:rsidRPr="00034F1E">
        <w:rPr>
          <w:rFonts w:eastAsia="Malgun Gothic"/>
        </w:rPr>
        <w:t xml:space="preserve"> u otros </w:t>
      </w:r>
      <w:r>
        <w:rPr>
          <w:rFonts w:eastAsia="Malgun Gothic"/>
        </w:rPr>
        <w:t xml:space="preserve">tratos </w:t>
      </w:r>
      <w:r w:rsidRPr="00034F1E">
        <w:rPr>
          <w:rFonts w:eastAsia="Malgun Gothic"/>
        </w:rPr>
        <w:t xml:space="preserve">crueles, inhumanos o degradantes. </w:t>
      </w:r>
      <w:r>
        <w:rPr>
          <w:rFonts w:eastAsia="Malgun Gothic"/>
        </w:rPr>
        <w:t>De ser así</w:t>
      </w:r>
      <w:r w:rsidRPr="00034F1E">
        <w:rPr>
          <w:rFonts w:eastAsia="Malgun Gothic"/>
        </w:rPr>
        <w:t>, proporcion</w:t>
      </w:r>
      <w:r>
        <w:rPr>
          <w:rFonts w:eastAsia="Malgun Gothic"/>
        </w:rPr>
        <w:t>en</w:t>
      </w:r>
      <w:r w:rsidRPr="00034F1E">
        <w:rPr>
          <w:rFonts w:eastAsia="Malgun Gothic"/>
        </w:rPr>
        <w:t xml:space="preserve"> información sobre el contenido y l</w:t>
      </w:r>
      <w:r>
        <w:rPr>
          <w:rFonts w:eastAsia="Malgun Gothic"/>
        </w:rPr>
        <w:t>a</w:t>
      </w:r>
      <w:r w:rsidRPr="00034F1E">
        <w:rPr>
          <w:rFonts w:eastAsia="Malgun Gothic"/>
        </w:rPr>
        <w:t xml:space="preserve"> </w:t>
      </w:r>
      <w:r>
        <w:rPr>
          <w:rFonts w:eastAsia="Malgun Gothic"/>
        </w:rPr>
        <w:t>aplicación</w:t>
      </w:r>
      <w:r w:rsidRPr="00034F1E">
        <w:rPr>
          <w:rFonts w:eastAsia="Malgun Gothic"/>
        </w:rPr>
        <w:t xml:space="preserve"> de esas normas. </w:t>
      </w:r>
      <w:r>
        <w:rPr>
          <w:rFonts w:eastAsia="Malgun Gothic"/>
        </w:rPr>
        <w:t>Si no la hubiera,</w:t>
      </w:r>
      <w:r w:rsidRPr="00034F1E">
        <w:rPr>
          <w:rFonts w:eastAsia="Malgun Gothic"/>
        </w:rPr>
        <w:t xml:space="preserve"> indi</w:t>
      </w:r>
      <w:r>
        <w:rPr>
          <w:rFonts w:eastAsia="Malgun Gothic"/>
        </w:rPr>
        <w:t>quen</w:t>
      </w:r>
      <w:r w:rsidRPr="00034F1E">
        <w:rPr>
          <w:rFonts w:eastAsia="Malgun Gothic"/>
        </w:rPr>
        <w:t xml:space="preserve"> si se considera la posibilidad de aprobar </w:t>
      </w:r>
      <w:r>
        <w:rPr>
          <w:rFonts w:eastAsia="Malgun Gothic"/>
        </w:rPr>
        <w:t xml:space="preserve">tal </w:t>
      </w:r>
      <w:r w:rsidRPr="00034F1E">
        <w:rPr>
          <w:rFonts w:eastAsia="Malgun Gothic"/>
        </w:rPr>
        <w:t xml:space="preserve">legislación y si se han adoptado medidas para dar prueba de esa voluntad. </w:t>
      </w:r>
    </w:p>
    <w:p w:rsidR="00464409" w:rsidRPr="00464409" w:rsidRDefault="00464409" w:rsidP="00464409">
      <w:pPr>
        <w:pStyle w:val="SingleTxtG"/>
        <w:keepNext/>
        <w:keepLines/>
        <w:spacing w:before="240"/>
        <w:jc w:val="center"/>
        <w:rPr>
          <w:u w:val="single"/>
        </w:rPr>
      </w:pPr>
      <w:r>
        <w:rPr>
          <w:rFonts w:eastAsia="Malgun Gothic"/>
          <w:u w:val="single"/>
        </w:rPr>
        <w:tab/>
      </w:r>
      <w:r>
        <w:rPr>
          <w:rFonts w:eastAsia="Malgun Gothic"/>
          <w:u w:val="single"/>
        </w:rPr>
        <w:tab/>
      </w:r>
      <w:r>
        <w:rPr>
          <w:rFonts w:eastAsia="Malgun Gothic"/>
          <w:u w:val="single"/>
        </w:rPr>
        <w:tab/>
      </w:r>
    </w:p>
    <w:sectPr w:rsidR="00464409" w:rsidRPr="00464409" w:rsidSect="0047149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6C" w:rsidRDefault="00F42F6C">
      <w:r>
        <w:separator/>
      </w:r>
    </w:p>
  </w:endnote>
  <w:endnote w:type="continuationSeparator" w:id="0">
    <w:p w:rsidR="00F42F6C" w:rsidRDefault="00F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2" w:rsidRPr="00471492" w:rsidRDefault="00471492" w:rsidP="00471492">
    <w:pPr>
      <w:pStyle w:val="Footer"/>
      <w:tabs>
        <w:tab w:val="right" w:pos="9638"/>
      </w:tabs>
    </w:pPr>
    <w:r w:rsidRPr="00471492">
      <w:rPr>
        <w:b/>
        <w:sz w:val="18"/>
      </w:rPr>
      <w:fldChar w:fldCharType="begin"/>
    </w:r>
    <w:r w:rsidRPr="00471492">
      <w:rPr>
        <w:b/>
        <w:sz w:val="18"/>
      </w:rPr>
      <w:instrText xml:space="preserve"> PAGE  \* MERGEFORMAT </w:instrText>
    </w:r>
    <w:r w:rsidRPr="00471492">
      <w:rPr>
        <w:b/>
        <w:sz w:val="18"/>
      </w:rPr>
      <w:fldChar w:fldCharType="separate"/>
    </w:r>
    <w:r w:rsidR="007E5EDF">
      <w:rPr>
        <w:b/>
        <w:noProof/>
        <w:sz w:val="18"/>
      </w:rPr>
      <w:t>8</w:t>
    </w:r>
    <w:r w:rsidRPr="00471492">
      <w:rPr>
        <w:b/>
        <w:sz w:val="18"/>
      </w:rPr>
      <w:fldChar w:fldCharType="end"/>
    </w:r>
    <w:r>
      <w:rPr>
        <w:b/>
        <w:sz w:val="18"/>
      </w:rPr>
      <w:tab/>
    </w:r>
    <w:r>
      <w:t>GE.12-40044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2" w:rsidRPr="00471492" w:rsidRDefault="00471492" w:rsidP="00471492">
    <w:pPr>
      <w:pStyle w:val="Footer"/>
      <w:tabs>
        <w:tab w:val="right" w:pos="9638"/>
      </w:tabs>
      <w:rPr>
        <w:b/>
        <w:sz w:val="18"/>
      </w:rPr>
    </w:pPr>
    <w:r>
      <w:t>GE.12-40044</w:t>
    </w:r>
    <w:r>
      <w:tab/>
    </w:r>
    <w:r w:rsidRPr="00471492">
      <w:rPr>
        <w:b/>
        <w:sz w:val="18"/>
      </w:rPr>
      <w:fldChar w:fldCharType="begin"/>
    </w:r>
    <w:r w:rsidRPr="00471492">
      <w:rPr>
        <w:b/>
        <w:sz w:val="18"/>
      </w:rPr>
      <w:instrText xml:space="preserve"> PAGE  \* MERGEFORMAT </w:instrText>
    </w:r>
    <w:r w:rsidRPr="00471492">
      <w:rPr>
        <w:b/>
        <w:sz w:val="18"/>
      </w:rPr>
      <w:fldChar w:fldCharType="separate"/>
    </w:r>
    <w:r w:rsidR="007E5EDF">
      <w:rPr>
        <w:b/>
        <w:noProof/>
        <w:sz w:val="18"/>
      </w:rPr>
      <w:t>9</w:t>
    </w:r>
    <w:r w:rsidRPr="004714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3E" w:rsidRPr="00471492" w:rsidRDefault="00471492">
    <w:pPr>
      <w:pStyle w:val="Footer"/>
      <w:rPr>
        <w:sz w:val="20"/>
      </w:rPr>
    </w:pPr>
    <w:r>
      <w:rPr>
        <w:sz w:val="20"/>
      </w:rPr>
      <w:t>GE.</w:t>
    </w:r>
    <w:r w:rsidR="005D6E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12-40044  (S)</w:t>
    </w:r>
    <w:r w:rsidR="00886562">
      <w:rPr>
        <w:sz w:val="20"/>
      </w:rPr>
      <w:t xml:space="preserve">    260112    030212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6C" w:rsidRPr="001075E9" w:rsidRDefault="00F42F6C" w:rsidP="001075E9">
      <w:pPr>
        <w:tabs>
          <w:tab w:val="right" w:pos="2155"/>
        </w:tabs>
        <w:spacing w:after="80" w:line="240" w:lineRule="auto"/>
        <w:ind w:left="680"/>
        <w:rPr>
          <w:u w:val="single"/>
        </w:rPr>
      </w:pPr>
      <w:r>
        <w:rPr>
          <w:u w:val="single"/>
        </w:rPr>
        <w:tab/>
      </w:r>
    </w:p>
  </w:footnote>
  <w:footnote w:type="continuationSeparator" w:id="0">
    <w:p w:rsidR="00F42F6C" w:rsidRDefault="00F42F6C" w:rsidP="00407B78">
      <w:pPr>
        <w:tabs>
          <w:tab w:val="right" w:pos="2155"/>
        </w:tabs>
        <w:spacing w:after="80"/>
        <w:ind w:left="680"/>
        <w:rPr>
          <w:u w:val="single"/>
        </w:rPr>
      </w:pPr>
      <w:r>
        <w:rPr>
          <w:u w:val="single"/>
        </w:rPr>
        <w:tab/>
      </w:r>
    </w:p>
  </w:footnote>
  <w:footnote w:id="1">
    <w:p w:rsidR="00464409" w:rsidRDefault="00464409" w:rsidP="00464409">
      <w:pPr>
        <w:pStyle w:val="FootnoteText"/>
        <w:widowControl w:val="0"/>
        <w:tabs>
          <w:tab w:val="clear" w:pos="1021"/>
          <w:tab w:val="right" w:pos="1020"/>
        </w:tabs>
        <w:suppressAutoHyphens/>
      </w:pPr>
      <w:r>
        <w:tab/>
      </w:r>
      <w:r>
        <w:rPr>
          <w:rStyle w:val="FootnoteReference"/>
        </w:rPr>
        <w:footnoteRef/>
      </w:r>
      <w:r>
        <w:tab/>
        <w:t>Las cuestiones que se plantean en el marco del artículo 2 pueden tener relación también con otros artículos de la Convención, como el artículo 16. Según se afirma en el párrafo 3 de la Observación general Nº 2, "la obligación de impedir los actos de tortura, estipulada en el artículo 2, tiene gran alcance. Las obligaciones de prevenir la tortura u otros tratos o penas crueles, inhumanos o degradantes (en adelante, los malos tratos), previstas en el párrafo 1 del artículo 16, son indivisibles, interdependientes y están relacionadas entre sí. La obligación de impedir los malos tratos coincide en la práctica con la obligación de impedir la tortura y la enmarca en buena medida. (…) En la práctica, no suele estar claro el límite conceptual entre los malos tratos y la tortura". Véase también el capítulo V de esta observación general.</w:t>
      </w:r>
    </w:p>
  </w:footnote>
  <w:footnote w:id="2">
    <w:p w:rsidR="00464409" w:rsidRPr="00464409" w:rsidRDefault="00464409" w:rsidP="00464409">
      <w:pPr>
        <w:pStyle w:val="FootnoteText"/>
        <w:adjustRightInd w:val="0"/>
        <w:snapToGrid w:val="0"/>
        <w:spacing w:line="240" w:lineRule="auto"/>
        <w:ind w:left="1138" w:right="1138"/>
        <w:rPr>
          <w:lang w:val="en-GB"/>
        </w:rPr>
      </w:pPr>
      <w:r>
        <w:tab/>
      </w:r>
      <w:r>
        <w:rPr>
          <w:rStyle w:val="FootnoteReference"/>
        </w:rPr>
        <w:footnoteRef/>
      </w:r>
      <w:r>
        <w:tab/>
        <w:t xml:space="preserve">CAT/C/CAN/6, párr. </w:t>
      </w:r>
      <w:r w:rsidRPr="00464409">
        <w:rPr>
          <w:lang w:val="en-GB"/>
        </w:rPr>
        <w:t>1.</w:t>
      </w:r>
    </w:p>
  </w:footnote>
  <w:footnote w:id="3">
    <w:p w:rsidR="00464409" w:rsidRPr="00464409" w:rsidRDefault="00464409" w:rsidP="00464409">
      <w:pPr>
        <w:pStyle w:val="FootnoteText"/>
        <w:adjustRightInd w:val="0"/>
        <w:snapToGrid w:val="0"/>
        <w:spacing w:line="240" w:lineRule="auto"/>
        <w:rPr>
          <w:lang w:val="en-GB"/>
        </w:rPr>
      </w:pPr>
      <w:r w:rsidRPr="00464409">
        <w:rPr>
          <w:lang w:val="en-GB"/>
        </w:rPr>
        <w:tab/>
      </w:r>
      <w:r>
        <w:rPr>
          <w:rStyle w:val="FootnoteReference"/>
        </w:rPr>
        <w:footnoteRef/>
      </w:r>
      <w:r w:rsidRPr="00464409">
        <w:rPr>
          <w:lang w:val="en-GB"/>
        </w:rPr>
        <w:tab/>
        <w:t>E/CN.4/2006/7/Add.2, párr. 68; A/HRC/WG.6/4/CAN/2, párr. 51.</w:t>
      </w:r>
    </w:p>
  </w:footnote>
  <w:footnote w:id="4">
    <w:p w:rsidR="00464409" w:rsidRDefault="00464409" w:rsidP="00464409">
      <w:pPr>
        <w:pStyle w:val="FootnoteText"/>
        <w:adjustRightInd w:val="0"/>
        <w:snapToGrid w:val="0"/>
        <w:spacing w:line="240" w:lineRule="auto"/>
        <w:ind w:left="1138" w:right="1138" w:hanging="1138"/>
      </w:pPr>
      <w:r w:rsidRPr="00464409">
        <w:rPr>
          <w:lang w:val="en-GB"/>
        </w:rPr>
        <w:tab/>
      </w:r>
      <w:r>
        <w:rPr>
          <w:rStyle w:val="FootnoteReference"/>
        </w:rPr>
        <w:footnoteRef/>
      </w:r>
      <w:r w:rsidRPr="006A3213">
        <w:rPr>
          <w:lang w:val="en-GB"/>
        </w:rPr>
        <w:tab/>
        <w:t xml:space="preserve">CCPR/C/CAN/CO/5, párrs. </w:t>
      </w:r>
      <w:r>
        <w:t>14 y 15; E/CN.4/2006/7/Add.2, párr. 92 b).</w:t>
      </w:r>
    </w:p>
  </w:footnote>
  <w:footnote w:id="5">
    <w:p w:rsidR="00464409" w:rsidRPr="00883CD1" w:rsidRDefault="00464409" w:rsidP="00464409">
      <w:pPr>
        <w:pStyle w:val="FootnoteText"/>
        <w:adjustRightInd w:val="0"/>
        <w:snapToGrid w:val="0"/>
        <w:spacing w:line="240" w:lineRule="auto"/>
        <w:ind w:left="1138" w:right="1138"/>
        <w:rPr>
          <w:lang w:val="en-GB"/>
        </w:rPr>
      </w:pPr>
      <w:r>
        <w:tab/>
      </w:r>
      <w:r>
        <w:rPr>
          <w:rStyle w:val="FootnoteReference"/>
        </w:rPr>
        <w:footnoteRef/>
      </w:r>
      <w:r>
        <w:tab/>
        <w:t>Comité contra la Tortura, carta de seguimiento de 29 de abril de 2009; A/HRC/WG.6/4/CAN/3, párr. </w:t>
      </w:r>
      <w:r w:rsidRPr="00883CD1">
        <w:rPr>
          <w:lang w:val="en-GB"/>
        </w:rPr>
        <w:t>67; A/HRC/WG.6/4/CAN/2, párr. 51; E/CN.4/2006/7/Add.2, párrs. 63, 64 y 86; A/HRC/16/52/Add.1, párr. 17.</w:t>
      </w:r>
    </w:p>
  </w:footnote>
  <w:footnote w:id="6">
    <w:p w:rsidR="00464409" w:rsidRPr="00425533" w:rsidRDefault="00464409" w:rsidP="00464409">
      <w:pPr>
        <w:pStyle w:val="FootnoteText"/>
        <w:spacing w:line="240" w:lineRule="auto"/>
        <w:ind w:left="1138" w:right="1138"/>
        <w:rPr>
          <w:lang w:val="en-GB"/>
        </w:rPr>
      </w:pPr>
      <w:r w:rsidRPr="00883CD1">
        <w:rPr>
          <w:lang w:val="en-GB"/>
        </w:rPr>
        <w:tab/>
      </w:r>
      <w:r>
        <w:rPr>
          <w:rStyle w:val="FootnoteReference"/>
        </w:rPr>
        <w:footnoteRef/>
      </w:r>
      <w:r w:rsidRPr="00425533">
        <w:rPr>
          <w:lang w:val="en-GB"/>
        </w:rPr>
        <w:tab/>
        <w:t xml:space="preserve">CAT/C/CAN/6, párrs. 16 y 81; A/HRC/WG.6/4/CAN/3, párr. </w:t>
      </w:r>
      <w:r w:rsidRPr="00883CD1">
        <w:rPr>
          <w:lang w:val="en-GB"/>
        </w:rPr>
        <w:t>67</w:t>
      </w:r>
      <w:r w:rsidRPr="00425533">
        <w:rPr>
          <w:lang w:val="en-GB"/>
        </w:rPr>
        <w:t>.</w:t>
      </w:r>
    </w:p>
  </w:footnote>
  <w:footnote w:id="7">
    <w:p w:rsidR="00464409" w:rsidRPr="00883CD1" w:rsidRDefault="00464409" w:rsidP="00464409">
      <w:pPr>
        <w:pStyle w:val="FootnoteText"/>
        <w:spacing w:line="240" w:lineRule="auto"/>
        <w:ind w:left="1138" w:right="1138"/>
        <w:rPr>
          <w:lang w:val="en-GB"/>
        </w:rPr>
      </w:pPr>
      <w:r w:rsidRPr="00425533">
        <w:rPr>
          <w:lang w:val="en-GB"/>
        </w:rPr>
        <w:tab/>
      </w:r>
      <w:r>
        <w:rPr>
          <w:rStyle w:val="FootnoteReference"/>
        </w:rPr>
        <w:footnoteRef/>
      </w:r>
      <w:r w:rsidRPr="00425533">
        <w:rPr>
          <w:lang w:val="en-GB"/>
        </w:rPr>
        <w:tab/>
        <w:t xml:space="preserve">A/HRC/11/17/Add.1, párrs. 45 a 50; A/HRC/11/17, párrs. 11, 20 a 24, 29, 36 y 86; A/HRC/WG.6/4/CAN/3, párrs. 22 a 24; A/HRC/WG.6/4/CAN/2, párrs. 14 a 16; CEDAW/C/CAN/CO/7, párrs. </w:t>
      </w:r>
      <w:r w:rsidRPr="00883CD1">
        <w:rPr>
          <w:lang w:val="en-GB"/>
        </w:rPr>
        <w:t>29 a 32.</w:t>
      </w:r>
    </w:p>
  </w:footnote>
  <w:footnote w:id="8">
    <w:p w:rsidR="00464409" w:rsidRPr="00550562" w:rsidRDefault="00464409" w:rsidP="00464409">
      <w:pPr>
        <w:pStyle w:val="FootnoteText"/>
        <w:widowControl w:val="0"/>
        <w:tabs>
          <w:tab w:val="clear" w:pos="1021"/>
          <w:tab w:val="right" w:pos="1020"/>
        </w:tabs>
        <w:suppressAutoHyphens/>
        <w:rPr>
          <w:lang w:val="en-GB"/>
        </w:rPr>
      </w:pPr>
      <w:r w:rsidRPr="00883CD1">
        <w:rPr>
          <w:lang w:val="en-GB"/>
        </w:rPr>
        <w:tab/>
      </w:r>
      <w:r>
        <w:rPr>
          <w:rStyle w:val="FootnoteReference"/>
        </w:rPr>
        <w:footnoteRef/>
      </w:r>
      <w:r w:rsidRPr="00550562">
        <w:rPr>
          <w:lang w:val="en-GB"/>
        </w:rPr>
        <w:tab/>
        <w:t>A/HRC/11/17, párr. 33; CEDAW/C/CAN/CO/</w:t>
      </w:r>
      <w:r>
        <w:rPr>
          <w:lang w:val="en-GB"/>
        </w:rPr>
        <w:t>7, párr. 32.</w:t>
      </w:r>
    </w:p>
  </w:footnote>
  <w:footnote w:id="9">
    <w:p w:rsidR="00464409" w:rsidRDefault="00464409" w:rsidP="00464409">
      <w:pPr>
        <w:pStyle w:val="FootnoteText"/>
        <w:spacing w:line="240" w:lineRule="auto"/>
        <w:ind w:left="1138" w:right="1138"/>
      </w:pPr>
      <w:r w:rsidRPr="00550562">
        <w:rPr>
          <w:lang w:val="en-GB"/>
        </w:rPr>
        <w:tab/>
      </w:r>
      <w:r>
        <w:rPr>
          <w:rStyle w:val="FootnoteReference"/>
        </w:rPr>
        <w:footnoteRef/>
      </w:r>
      <w:r w:rsidRPr="00883CD1">
        <w:rPr>
          <w:lang w:val="en-GB"/>
        </w:rPr>
        <w:tab/>
        <w:t xml:space="preserve">A/HRC/WG.6/4/CAN/2, párrs. </w:t>
      </w:r>
      <w:r>
        <w:t>14 y 15; A/HRC/11/17, párrs. 20, 22, 29, 36 y 86 33); A/HRC/11/17/Add.1, párrs. 47 y 48; CEDAW/C/CAN/CO/7, párr. 30.</w:t>
      </w:r>
    </w:p>
  </w:footnote>
  <w:footnote w:id="10">
    <w:p w:rsidR="00464409" w:rsidRDefault="00464409" w:rsidP="00464409">
      <w:pPr>
        <w:pStyle w:val="FootnoteText"/>
        <w:spacing w:line="240" w:lineRule="auto"/>
        <w:ind w:left="1138" w:right="1138"/>
      </w:pPr>
      <w:r>
        <w:tab/>
      </w:r>
      <w:r>
        <w:rPr>
          <w:rStyle w:val="FootnoteReference"/>
        </w:rPr>
        <w:footnoteRef/>
      </w:r>
      <w:r>
        <w:tab/>
        <w:t>A/HRC/11/17, párrs. 25, 86 16) y 39); A/HRC/11/17/Add.1, párr. 52; CRC/C/15/Add.215, párr. 53.</w:t>
      </w:r>
    </w:p>
  </w:footnote>
  <w:footnote w:id="11">
    <w:p w:rsidR="00464409" w:rsidRDefault="00464409" w:rsidP="00464409">
      <w:pPr>
        <w:pStyle w:val="FootnoteText"/>
        <w:spacing w:line="240" w:lineRule="auto"/>
        <w:ind w:left="1138" w:right="1138"/>
      </w:pPr>
      <w:r>
        <w:tab/>
      </w:r>
      <w:r>
        <w:rPr>
          <w:rStyle w:val="FootnoteReference"/>
        </w:rPr>
        <w:footnoteRef/>
      </w:r>
      <w:r>
        <w:tab/>
      </w:r>
      <w:r w:rsidRPr="0052252B">
        <w:t>A/HRC/11/17, pár</w:t>
      </w:r>
      <w:r>
        <w:t>rs</w:t>
      </w:r>
      <w:r w:rsidRPr="0052252B">
        <w:t>.</w:t>
      </w:r>
      <w:r>
        <w:t xml:space="preserve"> 42 y </w:t>
      </w:r>
      <w:r w:rsidRPr="0052252B">
        <w:t>86</w:t>
      </w:r>
      <w:r>
        <w:t xml:space="preserve"> </w:t>
      </w:r>
      <w:r w:rsidRPr="0052252B">
        <w:t>31).</w:t>
      </w:r>
    </w:p>
  </w:footnote>
  <w:footnote w:id="12">
    <w:p w:rsidR="00464409" w:rsidRPr="00883CD1" w:rsidRDefault="00464409" w:rsidP="00464409">
      <w:pPr>
        <w:pStyle w:val="FootnoteText"/>
        <w:adjustRightInd w:val="0"/>
        <w:snapToGrid w:val="0"/>
        <w:spacing w:line="240" w:lineRule="auto"/>
        <w:ind w:left="1138" w:right="1138"/>
      </w:pPr>
      <w:r>
        <w:tab/>
      </w:r>
      <w:r>
        <w:rPr>
          <w:rStyle w:val="FootnoteReference"/>
        </w:rPr>
        <w:footnoteRef/>
      </w:r>
      <w:r w:rsidRPr="00883CD1">
        <w:tab/>
        <w:t>CAT/C/CR/34/CAN, párr. 5 b).</w:t>
      </w:r>
    </w:p>
  </w:footnote>
  <w:footnote w:id="13">
    <w:p w:rsidR="00464409" w:rsidRDefault="00464409" w:rsidP="00464409">
      <w:pPr>
        <w:pStyle w:val="FootnoteText"/>
        <w:adjustRightInd w:val="0"/>
        <w:snapToGrid w:val="0"/>
        <w:spacing w:line="240" w:lineRule="auto"/>
        <w:ind w:left="1138" w:right="1138"/>
      </w:pPr>
      <w:r w:rsidRPr="00883CD1">
        <w:tab/>
      </w:r>
      <w:r>
        <w:rPr>
          <w:rStyle w:val="FootnoteReference"/>
        </w:rPr>
        <w:footnoteRef/>
      </w:r>
      <w:r w:rsidRPr="00883CD1">
        <w:tab/>
      </w:r>
      <w:r w:rsidRPr="00883CD1">
        <w:rPr>
          <w:i/>
        </w:rPr>
        <w:t>Ibid.</w:t>
      </w:r>
      <w:r w:rsidRPr="00883CD1">
        <w:t xml:space="preserve">, párr. </w:t>
      </w:r>
      <w:r>
        <w:t>5 c).</w:t>
      </w:r>
    </w:p>
  </w:footnote>
  <w:footnote w:id="14">
    <w:p w:rsidR="00464409" w:rsidRPr="009D4071" w:rsidRDefault="00464409" w:rsidP="00464409">
      <w:pPr>
        <w:pStyle w:val="FootnoteText"/>
        <w:adjustRightInd w:val="0"/>
        <w:snapToGrid w:val="0"/>
        <w:spacing w:line="240" w:lineRule="auto"/>
        <w:ind w:left="1138" w:right="1138"/>
        <w:rPr>
          <w:spacing w:val="-4"/>
        </w:rPr>
      </w:pPr>
      <w:r>
        <w:tab/>
      </w:r>
      <w:r>
        <w:rPr>
          <w:rStyle w:val="FootnoteReference"/>
        </w:rPr>
        <w:footnoteRef/>
      </w:r>
      <w:r>
        <w:tab/>
      </w:r>
      <w:r w:rsidRPr="009D4071">
        <w:rPr>
          <w:spacing w:val="-2"/>
        </w:rPr>
        <w:t xml:space="preserve">Carta de seguimiento del Comité </w:t>
      </w:r>
      <w:r w:rsidRPr="009D4071">
        <w:rPr>
          <w:spacing w:val="-4"/>
        </w:rPr>
        <w:t xml:space="preserve">de </w:t>
      </w:r>
      <w:r w:rsidRPr="00A62BBC">
        <w:rPr>
          <w:spacing w:val="-6"/>
        </w:rPr>
        <w:t>29 de abril de 2009</w:t>
      </w:r>
      <w:r w:rsidRPr="00A62BBC">
        <w:rPr>
          <w:rStyle w:val="FootnoteReference"/>
          <w:spacing w:val="-6"/>
          <w:vertAlign w:val="baseline"/>
        </w:rPr>
        <w:t>;</w:t>
      </w:r>
      <w:r w:rsidRPr="00A62BBC">
        <w:rPr>
          <w:rStyle w:val="FootnoteReference"/>
          <w:spacing w:val="-2"/>
          <w:vertAlign w:val="baseline"/>
        </w:rPr>
        <w:t xml:space="preserve"> </w:t>
      </w:r>
      <w:r>
        <w:rPr>
          <w:spacing w:val="-2"/>
        </w:rPr>
        <w:t>CAT/C/CAN/6</w:t>
      </w:r>
      <w:r w:rsidRPr="009D4071">
        <w:rPr>
          <w:rStyle w:val="FootnoteReference"/>
          <w:spacing w:val="-2"/>
          <w:vertAlign w:val="baseline"/>
        </w:rPr>
        <w:t>,</w:t>
      </w:r>
      <w:r w:rsidRPr="009D4071">
        <w:rPr>
          <w:rStyle w:val="FootnoteReference"/>
          <w:spacing w:val="-2"/>
        </w:rPr>
        <w:t xml:space="preserve"> </w:t>
      </w:r>
      <w:r w:rsidRPr="009D4071">
        <w:rPr>
          <w:spacing w:val="-2"/>
        </w:rPr>
        <w:t>párr</w:t>
      </w:r>
      <w:r w:rsidRPr="009D4071">
        <w:rPr>
          <w:spacing w:val="-4"/>
        </w:rPr>
        <w:t>. 38</w:t>
      </w:r>
      <w:r w:rsidRPr="009D4071">
        <w:rPr>
          <w:rStyle w:val="FootnoteReference"/>
          <w:spacing w:val="-4"/>
          <w:vertAlign w:val="baseline"/>
        </w:rPr>
        <w:t>.</w:t>
      </w:r>
    </w:p>
  </w:footnote>
  <w:footnote w:id="15">
    <w:p w:rsidR="00464409" w:rsidRDefault="00464409" w:rsidP="00464409">
      <w:pPr>
        <w:pStyle w:val="FootnoteText"/>
        <w:adjustRightInd w:val="0"/>
        <w:snapToGrid w:val="0"/>
        <w:spacing w:line="240" w:lineRule="auto"/>
        <w:ind w:left="1138" w:right="1138"/>
      </w:pPr>
      <w:r>
        <w:tab/>
      </w:r>
      <w:r>
        <w:rPr>
          <w:rStyle w:val="FootnoteReference"/>
        </w:rPr>
        <w:footnoteRef/>
      </w:r>
      <w:r>
        <w:tab/>
      </w:r>
      <w:r>
        <w:rPr>
          <w:i/>
        </w:rPr>
        <w:t>Ibid.</w:t>
      </w:r>
    </w:p>
  </w:footnote>
  <w:footnote w:id="16">
    <w:p w:rsidR="00464409" w:rsidRPr="00464409" w:rsidRDefault="00464409" w:rsidP="00464409">
      <w:pPr>
        <w:pStyle w:val="FootnoteText"/>
        <w:spacing w:line="240" w:lineRule="auto"/>
        <w:ind w:left="1138" w:right="1138"/>
        <w:rPr>
          <w:lang w:val="en-GB"/>
        </w:rPr>
      </w:pPr>
      <w:r>
        <w:tab/>
      </w:r>
      <w:r>
        <w:rPr>
          <w:rStyle w:val="FootnoteReference"/>
        </w:rPr>
        <w:footnoteRef/>
      </w:r>
      <w:r>
        <w:tab/>
        <w:t xml:space="preserve">Véase también el caso de Mansour Ahani (A/HRC/WG.6/4/CAN/2, párr. </w:t>
      </w:r>
      <w:r w:rsidRPr="00464409">
        <w:rPr>
          <w:lang w:val="en-GB"/>
        </w:rPr>
        <w:t>53; CCPR/C/80/D/1051/2002).</w:t>
      </w:r>
    </w:p>
  </w:footnote>
  <w:footnote w:id="17">
    <w:p w:rsidR="00464409" w:rsidRPr="00464409" w:rsidRDefault="00464409" w:rsidP="00464409">
      <w:pPr>
        <w:pStyle w:val="FootnoteText"/>
        <w:adjustRightInd w:val="0"/>
        <w:snapToGrid w:val="0"/>
        <w:spacing w:line="240" w:lineRule="auto"/>
        <w:ind w:left="1138" w:right="1138"/>
        <w:rPr>
          <w:lang w:val="en-GB"/>
        </w:rPr>
      </w:pPr>
      <w:r w:rsidRPr="00464409">
        <w:rPr>
          <w:lang w:val="en-GB"/>
        </w:rPr>
        <w:tab/>
      </w:r>
      <w:r>
        <w:rPr>
          <w:rStyle w:val="FootnoteReference"/>
        </w:rPr>
        <w:footnoteRef/>
      </w:r>
      <w:r w:rsidRPr="00464409">
        <w:rPr>
          <w:lang w:val="en-GB"/>
        </w:rPr>
        <w:tab/>
        <w:t>CAT/C/CAN/6, párrs. 44 y 45.</w:t>
      </w:r>
    </w:p>
  </w:footnote>
  <w:footnote w:id="18">
    <w:p w:rsidR="00464409" w:rsidRDefault="00464409" w:rsidP="00464409">
      <w:pPr>
        <w:pStyle w:val="FootnoteText"/>
        <w:adjustRightInd w:val="0"/>
        <w:snapToGrid w:val="0"/>
        <w:spacing w:line="240" w:lineRule="auto"/>
        <w:ind w:left="1138" w:right="1138"/>
      </w:pPr>
      <w:r w:rsidRPr="00464409">
        <w:rPr>
          <w:lang w:val="en-GB"/>
        </w:rPr>
        <w:tab/>
      </w:r>
      <w:r>
        <w:rPr>
          <w:rStyle w:val="FootnoteReference"/>
        </w:rPr>
        <w:footnoteRef/>
      </w:r>
      <w:r w:rsidRPr="00464409">
        <w:rPr>
          <w:lang w:val="en-GB"/>
        </w:rPr>
        <w:tab/>
        <w:t xml:space="preserve">CAT/C/CAN/6, párr. </w:t>
      </w:r>
      <w:r w:rsidRPr="00A61AB8">
        <w:rPr>
          <w:lang w:val="en-GB"/>
        </w:rPr>
        <w:t xml:space="preserve">64; CAT/C/CR/34/CAN, párr. </w:t>
      </w:r>
      <w:r>
        <w:t>5 g); Carta de seguimiento de 29 de abril de 2009.</w:t>
      </w:r>
    </w:p>
  </w:footnote>
  <w:footnote w:id="19">
    <w:p w:rsidR="00464409" w:rsidRPr="00425533" w:rsidRDefault="00464409" w:rsidP="00464409">
      <w:pPr>
        <w:pStyle w:val="FootnoteText"/>
        <w:adjustRightInd w:val="0"/>
        <w:snapToGrid w:val="0"/>
        <w:spacing w:line="240" w:lineRule="auto"/>
        <w:ind w:left="1138" w:right="1138"/>
        <w:rPr>
          <w:lang w:val="en-GB"/>
        </w:rPr>
      </w:pPr>
      <w:r w:rsidRPr="001D134A">
        <w:tab/>
      </w:r>
      <w:r>
        <w:rPr>
          <w:rStyle w:val="FootnoteReference"/>
        </w:rPr>
        <w:footnoteRef/>
      </w:r>
      <w:r>
        <w:rPr>
          <w:lang w:val="en-GB"/>
        </w:rPr>
        <w:tab/>
      </w:r>
      <w:r w:rsidRPr="00425533">
        <w:rPr>
          <w:lang w:val="en-GB"/>
        </w:rPr>
        <w:t xml:space="preserve">CEDAW/C/CAN/CO/7, párr. </w:t>
      </w:r>
      <w:r w:rsidRPr="00360717">
        <w:rPr>
          <w:lang w:val="en-GB"/>
        </w:rPr>
        <w:t xml:space="preserve">34; CAT/C/CAN/6, párrs. </w:t>
      </w:r>
      <w:r w:rsidRPr="00425533">
        <w:rPr>
          <w:lang w:val="en-GB"/>
        </w:rPr>
        <w:t>70 a 72; A/HRC/WG.6/4/CAN/2, párrs.</w:t>
      </w:r>
      <w:r>
        <w:rPr>
          <w:lang w:val="en-GB"/>
        </w:rPr>
        <w:t xml:space="preserve"> </w:t>
      </w:r>
      <w:r w:rsidRPr="00425533">
        <w:rPr>
          <w:lang w:val="en-GB"/>
        </w:rPr>
        <w:t>12 y</w:t>
      </w:r>
      <w:r>
        <w:rPr>
          <w:lang w:val="en-GB"/>
        </w:rPr>
        <w:t> </w:t>
      </w:r>
      <w:r w:rsidRPr="00425533">
        <w:rPr>
          <w:lang w:val="en-GB"/>
        </w:rPr>
        <w:t>16; A/HRC/WG.6/4/CAN/3, párr.</w:t>
      </w:r>
      <w:r>
        <w:rPr>
          <w:lang w:val="en-GB"/>
        </w:rPr>
        <w:t xml:space="preserve"> </w:t>
      </w:r>
      <w:r w:rsidRPr="00425533">
        <w:rPr>
          <w:lang w:val="en-GB"/>
        </w:rPr>
        <w:t>23.</w:t>
      </w:r>
    </w:p>
  </w:footnote>
  <w:footnote w:id="20">
    <w:p w:rsidR="00464409" w:rsidRPr="00464409" w:rsidRDefault="00464409" w:rsidP="00464409">
      <w:pPr>
        <w:pStyle w:val="FootnoteText"/>
        <w:adjustRightInd w:val="0"/>
        <w:snapToGrid w:val="0"/>
        <w:spacing w:line="240" w:lineRule="auto"/>
        <w:ind w:left="1138" w:right="1138"/>
        <w:rPr>
          <w:lang w:val="en-GB"/>
        </w:rPr>
      </w:pPr>
      <w:r w:rsidRPr="00464409">
        <w:rPr>
          <w:lang w:val="en-GB"/>
        </w:rPr>
        <w:tab/>
      </w:r>
      <w:r>
        <w:rPr>
          <w:rStyle w:val="FootnoteReference"/>
        </w:rPr>
        <w:footnoteRef/>
      </w:r>
      <w:r w:rsidRPr="00464409">
        <w:rPr>
          <w:lang w:val="en-GB"/>
        </w:rPr>
        <w:tab/>
        <w:t xml:space="preserve">CAT/C/CAN/6, párrs. </w:t>
      </w:r>
      <w:r>
        <w:t xml:space="preserve">97 a 99; E/CN.4/2006/7/Add.2, párr. </w:t>
      </w:r>
      <w:r w:rsidRPr="00464409">
        <w:rPr>
          <w:lang w:val="en-GB"/>
        </w:rPr>
        <w:t>72.</w:t>
      </w:r>
    </w:p>
  </w:footnote>
  <w:footnote w:id="21">
    <w:p w:rsidR="00464409" w:rsidRPr="00722487" w:rsidRDefault="00464409" w:rsidP="00464409">
      <w:pPr>
        <w:pStyle w:val="FootnoteText"/>
        <w:adjustRightInd w:val="0"/>
        <w:snapToGrid w:val="0"/>
        <w:spacing w:line="240" w:lineRule="auto"/>
        <w:ind w:left="1138" w:right="1138"/>
        <w:rPr>
          <w:lang w:val="en-GB" w:eastAsia="ko-KR"/>
        </w:rPr>
      </w:pPr>
      <w:r w:rsidRPr="00464409">
        <w:rPr>
          <w:lang w:val="en-GB"/>
        </w:rPr>
        <w:tab/>
      </w:r>
      <w:r>
        <w:rPr>
          <w:rStyle w:val="FootnoteReference"/>
        </w:rPr>
        <w:footnoteRef/>
      </w:r>
      <w:r w:rsidRPr="00722487">
        <w:rPr>
          <w:lang w:val="en-GB"/>
        </w:rPr>
        <w:tab/>
        <w:t>CAT/C/CR/34/CAN</w:t>
      </w:r>
      <w:r w:rsidRPr="00722487">
        <w:rPr>
          <w:lang w:val="en-GB" w:eastAsia="ko-KR"/>
        </w:rPr>
        <w:t xml:space="preserve">, párr. </w:t>
      </w:r>
      <w:r w:rsidRPr="00464409">
        <w:rPr>
          <w:lang w:val="en-GB" w:eastAsia="ko-KR"/>
        </w:rPr>
        <w:t xml:space="preserve">4 b); </w:t>
      </w:r>
      <w:r w:rsidRPr="00464409">
        <w:rPr>
          <w:lang w:val="en-GB"/>
        </w:rPr>
        <w:t xml:space="preserve">A/HRC/WG.6/4/CAN/3, párr. </w:t>
      </w:r>
      <w:r w:rsidRPr="00722487">
        <w:rPr>
          <w:lang w:val="en-GB"/>
        </w:rPr>
        <w:t xml:space="preserve">64; </w:t>
      </w:r>
      <w:r w:rsidRPr="00722487">
        <w:rPr>
          <w:lang w:val="en-GB" w:eastAsia="ko-KR"/>
        </w:rPr>
        <w:t>CCPR/C/CAN/CO/5, párr.</w:t>
      </w:r>
      <w:r>
        <w:rPr>
          <w:lang w:val="en-GB" w:eastAsia="ko-KR"/>
        </w:rPr>
        <w:t xml:space="preserve"> </w:t>
      </w:r>
      <w:r w:rsidRPr="00722487">
        <w:rPr>
          <w:lang w:val="en-GB" w:eastAsia="ko-KR"/>
        </w:rPr>
        <w:t>16.</w:t>
      </w:r>
    </w:p>
  </w:footnote>
  <w:footnote w:id="22">
    <w:p w:rsidR="00464409" w:rsidRPr="00425533" w:rsidRDefault="00464409" w:rsidP="00464409">
      <w:pPr>
        <w:pStyle w:val="FootnoteText"/>
        <w:spacing w:line="240" w:lineRule="auto"/>
        <w:ind w:left="1138" w:right="1138"/>
        <w:rPr>
          <w:lang w:val="en-GB"/>
        </w:rPr>
      </w:pPr>
      <w:r w:rsidRPr="00464409">
        <w:rPr>
          <w:lang w:val="en-GB"/>
        </w:rPr>
        <w:tab/>
      </w:r>
      <w:r>
        <w:rPr>
          <w:rStyle w:val="FootnoteReference"/>
        </w:rPr>
        <w:footnoteRef/>
      </w:r>
      <w:r w:rsidRPr="00464409">
        <w:rPr>
          <w:lang w:val="en-GB"/>
        </w:rPr>
        <w:tab/>
        <w:t xml:space="preserve">CCPR/C/CAN/CO/5, párr. </w:t>
      </w:r>
      <w:r w:rsidRPr="00425533">
        <w:rPr>
          <w:lang w:val="en-GB"/>
        </w:rPr>
        <w:t xml:space="preserve">13; A/HRC/WG.6/4/CAN/2, párr. </w:t>
      </w:r>
      <w:r w:rsidRPr="00464409">
        <w:rPr>
          <w:lang w:val="en-GB"/>
        </w:rPr>
        <w:t>49</w:t>
      </w:r>
      <w:r w:rsidRPr="00425533">
        <w:rPr>
          <w:lang w:val="en-GB"/>
        </w:rPr>
        <w:t>.</w:t>
      </w:r>
    </w:p>
  </w:footnote>
  <w:footnote w:id="23">
    <w:p w:rsidR="00464409" w:rsidRPr="00DD1C05" w:rsidRDefault="00464409" w:rsidP="00464409">
      <w:pPr>
        <w:pStyle w:val="FootnoteText"/>
        <w:adjustRightInd w:val="0"/>
        <w:snapToGrid w:val="0"/>
        <w:spacing w:line="240" w:lineRule="auto"/>
        <w:ind w:left="1138" w:right="1138"/>
        <w:rPr>
          <w:lang w:val="en-GB"/>
        </w:rPr>
      </w:pPr>
      <w:r w:rsidRPr="00464409">
        <w:rPr>
          <w:lang w:val="en-GB"/>
        </w:rPr>
        <w:tab/>
      </w:r>
      <w:r>
        <w:rPr>
          <w:rStyle w:val="FootnoteReference"/>
        </w:rPr>
        <w:footnoteRef/>
      </w:r>
      <w:r w:rsidRPr="00464409">
        <w:rPr>
          <w:lang w:val="en-GB"/>
        </w:rPr>
        <w:tab/>
        <w:t xml:space="preserve">CRC/C/15/Add.215, párr. </w:t>
      </w:r>
      <w:r w:rsidRPr="00DD1C05">
        <w:rPr>
          <w:lang w:val="en-GB"/>
        </w:rPr>
        <w:t>33.</w:t>
      </w:r>
    </w:p>
  </w:footnote>
  <w:footnote w:id="24">
    <w:p w:rsidR="00464409" w:rsidRDefault="00464409" w:rsidP="00464409">
      <w:pPr>
        <w:pStyle w:val="FootnoteText"/>
        <w:adjustRightInd w:val="0"/>
        <w:snapToGrid w:val="0"/>
        <w:spacing w:line="240" w:lineRule="auto"/>
        <w:ind w:left="1138" w:right="1138"/>
      </w:pPr>
      <w:r w:rsidRPr="00DD1C05">
        <w:rPr>
          <w:lang w:val="en-GB"/>
        </w:rPr>
        <w:tab/>
      </w:r>
      <w:r>
        <w:rPr>
          <w:rStyle w:val="FootnoteReference"/>
        </w:rPr>
        <w:footnoteRef/>
      </w:r>
      <w:r w:rsidRPr="00DD1C05">
        <w:rPr>
          <w:lang w:val="en-GB"/>
        </w:rPr>
        <w:tab/>
        <w:t xml:space="preserve">A/HRC/WG.6/4/CAN/3, párr. </w:t>
      </w:r>
      <w:r>
        <w:t>24; A/HRC/11/17, recomendación 33.</w:t>
      </w:r>
    </w:p>
  </w:footnote>
  <w:footnote w:id="25">
    <w:p w:rsidR="00464409" w:rsidRPr="00265F22" w:rsidRDefault="00464409" w:rsidP="00464409">
      <w:pPr>
        <w:pStyle w:val="FootnoteText"/>
        <w:adjustRightInd w:val="0"/>
        <w:snapToGrid w:val="0"/>
        <w:spacing w:line="240" w:lineRule="auto"/>
        <w:ind w:left="1138" w:right="1138"/>
      </w:pPr>
      <w:r w:rsidRPr="00A11219">
        <w:tab/>
      </w:r>
      <w:r>
        <w:rPr>
          <w:rStyle w:val="FootnoteReference"/>
        </w:rPr>
        <w:footnoteRef/>
      </w:r>
      <w:r w:rsidRPr="00464409">
        <w:tab/>
        <w:t xml:space="preserve">A/HRC/11/17, párrs. </w:t>
      </w:r>
      <w:r w:rsidRPr="00425533">
        <w:rPr>
          <w:lang w:val="en-GB"/>
        </w:rPr>
        <w:t xml:space="preserve">21, 25, 34 y 86 32); A/HRC/WG.6/4/CAN/2, párr. 20; A/HRC/WG.6/4/CAN/3, párr. </w:t>
      </w:r>
      <w:r>
        <w:t>25; E/CN.4/2006/7/Add.2, párrs. 71 y 72</w:t>
      </w:r>
      <w:r w:rsidRPr="00265F22">
        <w:t>.</w:t>
      </w:r>
    </w:p>
  </w:footnote>
  <w:footnote w:id="26">
    <w:p w:rsidR="00464409" w:rsidRPr="00425533" w:rsidRDefault="00464409" w:rsidP="00464409">
      <w:pPr>
        <w:pStyle w:val="FootnoteText"/>
        <w:adjustRightInd w:val="0"/>
        <w:snapToGrid w:val="0"/>
        <w:spacing w:line="240" w:lineRule="auto"/>
        <w:ind w:left="1138" w:right="1138"/>
        <w:rPr>
          <w:lang w:val="en-GB"/>
        </w:rPr>
      </w:pPr>
      <w:r w:rsidRPr="00464409">
        <w:tab/>
      </w:r>
      <w:r>
        <w:rPr>
          <w:rStyle w:val="FootnoteReference"/>
        </w:rPr>
        <w:footnoteRef/>
      </w:r>
      <w:r w:rsidRPr="00464409">
        <w:tab/>
        <w:t xml:space="preserve">A/HRC/WG.6/4/CAN/2, párrs. </w:t>
      </w:r>
      <w:r w:rsidRPr="00425533">
        <w:rPr>
          <w:lang w:val="en-GB"/>
        </w:rPr>
        <w:t>49 y 50; A/HRC/WG.6/4/CAN/3, pá</w:t>
      </w:r>
      <w:r>
        <w:rPr>
          <w:lang w:val="en-GB"/>
        </w:rPr>
        <w:t>rr. 62.</w:t>
      </w:r>
    </w:p>
  </w:footnote>
  <w:footnote w:id="27">
    <w:p w:rsidR="00464409" w:rsidRPr="00464409" w:rsidRDefault="00464409" w:rsidP="00464409">
      <w:pPr>
        <w:pStyle w:val="FootnoteText"/>
        <w:adjustRightInd w:val="0"/>
        <w:snapToGrid w:val="0"/>
        <w:spacing w:line="240" w:lineRule="auto"/>
        <w:ind w:left="1138" w:right="1138"/>
        <w:rPr>
          <w:lang w:val="en-GB"/>
        </w:rPr>
      </w:pPr>
      <w:r w:rsidRPr="00425533">
        <w:rPr>
          <w:lang w:val="en-GB"/>
        </w:rPr>
        <w:tab/>
      </w:r>
      <w:r>
        <w:rPr>
          <w:rStyle w:val="FootnoteReference"/>
        </w:rPr>
        <w:footnoteRef/>
      </w:r>
      <w:r>
        <w:rPr>
          <w:lang w:val="en-GB"/>
        </w:rPr>
        <w:tab/>
      </w:r>
      <w:r w:rsidRPr="00425533">
        <w:rPr>
          <w:lang w:val="en-GB"/>
        </w:rPr>
        <w:t xml:space="preserve">A/HRC/WG.6/4/CAN/2, párr. </w:t>
      </w:r>
      <w:r w:rsidRPr="00464409">
        <w:rPr>
          <w:lang w:val="en-GB"/>
        </w:rPr>
        <w:t>52.</w:t>
      </w:r>
    </w:p>
  </w:footnote>
  <w:footnote w:id="28">
    <w:p w:rsidR="00464409" w:rsidRPr="00425533" w:rsidRDefault="00464409" w:rsidP="00464409">
      <w:pPr>
        <w:pStyle w:val="FootnoteText"/>
        <w:spacing w:line="240" w:lineRule="auto"/>
        <w:ind w:left="1138" w:right="1138"/>
        <w:rPr>
          <w:lang w:val="en-GB"/>
        </w:rPr>
      </w:pPr>
      <w:r w:rsidRPr="00464409">
        <w:rPr>
          <w:lang w:val="en-GB"/>
        </w:rPr>
        <w:tab/>
      </w:r>
      <w:r>
        <w:rPr>
          <w:rStyle w:val="FootnoteReference"/>
        </w:rPr>
        <w:footnoteRef/>
      </w:r>
      <w:r w:rsidRPr="00464409">
        <w:rPr>
          <w:lang w:val="en-GB"/>
        </w:rPr>
        <w:tab/>
        <w:t>CAT/C/CAN/6, párrs. 9 y 10</w:t>
      </w:r>
      <w:r w:rsidRPr="00425533">
        <w:rPr>
          <w:i/>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2" w:rsidRPr="00471492" w:rsidRDefault="00471492">
    <w:pPr>
      <w:pStyle w:val="Header"/>
    </w:pPr>
    <w:r>
      <w:t>CAT/C/CAN/Q/6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2" w:rsidRPr="00471492" w:rsidRDefault="00471492" w:rsidP="00471492">
    <w:pPr>
      <w:pStyle w:val="Header"/>
      <w:jc w:val="right"/>
    </w:pPr>
    <w:r>
      <w:t>CAT/C/CAN/Q/6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E3E"/>
    <w:rsid w:val="00033050"/>
    <w:rsid w:val="00033EE1"/>
    <w:rsid w:val="00042B72"/>
    <w:rsid w:val="000558BD"/>
    <w:rsid w:val="000B57E7"/>
    <w:rsid w:val="000B6373"/>
    <w:rsid w:val="000F09DF"/>
    <w:rsid w:val="000F61B2"/>
    <w:rsid w:val="001075E9"/>
    <w:rsid w:val="00180183"/>
    <w:rsid w:val="00183298"/>
    <w:rsid w:val="0018649F"/>
    <w:rsid w:val="00196389"/>
    <w:rsid w:val="001B3EF6"/>
    <w:rsid w:val="001C7A89"/>
    <w:rsid w:val="002A2EFC"/>
    <w:rsid w:val="002C0E18"/>
    <w:rsid w:val="002D5AAC"/>
    <w:rsid w:val="00301299"/>
    <w:rsid w:val="00307FB6"/>
    <w:rsid w:val="00317339"/>
    <w:rsid w:val="00322004"/>
    <w:rsid w:val="003402C2"/>
    <w:rsid w:val="003621E3"/>
    <w:rsid w:val="00381C24"/>
    <w:rsid w:val="003958D0"/>
    <w:rsid w:val="003B00E5"/>
    <w:rsid w:val="00407B78"/>
    <w:rsid w:val="00424203"/>
    <w:rsid w:val="00444015"/>
    <w:rsid w:val="00454E07"/>
    <w:rsid w:val="00464409"/>
    <w:rsid w:val="00471492"/>
    <w:rsid w:val="0050108D"/>
    <w:rsid w:val="00513081"/>
    <w:rsid w:val="00517901"/>
    <w:rsid w:val="00526683"/>
    <w:rsid w:val="005709E0"/>
    <w:rsid w:val="00572E19"/>
    <w:rsid w:val="005961C8"/>
    <w:rsid w:val="005D6E3E"/>
    <w:rsid w:val="005D7914"/>
    <w:rsid w:val="005F0B42"/>
    <w:rsid w:val="00681A10"/>
    <w:rsid w:val="006C2031"/>
    <w:rsid w:val="006D461A"/>
    <w:rsid w:val="006F35EE"/>
    <w:rsid w:val="007021FF"/>
    <w:rsid w:val="00712895"/>
    <w:rsid w:val="0073417A"/>
    <w:rsid w:val="00757357"/>
    <w:rsid w:val="007E5EDF"/>
    <w:rsid w:val="00825F8D"/>
    <w:rsid w:val="00834B71"/>
    <w:rsid w:val="0086445C"/>
    <w:rsid w:val="00886562"/>
    <w:rsid w:val="00894693"/>
    <w:rsid w:val="008A08D7"/>
    <w:rsid w:val="008B4227"/>
    <w:rsid w:val="008B6909"/>
    <w:rsid w:val="00906890"/>
    <w:rsid w:val="00911BE4"/>
    <w:rsid w:val="00951972"/>
    <w:rsid w:val="00A84021"/>
    <w:rsid w:val="00A917B3"/>
    <w:rsid w:val="00AB4B51"/>
    <w:rsid w:val="00B10CC7"/>
    <w:rsid w:val="00B539E7"/>
    <w:rsid w:val="00B62458"/>
    <w:rsid w:val="00BD33EE"/>
    <w:rsid w:val="00C60F0C"/>
    <w:rsid w:val="00C805C9"/>
    <w:rsid w:val="00C92939"/>
    <w:rsid w:val="00CA1679"/>
    <w:rsid w:val="00CE5A1A"/>
    <w:rsid w:val="00CF55F6"/>
    <w:rsid w:val="00D33D63"/>
    <w:rsid w:val="00D90138"/>
    <w:rsid w:val="00E0099F"/>
    <w:rsid w:val="00E73F76"/>
    <w:rsid w:val="00EA2C9F"/>
    <w:rsid w:val="00ED0BDA"/>
    <w:rsid w:val="00ED3569"/>
    <w:rsid w:val="00EF1360"/>
    <w:rsid w:val="00EF3220"/>
    <w:rsid w:val="00F42F6C"/>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9</Pages>
  <Words>3973</Words>
  <Characters>21853</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CAT/C/CAN/Q/6   -12-40044</vt:lpstr>
    </vt:vector>
  </TitlesOfParts>
  <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CAT/C/CAN/Q/6   -12-40044</dc:title>
  <dc:subject>Final</dc:subject>
  <dc:creator>Romina Meriño MacKay</dc:creator>
  <cp:keywords/>
  <dc:description/>
  <cp:lastModifiedBy>Pool</cp:lastModifiedBy>
  <cp:revision>2</cp:revision>
  <cp:lastPrinted>2008-01-15T08:58:00Z</cp:lastPrinted>
  <dcterms:created xsi:type="dcterms:W3CDTF">2012-02-03T08:23:00Z</dcterms:created>
  <dcterms:modified xsi:type="dcterms:W3CDTF">2012-02-03T08:23:00Z</dcterms:modified>
</cp:coreProperties>
</file>