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121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12148" w:rsidP="00512148">
            <w:pPr>
              <w:jc w:val="right"/>
            </w:pPr>
            <w:r w:rsidRPr="00512148">
              <w:rPr>
                <w:sz w:val="40"/>
              </w:rPr>
              <w:t>CERD</w:t>
            </w:r>
            <w:r>
              <w:t>/C/SAU/CO/4-9</w:t>
            </w:r>
          </w:p>
        </w:tc>
      </w:tr>
      <w:tr w:rsidR="002D5AAC" w:rsidRPr="00DF6FEF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12148" w:rsidRDefault="00512148" w:rsidP="008D2AAD">
            <w:pPr>
              <w:spacing w:before="240"/>
              <w:rPr>
                <w:lang w:val="en-US"/>
              </w:rPr>
            </w:pPr>
            <w:r w:rsidRPr="00512148">
              <w:rPr>
                <w:lang w:val="en-US"/>
              </w:rPr>
              <w:t>Distr.: General</w:t>
            </w:r>
          </w:p>
          <w:p w:rsidR="00512148" w:rsidRPr="00512148" w:rsidRDefault="00512148" w:rsidP="00512148">
            <w:pPr>
              <w:spacing w:line="240" w:lineRule="exact"/>
              <w:rPr>
                <w:lang w:val="en-US"/>
              </w:rPr>
            </w:pPr>
            <w:r w:rsidRPr="00512148">
              <w:rPr>
                <w:lang w:val="en-US"/>
              </w:rPr>
              <w:t>8 June 2018</w:t>
            </w:r>
          </w:p>
          <w:p w:rsidR="00512148" w:rsidRPr="00512148" w:rsidRDefault="00512148" w:rsidP="00512148">
            <w:pPr>
              <w:spacing w:line="240" w:lineRule="exact"/>
              <w:rPr>
                <w:lang w:val="en-US"/>
              </w:rPr>
            </w:pPr>
            <w:r w:rsidRPr="00512148">
              <w:rPr>
                <w:lang w:val="en-US"/>
              </w:rPr>
              <w:t>Russian</w:t>
            </w:r>
          </w:p>
          <w:p w:rsidR="00512148" w:rsidRPr="00512148" w:rsidRDefault="00512148" w:rsidP="00512148">
            <w:pPr>
              <w:spacing w:line="240" w:lineRule="exact"/>
              <w:rPr>
                <w:lang w:val="en-US"/>
              </w:rPr>
            </w:pPr>
            <w:r w:rsidRPr="00512148">
              <w:rPr>
                <w:lang w:val="en-US"/>
              </w:rPr>
              <w:t>Original: English</w:t>
            </w:r>
          </w:p>
        </w:tc>
      </w:tr>
    </w:tbl>
    <w:p w:rsidR="00582918" w:rsidRPr="00C97341" w:rsidRDefault="00582918" w:rsidP="00582918">
      <w:pPr>
        <w:spacing w:before="120"/>
        <w:rPr>
          <w:b/>
          <w:bCs/>
          <w:sz w:val="24"/>
          <w:szCs w:val="24"/>
        </w:rPr>
      </w:pPr>
      <w:r w:rsidRPr="00C97341">
        <w:rPr>
          <w:b/>
          <w:sz w:val="24"/>
          <w:szCs w:val="24"/>
        </w:rPr>
        <w:t xml:space="preserve">Комитет по ликвидации расовой дискриминации </w:t>
      </w:r>
    </w:p>
    <w:p w:rsidR="00582918" w:rsidRPr="00C403AB" w:rsidRDefault="00582918" w:rsidP="00582918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Заключительные замечания по объединенным четвертому</w:t>
      </w:r>
      <w:r w:rsidR="00DF6FEF" w:rsidRPr="00DF6FEF">
        <w:rPr>
          <w:lang w:val="ru-RU"/>
        </w:rPr>
        <w:t>–</w:t>
      </w:r>
      <w:r>
        <w:rPr>
          <w:lang w:val="ru-RU"/>
        </w:rPr>
        <w:t>девятому периодическим докладам Саудовской Аравии</w:t>
      </w:r>
      <w:r w:rsidRPr="00C97341">
        <w:rPr>
          <w:rStyle w:val="aa"/>
          <w:b w:val="0"/>
          <w:bCs/>
          <w:sz w:val="20"/>
          <w:vertAlign w:val="baseline"/>
          <w:lang w:val="ru-RU"/>
        </w:rPr>
        <w:footnoteReference w:customMarkFollows="1" w:id="1"/>
        <w:t>*</w:t>
      </w:r>
      <w:r>
        <w:rPr>
          <w:lang w:val="ru-RU"/>
        </w:rPr>
        <w:t xml:space="preserve"> 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Комитет рассмотрел объединенные </w:t>
      </w:r>
      <w:r w:rsidR="00DF6FEF">
        <w:rPr>
          <w:lang w:val="ru-RU"/>
        </w:rPr>
        <w:t>четвертый</w:t>
      </w:r>
      <w:r>
        <w:rPr>
          <w:lang w:val="ru-RU"/>
        </w:rPr>
        <w:t>–девятый периодические доклады Саудовской Аравии (CERD/C/SAU/4-9), представленные в одном документе, на своих 2622-м и 2623-м заседаниях (см. CERD/C/S</w:t>
      </w:r>
      <w:r w:rsidR="00DF6FEF">
        <w:rPr>
          <w:lang w:val="ru-RU"/>
        </w:rPr>
        <w:t>R.2622 и 2623), состоявшихся 26 и </w:t>
      </w:r>
      <w:bookmarkStart w:id="0" w:name="_GoBack"/>
      <w:bookmarkEnd w:id="0"/>
      <w:r>
        <w:rPr>
          <w:lang w:val="ru-RU"/>
        </w:rPr>
        <w:t>27 апреля 2018 года. На своем 2636-м заседании, состоявшемся 7 мая 2018 года, он принял настоящие заключительные замечания.</w:t>
      </w:r>
    </w:p>
    <w:p w:rsidR="00582918" w:rsidRPr="00C403AB" w:rsidRDefault="00DE4785" w:rsidP="00C97341">
      <w:pPr>
        <w:pStyle w:val="H1GR"/>
      </w:pPr>
      <w:r>
        <w:tab/>
      </w:r>
      <w:r w:rsidR="00582918">
        <w:t>A.</w:t>
      </w:r>
      <w:r w:rsidR="00582918">
        <w:tab/>
        <w:t>Введение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Комитет приветствует предст</w:t>
      </w:r>
      <w:r w:rsidR="00881671">
        <w:rPr>
          <w:lang w:val="ru-RU"/>
        </w:rPr>
        <w:t>авление объединенных четвертого–</w:t>
      </w:r>
      <w:r>
        <w:rPr>
          <w:lang w:val="ru-RU"/>
        </w:rPr>
        <w:t xml:space="preserve">девятого периодических докладов государства-участника, но сожалеет, что они были получены с более чем десятилетней задержкой. Комитет дает высокую оценку откровенному и конструктивному диалогу, состоявшемуся с делегацией государства-участника. </w:t>
      </w:r>
      <w:r w:rsidR="00881671">
        <w:rPr>
          <w:lang w:val="ru-RU"/>
        </w:rPr>
        <w:br/>
      </w:r>
      <w:r>
        <w:rPr>
          <w:lang w:val="ru-RU"/>
        </w:rPr>
        <w:t>Он выражает признательность делегации за информацию, представленную в ходе рассмотрения доклада.</w:t>
      </w:r>
    </w:p>
    <w:p w:rsidR="00582918" w:rsidRPr="00C403AB" w:rsidRDefault="00DE4785" w:rsidP="00582918">
      <w:pPr>
        <w:pStyle w:val="H1G"/>
        <w:rPr>
          <w:lang w:val="ru-RU"/>
        </w:rPr>
      </w:pPr>
      <w:r>
        <w:rPr>
          <w:lang w:val="ru-RU"/>
        </w:rPr>
        <w:tab/>
      </w:r>
      <w:r w:rsidR="00582918">
        <w:rPr>
          <w:lang w:val="ru-RU"/>
        </w:rPr>
        <w:t>B.</w:t>
      </w:r>
      <w:r w:rsidR="00582918">
        <w:rPr>
          <w:lang w:val="ru-RU"/>
        </w:rPr>
        <w:tab/>
        <w:t>Позитивные аспекты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Комитет приветствует ратификацию государством-участником следующих международных договоров по правам человека:</w:t>
      </w:r>
    </w:p>
    <w:p w:rsidR="00582918" w:rsidRPr="00C403AB" w:rsidRDefault="00DE4785" w:rsidP="00582918">
      <w:pPr>
        <w:pStyle w:val="SingleTxtG"/>
        <w:rPr>
          <w:lang w:val="ru-RU"/>
        </w:rPr>
      </w:pPr>
      <w:r>
        <w:rPr>
          <w:lang w:val="ru-RU"/>
        </w:rPr>
        <w:tab/>
      </w:r>
      <w:r w:rsidR="00582918">
        <w:rPr>
          <w:lang w:val="ru-RU"/>
        </w:rPr>
        <w:tab/>
        <w:t>а)</w:t>
      </w:r>
      <w:r w:rsidR="00582918">
        <w:rPr>
          <w:lang w:val="ru-RU"/>
        </w:rPr>
        <w:tab/>
        <w:t>Конвенции о правах инвалидов, в 2008 году;</w:t>
      </w:r>
    </w:p>
    <w:p w:rsidR="00582918" w:rsidRPr="00C403AB" w:rsidRDefault="00DE4785" w:rsidP="00582918">
      <w:pPr>
        <w:pStyle w:val="SingleTxtG"/>
        <w:rPr>
          <w:lang w:val="ru-RU"/>
        </w:rPr>
      </w:pPr>
      <w:r>
        <w:rPr>
          <w:lang w:val="ru-RU"/>
        </w:rPr>
        <w:tab/>
      </w:r>
      <w:r w:rsidR="00582918">
        <w:rPr>
          <w:lang w:val="ru-RU"/>
        </w:rPr>
        <w:tab/>
        <w:t>b)</w:t>
      </w:r>
      <w:r w:rsidR="00582918">
        <w:rPr>
          <w:lang w:val="ru-RU"/>
        </w:rPr>
        <w:tab/>
        <w:t xml:space="preserve">Факультативного протокола к Конвенции о правах инвалидов, </w:t>
      </w:r>
      <w:r>
        <w:rPr>
          <w:lang w:val="ru-RU"/>
        </w:rPr>
        <w:br/>
      </w:r>
      <w:r w:rsidR="00582918">
        <w:rPr>
          <w:lang w:val="ru-RU"/>
        </w:rPr>
        <w:t>в 2008 году;</w:t>
      </w:r>
    </w:p>
    <w:p w:rsidR="00582918" w:rsidRPr="00C403AB" w:rsidRDefault="00DE4785" w:rsidP="00582918">
      <w:pPr>
        <w:pStyle w:val="SingleTxtG"/>
        <w:rPr>
          <w:lang w:val="ru-RU"/>
        </w:rPr>
      </w:pPr>
      <w:r>
        <w:rPr>
          <w:lang w:val="ru-RU"/>
        </w:rPr>
        <w:tab/>
      </w:r>
      <w:r w:rsidR="00582918">
        <w:rPr>
          <w:lang w:val="ru-RU"/>
        </w:rPr>
        <w:tab/>
        <w:t>c)</w:t>
      </w:r>
      <w:r w:rsidR="00582918">
        <w:rPr>
          <w:lang w:val="ru-RU"/>
        </w:rPr>
        <w:tab/>
        <w:t>Факультативного протокола к Конвенции о правах ребенка, касающегося торговли детьми, детской проституции и детской порнографии, в 2010 году;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ab/>
      </w:r>
      <w:r w:rsidR="00DE4785">
        <w:rPr>
          <w:lang w:val="ru-RU"/>
        </w:rPr>
        <w:tab/>
      </w:r>
      <w:r>
        <w:rPr>
          <w:lang w:val="ru-RU"/>
        </w:rPr>
        <w:t>d)</w:t>
      </w:r>
      <w:r>
        <w:rPr>
          <w:lang w:val="ru-RU"/>
        </w:rPr>
        <w:tab/>
        <w:t xml:space="preserve">Факультативного протокола к Конвенции о правах ребенка, касающегося участия детей в вооруженных конфликтах, в 2011 году. 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Комитет приветствует следующие законодательные и политические меры, принятые государством-участником: </w:t>
      </w:r>
    </w:p>
    <w:p w:rsidR="00582918" w:rsidRPr="00C403AB" w:rsidRDefault="00DE4785" w:rsidP="00582918">
      <w:pPr>
        <w:pStyle w:val="SingleTxtG"/>
        <w:rPr>
          <w:lang w:val="ru-RU"/>
        </w:rPr>
      </w:pPr>
      <w:r>
        <w:rPr>
          <w:lang w:val="ru-RU"/>
        </w:rPr>
        <w:tab/>
      </w:r>
      <w:r w:rsidR="00582918">
        <w:rPr>
          <w:lang w:val="ru-RU"/>
        </w:rPr>
        <w:tab/>
        <w:t>а)</w:t>
      </w:r>
      <w:r w:rsidR="00582918">
        <w:rPr>
          <w:lang w:val="ru-RU"/>
        </w:rPr>
        <w:tab/>
        <w:t>создание Комиссии по правам человека, на основании Постановления Кабинета министров № 207 от 12 сентября 2005 года;</w:t>
      </w:r>
    </w:p>
    <w:p w:rsidR="00582918" w:rsidRPr="00C403AB" w:rsidRDefault="00DE4785" w:rsidP="00582918">
      <w:pPr>
        <w:pStyle w:val="SingleTxtG"/>
        <w:rPr>
          <w:lang w:val="ru-RU"/>
        </w:rPr>
      </w:pPr>
      <w:r>
        <w:rPr>
          <w:lang w:val="ru-RU"/>
        </w:rPr>
        <w:lastRenderedPageBreak/>
        <w:tab/>
      </w:r>
      <w:r w:rsidR="00582918">
        <w:rPr>
          <w:lang w:val="ru-RU"/>
        </w:rPr>
        <w:tab/>
        <w:t>b)</w:t>
      </w:r>
      <w:r w:rsidR="00582918">
        <w:rPr>
          <w:lang w:val="ru-RU"/>
        </w:rPr>
        <w:tab/>
        <w:t>создание постоянного комитета по борьбе с торговлей людьми, на основании Постановления Кабинета министров № 244 от 13 июля 2009 года;</w:t>
      </w:r>
    </w:p>
    <w:p w:rsidR="00582918" w:rsidRPr="00C403AB" w:rsidRDefault="00DE4785" w:rsidP="00582918">
      <w:pPr>
        <w:pStyle w:val="SingleTxtG"/>
        <w:rPr>
          <w:lang w:val="ru-RU"/>
        </w:rPr>
      </w:pPr>
      <w:r>
        <w:rPr>
          <w:lang w:val="ru-RU"/>
        </w:rPr>
        <w:tab/>
      </w:r>
      <w:r w:rsidR="00582918">
        <w:rPr>
          <w:lang w:val="ru-RU"/>
        </w:rPr>
        <w:tab/>
        <w:t>c)</w:t>
      </w:r>
      <w:r w:rsidR="00582918">
        <w:rPr>
          <w:lang w:val="ru-RU"/>
        </w:rPr>
        <w:tab/>
        <w:t>запрещение торговли людьми, на основании Закона о борьбе с торговлей людьми, введенного в действие Королевским указом № M/40 от 14 июля 2009 года;</w:t>
      </w:r>
    </w:p>
    <w:p w:rsidR="00582918" w:rsidRPr="00C403AB" w:rsidRDefault="00DE4785" w:rsidP="00582918">
      <w:pPr>
        <w:pStyle w:val="SingleTxtG"/>
        <w:rPr>
          <w:lang w:val="ru-RU"/>
        </w:rPr>
      </w:pPr>
      <w:r>
        <w:rPr>
          <w:lang w:val="ru-RU"/>
        </w:rPr>
        <w:tab/>
      </w:r>
      <w:r w:rsidR="00582918">
        <w:rPr>
          <w:lang w:val="ru-RU"/>
        </w:rPr>
        <w:tab/>
        <w:t>d)</w:t>
      </w:r>
      <w:r w:rsidR="00582918">
        <w:rPr>
          <w:lang w:val="ru-RU"/>
        </w:rPr>
        <w:tab/>
        <w:t>принятие Закона о защите от неправомерного обращения, в 2013 году;</w:t>
      </w:r>
    </w:p>
    <w:p w:rsidR="00582918" w:rsidRPr="00C403AB" w:rsidRDefault="00DE4785" w:rsidP="00582918">
      <w:pPr>
        <w:pStyle w:val="SingleTxtG"/>
        <w:rPr>
          <w:lang w:val="ru-RU"/>
        </w:rPr>
      </w:pPr>
      <w:r>
        <w:rPr>
          <w:lang w:val="ru-RU"/>
        </w:rPr>
        <w:tab/>
      </w:r>
      <w:r w:rsidR="00582918">
        <w:rPr>
          <w:lang w:val="ru-RU"/>
        </w:rPr>
        <w:tab/>
        <w:t>е)</w:t>
      </w:r>
      <w:r w:rsidR="00582918">
        <w:rPr>
          <w:lang w:val="ru-RU"/>
        </w:rPr>
        <w:tab/>
        <w:t>принятие Закона об уголовном судопроизводстве, в 2013 году;</w:t>
      </w:r>
    </w:p>
    <w:p w:rsidR="00582918" w:rsidRPr="00C403AB" w:rsidRDefault="00DE4785" w:rsidP="00582918">
      <w:pPr>
        <w:pStyle w:val="SingleTxtG"/>
        <w:rPr>
          <w:lang w:val="ru-RU"/>
        </w:rPr>
      </w:pPr>
      <w:r>
        <w:rPr>
          <w:lang w:val="ru-RU"/>
        </w:rPr>
        <w:tab/>
      </w:r>
      <w:r w:rsidR="00582918">
        <w:rPr>
          <w:lang w:val="ru-RU"/>
        </w:rPr>
        <w:tab/>
        <w:t>f)</w:t>
      </w:r>
      <w:r w:rsidR="00582918">
        <w:rPr>
          <w:lang w:val="ru-RU"/>
        </w:rPr>
        <w:tab/>
        <w:t>принятие Национального плана по борьбе с преступлениями, связанными с т</w:t>
      </w:r>
      <w:r w:rsidR="00B37639">
        <w:rPr>
          <w:lang w:val="ru-RU"/>
        </w:rPr>
        <w:t>орговлей людьми, на период 2017–</w:t>
      </w:r>
      <w:r w:rsidR="00582918">
        <w:rPr>
          <w:lang w:val="ru-RU"/>
        </w:rPr>
        <w:t>2020 годов;</w:t>
      </w:r>
    </w:p>
    <w:p w:rsidR="00582918" w:rsidRPr="00C403AB" w:rsidRDefault="00DE4785" w:rsidP="00582918">
      <w:pPr>
        <w:pStyle w:val="SingleTxtG"/>
        <w:rPr>
          <w:lang w:val="ru-RU"/>
        </w:rPr>
      </w:pPr>
      <w:r>
        <w:rPr>
          <w:lang w:val="ru-RU"/>
        </w:rPr>
        <w:tab/>
      </w:r>
      <w:r w:rsidR="00582918">
        <w:rPr>
          <w:lang w:val="ru-RU"/>
        </w:rPr>
        <w:tab/>
        <w:t>g)</w:t>
      </w:r>
      <w:r w:rsidR="00582918">
        <w:rPr>
          <w:lang w:val="ru-RU"/>
        </w:rPr>
        <w:tab/>
        <w:t xml:space="preserve">принятие Постановления Кабинета министров № 308 о Плане развития Саудовской Аравии на период до 2030 года, в 2016 году. </w:t>
      </w:r>
    </w:p>
    <w:p w:rsidR="00582918" w:rsidRPr="00C403AB" w:rsidRDefault="00DE4785" w:rsidP="00582918">
      <w:pPr>
        <w:pStyle w:val="H1G"/>
        <w:rPr>
          <w:lang w:val="ru-RU"/>
        </w:rPr>
      </w:pPr>
      <w:r>
        <w:rPr>
          <w:lang w:val="ru-RU"/>
        </w:rPr>
        <w:tab/>
      </w:r>
      <w:r w:rsidR="00582918">
        <w:rPr>
          <w:lang w:val="ru-RU"/>
        </w:rPr>
        <w:t>C.</w:t>
      </w:r>
      <w:r w:rsidR="00582918">
        <w:rPr>
          <w:lang w:val="ru-RU"/>
        </w:rPr>
        <w:tab/>
        <w:t xml:space="preserve">Вопросы, вызывающие </w:t>
      </w:r>
      <w:r w:rsidR="00B250AB">
        <w:rPr>
          <w:lang w:val="ru-RU"/>
        </w:rPr>
        <w:t>обеспокоенность, и рекомендации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Оговорки к Конвенции 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Комитет с обеспокоенностью отмечает, что государство-участник все еще сохраняет свою широкую оговорку, в соответствии с которой оно осуществляет положения Конвенции при условии, что они не противоречат законам шариата, а также свою оговорку к статье 22 Конвенции, что может сказываться на полном осуществлении Конвенции в государстве-участнике (статья 2).</w:t>
      </w:r>
    </w:p>
    <w:p w:rsidR="00582918" w:rsidRPr="006225D0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 w:rsidRPr="006225D0">
        <w:rPr>
          <w:b/>
          <w:lang w:val="ru-RU"/>
        </w:rPr>
        <w:t>Комитет предлагает государству-участнику вновь изучить и рассмотреть вопрос о снятии своей широкой оговорки к Конвенции с целью обеспечения полного осуществления Конвенции в государстве-участнике.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Статистические данные 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Комитет приветствует информацию о предстоящей переписи населения, которая будет проведена в 2020 году, но выражает озабоченность по поводу отсутствия в настоящее время подробных статистических данных об этническом составе населения, включая </w:t>
      </w:r>
      <w:proofErr w:type="spellStart"/>
      <w:r>
        <w:rPr>
          <w:lang w:val="ru-RU"/>
        </w:rPr>
        <w:t>неграждан</w:t>
      </w:r>
      <w:proofErr w:type="spellEnd"/>
      <w:r>
        <w:rPr>
          <w:lang w:val="ru-RU"/>
        </w:rPr>
        <w:t xml:space="preserve">, и об осуществлении экономических, социальных и культурных прав этническими группами и </w:t>
      </w:r>
      <w:proofErr w:type="spellStart"/>
      <w:r>
        <w:rPr>
          <w:lang w:val="ru-RU"/>
        </w:rPr>
        <w:t>негражданами</w:t>
      </w:r>
      <w:proofErr w:type="spellEnd"/>
      <w:r>
        <w:rPr>
          <w:lang w:val="ru-RU"/>
        </w:rPr>
        <w:t xml:space="preserve"> (статья 1). </w:t>
      </w:r>
    </w:p>
    <w:p w:rsidR="00582918" w:rsidRPr="006225D0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</w:r>
      <w:r w:rsidRPr="006225D0">
        <w:rPr>
          <w:b/>
          <w:lang w:val="ru-RU"/>
        </w:rPr>
        <w:t>Ссылаясь на пункты 10</w:t>
      </w:r>
      <w:r w:rsidR="00E75168" w:rsidRPr="006225D0">
        <w:rPr>
          <w:b/>
          <w:lang w:val="ru-RU"/>
        </w:rPr>
        <w:t>–</w:t>
      </w:r>
      <w:r w:rsidRPr="006225D0">
        <w:rPr>
          <w:b/>
          <w:lang w:val="ru-RU"/>
        </w:rPr>
        <w:t xml:space="preserve">12 своих руководящих принципов представления докладов согласно Конвенции (CERD/C/2007/1), Комитет рекомендует государству-участнику представить в своем следующем периодическом докладе: а) статистические данные о демографическом составе населения, включая </w:t>
      </w:r>
      <w:proofErr w:type="spellStart"/>
      <w:r w:rsidRPr="006225D0">
        <w:rPr>
          <w:b/>
          <w:lang w:val="ru-RU"/>
        </w:rPr>
        <w:t>неграждан</w:t>
      </w:r>
      <w:proofErr w:type="spellEnd"/>
      <w:r w:rsidRPr="006225D0">
        <w:rPr>
          <w:b/>
          <w:lang w:val="ru-RU"/>
        </w:rPr>
        <w:t xml:space="preserve">, основанные на самоидентификации этнических групп и дезагрегированные в соответствии с пунктом 1 статьи 1 Конвенции; </w:t>
      </w:r>
      <w:r w:rsidR="006225D0">
        <w:rPr>
          <w:b/>
          <w:lang w:val="ru-RU"/>
        </w:rPr>
        <w:br/>
      </w:r>
      <w:r w:rsidRPr="006225D0">
        <w:rPr>
          <w:b/>
          <w:lang w:val="ru-RU"/>
        </w:rPr>
        <w:t xml:space="preserve">и b) подробные статистические данные об осуществлении экономических, социальных и культурных прав в разбивке по этническим группам, а также гражданам и </w:t>
      </w:r>
      <w:proofErr w:type="spellStart"/>
      <w:r w:rsidRPr="006225D0">
        <w:rPr>
          <w:b/>
          <w:lang w:val="ru-RU"/>
        </w:rPr>
        <w:t>негражданам</w:t>
      </w:r>
      <w:proofErr w:type="spellEnd"/>
      <w:r w:rsidRPr="006225D0">
        <w:rPr>
          <w:b/>
          <w:lang w:val="ru-RU"/>
        </w:rPr>
        <w:t>, с тем чтобы Комитет располагал эмпирической базой для оценки положения в области обеспечения равного пользования правами, закрепленными в Конвенции.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Национальная комиссия по правам человека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 xml:space="preserve">Комитет принимает к сведению поправки, принятые в 2016 году с целью предоставления </w:t>
      </w:r>
      <w:proofErr w:type="spellStart"/>
      <w:r>
        <w:rPr>
          <w:lang w:val="ru-RU"/>
        </w:rPr>
        <w:t>бо́льшей</w:t>
      </w:r>
      <w:proofErr w:type="spellEnd"/>
      <w:r>
        <w:rPr>
          <w:lang w:val="ru-RU"/>
        </w:rPr>
        <w:t xml:space="preserve"> независимости национальной комиссии по правам человека, но выражает сожаление по поводу того, что комиссия еще не в полной мере соответствует принципам, касающимся статуса национальных учреждений, занимающихся поощрением и защитой прав человека (Парижские принципы) </w:t>
      </w:r>
      <w:r w:rsidR="00E75168">
        <w:rPr>
          <w:lang w:val="ru-RU"/>
        </w:rPr>
        <w:br/>
      </w:r>
      <w:r>
        <w:rPr>
          <w:lang w:val="ru-RU"/>
        </w:rPr>
        <w:t>(статья 2).</w:t>
      </w:r>
    </w:p>
    <w:p w:rsidR="00582918" w:rsidRPr="006225D0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 w:rsidRPr="006225D0">
        <w:rPr>
          <w:b/>
          <w:lang w:val="ru-RU"/>
        </w:rPr>
        <w:t>Комитет рекомендует государству-участнику принять необходимые меры для обеспечения того, чтобы национальная комиссия по правам человека соответствовала Парижским принципам, и предоставить этой комиссии достаточные людские и финансовые ресурсы для эффективного и независимого выполнения ею своего мандата, а также призывает государство-участник подать заявление о проведении обзора комиссии для ее аккредитации Глобальным альянсом национальных правозащитных учреждений.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Запрещение расовой дискриминации 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 xml:space="preserve">Комитет принимает к сведению информацию о том, что статья 8 Основного закона о государственном управлении гарантирует справедливость и равенство, и что Конвенция является частью национального права и имеет ту же силу, что и обычные законы. Однако Комитет обеспокоен тем, что отсутствие конкретного законодательного запрета на прямую и косвенную расовую дискриминацию по признакам, упоминаемым в статье 1, может препятствовать осуществлению прав, закрепленных в Конвенции. Комитет также выражает обеспокоенность по поводу отсутствия информации о мерах, принятых для приведения существующих законов в соответствие с Конвенцией (статья 1). </w:t>
      </w:r>
    </w:p>
    <w:p w:rsidR="00582918" w:rsidRPr="00A54E52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</w:r>
      <w:r w:rsidRPr="00A54E52">
        <w:rPr>
          <w:b/>
          <w:lang w:val="ru-RU"/>
        </w:rPr>
        <w:t xml:space="preserve">Комитет напоминает о своих предыдущих заключительных замечаниях </w:t>
      </w:r>
      <w:r w:rsidR="00E75168" w:rsidRPr="00A54E52">
        <w:rPr>
          <w:b/>
          <w:lang w:val="ru-RU"/>
        </w:rPr>
        <w:br/>
      </w:r>
      <w:r w:rsidRPr="00A54E52">
        <w:rPr>
          <w:b/>
          <w:lang w:val="ru-RU"/>
        </w:rPr>
        <w:t>(см. CERD/C/62/CO/8, пункт 10) и рекомендует государству-участнику принять всеобъемлющее внутреннее законодательство, запрещающее прямую и косвенную расовую дискриминацию в соответствии с Конвенцией, включая дискриминацию по всем запрещенным признакам, указанным в статье 1. Комитет также рекомендует государству-участнику обеспечить, чтобы существующее внутреннее законодательство полностью соответствовало положениям Конвенции.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Ненавистнические высказывания расистского толка и преступления на почве ненависти</w:t>
      </w:r>
    </w:p>
    <w:p w:rsidR="00582918" w:rsidRPr="00C403AB" w:rsidRDefault="00582918" w:rsidP="00582918">
      <w:pPr>
        <w:pStyle w:val="SingleTxtG"/>
        <w:rPr>
          <w:spacing w:val="-2"/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 xml:space="preserve">Комитет выражает сожаление в связи с отсутствием всеобъемлющей информации об осуществлении и воздействии правовых положений, запрещающих преступления на почве ненависти и ненавистнические высказывания (статья 4). </w:t>
      </w:r>
    </w:p>
    <w:p w:rsidR="00582918" w:rsidRPr="00A54E52" w:rsidRDefault="00582918" w:rsidP="00582918">
      <w:pPr>
        <w:pStyle w:val="SingleTxtG"/>
        <w:rPr>
          <w:b/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 w:rsidRPr="00A54E52">
        <w:rPr>
          <w:b/>
          <w:lang w:val="ru-RU"/>
        </w:rPr>
        <w:t xml:space="preserve">Комитет, ссылаясь на свои общие рекомендации № 7 (1985) об осуществлении статьи 4 Конвенции, № 8 (1990) о толковании и применении пунктов 1 и 4 статьи 1 Конвенции, № 15 (1993) в отношении статьи 4 Конвенции и № 35 (2013) о борьбе с ненавистническими высказываниями расистского толка, настоятельно призывает государство-участник обеспечить, чтобы положения его законодательства, запрещающего ненавистнические высказывания, полностью соответствовали статье 4 Конвенции. Комитет рекомендует государству-участнику представить в своем следующем периодическом докладе подробную информацию, включая судебные решения, об осуществлении и воздействии внутреннего законодательства, касающегося ненавистнических высказываний. 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Жалобы на расовую дискриминацию 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>Комитет выражает сожаление в связи с отсутствием информации о том, можно ли непосредственно ссылаться на положения Конвенции в национальных судах, а также примеров того, когда Конвенция служила правовым основанием для судебных решений. Кроме того, Комитет обеспокоен отсутствием всеобъемлющих данных и информации о жалобах на расовую дискриминацию и напоминает государству-участнику о том, что небольшое количество жалоб не означает отсутствия расовой дискриминации в государстве-участнике, а скорее может свидетельствовать о наличии препятствий на пути применения предусмотренных Конвенцией прав в национальных судах, в том числе о неосведомленности общественности об этих правах и способах задействования средств судебной защиты (статьи 6–7).</w:t>
      </w:r>
    </w:p>
    <w:p w:rsidR="00582918" w:rsidRPr="00A54E52" w:rsidRDefault="00582918" w:rsidP="00582918">
      <w:pPr>
        <w:pStyle w:val="SingleTxtG"/>
        <w:rPr>
          <w:b/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</w:r>
      <w:r w:rsidRPr="00A54E52">
        <w:rPr>
          <w:b/>
          <w:lang w:val="ru-RU"/>
        </w:rPr>
        <w:t>Комитет рекомендует государству-участнику:</w:t>
      </w:r>
    </w:p>
    <w:p w:rsidR="00582918" w:rsidRPr="00A54E52" w:rsidRDefault="00E75168" w:rsidP="00582918">
      <w:pPr>
        <w:pStyle w:val="SingleTxtG"/>
        <w:rPr>
          <w:b/>
          <w:bCs/>
          <w:lang w:val="ru-RU"/>
        </w:rPr>
      </w:pPr>
      <w:r w:rsidRPr="00A54E52">
        <w:rPr>
          <w:b/>
          <w:lang w:val="ru-RU"/>
        </w:rPr>
        <w:tab/>
      </w:r>
      <w:r w:rsidR="00582918" w:rsidRPr="00A54E52">
        <w:rPr>
          <w:b/>
          <w:lang w:val="ru-RU"/>
        </w:rPr>
        <w:tab/>
        <w:t>а)</w:t>
      </w:r>
      <w:r w:rsidR="00582918" w:rsidRPr="00A54E52">
        <w:rPr>
          <w:b/>
          <w:lang w:val="ru-RU"/>
        </w:rPr>
        <w:tab/>
        <w:t>представить в своем следующем периодическом докладе разъяснения в отношении того, можно ли ссылаться на положения Конвенции в национальных судах, в том числе примеры конкретных дел. Он также рекомендует государству-участнику представить статистические данные о количестве и видах жалоб на расовую дискриминацию, а также о количестве возбужденных дел и вынесенных обвинительных приговоров, в разбивке по возрасту, полу и этнической принадлежности жертв, равно как и информацию о компенсации, предоставленной жертвам;</w:t>
      </w:r>
    </w:p>
    <w:p w:rsidR="00582918" w:rsidRPr="00A54E52" w:rsidRDefault="00582918" w:rsidP="00582918">
      <w:pPr>
        <w:pStyle w:val="SingleTxtG"/>
        <w:rPr>
          <w:b/>
          <w:bCs/>
          <w:lang w:val="ru-RU"/>
        </w:rPr>
      </w:pPr>
      <w:r w:rsidRPr="00A54E52">
        <w:rPr>
          <w:b/>
          <w:lang w:val="ru-RU"/>
        </w:rPr>
        <w:tab/>
      </w:r>
      <w:r w:rsidR="00E75168" w:rsidRPr="00A54E52">
        <w:rPr>
          <w:b/>
          <w:lang w:val="ru-RU"/>
        </w:rPr>
        <w:tab/>
      </w:r>
      <w:r w:rsidRPr="00A54E52">
        <w:rPr>
          <w:b/>
          <w:lang w:val="ru-RU"/>
        </w:rPr>
        <w:t>b)</w:t>
      </w:r>
      <w:r w:rsidRPr="00A54E52">
        <w:rPr>
          <w:b/>
          <w:lang w:val="ru-RU"/>
        </w:rPr>
        <w:tab/>
        <w:t>организовать для сотрудников правоохранительных органов, прокуроров и судей программы подготовки по вопросам выявления и регистрации случаев расовой дискриминации;</w:t>
      </w:r>
    </w:p>
    <w:p w:rsidR="00582918" w:rsidRPr="00A54E52" w:rsidRDefault="00582918" w:rsidP="00582918">
      <w:pPr>
        <w:pStyle w:val="SingleTxtG"/>
        <w:rPr>
          <w:b/>
          <w:lang w:val="ru-RU"/>
        </w:rPr>
      </w:pPr>
      <w:r w:rsidRPr="00A54E52">
        <w:rPr>
          <w:b/>
          <w:lang w:val="ru-RU"/>
        </w:rPr>
        <w:tab/>
      </w:r>
      <w:r w:rsidR="00E75168" w:rsidRPr="00A54E52">
        <w:rPr>
          <w:b/>
          <w:lang w:val="ru-RU"/>
        </w:rPr>
        <w:tab/>
      </w:r>
      <w:r w:rsidRPr="00A54E52">
        <w:rPr>
          <w:b/>
          <w:lang w:val="ru-RU"/>
        </w:rPr>
        <w:t>c)</w:t>
      </w:r>
      <w:r w:rsidRPr="00A54E52">
        <w:rPr>
          <w:b/>
          <w:lang w:val="ru-RU"/>
        </w:rPr>
        <w:tab/>
        <w:t>проводить среди населения информационно-просветительские кампании, посвященные закрепленным в Конвенции правам и процедурам подачи жалоб на расовую дискриминацию.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Трудящиеся-мигранты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  <w:t xml:space="preserve">Комитет отмечает, что в соответствии с Постановлением Кабинета </w:t>
      </w:r>
      <w:r w:rsidR="00E75168">
        <w:rPr>
          <w:lang w:val="ru-RU"/>
        </w:rPr>
        <w:br/>
      </w:r>
      <w:r>
        <w:rPr>
          <w:lang w:val="ru-RU"/>
        </w:rPr>
        <w:t>министров № 166</w:t>
      </w:r>
      <w:r w:rsidR="00E75168">
        <w:rPr>
          <w:lang w:val="ru-RU"/>
        </w:rPr>
        <w:t xml:space="preserve"> от 9 октября 2000 года термин «</w:t>
      </w:r>
      <w:proofErr w:type="spellStart"/>
      <w:r>
        <w:rPr>
          <w:lang w:val="ru-RU"/>
        </w:rPr>
        <w:t>кафил</w:t>
      </w:r>
      <w:proofErr w:type="spellEnd"/>
      <w:r w:rsidR="00E75168">
        <w:rPr>
          <w:lang w:val="ru-RU"/>
        </w:rPr>
        <w:t xml:space="preserve">» </w:t>
      </w:r>
      <w:r>
        <w:rPr>
          <w:lang w:val="ru-RU"/>
        </w:rPr>
        <w:t xml:space="preserve">был заменен термином </w:t>
      </w:r>
      <w:r w:rsidR="00B250AB">
        <w:rPr>
          <w:lang w:val="ru-RU"/>
        </w:rPr>
        <w:t>«</w:t>
      </w:r>
      <w:r>
        <w:rPr>
          <w:lang w:val="ru-RU"/>
        </w:rPr>
        <w:t>работодатель</w:t>
      </w:r>
      <w:r w:rsidR="00E75168">
        <w:rPr>
          <w:lang w:val="ru-RU"/>
        </w:rPr>
        <w:t>»</w:t>
      </w:r>
      <w:r>
        <w:rPr>
          <w:lang w:val="ru-RU"/>
        </w:rPr>
        <w:t xml:space="preserve">. Однако он по-прежнему обеспокоен тем, что система спонсорства все еще сохраняется на практике, что ограничивает возможности работника в плане перехода на другую работу или прекращения трудовых отношений и является причиной случаев принудительного труда и других злоупотреблений, включая трудовую эксплуатацию, невыплату заработной платы, изъятие паспортов и ограничения свободы передвижения работников. Комитет также обеспокоен тем, что мигранты могут быть ограничены законом в их правах на свободу ассоциации и собраний. Кроме того, он обеспокоен большим числом мигрантов, которые подвергаются произвольным задержаниям, и несоразмерно высокой долей мигрантов среди тюремных заключенных и лиц, приговоренных к смертной казни (статья 5). </w:t>
      </w:r>
    </w:p>
    <w:p w:rsidR="00582918" w:rsidRPr="00254335" w:rsidRDefault="00582918" w:rsidP="00582918">
      <w:pPr>
        <w:pStyle w:val="SingleTxtG"/>
        <w:keepNext/>
        <w:keepLines/>
        <w:rPr>
          <w:b/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</w:r>
      <w:r w:rsidRPr="00254335">
        <w:rPr>
          <w:b/>
          <w:lang w:val="ru-RU"/>
        </w:rPr>
        <w:t>Комитет рекомендует государству-участнику:</w:t>
      </w:r>
    </w:p>
    <w:p w:rsidR="00582918" w:rsidRPr="00254335" w:rsidRDefault="00582918" w:rsidP="00582918">
      <w:pPr>
        <w:pStyle w:val="SingleTxtG"/>
        <w:keepNext/>
        <w:keepLines/>
        <w:rPr>
          <w:b/>
          <w:bCs/>
          <w:lang w:val="ru-RU"/>
        </w:rPr>
      </w:pPr>
      <w:r w:rsidRPr="00254335">
        <w:rPr>
          <w:b/>
          <w:lang w:val="ru-RU"/>
        </w:rPr>
        <w:tab/>
      </w:r>
      <w:r w:rsidR="00E75168" w:rsidRPr="00254335">
        <w:rPr>
          <w:b/>
          <w:lang w:val="ru-RU"/>
        </w:rPr>
        <w:tab/>
      </w:r>
      <w:r w:rsidRPr="00254335">
        <w:rPr>
          <w:b/>
          <w:lang w:val="ru-RU"/>
        </w:rPr>
        <w:t>а)</w:t>
      </w:r>
      <w:r w:rsidRPr="00254335">
        <w:rPr>
          <w:b/>
          <w:lang w:val="ru-RU"/>
        </w:rPr>
        <w:tab/>
        <w:t xml:space="preserve">положить конец практическому существованию системы спонсорства и обеспечить, чтобы </w:t>
      </w:r>
      <w:proofErr w:type="spellStart"/>
      <w:r w:rsidRPr="00254335">
        <w:rPr>
          <w:b/>
          <w:lang w:val="ru-RU"/>
        </w:rPr>
        <w:t>найм</w:t>
      </w:r>
      <w:proofErr w:type="spellEnd"/>
      <w:r w:rsidRPr="00254335">
        <w:rPr>
          <w:b/>
          <w:lang w:val="ru-RU"/>
        </w:rPr>
        <w:t xml:space="preserve"> трудящихся-мигрантов на работу регулировался трудовым законодательством, и чтобы выдача виз и видов на жительство производилась через компетентное министерство;</w:t>
      </w:r>
    </w:p>
    <w:p w:rsidR="00582918" w:rsidRPr="00254335" w:rsidRDefault="00E75168" w:rsidP="00582918">
      <w:pPr>
        <w:pStyle w:val="SingleTxtG"/>
        <w:rPr>
          <w:b/>
          <w:bCs/>
          <w:lang w:val="ru-RU"/>
        </w:rPr>
      </w:pPr>
      <w:r w:rsidRPr="00254335">
        <w:rPr>
          <w:b/>
          <w:lang w:val="ru-RU"/>
        </w:rPr>
        <w:tab/>
      </w:r>
      <w:r w:rsidR="00582918" w:rsidRPr="00254335">
        <w:rPr>
          <w:b/>
          <w:lang w:val="ru-RU"/>
        </w:rPr>
        <w:tab/>
        <w:t>b)</w:t>
      </w:r>
      <w:r w:rsidR="00582918" w:rsidRPr="00254335">
        <w:rPr>
          <w:b/>
          <w:lang w:val="ru-RU"/>
        </w:rPr>
        <w:tab/>
        <w:t>обеспечить эффективное соблюдение всех существующих положений о защите трудящихся-мигрантов от злоупотреблений и эксплуатации;</w:t>
      </w:r>
    </w:p>
    <w:p w:rsidR="00582918" w:rsidRPr="00254335" w:rsidRDefault="00E75168" w:rsidP="00582918">
      <w:pPr>
        <w:pStyle w:val="SingleTxtG"/>
        <w:rPr>
          <w:b/>
          <w:bCs/>
          <w:lang w:val="ru-RU"/>
        </w:rPr>
      </w:pPr>
      <w:r w:rsidRPr="00254335">
        <w:rPr>
          <w:b/>
          <w:lang w:val="ru-RU"/>
        </w:rPr>
        <w:tab/>
      </w:r>
      <w:r w:rsidR="00582918" w:rsidRPr="00254335">
        <w:rPr>
          <w:b/>
          <w:lang w:val="ru-RU"/>
        </w:rPr>
        <w:tab/>
        <w:t>c)</w:t>
      </w:r>
      <w:r w:rsidR="00582918" w:rsidRPr="00254335">
        <w:rPr>
          <w:b/>
          <w:lang w:val="ru-RU"/>
        </w:rPr>
        <w:tab/>
        <w:t xml:space="preserve">обеспечить осуществление права мигрантов на свободу ассоциации и собраний; </w:t>
      </w:r>
    </w:p>
    <w:p w:rsidR="00582918" w:rsidRPr="00254335" w:rsidRDefault="00582918" w:rsidP="00582918">
      <w:pPr>
        <w:pStyle w:val="SingleTxtG"/>
        <w:rPr>
          <w:b/>
          <w:lang w:val="ru-RU"/>
        </w:rPr>
      </w:pPr>
      <w:r w:rsidRPr="00254335">
        <w:rPr>
          <w:b/>
          <w:lang w:val="ru-RU"/>
        </w:rPr>
        <w:tab/>
      </w:r>
      <w:r w:rsidR="00E75168" w:rsidRPr="00254335">
        <w:rPr>
          <w:b/>
          <w:lang w:val="ru-RU"/>
        </w:rPr>
        <w:tab/>
      </w:r>
      <w:r w:rsidRPr="00254335">
        <w:rPr>
          <w:b/>
          <w:lang w:val="ru-RU"/>
        </w:rPr>
        <w:t>d)</w:t>
      </w:r>
      <w:r w:rsidRPr="00254335">
        <w:rPr>
          <w:b/>
          <w:lang w:val="ru-RU"/>
        </w:rPr>
        <w:tab/>
        <w:t>обеспечить эффективное проведение инспекций квалифицированными должностными лицами в целях выявления и искоренения злоупотреблений в сфере труда;</w:t>
      </w:r>
    </w:p>
    <w:p w:rsidR="00582918" w:rsidRPr="00254335" w:rsidRDefault="00582918" w:rsidP="00582918">
      <w:pPr>
        <w:pStyle w:val="SingleTxtG"/>
        <w:rPr>
          <w:b/>
          <w:bCs/>
          <w:lang w:val="ru-RU"/>
        </w:rPr>
      </w:pPr>
      <w:r w:rsidRPr="00254335">
        <w:rPr>
          <w:b/>
          <w:lang w:val="ru-RU"/>
        </w:rPr>
        <w:tab/>
      </w:r>
      <w:r w:rsidR="00E75168" w:rsidRPr="00254335">
        <w:rPr>
          <w:b/>
          <w:lang w:val="ru-RU"/>
        </w:rPr>
        <w:tab/>
      </w:r>
      <w:r w:rsidRPr="00254335">
        <w:rPr>
          <w:b/>
          <w:lang w:val="ru-RU"/>
        </w:rPr>
        <w:t>е)</w:t>
      </w:r>
      <w:r w:rsidRPr="00254335">
        <w:rPr>
          <w:b/>
          <w:lang w:val="ru-RU"/>
        </w:rPr>
        <w:tab/>
        <w:t>обеспечить полный доступ к механизмам подачи жалоб и надлежащим средствам правовой защиты;</w:t>
      </w:r>
    </w:p>
    <w:p w:rsidR="00582918" w:rsidRPr="00254335" w:rsidRDefault="00E75168" w:rsidP="00582918">
      <w:pPr>
        <w:pStyle w:val="SingleTxtG"/>
        <w:rPr>
          <w:b/>
          <w:bCs/>
          <w:lang w:val="ru-RU"/>
        </w:rPr>
      </w:pPr>
      <w:r w:rsidRPr="00254335">
        <w:rPr>
          <w:b/>
          <w:lang w:val="ru-RU"/>
        </w:rPr>
        <w:tab/>
      </w:r>
      <w:r w:rsidR="00582918" w:rsidRPr="00254335">
        <w:rPr>
          <w:b/>
          <w:lang w:val="ru-RU"/>
        </w:rPr>
        <w:tab/>
        <w:t>f)</w:t>
      </w:r>
      <w:r w:rsidR="00582918" w:rsidRPr="00254335">
        <w:rPr>
          <w:b/>
          <w:lang w:val="ru-RU"/>
        </w:rPr>
        <w:tab/>
        <w:t>изучить коренные причины чрезмерно высокой представленности трудящихся-мигрантов в системе уголовного правосудия с целью устранения этих причин, приняв при этом во внимание общую рекомендацию № 31 (2005) о предупреждении расовой дискриминации в процессе отправления и функционирования системы уголовного правосудия;</w:t>
      </w:r>
    </w:p>
    <w:p w:rsidR="00582918" w:rsidRPr="00254335" w:rsidRDefault="00E7516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ab/>
      </w:r>
      <w:r w:rsidR="00582918">
        <w:rPr>
          <w:lang w:val="ru-RU"/>
        </w:rPr>
        <w:tab/>
      </w:r>
      <w:r w:rsidR="00582918" w:rsidRPr="00254335">
        <w:rPr>
          <w:b/>
          <w:lang w:val="ru-RU"/>
        </w:rPr>
        <w:t>g)</w:t>
      </w:r>
      <w:r w:rsidR="00582918" w:rsidRPr="00254335">
        <w:rPr>
          <w:b/>
          <w:lang w:val="ru-RU"/>
        </w:rPr>
        <w:tab/>
        <w:t xml:space="preserve">рассмотреть вопрос об отмене смертной казни; </w:t>
      </w:r>
    </w:p>
    <w:p w:rsidR="00582918" w:rsidRPr="00254335" w:rsidRDefault="00E75168" w:rsidP="00582918">
      <w:pPr>
        <w:pStyle w:val="SingleTxtG"/>
        <w:rPr>
          <w:b/>
          <w:bCs/>
          <w:lang w:val="ru-RU"/>
        </w:rPr>
      </w:pPr>
      <w:r w:rsidRPr="00254335">
        <w:rPr>
          <w:b/>
          <w:lang w:val="ru-RU"/>
        </w:rPr>
        <w:tab/>
      </w:r>
      <w:r w:rsidR="00582918" w:rsidRPr="00254335">
        <w:rPr>
          <w:b/>
          <w:lang w:val="ru-RU"/>
        </w:rPr>
        <w:tab/>
        <w:t>h)</w:t>
      </w:r>
      <w:r w:rsidR="00582918" w:rsidRPr="00254335">
        <w:rPr>
          <w:b/>
          <w:lang w:val="ru-RU"/>
        </w:rPr>
        <w:tab/>
        <w:t>включить в свой следующий периодический доклад подробную информацию о положении дел с отменой системы спонсорства на практике, а также об осуществлении и результативности мер по защите трудящихся-мигрантов.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Домашние работники 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  <w:t xml:space="preserve">Комитет отмечает шаги, предпринятые в целях улучшения положения домашних работников, включая правила, регулирующие их отношения с работодателями, создание линии горячей связи для предоставления информации и консультаций относительно прав домашних работников на восьми языках и рабочие совещания, посвященные их правам. Однако Комитет по-прежнему обеспокоен тем, что домашние работники, две трети из которых составляют женщины-мигранты, не имеют таких же гарантий в области охраны труда, как другие трудящиеся, и продолжают подвергаться таким злоупотреблениям, как чрезмерная продолжительность рабочего дня, невыплата заработной платы, удержание паспортов и физическое и сексуальное насилие (статья 5). </w:t>
      </w:r>
    </w:p>
    <w:p w:rsidR="00582918" w:rsidRPr="00254335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</w:r>
      <w:r w:rsidRPr="00254335">
        <w:rPr>
          <w:b/>
          <w:lang w:val="ru-RU"/>
        </w:rPr>
        <w:t>Ссылаясь на свою общую рекомендацию № 25 (2000) о гендерных аспектах расовой дискриминации, Комитет рекомендует государству-участнику:</w:t>
      </w:r>
    </w:p>
    <w:p w:rsidR="00582918" w:rsidRPr="00254335" w:rsidRDefault="00582918" w:rsidP="00582918">
      <w:pPr>
        <w:pStyle w:val="SingleTxtG"/>
        <w:rPr>
          <w:b/>
          <w:bCs/>
          <w:lang w:val="ru-RU"/>
        </w:rPr>
      </w:pPr>
      <w:r w:rsidRPr="00254335">
        <w:rPr>
          <w:b/>
          <w:lang w:val="ru-RU"/>
        </w:rPr>
        <w:tab/>
      </w:r>
      <w:r w:rsidR="00E75168" w:rsidRPr="00254335">
        <w:rPr>
          <w:b/>
          <w:lang w:val="ru-RU"/>
        </w:rPr>
        <w:tab/>
      </w:r>
      <w:r w:rsidRPr="00254335">
        <w:rPr>
          <w:b/>
          <w:lang w:val="ru-RU"/>
        </w:rPr>
        <w:t>а)</w:t>
      </w:r>
      <w:r w:rsidRPr="00254335">
        <w:rPr>
          <w:b/>
          <w:lang w:val="ru-RU"/>
        </w:rPr>
        <w:tab/>
        <w:t>обеспечить, чтобы использование труда иностранных домашних работников, равно как и всех трудящихся-мигрантов, регулировалось трудовым законодательством, и чтобы все существующие положения о защите иностранных домашних работников от злоупотреблений и эксплуатации соблюдались эффективным образом;</w:t>
      </w:r>
    </w:p>
    <w:p w:rsidR="00582918" w:rsidRPr="00254335" w:rsidRDefault="00E75168" w:rsidP="00582918">
      <w:pPr>
        <w:pStyle w:val="SingleTxtG"/>
        <w:rPr>
          <w:b/>
          <w:bCs/>
          <w:lang w:val="ru-RU"/>
        </w:rPr>
      </w:pPr>
      <w:r w:rsidRPr="00254335">
        <w:rPr>
          <w:b/>
          <w:lang w:val="ru-RU"/>
        </w:rPr>
        <w:tab/>
      </w:r>
      <w:r w:rsidR="00582918" w:rsidRPr="00254335">
        <w:rPr>
          <w:b/>
          <w:lang w:val="ru-RU"/>
        </w:rPr>
        <w:tab/>
        <w:t>b)</w:t>
      </w:r>
      <w:r w:rsidR="00582918" w:rsidRPr="00254335">
        <w:rPr>
          <w:b/>
          <w:lang w:val="ru-RU"/>
        </w:rPr>
        <w:tab/>
        <w:t>обеспечить, чтобы все жертвы злоупотреблений и трудовой эксплуатации имели доступ к механизмам подачи жалоб, средствам судебной защиты и приютам;</w:t>
      </w:r>
    </w:p>
    <w:p w:rsidR="00582918" w:rsidRPr="00254335" w:rsidRDefault="00E75168" w:rsidP="00582918">
      <w:pPr>
        <w:pStyle w:val="SingleTxtG"/>
        <w:rPr>
          <w:b/>
          <w:bCs/>
          <w:lang w:val="ru-RU"/>
        </w:rPr>
      </w:pPr>
      <w:r w:rsidRPr="00254335">
        <w:rPr>
          <w:b/>
          <w:lang w:val="ru-RU"/>
        </w:rPr>
        <w:tab/>
      </w:r>
      <w:r w:rsidR="00582918" w:rsidRPr="00254335">
        <w:rPr>
          <w:b/>
          <w:lang w:val="ru-RU"/>
        </w:rPr>
        <w:tab/>
        <w:t>c)</w:t>
      </w:r>
      <w:r w:rsidR="00582918" w:rsidRPr="00254335">
        <w:rPr>
          <w:b/>
          <w:lang w:val="ru-RU"/>
        </w:rPr>
        <w:tab/>
        <w:t xml:space="preserve">ратифицировать Конвенцию Международной организации труда </w:t>
      </w:r>
      <w:r w:rsidRPr="00254335">
        <w:rPr>
          <w:b/>
          <w:lang w:val="ru-RU"/>
        </w:rPr>
        <w:br/>
      </w:r>
      <w:r w:rsidR="00582918" w:rsidRPr="00254335">
        <w:rPr>
          <w:b/>
          <w:lang w:val="ru-RU"/>
        </w:rPr>
        <w:t xml:space="preserve">2011 года (№ 189) о достойном труде домашних работников; </w:t>
      </w:r>
    </w:p>
    <w:p w:rsidR="00582918" w:rsidRPr="00254335" w:rsidRDefault="00582918" w:rsidP="00582918">
      <w:pPr>
        <w:pStyle w:val="SingleTxtG"/>
        <w:rPr>
          <w:b/>
          <w:lang w:val="ru-RU"/>
        </w:rPr>
      </w:pPr>
      <w:r w:rsidRPr="00254335">
        <w:rPr>
          <w:b/>
          <w:lang w:val="ru-RU"/>
        </w:rPr>
        <w:tab/>
      </w:r>
      <w:r w:rsidR="00E75168" w:rsidRPr="00254335">
        <w:rPr>
          <w:b/>
          <w:lang w:val="ru-RU"/>
        </w:rPr>
        <w:tab/>
      </w:r>
      <w:r w:rsidRPr="00254335">
        <w:rPr>
          <w:b/>
          <w:lang w:val="ru-RU"/>
        </w:rPr>
        <w:t>d)</w:t>
      </w:r>
      <w:r w:rsidRPr="00254335">
        <w:rPr>
          <w:b/>
          <w:lang w:val="ru-RU"/>
        </w:rPr>
        <w:tab/>
        <w:t xml:space="preserve">представить в своем следующем периодическом докладе подробную информацию об осуществлении и эффективности законов и стратегий в области защиты иностранных домашних работников от трудовой эксплуатации, а также информацию и данные о поступивших жалобах и результатах их рассмотрения, в том числе о случаях, когда домашние работники смогли сменить работодателей. 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Доступ трудящихся-мигрантов к правосудию </w:t>
      </w:r>
    </w:p>
    <w:p w:rsidR="00582918" w:rsidRPr="00C403AB" w:rsidRDefault="00582918" w:rsidP="00E75168">
      <w:pPr>
        <w:pStyle w:val="SingleTxtG"/>
        <w:spacing w:before="240"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  <w:t>Комитет с интересом отмечает представленные в ходе диалога данные о количестве жалоб, поданных трудящимися в примирительные комиссии по урегулированию трудовых споров, а также информацию о создании министерством, ведающим вопросами труда, механизма рассмотрения жалоб, но выражает сожаление по поводу отсутствия подробной информации об этих жалобах и результатах их рассмотрения. Он также обеспокоен препятствиями, с которыми могут сталкиваться иностранные трудящиеся при получении доступа к правосудию, такими как отсутствие возможностей для подачи жалоб, страх подвергнуться депортации или репрессивным мерам, а также того, что лица, совершившие нарушения, ос</w:t>
      </w:r>
      <w:r w:rsidR="00E75168">
        <w:rPr>
          <w:lang w:val="ru-RU"/>
        </w:rPr>
        <w:t>таются безнаказанными (статьи 5–</w:t>
      </w:r>
      <w:r>
        <w:rPr>
          <w:lang w:val="ru-RU"/>
        </w:rPr>
        <w:t xml:space="preserve">6). </w:t>
      </w:r>
    </w:p>
    <w:p w:rsidR="00582918" w:rsidRPr="00254335" w:rsidRDefault="00582918" w:rsidP="00582918">
      <w:pPr>
        <w:pStyle w:val="SingleTxtG"/>
        <w:rPr>
          <w:b/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</w:r>
      <w:r w:rsidRPr="00254335">
        <w:rPr>
          <w:b/>
          <w:lang w:val="ru-RU"/>
        </w:rPr>
        <w:t xml:space="preserve">Ссылаясь на свою общую рекомендацию № 31, Комитет рекомендует государству-участнику: </w:t>
      </w:r>
    </w:p>
    <w:p w:rsidR="00582918" w:rsidRPr="00254335" w:rsidRDefault="00E75168" w:rsidP="00582918">
      <w:pPr>
        <w:pStyle w:val="SingleTxtG"/>
        <w:rPr>
          <w:b/>
          <w:bCs/>
          <w:lang w:val="ru-RU"/>
        </w:rPr>
      </w:pPr>
      <w:r w:rsidRPr="00254335">
        <w:rPr>
          <w:b/>
          <w:lang w:val="ru-RU"/>
        </w:rPr>
        <w:tab/>
      </w:r>
      <w:r w:rsidR="00582918" w:rsidRPr="00254335">
        <w:rPr>
          <w:b/>
          <w:lang w:val="ru-RU"/>
        </w:rPr>
        <w:tab/>
        <w:t>а)</w:t>
      </w:r>
      <w:r w:rsidR="00582918" w:rsidRPr="00254335">
        <w:rPr>
          <w:b/>
          <w:lang w:val="ru-RU"/>
        </w:rPr>
        <w:tab/>
        <w:t>устранить все препятствия на пути получения доступа к правосудию посредством обеспечения того, чтобы все иностранные трудящиеся имели доступ к независимым и эффективным механизмам рассмотрения жалоб, не опасаясь актов репрессий;</w:t>
      </w:r>
    </w:p>
    <w:p w:rsidR="00582918" w:rsidRPr="00254335" w:rsidRDefault="00E75168" w:rsidP="00582918">
      <w:pPr>
        <w:pStyle w:val="SingleTxtG"/>
        <w:rPr>
          <w:b/>
          <w:bCs/>
          <w:lang w:val="ru-RU"/>
        </w:rPr>
      </w:pPr>
      <w:r w:rsidRPr="00254335">
        <w:rPr>
          <w:b/>
          <w:lang w:val="ru-RU"/>
        </w:rPr>
        <w:tab/>
      </w:r>
      <w:r w:rsidR="00582918" w:rsidRPr="00254335">
        <w:rPr>
          <w:b/>
          <w:lang w:val="ru-RU"/>
        </w:rPr>
        <w:tab/>
        <w:t>b)</w:t>
      </w:r>
      <w:r w:rsidR="00582918" w:rsidRPr="00254335">
        <w:rPr>
          <w:b/>
          <w:lang w:val="ru-RU"/>
        </w:rPr>
        <w:tab/>
        <w:t>проводить мероприятия с целью повышения уровня осведомленности о соответствующих правах и обязанностях работников и работодателей;</w:t>
      </w:r>
    </w:p>
    <w:p w:rsidR="00582918" w:rsidRPr="00254335" w:rsidRDefault="00582918" w:rsidP="00582918">
      <w:pPr>
        <w:pStyle w:val="SingleTxtG"/>
        <w:rPr>
          <w:b/>
          <w:bCs/>
          <w:lang w:val="ru-RU"/>
        </w:rPr>
      </w:pPr>
      <w:r w:rsidRPr="00254335">
        <w:rPr>
          <w:b/>
          <w:lang w:val="ru-RU"/>
        </w:rPr>
        <w:tab/>
      </w:r>
      <w:r w:rsidR="00E75168" w:rsidRPr="00254335">
        <w:rPr>
          <w:b/>
          <w:lang w:val="ru-RU"/>
        </w:rPr>
        <w:tab/>
      </w:r>
      <w:r w:rsidRPr="00254335">
        <w:rPr>
          <w:b/>
          <w:lang w:val="ru-RU"/>
        </w:rPr>
        <w:t>c)</w:t>
      </w:r>
      <w:r w:rsidRPr="00254335">
        <w:rPr>
          <w:b/>
          <w:lang w:val="ru-RU"/>
        </w:rPr>
        <w:tab/>
        <w:t xml:space="preserve">обеспечить осуществление существующих стратегий и соблюдение законов, касающихся защиты трудящихся-мигрантов, расследование всех сообщений о случаях жестокого обращения с трудящимися-мигрантами, а также эффективное преследование и наказание виновных; </w:t>
      </w:r>
    </w:p>
    <w:p w:rsidR="00582918" w:rsidRPr="00254335" w:rsidRDefault="00E75168" w:rsidP="00582918">
      <w:pPr>
        <w:pStyle w:val="SingleTxtG"/>
        <w:rPr>
          <w:b/>
          <w:lang w:val="ru-RU"/>
        </w:rPr>
      </w:pPr>
      <w:r>
        <w:rPr>
          <w:lang w:val="ru-RU"/>
        </w:rPr>
        <w:tab/>
      </w:r>
      <w:r w:rsidR="00582918">
        <w:rPr>
          <w:lang w:val="ru-RU"/>
        </w:rPr>
        <w:tab/>
      </w:r>
      <w:r w:rsidR="00582918" w:rsidRPr="00254335">
        <w:rPr>
          <w:b/>
          <w:lang w:val="ru-RU"/>
        </w:rPr>
        <w:t>d)</w:t>
      </w:r>
      <w:r w:rsidR="00582918" w:rsidRPr="00254335">
        <w:rPr>
          <w:b/>
          <w:lang w:val="ru-RU"/>
        </w:rPr>
        <w:tab/>
        <w:t xml:space="preserve">представить информацию о количестве и видах жалоб, поданных иностранными трудящимися, в разбивке по их полу и этнической принадлежности, о количестве расследований, судебных преследований и обвинительных приговоров, а также о назначенных наказаниях и средствах правовой защиты, предоставленных жертвам. 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Свобода религии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  <w:t xml:space="preserve">Комитет обеспокоен тем, что этно-религиозные меньшинства сталкиваются с препятствиями на пути свободного осуществления своего права на свободу религии или убеждений, в том числе с запретом на строительство мест отправления религиозных культов и их публичное отправление. Он также обеспокоен тем, что некоторые этно-религиозные меньшинства сталкиваются с дискриминацией в сфере образования, занятости и в рамках правовой системы (статья 5). </w:t>
      </w:r>
    </w:p>
    <w:p w:rsidR="00582918" w:rsidRPr="00C403AB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</w:r>
      <w:r w:rsidRPr="003E4EFB">
        <w:rPr>
          <w:b/>
          <w:lang w:val="ru-RU"/>
        </w:rPr>
        <w:t xml:space="preserve">Комитет рекомендует государству-участнику принять эффективные меры для обеспечения осуществления прав этно-религиозных меньшинств, включая их право на свободу мысли, совести и религии, без какой-либо дискриминации по признакам расы, цвета кожи, родового, национального или этнического происхождения, в соответствии со статьей 5 Конвенции. Он также рекомендует государству-участнику устранить все препятствия, с которыми сталкиваются этно-религиозные меньшинства в сфере образования, в том числе путем исключения из учебников уничижительных замечаний в отношении других религий, а также в сфере занятости и в правовой системе. 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Положение этнических меньшинств 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  <w:t xml:space="preserve">Комитет обеспокоен сообщениями о том, что лица азиатского и африканского происхождения сталкиваются с дискриминацией при получении доступа к жилью, образованию, медицинскому обслуживанию и занятости, а также о существующих в обществе расистских взглядах (статья 5). </w:t>
      </w:r>
    </w:p>
    <w:p w:rsidR="00582918" w:rsidRPr="003E4EFB" w:rsidRDefault="00582918" w:rsidP="00582918">
      <w:pPr>
        <w:pStyle w:val="SingleTxtG"/>
        <w:rPr>
          <w:b/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</w:r>
      <w:r w:rsidRPr="003E4EFB">
        <w:rPr>
          <w:b/>
          <w:lang w:val="ru-RU"/>
        </w:rPr>
        <w:t xml:space="preserve">Комитет рекомендует государству-участнику устранить препятствия и обеспечить лицам азиатского и африканского происхождения равный доступ к жилью, образованию, медицинскому обслуживанию и занятости без какой-либо дискриминации. Он также рекомендует государству-участнику продолжать проводить общеобразовательные программы с целью искоренения существующих в обществе расистских взглядов. 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Женщины из числа меньшинств </w:t>
      </w:r>
    </w:p>
    <w:p w:rsidR="00582918" w:rsidRPr="00507271" w:rsidRDefault="00582918" w:rsidP="00582918">
      <w:pPr>
        <w:pStyle w:val="SingleTxtG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  <w:t>Комитет с обеспокоенностью отмечает, что женщины из групп меньшинств сталкиваются с множественными формами дискриминации по признакам этнического происхождения и пола, в том числе при получении доступа к занятости, образованию, медицинскому обслуживанию и правосудию (статьи 2 и 5).</w:t>
      </w:r>
    </w:p>
    <w:p w:rsidR="00582918" w:rsidRPr="003E4EFB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</w:r>
      <w:r w:rsidRPr="003E4EFB">
        <w:rPr>
          <w:b/>
          <w:lang w:val="ru-RU"/>
        </w:rPr>
        <w:t>Ссылаясь на свою общую рекомендацию № 25, Комитет рекомендует государству-участнику устранить все препятствия, с которыми сталкиваются женщины из числа меньшинств в плане получения доступа к занятости, образованию, медицинскому обслуживанию и правосудию. С этой целью он рекомендует государству-участнику включить проблематику женщин из числа меньшинств во все программы и стратегии, посвященные гендерным вопросам.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Права на гражданство 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  <w:t xml:space="preserve">Комитет отмечает, что Постановление Кабинета министров № 406 от 12 ноября 2012 года предусматривает предоставление некоторых льгот и пособий иностранным гражданам, являющимся супругами саудовских женщин, а также детям от таких браков, но выражает сожаление по поводу того, что эти дети, в соответствии с Законом о гражданстве, по-прежнему не имеют права на получение гражданства. Комитет также обеспокоен тем, что иностранные граждане, состоящие в браке с саудовскими женщинами, не могут получать саудовское гражданство в том же порядке, что и иностранные женщины, вступившие в брак с </w:t>
      </w:r>
      <w:r w:rsidR="00E75168">
        <w:rPr>
          <w:lang w:val="ru-RU"/>
        </w:rPr>
        <w:t>саудовскими мужчинами (статьи 2</w:t>
      </w:r>
      <w:r w:rsidR="00E02BFE" w:rsidRPr="00E02BFE">
        <w:rPr>
          <w:lang w:val="ru-RU"/>
        </w:rPr>
        <w:t xml:space="preserve"> </w:t>
      </w:r>
      <w:r w:rsidR="00E02BFE">
        <w:rPr>
          <w:lang w:val="ru-RU"/>
        </w:rPr>
        <w:t xml:space="preserve">и </w:t>
      </w:r>
      <w:r>
        <w:rPr>
          <w:lang w:val="ru-RU"/>
        </w:rPr>
        <w:t xml:space="preserve">5). </w:t>
      </w:r>
    </w:p>
    <w:p w:rsidR="00582918" w:rsidRPr="0088689B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</w:r>
      <w:r w:rsidRPr="0088689B">
        <w:rPr>
          <w:b/>
          <w:lang w:val="ru-RU"/>
        </w:rPr>
        <w:t xml:space="preserve">В свете своей общей рекомендации № 30 (2004) о дискриминации </w:t>
      </w:r>
      <w:proofErr w:type="spellStart"/>
      <w:r w:rsidRPr="0088689B">
        <w:rPr>
          <w:b/>
          <w:lang w:val="ru-RU"/>
        </w:rPr>
        <w:t>неграждан</w:t>
      </w:r>
      <w:proofErr w:type="spellEnd"/>
      <w:r w:rsidRPr="0088689B">
        <w:rPr>
          <w:b/>
          <w:lang w:val="ru-RU"/>
        </w:rPr>
        <w:t xml:space="preserve">, особенно пункта 16, касающегося сокращения </w:t>
      </w:r>
      <w:proofErr w:type="spellStart"/>
      <w:r w:rsidRPr="0088689B">
        <w:rPr>
          <w:b/>
          <w:lang w:val="ru-RU"/>
        </w:rPr>
        <w:t>безгражданства</w:t>
      </w:r>
      <w:proofErr w:type="spellEnd"/>
      <w:r w:rsidRPr="0088689B">
        <w:rPr>
          <w:b/>
          <w:lang w:val="ru-RU"/>
        </w:rPr>
        <w:t>, в частности среди детей, Комитет рекомендует государству-участнику привести свое законодательство в соответствие с Конвенцией и с этой целью внести поправки в Закон о гражданстве для исключения положений, дискриминирующих иностранных граждан, являющихся супругами саудовских женщин, и детей саудовских женщин, состоящих в браке с иностранцами, и включения положений, позволяющих саудовским женщинам передавать свое гражданство своим супругам, являющимся иностранными гражданами, и своим детям с момента их рождения без какой-либо дискриминации.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Особые меры 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  <w:t xml:space="preserve">Комитет выражает обеспокоенность по поводу положения иностранцев, которые не являются трудящимися-мигрантами и которые живут в нищете, </w:t>
      </w:r>
      <w:r w:rsidR="00EB264C">
        <w:rPr>
          <w:lang w:val="ru-RU"/>
        </w:rPr>
        <w:br/>
      </w:r>
      <w:r>
        <w:rPr>
          <w:lang w:val="ru-RU"/>
        </w:rPr>
        <w:t xml:space="preserve">в частности в связи с отсутствием у них возможности получать социальные пособия (статья 5). </w:t>
      </w:r>
    </w:p>
    <w:p w:rsidR="00582918" w:rsidRPr="0088689B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</w:r>
      <w:r w:rsidRPr="0088689B">
        <w:rPr>
          <w:b/>
          <w:lang w:val="ru-RU"/>
        </w:rPr>
        <w:t xml:space="preserve">Комитет рекомендует государству-участнику принять, в соответствии с общей рекомендацией № 32 (2009) о значении и сфере применения особых мер в Конвенции, эффективные меры, включая особые меры, в целях улучшения положения </w:t>
      </w:r>
      <w:proofErr w:type="spellStart"/>
      <w:r w:rsidRPr="0088689B">
        <w:rPr>
          <w:b/>
          <w:lang w:val="ru-RU"/>
        </w:rPr>
        <w:t>маргинализованных</w:t>
      </w:r>
      <w:proofErr w:type="spellEnd"/>
      <w:r w:rsidRPr="0088689B">
        <w:rPr>
          <w:b/>
          <w:lang w:val="ru-RU"/>
        </w:rPr>
        <w:t xml:space="preserve"> групп, живущих в условиях нищеты, в частности иностранцев, которые не являются трудящимися-мигрантами. 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Беженцы и просители убежища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  <w:t xml:space="preserve">Комитет приветствует информацию государства-участника о том, что к беженцам относятся в стране как к гостям, но обеспокоен тем, что государство-участник еще не ратифицировало Конвенцию о статусе беженцев (статья 5). </w:t>
      </w:r>
    </w:p>
    <w:p w:rsidR="00582918" w:rsidRPr="00C403AB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</w:r>
      <w:r w:rsidRPr="0088689B">
        <w:rPr>
          <w:b/>
          <w:lang w:val="ru-RU"/>
        </w:rPr>
        <w:t>Комитет рекомендует государству-участнику ратифицировать Конвенцию о статусе беженцев и Протокол, касающийся статуса беженцев.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Торговля людьми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  <w:t xml:space="preserve">Комитет, отмечая усилия, предпринимаемые государством-участником в целях предотвращения торговли людьми и привлечения виновных к ответственности, по-прежнему обеспокоен тем, что государство-участник продолжает оставаться страной назначения лиц, ставшими жертвами торговли людьми в целях принудительного труда, а в некоторых случаях и принудительной проституции (статья 5). </w:t>
      </w:r>
    </w:p>
    <w:p w:rsidR="00582918" w:rsidRPr="00610E34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</w:r>
      <w:r w:rsidRPr="00610E34">
        <w:rPr>
          <w:b/>
          <w:lang w:val="ru-RU"/>
        </w:rPr>
        <w:t xml:space="preserve">Комитет рекомендует государству-участнику продолжать активизировать усилия по искоренению торговли людьми, в том числе посредством обеспечения соблюдения законов и осуществления стратегий в целях расследования всех случаев торговли людьми, судебного преследования виновных и назначения им надлежащих мер наказания. Комитет также рекомендует государству-участнику увеличить помощь жертвам и предоставлять им надлежащие средства правовой защиты. 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Курсы подготовки по вопросам расовой дискриминации </w:t>
      </w:r>
    </w:p>
    <w:p w:rsidR="00582918" w:rsidRPr="00C403AB" w:rsidRDefault="00582918" w:rsidP="00582918">
      <w:pPr>
        <w:pStyle w:val="SingleTxtG"/>
        <w:rPr>
          <w:lang w:val="ru-RU"/>
        </w:rPr>
      </w:pPr>
      <w:r>
        <w:rPr>
          <w:lang w:val="ru-RU"/>
        </w:rPr>
        <w:t>37.</w:t>
      </w:r>
      <w:r>
        <w:rPr>
          <w:lang w:val="ru-RU"/>
        </w:rPr>
        <w:tab/>
        <w:t xml:space="preserve">Комитет с удовлетворением отмечает информацию о преподавании в школах предметов, призванных способствовать воспитанию терпимости и внедрению концепции межкультурного образования, а также курсов подготовки по вопросам терпимости, мира и сосуществования, организованных для нескольких тысяч человек. Он озабочен отсутствием обновленной подробной информации о курсах подготовки по вопросам расовой дискриминации и правам, закрепленным в Конвенции, которые были конкретно организованы для сотрудников правоохранительных органов, судей, адвокатов и представителей государственных органов, органов местного управления и ассоциаций, а также о воздействии таких программ подготовки (статья 7). </w:t>
      </w:r>
    </w:p>
    <w:p w:rsidR="00582918" w:rsidRPr="00610E34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38.</w:t>
      </w:r>
      <w:r>
        <w:rPr>
          <w:lang w:val="ru-RU"/>
        </w:rPr>
        <w:tab/>
      </w:r>
      <w:r w:rsidRPr="00610E34">
        <w:rPr>
          <w:b/>
          <w:lang w:val="ru-RU"/>
        </w:rPr>
        <w:t>Комитет рекомендует государству-участнику продолжать проводить учебно-просветительские мероприятия и организовывать специальные курсы подготовки по закрепленным в Конвенции правам, в том числе по вопросам предотвращения расовой дискриминации, для сотрудников правоохранительных органов, судей, адвокатов и государственных должностных лиц. Он просит государство-участник включить в свой следующий периодический доклад обновленную подробную информацию о таких курсах</w:t>
      </w:r>
      <w:r>
        <w:rPr>
          <w:lang w:val="ru-RU"/>
        </w:rPr>
        <w:t xml:space="preserve"> </w:t>
      </w:r>
      <w:r w:rsidRPr="00610E34">
        <w:rPr>
          <w:b/>
          <w:lang w:val="ru-RU"/>
        </w:rPr>
        <w:t>подготовки и их влиянии на усилия по ликвидации расовой дискриминации в государстве-участнике.</w:t>
      </w:r>
    </w:p>
    <w:p w:rsidR="00582918" w:rsidRPr="00C403AB" w:rsidRDefault="00E75168" w:rsidP="00582918">
      <w:pPr>
        <w:pStyle w:val="H1G"/>
        <w:rPr>
          <w:lang w:val="ru-RU"/>
        </w:rPr>
      </w:pPr>
      <w:r>
        <w:rPr>
          <w:lang w:val="ru-RU"/>
        </w:rPr>
        <w:tab/>
      </w:r>
      <w:r w:rsidR="00582918">
        <w:rPr>
          <w:lang w:val="ru-RU"/>
        </w:rPr>
        <w:t>D.</w:t>
      </w:r>
      <w:r w:rsidR="00582918">
        <w:rPr>
          <w:lang w:val="ru-RU"/>
        </w:rPr>
        <w:tab/>
        <w:t xml:space="preserve">Прочие рекомендации 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Ратификация других договоров</w:t>
      </w:r>
    </w:p>
    <w:p w:rsidR="00582918" w:rsidRPr="00610E34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39.</w:t>
      </w:r>
      <w:r>
        <w:rPr>
          <w:lang w:val="ru-RU"/>
        </w:rPr>
        <w:tab/>
      </w:r>
      <w:r w:rsidRPr="00610E34">
        <w:rPr>
          <w:b/>
          <w:lang w:val="ru-RU"/>
        </w:rPr>
        <w:t>Памятуя о неделимости всех прав человека, Комитет призывает государство-участник рассмотреть вопрос о ратификации международных договоров о правах человека, которые оно еще не ратифицировало, особенно договоров, чьи положения имеют прямое отношение к общинам, которые могут подвергаться расовой дискриминации, включая Международный пакт о гражданских и политических правах, Международный пакт об экономических, социальных и культурных правах, Международную конвенцию о защите прав всех трудящихся-мигрантов и членов их семей и Международную конвенцию для защиты всех лиц от насильственных исчезновений, а также Конвенцию 1954 года о ста</w:t>
      </w:r>
      <w:r w:rsidR="00E75168" w:rsidRPr="00610E34">
        <w:rPr>
          <w:b/>
          <w:lang w:val="ru-RU"/>
        </w:rPr>
        <w:t>тусе апатридов и Конвенцию 1961 </w:t>
      </w:r>
      <w:r w:rsidRPr="00610E34">
        <w:rPr>
          <w:b/>
          <w:lang w:val="ru-RU"/>
        </w:rPr>
        <w:t xml:space="preserve">года о сокращении </w:t>
      </w:r>
      <w:proofErr w:type="spellStart"/>
      <w:r w:rsidRPr="00610E34">
        <w:rPr>
          <w:b/>
          <w:lang w:val="ru-RU"/>
        </w:rPr>
        <w:t>безгражданства</w:t>
      </w:r>
      <w:proofErr w:type="spellEnd"/>
      <w:r w:rsidRPr="00610E34">
        <w:rPr>
          <w:b/>
          <w:lang w:val="ru-RU"/>
        </w:rPr>
        <w:t>.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Последующие меры в связи с </w:t>
      </w:r>
      <w:proofErr w:type="spellStart"/>
      <w:r>
        <w:rPr>
          <w:lang w:val="ru-RU"/>
        </w:rPr>
        <w:t>Дурбанской</w:t>
      </w:r>
      <w:proofErr w:type="spellEnd"/>
      <w:r>
        <w:rPr>
          <w:lang w:val="ru-RU"/>
        </w:rPr>
        <w:t xml:space="preserve"> декларацией и Программой действий</w:t>
      </w:r>
    </w:p>
    <w:p w:rsidR="00582918" w:rsidRPr="00610E34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40.</w:t>
      </w:r>
      <w:r>
        <w:rPr>
          <w:lang w:val="ru-RU"/>
        </w:rPr>
        <w:tab/>
      </w:r>
      <w:r w:rsidRPr="00610E34">
        <w:rPr>
          <w:b/>
          <w:lang w:val="ru-RU"/>
        </w:rPr>
        <w:t xml:space="preserve">В свете своей общей рекомендации № 33 (2009) о последующих мерах в связи с Конференцией по обзору </w:t>
      </w:r>
      <w:proofErr w:type="spellStart"/>
      <w:r w:rsidRPr="00610E34">
        <w:rPr>
          <w:b/>
          <w:lang w:val="ru-RU"/>
        </w:rPr>
        <w:t>Дурбанского</w:t>
      </w:r>
      <w:proofErr w:type="spellEnd"/>
      <w:r w:rsidRPr="00610E34">
        <w:rPr>
          <w:b/>
          <w:lang w:val="ru-RU"/>
        </w:rPr>
        <w:t xml:space="preserve"> процесса Комитет рекомендует государству-участнику предпринять шаги по выполнению </w:t>
      </w:r>
      <w:proofErr w:type="spellStart"/>
      <w:r w:rsidRPr="00610E34">
        <w:rPr>
          <w:b/>
          <w:lang w:val="ru-RU"/>
        </w:rPr>
        <w:t>Дурбанской</w:t>
      </w:r>
      <w:proofErr w:type="spellEnd"/>
      <w:r w:rsidRPr="00610E34">
        <w:rPr>
          <w:b/>
          <w:lang w:val="ru-RU"/>
        </w:rPr>
        <w:t xml:space="preserve"> декларации и Программы действий, принятых в сентябре 2001 года Всемирной конференцией по борьбе против расизма, расовой дискриминации, ксенофобии и связанной с ними нетерпимости, учитывая при этом итоговый документ Конференции по обзору </w:t>
      </w:r>
      <w:proofErr w:type="spellStart"/>
      <w:r w:rsidRPr="00610E34">
        <w:rPr>
          <w:b/>
          <w:lang w:val="ru-RU"/>
        </w:rPr>
        <w:t>Дурбанского</w:t>
      </w:r>
      <w:proofErr w:type="spellEnd"/>
      <w:r w:rsidRPr="00610E34">
        <w:rPr>
          <w:b/>
          <w:lang w:val="ru-RU"/>
        </w:rPr>
        <w:t xml:space="preserve"> процесса, состоявшейся в апреле 2009 года в Женеве, и представить по этому вопросу соответствующую информацию. 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Международное десятилетие лиц африканского происхождения </w:t>
      </w:r>
    </w:p>
    <w:p w:rsidR="00582918" w:rsidRPr="00610E34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41.</w:t>
      </w:r>
      <w:r>
        <w:rPr>
          <w:lang w:val="ru-RU"/>
        </w:rPr>
        <w:tab/>
      </w:r>
      <w:proofErr w:type="gramStart"/>
      <w:r w:rsidRPr="00610E34">
        <w:rPr>
          <w:b/>
          <w:lang w:val="ru-RU"/>
        </w:rPr>
        <w:t>В</w:t>
      </w:r>
      <w:proofErr w:type="gramEnd"/>
      <w:r w:rsidRPr="00610E34">
        <w:rPr>
          <w:b/>
          <w:lang w:val="ru-RU"/>
        </w:rPr>
        <w:t xml:space="preserve"> свете резолюции 68/237 Генеральной Ассамблеи Комитет просит государство-участник включить в свой следующий периодический доклад подробную информацию о конкретных мерах, принятых в рамках Международного десятилетия лиц африканского происхождения с учетом общей рекомендации Комитета № 34 (2011), касающейся расовой дискриминации в отношении лиц африканского происхождения. 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Консультации с гражданским обществом</w:t>
      </w:r>
    </w:p>
    <w:p w:rsidR="00582918" w:rsidRPr="00610E34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42.</w:t>
      </w:r>
      <w:r>
        <w:rPr>
          <w:lang w:val="ru-RU"/>
        </w:rPr>
        <w:tab/>
      </w:r>
      <w:r w:rsidRPr="00610E34">
        <w:rPr>
          <w:b/>
          <w:lang w:val="ru-RU"/>
        </w:rPr>
        <w:t>Комитет рекомендует государству-участнику продолжать проводить консультации и расширить свой диалог с организациями гражданского общества, занимающимися защитой прав человека, в частности с теми, которые ведут борьбу с расовой дискриминацией, в рамках подготовки следующего периодического доклада и осуществления последующей деятельности в связи с настоящими заключительными замечаниями.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Заявление в соответствии со статьей 14 Конвенции</w:t>
      </w:r>
    </w:p>
    <w:p w:rsidR="00582918" w:rsidRPr="00610E34" w:rsidRDefault="00582918" w:rsidP="00582918">
      <w:pPr>
        <w:pStyle w:val="SingleTxtG"/>
        <w:rPr>
          <w:b/>
          <w:lang w:val="ru-RU"/>
        </w:rPr>
      </w:pPr>
      <w:r>
        <w:rPr>
          <w:lang w:val="ru-RU"/>
        </w:rPr>
        <w:t>43.</w:t>
      </w:r>
      <w:r>
        <w:rPr>
          <w:lang w:val="ru-RU"/>
        </w:rPr>
        <w:tab/>
      </w:r>
      <w:r w:rsidRPr="00610E34">
        <w:rPr>
          <w:b/>
          <w:lang w:val="ru-RU"/>
        </w:rPr>
        <w:t xml:space="preserve">Комитет призывает государство-участник сделать предусмотренное статьей 14 Конвенции факультативное заявление о признании компетенции Комитета принимать и рассматривать индивидуальные сообщения. 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Общий базовый документ</w:t>
      </w:r>
    </w:p>
    <w:p w:rsidR="00582918" w:rsidRPr="00610E34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44.</w:t>
      </w:r>
      <w:r>
        <w:rPr>
          <w:lang w:val="ru-RU"/>
        </w:rPr>
        <w:tab/>
      </w:r>
      <w:r w:rsidRPr="00610E34">
        <w:rPr>
          <w:b/>
          <w:lang w:val="ru-RU"/>
        </w:rPr>
        <w:t xml:space="preserve">Комитет призывает государство-участник представить общий базовый документ в соответствии с согласованными руководящими принципами представления докладов по международным договорам о правах человека, в частности с руководящими принципами подготовки общего базового документа, которые были приняты на пятом </w:t>
      </w:r>
      <w:proofErr w:type="spellStart"/>
      <w:r w:rsidRPr="00610E34">
        <w:rPr>
          <w:b/>
          <w:lang w:val="ru-RU"/>
        </w:rPr>
        <w:t>межкомитетском</w:t>
      </w:r>
      <w:proofErr w:type="spellEnd"/>
      <w:r w:rsidRPr="00610E34">
        <w:rPr>
          <w:b/>
          <w:lang w:val="ru-RU"/>
        </w:rPr>
        <w:t xml:space="preserve"> совещании договорных органов по правам человека, состоявшемся в июне 2006 года (HRI/GEN.2/Rev.6, глава I). В свете резолюции 68/268 Генеральной Ассамблеи Комитет настоятельно призывает государство-участник соблюдать установленное для объема таких документов ограничение в 42 400 слов.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Последующие меры в связи с настоящими заключительными замечаниями</w:t>
      </w:r>
    </w:p>
    <w:p w:rsidR="00582918" w:rsidRPr="00610E34" w:rsidRDefault="00582918" w:rsidP="00582918">
      <w:pPr>
        <w:pStyle w:val="SingleTxtG"/>
        <w:rPr>
          <w:b/>
          <w:lang w:val="ru-RU"/>
        </w:rPr>
      </w:pPr>
      <w:r>
        <w:rPr>
          <w:lang w:val="ru-RU"/>
        </w:rPr>
        <w:t>45.</w:t>
      </w:r>
      <w:r>
        <w:rPr>
          <w:lang w:val="ru-RU"/>
        </w:rPr>
        <w:tab/>
      </w:r>
      <w:r w:rsidRPr="00610E34">
        <w:rPr>
          <w:b/>
          <w:lang w:val="ru-RU"/>
        </w:rPr>
        <w:t xml:space="preserve"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подпунктах а) </w:t>
      </w:r>
      <w:r w:rsidR="00610E34">
        <w:rPr>
          <w:b/>
          <w:lang w:val="ru-RU"/>
        </w:rPr>
        <w:br/>
      </w:r>
      <w:r w:rsidRPr="00610E34">
        <w:rPr>
          <w:b/>
          <w:lang w:val="ru-RU"/>
        </w:rPr>
        <w:t xml:space="preserve">и b) пункта 20 и в пункте 24 выше. 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Пункты, имеющие особое значение</w:t>
      </w:r>
    </w:p>
    <w:p w:rsidR="00582918" w:rsidRPr="00610E34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46.</w:t>
      </w:r>
      <w:r>
        <w:rPr>
          <w:lang w:val="ru-RU"/>
        </w:rPr>
        <w:tab/>
      </w:r>
      <w:r w:rsidRPr="00610E34">
        <w:rPr>
          <w:b/>
          <w:lang w:val="ru-RU"/>
        </w:rPr>
        <w:t xml:space="preserve">Комитет хотел бы обратить внимание государства-участника на особое значение рекомендаций, содержащихся в пунктах 10, 16, 24, 28 и 30 выше, и просит государство-участник представить в своем следующем периодическом докладе подробную информацию о конкретных мерах, принятых с целью выполнения этих рекомендаций. 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Распространение информации</w:t>
      </w:r>
    </w:p>
    <w:p w:rsidR="00582918" w:rsidRPr="00C403AB" w:rsidRDefault="00582918" w:rsidP="00582918">
      <w:pPr>
        <w:pStyle w:val="SingleTxtG"/>
        <w:rPr>
          <w:b/>
          <w:bCs/>
          <w:lang w:val="ru-RU"/>
        </w:rPr>
      </w:pPr>
      <w:r>
        <w:rPr>
          <w:lang w:val="ru-RU"/>
        </w:rPr>
        <w:t>47.</w:t>
      </w:r>
      <w:r>
        <w:rPr>
          <w:lang w:val="ru-RU"/>
        </w:rPr>
        <w:tab/>
      </w:r>
      <w:r w:rsidRPr="00610E34">
        <w:rPr>
          <w:b/>
          <w:lang w:val="ru-RU"/>
        </w:rPr>
        <w:t xml:space="preserve">Комитет рекомендует обеспечить, чтобы доклады государства-участника имелись в наличии и были доступны для общественности в момент их </w:t>
      </w:r>
      <w:proofErr w:type="gramStart"/>
      <w:r w:rsidRPr="00610E34">
        <w:rPr>
          <w:b/>
          <w:lang w:val="ru-RU"/>
        </w:rPr>
        <w:t>представления</w:t>
      </w:r>
      <w:proofErr w:type="gramEnd"/>
      <w:r w:rsidRPr="00610E34">
        <w:rPr>
          <w:b/>
          <w:lang w:val="ru-RU"/>
        </w:rPr>
        <w:t xml:space="preserve"> и чтобы заключительные замечания Комитета по этим докладам также в надлежащем порядке доводились до всеобщего сведения на официальном и других широко используемых языках. </w:t>
      </w:r>
    </w:p>
    <w:p w:rsidR="00582918" w:rsidRPr="00C403AB" w:rsidRDefault="00582918" w:rsidP="00582918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Подготовка следующего периодического доклада</w:t>
      </w:r>
    </w:p>
    <w:p w:rsidR="00582918" w:rsidRPr="00610E34" w:rsidRDefault="00582918" w:rsidP="00582918">
      <w:pPr>
        <w:pStyle w:val="SingleTxtG"/>
        <w:rPr>
          <w:b/>
          <w:lang w:val="ru-RU"/>
        </w:rPr>
      </w:pPr>
      <w:r>
        <w:rPr>
          <w:lang w:val="ru-RU"/>
        </w:rPr>
        <w:t>48.</w:t>
      </w:r>
      <w:r>
        <w:rPr>
          <w:lang w:val="ru-RU"/>
        </w:rPr>
        <w:tab/>
      </w:r>
      <w:r w:rsidRPr="00610E34">
        <w:rPr>
          <w:b/>
          <w:lang w:val="ru-RU"/>
        </w:rPr>
        <w:t>Комитет рекомендует государству-участнику представить свои объединенные десятый и одиннадцатый периодические доклады в од</w:t>
      </w:r>
      <w:r w:rsidR="00C97341" w:rsidRPr="00610E34">
        <w:rPr>
          <w:b/>
          <w:lang w:val="ru-RU"/>
        </w:rPr>
        <w:t xml:space="preserve">ном документе к 22 октября 2020 </w:t>
      </w:r>
      <w:r w:rsidRPr="00610E34">
        <w:rPr>
          <w:b/>
          <w:lang w:val="ru-RU"/>
        </w:rPr>
        <w:t>года, приняв во внимание руководящие принципы подготовки и представления докладов, утвержденные Комитетом на его семьдесят первой сессии (CERD/C/2007/1), и отразив в нем все вопросы, поднятые в настоящ</w:t>
      </w:r>
      <w:r w:rsidR="00C97341" w:rsidRPr="00610E34">
        <w:rPr>
          <w:b/>
          <w:lang w:val="ru-RU"/>
        </w:rPr>
        <w:t xml:space="preserve">их заключительных замечаниях. В </w:t>
      </w:r>
      <w:r w:rsidRPr="00610E34">
        <w:rPr>
          <w:b/>
          <w:lang w:val="ru-RU"/>
        </w:rPr>
        <w:t>соответствии с резолюцией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</w:t>
      </w:r>
      <w:r w:rsidR="00610E34">
        <w:rPr>
          <w:b/>
          <w:lang w:val="ru-RU"/>
        </w:rPr>
        <w:br/>
      </w:r>
      <w:r w:rsidRPr="00610E34">
        <w:rPr>
          <w:b/>
          <w:lang w:val="ru-RU"/>
        </w:rPr>
        <w:t>в 21 200 слов.</w:t>
      </w:r>
    </w:p>
    <w:p w:rsidR="00E75168" w:rsidRDefault="00582918" w:rsidP="00582918">
      <w:pPr>
        <w:spacing w:before="240"/>
        <w:jc w:val="center"/>
        <w:rPr>
          <w:u w:val="single"/>
        </w:rPr>
      </w:pPr>
      <w:r w:rsidRPr="00C403AB">
        <w:rPr>
          <w:u w:val="single"/>
        </w:rPr>
        <w:tab/>
      </w:r>
      <w:r w:rsidRPr="00C403AB">
        <w:rPr>
          <w:u w:val="single"/>
        </w:rPr>
        <w:tab/>
      </w:r>
      <w:r w:rsidRPr="00C403AB">
        <w:rPr>
          <w:u w:val="single"/>
        </w:rPr>
        <w:tab/>
      </w:r>
    </w:p>
    <w:p w:rsidR="00381C24" w:rsidRPr="00582918" w:rsidRDefault="00381C24" w:rsidP="002E5067"/>
    <w:sectPr w:rsidR="00381C24" w:rsidRPr="00582918" w:rsidSect="0051214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BA" w:rsidRPr="00A312BC" w:rsidRDefault="000865BA" w:rsidP="00A312BC"/>
  </w:endnote>
  <w:endnote w:type="continuationSeparator" w:id="0">
    <w:p w:rsidR="000865BA" w:rsidRPr="00A312BC" w:rsidRDefault="000865B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48" w:rsidRPr="00512148" w:rsidRDefault="00512148">
    <w:pPr>
      <w:pStyle w:val="a8"/>
    </w:pPr>
    <w:r w:rsidRPr="00512148">
      <w:rPr>
        <w:b/>
        <w:sz w:val="18"/>
      </w:rPr>
      <w:fldChar w:fldCharType="begin"/>
    </w:r>
    <w:r w:rsidRPr="00512148">
      <w:rPr>
        <w:b/>
        <w:sz w:val="18"/>
      </w:rPr>
      <w:instrText xml:space="preserve"> PAGE  \* MERGEFORMAT </w:instrText>
    </w:r>
    <w:r w:rsidRPr="00512148">
      <w:rPr>
        <w:b/>
        <w:sz w:val="18"/>
      </w:rPr>
      <w:fldChar w:fldCharType="separate"/>
    </w:r>
    <w:r w:rsidR="006B51D7">
      <w:rPr>
        <w:b/>
        <w:noProof/>
        <w:sz w:val="18"/>
      </w:rPr>
      <w:t>8</w:t>
    </w:r>
    <w:r w:rsidRPr="00512148">
      <w:rPr>
        <w:b/>
        <w:sz w:val="18"/>
      </w:rPr>
      <w:fldChar w:fldCharType="end"/>
    </w:r>
    <w:r>
      <w:rPr>
        <w:b/>
        <w:sz w:val="18"/>
      </w:rPr>
      <w:tab/>
    </w:r>
    <w:r>
      <w:t>GE.18-09381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48" w:rsidRPr="00512148" w:rsidRDefault="00512148" w:rsidP="00512148">
    <w:pPr>
      <w:pStyle w:val="a8"/>
      <w:tabs>
        <w:tab w:val="clear" w:pos="9639"/>
        <w:tab w:val="right" w:pos="9638"/>
      </w:tabs>
      <w:rPr>
        <w:b/>
        <w:sz w:val="18"/>
      </w:rPr>
    </w:pPr>
    <w:r>
      <w:t>GE.18-09381</w:t>
    </w:r>
    <w:r>
      <w:tab/>
    </w:r>
    <w:r w:rsidRPr="00512148">
      <w:rPr>
        <w:b/>
        <w:sz w:val="18"/>
      </w:rPr>
      <w:fldChar w:fldCharType="begin"/>
    </w:r>
    <w:r w:rsidRPr="00512148">
      <w:rPr>
        <w:b/>
        <w:sz w:val="18"/>
      </w:rPr>
      <w:instrText xml:space="preserve"> PAGE  \* MERGEFORMAT </w:instrText>
    </w:r>
    <w:r w:rsidRPr="00512148">
      <w:rPr>
        <w:b/>
        <w:sz w:val="18"/>
      </w:rPr>
      <w:fldChar w:fldCharType="separate"/>
    </w:r>
    <w:r w:rsidR="006B51D7">
      <w:rPr>
        <w:b/>
        <w:noProof/>
        <w:sz w:val="18"/>
      </w:rPr>
      <w:t>9</w:t>
    </w:r>
    <w:r w:rsidRPr="005121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12148" w:rsidRDefault="00512148" w:rsidP="0051214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18-09381  (R)</w:t>
    </w:r>
    <w:r>
      <w:rPr>
        <w:lang w:val="en-US"/>
      </w:rPr>
      <w:t xml:space="preserve">  180618  200618</w:t>
    </w:r>
    <w:r>
      <w:br/>
    </w:r>
    <w:r w:rsidRPr="00512148">
      <w:rPr>
        <w:rFonts w:ascii="C39T30Lfz" w:hAnsi="C39T30Lfz"/>
        <w:kern w:val="14"/>
        <w:sz w:val="56"/>
      </w:rPr>
      <w:t></w:t>
    </w:r>
    <w:r w:rsidRPr="00512148">
      <w:rPr>
        <w:rFonts w:ascii="C39T30Lfz" w:hAnsi="C39T30Lfz"/>
        <w:kern w:val="14"/>
        <w:sz w:val="56"/>
      </w:rPr>
      <w:t></w:t>
    </w:r>
    <w:r w:rsidRPr="00512148">
      <w:rPr>
        <w:rFonts w:ascii="C39T30Lfz" w:hAnsi="C39T30Lfz"/>
        <w:kern w:val="14"/>
        <w:sz w:val="56"/>
      </w:rPr>
      <w:t></w:t>
    </w:r>
    <w:r w:rsidRPr="00512148">
      <w:rPr>
        <w:rFonts w:ascii="C39T30Lfz" w:hAnsi="C39T30Lfz"/>
        <w:kern w:val="14"/>
        <w:sz w:val="56"/>
      </w:rPr>
      <w:t></w:t>
    </w:r>
    <w:r w:rsidRPr="00512148">
      <w:rPr>
        <w:rFonts w:ascii="C39T30Lfz" w:hAnsi="C39T30Lfz"/>
        <w:kern w:val="14"/>
        <w:sz w:val="56"/>
      </w:rPr>
      <w:t></w:t>
    </w:r>
    <w:r w:rsidRPr="00512148">
      <w:rPr>
        <w:rFonts w:ascii="C39T30Lfz" w:hAnsi="C39T30Lfz"/>
        <w:kern w:val="14"/>
        <w:sz w:val="56"/>
      </w:rPr>
      <w:t></w:t>
    </w:r>
    <w:r w:rsidRPr="00512148">
      <w:rPr>
        <w:rFonts w:ascii="C39T30Lfz" w:hAnsi="C39T30Lfz"/>
        <w:kern w:val="14"/>
        <w:sz w:val="56"/>
      </w:rPr>
      <w:t></w:t>
    </w:r>
    <w:r w:rsidRPr="00512148">
      <w:rPr>
        <w:rFonts w:ascii="C39T30Lfz" w:hAnsi="C39T30Lfz"/>
        <w:kern w:val="14"/>
        <w:sz w:val="56"/>
      </w:rPr>
      <w:t></w:t>
    </w:r>
    <w:r w:rsidRPr="0051214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RD/C/SAU/CO/4-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SAU/CO/4-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BA" w:rsidRPr="001075E9" w:rsidRDefault="000865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865BA" w:rsidRDefault="000865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82918" w:rsidRPr="00507271" w:rsidRDefault="00582918" w:rsidP="00582918">
      <w:pPr>
        <w:pStyle w:val="ad"/>
      </w:pPr>
      <w:r>
        <w:tab/>
      </w:r>
      <w:r w:rsidRPr="00526518">
        <w:rPr>
          <w:sz w:val="20"/>
        </w:rPr>
        <w:t>*</w:t>
      </w:r>
      <w:r>
        <w:tab/>
        <w:t>Приняты Комитетом на его девяносто пятой сессии (23 апреля – 11 мая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48" w:rsidRPr="00512148" w:rsidRDefault="007F61C6">
    <w:pPr>
      <w:pStyle w:val="a5"/>
    </w:pPr>
    <w:fldSimple w:instr=" TITLE  \* MERGEFORMAT ">
      <w:r w:rsidR="006B51D7">
        <w:t>CERD/C/SAU/CO/4-9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48" w:rsidRPr="00512148" w:rsidRDefault="007F61C6" w:rsidP="00512148">
    <w:pPr>
      <w:pStyle w:val="a5"/>
      <w:jc w:val="right"/>
    </w:pPr>
    <w:fldSimple w:instr=" TITLE  \* MERGEFORMAT ">
      <w:r w:rsidR="006B51D7">
        <w:t>CERD/C/SAU/CO/4-9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BA"/>
    <w:rsid w:val="00033EE1"/>
    <w:rsid w:val="00042B72"/>
    <w:rsid w:val="000558BD"/>
    <w:rsid w:val="000865BA"/>
    <w:rsid w:val="000B57E7"/>
    <w:rsid w:val="000B6373"/>
    <w:rsid w:val="000F09DF"/>
    <w:rsid w:val="000F547B"/>
    <w:rsid w:val="000F61B2"/>
    <w:rsid w:val="001075E9"/>
    <w:rsid w:val="00180183"/>
    <w:rsid w:val="0018024D"/>
    <w:rsid w:val="0018649F"/>
    <w:rsid w:val="00196389"/>
    <w:rsid w:val="001B3EF6"/>
    <w:rsid w:val="001C7A89"/>
    <w:rsid w:val="001D4B21"/>
    <w:rsid w:val="00254335"/>
    <w:rsid w:val="002A0CFC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12A2"/>
    <w:rsid w:val="00322004"/>
    <w:rsid w:val="003402C2"/>
    <w:rsid w:val="00381C24"/>
    <w:rsid w:val="003958D0"/>
    <w:rsid w:val="003B00E5"/>
    <w:rsid w:val="003D11EA"/>
    <w:rsid w:val="003E4EFB"/>
    <w:rsid w:val="00407B78"/>
    <w:rsid w:val="00421529"/>
    <w:rsid w:val="00424203"/>
    <w:rsid w:val="00452493"/>
    <w:rsid w:val="00453318"/>
    <w:rsid w:val="00454E07"/>
    <w:rsid w:val="00461B6B"/>
    <w:rsid w:val="00472C5C"/>
    <w:rsid w:val="00497099"/>
    <w:rsid w:val="004A1C15"/>
    <w:rsid w:val="004E104A"/>
    <w:rsid w:val="0050108D"/>
    <w:rsid w:val="00512148"/>
    <w:rsid w:val="00513081"/>
    <w:rsid w:val="00517901"/>
    <w:rsid w:val="00526518"/>
    <w:rsid w:val="00526683"/>
    <w:rsid w:val="0057071C"/>
    <w:rsid w:val="005709E0"/>
    <w:rsid w:val="00572E19"/>
    <w:rsid w:val="00582918"/>
    <w:rsid w:val="005961C8"/>
    <w:rsid w:val="005D7914"/>
    <w:rsid w:val="005E2B41"/>
    <w:rsid w:val="005F0B42"/>
    <w:rsid w:val="00610E34"/>
    <w:rsid w:val="006225D0"/>
    <w:rsid w:val="006306AC"/>
    <w:rsid w:val="0067000F"/>
    <w:rsid w:val="00681A10"/>
    <w:rsid w:val="006A1ED8"/>
    <w:rsid w:val="006B51D7"/>
    <w:rsid w:val="006C2031"/>
    <w:rsid w:val="006D461A"/>
    <w:rsid w:val="006F35EE"/>
    <w:rsid w:val="007021FF"/>
    <w:rsid w:val="00706B3D"/>
    <w:rsid w:val="00712895"/>
    <w:rsid w:val="00757357"/>
    <w:rsid w:val="007C46C9"/>
    <w:rsid w:val="007F61C6"/>
    <w:rsid w:val="00825F8D"/>
    <w:rsid w:val="00834B71"/>
    <w:rsid w:val="0086445C"/>
    <w:rsid w:val="00881671"/>
    <w:rsid w:val="0088689B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54E52"/>
    <w:rsid w:val="00A84021"/>
    <w:rsid w:val="00A84D35"/>
    <w:rsid w:val="00A917B3"/>
    <w:rsid w:val="00AB4B51"/>
    <w:rsid w:val="00B10CC7"/>
    <w:rsid w:val="00B250AB"/>
    <w:rsid w:val="00B27969"/>
    <w:rsid w:val="00B32719"/>
    <w:rsid w:val="00B36DF7"/>
    <w:rsid w:val="00B37639"/>
    <w:rsid w:val="00B539E7"/>
    <w:rsid w:val="00B62458"/>
    <w:rsid w:val="00B67B12"/>
    <w:rsid w:val="00BC18B2"/>
    <w:rsid w:val="00BD33EE"/>
    <w:rsid w:val="00C106D6"/>
    <w:rsid w:val="00C13244"/>
    <w:rsid w:val="00C60F0C"/>
    <w:rsid w:val="00C805C9"/>
    <w:rsid w:val="00C92939"/>
    <w:rsid w:val="00C97341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E4785"/>
    <w:rsid w:val="00DF6FEF"/>
    <w:rsid w:val="00DF71B9"/>
    <w:rsid w:val="00E02BFE"/>
    <w:rsid w:val="00E701E0"/>
    <w:rsid w:val="00E73F76"/>
    <w:rsid w:val="00E75168"/>
    <w:rsid w:val="00EA2C9F"/>
    <w:rsid w:val="00EA420E"/>
    <w:rsid w:val="00EB264C"/>
    <w:rsid w:val="00ED0BDA"/>
    <w:rsid w:val="00EF1360"/>
    <w:rsid w:val="00EF3220"/>
    <w:rsid w:val="00F0540A"/>
    <w:rsid w:val="00F41B03"/>
    <w:rsid w:val="00F43903"/>
    <w:rsid w:val="00F740D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D81126"/>
  <w15:docId w15:val="{4179CCC5-E836-404F-9FCB-7409C39C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306A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306AC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6306A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R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306AC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306AC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58291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rsid w:val="0058291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58291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SingleTxtG">
    <w:name w:val="_ Single Txt_G"/>
    <w:basedOn w:val="a"/>
    <w:rsid w:val="00582918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CE30-6318-41B0-8774-49FD233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9</Pages>
  <Words>3459</Words>
  <Characters>23314</Characters>
  <Application>Microsoft Office Word</Application>
  <DocSecurity>0</DocSecurity>
  <Lines>542</Lines>
  <Paragraphs>356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CERD/C/SAU/CO/4-9</vt:lpstr>
      <vt:lpstr>A/</vt:lpstr>
      <vt:lpstr>A/</vt:lpstr>
    </vt:vector>
  </TitlesOfParts>
  <Company>DCM</Company>
  <LinksUpToDate>false</LinksUpToDate>
  <CharactersWithSpaces>26417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CERD/C/SAU/CO/4-9</dc:title>
  <dc:subject/>
  <dc:creator>Ekaterina SALYNSKAYA</dc:creator>
  <cp:keywords/>
  <cp:lastModifiedBy>Generic TPSRUS2</cp:lastModifiedBy>
  <cp:revision>3</cp:revision>
  <cp:lastPrinted>2018-06-20T08:03:00Z</cp:lastPrinted>
  <dcterms:created xsi:type="dcterms:W3CDTF">2018-06-20T08:03:00Z</dcterms:created>
  <dcterms:modified xsi:type="dcterms:W3CDTF">2018-06-20T08:03:00Z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