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DE2DBE" w:rsidRPr="00CB6BB3">
        <w:trPr>
          <w:trHeight w:hRule="exact" w:val="851"/>
        </w:trPr>
        <w:tc>
          <w:tcPr>
            <w:tcW w:w="1280" w:type="dxa"/>
            <w:tcBorders>
              <w:bottom w:val="single" w:sz="4" w:space="0" w:color="auto"/>
            </w:tcBorders>
          </w:tcPr>
          <w:p w:rsidR="00DE2DBE" w:rsidRPr="00CB6BB3" w:rsidRDefault="00DE2DBE">
            <w:pPr>
              <w:rPr>
                <w:lang w:val="es-ES_tradnl"/>
              </w:rPr>
            </w:pPr>
          </w:p>
        </w:tc>
        <w:tc>
          <w:tcPr>
            <w:tcW w:w="2273" w:type="dxa"/>
            <w:tcBorders>
              <w:bottom w:val="single" w:sz="4" w:space="0" w:color="auto"/>
            </w:tcBorders>
            <w:vAlign w:val="bottom"/>
          </w:tcPr>
          <w:p w:rsidR="00DE2DBE" w:rsidRPr="00CB6BB3" w:rsidRDefault="00DE2DBE">
            <w:pPr>
              <w:spacing w:after="80" w:line="300" w:lineRule="exact"/>
              <w:rPr>
                <w:sz w:val="28"/>
                <w:lang w:val="es-ES_tradnl"/>
              </w:rPr>
            </w:pPr>
            <w:r w:rsidRPr="00CB6BB3">
              <w:rPr>
                <w:sz w:val="28"/>
                <w:lang w:val="es-ES_tradnl"/>
              </w:rPr>
              <w:t>Naciones Unidas</w:t>
            </w:r>
          </w:p>
        </w:tc>
        <w:tc>
          <w:tcPr>
            <w:tcW w:w="6086" w:type="dxa"/>
            <w:gridSpan w:val="2"/>
            <w:tcBorders>
              <w:bottom w:val="single" w:sz="4" w:space="0" w:color="auto"/>
            </w:tcBorders>
            <w:vAlign w:val="bottom"/>
          </w:tcPr>
          <w:p w:rsidR="00DE2DBE" w:rsidRPr="00CB6BB3" w:rsidRDefault="00DE2DBE">
            <w:pPr>
              <w:spacing w:after="20"/>
              <w:jc w:val="right"/>
              <w:rPr>
                <w:lang w:val="es-ES_tradnl"/>
              </w:rPr>
            </w:pPr>
            <w:r w:rsidRPr="00CB6BB3">
              <w:rPr>
                <w:sz w:val="40"/>
                <w:lang w:val="es-ES_tradnl"/>
              </w:rPr>
              <w:t>CEDAW</w:t>
            </w:r>
            <w:r w:rsidR="00F65BDD" w:rsidRPr="00CB6BB3">
              <w:rPr>
                <w:lang w:val="es-ES_tradnl"/>
              </w:rPr>
              <w:t>/C/AUT</w:t>
            </w:r>
            <w:r w:rsidRPr="00CB6BB3">
              <w:rPr>
                <w:lang w:val="es-ES_tradnl"/>
              </w:rPr>
              <w:t>/7-8</w:t>
            </w:r>
          </w:p>
        </w:tc>
      </w:tr>
      <w:tr w:rsidR="00DE2DBE" w:rsidRPr="00CB6BB3">
        <w:trPr>
          <w:trHeight w:hRule="exact" w:val="2835"/>
        </w:trPr>
        <w:tc>
          <w:tcPr>
            <w:tcW w:w="1280" w:type="dxa"/>
            <w:tcBorders>
              <w:top w:val="single" w:sz="4" w:space="0" w:color="auto"/>
              <w:bottom w:val="single" w:sz="12" w:space="0" w:color="auto"/>
            </w:tcBorders>
          </w:tcPr>
          <w:p w:rsidR="00DE2DBE" w:rsidRPr="00CB6BB3" w:rsidRDefault="00DE2DBE">
            <w:pPr>
              <w:spacing w:before="120"/>
              <w:jc w:val="center"/>
              <w:rPr>
                <w:lang w:val="es-ES_tradnl"/>
              </w:rPr>
            </w:pPr>
            <w:r w:rsidRPr="00CB6BB3">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DE2DBE" w:rsidRPr="00CB6BB3" w:rsidRDefault="00DE2DBE">
            <w:pPr>
              <w:spacing w:before="120" w:line="380" w:lineRule="exact"/>
              <w:rPr>
                <w:b/>
                <w:sz w:val="34"/>
                <w:szCs w:val="34"/>
                <w:lang w:val="es-ES_tradnl"/>
              </w:rPr>
            </w:pPr>
            <w:r w:rsidRPr="00CB6BB3">
              <w:rPr>
                <w:b/>
                <w:sz w:val="34"/>
                <w:szCs w:val="40"/>
                <w:lang w:val="es-ES_tradnl"/>
              </w:rPr>
              <w:t>Convención sobre la eliminación</w:t>
            </w:r>
            <w:r w:rsidRPr="00CB6BB3">
              <w:rPr>
                <w:b/>
                <w:sz w:val="34"/>
                <w:szCs w:val="40"/>
                <w:lang w:val="es-ES_tradnl"/>
              </w:rPr>
              <w:br/>
              <w:t xml:space="preserve">de todas las formas de </w:t>
            </w:r>
            <w:r w:rsidRPr="00CB6BB3">
              <w:rPr>
                <w:b/>
                <w:sz w:val="34"/>
                <w:szCs w:val="40"/>
                <w:lang w:val="es-ES_tradnl"/>
              </w:rPr>
              <w:br/>
              <w:t>discriminación contra la mujer</w:t>
            </w:r>
          </w:p>
        </w:tc>
        <w:tc>
          <w:tcPr>
            <w:tcW w:w="2819" w:type="dxa"/>
            <w:tcBorders>
              <w:top w:val="single" w:sz="4" w:space="0" w:color="auto"/>
              <w:bottom w:val="single" w:sz="12" w:space="0" w:color="auto"/>
            </w:tcBorders>
          </w:tcPr>
          <w:p w:rsidR="00DE2DBE" w:rsidRPr="00CB6BB3" w:rsidRDefault="00DE2DBE">
            <w:pPr>
              <w:spacing w:before="240"/>
              <w:rPr>
                <w:lang w:val="es-ES_tradnl"/>
              </w:rPr>
            </w:pPr>
            <w:r w:rsidRPr="00CB6BB3">
              <w:rPr>
                <w:lang w:val="es-ES_tradnl"/>
              </w:rPr>
              <w:t>Distr. general</w:t>
            </w:r>
          </w:p>
          <w:p w:rsidR="00DE2DBE" w:rsidRPr="00CB6BB3" w:rsidRDefault="00D25E17">
            <w:pPr>
              <w:rPr>
                <w:lang w:val="es-ES_tradnl"/>
              </w:rPr>
            </w:pPr>
            <w:r w:rsidRPr="00CB6BB3">
              <w:rPr>
                <w:lang w:val="es-ES_tradnl"/>
              </w:rPr>
              <w:t>9 de junio de 2011</w:t>
            </w:r>
          </w:p>
          <w:p w:rsidR="00DE2DBE" w:rsidRPr="00CB6BB3" w:rsidRDefault="00DE2DBE">
            <w:pPr>
              <w:rPr>
                <w:lang w:val="es-ES_tradnl"/>
              </w:rPr>
            </w:pPr>
            <w:r w:rsidRPr="00CB6BB3">
              <w:rPr>
                <w:lang w:val="es-ES_tradnl"/>
              </w:rPr>
              <w:t>Español</w:t>
            </w:r>
          </w:p>
          <w:p w:rsidR="00DE2DBE" w:rsidRPr="00CB6BB3" w:rsidRDefault="00DE2DBE">
            <w:pPr>
              <w:rPr>
                <w:lang w:val="es-ES_tradnl"/>
              </w:rPr>
            </w:pPr>
            <w:r w:rsidRPr="00CB6BB3">
              <w:rPr>
                <w:lang w:val="es-ES_tradnl"/>
              </w:rPr>
              <w:t>Original: inglés</w:t>
            </w:r>
          </w:p>
        </w:tc>
      </w:tr>
    </w:tbl>
    <w:p w:rsidR="00DE2DBE" w:rsidRPr="00914F2D" w:rsidRDefault="00DE2DBE">
      <w:pPr>
        <w:spacing w:before="120"/>
        <w:rPr>
          <w:b/>
          <w:sz w:val="24"/>
          <w:szCs w:val="24"/>
          <w:lang w:val="es-ES_tradnl"/>
        </w:rPr>
      </w:pPr>
      <w:r w:rsidRPr="00CB6BB3">
        <w:rPr>
          <w:b/>
          <w:sz w:val="24"/>
          <w:szCs w:val="24"/>
          <w:lang w:val="es-ES_tradnl"/>
        </w:rPr>
        <w:t>Comité para la Eliminación de la Discriminación</w:t>
      </w:r>
      <w:r w:rsidRPr="00CB6BB3">
        <w:rPr>
          <w:b/>
          <w:sz w:val="24"/>
          <w:szCs w:val="24"/>
          <w:lang w:val="es-ES_tradnl"/>
        </w:rPr>
        <w:br/>
        <w:t>contra la Mujer</w:t>
      </w:r>
    </w:p>
    <w:p w:rsidR="00DE2DBE" w:rsidRPr="00CB6BB3" w:rsidRDefault="00DE2DBE">
      <w:pPr>
        <w:pStyle w:val="HMG"/>
        <w:rPr>
          <w:lang w:val="es-ES_tradnl"/>
        </w:rPr>
      </w:pPr>
      <w:r w:rsidRPr="00CB6BB3">
        <w:rPr>
          <w:lang w:val="es-ES_tradnl"/>
        </w:rPr>
        <w:tab/>
      </w:r>
      <w:r w:rsidRPr="00CB6BB3">
        <w:rPr>
          <w:lang w:val="es-ES_tradnl"/>
        </w:rPr>
        <w:tab/>
        <w:t>Examen de los informes presentados por los Estados partes en virtud del artículo 18 de la Convención sobre la eliminación de todas las formas de discriminación contra la mujer</w:t>
      </w:r>
    </w:p>
    <w:p w:rsidR="00DE2DBE" w:rsidRPr="00CB6BB3" w:rsidRDefault="00DE2DBE">
      <w:pPr>
        <w:pStyle w:val="HChG"/>
        <w:rPr>
          <w:lang w:val="es-ES_tradnl"/>
        </w:rPr>
      </w:pPr>
      <w:r w:rsidRPr="00CB6BB3">
        <w:rPr>
          <w:lang w:val="es-ES_tradnl"/>
        </w:rPr>
        <w:tab/>
      </w:r>
      <w:r w:rsidRPr="00CB6BB3">
        <w:rPr>
          <w:lang w:val="es-ES_tradnl"/>
        </w:rPr>
        <w:tab/>
        <w:t xml:space="preserve">Informes periódicos séptimo y octavo combinados de </w:t>
      </w:r>
      <w:r w:rsidR="00C425BE">
        <w:rPr>
          <w:lang w:val="es-ES_tradnl"/>
        </w:rPr>
        <w:br/>
      </w:r>
      <w:r w:rsidRPr="00CB6BB3">
        <w:rPr>
          <w:lang w:val="es-ES_tradnl"/>
        </w:rPr>
        <w:t>los Estados partes</w:t>
      </w:r>
    </w:p>
    <w:p w:rsidR="00DE2DBE" w:rsidRPr="00CB6BB3" w:rsidRDefault="00DE2DBE">
      <w:pPr>
        <w:pStyle w:val="HMG"/>
        <w:rPr>
          <w:lang w:val="es-ES_tradnl"/>
        </w:rPr>
      </w:pPr>
      <w:r w:rsidRPr="00CB6BB3">
        <w:rPr>
          <w:lang w:val="es-ES_tradnl"/>
        </w:rPr>
        <w:tab/>
      </w:r>
      <w:r w:rsidRPr="00CB6BB3">
        <w:rPr>
          <w:lang w:val="es-ES_tradnl"/>
        </w:rPr>
        <w:tab/>
      </w:r>
      <w:r w:rsidR="00D25E17" w:rsidRPr="00CB6BB3">
        <w:rPr>
          <w:lang w:val="es-ES_tradnl"/>
        </w:rPr>
        <w:t>Austria</w:t>
      </w:r>
      <w:r w:rsidRPr="00CB6BB3">
        <w:rPr>
          <w:rStyle w:val="FootnoteReference"/>
          <w:b w:val="0"/>
          <w:sz w:val="20"/>
          <w:vertAlign w:val="baseline"/>
          <w:lang w:val="es-ES_tradnl"/>
        </w:rPr>
        <w:footnoteReference w:customMarkFollows="1" w:id="1"/>
        <w:t>*</w:t>
      </w:r>
    </w:p>
    <w:p w:rsidR="00B0711D" w:rsidRPr="00B0711D" w:rsidRDefault="00B0711D" w:rsidP="00C70626">
      <w:pPr>
        <w:pStyle w:val="SingleTxtG"/>
        <w:rPr>
          <w:lang w:val="es-ES_tradnl"/>
        </w:rPr>
      </w:pPr>
    </w:p>
    <w:p w:rsidR="005E49B6" w:rsidRPr="00CB6BB3" w:rsidRDefault="00DE2DBE" w:rsidP="00C70626">
      <w:pPr>
        <w:pStyle w:val="HChG"/>
        <w:rPr>
          <w:lang w:val="es-ES_tradnl"/>
        </w:rPr>
      </w:pPr>
      <w:r w:rsidRPr="00B0711D">
        <w:rPr>
          <w:lang w:val="es-ES_tradnl"/>
        </w:rPr>
        <w:br w:type="page"/>
      </w:r>
      <w:r w:rsidR="00C70626">
        <w:rPr>
          <w:lang w:val="es-ES_tradnl"/>
        </w:rPr>
        <w:tab/>
      </w:r>
      <w:r w:rsidR="005E49B6" w:rsidRPr="00CB6BB3">
        <w:rPr>
          <w:lang w:val="es-ES_tradnl"/>
        </w:rPr>
        <w:t>I.</w:t>
      </w:r>
      <w:r w:rsidR="005E49B6" w:rsidRPr="00CB6BB3">
        <w:rPr>
          <w:lang w:val="es-ES_tradnl"/>
        </w:rPr>
        <w:tab/>
        <w:t>Introducción</w:t>
      </w:r>
    </w:p>
    <w:p w:rsidR="005E49B6" w:rsidRPr="00CB6BB3" w:rsidRDefault="005E49B6" w:rsidP="007D21B7">
      <w:pPr>
        <w:pStyle w:val="SingleTxtG"/>
        <w:rPr>
          <w:lang w:val="es-ES_tradnl"/>
        </w:rPr>
      </w:pPr>
      <w:r w:rsidRPr="00CB6BB3">
        <w:rPr>
          <w:lang w:val="es-ES_tradnl"/>
        </w:rPr>
        <w:t>1.</w:t>
      </w:r>
      <w:r w:rsidRPr="00CB6BB3">
        <w:rPr>
          <w:lang w:val="es-ES_tradnl"/>
        </w:rPr>
        <w:tab/>
        <w:t xml:space="preserve">Austria </w:t>
      </w:r>
      <w:r w:rsidR="002577FE" w:rsidRPr="00CB6BB3">
        <w:rPr>
          <w:lang w:val="es-ES_tradnl"/>
        </w:rPr>
        <w:t xml:space="preserve">ratificó la Convención sobre la eliminación de todas las formas de discriminación contra la mujer </w:t>
      </w:r>
      <w:r w:rsidR="000909D7" w:rsidRPr="00CB6BB3">
        <w:rPr>
          <w:lang w:val="es-ES_tradnl"/>
        </w:rPr>
        <w:t>(</w:t>
      </w:r>
      <w:r w:rsidR="004765D0" w:rsidRPr="00CB6BB3">
        <w:rPr>
          <w:lang w:val="es-ES_tradnl"/>
        </w:rPr>
        <w:t>CEDAW) en 1982; con arreglo a</w:t>
      </w:r>
      <w:r w:rsidR="002577FE" w:rsidRPr="00CB6BB3">
        <w:rPr>
          <w:lang w:val="es-ES_tradnl"/>
        </w:rPr>
        <w:t xml:space="preserve">l </w:t>
      </w:r>
      <w:r w:rsidR="004A5545" w:rsidRPr="00CB6BB3">
        <w:rPr>
          <w:lang w:val="es-ES_tradnl"/>
        </w:rPr>
        <w:t>artículo</w:t>
      </w:r>
      <w:r w:rsidR="002577FE" w:rsidRPr="00CB6BB3">
        <w:rPr>
          <w:lang w:val="es-ES_tradnl"/>
        </w:rPr>
        <w:t xml:space="preserve"> 18 de la misma, se comprometió a presentar, </w:t>
      </w:r>
      <w:r w:rsidR="0063746F" w:rsidRPr="00CB6BB3">
        <w:rPr>
          <w:lang w:val="es-ES_tradnl"/>
        </w:rPr>
        <w:t>con una frecuencia de al menos</w:t>
      </w:r>
      <w:r w:rsidR="000909D7" w:rsidRPr="00CB6BB3">
        <w:rPr>
          <w:lang w:val="es-ES_tradnl"/>
        </w:rPr>
        <w:t xml:space="preserve"> </w:t>
      </w:r>
      <w:r w:rsidR="002577FE" w:rsidRPr="00CB6BB3">
        <w:rPr>
          <w:lang w:val="es-ES_tradnl"/>
        </w:rPr>
        <w:t>cuatro años, informe</w:t>
      </w:r>
      <w:r w:rsidR="00C91A0E" w:rsidRPr="00CB6BB3">
        <w:rPr>
          <w:lang w:val="es-ES_tradnl"/>
        </w:rPr>
        <w:t>s periódicos en los que daría</w:t>
      </w:r>
      <w:r w:rsidR="002577FE" w:rsidRPr="00CB6BB3">
        <w:rPr>
          <w:lang w:val="es-ES_tradnl"/>
        </w:rPr>
        <w:t xml:space="preserve"> cuenta de las dificultades</w:t>
      </w:r>
      <w:r w:rsidR="0063746F" w:rsidRPr="00CB6BB3">
        <w:rPr>
          <w:lang w:val="es-ES_tradnl"/>
        </w:rPr>
        <w:t xml:space="preserve"> encontradas</w:t>
      </w:r>
      <w:r w:rsidR="002577FE" w:rsidRPr="00CB6BB3">
        <w:rPr>
          <w:lang w:val="es-ES_tradnl"/>
        </w:rPr>
        <w:t xml:space="preserve">, las medidas adoptadas y los logros </w:t>
      </w:r>
      <w:r w:rsidR="00E730B0" w:rsidRPr="00CB6BB3">
        <w:rPr>
          <w:lang w:val="es-ES_tradnl"/>
        </w:rPr>
        <w:t xml:space="preserve">obtenidos en relación con la aplicación de la Convención. En virtud de ello, Austria elaboró su primer informe en </w:t>
      </w:r>
      <w:r w:rsidRPr="00CB6BB3">
        <w:rPr>
          <w:lang w:val="es-ES_tradnl"/>
        </w:rPr>
        <w:t xml:space="preserve">1983. </w:t>
      </w:r>
      <w:r w:rsidR="00C91A0E" w:rsidRPr="00CB6BB3">
        <w:rPr>
          <w:lang w:val="es-ES_tradnl"/>
        </w:rPr>
        <w:t>E</w:t>
      </w:r>
      <w:r w:rsidR="00E730B0" w:rsidRPr="00CB6BB3">
        <w:rPr>
          <w:lang w:val="es-ES_tradnl"/>
        </w:rPr>
        <w:t>l presente informe periódico</w:t>
      </w:r>
      <w:r w:rsidR="004765D0" w:rsidRPr="00CB6BB3">
        <w:rPr>
          <w:lang w:val="es-ES_tradnl"/>
        </w:rPr>
        <w:t xml:space="preserve"> combinado</w:t>
      </w:r>
      <w:r w:rsidR="00E730B0" w:rsidRPr="00CB6BB3">
        <w:rPr>
          <w:lang w:val="es-ES_tradnl"/>
        </w:rPr>
        <w:t xml:space="preserve"> séptimo y octavo da seguimiento a las </w:t>
      </w:r>
      <w:r w:rsidR="00E730B0" w:rsidRPr="007D21B7">
        <w:t>observaciones</w:t>
      </w:r>
      <w:r w:rsidR="00E730B0" w:rsidRPr="00CB6BB3">
        <w:rPr>
          <w:lang w:val="es-ES_tradnl"/>
        </w:rPr>
        <w:t xml:space="preserve"> </w:t>
      </w:r>
      <w:r w:rsidR="004765D0" w:rsidRPr="00CB6BB3">
        <w:rPr>
          <w:lang w:val="es-ES_tradnl"/>
        </w:rPr>
        <w:t>del sexto i</w:t>
      </w:r>
      <w:r w:rsidR="00E730B0" w:rsidRPr="00CB6BB3">
        <w:rPr>
          <w:lang w:val="es-ES_tradnl"/>
        </w:rPr>
        <w:t xml:space="preserve">nforme </w:t>
      </w:r>
      <w:r w:rsidR="004765D0" w:rsidRPr="00CB6BB3">
        <w:rPr>
          <w:lang w:val="es-ES_tradnl"/>
        </w:rPr>
        <w:t>sobre la aplicación de la CEDAW</w:t>
      </w:r>
      <w:r w:rsidR="00C91A0E" w:rsidRPr="00CB6BB3">
        <w:rPr>
          <w:lang w:val="es-ES_tradnl"/>
        </w:rPr>
        <w:t>;</w:t>
      </w:r>
      <w:r w:rsidR="004765D0" w:rsidRPr="00CB6BB3">
        <w:rPr>
          <w:lang w:val="es-ES_tradnl"/>
        </w:rPr>
        <w:t xml:space="preserve"> </w:t>
      </w:r>
      <w:r w:rsidR="00C91A0E" w:rsidRPr="00CB6BB3">
        <w:rPr>
          <w:lang w:val="es-ES_tradnl"/>
        </w:rPr>
        <w:t>se detallan</w:t>
      </w:r>
      <w:r w:rsidR="00525E2B" w:rsidRPr="00CB6BB3">
        <w:rPr>
          <w:lang w:val="es-ES_tradnl"/>
        </w:rPr>
        <w:t xml:space="preserve"> la</w:t>
      </w:r>
      <w:r w:rsidR="004765D0" w:rsidRPr="00CB6BB3">
        <w:rPr>
          <w:lang w:val="es-ES_tradnl"/>
        </w:rPr>
        <w:t xml:space="preserve">s medidas </w:t>
      </w:r>
      <w:r w:rsidR="00C91A0E" w:rsidRPr="00CB6BB3">
        <w:rPr>
          <w:lang w:val="es-ES_tradnl"/>
        </w:rPr>
        <w:t xml:space="preserve">adoptadas </w:t>
      </w:r>
      <w:r w:rsidR="004765D0" w:rsidRPr="00CB6BB3">
        <w:rPr>
          <w:lang w:val="es-ES_tradnl"/>
        </w:rPr>
        <w:t>más importantes</w:t>
      </w:r>
      <w:r w:rsidR="00525E2B" w:rsidRPr="00CB6BB3">
        <w:rPr>
          <w:lang w:val="es-ES_tradnl"/>
        </w:rPr>
        <w:t xml:space="preserve">, así como </w:t>
      </w:r>
      <w:r w:rsidR="0063746F" w:rsidRPr="00CB6BB3">
        <w:rPr>
          <w:lang w:val="es-ES_tradnl"/>
        </w:rPr>
        <w:t xml:space="preserve">los </w:t>
      </w:r>
      <w:r w:rsidR="00C91A0E" w:rsidRPr="00CB6BB3">
        <w:rPr>
          <w:lang w:val="es-ES_tradnl"/>
        </w:rPr>
        <w:t>p</w:t>
      </w:r>
      <w:r w:rsidR="00525E2B" w:rsidRPr="00CB6BB3">
        <w:rPr>
          <w:lang w:val="es-ES_tradnl"/>
        </w:rPr>
        <w:t>royectos</w:t>
      </w:r>
      <w:r w:rsidR="00C91A0E" w:rsidRPr="00CB6BB3">
        <w:rPr>
          <w:lang w:val="es-ES_tradnl"/>
        </w:rPr>
        <w:t xml:space="preserve"> emprendidos y las leyes aprobadas con miras a la eliminación de la discriminación contra la mujer en la vida social, cultural y económica en el período comprendido entre enero d</w:t>
      </w:r>
      <w:r w:rsidR="0063746F" w:rsidRPr="00CB6BB3">
        <w:rPr>
          <w:lang w:val="es-ES_tradnl"/>
        </w:rPr>
        <w:t>e 2004 y diciembre de 2010. La M</w:t>
      </w:r>
      <w:r w:rsidR="00C91A0E" w:rsidRPr="00CB6BB3">
        <w:rPr>
          <w:lang w:val="es-ES_tradnl"/>
        </w:rPr>
        <w:t>inistra</w:t>
      </w:r>
      <w:r w:rsidR="0063746F" w:rsidRPr="00CB6BB3">
        <w:rPr>
          <w:lang w:val="es-ES_tradnl"/>
        </w:rPr>
        <w:t xml:space="preserve"> F</w:t>
      </w:r>
      <w:r w:rsidR="00C91A0E" w:rsidRPr="00CB6BB3">
        <w:rPr>
          <w:lang w:val="es-ES_tradnl"/>
        </w:rPr>
        <w:t xml:space="preserve">ederal </w:t>
      </w:r>
      <w:r w:rsidR="0064003A" w:rsidRPr="00CB6BB3">
        <w:rPr>
          <w:lang w:val="es-ES_tradnl"/>
        </w:rPr>
        <w:t>de Asuntos de l</w:t>
      </w:r>
      <w:r w:rsidR="00C91A0E" w:rsidRPr="00CB6BB3">
        <w:rPr>
          <w:lang w:val="es-ES_tradnl"/>
        </w:rPr>
        <w:t>a Mujer y la Administración Pública</w:t>
      </w:r>
      <w:r w:rsidR="0063746F" w:rsidRPr="00CB6BB3">
        <w:rPr>
          <w:lang w:val="es-ES_tradnl"/>
        </w:rPr>
        <w:t xml:space="preserve"> coordinó</w:t>
      </w:r>
      <w:r w:rsidR="00C91A0E" w:rsidRPr="00CB6BB3">
        <w:rPr>
          <w:lang w:val="es-ES_tradnl"/>
        </w:rPr>
        <w:t xml:space="preserve"> la preparación del presente informe. En este proceso </w:t>
      </w:r>
      <w:r w:rsidR="000909D7" w:rsidRPr="00CB6BB3">
        <w:rPr>
          <w:lang w:val="es-ES_tradnl"/>
        </w:rPr>
        <w:t xml:space="preserve">participaron </w:t>
      </w:r>
      <w:r w:rsidR="00C91A0E" w:rsidRPr="00CB6BB3">
        <w:rPr>
          <w:lang w:val="es-ES_tradnl"/>
        </w:rPr>
        <w:t xml:space="preserve">autoridades gubernamentales y de las provincias federales, y en noviembre de 2010 se </w:t>
      </w:r>
      <w:r w:rsidR="0063746F" w:rsidRPr="00CB6BB3">
        <w:rPr>
          <w:lang w:val="es-ES_tradnl"/>
        </w:rPr>
        <w:t>organiz</w:t>
      </w:r>
      <w:r w:rsidR="002E5E36" w:rsidRPr="00CB6BB3">
        <w:rPr>
          <w:lang w:val="es-ES_tradnl"/>
        </w:rPr>
        <w:t>ó</w:t>
      </w:r>
      <w:r w:rsidR="0063746F" w:rsidRPr="00CB6BB3">
        <w:rPr>
          <w:lang w:val="es-ES_tradnl"/>
        </w:rPr>
        <w:t xml:space="preserve"> un debate</w:t>
      </w:r>
      <w:r w:rsidR="00C91A0E" w:rsidRPr="00CB6BB3">
        <w:rPr>
          <w:lang w:val="es-ES_tradnl"/>
        </w:rPr>
        <w:t xml:space="preserve"> estructurado con la sociedad civil</w:t>
      </w:r>
      <w:r w:rsidR="002E5E36" w:rsidRPr="00CB6BB3">
        <w:rPr>
          <w:lang w:val="es-ES_tradnl"/>
        </w:rPr>
        <w:t>. Atendiendo las nuevas directrices</w:t>
      </w:r>
      <w:r w:rsidR="0063746F" w:rsidRPr="00CB6BB3">
        <w:rPr>
          <w:rStyle w:val="FootnoteReference"/>
          <w:lang w:val="es-ES_tradnl"/>
        </w:rPr>
        <w:footnoteReference w:id="2"/>
      </w:r>
      <w:r w:rsidR="002E5E36" w:rsidRPr="00CB6BB3">
        <w:rPr>
          <w:lang w:val="es-ES_tradnl"/>
        </w:rPr>
        <w:t xml:space="preserve"> relativas a la presentación de informes aplicables a todos los informes presentados a partir de </w:t>
      </w:r>
      <w:r w:rsidRPr="00CB6BB3">
        <w:rPr>
          <w:lang w:val="es-ES_tradnl"/>
        </w:rPr>
        <w:t>2010,</w:t>
      </w:r>
      <w:r w:rsidR="002E5E36" w:rsidRPr="00CB6BB3">
        <w:rPr>
          <w:lang w:val="es-ES_tradnl"/>
        </w:rPr>
        <w:t xml:space="preserve"> el presente informe se limita a 40 páginas</w:t>
      </w:r>
      <w:r w:rsidRPr="00CB6BB3">
        <w:rPr>
          <w:lang w:val="es-ES_tradnl"/>
        </w:rPr>
        <w:t>.</w:t>
      </w:r>
    </w:p>
    <w:p w:rsidR="005E49B6" w:rsidRPr="00CB6BB3" w:rsidRDefault="005E49B6" w:rsidP="007D21B7">
      <w:pPr>
        <w:pStyle w:val="SingleTxtG"/>
        <w:rPr>
          <w:lang w:val="es-ES_tradnl"/>
        </w:rPr>
      </w:pPr>
      <w:r w:rsidRPr="00CB6BB3">
        <w:rPr>
          <w:lang w:val="es-ES_tradnl"/>
        </w:rPr>
        <w:t>2.</w:t>
      </w:r>
      <w:r w:rsidRPr="00CB6BB3">
        <w:rPr>
          <w:lang w:val="es-ES_tradnl"/>
        </w:rPr>
        <w:tab/>
      </w:r>
      <w:r w:rsidR="000909D7" w:rsidRPr="00CB6BB3">
        <w:rPr>
          <w:lang w:val="es-ES_tradnl"/>
        </w:rPr>
        <w:t>L</w:t>
      </w:r>
      <w:r w:rsidR="002E5E36" w:rsidRPr="00CB6BB3">
        <w:rPr>
          <w:lang w:val="es-ES_tradnl"/>
        </w:rPr>
        <w:t xml:space="preserve">a primera parte del informe </w:t>
      </w:r>
      <w:r w:rsidR="000909D7" w:rsidRPr="00CB6BB3">
        <w:rPr>
          <w:lang w:val="es-ES_tradnl"/>
        </w:rPr>
        <w:t>incluye</w:t>
      </w:r>
      <w:r w:rsidR="000A7171" w:rsidRPr="00CB6BB3">
        <w:rPr>
          <w:lang w:val="es-ES_tradnl"/>
        </w:rPr>
        <w:t xml:space="preserve"> </w:t>
      </w:r>
      <w:r w:rsidR="002E5E36" w:rsidRPr="00CB6BB3">
        <w:rPr>
          <w:lang w:val="es-ES_tradnl"/>
        </w:rPr>
        <w:t xml:space="preserve">observaciones sobre las recomendaciones del Comité, </w:t>
      </w:r>
      <w:r w:rsidR="00361330" w:rsidRPr="00CB6BB3">
        <w:rPr>
          <w:lang w:val="es-ES_tradnl"/>
        </w:rPr>
        <w:t>y</w:t>
      </w:r>
      <w:r w:rsidR="000909D7" w:rsidRPr="00CB6BB3">
        <w:rPr>
          <w:lang w:val="es-ES_tradnl"/>
        </w:rPr>
        <w:t xml:space="preserve"> </w:t>
      </w:r>
      <w:r w:rsidR="002E5E36" w:rsidRPr="00CB6BB3">
        <w:rPr>
          <w:lang w:val="es-ES_tradnl"/>
        </w:rPr>
        <w:t>la segunda</w:t>
      </w:r>
      <w:r w:rsidR="000909D7" w:rsidRPr="00CB6BB3">
        <w:rPr>
          <w:lang w:val="es-ES_tradnl"/>
        </w:rPr>
        <w:t xml:space="preserve">, </w:t>
      </w:r>
      <w:r w:rsidR="002E5E36" w:rsidRPr="00CB6BB3">
        <w:rPr>
          <w:lang w:val="es-ES_tradnl"/>
        </w:rPr>
        <w:t xml:space="preserve">información sobre los </w:t>
      </w:r>
      <w:r w:rsidR="002E5E36" w:rsidRPr="007D21B7">
        <w:t>artículos</w:t>
      </w:r>
      <w:r w:rsidR="002E5E36" w:rsidRPr="00CB6BB3">
        <w:rPr>
          <w:lang w:val="es-ES_tradnl"/>
        </w:rPr>
        <w:t xml:space="preserve"> de la Convención</w:t>
      </w:r>
      <w:r w:rsidR="000A7171" w:rsidRPr="00CB6BB3">
        <w:rPr>
          <w:lang w:val="es-ES_tradnl"/>
        </w:rPr>
        <w:t xml:space="preserve">. </w:t>
      </w:r>
      <w:r w:rsidR="00361330" w:rsidRPr="00CB6BB3">
        <w:rPr>
          <w:lang w:val="es-ES_tradnl"/>
        </w:rPr>
        <w:t>E</w:t>
      </w:r>
      <w:r w:rsidR="000A7171" w:rsidRPr="00CB6BB3">
        <w:rPr>
          <w:lang w:val="es-ES_tradnl"/>
        </w:rPr>
        <w:t>n</w:t>
      </w:r>
      <w:r w:rsidR="00361330" w:rsidRPr="00CB6BB3">
        <w:rPr>
          <w:lang w:val="es-ES_tradnl"/>
        </w:rPr>
        <w:t xml:space="preserve"> los</w:t>
      </w:r>
      <w:r w:rsidR="000A7171" w:rsidRPr="00CB6BB3">
        <w:rPr>
          <w:lang w:val="es-ES_tradnl"/>
        </w:rPr>
        <w:t xml:space="preserve"> dos anexos se </w:t>
      </w:r>
      <w:r w:rsidR="00361330" w:rsidRPr="00CB6BB3">
        <w:rPr>
          <w:lang w:val="es-ES_tradnl"/>
        </w:rPr>
        <w:t>detallan</w:t>
      </w:r>
      <w:r w:rsidR="000A7171" w:rsidRPr="00CB6BB3">
        <w:rPr>
          <w:lang w:val="es-ES_tradnl"/>
        </w:rPr>
        <w:t xml:space="preserve"> estadísticas y proyectos, eventos, estudios y publicaciones</w:t>
      </w:r>
      <w:r w:rsidRPr="00CB6BB3">
        <w:rPr>
          <w:lang w:val="es-ES_tradnl"/>
        </w:rPr>
        <w:t>.</w:t>
      </w:r>
    </w:p>
    <w:p w:rsidR="005E49B6" w:rsidRPr="00CB6BB3" w:rsidRDefault="005E49B6" w:rsidP="00C70626">
      <w:pPr>
        <w:pStyle w:val="HChG"/>
        <w:rPr>
          <w:lang w:val="es-ES_tradnl"/>
        </w:rPr>
      </w:pPr>
      <w:r w:rsidRPr="00CB6BB3">
        <w:rPr>
          <w:lang w:val="es-ES_tradnl"/>
        </w:rPr>
        <w:tab/>
      </w:r>
      <w:r w:rsidR="000A7171" w:rsidRPr="00CB6BB3">
        <w:rPr>
          <w:lang w:val="es-ES_tradnl"/>
        </w:rPr>
        <w:t>II.</w:t>
      </w:r>
      <w:r w:rsidR="000A7171" w:rsidRPr="00CB6BB3">
        <w:rPr>
          <w:lang w:val="es-ES_tradnl"/>
        </w:rPr>
        <w:tab/>
        <w:t xml:space="preserve">Aplicación de las recomendaciones sobre el sexto informe </w:t>
      </w:r>
      <w:r w:rsidR="008025E6">
        <w:rPr>
          <w:lang w:val="es-ES_tradnl"/>
        </w:rPr>
        <w:br/>
      </w:r>
      <w:r w:rsidR="000A7171" w:rsidRPr="00CB6BB3">
        <w:rPr>
          <w:lang w:val="es-ES_tradnl"/>
        </w:rPr>
        <w:t>de Austria al Comité</w:t>
      </w:r>
      <w:r w:rsidRPr="00CB6BB3">
        <w:rPr>
          <w:lang w:val="es-ES_tradnl"/>
        </w:rPr>
        <w:t xml:space="preserve"> (CEDAW/C/AUT/CO/6)</w:t>
      </w:r>
    </w:p>
    <w:p w:rsidR="005E49B6" w:rsidRPr="00CB6BB3" w:rsidRDefault="005E49B6" w:rsidP="00C70626">
      <w:pPr>
        <w:pStyle w:val="H1G"/>
        <w:rPr>
          <w:lang w:val="es-ES_tradnl"/>
        </w:rPr>
      </w:pPr>
      <w:r w:rsidRPr="00CB6BB3">
        <w:rPr>
          <w:lang w:val="es-ES_tradnl"/>
        </w:rPr>
        <w:tab/>
      </w:r>
      <w:r w:rsidRPr="00CB6BB3">
        <w:rPr>
          <w:lang w:val="es-ES_tradnl"/>
        </w:rPr>
        <w:tab/>
      </w:r>
      <w:r w:rsidR="000A7171" w:rsidRPr="00CB6BB3">
        <w:rPr>
          <w:lang w:val="es-ES_tradnl"/>
        </w:rPr>
        <w:t xml:space="preserve">Respuesta a las observaciones finales </w:t>
      </w:r>
      <w:r w:rsidR="004E1189">
        <w:rPr>
          <w:lang w:val="es-ES_tradnl"/>
        </w:rPr>
        <w:t>del</w:t>
      </w:r>
      <w:r w:rsidR="000A7171" w:rsidRPr="00CB6BB3">
        <w:rPr>
          <w:lang w:val="es-ES_tradnl"/>
        </w:rPr>
        <w:t xml:space="preserve"> párrafo 4 de las </w:t>
      </w:r>
      <w:r w:rsidR="00C70626">
        <w:rPr>
          <w:lang w:val="es-ES_tradnl"/>
        </w:rPr>
        <w:br/>
      </w:r>
      <w:r w:rsidR="000A7171" w:rsidRPr="00CB6BB3">
        <w:rPr>
          <w:lang w:val="es-ES_tradnl"/>
        </w:rPr>
        <w:t>observaciones finales</w:t>
      </w:r>
    </w:p>
    <w:p w:rsidR="005E49B6" w:rsidRPr="00CB6BB3" w:rsidRDefault="005E49B6" w:rsidP="00C70626">
      <w:pPr>
        <w:pStyle w:val="SingleTxtG"/>
        <w:rPr>
          <w:lang w:val="es-ES_tradnl"/>
        </w:rPr>
      </w:pPr>
      <w:r w:rsidRPr="00CB6BB3">
        <w:rPr>
          <w:lang w:val="es-ES_tradnl"/>
        </w:rPr>
        <w:t>3.</w:t>
      </w:r>
      <w:r w:rsidRPr="00CB6BB3">
        <w:rPr>
          <w:lang w:val="es-ES_tradnl"/>
        </w:rPr>
        <w:tab/>
        <w:t>A</w:t>
      </w:r>
      <w:r w:rsidR="006E4D94" w:rsidRPr="00CB6BB3">
        <w:rPr>
          <w:lang w:val="es-ES_tradnl"/>
        </w:rPr>
        <w:t xml:space="preserve"> resultas de la enmienda a la normativa que rige la</w:t>
      </w:r>
      <w:r w:rsidRPr="00CB6BB3">
        <w:rPr>
          <w:lang w:val="es-ES_tradnl"/>
        </w:rPr>
        <w:t>s</w:t>
      </w:r>
      <w:r w:rsidR="006E4D94" w:rsidRPr="00CB6BB3">
        <w:rPr>
          <w:lang w:val="es-ES_tradnl"/>
        </w:rPr>
        <w:t xml:space="preserve"> prohibiciones y</w:t>
      </w:r>
      <w:r w:rsidR="00BF5850" w:rsidRPr="00CB6BB3">
        <w:rPr>
          <w:lang w:val="es-ES_tradnl"/>
        </w:rPr>
        <w:t xml:space="preserve"> restricciones </w:t>
      </w:r>
      <w:r w:rsidR="00361330" w:rsidRPr="00CB6BB3">
        <w:rPr>
          <w:lang w:val="es-ES_tradnl"/>
        </w:rPr>
        <w:t>en relación con la m</w:t>
      </w:r>
      <w:r w:rsidR="006E4D94" w:rsidRPr="00CB6BB3">
        <w:rPr>
          <w:lang w:val="es-ES_tradnl"/>
        </w:rPr>
        <w:t>ujer</w:t>
      </w:r>
      <w:r w:rsidR="00361330" w:rsidRPr="00CB6BB3">
        <w:rPr>
          <w:lang w:val="es-ES_tradnl"/>
        </w:rPr>
        <w:t xml:space="preserve"> trabajadora</w:t>
      </w:r>
      <w:r w:rsidRPr="00CB6BB3">
        <w:rPr>
          <w:lang w:val="es-ES_tradnl"/>
        </w:rPr>
        <w:t xml:space="preserve">, </w:t>
      </w:r>
      <w:r w:rsidR="006E4D94" w:rsidRPr="00CB6BB3">
        <w:rPr>
          <w:lang w:val="es-ES_tradnl"/>
        </w:rPr>
        <w:t>sólo se mantuvieron las disposiciones e</w:t>
      </w:r>
      <w:r w:rsidRPr="00CB6BB3">
        <w:rPr>
          <w:lang w:val="es-ES_tradnl"/>
        </w:rPr>
        <w:t>special</w:t>
      </w:r>
      <w:r w:rsidR="006E4D94" w:rsidRPr="00CB6BB3">
        <w:rPr>
          <w:lang w:val="es-ES_tradnl"/>
        </w:rPr>
        <w:t>e</w:t>
      </w:r>
      <w:r w:rsidRPr="00CB6BB3">
        <w:rPr>
          <w:lang w:val="es-ES_tradnl"/>
        </w:rPr>
        <w:t>s</w:t>
      </w:r>
      <w:r w:rsidR="006E4D94" w:rsidRPr="00CB6BB3">
        <w:rPr>
          <w:lang w:val="es-ES_tradnl"/>
        </w:rPr>
        <w:t xml:space="preserve">, que atienden a las diferencias </w:t>
      </w:r>
      <w:r w:rsidR="000E272E" w:rsidRPr="00CB6BB3">
        <w:rPr>
          <w:lang w:val="es-ES_tradnl"/>
        </w:rPr>
        <w:t>relacionadas con el</w:t>
      </w:r>
      <w:r w:rsidR="006E4D94" w:rsidRPr="00CB6BB3">
        <w:rPr>
          <w:lang w:val="es-ES_tradnl"/>
        </w:rPr>
        <w:t xml:space="preserve"> género y </w:t>
      </w:r>
      <w:r w:rsidR="005D2647" w:rsidRPr="00CB6BB3">
        <w:rPr>
          <w:lang w:val="es-ES_tradnl"/>
        </w:rPr>
        <w:t xml:space="preserve">tienen una justificación </w:t>
      </w:r>
      <w:r w:rsidR="006E4D94" w:rsidRPr="00CB6BB3">
        <w:rPr>
          <w:lang w:val="es-ES_tradnl"/>
        </w:rPr>
        <w:t>cientí</w:t>
      </w:r>
      <w:r w:rsidRPr="00CB6BB3">
        <w:rPr>
          <w:lang w:val="es-ES_tradnl"/>
        </w:rPr>
        <w:t>fic</w:t>
      </w:r>
      <w:r w:rsidR="005D2647" w:rsidRPr="00CB6BB3">
        <w:rPr>
          <w:lang w:val="es-ES_tradnl"/>
        </w:rPr>
        <w:t>a</w:t>
      </w:r>
      <w:r w:rsidRPr="00CB6BB3">
        <w:rPr>
          <w:lang w:val="es-ES_tradnl"/>
        </w:rPr>
        <w:t xml:space="preserve">: </w:t>
      </w:r>
      <w:r w:rsidR="005D2647" w:rsidRPr="00CB6BB3">
        <w:rPr>
          <w:lang w:val="es-ES_tradnl"/>
        </w:rPr>
        <w:t xml:space="preserve">el </w:t>
      </w:r>
      <w:r w:rsidR="006E4D94" w:rsidRPr="00CB6BB3">
        <w:rPr>
          <w:lang w:val="es-ES_tradnl"/>
        </w:rPr>
        <w:t xml:space="preserve">trabajo </w:t>
      </w:r>
      <w:r w:rsidR="000909D7" w:rsidRPr="00CB6BB3">
        <w:rPr>
          <w:lang w:val="es-ES_tradnl"/>
        </w:rPr>
        <w:t xml:space="preserve">en </w:t>
      </w:r>
      <w:r w:rsidR="005D2647" w:rsidRPr="00CB6BB3">
        <w:rPr>
          <w:lang w:val="es-ES_tradnl"/>
        </w:rPr>
        <w:t xml:space="preserve">minas </w:t>
      </w:r>
      <w:r w:rsidR="006E4D94" w:rsidRPr="00CB6BB3">
        <w:rPr>
          <w:lang w:val="es-ES_tradnl"/>
        </w:rPr>
        <w:t>subterráne</w:t>
      </w:r>
      <w:r w:rsidR="005D2647" w:rsidRPr="00CB6BB3">
        <w:rPr>
          <w:lang w:val="es-ES_tradnl"/>
        </w:rPr>
        <w:t>as</w:t>
      </w:r>
      <w:r w:rsidR="006E4D94" w:rsidRPr="00CB6BB3">
        <w:rPr>
          <w:lang w:val="es-ES_tradnl"/>
        </w:rPr>
        <w:t xml:space="preserve"> </w:t>
      </w:r>
      <w:r w:rsidRPr="00CB6BB3">
        <w:rPr>
          <w:lang w:val="es-ES_tradnl"/>
        </w:rPr>
        <w:t>(</w:t>
      </w:r>
      <w:r w:rsidR="006E4D94" w:rsidRPr="00CB6BB3">
        <w:rPr>
          <w:lang w:val="es-ES_tradnl"/>
        </w:rPr>
        <w:t>con unas pocas excepciones</w:t>
      </w:r>
      <w:r w:rsidRPr="00CB6BB3">
        <w:rPr>
          <w:lang w:val="es-ES_tradnl"/>
        </w:rPr>
        <w:t xml:space="preserve">), </w:t>
      </w:r>
      <w:r w:rsidR="00C5746D" w:rsidRPr="00CB6BB3">
        <w:rPr>
          <w:lang w:val="es-ES_tradnl"/>
        </w:rPr>
        <w:t xml:space="preserve">el </w:t>
      </w:r>
      <w:r w:rsidR="006E4D94" w:rsidRPr="00CB6BB3">
        <w:rPr>
          <w:lang w:val="es-ES_tradnl"/>
        </w:rPr>
        <w:t xml:space="preserve">trabajo </w:t>
      </w:r>
      <w:r w:rsidR="00C5746D" w:rsidRPr="00CB6BB3">
        <w:rPr>
          <w:lang w:val="es-ES_tradnl"/>
        </w:rPr>
        <w:t xml:space="preserve">en entornos donde </w:t>
      </w:r>
      <w:r w:rsidR="006E4D94" w:rsidRPr="00CB6BB3">
        <w:rPr>
          <w:lang w:val="es-ES_tradnl"/>
        </w:rPr>
        <w:t>la exposición al plomo</w:t>
      </w:r>
      <w:r w:rsidR="00761952" w:rsidRPr="00CB6BB3">
        <w:rPr>
          <w:lang w:val="es-ES_tradnl"/>
        </w:rPr>
        <w:t xml:space="preserve"> </w:t>
      </w:r>
      <w:r w:rsidR="00C5746D" w:rsidRPr="00CB6BB3">
        <w:rPr>
          <w:lang w:val="es-ES_tradnl"/>
        </w:rPr>
        <w:t xml:space="preserve">excede </w:t>
      </w:r>
      <w:r w:rsidR="00761952" w:rsidRPr="00CB6BB3">
        <w:rPr>
          <w:lang w:val="es-ES_tradnl"/>
        </w:rPr>
        <w:t>el valor aceptable de 0,</w:t>
      </w:r>
      <w:r w:rsidRPr="00CB6BB3">
        <w:rPr>
          <w:lang w:val="es-ES_tradnl"/>
        </w:rPr>
        <w:t>02 mg/m</w:t>
      </w:r>
      <w:r w:rsidRPr="00DB524D">
        <w:rPr>
          <w:vertAlign w:val="superscript"/>
          <w:lang w:val="es-ES_tradnl"/>
        </w:rPr>
        <w:t>3</w:t>
      </w:r>
      <w:r w:rsidR="00361330" w:rsidRPr="00CB6BB3">
        <w:rPr>
          <w:lang w:val="es-ES_tradnl"/>
        </w:rPr>
        <w:t>,</w:t>
      </w:r>
      <w:r w:rsidR="00C5746D" w:rsidRPr="00CB6BB3">
        <w:rPr>
          <w:lang w:val="es-ES_tradnl"/>
        </w:rPr>
        <w:t xml:space="preserve"> y el trabajo que exige un esfuerzo físico </w:t>
      </w:r>
      <w:r w:rsidR="00361330" w:rsidRPr="00CB6BB3">
        <w:rPr>
          <w:lang w:val="es-ES_tradnl"/>
        </w:rPr>
        <w:t>extremo</w:t>
      </w:r>
      <w:r w:rsidRPr="00CB6BB3">
        <w:rPr>
          <w:lang w:val="es-ES_tradnl"/>
        </w:rPr>
        <w:t xml:space="preserve">. </w:t>
      </w:r>
      <w:r w:rsidR="00C5746D" w:rsidRPr="00CB6BB3">
        <w:rPr>
          <w:lang w:val="es-ES_tradnl"/>
        </w:rPr>
        <w:t xml:space="preserve">Estas disposiciones </w:t>
      </w:r>
      <w:r w:rsidR="00361330" w:rsidRPr="00CB6BB3">
        <w:rPr>
          <w:lang w:val="es-ES_tradnl"/>
        </w:rPr>
        <w:t xml:space="preserve">sirven para </w:t>
      </w:r>
      <w:r w:rsidR="00C5746D" w:rsidRPr="00CB6BB3">
        <w:rPr>
          <w:lang w:val="es-ES_tradnl"/>
        </w:rPr>
        <w:t>protege</w:t>
      </w:r>
      <w:r w:rsidR="00361330" w:rsidRPr="00CB6BB3">
        <w:rPr>
          <w:lang w:val="es-ES_tradnl"/>
        </w:rPr>
        <w:t>r</w:t>
      </w:r>
      <w:r w:rsidR="00BF5850" w:rsidRPr="00CB6BB3">
        <w:rPr>
          <w:lang w:val="es-ES_tradnl"/>
        </w:rPr>
        <w:t xml:space="preserve"> la salud de la mujer y cont</w:t>
      </w:r>
      <w:r w:rsidR="00C5746D" w:rsidRPr="00CB6BB3">
        <w:rPr>
          <w:lang w:val="es-ES_tradnl"/>
        </w:rPr>
        <w:t>e</w:t>
      </w:r>
      <w:r w:rsidR="00BF5850" w:rsidRPr="00CB6BB3">
        <w:rPr>
          <w:lang w:val="es-ES_tradnl"/>
        </w:rPr>
        <w:t xml:space="preserve">mplan </w:t>
      </w:r>
      <w:r w:rsidR="00C5746D" w:rsidRPr="00CB6BB3">
        <w:rPr>
          <w:lang w:val="es-ES_tradnl"/>
        </w:rPr>
        <w:t>prohibiciones individuales</w:t>
      </w:r>
      <w:r w:rsidRPr="00CB6BB3">
        <w:rPr>
          <w:lang w:val="es-ES_tradnl"/>
        </w:rPr>
        <w:t>, dependi</w:t>
      </w:r>
      <w:r w:rsidR="00C5746D" w:rsidRPr="00CB6BB3">
        <w:rPr>
          <w:lang w:val="es-ES_tradnl"/>
        </w:rPr>
        <w:t>e</w:t>
      </w:r>
      <w:r w:rsidRPr="00CB6BB3">
        <w:rPr>
          <w:lang w:val="es-ES_tradnl"/>
        </w:rPr>
        <w:t>n</w:t>
      </w:r>
      <w:r w:rsidR="00C5746D" w:rsidRPr="00CB6BB3">
        <w:rPr>
          <w:lang w:val="es-ES_tradnl"/>
        </w:rPr>
        <w:t>do del tipo de tensión o estrés ocasionado por ese trabajo</w:t>
      </w:r>
      <w:r w:rsidRPr="00CB6BB3">
        <w:rPr>
          <w:lang w:val="es-ES_tradnl"/>
        </w:rPr>
        <w:t>.</w:t>
      </w:r>
    </w:p>
    <w:p w:rsidR="005E49B6" w:rsidRPr="00CB6BB3" w:rsidRDefault="005E49B6" w:rsidP="00C70626">
      <w:pPr>
        <w:pStyle w:val="H1G"/>
      </w:pPr>
      <w:r w:rsidRPr="00CB6BB3">
        <w:tab/>
      </w:r>
      <w:r w:rsidRPr="00CB6BB3">
        <w:tab/>
        <w:t>Resp</w:t>
      </w:r>
      <w:r w:rsidR="0060781D" w:rsidRPr="00CB6BB3">
        <w:t xml:space="preserve">uesta a las observaciones finales </w:t>
      </w:r>
      <w:r w:rsidR="00EF10B3" w:rsidRPr="00CB6BB3">
        <w:t xml:space="preserve">de </w:t>
      </w:r>
      <w:r w:rsidR="0060781D" w:rsidRPr="00CB6BB3">
        <w:t xml:space="preserve">los párrafos </w:t>
      </w:r>
      <w:r w:rsidRPr="00CB6BB3">
        <w:t xml:space="preserve">11 </w:t>
      </w:r>
      <w:r w:rsidR="0060781D" w:rsidRPr="00CB6BB3">
        <w:t>y</w:t>
      </w:r>
      <w:r w:rsidR="0061604E" w:rsidRPr="00CB6BB3">
        <w:t xml:space="preserve"> 12 </w:t>
      </w:r>
      <w:r w:rsidR="00C70626">
        <w:br/>
      </w:r>
      <w:r w:rsidR="0032235D" w:rsidRPr="00CB6BB3">
        <w:t>I</w:t>
      </w:r>
      <w:r w:rsidR="00B62D5A" w:rsidRPr="00CB6BB3">
        <w:t xml:space="preserve">nformes sobre </w:t>
      </w:r>
      <w:r w:rsidR="0061604E" w:rsidRPr="00CB6BB3">
        <w:t xml:space="preserve">legislación en materia de </w:t>
      </w:r>
      <w:r w:rsidR="00B62D5A" w:rsidRPr="00CB6BB3">
        <w:t xml:space="preserve">igualdad de trato y </w:t>
      </w:r>
      <w:r w:rsidR="00C70626">
        <w:br/>
      </w:r>
      <w:r w:rsidR="00B62D5A" w:rsidRPr="00CB6BB3">
        <w:t>sobre ingresos</w:t>
      </w:r>
    </w:p>
    <w:p w:rsidR="005E49B6" w:rsidRPr="00CB6BB3" w:rsidRDefault="005E49B6" w:rsidP="00C70626">
      <w:pPr>
        <w:pStyle w:val="SingleTxtG"/>
        <w:rPr>
          <w:lang w:val="es-ES_tradnl"/>
        </w:rPr>
      </w:pPr>
      <w:r w:rsidRPr="00CB6BB3">
        <w:rPr>
          <w:lang w:val="es-ES_tradnl"/>
        </w:rPr>
        <w:t>4.</w:t>
      </w:r>
      <w:r w:rsidRPr="00CB6BB3">
        <w:rPr>
          <w:lang w:val="es-ES_tradnl"/>
        </w:rPr>
        <w:tab/>
      </w:r>
      <w:r w:rsidR="0032235D" w:rsidRPr="00CB6BB3">
        <w:rPr>
          <w:lang w:val="es-ES_tradnl"/>
        </w:rPr>
        <w:t>E</w:t>
      </w:r>
      <w:r w:rsidR="0061604E" w:rsidRPr="00CB6BB3">
        <w:rPr>
          <w:lang w:val="es-ES_tradnl"/>
        </w:rPr>
        <w:t>n e</w:t>
      </w:r>
      <w:r w:rsidR="0032235D" w:rsidRPr="00CB6BB3">
        <w:rPr>
          <w:lang w:val="es-ES_tradnl"/>
        </w:rPr>
        <w:t>l s</w:t>
      </w:r>
      <w:r w:rsidR="0061604E" w:rsidRPr="00CB6BB3">
        <w:rPr>
          <w:lang w:val="es-ES_tradnl"/>
        </w:rPr>
        <w:t xml:space="preserve">entido de </w:t>
      </w:r>
      <w:r w:rsidR="0032235D" w:rsidRPr="00CB6BB3">
        <w:rPr>
          <w:lang w:val="es-ES_tradnl"/>
        </w:rPr>
        <w:t xml:space="preserve">la </w:t>
      </w:r>
      <w:r w:rsidRPr="00CB6BB3">
        <w:rPr>
          <w:lang w:val="es-ES_tradnl"/>
        </w:rPr>
        <w:t>CEDAW</w:t>
      </w:r>
      <w:r w:rsidR="0061604E" w:rsidRPr="00CB6BB3">
        <w:rPr>
          <w:lang w:val="es-ES_tradnl"/>
        </w:rPr>
        <w:t>,</w:t>
      </w:r>
      <w:r w:rsidR="00361330" w:rsidRPr="00CB6BB3">
        <w:rPr>
          <w:lang w:val="es-ES_tradnl"/>
        </w:rPr>
        <w:t xml:space="preserve"> </w:t>
      </w:r>
      <w:r w:rsidR="0032235D" w:rsidRPr="00CB6BB3">
        <w:rPr>
          <w:lang w:val="es-ES_tradnl"/>
        </w:rPr>
        <w:t>la igualdad de tra</w:t>
      </w:r>
      <w:r w:rsidR="0061604E" w:rsidRPr="00CB6BB3">
        <w:rPr>
          <w:lang w:val="es-ES_tradnl"/>
        </w:rPr>
        <w:t>to constituye</w:t>
      </w:r>
      <w:r w:rsidR="0032235D" w:rsidRPr="00CB6BB3">
        <w:rPr>
          <w:lang w:val="es-ES_tradnl"/>
        </w:rPr>
        <w:t xml:space="preserve"> una cuestión interdisciplinaria</w:t>
      </w:r>
      <w:r w:rsidRPr="00CB6BB3">
        <w:rPr>
          <w:lang w:val="es-ES_tradnl"/>
        </w:rPr>
        <w:t xml:space="preserve">. </w:t>
      </w:r>
      <w:r w:rsidR="0032235D" w:rsidRPr="00CB6BB3">
        <w:rPr>
          <w:lang w:val="es-ES_tradnl"/>
        </w:rPr>
        <w:t xml:space="preserve">El Gobierno </w:t>
      </w:r>
      <w:r w:rsidRPr="00CB6BB3">
        <w:rPr>
          <w:lang w:val="es-ES_tradnl"/>
        </w:rPr>
        <w:t>Federal</w:t>
      </w:r>
      <w:r w:rsidR="0032235D" w:rsidRPr="00CB6BB3">
        <w:rPr>
          <w:lang w:val="es-ES_tradnl"/>
        </w:rPr>
        <w:t xml:space="preserve"> procuró formular una legislación uniforme que armonizara en la mayor medida posible todas las disposiciones en materia de igualdad de trato</w:t>
      </w:r>
      <w:r w:rsidRPr="00CB6BB3">
        <w:rPr>
          <w:lang w:val="es-ES_tradnl"/>
        </w:rPr>
        <w:t xml:space="preserve">. </w:t>
      </w:r>
      <w:r w:rsidR="005B20CD" w:rsidRPr="00CB6BB3">
        <w:rPr>
          <w:lang w:val="es-ES_tradnl"/>
        </w:rPr>
        <w:t>Cada</w:t>
      </w:r>
      <w:r w:rsidR="0032235D" w:rsidRPr="00CB6BB3">
        <w:rPr>
          <w:lang w:val="es-ES_tradnl"/>
        </w:rPr>
        <w:t xml:space="preserve"> </w:t>
      </w:r>
      <w:r w:rsidR="005B20CD" w:rsidRPr="00CB6BB3">
        <w:rPr>
          <w:lang w:val="es-ES_tradnl"/>
        </w:rPr>
        <w:t>área</w:t>
      </w:r>
      <w:r w:rsidR="0032235D" w:rsidRPr="00CB6BB3">
        <w:rPr>
          <w:lang w:val="es-ES_tradnl"/>
        </w:rPr>
        <w:t xml:space="preserve"> </w:t>
      </w:r>
      <w:r w:rsidR="005B20CD" w:rsidRPr="00CB6BB3">
        <w:rPr>
          <w:lang w:val="es-ES_tradnl"/>
        </w:rPr>
        <w:t>es</w:t>
      </w:r>
      <w:r w:rsidR="0032235D" w:rsidRPr="00CB6BB3">
        <w:rPr>
          <w:lang w:val="es-ES_tradnl"/>
        </w:rPr>
        <w:t xml:space="preserve"> objeto de </w:t>
      </w:r>
      <w:r w:rsidR="005B20CD" w:rsidRPr="00CB6BB3">
        <w:rPr>
          <w:lang w:val="es-ES_tradnl"/>
        </w:rPr>
        <w:t>normas</w:t>
      </w:r>
      <w:r w:rsidR="0032235D" w:rsidRPr="00CB6BB3">
        <w:rPr>
          <w:lang w:val="es-ES_tradnl"/>
        </w:rPr>
        <w:t xml:space="preserve"> e</w:t>
      </w:r>
      <w:r w:rsidRPr="00CB6BB3">
        <w:rPr>
          <w:lang w:val="es-ES_tradnl"/>
        </w:rPr>
        <w:t>special</w:t>
      </w:r>
      <w:r w:rsidR="005B20CD" w:rsidRPr="00CB6BB3">
        <w:rPr>
          <w:lang w:val="es-ES_tradnl"/>
        </w:rPr>
        <w:t>es</w:t>
      </w:r>
      <w:r w:rsidR="0032235D" w:rsidRPr="00CB6BB3">
        <w:rPr>
          <w:lang w:val="es-ES_tradnl"/>
        </w:rPr>
        <w:t xml:space="preserve"> suplementaria</w:t>
      </w:r>
      <w:r w:rsidR="005B20CD" w:rsidRPr="00CB6BB3">
        <w:rPr>
          <w:lang w:val="es-ES_tradnl"/>
        </w:rPr>
        <w:t>s</w:t>
      </w:r>
      <w:r w:rsidR="0032235D" w:rsidRPr="00CB6BB3">
        <w:rPr>
          <w:lang w:val="es-ES_tradnl"/>
        </w:rPr>
        <w:t xml:space="preserve">. </w:t>
      </w:r>
      <w:r w:rsidR="005B20CD" w:rsidRPr="00CB6BB3">
        <w:rPr>
          <w:lang w:val="es-ES_tradnl"/>
        </w:rPr>
        <w:t xml:space="preserve">En el proceso de elaboración de las enmiendas, se celebran discusiones </w:t>
      </w:r>
      <w:r w:rsidR="00361330" w:rsidRPr="00CB6BB3">
        <w:rPr>
          <w:lang w:val="es-ES_tradnl"/>
        </w:rPr>
        <w:t xml:space="preserve">interministeriales </w:t>
      </w:r>
      <w:r w:rsidR="005B20CD" w:rsidRPr="00CB6BB3">
        <w:rPr>
          <w:lang w:val="es-ES_tradnl"/>
        </w:rPr>
        <w:t>periódic</w:t>
      </w:r>
      <w:r w:rsidRPr="00CB6BB3">
        <w:rPr>
          <w:lang w:val="es-ES_tradnl"/>
        </w:rPr>
        <w:t>a</w:t>
      </w:r>
      <w:r w:rsidR="005B20CD" w:rsidRPr="00CB6BB3">
        <w:rPr>
          <w:lang w:val="es-ES_tradnl"/>
        </w:rPr>
        <w:t>s</w:t>
      </w:r>
      <w:r w:rsidRPr="00CB6BB3">
        <w:rPr>
          <w:lang w:val="es-ES_tradnl"/>
        </w:rPr>
        <w:t xml:space="preserve"> </w:t>
      </w:r>
      <w:r w:rsidR="005B20CD" w:rsidRPr="00CB6BB3">
        <w:rPr>
          <w:lang w:val="es-ES_tradnl"/>
        </w:rPr>
        <w:t>para lograr un enfoque coordinado</w:t>
      </w:r>
      <w:r w:rsidRPr="00CB6BB3">
        <w:rPr>
          <w:lang w:val="es-ES_tradnl"/>
        </w:rPr>
        <w:t xml:space="preserve">. </w:t>
      </w:r>
      <w:r w:rsidR="005B20CD" w:rsidRPr="00CB6BB3">
        <w:rPr>
          <w:lang w:val="es-ES_tradnl"/>
        </w:rPr>
        <w:t>En relación con la protección contra la discriminación</w:t>
      </w:r>
      <w:r w:rsidRPr="00CB6BB3">
        <w:rPr>
          <w:lang w:val="es-ES_tradnl"/>
        </w:rPr>
        <w:t>,</w:t>
      </w:r>
      <w:r w:rsidR="00361330" w:rsidRPr="00CB6BB3">
        <w:rPr>
          <w:lang w:val="es-ES_tradnl"/>
        </w:rPr>
        <w:t xml:space="preserve"> cabe también </w:t>
      </w:r>
      <w:r w:rsidR="00475EB0" w:rsidRPr="00CB6BB3">
        <w:rPr>
          <w:lang w:val="es-ES_tradnl"/>
        </w:rPr>
        <w:t>remitirse</w:t>
      </w:r>
      <w:r w:rsidR="005B20CD" w:rsidRPr="00CB6BB3">
        <w:rPr>
          <w:lang w:val="es-ES_tradnl"/>
        </w:rPr>
        <w:t xml:space="preserve"> a la respuesta a los párrafos</w:t>
      </w:r>
      <w:r w:rsidRPr="00CB6BB3">
        <w:rPr>
          <w:lang w:val="es-ES_tradnl"/>
        </w:rPr>
        <w:t xml:space="preserve"> 29 </w:t>
      </w:r>
      <w:r w:rsidR="005B20CD" w:rsidRPr="00CB6BB3">
        <w:rPr>
          <w:lang w:val="es-ES_tradnl"/>
        </w:rPr>
        <w:t>y</w:t>
      </w:r>
      <w:r w:rsidRPr="00CB6BB3">
        <w:rPr>
          <w:lang w:val="es-ES_tradnl"/>
        </w:rPr>
        <w:t xml:space="preserve"> 30 </w:t>
      </w:r>
      <w:r w:rsidR="005B20CD" w:rsidRPr="00CB6BB3">
        <w:rPr>
          <w:lang w:val="es-ES_tradnl"/>
        </w:rPr>
        <w:t>de las observaciones finales</w:t>
      </w:r>
      <w:r w:rsidRPr="00CB6BB3">
        <w:rPr>
          <w:lang w:val="es-ES_tradnl"/>
        </w:rPr>
        <w:t>.</w:t>
      </w:r>
    </w:p>
    <w:p w:rsidR="005E49B6" w:rsidRPr="00CB6BB3" w:rsidRDefault="008537FC" w:rsidP="005C668E">
      <w:pPr>
        <w:pStyle w:val="SingleTxtG"/>
        <w:rPr>
          <w:lang w:val="es-ES_tradnl"/>
        </w:rPr>
      </w:pPr>
      <w:r w:rsidRPr="00CB6BB3">
        <w:rPr>
          <w:lang w:val="es-ES_tradnl"/>
        </w:rPr>
        <w:t>5.</w:t>
      </w:r>
      <w:r w:rsidRPr="00CB6BB3">
        <w:rPr>
          <w:lang w:val="es-ES_tradnl"/>
        </w:rPr>
        <w:tab/>
        <w:t xml:space="preserve">La enmienda a la Ley de igualdad de trato de 2008 y </w:t>
      </w:r>
      <w:r w:rsidR="00B227C6" w:rsidRPr="00CB6BB3">
        <w:rPr>
          <w:lang w:val="es-ES_tradnl"/>
        </w:rPr>
        <w:t xml:space="preserve">a </w:t>
      </w:r>
      <w:r w:rsidRPr="00CB6BB3">
        <w:rPr>
          <w:lang w:val="es-ES_tradnl"/>
        </w:rPr>
        <w:t xml:space="preserve">la Ley federal relativa a la </w:t>
      </w:r>
      <w:r w:rsidR="00D57B13" w:rsidRPr="00CB6BB3">
        <w:rPr>
          <w:lang w:val="es-ES_tradnl"/>
        </w:rPr>
        <w:t xml:space="preserve">Comisión </w:t>
      </w:r>
      <w:r w:rsidRPr="00CB6BB3">
        <w:rPr>
          <w:lang w:val="es-ES_tradnl"/>
        </w:rPr>
        <w:t>de</w:t>
      </w:r>
      <w:r w:rsidR="005E49B6" w:rsidRPr="00CB6BB3">
        <w:rPr>
          <w:lang w:val="es-ES_tradnl"/>
        </w:rPr>
        <w:t xml:space="preserve"> </w:t>
      </w:r>
      <w:r w:rsidR="00D57B13" w:rsidRPr="00CB6BB3">
        <w:rPr>
          <w:lang w:val="es-ES_tradnl"/>
        </w:rPr>
        <w:t xml:space="preserve">Igualdad </w:t>
      </w:r>
      <w:r w:rsidRPr="00CB6BB3">
        <w:rPr>
          <w:lang w:val="es-ES_tradnl"/>
        </w:rPr>
        <w:t xml:space="preserve">de </w:t>
      </w:r>
      <w:r w:rsidR="00D57B13" w:rsidRPr="00CB6BB3">
        <w:rPr>
          <w:lang w:val="es-ES_tradnl"/>
        </w:rPr>
        <w:t xml:space="preserve">Trato </w:t>
      </w:r>
      <w:r w:rsidRPr="00CB6BB3">
        <w:rPr>
          <w:lang w:val="es-ES_tradnl"/>
        </w:rPr>
        <w:t>y al Ombudsman para la Igualdad de Trato (la Ley</w:t>
      </w:r>
      <w:r w:rsidR="005E49B6" w:rsidRPr="00CB6BB3">
        <w:rPr>
          <w:lang w:val="es-ES_tradnl"/>
        </w:rPr>
        <w:t xml:space="preserve"> GBK/GAW </w:t>
      </w:r>
      <w:r w:rsidRPr="00CB6BB3">
        <w:rPr>
          <w:lang w:val="es-ES_tradnl"/>
        </w:rPr>
        <w:t>de</w:t>
      </w:r>
      <w:r w:rsidR="005E49B6" w:rsidRPr="00CB6BB3">
        <w:rPr>
          <w:lang w:val="es-ES_tradnl"/>
        </w:rPr>
        <w:t xml:space="preserve"> 2008)</w:t>
      </w:r>
      <w:r w:rsidR="005E49B6" w:rsidRPr="00CB6BB3">
        <w:rPr>
          <w:rStyle w:val="FootnoteReference"/>
          <w:lang w:val="es-ES_tradnl"/>
        </w:rPr>
        <w:footnoteReference w:id="3"/>
      </w:r>
      <w:r w:rsidR="00E71546" w:rsidRPr="00CB6BB3">
        <w:rPr>
          <w:lang w:val="es-ES_tradnl"/>
        </w:rPr>
        <w:t xml:space="preserve"> ha</w:t>
      </w:r>
      <w:r w:rsidRPr="00CB6BB3">
        <w:rPr>
          <w:lang w:val="es-ES_tradnl"/>
        </w:rPr>
        <w:t xml:space="preserve"> ampliado el principio de igualdad de trato entre mujeres y hombres al acce</w:t>
      </w:r>
      <w:r w:rsidR="00E71546" w:rsidRPr="00CB6BB3">
        <w:rPr>
          <w:lang w:val="es-ES_tradnl"/>
        </w:rPr>
        <w:t xml:space="preserve">so a los bienes y servicios y </w:t>
      </w:r>
      <w:r w:rsidRPr="00CB6BB3">
        <w:rPr>
          <w:lang w:val="es-ES_tradnl"/>
        </w:rPr>
        <w:t>al suministro de los mismos</w:t>
      </w:r>
      <w:r w:rsidR="005E49B6" w:rsidRPr="00CB6BB3">
        <w:rPr>
          <w:lang w:val="es-ES_tradnl"/>
        </w:rPr>
        <w:t xml:space="preserve">. </w:t>
      </w:r>
      <w:r w:rsidR="00B227C6" w:rsidRPr="00CB6BB3">
        <w:rPr>
          <w:lang w:val="es-ES_tradnl"/>
        </w:rPr>
        <w:t>Con esta enmienda</w:t>
      </w:r>
      <w:r w:rsidRPr="00CB6BB3">
        <w:rPr>
          <w:lang w:val="es-ES_tradnl"/>
        </w:rPr>
        <w:t xml:space="preserve"> </w:t>
      </w:r>
      <w:r w:rsidR="00B227C6" w:rsidRPr="00CB6BB3">
        <w:rPr>
          <w:lang w:val="es-ES_tradnl"/>
        </w:rPr>
        <w:t>se incorporó</w:t>
      </w:r>
      <w:r w:rsidR="00E71546" w:rsidRPr="00CB6BB3">
        <w:rPr>
          <w:lang w:val="es-ES_tradnl"/>
        </w:rPr>
        <w:t xml:space="preserve"> en el nivel nacional la Directiva del Consejo 2004/113/EU, de 13 de diciembre de</w:t>
      </w:r>
      <w:r w:rsidR="005E49B6" w:rsidRPr="00CB6BB3">
        <w:rPr>
          <w:lang w:val="es-ES_tradnl"/>
        </w:rPr>
        <w:t xml:space="preserve"> 2004</w:t>
      </w:r>
      <w:r w:rsidR="00E71546" w:rsidRPr="00CB6BB3">
        <w:rPr>
          <w:lang w:val="es-ES_tradnl"/>
        </w:rPr>
        <w:t xml:space="preserve">, </w:t>
      </w:r>
      <w:r w:rsidR="00BB2D2E" w:rsidRPr="00CB6BB3">
        <w:rPr>
          <w:lang w:val="es-ES_tradnl"/>
        </w:rPr>
        <w:t xml:space="preserve">y </w:t>
      </w:r>
      <w:r w:rsidR="000909D7" w:rsidRPr="00CB6BB3">
        <w:rPr>
          <w:lang w:val="es-ES_tradnl"/>
        </w:rPr>
        <w:t xml:space="preserve">se </w:t>
      </w:r>
      <w:r w:rsidR="00B227C6" w:rsidRPr="00CB6BB3">
        <w:rPr>
          <w:lang w:val="es-ES_tradnl"/>
        </w:rPr>
        <w:t>introdu</w:t>
      </w:r>
      <w:r w:rsidR="000909D7" w:rsidRPr="00CB6BB3">
        <w:rPr>
          <w:lang w:val="es-ES_tradnl"/>
        </w:rPr>
        <w:t>j</w:t>
      </w:r>
      <w:r w:rsidR="00B227C6" w:rsidRPr="00CB6BB3">
        <w:rPr>
          <w:lang w:val="es-ES_tradnl"/>
        </w:rPr>
        <w:t>e</w:t>
      </w:r>
      <w:r w:rsidR="000909D7" w:rsidRPr="00CB6BB3">
        <w:rPr>
          <w:lang w:val="es-ES_tradnl"/>
        </w:rPr>
        <w:t>r</w:t>
      </w:r>
      <w:r w:rsidR="00B227C6" w:rsidRPr="00CB6BB3">
        <w:rPr>
          <w:lang w:val="es-ES_tradnl"/>
        </w:rPr>
        <w:t>o</w:t>
      </w:r>
      <w:r w:rsidR="000909D7" w:rsidRPr="00CB6BB3">
        <w:rPr>
          <w:lang w:val="es-ES_tradnl"/>
        </w:rPr>
        <w:t>n</w:t>
      </w:r>
      <w:r w:rsidR="00B227C6" w:rsidRPr="00CB6BB3">
        <w:rPr>
          <w:lang w:val="es-ES_tradnl"/>
        </w:rPr>
        <w:t xml:space="preserve"> </w:t>
      </w:r>
      <w:r w:rsidR="000909D7" w:rsidRPr="00CB6BB3">
        <w:rPr>
          <w:lang w:val="es-ES_tradnl"/>
        </w:rPr>
        <w:t>mejoras que superan</w:t>
      </w:r>
      <w:r w:rsidR="00E71546" w:rsidRPr="00CB6BB3">
        <w:rPr>
          <w:lang w:val="es-ES_tradnl"/>
        </w:rPr>
        <w:t xml:space="preserve"> el ámbito de estas disposiciones</w:t>
      </w:r>
      <w:r w:rsidR="005E49B6" w:rsidRPr="00CB6BB3">
        <w:rPr>
          <w:lang w:val="es-ES_tradnl"/>
        </w:rPr>
        <w:t xml:space="preserve">. </w:t>
      </w:r>
      <w:r w:rsidR="00E71546" w:rsidRPr="00CB6BB3">
        <w:rPr>
          <w:lang w:val="es-ES_tradnl"/>
        </w:rPr>
        <w:t xml:space="preserve">Las esferas de los medios de comunicación y la publicidad siguen excluidas de forma expresa y </w:t>
      </w:r>
      <w:r w:rsidR="005E49B6" w:rsidRPr="00CB6BB3">
        <w:rPr>
          <w:lang w:val="es-ES_tradnl"/>
        </w:rPr>
        <w:t>general</w:t>
      </w:r>
      <w:r w:rsidR="00E71546" w:rsidRPr="00CB6BB3">
        <w:rPr>
          <w:lang w:val="es-ES_tradnl"/>
        </w:rPr>
        <w:t xml:space="preserve"> del principio de igualdad de trato</w:t>
      </w:r>
      <w:r w:rsidR="005E49B6" w:rsidRPr="00CB6BB3">
        <w:rPr>
          <w:lang w:val="es-ES_tradnl"/>
        </w:rPr>
        <w:t xml:space="preserve">. </w:t>
      </w:r>
      <w:r w:rsidR="00E71546" w:rsidRPr="00CB6BB3">
        <w:rPr>
          <w:lang w:val="es-ES_tradnl"/>
        </w:rPr>
        <w:t>En</w:t>
      </w:r>
      <w:r w:rsidR="00913C8C" w:rsidRPr="00CB6BB3">
        <w:rPr>
          <w:lang w:val="es-ES_tradnl"/>
        </w:rPr>
        <w:t xml:space="preserve"> lo atinente a los contratos de seguros, </w:t>
      </w:r>
      <w:r w:rsidR="00361330" w:rsidRPr="00CB6BB3">
        <w:rPr>
          <w:lang w:val="es-ES_tradnl"/>
        </w:rPr>
        <w:t xml:space="preserve">con </w:t>
      </w:r>
      <w:r w:rsidR="00913C8C" w:rsidRPr="00CB6BB3">
        <w:rPr>
          <w:lang w:val="es-ES_tradnl"/>
        </w:rPr>
        <w:t xml:space="preserve">la Ley </w:t>
      </w:r>
      <w:r w:rsidR="00B227C6" w:rsidRPr="00CB6BB3">
        <w:rPr>
          <w:lang w:val="es-ES_tradnl"/>
        </w:rPr>
        <w:t xml:space="preserve">de enmienda </w:t>
      </w:r>
      <w:r w:rsidR="00913C8C" w:rsidRPr="00CB6BB3">
        <w:rPr>
          <w:lang w:val="es-ES_tradnl"/>
        </w:rPr>
        <w:t xml:space="preserve">a </w:t>
      </w:r>
      <w:r w:rsidR="00A23648" w:rsidRPr="00CB6BB3">
        <w:rPr>
          <w:lang w:val="es-ES_tradnl"/>
        </w:rPr>
        <w:t xml:space="preserve">la </w:t>
      </w:r>
      <w:r w:rsidR="00913C8C" w:rsidRPr="00CB6BB3">
        <w:rPr>
          <w:lang w:val="es-ES_tradnl"/>
        </w:rPr>
        <w:t>legislación sobre seguros, de</w:t>
      </w:r>
      <w:r w:rsidR="005E49B6" w:rsidRPr="00CB6BB3">
        <w:rPr>
          <w:lang w:val="es-ES_tradnl"/>
        </w:rPr>
        <w:t xml:space="preserve"> 2006</w:t>
      </w:r>
      <w:r w:rsidR="005E49B6" w:rsidRPr="00CB6BB3">
        <w:rPr>
          <w:rStyle w:val="FootnoteReference"/>
          <w:lang w:val="es-ES_tradnl"/>
        </w:rPr>
        <w:footnoteReference w:id="4"/>
      </w:r>
      <w:r w:rsidR="005E49B6" w:rsidRPr="00CB6BB3">
        <w:rPr>
          <w:lang w:val="es-ES_tradnl"/>
        </w:rPr>
        <w:t xml:space="preserve"> </w:t>
      </w:r>
      <w:r w:rsidR="00361330" w:rsidRPr="00CB6BB3">
        <w:rPr>
          <w:lang w:val="es-ES_tradnl"/>
        </w:rPr>
        <w:t xml:space="preserve">se </w:t>
      </w:r>
      <w:r w:rsidR="00B227C6" w:rsidRPr="00CB6BB3">
        <w:rPr>
          <w:lang w:val="es-ES_tradnl"/>
        </w:rPr>
        <w:t>incorporó la directiva en el plano nacional</w:t>
      </w:r>
      <w:r w:rsidR="005E49B6" w:rsidRPr="00CB6BB3">
        <w:rPr>
          <w:lang w:val="es-ES_tradnl"/>
        </w:rPr>
        <w:t>.</w:t>
      </w:r>
    </w:p>
    <w:p w:rsidR="005E49B6" w:rsidRPr="00CB6BB3" w:rsidRDefault="00E85A12" w:rsidP="005C668E">
      <w:pPr>
        <w:pStyle w:val="SingleTxtG"/>
        <w:rPr>
          <w:lang w:val="es-ES_tradnl"/>
        </w:rPr>
      </w:pPr>
      <w:r w:rsidRPr="00CB6BB3">
        <w:rPr>
          <w:lang w:val="es-ES_tradnl"/>
        </w:rPr>
        <w:t>6.</w:t>
      </w:r>
      <w:r w:rsidRPr="00CB6BB3">
        <w:rPr>
          <w:lang w:val="es-ES_tradnl"/>
        </w:rPr>
        <w:tab/>
        <w:t>E</w:t>
      </w:r>
      <w:r w:rsidR="005E49B6" w:rsidRPr="00CB6BB3">
        <w:rPr>
          <w:lang w:val="es-ES_tradnl"/>
        </w:rPr>
        <w:t xml:space="preserve">n </w:t>
      </w:r>
      <w:r w:rsidRPr="00CB6BB3">
        <w:rPr>
          <w:lang w:val="es-ES_tradnl"/>
        </w:rPr>
        <w:t xml:space="preserve">el </w:t>
      </w:r>
      <w:r w:rsidR="00361330" w:rsidRPr="00CB6BB3">
        <w:rPr>
          <w:lang w:val="es-ES_tradnl"/>
        </w:rPr>
        <w:t xml:space="preserve">marco </w:t>
      </w:r>
      <w:r w:rsidRPr="00CB6BB3">
        <w:rPr>
          <w:lang w:val="es-ES_tradnl"/>
        </w:rPr>
        <w:t>de la incorporación de la directiva, se promulgaron leyes sobre</w:t>
      </w:r>
      <w:r w:rsidR="0036797C" w:rsidRPr="00CB6BB3">
        <w:rPr>
          <w:lang w:val="es-ES_tradnl"/>
        </w:rPr>
        <w:t xml:space="preserve"> los casos de discriminación </w:t>
      </w:r>
      <w:r w:rsidR="00361330" w:rsidRPr="00CB6BB3">
        <w:rPr>
          <w:lang w:val="es-ES_tradnl"/>
        </w:rPr>
        <w:t>por</w:t>
      </w:r>
      <w:r w:rsidR="004D5C68" w:rsidRPr="00CB6BB3">
        <w:rPr>
          <w:lang w:val="es-ES_tradnl"/>
        </w:rPr>
        <w:t xml:space="preserve"> acoso y </w:t>
      </w:r>
      <w:r w:rsidR="00361330" w:rsidRPr="00CB6BB3">
        <w:rPr>
          <w:lang w:val="es-ES_tradnl"/>
        </w:rPr>
        <w:t xml:space="preserve">por </w:t>
      </w:r>
      <w:r w:rsidR="004D5C68" w:rsidRPr="00CB6BB3">
        <w:rPr>
          <w:lang w:val="es-ES_tradnl"/>
        </w:rPr>
        <w:t xml:space="preserve">acoso sexual, </w:t>
      </w:r>
      <w:r w:rsidR="00361330" w:rsidRPr="00CB6BB3">
        <w:rPr>
          <w:lang w:val="es-ES_tradnl"/>
        </w:rPr>
        <w:t xml:space="preserve">y se </w:t>
      </w:r>
      <w:r w:rsidR="00D57B13">
        <w:rPr>
          <w:lang w:val="es-ES_tradnl"/>
        </w:rPr>
        <w:t xml:space="preserve">legislaron </w:t>
      </w:r>
      <w:r w:rsidR="004D5C68" w:rsidRPr="00CB6BB3">
        <w:rPr>
          <w:lang w:val="es-ES_tradnl"/>
        </w:rPr>
        <w:t xml:space="preserve">medidas para la aplicación de la ley, </w:t>
      </w:r>
      <w:r w:rsidR="00361330" w:rsidRPr="00CB6BB3">
        <w:rPr>
          <w:lang w:val="es-ES_tradnl"/>
        </w:rPr>
        <w:t>entre otras,</w:t>
      </w:r>
      <w:r w:rsidR="004D5C68" w:rsidRPr="00CB6BB3">
        <w:rPr>
          <w:lang w:val="es-ES_tradnl"/>
        </w:rPr>
        <w:t xml:space="preserve"> normas de indemnización y una prohibición del trato menos favorable, también de los testigos. </w:t>
      </w:r>
      <w:r w:rsidR="000909D7" w:rsidRPr="00CB6BB3">
        <w:rPr>
          <w:lang w:val="es-ES_tradnl"/>
        </w:rPr>
        <w:t>En casos de</w:t>
      </w:r>
      <w:r w:rsidR="00057CDB" w:rsidRPr="00CB6BB3">
        <w:rPr>
          <w:lang w:val="es-ES_tradnl"/>
        </w:rPr>
        <w:t xml:space="preserve"> </w:t>
      </w:r>
      <w:r w:rsidR="004D5C68" w:rsidRPr="00CB6BB3">
        <w:rPr>
          <w:lang w:val="es-ES_tradnl"/>
        </w:rPr>
        <w:t>discriminación múltiple, el</w:t>
      </w:r>
      <w:r w:rsidR="00057CDB" w:rsidRPr="00CB6BB3">
        <w:rPr>
          <w:lang w:val="es-ES_tradnl"/>
        </w:rPr>
        <w:t xml:space="preserve">lo </w:t>
      </w:r>
      <w:r w:rsidR="004D5C68" w:rsidRPr="00CB6BB3">
        <w:rPr>
          <w:lang w:val="es-ES_tradnl"/>
        </w:rPr>
        <w:t>de</w:t>
      </w:r>
      <w:r w:rsidR="00057CDB" w:rsidRPr="00CB6BB3">
        <w:rPr>
          <w:lang w:val="es-ES_tradnl"/>
        </w:rPr>
        <w:t>be</w:t>
      </w:r>
      <w:r w:rsidR="004D5C68" w:rsidRPr="00CB6BB3">
        <w:rPr>
          <w:lang w:val="es-ES_tradnl"/>
        </w:rPr>
        <w:t xml:space="preserve"> tener</w:t>
      </w:r>
      <w:r w:rsidR="00057CDB" w:rsidRPr="00CB6BB3">
        <w:rPr>
          <w:lang w:val="es-ES_tradnl"/>
        </w:rPr>
        <w:t>se</w:t>
      </w:r>
      <w:r w:rsidR="004D5C68" w:rsidRPr="00CB6BB3">
        <w:rPr>
          <w:lang w:val="es-ES_tradnl"/>
        </w:rPr>
        <w:t xml:space="preserve"> en cuenta en la evaluación de las indemnizaciones. También se </w:t>
      </w:r>
      <w:r w:rsidR="00361330" w:rsidRPr="00CB6BB3">
        <w:rPr>
          <w:lang w:val="es-ES_tradnl"/>
        </w:rPr>
        <w:t>introdujeron</w:t>
      </w:r>
      <w:r w:rsidR="00057CDB" w:rsidRPr="00CB6BB3">
        <w:rPr>
          <w:lang w:val="es-ES_tradnl"/>
        </w:rPr>
        <w:t xml:space="preserve"> mejoras en</w:t>
      </w:r>
      <w:r w:rsidR="004D5C68" w:rsidRPr="00CB6BB3">
        <w:rPr>
          <w:lang w:val="es-ES_tradnl"/>
        </w:rPr>
        <w:t xml:space="preserve"> </w:t>
      </w:r>
      <w:r w:rsidR="00C372D5" w:rsidRPr="00CB6BB3">
        <w:rPr>
          <w:lang w:val="es-ES_tradnl"/>
        </w:rPr>
        <w:t>la protección contra la discriminación en caso de terminación de la relaci</w:t>
      </w:r>
      <w:r w:rsidR="00057CDB" w:rsidRPr="00CB6BB3">
        <w:rPr>
          <w:lang w:val="es-ES_tradnl"/>
        </w:rPr>
        <w:t>ón de trabajo (posibilidad de</w:t>
      </w:r>
      <w:r w:rsidR="00C372D5" w:rsidRPr="00CB6BB3">
        <w:rPr>
          <w:lang w:val="es-ES_tradnl"/>
        </w:rPr>
        <w:t xml:space="preserve"> impugna</w:t>
      </w:r>
      <w:r w:rsidR="00057CDB" w:rsidRPr="00CB6BB3">
        <w:rPr>
          <w:lang w:val="es-ES_tradnl"/>
        </w:rPr>
        <w:t xml:space="preserve">r </w:t>
      </w:r>
      <w:r w:rsidR="00C372D5" w:rsidRPr="00CB6BB3">
        <w:rPr>
          <w:lang w:val="es-ES_tradnl"/>
        </w:rPr>
        <w:t>el despido</w:t>
      </w:r>
      <w:r w:rsidR="00361330" w:rsidRPr="00CB6BB3">
        <w:rPr>
          <w:lang w:val="es-ES_tradnl"/>
        </w:rPr>
        <w:t xml:space="preserve"> o aceptar la indemnización); indemnización mínima; aclaraciones;</w:t>
      </w:r>
      <w:r w:rsidR="00057CDB" w:rsidRPr="00CB6BB3">
        <w:rPr>
          <w:lang w:val="es-ES_tradnl"/>
        </w:rPr>
        <w:t xml:space="preserve"> plazos de prescripción, y juicios. La Junta III de la Comisión de Igualdad de Trato ahora también se ocupa de la igualdad de trato entre mujeres y hombres </w:t>
      </w:r>
      <w:r w:rsidR="00361330" w:rsidRPr="00CB6BB3">
        <w:rPr>
          <w:lang w:val="es-ES_tradnl"/>
        </w:rPr>
        <w:t xml:space="preserve">respecto del acceso </w:t>
      </w:r>
      <w:r w:rsidR="00057CDB" w:rsidRPr="00CB6BB3">
        <w:rPr>
          <w:lang w:val="es-ES_tradnl"/>
        </w:rPr>
        <w:t>a</w:t>
      </w:r>
      <w:r w:rsidR="00361330" w:rsidRPr="00CB6BB3">
        <w:rPr>
          <w:lang w:val="es-ES_tradnl"/>
        </w:rPr>
        <w:t xml:space="preserve"> </w:t>
      </w:r>
      <w:r w:rsidR="00057CDB" w:rsidRPr="00CB6BB3">
        <w:rPr>
          <w:lang w:val="es-ES_tradnl"/>
        </w:rPr>
        <w:t>bienes y servicios y al suministro de los mismos. Por consiguiente, se amplió el alcance de las competencias del Ombudsman para la Igualdad de Trato</w:t>
      </w:r>
      <w:r w:rsidR="005E49B6" w:rsidRPr="00CB6BB3">
        <w:rPr>
          <w:lang w:val="es-ES_tradnl"/>
        </w:rPr>
        <w:t>.</w:t>
      </w:r>
    </w:p>
    <w:p w:rsidR="005E49B6" w:rsidRPr="00CB6BB3" w:rsidRDefault="005E49B6" w:rsidP="005C668E">
      <w:pPr>
        <w:pStyle w:val="SingleTxtG"/>
        <w:rPr>
          <w:lang w:val="es-ES_tradnl"/>
        </w:rPr>
      </w:pPr>
      <w:r w:rsidRPr="00CB6BB3">
        <w:rPr>
          <w:lang w:val="es-ES_tradnl"/>
        </w:rPr>
        <w:t>7.</w:t>
      </w:r>
      <w:r w:rsidRPr="00CB6BB3">
        <w:rPr>
          <w:lang w:val="es-ES_tradnl"/>
        </w:rPr>
        <w:tab/>
      </w:r>
      <w:r w:rsidR="00361330" w:rsidRPr="00CB6BB3">
        <w:rPr>
          <w:lang w:val="es-ES_tradnl"/>
        </w:rPr>
        <w:t>Una medida de particular importancia fue l</w:t>
      </w:r>
      <w:r w:rsidR="00920EF6" w:rsidRPr="00CB6BB3">
        <w:rPr>
          <w:lang w:val="es-ES_tradnl"/>
        </w:rPr>
        <w:t>a enmienda a la Ley de igualdad de trato, que entró en vigor el 1</w:t>
      </w:r>
      <w:r w:rsidR="005C668E">
        <w:rPr>
          <w:lang w:val="es-ES_tradnl"/>
        </w:rPr>
        <w:t>º</w:t>
      </w:r>
      <w:r w:rsidR="00920EF6" w:rsidRPr="00CB6BB3">
        <w:rPr>
          <w:lang w:val="es-ES_tradnl"/>
        </w:rPr>
        <w:t xml:space="preserve"> de marzo de</w:t>
      </w:r>
      <w:r w:rsidR="00361330" w:rsidRPr="00CB6BB3">
        <w:rPr>
          <w:lang w:val="es-ES_tradnl"/>
        </w:rPr>
        <w:t xml:space="preserve"> </w:t>
      </w:r>
      <w:r w:rsidRPr="00CB6BB3">
        <w:rPr>
          <w:lang w:val="es-ES_tradnl"/>
        </w:rPr>
        <w:t>2011</w:t>
      </w:r>
      <w:r w:rsidRPr="00CB6BB3">
        <w:rPr>
          <w:rStyle w:val="FootnoteReference"/>
          <w:lang w:val="es-ES_tradnl"/>
        </w:rPr>
        <w:footnoteReference w:id="5"/>
      </w:r>
      <w:r w:rsidRPr="00CB6BB3">
        <w:rPr>
          <w:lang w:val="es-ES_tradnl"/>
        </w:rPr>
        <w:t xml:space="preserve">. </w:t>
      </w:r>
      <w:r w:rsidR="00361330" w:rsidRPr="00CB6BB3">
        <w:rPr>
          <w:lang w:val="es-ES_tradnl"/>
        </w:rPr>
        <w:t>Prevé un plan gradual para la concre</w:t>
      </w:r>
      <w:r w:rsidR="00145BA8" w:rsidRPr="00CB6BB3">
        <w:rPr>
          <w:lang w:val="es-ES_tradnl"/>
        </w:rPr>
        <w:t>ción de la obligación impuesta a las empresas que superan un determinado tamaño</w:t>
      </w:r>
      <w:r w:rsidR="003637E2" w:rsidRPr="00CB6BB3">
        <w:rPr>
          <w:lang w:val="es-ES_tradnl"/>
        </w:rPr>
        <w:t>,</w:t>
      </w:r>
      <w:r w:rsidR="00145BA8" w:rsidRPr="00CB6BB3">
        <w:rPr>
          <w:lang w:val="es-ES_tradnl"/>
        </w:rPr>
        <w:t xml:space="preserve"> de elaborar un informe sobre ingresos cada dos años</w:t>
      </w:r>
      <w:r w:rsidRPr="00CB6BB3">
        <w:rPr>
          <w:lang w:val="es-ES_tradnl"/>
        </w:rPr>
        <w:t xml:space="preserve">. </w:t>
      </w:r>
      <w:r w:rsidR="00145BA8" w:rsidRPr="00CB6BB3">
        <w:rPr>
          <w:lang w:val="es-ES_tradnl"/>
        </w:rPr>
        <w:t>Con esta medida se procura lograr una mayor transparencia sobre la remuneración</w:t>
      </w:r>
      <w:r w:rsidR="00EA3B9D" w:rsidRPr="00CB6BB3">
        <w:rPr>
          <w:lang w:val="es-ES_tradnl"/>
        </w:rPr>
        <w:t xml:space="preserve">: </w:t>
      </w:r>
      <w:r w:rsidR="00145BA8" w:rsidRPr="00CB6BB3">
        <w:rPr>
          <w:lang w:val="es-ES_tradnl"/>
        </w:rPr>
        <w:t xml:space="preserve">a partir de 2011 </w:t>
      </w:r>
      <w:r w:rsidR="00EA3B9D" w:rsidRPr="00CB6BB3">
        <w:rPr>
          <w:lang w:val="es-ES_tradnl"/>
        </w:rPr>
        <w:t xml:space="preserve">la presentación de dichos informes será obligatoria </w:t>
      </w:r>
      <w:r w:rsidR="00145BA8" w:rsidRPr="00CB6BB3">
        <w:rPr>
          <w:lang w:val="es-ES_tradnl"/>
        </w:rPr>
        <w:t xml:space="preserve">para las empresas con más de 1.000 empleados; a partir de </w:t>
      </w:r>
      <w:r w:rsidRPr="00CB6BB3">
        <w:rPr>
          <w:lang w:val="es-ES_tradnl"/>
        </w:rPr>
        <w:t>2012</w:t>
      </w:r>
      <w:r w:rsidR="00145BA8" w:rsidRPr="00CB6BB3">
        <w:rPr>
          <w:lang w:val="es-ES_tradnl"/>
        </w:rPr>
        <w:t>, para las empresas con más de 500</w:t>
      </w:r>
      <w:r w:rsidR="00EA3B9D" w:rsidRPr="00CB6BB3">
        <w:rPr>
          <w:lang w:val="es-ES_tradnl"/>
        </w:rPr>
        <w:t xml:space="preserve"> em</w:t>
      </w:r>
      <w:r w:rsidR="00145BA8" w:rsidRPr="00CB6BB3">
        <w:rPr>
          <w:lang w:val="es-ES_tradnl"/>
        </w:rPr>
        <w:t xml:space="preserve">pleados; </w:t>
      </w:r>
      <w:r w:rsidR="00EA3B9D" w:rsidRPr="00CB6BB3">
        <w:rPr>
          <w:lang w:val="es-ES_tradnl"/>
        </w:rPr>
        <w:t xml:space="preserve">y a partir de </w:t>
      </w:r>
      <w:r w:rsidRPr="00CB6BB3">
        <w:rPr>
          <w:lang w:val="es-ES_tradnl"/>
        </w:rPr>
        <w:t>2013</w:t>
      </w:r>
      <w:r w:rsidR="00145BA8" w:rsidRPr="00CB6BB3">
        <w:rPr>
          <w:lang w:val="es-ES_tradnl"/>
        </w:rPr>
        <w:t xml:space="preserve">, </w:t>
      </w:r>
      <w:r w:rsidR="00EA3B9D" w:rsidRPr="00CB6BB3">
        <w:rPr>
          <w:lang w:val="es-ES_tradnl"/>
        </w:rPr>
        <w:t xml:space="preserve">para </w:t>
      </w:r>
      <w:r w:rsidR="00145BA8" w:rsidRPr="00CB6BB3">
        <w:rPr>
          <w:lang w:val="es-ES_tradnl"/>
        </w:rPr>
        <w:t xml:space="preserve">las empresas con más de </w:t>
      </w:r>
      <w:r w:rsidRPr="00CB6BB3">
        <w:rPr>
          <w:lang w:val="es-ES_tradnl"/>
        </w:rPr>
        <w:t>150 empl</w:t>
      </w:r>
      <w:r w:rsidR="00145BA8" w:rsidRPr="00CB6BB3">
        <w:rPr>
          <w:lang w:val="es-ES_tradnl"/>
        </w:rPr>
        <w:t>ead</w:t>
      </w:r>
      <w:r w:rsidRPr="00CB6BB3">
        <w:rPr>
          <w:lang w:val="es-ES_tradnl"/>
        </w:rPr>
        <w:t xml:space="preserve">os. </w:t>
      </w:r>
      <w:r w:rsidR="00EA3B9D" w:rsidRPr="00CB6BB3">
        <w:rPr>
          <w:lang w:val="es-ES_tradnl"/>
        </w:rPr>
        <w:t xml:space="preserve">Los tribunales pueden hacer cumplir el requisito de elaborar y </w:t>
      </w:r>
      <w:r w:rsidR="000909D7" w:rsidRPr="00CB6BB3">
        <w:rPr>
          <w:lang w:val="es-ES_tradnl"/>
        </w:rPr>
        <w:t>present</w:t>
      </w:r>
      <w:r w:rsidR="003637E2" w:rsidRPr="00CB6BB3">
        <w:rPr>
          <w:lang w:val="es-ES_tradnl"/>
        </w:rPr>
        <w:t>ar estos informes en un plazo</w:t>
      </w:r>
      <w:r w:rsidR="00EA3B9D" w:rsidRPr="00CB6BB3">
        <w:rPr>
          <w:lang w:val="es-ES_tradnl"/>
        </w:rPr>
        <w:t xml:space="preserve"> de tres años</w:t>
      </w:r>
      <w:r w:rsidRPr="00CB6BB3">
        <w:rPr>
          <w:lang w:val="es-ES_tradnl"/>
        </w:rPr>
        <w:t xml:space="preserve">. </w:t>
      </w:r>
      <w:r w:rsidR="00EA3B9D" w:rsidRPr="00CB6BB3">
        <w:rPr>
          <w:lang w:val="es-ES_tradnl"/>
        </w:rPr>
        <w:t xml:space="preserve">Además, al publicar un </w:t>
      </w:r>
      <w:r w:rsidR="003637E2" w:rsidRPr="00CB6BB3">
        <w:rPr>
          <w:lang w:val="es-ES_tradnl"/>
        </w:rPr>
        <w:t>anuncio de v</w:t>
      </w:r>
      <w:r w:rsidR="00EA3B9D" w:rsidRPr="00CB6BB3">
        <w:rPr>
          <w:lang w:val="es-ES_tradnl"/>
        </w:rPr>
        <w:t>acante, los empleadores tienen que indicar el salario mínimo fijado de conformidad con el convenio colectivo, e indic</w:t>
      </w:r>
      <w:r w:rsidR="000909D7" w:rsidRPr="00CB6BB3">
        <w:rPr>
          <w:lang w:val="es-ES_tradnl"/>
        </w:rPr>
        <w:t>ar cuánto más estarían dispuest</w:t>
      </w:r>
      <w:r w:rsidR="00D57B13">
        <w:rPr>
          <w:lang w:val="es-ES_tradnl"/>
        </w:rPr>
        <w:t>o</w:t>
      </w:r>
      <w:r w:rsidR="00EA3B9D" w:rsidRPr="00CB6BB3">
        <w:rPr>
          <w:lang w:val="es-ES_tradnl"/>
        </w:rPr>
        <w:t xml:space="preserve">s </w:t>
      </w:r>
      <w:r w:rsidRPr="00CB6BB3">
        <w:rPr>
          <w:lang w:val="es-ES_tradnl"/>
        </w:rPr>
        <w:t>a</w:t>
      </w:r>
      <w:r w:rsidR="00EA3B9D" w:rsidRPr="00CB6BB3">
        <w:rPr>
          <w:lang w:val="es-ES_tradnl"/>
        </w:rPr>
        <w:t xml:space="preserve"> pagar</w:t>
      </w:r>
      <w:r w:rsidRPr="00CB6BB3">
        <w:rPr>
          <w:lang w:val="es-ES_tradnl"/>
        </w:rPr>
        <w:t xml:space="preserve">. </w:t>
      </w:r>
      <w:r w:rsidR="00EA3B9D" w:rsidRPr="00CB6BB3">
        <w:rPr>
          <w:lang w:val="es-ES_tradnl"/>
        </w:rPr>
        <w:t xml:space="preserve">En caso de incumplimiento de esta norma por primera vez, la autoridad de distrito </w:t>
      </w:r>
      <w:r w:rsidR="00F83899" w:rsidRPr="00CB6BB3">
        <w:rPr>
          <w:lang w:val="es-ES_tradnl"/>
        </w:rPr>
        <w:t>emit</w:t>
      </w:r>
      <w:r w:rsidR="00FF0028" w:rsidRPr="00CB6BB3">
        <w:rPr>
          <w:lang w:val="es-ES_tradnl"/>
        </w:rPr>
        <w:t xml:space="preserve">e </w:t>
      </w:r>
      <w:r w:rsidR="00F83899" w:rsidRPr="00CB6BB3">
        <w:rPr>
          <w:lang w:val="es-ES_tradnl"/>
        </w:rPr>
        <w:t>un aviso</w:t>
      </w:r>
      <w:r w:rsidR="00FF0028" w:rsidRPr="00CB6BB3">
        <w:rPr>
          <w:lang w:val="es-ES_tradnl"/>
        </w:rPr>
        <w:t xml:space="preserve"> a</w:t>
      </w:r>
      <w:r w:rsidR="00F83899" w:rsidRPr="00CB6BB3">
        <w:rPr>
          <w:lang w:val="es-ES_tradnl"/>
        </w:rPr>
        <w:t>l empleador</w:t>
      </w:r>
      <w:r w:rsidR="00FF0028" w:rsidRPr="00CB6BB3">
        <w:rPr>
          <w:lang w:val="es-ES_tradnl"/>
        </w:rPr>
        <w:t>, y si aún así</w:t>
      </w:r>
      <w:r w:rsidR="00F83899" w:rsidRPr="00CB6BB3">
        <w:rPr>
          <w:lang w:val="es-ES_tradnl"/>
        </w:rPr>
        <w:t xml:space="preserve"> </w:t>
      </w:r>
      <w:r w:rsidR="00FF0028" w:rsidRPr="00CB6BB3">
        <w:rPr>
          <w:lang w:val="es-ES_tradnl"/>
        </w:rPr>
        <w:t xml:space="preserve">éste </w:t>
      </w:r>
      <w:r w:rsidR="00F83899" w:rsidRPr="00CB6BB3">
        <w:rPr>
          <w:lang w:val="es-ES_tradnl"/>
        </w:rPr>
        <w:t xml:space="preserve">no cumple, se </w:t>
      </w:r>
      <w:r w:rsidR="00FF0028" w:rsidRPr="00CB6BB3">
        <w:rPr>
          <w:lang w:val="es-ES_tradnl"/>
        </w:rPr>
        <w:t xml:space="preserve">le </w:t>
      </w:r>
      <w:r w:rsidR="00F83899" w:rsidRPr="00CB6BB3">
        <w:rPr>
          <w:lang w:val="es-ES_tradnl"/>
        </w:rPr>
        <w:t>impone un</w:t>
      </w:r>
      <w:r w:rsidR="00FF0028" w:rsidRPr="00CB6BB3">
        <w:rPr>
          <w:lang w:val="es-ES_tradnl"/>
        </w:rPr>
        <w:t>a multa que puede ascender</w:t>
      </w:r>
      <w:r w:rsidR="00F83899" w:rsidRPr="00CB6BB3">
        <w:rPr>
          <w:lang w:val="es-ES_tradnl"/>
        </w:rPr>
        <w:t xml:space="preserve"> hasta </w:t>
      </w:r>
      <w:r w:rsidRPr="00CB6BB3">
        <w:rPr>
          <w:lang w:val="es-ES_tradnl"/>
        </w:rPr>
        <w:t xml:space="preserve">360 </w:t>
      </w:r>
      <w:r w:rsidR="00F83899" w:rsidRPr="00CB6BB3">
        <w:rPr>
          <w:lang w:val="es-ES_tradnl"/>
        </w:rPr>
        <w:t>euros</w:t>
      </w:r>
      <w:r w:rsidR="003637E2" w:rsidRPr="00CB6BB3">
        <w:rPr>
          <w:lang w:val="es-ES_tradnl"/>
        </w:rPr>
        <w:t>; e</w:t>
      </w:r>
      <w:r w:rsidR="00F83899" w:rsidRPr="00CB6BB3">
        <w:rPr>
          <w:lang w:val="es-ES_tradnl"/>
        </w:rPr>
        <w:t>l Ombudsman para la Igualdad de Trato y las juntas de la Comisión de Igualdad de Trato podrán</w:t>
      </w:r>
      <w:r w:rsidRPr="00CB6BB3">
        <w:rPr>
          <w:lang w:val="es-ES_tradnl"/>
        </w:rPr>
        <w:t xml:space="preserve">, </w:t>
      </w:r>
      <w:r w:rsidR="00F83899" w:rsidRPr="00CB6BB3">
        <w:rPr>
          <w:lang w:val="es-ES_tradnl"/>
        </w:rPr>
        <w:t>en casos precisos de presunta discriminación salarial, obtener</w:t>
      </w:r>
      <w:r w:rsidR="000909D7" w:rsidRPr="00CB6BB3">
        <w:rPr>
          <w:lang w:val="es-ES_tradnl"/>
        </w:rPr>
        <w:t xml:space="preserve"> de la institución de seguros sociales</w:t>
      </w:r>
      <w:r w:rsidR="00F83899" w:rsidRPr="00CB6BB3">
        <w:rPr>
          <w:lang w:val="es-ES_tradnl"/>
        </w:rPr>
        <w:t xml:space="preserve"> datos sobre el salario de empleados similares</w:t>
      </w:r>
      <w:r w:rsidRPr="00CB6BB3">
        <w:rPr>
          <w:lang w:val="es-ES_tradnl"/>
        </w:rPr>
        <w:t xml:space="preserve">. </w:t>
      </w:r>
      <w:r w:rsidR="00F83899" w:rsidRPr="00CB6BB3">
        <w:rPr>
          <w:lang w:val="es-ES_tradnl"/>
        </w:rPr>
        <w:t>La indemnización mínima en caso de acoso (sexual), que en el pasado ascendía a 720 euros, ahora es de 1.</w:t>
      </w:r>
      <w:r w:rsidRPr="00CB6BB3">
        <w:rPr>
          <w:lang w:val="es-ES_tradnl"/>
        </w:rPr>
        <w:t xml:space="preserve">000 </w:t>
      </w:r>
      <w:r w:rsidR="00F83899" w:rsidRPr="00CB6BB3">
        <w:rPr>
          <w:lang w:val="es-ES_tradnl"/>
        </w:rPr>
        <w:t>euros</w:t>
      </w:r>
      <w:r w:rsidRPr="00CB6BB3">
        <w:rPr>
          <w:lang w:val="es-ES_tradnl"/>
        </w:rPr>
        <w:t xml:space="preserve">. </w:t>
      </w:r>
      <w:r w:rsidR="00F83899" w:rsidRPr="00CB6BB3">
        <w:rPr>
          <w:lang w:val="es-ES_tradnl"/>
        </w:rPr>
        <w:t xml:space="preserve">La protección contra la discriminación también ha sido ampliada a quienes, por su estrecha relación con una persona que necesita protección social, </w:t>
      </w:r>
      <w:r w:rsidR="008E3A55" w:rsidRPr="00CB6BB3">
        <w:rPr>
          <w:lang w:val="es-ES_tradnl"/>
        </w:rPr>
        <w:t>quedan en situación de desventaja</w:t>
      </w:r>
      <w:r w:rsidR="00F83899" w:rsidRPr="00CB6BB3">
        <w:rPr>
          <w:lang w:val="es-ES_tradnl"/>
        </w:rPr>
        <w:t xml:space="preserve"> (discriminación por asociación</w:t>
      </w:r>
      <w:r w:rsidRPr="00CB6BB3">
        <w:rPr>
          <w:lang w:val="es-ES_tradnl"/>
        </w:rPr>
        <w:t>).</w:t>
      </w:r>
    </w:p>
    <w:p w:rsidR="005E49B6" w:rsidRPr="00CB6BB3" w:rsidRDefault="005E49B6" w:rsidP="005C668E">
      <w:pPr>
        <w:pStyle w:val="SingleTxtG"/>
        <w:rPr>
          <w:lang w:val="es-ES_tradnl"/>
        </w:rPr>
      </w:pPr>
      <w:r w:rsidRPr="00CB6BB3">
        <w:rPr>
          <w:lang w:val="es-ES_tradnl"/>
        </w:rPr>
        <w:t>8.</w:t>
      </w:r>
      <w:r w:rsidRPr="00CB6BB3">
        <w:rPr>
          <w:lang w:val="es-ES_tradnl"/>
        </w:rPr>
        <w:tab/>
      </w:r>
      <w:r w:rsidR="008E3A55" w:rsidRPr="00CB6BB3">
        <w:rPr>
          <w:lang w:val="es-ES_tradnl"/>
        </w:rPr>
        <w:t>El Ombudsman para la Igualdad de Trato mantuvo una estrecha participación en el trabajo preparatorio de la enmienda a la Ley de igualdad de trato</w:t>
      </w:r>
      <w:r w:rsidRPr="00CB6BB3">
        <w:rPr>
          <w:lang w:val="es-ES_tradnl"/>
        </w:rPr>
        <w:t xml:space="preserve">, </w:t>
      </w:r>
      <w:r w:rsidR="008E3A55" w:rsidRPr="00CB6BB3">
        <w:rPr>
          <w:lang w:val="es-ES_tradnl"/>
        </w:rPr>
        <w:t>lo cual también mejorará la calidad de la orientación</w:t>
      </w:r>
      <w:r w:rsidRPr="00CB6BB3">
        <w:rPr>
          <w:lang w:val="es-ES_tradnl"/>
        </w:rPr>
        <w:t xml:space="preserve">. </w:t>
      </w:r>
      <w:r w:rsidR="008E3A55" w:rsidRPr="00CB6BB3">
        <w:rPr>
          <w:lang w:val="es-ES_tradnl"/>
        </w:rPr>
        <w:t xml:space="preserve">Cuando se plantean problemas relacionados con la discriminación </w:t>
      </w:r>
      <w:r w:rsidRPr="00CB6BB3">
        <w:rPr>
          <w:lang w:val="es-ES_tradnl"/>
        </w:rPr>
        <w:t>direct</w:t>
      </w:r>
      <w:r w:rsidR="008E3A55" w:rsidRPr="00CB6BB3">
        <w:rPr>
          <w:lang w:val="es-ES_tradnl"/>
        </w:rPr>
        <w:t>a o</w:t>
      </w:r>
      <w:r w:rsidRPr="00CB6BB3">
        <w:rPr>
          <w:lang w:val="es-ES_tradnl"/>
        </w:rPr>
        <w:t xml:space="preserve"> indirect</w:t>
      </w:r>
      <w:r w:rsidR="008E3A55" w:rsidRPr="00CB6BB3">
        <w:rPr>
          <w:lang w:val="es-ES_tradnl"/>
        </w:rPr>
        <w:t xml:space="preserve">a en materia de ingresos, </w:t>
      </w:r>
      <w:r w:rsidR="0060028E" w:rsidRPr="00CB6BB3">
        <w:rPr>
          <w:lang w:val="es-ES_tradnl"/>
        </w:rPr>
        <w:t xml:space="preserve">prestar </w:t>
      </w:r>
      <w:r w:rsidR="008E3A55" w:rsidRPr="00CB6BB3">
        <w:rPr>
          <w:lang w:val="es-ES_tradnl"/>
        </w:rPr>
        <w:t>orienta</w:t>
      </w:r>
      <w:r w:rsidR="0060028E" w:rsidRPr="00CB6BB3">
        <w:rPr>
          <w:lang w:val="es-ES_tradnl"/>
        </w:rPr>
        <w:t xml:space="preserve">ción </w:t>
      </w:r>
      <w:r w:rsidR="008E3A55" w:rsidRPr="00CB6BB3">
        <w:rPr>
          <w:lang w:val="es-ES_tradnl"/>
        </w:rPr>
        <w:t xml:space="preserve">sobre </w:t>
      </w:r>
      <w:r w:rsidR="0060028E" w:rsidRPr="00CB6BB3">
        <w:rPr>
          <w:lang w:val="es-ES_tradnl"/>
        </w:rPr>
        <w:t>la aplicación de cada ley es sumamente complejo</w:t>
      </w:r>
      <w:r w:rsidRPr="00CB6BB3">
        <w:rPr>
          <w:lang w:val="es-ES_tradnl"/>
        </w:rPr>
        <w:t xml:space="preserve">. </w:t>
      </w:r>
      <w:r w:rsidR="0060028E" w:rsidRPr="00CB6BB3">
        <w:rPr>
          <w:lang w:val="es-ES_tradnl"/>
        </w:rPr>
        <w:t xml:space="preserve">Establecer los hechos constituye un proceso particularmente difícil, pues la información necesaria suele no estar disponible </w:t>
      </w:r>
      <w:r w:rsidR="00916932">
        <w:rPr>
          <w:lang w:val="es-ES_tradnl"/>
        </w:rPr>
        <w:t>par</w:t>
      </w:r>
      <w:r w:rsidR="0060028E" w:rsidRPr="00CB6BB3">
        <w:rPr>
          <w:lang w:val="es-ES_tradnl"/>
        </w:rPr>
        <w:t>a los denunciantes, la abrumadora mayoría de los cuales son mujeres</w:t>
      </w:r>
      <w:r w:rsidRPr="00CB6BB3">
        <w:rPr>
          <w:lang w:val="es-ES_tradnl"/>
        </w:rPr>
        <w:t>.</w:t>
      </w:r>
    </w:p>
    <w:p w:rsidR="005E49B6" w:rsidRPr="00CB6BB3" w:rsidRDefault="005E49B6" w:rsidP="005C668E">
      <w:pPr>
        <w:pStyle w:val="SingleTxtG"/>
        <w:rPr>
          <w:lang w:val="es-ES_tradnl"/>
        </w:rPr>
      </w:pPr>
      <w:r w:rsidRPr="00CB6BB3">
        <w:rPr>
          <w:lang w:val="es-ES_tradnl"/>
        </w:rPr>
        <w:t>9.</w:t>
      </w:r>
      <w:r w:rsidRPr="00CB6BB3">
        <w:rPr>
          <w:lang w:val="es-ES_tradnl"/>
        </w:rPr>
        <w:tab/>
      </w:r>
      <w:r w:rsidR="00DD13D1" w:rsidRPr="00CB6BB3">
        <w:rPr>
          <w:lang w:val="es-ES_tradnl"/>
        </w:rPr>
        <w:t xml:space="preserve">La Ley federal </w:t>
      </w:r>
      <w:r w:rsidR="008C42E4">
        <w:rPr>
          <w:lang w:val="es-ES_tradnl"/>
        </w:rPr>
        <w:t xml:space="preserve">de </w:t>
      </w:r>
      <w:r w:rsidR="00DD13D1" w:rsidRPr="00CB6BB3">
        <w:rPr>
          <w:lang w:val="es-ES_tradnl"/>
        </w:rPr>
        <w:t xml:space="preserve">igualdad de trato define </w:t>
      </w:r>
      <w:r w:rsidR="00943D68" w:rsidRPr="00CB6BB3">
        <w:rPr>
          <w:lang w:val="es-ES_tradnl"/>
        </w:rPr>
        <w:t xml:space="preserve">la idea </w:t>
      </w:r>
      <w:r w:rsidR="000909D7" w:rsidRPr="00CB6BB3">
        <w:rPr>
          <w:lang w:val="es-ES_tradnl"/>
        </w:rPr>
        <w:t xml:space="preserve">de </w:t>
      </w:r>
      <w:r w:rsidR="00943D68" w:rsidRPr="00CB6BB3">
        <w:rPr>
          <w:lang w:val="es-ES_tradnl"/>
        </w:rPr>
        <w:t xml:space="preserve">la Convención en cuanto a </w:t>
      </w:r>
      <w:r w:rsidR="00F95B99" w:rsidRPr="00CB6BB3">
        <w:rPr>
          <w:lang w:val="es-ES_tradnl"/>
        </w:rPr>
        <w:t xml:space="preserve">la </w:t>
      </w:r>
      <w:r w:rsidR="00DD13D1" w:rsidRPr="00CB6BB3">
        <w:rPr>
          <w:lang w:val="es-ES_tradnl"/>
        </w:rPr>
        <w:t>igualdad de trato en la administración pública federal</w:t>
      </w:r>
      <w:r w:rsidRPr="00CB6BB3">
        <w:rPr>
          <w:lang w:val="es-ES_tradnl"/>
        </w:rPr>
        <w:t xml:space="preserve">. </w:t>
      </w:r>
      <w:r w:rsidR="00943D68" w:rsidRPr="00CB6BB3">
        <w:rPr>
          <w:lang w:val="es-ES_tradnl"/>
        </w:rPr>
        <w:t>De las enmiendas que se han introducido desde</w:t>
      </w:r>
      <w:r w:rsidRPr="00CB6BB3">
        <w:rPr>
          <w:lang w:val="es-ES_tradnl"/>
        </w:rPr>
        <w:t xml:space="preserve"> 2005, </w:t>
      </w:r>
      <w:r w:rsidR="003637E2" w:rsidRPr="00CB6BB3">
        <w:rPr>
          <w:lang w:val="es-ES_tradnl"/>
        </w:rPr>
        <w:t xml:space="preserve">cabe citar las </w:t>
      </w:r>
      <w:r w:rsidR="00943D68" w:rsidRPr="00CB6BB3">
        <w:rPr>
          <w:lang w:val="es-ES_tradnl"/>
        </w:rPr>
        <w:t>sigui</w:t>
      </w:r>
      <w:r w:rsidR="00B34FFF">
        <w:rPr>
          <w:lang w:val="es-ES_tradnl"/>
        </w:rPr>
        <w:t>entes: el aumento, del 40% al 45%</w:t>
      </w:r>
      <w:r w:rsidR="00943D68" w:rsidRPr="00CB6BB3">
        <w:rPr>
          <w:lang w:val="es-ES_tradnl"/>
        </w:rPr>
        <w:t xml:space="preserve">, del cupo de mujeres establecido en las disposiciones que </w:t>
      </w:r>
      <w:r w:rsidR="00F95B99" w:rsidRPr="00CB6BB3">
        <w:rPr>
          <w:lang w:val="es-ES_tradnl"/>
        </w:rPr>
        <w:t>rige</w:t>
      </w:r>
      <w:r w:rsidR="00943D68" w:rsidRPr="00CB6BB3">
        <w:rPr>
          <w:lang w:val="es-ES_tradnl"/>
        </w:rPr>
        <w:t>n la acción positiva en favor de la mujer; la armonización de la definición de acoso (sexual) con las disposiciones de la legislación de la UE</w:t>
      </w:r>
      <w:r w:rsidRPr="00CB6BB3">
        <w:rPr>
          <w:lang w:val="es-ES_tradnl"/>
        </w:rPr>
        <w:t xml:space="preserve">; </w:t>
      </w:r>
      <w:r w:rsidR="00943D68" w:rsidRPr="00CB6BB3">
        <w:rPr>
          <w:lang w:val="es-ES_tradnl"/>
        </w:rPr>
        <w:t>y la ampliación del plazo de presentación de denuncias de acoso sexual de uno a tres años</w:t>
      </w:r>
      <w:r w:rsidRPr="00CB6BB3">
        <w:rPr>
          <w:lang w:val="es-ES_tradnl"/>
        </w:rPr>
        <w:t xml:space="preserve">. </w:t>
      </w:r>
      <w:r w:rsidR="000B3E5C" w:rsidRPr="00CB6BB3">
        <w:rPr>
          <w:lang w:val="es-ES_tradnl"/>
        </w:rPr>
        <w:t>Se introdujeron mejoras similares a las logradas mediante la enmienda a la Ley sobre la igualdad de trato, esto es, en relación con la discriminación múltiple</w:t>
      </w:r>
      <w:r w:rsidRPr="00CB6BB3">
        <w:rPr>
          <w:lang w:val="es-ES_tradnl"/>
        </w:rPr>
        <w:t xml:space="preserve">, </w:t>
      </w:r>
      <w:r w:rsidR="000B3E5C" w:rsidRPr="00CB6BB3">
        <w:rPr>
          <w:lang w:val="es-ES_tradnl"/>
        </w:rPr>
        <w:t>y la posibilidad de optar entre impugnar el despido o aceptar la indemnización en casos de terminación discriminatoria de la relación de trabajo</w:t>
      </w:r>
      <w:r w:rsidRPr="00CB6BB3">
        <w:rPr>
          <w:lang w:val="es-ES_tradnl"/>
        </w:rPr>
        <w:t>.</w:t>
      </w:r>
      <w:r w:rsidR="000B3E5C" w:rsidRPr="00CB6BB3">
        <w:rPr>
          <w:lang w:val="es-ES_tradnl"/>
        </w:rPr>
        <w:t xml:space="preserve"> También se introdujo la norma de que, </w:t>
      </w:r>
      <w:r w:rsidR="00F95B99" w:rsidRPr="00CB6BB3">
        <w:rPr>
          <w:lang w:val="es-ES_tradnl"/>
        </w:rPr>
        <w:t>en los avisos de vacante</w:t>
      </w:r>
      <w:r w:rsidR="000B3E5C" w:rsidRPr="00CB6BB3">
        <w:rPr>
          <w:lang w:val="es-ES_tradnl"/>
        </w:rPr>
        <w:t xml:space="preserve"> y en toda la correspondencia relacionada con asuntos de recursos humanos, debe utilizarse un lenguaje imparcial </w:t>
      </w:r>
      <w:r w:rsidR="00F95B99" w:rsidRPr="00CB6BB3">
        <w:rPr>
          <w:lang w:val="es-ES_tradnl"/>
        </w:rPr>
        <w:t>desde el punto de vista del género</w:t>
      </w:r>
      <w:r w:rsidRPr="00CB6BB3">
        <w:rPr>
          <w:lang w:val="es-ES_tradnl"/>
        </w:rPr>
        <w:t xml:space="preserve">. </w:t>
      </w:r>
      <w:r w:rsidR="004B25AA" w:rsidRPr="00CB6BB3">
        <w:rPr>
          <w:lang w:val="es-ES_tradnl"/>
        </w:rPr>
        <w:t>Se modificó l</w:t>
      </w:r>
      <w:r w:rsidR="000B3E5C" w:rsidRPr="00CB6BB3">
        <w:rPr>
          <w:lang w:val="es-ES_tradnl"/>
        </w:rPr>
        <w:t xml:space="preserve">a disposición relativa a la composición de las </w:t>
      </w:r>
      <w:r w:rsidR="004B25AA" w:rsidRPr="00CB6BB3">
        <w:rPr>
          <w:lang w:val="es-ES_tradnl"/>
        </w:rPr>
        <w:t>comisiones de la administración pública a fin de aprovechar la experiencia de las mujeres. Se definió con más claridad el derecho de la mujer a participar en el trabajo de las comisiones</w:t>
      </w:r>
      <w:r w:rsidR="00F95B99" w:rsidRPr="00CB6BB3">
        <w:rPr>
          <w:lang w:val="es-ES_tradnl"/>
        </w:rPr>
        <w:t xml:space="preserve"> de la administración pública</w:t>
      </w:r>
      <w:r w:rsidR="004B25AA" w:rsidRPr="00CB6BB3">
        <w:rPr>
          <w:lang w:val="es-ES_tradnl"/>
        </w:rPr>
        <w:t xml:space="preserve">. Se amplió la norma que rige la representación de intereses por parte de órganos u </w:t>
      </w:r>
      <w:r w:rsidR="00237056" w:rsidRPr="005C668E">
        <w:t xml:space="preserve">organizaciones no gubernamentales </w:t>
      </w:r>
      <w:r w:rsidR="00237056">
        <w:t>(</w:t>
      </w:r>
      <w:r w:rsidR="004B25AA" w:rsidRPr="00CB6BB3">
        <w:rPr>
          <w:lang w:val="es-ES_tradnl"/>
        </w:rPr>
        <w:t>ONG</w:t>
      </w:r>
      <w:r w:rsidR="00237056">
        <w:rPr>
          <w:lang w:val="es-ES_tradnl"/>
        </w:rPr>
        <w:t>)</w:t>
      </w:r>
      <w:r w:rsidR="004B25AA" w:rsidRPr="00CB6BB3">
        <w:rPr>
          <w:lang w:val="es-ES_tradnl"/>
        </w:rPr>
        <w:t xml:space="preserve"> en audiencias ante la Comisión </w:t>
      </w:r>
      <w:r w:rsidR="00EA7DF0" w:rsidRPr="00CB6BB3">
        <w:rPr>
          <w:lang w:val="es-ES_tradnl"/>
        </w:rPr>
        <w:t xml:space="preserve">Federal </w:t>
      </w:r>
      <w:r w:rsidR="004B25AA" w:rsidRPr="00CB6BB3">
        <w:rPr>
          <w:lang w:val="es-ES_tradnl"/>
        </w:rPr>
        <w:t xml:space="preserve">para la </w:t>
      </w:r>
      <w:r w:rsidR="00EA7DF0" w:rsidRPr="00CB6BB3">
        <w:rPr>
          <w:lang w:val="es-ES_tradnl"/>
        </w:rPr>
        <w:t xml:space="preserve">Igualdad </w:t>
      </w:r>
      <w:r w:rsidR="004B25AA" w:rsidRPr="00CB6BB3">
        <w:rPr>
          <w:lang w:val="es-ES_tradnl"/>
        </w:rPr>
        <w:t xml:space="preserve">de </w:t>
      </w:r>
      <w:r w:rsidR="006D1407" w:rsidRPr="00CB6BB3">
        <w:rPr>
          <w:lang w:val="es-ES_tradnl"/>
        </w:rPr>
        <w:t>Trato</w:t>
      </w:r>
      <w:r w:rsidR="000909D7" w:rsidRPr="00CB6BB3">
        <w:rPr>
          <w:lang w:val="es-ES_tradnl"/>
        </w:rPr>
        <w:t>,</w:t>
      </w:r>
      <w:r w:rsidR="004B25AA" w:rsidRPr="00CB6BB3">
        <w:rPr>
          <w:lang w:val="es-ES_tradnl"/>
        </w:rPr>
        <w:t xml:space="preserve"> para que incluyera los casos de discriminación </w:t>
      </w:r>
      <w:r w:rsidR="00F95B99" w:rsidRPr="00CB6BB3">
        <w:rPr>
          <w:lang w:val="es-ES_tradnl"/>
        </w:rPr>
        <w:t xml:space="preserve">basada </w:t>
      </w:r>
      <w:r w:rsidR="004B25AA" w:rsidRPr="00CB6BB3">
        <w:rPr>
          <w:lang w:val="es-ES_tradnl"/>
        </w:rPr>
        <w:t>e</w:t>
      </w:r>
      <w:r w:rsidR="00F95B99" w:rsidRPr="00CB6BB3">
        <w:rPr>
          <w:lang w:val="es-ES_tradnl"/>
        </w:rPr>
        <w:t>n el</w:t>
      </w:r>
      <w:r w:rsidR="004B25AA" w:rsidRPr="00CB6BB3">
        <w:rPr>
          <w:lang w:val="es-ES_tradnl"/>
        </w:rPr>
        <w:t xml:space="preserve"> género</w:t>
      </w:r>
      <w:r w:rsidRPr="00CB6BB3">
        <w:rPr>
          <w:lang w:val="es-ES_tradnl"/>
        </w:rPr>
        <w:t xml:space="preserve">. </w:t>
      </w:r>
    </w:p>
    <w:p w:rsidR="005E49B6" w:rsidRPr="00CB6BB3" w:rsidRDefault="005E49B6" w:rsidP="005C668E">
      <w:pPr>
        <w:pStyle w:val="SingleTxtG"/>
        <w:rPr>
          <w:lang w:val="es-ES_tradnl"/>
        </w:rPr>
      </w:pPr>
      <w:r w:rsidRPr="00CB6BB3">
        <w:rPr>
          <w:lang w:val="es-ES_tradnl"/>
        </w:rPr>
        <w:t>10.</w:t>
      </w:r>
      <w:r w:rsidRPr="00CB6BB3">
        <w:rPr>
          <w:lang w:val="es-ES_tradnl"/>
        </w:rPr>
        <w:tab/>
      </w:r>
      <w:r w:rsidR="005B09F3" w:rsidRPr="00CB6BB3">
        <w:rPr>
          <w:lang w:val="es-ES_tradnl"/>
        </w:rPr>
        <w:t xml:space="preserve">La Comisión </w:t>
      </w:r>
      <w:r w:rsidR="001852A1" w:rsidRPr="00CB6BB3">
        <w:rPr>
          <w:lang w:val="es-ES_tradnl"/>
        </w:rPr>
        <w:t xml:space="preserve">Federal </w:t>
      </w:r>
      <w:r w:rsidR="005B09F3" w:rsidRPr="00CB6BB3">
        <w:rPr>
          <w:lang w:val="es-ES_tradnl"/>
        </w:rPr>
        <w:t xml:space="preserve">para la </w:t>
      </w:r>
      <w:r w:rsidR="001852A1" w:rsidRPr="00CB6BB3">
        <w:rPr>
          <w:lang w:val="es-ES_tradnl"/>
        </w:rPr>
        <w:t xml:space="preserve">Igualdad </w:t>
      </w:r>
      <w:r w:rsidR="005B09F3" w:rsidRPr="00CB6BB3">
        <w:rPr>
          <w:lang w:val="es-ES_tradnl"/>
        </w:rPr>
        <w:t xml:space="preserve">de </w:t>
      </w:r>
      <w:r w:rsidR="001852A1" w:rsidRPr="00CB6BB3">
        <w:rPr>
          <w:lang w:val="es-ES_tradnl"/>
        </w:rPr>
        <w:t xml:space="preserve">Trato </w:t>
      </w:r>
      <w:r w:rsidR="005B09F3" w:rsidRPr="00CB6BB3">
        <w:rPr>
          <w:lang w:val="es-ES_tradnl"/>
        </w:rPr>
        <w:t xml:space="preserve">realiza su trabajo en dos juntas: la Junta I se ocupa de la igualdad de trato entre mujeres y hombres, y la Junta II vela por </w:t>
      </w:r>
      <w:r w:rsidR="00FE328A" w:rsidRPr="00CB6BB3">
        <w:rPr>
          <w:lang w:val="es-ES_tradnl"/>
        </w:rPr>
        <w:t xml:space="preserve">la </w:t>
      </w:r>
      <w:r w:rsidR="005B09F3" w:rsidRPr="00CB6BB3">
        <w:rPr>
          <w:lang w:val="es-ES_tradnl"/>
        </w:rPr>
        <w:t>vigencia de la igualdad de trato, independientemente del origen étnico, la religión o la</w:t>
      </w:r>
      <w:r w:rsidR="00170697">
        <w:rPr>
          <w:lang w:val="es-ES_tradnl"/>
        </w:rPr>
        <w:t>s</w:t>
      </w:r>
      <w:r w:rsidR="005B09F3" w:rsidRPr="00CB6BB3">
        <w:rPr>
          <w:lang w:val="es-ES_tradnl"/>
        </w:rPr>
        <w:t xml:space="preserve"> </w:t>
      </w:r>
      <w:r w:rsidR="00170697">
        <w:rPr>
          <w:lang w:val="es-ES_tradnl"/>
        </w:rPr>
        <w:t>creencias</w:t>
      </w:r>
      <w:r w:rsidR="005B09F3" w:rsidRPr="00CB6BB3">
        <w:rPr>
          <w:lang w:val="es-ES_tradnl"/>
        </w:rPr>
        <w:t>, la edad o la orientaci</w:t>
      </w:r>
      <w:r w:rsidR="00211483" w:rsidRPr="00CB6BB3">
        <w:rPr>
          <w:lang w:val="es-ES_tradnl"/>
        </w:rPr>
        <w:t>ón sexual</w:t>
      </w:r>
      <w:r w:rsidRPr="00CB6BB3">
        <w:rPr>
          <w:lang w:val="es-ES_tradnl"/>
        </w:rPr>
        <w:t xml:space="preserve">. </w:t>
      </w:r>
      <w:r w:rsidR="00F95B99" w:rsidRPr="00CB6BB3">
        <w:rPr>
          <w:lang w:val="es-ES_tradnl"/>
        </w:rPr>
        <w:t>Por lo tanto, son l</w:t>
      </w:r>
      <w:r w:rsidR="00211483" w:rsidRPr="00CB6BB3">
        <w:rPr>
          <w:lang w:val="es-ES_tradnl"/>
        </w:rPr>
        <w:t>os funcionarios del área de igualdad de trato</w:t>
      </w:r>
      <w:r w:rsidRPr="00CB6BB3">
        <w:rPr>
          <w:lang w:val="es-ES_tradnl"/>
        </w:rPr>
        <w:t xml:space="preserve"> </w:t>
      </w:r>
      <w:r w:rsidR="00211483" w:rsidRPr="00CB6BB3">
        <w:rPr>
          <w:lang w:val="es-ES_tradnl"/>
        </w:rPr>
        <w:t>en los ministerios federales, los órganos administrativos supremos y las empresas</w:t>
      </w:r>
      <w:r w:rsidR="00FE328A" w:rsidRPr="00CB6BB3">
        <w:rPr>
          <w:lang w:val="es-ES_tradnl"/>
        </w:rPr>
        <w:t xml:space="preserve"> </w:t>
      </w:r>
      <w:r w:rsidR="00D336E4" w:rsidRPr="00CB6BB3">
        <w:rPr>
          <w:lang w:val="es-ES_tradnl"/>
        </w:rPr>
        <w:t>privatizadas</w:t>
      </w:r>
      <w:r w:rsidRPr="00CB6BB3">
        <w:rPr>
          <w:lang w:val="es-ES_tradnl"/>
        </w:rPr>
        <w:t xml:space="preserve"> </w:t>
      </w:r>
      <w:r w:rsidR="00FE328A" w:rsidRPr="00CB6BB3">
        <w:rPr>
          <w:lang w:val="es-ES_tradnl"/>
        </w:rPr>
        <w:t xml:space="preserve">que aún tienen que cumplir con las disposiciones de la Ley federal </w:t>
      </w:r>
      <w:r w:rsidR="00170697">
        <w:rPr>
          <w:lang w:val="es-ES_tradnl"/>
        </w:rPr>
        <w:t xml:space="preserve">de </w:t>
      </w:r>
      <w:r w:rsidR="00FE328A" w:rsidRPr="00CB6BB3">
        <w:rPr>
          <w:lang w:val="es-ES_tradnl"/>
        </w:rPr>
        <w:t>iguald</w:t>
      </w:r>
      <w:r w:rsidR="00F95B99" w:rsidRPr="00CB6BB3">
        <w:rPr>
          <w:lang w:val="es-ES_tradnl"/>
        </w:rPr>
        <w:t>ad de trato</w:t>
      </w:r>
      <w:r w:rsidR="00FE328A" w:rsidRPr="00CB6BB3">
        <w:rPr>
          <w:lang w:val="es-ES_tradnl"/>
        </w:rPr>
        <w:t xml:space="preserve"> quienes se encargan de todos los casos de discriminación</w:t>
      </w:r>
      <w:r w:rsidRPr="00CB6BB3">
        <w:rPr>
          <w:lang w:val="es-ES_tradnl"/>
        </w:rPr>
        <w:t>.</w:t>
      </w:r>
    </w:p>
    <w:p w:rsidR="005E49B6" w:rsidRPr="00CB6BB3" w:rsidRDefault="005E49B6" w:rsidP="005C668E">
      <w:pPr>
        <w:pStyle w:val="SingleTxtG"/>
        <w:rPr>
          <w:lang w:val="es-ES_tradnl"/>
        </w:rPr>
      </w:pPr>
      <w:r w:rsidRPr="00CB6BB3">
        <w:rPr>
          <w:lang w:val="es-ES_tradnl"/>
        </w:rPr>
        <w:t>11.</w:t>
      </w:r>
      <w:r w:rsidRPr="00CB6BB3">
        <w:rPr>
          <w:lang w:val="es-ES_tradnl"/>
        </w:rPr>
        <w:tab/>
      </w:r>
      <w:r w:rsidR="00F95B99" w:rsidRPr="00CB6BB3">
        <w:rPr>
          <w:lang w:val="es-ES_tradnl"/>
        </w:rPr>
        <w:t>E</w:t>
      </w:r>
      <w:r w:rsidR="00391C7E" w:rsidRPr="00CB6BB3">
        <w:rPr>
          <w:lang w:val="es-ES_tradnl"/>
        </w:rPr>
        <w:t>l 1</w:t>
      </w:r>
      <w:r w:rsidR="005C668E">
        <w:rPr>
          <w:lang w:val="es-ES_tradnl"/>
        </w:rPr>
        <w:t>º</w:t>
      </w:r>
      <w:r w:rsidR="00391C7E" w:rsidRPr="00CB6BB3">
        <w:rPr>
          <w:lang w:val="es-ES_tradnl"/>
        </w:rPr>
        <w:t xml:space="preserve"> de marzo de </w:t>
      </w:r>
      <w:r w:rsidRPr="00CB6BB3">
        <w:rPr>
          <w:lang w:val="es-ES_tradnl"/>
        </w:rPr>
        <w:t>2011</w:t>
      </w:r>
      <w:r w:rsidR="00F95B99" w:rsidRPr="00CB6BB3">
        <w:rPr>
          <w:lang w:val="es-ES_tradnl"/>
        </w:rPr>
        <w:t xml:space="preserve"> entró</w:t>
      </w:r>
      <w:r w:rsidR="00391C7E" w:rsidRPr="00CB6BB3">
        <w:rPr>
          <w:lang w:val="es-ES_tradnl"/>
        </w:rPr>
        <w:t xml:space="preserve"> en vigor una enmienda a la Ley federal </w:t>
      </w:r>
      <w:r w:rsidR="00170697">
        <w:rPr>
          <w:lang w:val="es-ES_tradnl"/>
        </w:rPr>
        <w:t xml:space="preserve">de </w:t>
      </w:r>
      <w:r w:rsidR="00391C7E" w:rsidRPr="00CB6BB3">
        <w:rPr>
          <w:lang w:val="es-ES_tradnl"/>
        </w:rPr>
        <w:t>igualdad de trato</w:t>
      </w:r>
      <w:r w:rsidRPr="00CB6BB3">
        <w:rPr>
          <w:rStyle w:val="FootnoteReference"/>
          <w:lang w:val="es-ES_tradnl"/>
        </w:rPr>
        <w:footnoteReference w:id="6"/>
      </w:r>
      <w:r w:rsidR="00391C7E" w:rsidRPr="00CB6BB3">
        <w:rPr>
          <w:lang w:val="es-ES_tradnl"/>
        </w:rPr>
        <w:t xml:space="preserve">, según la cual el Gobierno </w:t>
      </w:r>
      <w:r w:rsidRPr="00CB6BB3">
        <w:rPr>
          <w:lang w:val="es-ES_tradnl"/>
        </w:rPr>
        <w:t>Federal</w:t>
      </w:r>
      <w:r w:rsidR="00391C7E" w:rsidRPr="00CB6BB3">
        <w:rPr>
          <w:lang w:val="es-ES_tradnl"/>
        </w:rPr>
        <w:t xml:space="preserve"> debe elaborar un informe anual sobre ingresos y publicarlo inmediatamente en la página web de la Cancillería F</w:t>
      </w:r>
      <w:r w:rsidRPr="00CB6BB3">
        <w:rPr>
          <w:lang w:val="es-ES_tradnl"/>
        </w:rPr>
        <w:t>ederal.</w:t>
      </w:r>
      <w:r w:rsidR="00391C7E" w:rsidRPr="00CB6BB3">
        <w:rPr>
          <w:lang w:val="es-ES_tradnl"/>
        </w:rPr>
        <w:t xml:space="preserve"> Con esta enmienda se pretende eliminar de la administración pública las disparidades salariales</w:t>
      </w:r>
      <w:r w:rsidR="00F95B99" w:rsidRPr="00CB6BB3">
        <w:rPr>
          <w:lang w:val="es-ES_tradnl"/>
        </w:rPr>
        <w:t xml:space="preserve"> relacionadas con el</w:t>
      </w:r>
      <w:r w:rsidR="00391C7E" w:rsidRPr="00CB6BB3">
        <w:rPr>
          <w:lang w:val="es-ES_tradnl"/>
        </w:rPr>
        <w:t xml:space="preserve"> género</w:t>
      </w:r>
      <w:r w:rsidRPr="00CB6BB3">
        <w:rPr>
          <w:lang w:val="es-ES_tradnl"/>
        </w:rPr>
        <w:t xml:space="preserve">. </w:t>
      </w:r>
      <w:r w:rsidR="00391C7E" w:rsidRPr="00CB6BB3">
        <w:rPr>
          <w:lang w:val="es-ES_tradnl"/>
        </w:rPr>
        <w:t xml:space="preserve">Si bien la </w:t>
      </w:r>
      <w:r w:rsidR="000E272E" w:rsidRPr="00CB6BB3">
        <w:rPr>
          <w:lang w:val="es-ES_tradnl"/>
        </w:rPr>
        <w:t>disparidad de los</w:t>
      </w:r>
      <w:r w:rsidR="00391C7E" w:rsidRPr="00CB6BB3">
        <w:rPr>
          <w:lang w:val="es-ES_tradnl"/>
        </w:rPr>
        <w:t xml:space="preserve"> ingresos entre las personas de uno y otro sexo no es tan </w:t>
      </w:r>
      <w:r w:rsidR="00F95B99" w:rsidRPr="00CB6BB3">
        <w:rPr>
          <w:lang w:val="es-ES_tradnl"/>
        </w:rPr>
        <w:t>importante</w:t>
      </w:r>
      <w:r w:rsidR="00391C7E" w:rsidRPr="00CB6BB3">
        <w:rPr>
          <w:lang w:val="es-ES_tradnl"/>
        </w:rPr>
        <w:t xml:space="preserve"> como en el sector privado</w:t>
      </w:r>
      <w:r w:rsidRPr="00CB6BB3">
        <w:rPr>
          <w:lang w:val="es-ES_tradnl"/>
        </w:rPr>
        <w:t xml:space="preserve">, </w:t>
      </w:r>
      <w:r w:rsidR="00391C7E" w:rsidRPr="00CB6BB3">
        <w:rPr>
          <w:lang w:val="es-ES_tradnl"/>
        </w:rPr>
        <w:t>sigue siendo del 16</w:t>
      </w:r>
      <w:r w:rsidR="00B34FFF">
        <w:rPr>
          <w:lang w:val="es-ES_tradnl"/>
        </w:rPr>
        <w:t>%</w:t>
      </w:r>
      <w:r w:rsidRPr="00CB6BB3">
        <w:rPr>
          <w:lang w:val="es-ES_tradnl"/>
        </w:rPr>
        <w:t xml:space="preserve">. </w:t>
      </w:r>
      <w:r w:rsidR="0021194C" w:rsidRPr="00CB6BB3">
        <w:rPr>
          <w:lang w:val="es-ES_tradnl"/>
        </w:rPr>
        <w:t>La indemnización por acoso (sexual) ha sido incrementada a 1.000 euros</w:t>
      </w:r>
      <w:r w:rsidRPr="00CB6BB3">
        <w:rPr>
          <w:lang w:val="es-ES_tradnl"/>
        </w:rPr>
        <w:t>.</w:t>
      </w:r>
    </w:p>
    <w:p w:rsidR="005E49B6" w:rsidRPr="00CB6BB3" w:rsidRDefault="005E49B6" w:rsidP="005C668E">
      <w:pPr>
        <w:pStyle w:val="SingleTxtG"/>
        <w:rPr>
          <w:lang w:val="es-ES_tradnl"/>
        </w:rPr>
      </w:pPr>
      <w:r w:rsidRPr="00CB6BB3">
        <w:rPr>
          <w:lang w:val="es-ES_tradnl"/>
        </w:rPr>
        <w:t>12.</w:t>
      </w:r>
      <w:r w:rsidRPr="00CB6BB3">
        <w:rPr>
          <w:lang w:val="es-ES_tradnl"/>
        </w:rPr>
        <w:tab/>
      </w:r>
      <w:r w:rsidR="00F95B99" w:rsidRPr="00CB6BB3">
        <w:rPr>
          <w:lang w:val="es-ES_tradnl"/>
        </w:rPr>
        <w:t>La experiencia</w:t>
      </w:r>
      <w:r w:rsidR="0021194C" w:rsidRPr="00CB6BB3">
        <w:rPr>
          <w:lang w:val="es-ES_tradnl"/>
        </w:rPr>
        <w:t xml:space="preserve"> adquirida en</w:t>
      </w:r>
      <w:r w:rsidR="00F95B99" w:rsidRPr="00CB6BB3">
        <w:rPr>
          <w:lang w:val="es-ES_tradnl"/>
        </w:rPr>
        <w:t xml:space="preserve"> la práctica en cuanto a</w:t>
      </w:r>
      <w:r w:rsidR="0021194C" w:rsidRPr="00CB6BB3">
        <w:rPr>
          <w:lang w:val="es-ES_tradnl"/>
        </w:rPr>
        <w:t xml:space="preserve"> la aplicación de la legislación sobre igualda</w:t>
      </w:r>
      <w:r w:rsidR="00F95B99" w:rsidRPr="00CB6BB3">
        <w:rPr>
          <w:lang w:val="es-ES_tradnl"/>
        </w:rPr>
        <w:t>d de trato, así como la qu</w:t>
      </w:r>
      <w:r w:rsidR="0021194C" w:rsidRPr="00CB6BB3">
        <w:rPr>
          <w:lang w:val="es-ES_tradnl"/>
        </w:rPr>
        <w:t xml:space="preserve">e </w:t>
      </w:r>
      <w:r w:rsidR="00F95B99" w:rsidRPr="00CB6BB3">
        <w:rPr>
          <w:lang w:val="es-ES_tradnl"/>
        </w:rPr>
        <w:t xml:space="preserve">han ido ganando </w:t>
      </w:r>
      <w:r w:rsidR="0021194C" w:rsidRPr="00CB6BB3">
        <w:rPr>
          <w:lang w:val="es-ES_tradnl"/>
        </w:rPr>
        <w:t>los órganos representan</w:t>
      </w:r>
      <w:r w:rsidR="00F95B99" w:rsidRPr="00CB6BB3">
        <w:rPr>
          <w:lang w:val="es-ES_tradnl"/>
        </w:rPr>
        <w:t>tes de</w:t>
      </w:r>
      <w:r w:rsidR="0021194C" w:rsidRPr="00CB6BB3">
        <w:rPr>
          <w:lang w:val="es-ES_tradnl"/>
        </w:rPr>
        <w:t xml:space="preserve"> intereses, constituye</w:t>
      </w:r>
      <w:r w:rsidR="007B637B">
        <w:rPr>
          <w:lang w:val="es-ES_tradnl"/>
        </w:rPr>
        <w:t>n</w:t>
      </w:r>
      <w:r w:rsidR="00D56427" w:rsidRPr="00CB6BB3">
        <w:rPr>
          <w:lang w:val="es-ES_tradnl"/>
        </w:rPr>
        <w:t xml:space="preserve"> la base </w:t>
      </w:r>
      <w:r w:rsidR="0021194C" w:rsidRPr="00CB6BB3">
        <w:rPr>
          <w:lang w:val="es-ES_tradnl"/>
        </w:rPr>
        <w:t>de un proceso continuo de evaluación</w:t>
      </w:r>
      <w:r w:rsidRPr="00CB6BB3">
        <w:rPr>
          <w:lang w:val="es-ES_tradnl"/>
        </w:rPr>
        <w:t xml:space="preserve">. </w:t>
      </w:r>
      <w:r w:rsidR="00D56427" w:rsidRPr="00CB6BB3">
        <w:rPr>
          <w:lang w:val="es-ES_tradnl"/>
        </w:rPr>
        <w:t>E</w:t>
      </w:r>
      <w:r w:rsidR="00F95B99" w:rsidRPr="00CB6BB3">
        <w:rPr>
          <w:lang w:val="es-ES_tradnl"/>
        </w:rPr>
        <w:t>n e</w:t>
      </w:r>
      <w:r w:rsidR="00D56427" w:rsidRPr="00CB6BB3">
        <w:rPr>
          <w:lang w:val="es-ES_tradnl"/>
        </w:rPr>
        <w:t xml:space="preserve">llo </w:t>
      </w:r>
      <w:r w:rsidR="00F95B99" w:rsidRPr="00CB6BB3">
        <w:rPr>
          <w:lang w:val="es-ES_tradnl"/>
        </w:rPr>
        <w:t>se enmarca</w:t>
      </w:r>
      <w:r w:rsidR="00D56427" w:rsidRPr="00CB6BB3">
        <w:rPr>
          <w:lang w:val="es-ES_tradnl"/>
        </w:rPr>
        <w:t xml:space="preserve"> el informe sobre la aplicación de la Ley </w:t>
      </w:r>
      <w:r w:rsidR="006E58AD">
        <w:rPr>
          <w:lang w:val="es-ES_tradnl"/>
        </w:rPr>
        <w:t xml:space="preserve">de </w:t>
      </w:r>
      <w:r w:rsidR="00D56427" w:rsidRPr="00CB6BB3">
        <w:rPr>
          <w:lang w:val="es-ES_tradnl"/>
        </w:rPr>
        <w:t xml:space="preserve">igualdad de trato </w:t>
      </w:r>
      <w:r w:rsidRPr="00CB6BB3">
        <w:rPr>
          <w:lang w:val="es-ES_tradnl"/>
        </w:rPr>
        <w:t>(</w:t>
      </w:r>
      <w:r w:rsidR="00D56427" w:rsidRPr="00CB6BB3">
        <w:rPr>
          <w:lang w:val="es-ES_tradnl"/>
        </w:rPr>
        <w:t>el Informe sobre igualdad de trato en el sector privado) que se somete a consideración del Parlamento cada dos años</w:t>
      </w:r>
      <w:r w:rsidRPr="00CB6BB3">
        <w:rPr>
          <w:lang w:val="es-ES_tradnl"/>
        </w:rPr>
        <w:t xml:space="preserve">. </w:t>
      </w:r>
      <w:r w:rsidR="00D56427" w:rsidRPr="00CB6BB3">
        <w:rPr>
          <w:lang w:val="es-ES_tradnl"/>
        </w:rPr>
        <w:t xml:space="preserve">El último de estos informes data de </w:t>
      </w:r>
      <w:r w:rsidRPr="00CB6BB3">
        <w:rPr>
          <w:lang w:val="es-ES_tradnl"/>
        </w:rPr>
        <w:t>2010</w:t>
      </w:r>
      <w:r w:rsidRPr="00CB6BB3">
        <w:rPr>
          <w:rStyle w:val="FootnoteReference"/>
          <w:lang w:val="es-ES_tradnl"/>
        </w:rPr>
        <w:footnoteReference w:id="7"/>
      </w:r>
      <w:r w:rsidR="00D56427" w:rsidRPr="00CB6BB3">
        <w:rPr>
          <w:lang w:val="es-ES_tradnl"/>
        </w:rPr>
        <w:t>.</w:t>
      </w:r>
      <w:r w:rsidRPr="00CB6BB3">
        <w:rPr>
          <w:lang w:val="es-ES_tradnl"/>
        </w:rPr>
        <w:t xml:space="preserve"> </w:t>
      </w:r>
      <w:r w:rsidR="00D56427" w:rsidRPr="00CB6BB3">
        <w:rPr>
          <w:lang w:val="es-ES_tradnl"/>
        </w:rPr>
        <w:t>En el último Informe sobre igualdad de género en la administración pública</w:t>
      </w:r>
      <w:r w:rsidRPr="00CB6BB3">
        <w:rPr>
          <w:lang w:val="es-ES_tradnl"/>
        </w:rPr>
        <w:t xml:space="preserve"> (2010)</w:t>
      </w:r>
      <w:r w:rsidRPr="00CB6BB3">
        <w:rPr>
          <w:rStyle w:val="FootnoteReference"/>
          <w:lang w:val="es-ES_tradnl"/>
        </w:rPr>
        <w:footnoteReference w:id="8"/>
      </w:r>
      <w:r w:rsidRPr="00CB6BB3">
        <w:rPr>
          <w:lang w:val="es-ES_tradnl"/>
        </w:rPr>
        <w:t xml:space="preserve"> </w:t>
      </w:r>
      <w:r w:rsidR="00D56427" w:rsidRPr="00CB6BB3">
        <w:rPr>
          <w:lang w:val="es-ES_tradnl"/>
        </w:rPr>
        <w:t xml:space="preserve">por primera vez se indican diferencias de ingresos </w:t>
      </w:r>
      <w:r w:rsidR="000E272E" w:rsidRPr="00CB6BB3">
        <w:rPr>
          <w:lang w:val="es-ES_tradnl"/>
        </w:rPr>
        <w:t>relacionadas con el</w:t>
      </w:r>
      <w:r w:rsidR="00D56427" w:rsidRPr="00CB6BB3">
        <w:rPr>
          <w:lang w:val="es-ES_tradnl"/>
        </w:rPr>
        <w:t xml:space="preserve"> género</w:t>
      </w:r>
      <w:r w:rsidRPr="00CB6BB3">
        <w:rPr>
          <w:lang w:val="es-ES_tradnl"/>
        </w:rPr>
        <w:t>.</w:t>
      </w:r>
    </w:p>
    <w:p w:rsidR="005E49B6" w:rsidRPr="00CB6BB3" w:rsidRDefault="00D56427" w:rsidP="005C668E">
      <w:pPr>
        <w:pStyle w:val="SingleTxtG"/>
        <w:rPr>
          <w:lang w:val="es-ES_tradnl"/>
        </w:rPr>
      </w:pPr>
      <w:r w:rsidRPr="00CB6BB3">
        <w:rPr>
          <w:lang w:val="es-ES_tradnl"/>
        </w:rPr>
        <w:t>13.</w:t>
      </w:r>
      <w:r w:rsidRPr="00CB6BB3">
        <w:rPr>
          <w:lang w:val="es-ES_tradnl"/>
        </w:rPr>
        <w:tab/>
      </w:r>
      <w:r w:rsidRPr="005C668E">
        <w:rPr>
          <w:lang w:val="es-ES_tradnl"/>
        </w:rPr>
        <w:t>En</w:t>
      </w:r>
      <w:r w:rsidRPr="00CB6BB3">
        <w:rPr>
          <w:lang w:val="es-ES_tradnl"/>
        </w:rPr>
        <w:t xml:space="preserve"> el período comprendido entre 2008 y</w:t>
      </w:r>
      <w:r w:rsidR="005E49B6" w:rsidRPr="00CB6BB3">
        <w:rPr>
          <w:lang w:val="es-ES_tradnl"/>
        </w:rPr>
        <w:t xml:space="preserve"> 2009, </w:t>
      </w:r>
      <w:r w:rsidRPr="00CB6BB3">
        <w:rPr>
          <w:lang w:val="es-ES_tradnl"/>
        </w:rPr>
        <w:t>el Ombudsman para la Igualdad de Trato tramitó un total de 6.</w:t>
      </w:r>
      <w:r w:rsidR="005E49B6" w:rsidRPr="00CB6BB3">
        <w:rPr>
          <w:lang w:val="es-ES_tradnl"/>
        </w:rPr>
        <w:t xml:space="preserve">612 </w:t>
      </w:r>
      <w:r w:rsidR="000E272E" w:rsidRPr="00CB6BB3">
        <w:rPr>
          <w:lang w:val="es-ES_tradnl"/>
        </w:rPr>
        <w:t>pedidos de información</w:t>
      </w:r>
      <w:r w:rsidRPr="00CB6BB3">
        <w:rPr>
          <w:lang w:val="es-ES_tradnl"/>
        </w:rPr>
        <w:t xml:space="preserve"> y consultas en casos de discriminación </w:t>
      </w:r>
      <w:r w:rsidR="000E272E" w:rsidRPr="00CB6BB3">
        <w:rPr>
          <w:lang w:val="es-ES_tradnl"/>
        </w:rPr>
        <w:t>laboral por causas relacionadas con el género, y 370 por casos de discriminación relacionada con el género</w:t>
      </w:r>
      <w:r w:rsidR="005E49B6" w:rsidRPr="00CB6BB3">
        <w:rPr>
          <w:lang w:val="es-ES_tradnl"/>
        </w:rPr>
        <w:t xml:space="preserve"> </w:t>
      </w:r>
      <w:r w:rsidR="000E272E" w:rsidRPr="00CB6BB3">
        <w:rPr>
          <w:lang w:val="es-ES_tradnl"/>
        </w:rPr>
        <w:t>en el área de bienes y servicios</w:t>
      </w:r>
      <w:r w:rsidR="005E49B6" w:rsidRPr="00CB6BB3">
        <w:rPr>
          <w:lang w:val="es-ES_tradnl"/>
        </w:rPr>
        <w:t xml:space="preserve">. </w:t>
      </w:r>
      <w:r w:rsidR="000E272E" w:rsidRPr="00CB6BB3">
        <w:rPr>
          <w:lang w:val="es-ES_tradnl"/>
        </w:rPr>
        <w:t xml:space="preserve">Bajo el título de </w:t>
      </w:r>
      <w:r w:rsidR="00C70626">
        <w:rPr>
          <w:lang w:val="es-ES_tradnl"/>
        </w:rPr>
        <w:t>"</w:t>
      </w:r>
      <w:r w:rsidR="000E272E" w:rsidRPr="00CB6BB3">
        <w:rPr>
          <w:lang w:val="es-ES_tradnl"/>
        </w:rPr>
        <w:t>el caso del mes</w:t>
      </w:r>
      <w:r w:rsidR="00C70626">
        <w:rPr>
          <w:lang w:val="es-ES_tradnl"/>
        </w:rPr>
        <w:t>"</w:t>
      </w:r>
      <w:r w:rsidR="000E272E" w:rsidRPr="00CB6BB3">
        <w:rPr>
          <w:lang w:val="es-ES_tradnl"/>
        </w:rPr>
        <w:t>, el</w:t>
      </w:r>
      <w:r w:rsidR="005E49B6" w:rsidRPr="00CB6BB3">
        <w:rPr>
          <w:lang w:val="es-ES_tradnl"/>
        </w:rPr>
        <w:t xml:space="preserve"> Ombud</w:t>
      </w:r>
      <w:r w:rsidR="000E272E" w:rsidRPr="00CB6BB3">
        <w:rPr>
          <w:lang w:val="es-ES_tradnl"/>
        </w:rPr>
        <w:t>sman</w:t>
      </w:r>
      <w:r w:rsidR="005E49B6" w:rsidRPr="00CB6BB3">
        <w:rPr>
          <w:lang w:val="es-ES_tradnl"/>
        </w:rPr>
        <w:t xml:space="preserve"> </w:t>
      </w:r>
      <w:r w:rsidR="000E272E" w:rsidRPr="00CB6BB3">
        <w:rPr>
          <w:lang w:val="es-ES_tradnl"/>
        </w:rPr>
        <w:t>publica en su informe sobre las actividades, su boletín electrónico y su página web, estudios de casos anónimos</w:t>
      </w:r>
      <w:r w:rsidR="005E49B6" w:rsidRPr="00CB6BB3">
        <w:rPr>
          <w:lang w:val="es-ES_tradnl"/>
        </w:rPr>
        <w:t xml:space="preserve">. </w:t>
      </w:r>
      <w:r w:rsidR="00456E3E" w:rsidRPr="00CB6BB3">
        <w:rPr>
          <w:lang w:val="es-ES_tradnl"/>
        </w:rPr>
        <w:t xml:space="preserve">Para garantizar la transparencia, las opiniones de los expertos y el resultado de los estudios de casos individuales de todas las juntas de la Comisión de </w:t>
      </w:r>
      <w:r w:rsidR="00E71F52" w:rsidRPr="00CB6BB3">
        <w:rPr>
          <w:lang w:val="es-ES_tradnl"/>
        </w:rPr>
        <w:t xml:space="preserve">Igualdad </w:t>
      </w:r>
      <w:r w:rsidR="00456E3E" w:rsidRPr="00CB6BB3">
        <w:rPr>
          <w:lang w:val="es-ES_tradnl"/>
        </w:rPr>
        <w:t xml:space="preserve">de </w:t>
      </w:r>
      <w:r w:rsidR="00E71F52" w:rsidRPr="00CB6BB3">
        <w:rPr>
          <w:lang w:val="es-ES_tradnl"/>
        </w:rPr>
        <w:t xml:space="preserve">Trato </w:t>
      </w:r>
      <w:r w:rsidR="00456E3E" w:rsidRPr="00CB6BB3">
        <w:rPr>
          <w:lang w:val="es-ES_tradnl"/>
        </w:rPr>
        <w:t xml:space="preserve">y de la Comisión </w:t>
      </w:r>
      <w:r w:rsidR="00E71F52" w:rsidRPr="00CB6BB3">
        <w:rPr>
          <w:lang w:val="es-ES_tradnl"/>
        </w:rPr>
        <w:t xml:space="preserve">Federal </w:t>
      </w:r>
      <w:r w:rsidR="00456E3E" w:rsidRPr="00CB6BB3">
        <w:rPr>
          <w:lang w:val="es-ES_tradnl"/>
        </w:rPr>
        <w:t xml:space="preserve">para la </w:t>
      </w:r>
      <w:r w:rsidR="00E71F52" w:rsidRPr="00CB6BB3">
        <w:rPr>
          <w:lang w:val="es-ES_tradnl"/>
        </w:rPr>
        <w:t xml:space="preserve">Igualdad </w:t>
      </w:r>
      <w:r w:rsidR="00456E3E" w:rsidRPr="00CB6BB3">
        <w:rPr>
          <w:lang w:val="es-ES_tradnl"/>
        </w:rPr>
        <w:t xml:space="preserve">de </w:t>
      </w:r>
      <w:r w:rsidR="00E71F52" w:rsidRPr="00CB6BB3">
        <w:rPr>
          <w:lang w:val="es-ES_tradnl"/>
        </w:rPr>
        <w:t xml:space="preserve">Trato </w:t>
      </w:r>
      <w:r w:rsidR="00456E3E" w:rsidRPr="00CB6BB3">
        <w:rPr>
          <w:lang w:val="es-ES_tradnl"/>
        </w:rPr>
        <w:t>s</w:t>
      </w:r>
      <w:r w:rsidR="00F95B99" w:rsidRPr="00CB6BB3">
        <w:rPr>
          <w:lang w:val="es-ES_tradnl"/>
        </w:rPr>
        <w:t xml:space="preserve">e difunden de forma </w:t>
      </w:r>
      <w:r w:rsidR="00456E3E" w:rsidRPr="00CB6BB3">
        <w:rPr>
          <w:lang w:val="es-ES_tradnl"/>
        </w:rPr>
        <w:t>anónim</w:t>
      </w:r>
      <w:r w:rsidR="00F95B99" w:rsidRPr="00CB6BB3">
        <w:rPr>
          <w:lang w:val="es-ES_tradnl"/>
        </w:rPr>
        <w:t>a</w:t>
      </w:r>
      <w:r w:rsidR="00456E3E" w:rsidRPr="00CB6BB3">
        <w:rPr>
          <w:lang w:val="es-ES_tradnl"/>
        </w:rPr>
        <w:t xml:space="preserve"> y posteriormente se publican en el sitio web de la Cancillería y en el Sistema de Información Jurídica del Gobierno Federal</w:t>
      </w:r>
      <w:r w:rsidR="005E49B6" w:rsidRPr="00CB6BB3">
        <w:rPr>
          <w:lang w:val="es-ES_tradnl"/>
        </w:rPr>
        <w:t xml:space="preserve">. </w:t>
      </w:r>
      <w:r w:rsidR="00D77D67" w:rsidRPr="00CB6BB3">
        <w:rPr>
          <w:lang w:val="es-ES_tradnl"/>
        </w:rPr>
        <w:t>Si la sentencia de un tribunal no concuerda con las conclusiones de la Comisión</w:t>
      </w:r>
      <w:r w:rsidR="00F95B99" w:rsidRPr="00CB6BB3">
        <w:rPr>
          <w:lang w:val="es-ES_tradnl"/>
        </w:rPr>
        <w:t xml:space="preserve"> de </w:t>
      </w:r>
      <w:r w:rsidR="00412151" w:rsidRPr="00CB6BB3">
        <w:rPr>
          <w:lang w:val="es-ES_tradnl"/>
        </w:rPr>
        <w:t xml:space="preserve">Igualdad </w:t>
      </w:r>
      <w:r w:rsidR="00F95B99" w:rsidRPr="00CB6BB3">
        <w:rPr>
          <w:lang w:val="es-ES_tradnl"/>
        </w:rPr>
        <w:t xml:space="preserve">de </w:t>
      </w:r>
      <w:r w:rsidR="00412151" w:rsidRPr="00CB6BB3">
        <w:rPr>
          <w:lang w:val="es-ES_tradnl"/>
        </w:rPr>
        <w:t>Trato</w:t>
      </w:r>
      <w:r w:rsidR="00F95B99" w:rsidRPr="00CB6BB3">
        <w:rPr>
          <w:lang w:val="es-ES_tradnl"/>
        </w:rPr>
        <w:t>, deberá estar</w:t>
      </w:r>
      <w:r w:rsidR="00D77D67" w:rsidRPr="00CB6BB3">
        <w:rPr>
          <w:lang w:val="es-ES_tradnl"/>
        </w:rPr>
        <w:t xml:space="preserve"> fundamenta</w:t>
      </w:r>
      <w:r w:rsidR="00F95B99" w:rsidRPr="00CB6BB3">
        <w:rPr>
          <w:lang w:val="es-ES_tradnl"/>
        </w:rPr>
        <w:t>da</w:t>
      </w:r>
      <w:r w:rsidR="005E49B6" w:rsidRPr="00CB6BB3">
        <w:rPr>
          <w:lang w:val="es-ES_tradnl"/>
        </w:rPr>
        <w:t>.</w:t>
      </w:r>
    </w:p>
    <w:p w:rsidR="005E49B6" w:rsidRPr="00CB6BB3" w:rsidRDefault="005E49B6" w:rsidP="005C668E">
      <w:pPr>
        <w:pStyle w:val="SingleTxtG"/>
        <w:rPr>
          <w:lang w:val="es-ES_tradnl"/>
        </w:rPr>
      </w:pPr>
      <w:r w:rsidRPr="00CB6BB3">
        <w:rPr>
          <w:lang w:val="es-ES_tradnl"/>
        </w:rPr>
        <w:t>14.</w:t>
      </w:r>
      <w:r w:rsidRPr="00CB6BB3">
        <w:rPr>
          <w:lang w:val="es-ES_tradnl"/>
        </w:rPr>
        <w:tab/>
      </w:r>
      <w:r w:rsidR="00D77D67" w:rsidRPr="00CB6BB3">
        <w:rPr>
          <w:lang w:val="es-ES_tradnl"/>
        </w:rPr>
        <w:t xml:space="preserve">El grupo </w:t>
      </w:r>
      <w:r w:rsidR="00F95B99" w:rsidRPr="00CB6BB3">
        <w:rPr>
          <w:lang w:val="es-ES_tradnl"/>
        </w:rPr>
        <w:t xml:space="preserve">de trabajo </w:t>
      </w:r>
      <w:r w:rsidR="00D77D67" w:rsidRPr="00CB6BB3">
        <w:rPr>
          <w:lang w:val="es-ES_tradnl"/>
        </w:rPr>
        <w:t>interministerial sobre igualdad de trato asesora al Gobierno F</w:t>
      </w:r>
      <w:r w:rsidRPr="00CB6BB3">
        <w:rPr>
          <w:lang w:val="es-ES_tradnl"/>
        </w:rPr>
        <w:t>ederal</w:t>
      </w:r>
      <w:r w:rsidR="00D77D67" w:rsidRPr="00CB6BB3">
        <w:rPr>
          <w:lang w:val="es-ES_tradnl"/>
        </w:rPr>
        <w:t xml:space="preserve"> so</w:t>
      </w:r>
      <w:r w:rsidR="00F95B99" w:rsidRPr="00CB6BB3">
        <w:rPr>
          <w:lang w:val="es-ES_tradnl"/>
        </w:rPr>
        <w:t>bre todos los asuntos en</w:t>
      </w:r>
      <w:r w:rsidR="00D77D67" w:rsidRPr="00CB6BB3">
        <w:rPr>
          <w:lang w:val="es-ES_tradnl"/>
        </w:rPr>
        <w:t xml:space="preserve"> esta materia y </w:t>
      </w:r>
      <w:r w:rsidR="00F95B99" w:rsidRPr="00CB6BB3">
        <w:rPr>
          <w:lang w:val="es-ES_tradnl"/>
        </w:rPr>
        <w:t xml:space="preserve">sobre el </w:t>
      </w:r>
      <w:r w:rsidR="00F47A61" w:rsidRPr="00CB6BB3">
        <w:rPr>
          <w:lang w:val="es-ES_tradnl"/>
        </w:rPr>
        <w:t xml:space="preserve">adelanto </w:t>
      </w:r>
      <w:r w:rsidR="00D77D67" w:rsidRPr="00CB6BB3">
        <w:rPr>
          <w:lang w:val="es-ES_tradnl"/>
        </w:rPr>
        <w:t>de la mujer</w:t>
      </w:r>
      <w:r w:rsidRPr="00CB6BB3">
        <w:rPr>
          <w:lang w:val="es-ES_tradnl"/>
        </w:rPr>
        <w:t>.</w:t>
      </w:r>
    </w:p>
    <w:p w:rsidR="005E49B6" w:rsidRPr="00CB6BB3" w:rsidRDefault="005E49B6" w:rsidP="005C668E">
      <w:pPr>
        <w:pStyle w:val="H1G"/>
        <w:rPr>
          <w:lang w:val="es-ES_tradnl"/>
        </w:rPr>
      </w:pPr>
      <w:r w:rsidRPr="00CB6BB3">
        <w:rPr>
          <w:lang w:val="es-ES_tradnl"/>
        </w:rPr>
        <w:tab/>
      </w:r>
      <w:r w:rsidRPr="00CB6BB3">
        <w:rPr>
          <w:lang w:val="es-ES_tradnl"/>
        </w:rPr>
        <w:tab/>
        <w:t>Resp</w:t>
      </w:r>
      <w:r w:rsidR="00EF10B3" w:rsidRPr="00CB6BB3">
        <w:rPr>
          <w:lang w:val="es-ES_tradnl"/>
        </w:rPr>
        <w:t xml:space="preserve">uesta a las observaciones finales de los párrafos </w:t>
      </w:r>
      <w:r w:rsidRPr="00CB6BB3">
        <w:rPr>
          <w:lang w:val="es-ES_tradnl"/>
        </w:rPr>
        <w:t xml:space="preserve">13 </w:t>
      </w:r>
      <w:r w:rsidR="00EF10B3" w:rsidRPr="00CB6BB3">
        <w:rPr>
          <w:lang w:val="es-ES_tradnl"/>
        </w:rPr>
        <w:t>y</w:t>
      </w:r>
      <w:r w:rsidRPr="00CB6BB3">
        <w:rPr>
          <w:lang w:val="es-ES_tradnl"/>
        </w:rPr>
        <w:t xml:space="preserve"> 14</w:t>
      </w:r>
      <w:r w:rsidR="005C668E">
        <w:rPr>
          <w:lang w:val="es-ES_tradnl"/>
        </w:rPr>
        <w:t xml:space="preserve"> </w:t>
      </w:r>
      <w:r w:rsidRPr="00CB6BB3">
        <w:rPr>
          <w:lang w:val="es-ES_tradnl"/>
        </w:rPr>
        <w:br/>
        <w:t>Continui</w:t>
      </w:r>
      <w:r w:rsidR="00EF10B3" w:rsidRPr="00CB6BB3">
        <w:rPr>
          <w:lang w:val="es-ES_tradnl"/>
        </w:rPr>
        <w:t>dad de las políticas de igualdad de g</w:t>
      </w:r>
      <w:r w:rsidR="00A82219" w:rsidRPr="00CB6BB3">
        <w:rPr>
          <w:lang w:val="es-ES_tradnl"/>
        </w:rPr>
        <w:t>énero y</w:t>
      </w:r>
      <w:r w:rsidR="00EF10B3" w:rsidRPr="00CB6BB3">
        <w:rPr>
          <w:lang w:val="es-ES_tradnl"/>
        </w:rPr>
        <w:t xml:space="preserve"> </w:t>
      </w:r>
      <w:r w:rsidR="00A82219" w:rsidRPr="00CB6BB3">
        <w:rPr>
          <w:lang w:val="es-ES_tradnl"/>
        </w:rPr>
        <w:t xml:space="preserve">los </w:t>
      </w:r>
      <w:r w:rsidR="00EF10B3" w:rsidRPr="00CB6BB3">
        <w:rPr>
          <w:lang w:val="es-ES_tradnl"/>
        </w:rPr>
        <w:t xml:space="preserve">planes </w:t>
      </w:r>
      <w:r w:rsidR="005C668E">
        <w:rPr>
          <w:lang w:val="es-ES_tradnl"/>
        </w:rPr>
        <w:br/>
      </w:r>
      <w:r w:rsidR="00EF10B3" w:rsidRPr="00CB6BB3">
        <w:rPr>
          <w:lang w:val="es-ES_tradnl"/>
        </w:rPr>
        <w:t>de acción nacional</w:t>
      </w:r>
    </w:p>
    <w:p w:rsidR="005E49B6" w:rsidRPr="005C668E" w:rsidRDefault="005E49B6" w:rsidP="005C668E">
      <w:pPr>
        <w:pStyle w:val="SingleTxtG"/>
      </w:pPr>
      <w:r w:rsidRPr="005C668E">
        <w:t>15.</w:t>
      </w:r>
      <w:r w:rsidRPr="005C668E">
        <w:tab/>
      </w:r>
      <w:r w:rsidR="00A82219" w:rsidRPr="005C668E">
        <w:t>D</w:t>
      </w:r>
      <w:r w:rsidR="00F47A61" w:rsidRPr="005C668E">
        <w:t>ada la</w:t>
      </w:r>
      <w:r w:rsidR="00A82219" w:rsidRPr="005C668E">
        <w:t xml:space="preserve"> impor</w:t>
      </w:r>
      <w:r w:rsidR="00F47A61" w:rsidRPr="005C668E">
        <w:t>tancia y la prioridad que Austria atribuye</w:t>
      </w:r>
      <w:r w:rsidR="00A82219" w:rsidRPr="005C668E">
        <w:t xml:space="preserve"> a las políticas relativas a la </w:t>
      </w:r>
      <w:r w:rsidR="00F47A61" w:rsidRPr="005C668E">
        <w:t>mujer y a la igualdad de género</w:t>
      </w:r>
      <w:r w:rsidR="00A82219" w:rsidRPr="005C668E">
        <w:t xml:space="preserve">, </w:t>
      </w:r>
      <w:r w:rsidR="007E1F95">
        <w:t xml:space="preserve">desde </w:t>
      </w:r>
      <w:r w:rsidR="00A82219" w:rsidRPr="005C668E">
        <w:t>1990</w:t>
      </w:r>
      <w:r w:rsidR="00D13245">
        <w:t xml:space="preserve"> </w:t>
      </w:r>
      <w:r w:rsidR="00F47A61" w:rsidRPr="005C668E">
        <w:t xml:space="preserve">se </w:t>
      </w:r>
      <w:r w:rsidR="007E1F95">
        <w:t xml:space="preserve">ha encomendado </w:t>
      </w:r>
      <w:r w:rsidR="00A82219" w:rsidRPr="005C668E">
        <w:t xml:space="preserve">la coordinación de las políticas sobre la mujer </w:t>
      </w:r>
      <w:r w:rsidR="00F47A61" w:rsidRPr="005C668E">
        <w:t>a</w:t>
      </w:r>
      <w:r w:rsidR="00A82219" w:rsidRPr="005C668E">
        <w:t xml:space="preserve"> miembros gubernamentales de rango ministerial</w:t>
      </w:r>
      <w:r w:rsidRPr="005C668E">
        <w:t xml:space="preserve">. </w:t>
      </w:r>
      <w:r w:rsidR="00A82219" w:rsidRPr="005C668E">
        <w:t>Desde 2007, el Ministerio</w:t>
      </w:r>
      <w:r w:rsidR="0064003A" w:rsidRPr="005C668E">
        <w:t xml:space="preserve"> de</w:t>
      </w:r>
      <w:r w:rsidR="00A82219" w:rsidRPr="005C668E">
        <w:t xml:space="preserve"> la Mujer v</w:t>
      </w:r>
      <w:r w:rsidR="00F47A61" w:rsidRPr="005C668E">
        <w:t>uelve a</w:t>
      </w:r>
      <w:r w:rsidR="00A82219" w:rsidRPr="005C668E">
        <w:t xml:space="preserve"> formar parte de la Cancillería Federal</w:t>
      </w:r>
      <w:r w:rsidRPr="005C668E">
        <w:t xml:space="preserve">. </w:t>
      </w:r>
      <w:r w:rsidR="00C125B4" w:rsidRPr="005C668E">
        <w:t xml:space="preserve">El presupuesto </w:t>
      </w:r>
      <w:r w:rsidR="00F47A61" w:rsidRPr="005C668E">
        <w:t>de que dispone este Mi</w:t>
      </w:r>
      <w:r w:rsidR="00C125B4" w:rsidRPr="005C668E">
        <w:t>nisterio</w:t>
      </w:r>
      <w:r w:rsidR="00F47A61" w:rsidRPr="005C668E">
        <w:t xml:space="preserve"> ha a</w:t>
      </w:r>
      <w:r w:rsidR="00C125B4" w:rsidRPr="005C668E">
        <w:t>umentado continuamente en el período al que se refiere el presente informe</w:t>
      </w:r>
      <w:r w:rsidR="00D03177" w:rsidRPr="005C668E">
        <w:t>,</w:t>
      </w:r>
      <w:r w:rsidR="00C125B4" w:rsidRPr="005C668E">
        <w:t xml:space="preserve"> por lo que </w:t>
      </w:r>
      <w:r w:rsidR="00F47A61" w:rsidRPr="005C668E">
        <w:t xml:space="preserve">se han podido ir aumentando los </w:t>
      </w:r>
      <w:r w:rsidR="00C125B4" w:rsidRPr="005C668E">
        <w:t>fondos para proyectos a gran escala de interés para la mujer</w:t>
      </w:r>
      <w:r w:rsidRPr="005C668E">
        <w:t xml:space="preserve">. </w:t>
      </w:r>
      <w:r w:rsidR="00D03177" w:rsidRPr="005C668E">
        <w:t>Los fondos pres</w:t>
      </w:r>
      <w:r w:rsidR="00E73310" w:rsidRPr="005C668E">
        <w:t>u</w:t>
      </w:r>
      <w:r w:rsidR="00D03177" w:rsidRPr="005C668E">
        <w:t>puestarios destinado</w:t>
      </w:r>
      <w:r w:rsidR="007E003C" w:rsidRPr="005C668E">
        <w:t>s</w:t>
      </w:r>
      <w:r w:rsidR="00D03177" w:rsidRPr="005C668E">
        <w:t xml:space="preserve"> a </w:t>
      </w:r>
      <w:r w:rsidR="00E73310" w:rsidRPr="005C668E">
        <w:t xml:space="preserve">tal fin </w:t>
      </w:r>
      <w:r w:rsidR="00F47A61" w:rsidRPr="005C668E">
        <w:t xml:space="preserve">se </w:t>
      </w:r>
      <w:r w:rsidR="00E73310" w:rsidRPr="005C668E">
        <w:t xml:space="preserve">han </w:t>
      </w:r>
      <w:r w:rsidR="00F47A61" w:rsidRPr="005C668E">
        <w:t>incrementado en</w:t>
      </w:r>
      <w:r w:rsidR="00E73310" w:rsidRPr="005C668E">
        <w:t xml:space="preserve"> más del 60</w:t>
      </w:r>
      <w:r w:rsidR="00B34FFF" w:rsidRPr="005C668E">
        <w:t>%</w:t>
      </w:r>
      <w:r w:rsidR="00E73310" w:rsidRPr="005C668E">
        <w:t xml:space="preserve"> desde</w:t>
      </w:r>
      <w:r w:rsidRPr="005C668E">
        <w:t xml:space="preserve"> 2004, </w:t>
      </w:r>
      <w:r w:rsidR="00E73310" w:rsidRPr="005C668E">
        <w:t>y en 2010 ascendían a 5.342.</w:t>
      </w:r>
      <w:r w:rsidRPr="005C668E">
        <w:t>000</w:t>
      </w:r>
      <w:r w:rsidR="00E73310" w:rsidRPr="005C668E">
        <w:t xml:space="preserve"> euros</w:t>
      </w:r>
      <w:r w:rsidRPr="005C668E">
        <w:t xml:space="preserve">. </w:t>
      </w:r>
      <w:r w:rsidR="00E73310" w:rsidRPr="005C668E">
        <w:t>Estos fondos representan una herramienta importante para conseguir</w:t>
      </w:r>
      <w:r w:rsidR="00F47A61" w:rsidRPr="005C668E">
        <w:t xml:space="preserve"> el objetivo de mejorar la situac</w:t>
      </w:r>
      <w:r w:rsidR="00E73310" w:rsidRPr="005C668E">
        <w:t xml:space="preserve">ión de las mujeres y las niñas en la sociedad. </w:t>
      </w:r>
      <w:r w:rsidR="00F47A61" w:rsidRPr="005C668E">
        <w:t xml:space="preserve">Se invierten en diversos grupos destinatarios y áreas, entre </w:t>
      </w:r>
      <w:r w:rsidR="000909D7" w:rsidRPr="005C668E">
        <w:t>el</w:t>
      </w:r>
      <w:r w:rsidR="00F47A61" w:rsidRPr="005C668E">
        <w:t>las</w:t>
      </w:r>
      <w:r w:rsidR="00E73310" w:rsidRPr="005C668E">
        <w:t xml:space="preserve">, orientación de mujeres y niñas, </w:t>
      </w:r>
      <w:r w:rsidRPr="005C668E">
        <w:t>cur</w:t>
      </w:r>
      <w:r w:rsidR="00E73310" w:rsidRPr="005C668E">
        <w:t>sos, protecció</w:t>
      </w:r>
      <w:r w:rsidRPr="005C668E">
        <w:t xml:space="preserve">n </w:t>
      </w:r>
      <w:r w:rsidR="00E73310" w:rsidRPr="005C668E">
        <w:t>contra la violencia y prevención de la violencia, planes para mujeres con necesidades especiales, mujeres migrantes</w:t>
      </w:r>
      <w:r w:rsidRPr="005C668E">
        <w:t>, etc.</w:t>
      </w:r>
    </w:p>
    <w:p w:rsidR="005E49B6" w:rsidRPr="005C668E" w:rsidRDefault="005E49B6" w:rsidP="005C668E">
      <w:pPr>
        <w:pStyle w:val="SingleTxtG"/>
      </w:pPr>
      <w:r w:rsidRPr="005C668E">
        <w:t>16.</w:t>
      </w:r>
      <w:r w:rsidRPr="005C668E">
        <w:tab/>
      </w:r>
      <w:r w:rsidR="00F47A61" w:rsidRPr="005C668E">
        <w:t>Como parte d</w:t>
      </w:r>
      <w:r w:rsidR="005A5626" w:rsidRPr="005C668E">
        <w:t>el Programa del Gobierno (2008</w:t>
      </w:r>
      <w:r w:rsidR="002879BD">
        <w:t>-</w:t>
      </w:r>
      <w:r w:rsidR="005A5626" w:rsidRPr="005C668E">
        <w:t>2013)</w:t>
      </w:r>
      <w:r w:rsidR="00F47A61" w:rsidRPr="005C668E">
        <w:t xml:space="preserve">, el Gobierno Federal decidió </w:t>
      </w:r>
      <w:r w:rsidR="005A5626" w:rsidRPr="005C668E">
        <w:t xml:space="preserve">resolver, junto con los interlocutores sociales, un </w:t>
      </w:r>
      <w:r w:rsidR="00C70626" w:rsidRPr="005C668E">
        <w:t>"</w:t>
      </w:r>
      <w:r w:rsidR="005A5626" w:rsidRPr="005C668E">
        <w:t>Plan de Acción Nacional</w:t>
      </w:r>
      <w:r w:rsidR="002522CD" w:rsidRPr="005C668E">
        <w:t xml:space="preserve"> por la Igualdad de Género en el Mercado de Trabajo</w:t>
      </w:r>
      <w:r w:rsidR="00C70626" w:rsidRPr="005C668E">
        <w:t>"</w:t>
      </w:r>
      <w:r w:rsidRPr="005C668E">
        <w:t xml:space="preserve"> (NAP)</w:t>
      </w:r>
      <w:r w:rsidR="00F47A61" w:rsidRPr="005C668E">
        <w:t>,</w:t>
      </w:r>
      <w:r w:rsidRPr="005C668E">
        <w:t xml:space="preserve"> </w:t>
      </w:r>
      <w:r w:rsidR="002522CD" w:rsidRPr="005C668E">
        <w:t>que permitiera eliminar la permanente situación de desventaja de la mujer</w:t>
      </w:r>
      <w:r w:rsidRPr="005C668E">
        <w:t>.</w:t>
      </w:r>
      <w:r w:rsidR="002522CD" w:rsidRPr="005C668E">
        <w:t xml:space="preserve"> En la formulación del NAP intervinieron todos los ministerios, los interlocutores sociales, expertos del mundo de la ciencia</w:t>
      </w:r>
      <w:r w:rsidRPr="005C668E">
        <w:t xml:space="preserve">, </w:t>
      </w:r>
      <w:r w:rsidR="002522CD" w:rsidRPr="005C668E">
        <w:t xml:space="preserve">la comunidad empresarial, la administración, políticos y ONG </w:t>
      </w:r>
      <w:r w:rsidRPr="005C668E">
        <w:t>(</w:t>
      </w:r>
      <w:r w:rsidR="002522CD" w:rsidRPr="005C668E">
        <w:t>véas</w:t>
      </w:r>
      <w:r w:rsidRPr="005C668E">
        <w:t xml:space="preserve">e </w:t>
      </w:r>
      <w:r w:rsidR="002522CD" w:rsidRPr="005C668E">
        <w:t>la respuesta a los párrafos</w:t>
      </w:r>
      <w:r w:rsidRPr="005C668E">
        <w:t xml:space="preserve"> 19 </w:t>
      </w:r>
      <w:r w:rsidR="002522CD" w:rsidRPr="005C668E">
        <w:t>y</w:t>
      </w:r>
      <w:r w:rsidRPr="005C668E">
        <w:t xml:space="preserve"> 20). </w:t>
      </w:r>
    </w:p>
    <w:p w:rsidR="005E49B6" w:rsidRPr="005C668E" w:rsidRDefault="005E49B6" w:rsidP="005C668E">
      <w:pPr>
        <w:pStyle w:val="SingleTxtG"/>
      </w:pPr>
      <w:r w:rsidRPr="005C668E">
        <w:t>17.</w:t>
      </w:r>
      <w:r w:rsidRPr="005C668E">
        <w:tab/>
      </w:r>
      <w:r w:rsidR="002C0AD3" w:rsidRPr="005C668E">
        <w:t xml:space="preserve">El 25 de mayo de 2009 el </w:t>
      </w:r>
      <w:r w:rsidR="00016296" w:rsidRPr="005C668E">
        <w:t xml:space="preserve">Consejo </w:t>
      </w:r>
      <w:r w:rsidR="002C0AD3" w:rsidRPr="005C668E">
        <w:t xml:space="preserve">de </w:t>
      </w:r>
      <w:r w:rsidR="00016296" w:rsidRPr="005C668E">
        <w:t xml:space="preserve">Ministros </w:t>
      </w:r>
      <w:r w:rsidR="002C0AD3" w:rsidRPr="005C668E">
        <w:t xml:space="preserve">aprobó el segundo </w:t>
      </w:r>
      <w:r w:rsidR="00C70626" w:rsidRPr="005C668E">
        <w:t>"</w:t>
      </w:r>
      <w:r w:rsidR="002C0AD3" w:rsidRPr="005C668E">
        <w:t>Plan de Acción Nacional contra la trata de seres humanos</w:t>
      </w:r>
      <w:r w:rsidR="00C70626" w:rsidRPr="005C668E">
        <w:t>"</w:t>
      </w:r>
      <w:r w:rsidRPr="005C668E">
        <w:t xml:space="preserve"> </w:t>
      </w:r>
      <w:r w:rsidR="002C0AD3" w:rsidRPr="005C668E">
        <w:t xml:space="preserve">(más detalles en la respuesta a los párrafos </w:t>
      </w:r>
      <w:r w:rsidRPr="005C668E">
        <w:t xml:space="preserve">25 </w:t>
      </w:r>
      <w:r w:rsidR="002C0AD3" w:rsidRPr="005C668E">
        <w:t>y</w:t>
      </w:r>
      <w:r w:rsidR="005C668E">
        <w:t> </w:t>
      </w:r>
      <w:r w:rsidRPr="005C668E">
        <w:t>26).</w:t>
      </w:r>
    </w:p>
    <w:p w:rsidR="005E49B6" w:rsidRPr="00CB6BB3" w:rsidRDefault="005E49B6" w:rsidP="005E49B6">
      <w:pPr>
        <w:pStyle w:val="SingleTxtG"/>
        <w:rPr>
          <w:lang w:val="es-ES_tradnl"/>
        </w:rPr>
      </w:pPr>
      <w:r w:rsidRPr="00CB6BB3">
        <w:rPr>
          <w:lang w:val="es-ES_tradnl"/>
        </w:rPr>
        <w:t>18.</w:t>
      </w:r>
      <w:r w:rsidRPr="00CB6BB3">
        <w:rPr>
          <w:lang w:val="es-ES_tradnl"/>
        </w:rPr>
        <w:tab/>
      </w:r>
      <w:r w:rsidR="008F7843" w:rsidRPr="00CB6BB3">
        <w:rPr>
          <w:lang w:val="es-ES_tradnl"/>
        </w:rPr>
        <w:t xml:space="preserve">El 25 de octubre de 2008 se sometió a consideración del Parlamento el </w:t>
      </w:r>
      <w:r w:rsidR="00C70626">
        <w:rPr>
          <w:lang w:val="es-ES_tradnl"/>
        </w:rPr>
        <w:t>"</w:t>
      </w:r>
      <w:r w:rsidR="008F7843" w:rsidRPr="00CB6BB3">
        <w:rPr>
          <w:lang w:val="es-ES_tradnl"/>
        </w:rPr>
        <w:t>Plan de Acción Nacional para la Prevención y Eliminación de la Mutilación Genital Femenina en</w:t>
      </w:r>
      <w:r w:rsidRPr="00CB6BB3">
        <w:rPr>
          <w:lang w:val="es-ES_tradnl"/>
        </w:rPr>
        <w:t xml:space="preserve"> Austria</w:t>
      </w:r>
      <w:r w:rsidR="00C70626">
        <w:rPr>
          <w:lang w:val="es-ES_tradnl"/>
        </w:rPr>
        <w:t>"</w:t>
      </w:r>
      <w:r w:rsidR="008F7843" w:rsidRPr="00CB6BB3">
        <w:rPr>
          <w:lang w:val="es-ES_tradnl"/>
        </w:rPr>
        <w:t xml:space="preserve"> </w:t>
      </w:r>
      <w:r w:rsidRPr="00CB6BB3">
        <w:rPr>
          <w:lang w:val="es-ES_tradnl"/>
        </w:rPr>
        <w:t>(</w:t>
      </w:r>
      <w:r w:rsidR="008F7843" w:rsidRPr="00CB6BB3">
        <w:rPr>
          <w:lang w:val="es-ES_tradnl"/>
        </w:rPr>
        <w:t>véase la</w:t>
      </w:r>
      <w:r w:rsidRPr="00CB6BB3">
        <w:rPr>
          <w:lang w:val="es-ES_tradnl"/>
        </w:rPr>
        <w:t xml:space="preserve"> resp</w:t>
      </w:r>
      <w:r w:rsidR="008F7843" w:rsidRPr="00CB6BB3">
        <w:rPr>
          <w:lang w:val="es-ES_tradnl"/>
        </w:rPr>
        <w:t xml:space="preserve">uesta a los párrafos </w:t>
      </w:r>
      <w:r w:rsidRPr="00CB6BB3">
        <w:rPr>
          <w:lang w:val="es-ES_tradnl"/>
        </w:rPr>
        <w:t xml:space="preserve">23 </w:t>
      </w:r>
      <w:r w:rsidR="008F7843" w:rsidRPr="00CB6BB3">
        <w:rPr>
          <w:lang w:val="es-ES_tradnl"/>
        </w:rPr>
        <w:t>y</w:t>
      </w:r>
      <w:r w:rsidRPr="00CB6BB3">
        <w:rPr>
          <w:lang w:val="es-ES_tradnl"/>
        </w:rPr>
        <w:t xml:space="preserve"> 24).</w:t>
      </w:r>
    </w:p>
    <w:p w:rsidR="005E49B6" w:rsidRPr="00CB6BB3" w:rsidRDefault="005E49B6" w:rsidP="005E49B6">
      <w:pPr>
        <w:pStyle w:val="SingleTxtG"/>
        <w:rPr>
          <w:lang w:val="es-ES_tradnl"/>
        </w:rPr>
      </w:pPr>
      <w:r w:rsidRPr="00CB6BB3">
        <w:rPr>
          <w:lang w:val="es-ES_tradnl"/>
        </w:rPr>
        <w:t>19.</w:t>
      </w:r>
      <w:r w:rsidRPr="00CB6BB3">
        <w:rPr>
          <w:lang w:val="es-ES_tradnl"/>
        </w:rPr>
        <w:tab/>
      </w:r>
      <w:r w:rsidR="00330A0F" w:rsidRPr="00CB6BB3">
        <w:rPr>
          <w:lang w:val="es-ES_tradnl"/>
        </w:rPr>
        <w:t xml:space="preserve">En agosto de 2007 se adoptó el </w:t>
      </w:r>
      <w:r w:rsidR="00C70626">
        <w:rPr>
          <w:lang w:val="es-ES_tradnl"/>
        </w:rPr>
        <w:t>"</w:t>
      </w:r>
      <w:r w:rsidR="00330A0F" w:rsidRPr="00CB6BB3">
        <w:rPr>
          <w:lang w:val="es-ES_tradnl"/>
        </w:rPr>
        <w:t>Plan de Acción Nac</w:t>
      </w:r>
      <w:r w:rsidRPr="00CB6BB3">
        <w:rPr>
          <w:lang w:val="es-ES_tradnl"/>
        </w:rPr>
        <w:t xml:space="preserve">ional </w:t>
      </w:r>
      <w:r w:rsidR="00330A0F" w:rsidRPr="00CB6BB3">
        <w:rPr>
          <w:lang w:val="es-ES_tradnl"/>
        </w:rPr>
        <w:t xml:space="preserve">para la Aplicación de la </w:t>
      </w:r>
      <w:r w:rsidR="004A5545" w:rsidRPr="00CB6BB3">
        <w:rPr>
          <w:lang w:val="es-ES_tradnl"/>
        </w:rPr>
        <w:t xml:space="preserve">resolución </w:t>
      </w:r>
      <w:r w:rsidR="00330A0F" w:rsidRPr="00CB6BB3">
        <w:rPr>
          <w:lang w:val="es-ES_tradnl"/>
        </w:rPr>
        <w:t>1325 del Consejo de Seguridad</w:t>
      </w:r>
      <w:r w:rsidR="00C70626">
        <w:rPr>
          <w:lang w:val="es-ES_tradnl"/>
        </w:rPr>
        <w:t>"</w:t>
      </w:r>
      <w:r w:rsidRPr="00CB6BB3">
        <w:rPr>
          <w:lang w:val="es-ES_tradnl"/>
        </w:rPr>
        <w:t xml:space="preserve"> (</w:t>
      </w:r>
      <w:r w:rsidR="00330A0F" w:rsidRPr="00CB6BB3">
        <w:rPr>
          <w:lang w:val="es-ES_tradnl"/>
        </w:rPr>
        <w:t xml:space="preserve">véase el </w:t>
      </w:r>
      <w:r w:rsidR="00FE37CC" w:rsidRPr="00CB6BB3">
        <w:rPr>
          <w:lang w:val="es-ES_tradnl"/>
        </w:rPr>
        <w:t xml:space="preserve">artículo </w:t>
      </w:r>
      <w:r w:rsidRPr="00CB6BB3">
        <w:rPr>
          <w:lang w:val="es-ES_tradnl"/>
        </w:rPr>
        <w:t>3).</w:t>
      </w:r>
    </w:p>
    <w:p w:rsidR="005E49B6" w:rsidRPr="00CB6BB3" w:rsidRDefault="005E49B6" w:rsidP="0089176C">
      <w:pPr>
        <w:pStyle w:val="SingleTxtG"/>
        <w:rPr>
          <w:lang w:val="es-ES_tradnl"/>
        </w:rPr>
      </w:pPr>
      <w:r w:rsidRPr="00CB6BB3">
        <w:rPr>
          <w:lang w:val="es-ES_tradnl"/>
        </w:rPr>
        <w:t>20.</w:t>
      </w:r>
      <w:r w:rsidRPr="00CB6BB3">
        <w:rPr>
          <w:lang w:val="es-ES_tradnl"/>
        </w:rPr>
        <w:tab/>
      </w:r>
      <w:r w:rsidR="0089176C" w:rsidRPr="00CB6BB3">
        <w:rPr>
          <w:lang w:val="es-ES_tradnl"/>
        </w:rPr>
        <w:t>Ya en 2000,</w:t>
      </w:r>
      <w:r w:rsidR="00F47A61" w:rsidRPr="00CB6BB3">
        <w:rPr>
          <w:lang w:val="es-ES_tradnl"/>
        </w:rPr>
        <w:t xml:space="preserve"> y</w:t>
      </w:r>
      <w:r w:rsidR="0089176C" w:rsidRPr="00CB6BB3">
        <w:rPr>
          <w:lang w:val="es-ES_tradnl"/>
        </w:rPr>
        <w:t xml:space="preserve"> </w:t>
      </w:r>
      <w:r w:rsidR="00F47A61" w:rsidRPr="00CB6BB3">
        <w:rPr>
          <w:lang w:val="es-ES_tradnl"/>
        </w:rPr>
        <w:t xml:space="preserve">con miras a la aplicación de la estrategia de incorporación de la perspectiva de género en todo el ámbito del país, </w:t>
      </w:r>
      <w:r w:rsidR="0089176C" w:rsidRPr="00CB6BB3">
        <w:rPr>
          <w:lang w:val="es-ES_tradnl"/>
        </w:rPr>
        <w:t>se creó un grupo de trabajo inter</w:t>
      </w:r>
      <w:r w:rsidRPr="00CB6BB3">
        <w:rPr>
          <w:lang w:val="es-ES_tradnl"/>
        </w:rPr>
        <w:t>m</w:t>
      </w:r>
      <w:r w:rsidR="0089176C" w:rsidRPr="00CB6BB3">
        <w:rPr>
          <w:lang w:val="es-ES_tradnl"/>
        </w:rPr>
        <w:t>inisterial sobre incorporación de la perspectiva de género y presupuestación atenta a las cuestiones d</w:t>
      </w:r>
      <w:r w:rsidR="00F47A61" w:rsidRPr="00CB6BB3">
        <w:rPr>
          <w:lang w:val="es-ES_tradnl"/>
        </w:rPr>
        <w:t>e género</w:t>
      </w:r>
      <w:r w:rsidRPr="00CB6BB3">
        <w:rPr>
          <w:lang w:val="es-ES_tradnl"/>
        </w:rPr>
        <w:t xml:space="preserve">. </w:t>
      </w:r>
      <w:r w:rsidR="0089176C" w:rsidRPr="00CB6BB3">
        <w:rPr>
          <w:lang w:val="es-ES_tradnl"/>
        </w:rPr>
        <w:t xml:space="preserve">Este grupo de trabajo, cuya presidencia ocupa la Ministra de </w:t>
      </w:r>
      <w:r w:rsidR="0064003A" w:rsidRPr="00CB6BB3">
        <w:rPr>
          <w:lang w:val="es-ES_tradnl"/>
        </w:rPr>
        <w:t xml:space="preserve">Asuntos de </w:t>
      </w:r>
      <w:r w:rsidR="0089176C" w:rsidRPr="00CB6BB3">
        <w:rPr>
          <w:lang w:val="es-ES_tradnl"/>
        </w:rPr>
        <w:t>la Mujer, está integrado por representantes de todos los ministerios y los órganos administrativos supremos</w:t>
      </w:r>
      <w:r w:rsidRPr="00CB6BB3">
        <w:rPr>
          <w:lang w:val="es-ES_tradnl"/>
        </w:rPr>
        <w:t xml:space="preserve">. </w:t>
      </w:r>
      <w:r w:rsidR="0089176C" w:rsidRPr="00CB6BB3">
        <w:rPr>
          <w:lang w:val="es-ES_tradnl"/>
        </w:rPr>
        <w:t>Entre sus actividades y objetivos, cabe mencionar, en particular, el intercambio de</w:t>
      </w:r>
      <w:r w:rsidR="005617A8" w:rsidRPr="00CB6BB3">
        <w:rPr>
          <w:lang w:val="es-ES_tradnl"/>
        </w:rPr>
        <w:t xml:space="preserve"> informaci</w:t>
      </w:r>
      <w:r w:rsidR="00F47A61" w:rsidRPr="00CB6BB3">
        <w:rPr>
          <w:lang w:val="es-ES_tradnl"/>
        </w:rPr>
        <w:t>ón e iniciativas óptimas</w:t>
      </w:r>
      <w:r w:rsidR="005617A8" w:rsidRPr="00CB6BB3">
        <w:rPr>
          <w:lang w:val="es-ES_tradnl"/>
        </w:rPr>
        <w:t xml:space="preserve"> de</w:t>
      </w:r>
      <w:r w:rsidRPr="00CB6BB3">
        <w:rPr>
          <w:lang w:val="es-ES_tradnl"/>
        </w:rPr>
        <w:t xml:space="preserve"> </w:t>
      </w:r>
      <w:r w:rsidR="005617A8" w:rsidRPr="00CB6BB3">
        <w:rPr>
          <w:lang w:val="es-ES_tradnl"/>
        </w:rPr>
        <w:t>los diferentes ministerios</w:t>
      </w:r>
      <w:r w:rsidRPr="00CB6BB3">
        <w:rPr>
          <w:lang w:val="es-ES_tradnl"/>
        </w:rPr>
        <w:t xml:space="preserve">, </w:t>
      </w:r>
      <w:r w:rsidR="005617A8" w:rsidRPr="00CB6BB3">
        <w:rPr>
          <w:lang w:val="es-ES_tradnl"/>
        </w:rPr>
        <w:t>la formulación de criterios para la concreción de la incorporación de la perspectiva de género</w:t>
      </w:r>
      <w:r w:rsidRPr="00CB6BB3">
        <w:rPr>
          <w:lang w:val="es-ES_tradnl"/>
        </w:rPr>
        <w:t>, etc. (</w:t>
      </w:r>
      <w:r w:rsidR="005617A8" w:rsidRPr="00CB6BB3">
        <w:rPr>
          <w:lang w:val="es-ES_tradnl"/>
        </w:rPr>
        <w:t xml:space="preserve">véase también el </w:t>
      </w:r>
      <w:r w:rsidR="00F76BBF" w:rsidRPr="00CB6BB3">
        <w:rPr>
          <w:lang w:val="es-ES_tradnl"/>
        </w:rPr>
        <w:t xml:space="preserve">artículo </w:t>
      </w:r>
      <w:r w:rsidRPr="00CB6BB3">
        <w:rPr>
          <w:lang w:val="es-ES_tradnl"/>
        </w:rPr>
        <w:t>2).</w:t>
      </w:r>
    </w:p>
    <w:p w:rsidR="005E49B6" w:rsidRPr="00CB6BB3" w:rsidRDefault="005E49B6" w:rsidP="005E49B6">
      <w:pPr>
        <w:pStyle w:val="H1G"/>
        <w:rPr>
          <w:lang w:val="es-ES_tradnl"/>
        </w:rPr>
      </w:pPr>
      <w:r w:rsidRPr="00CB6BB3">
        <w:rPr>
          <w:lang w:val="es-ES_tradnl"/>
        </w:rPr>
        <w:tab/>
      </w:r>
      <w:r w:rsidRPr="00CB6BB3">
        <w:rPr>
          <w:lang w:val="es-ES_tradnl"/>
        </w:rPr>
        <w:tab/>
        <w:t>Resp</w:t>
      </w:r>
      <w:r w:rsidR="008043EB" w:rsidRPr="00CB6BB3">
        <w:rPr>
          <w:lang w:val="es-ES_tradnl"/>
        </w:rPr>
        <w:t xml:space="preserve">uesta a las observaciones finales de los párrafos </w:t>
      </w:r>
      <w:r w:rsidRPr="00CB6BB3">
        <w:rPr>
          <w:lang w:val="es-ES_tradnl"/>
        </w:rPr>
        <w:t xml:space="preserve">15 </w:t>
      </w:r>
      <w:r w:rsidR="008043EB" w:rsidRPr="00CB6BB3">
        <w:rPr>
          <w:lang w:val="es-ES_tradnl"/>
        </w:rPr>
        <w:t>y</w:t>
      </w:r>
      <w:r w:rsidRPr="00CB6BB3">
        <w:rPr>
          <w:lang w:val="es-ES_tradnl"/>
        </w:rPr>
        <w:t xml:space="preserve"> 16</w:t>
      </w:r>
      <w:r w:rsidRPr="00CB6BB3">
        <w:rPr>
          <w:lang w:val="es-ES_tradnl"/>
        </w:rPr>
        <w:br/>
      </w:r>
      <w:r w:rsidR="008043EB" w:rsidRPr="00CB6BB3">
        <w:rPr>
          <w:lang w:val="es-ES_tradnl"/>
        </w:rPr>
        <w:t>Seguimi</w:t>
      </w:r>
      <w:r w:rsidR="00F62C6A" w:rsidRPr="00CB6BB3">
        <w:rPr>
          <w:lang w:val="es-ES_tradnl"/>
        </w:rPr>
        <w:t>ento de la evolución</w:t>
      </w:r>
    </w:p>
    <w:p w:rsidR="005E49B6" w:rsidRPr="00CB6BB3" w:rsidRDefault="005E49B6" w:rsidP="00FF6D32">
      <w:pPr>
        <w:pStyle w:val="SingleTxtG"/>
        <w:rPr>
          <w:lang w:val="es-ES_tradnl"/>
        </w:rPr>
      </w:pPr>
      <w:r w:rsidRPr="00CB6BB3">
        <w:rPr>
          <w:lang w:val="es-ES_tradnl"/>
        </w:rPr>
        <w:t>21.</w:t>
      </w:r>
      <w:r w:rsidRPr="00CB6BB3">
        <w:rPr>
          <w:lang w:val="es-ES_tradnl"/>
        </w:rPr>
        <w:tab/>
      </w:r>
      <w:r w:rsidR="00F62C6A" w:rsidRPr="00CB6BB3">
        <w:rPr>
          <w:lang w:val="es-ES_tradnl"/>
        </w:rPr>
        <w:t xml:space="preserve">Para </w:t>
      </w:r>
      <w:r w:rsidR="00F47A61" w:rsidRPr="00CB6BB3">
        <w:rPr>
          <w:lang w:val="es-ES_tradnl"/>
        </w:rPr>
        <w:t>lograr</w:t>
      </w:r>
      <w:r w:rsidR="00F62C6A" w:rsidRPr="00CB6BB3">
        <w:rPr>
          <w:lang w:val="es-ES_tradnl"/>
        </w:rPr>
        <w:t xml:space="preserve"> la vigilancia y evaluación sistemáticas de la evolución en cuanto a la aplicación de las leyes, estrategias y planes para la promoción de la igualdad, así como la evaluación de sus repercusiones, se presentan informes periódicos al Parlamento</w:t>
      </w:r>
      <w:r w:rsidRPr="00CB6BB3">
        <w:rPr>
          <w:lang w:val="es-ES_tradnl"/>
        </w:rPr>
        <w:t xml:space="preserve"> (</w:t>
      </w:r>
      <w:r w:rsidR="00F62C6A" w:rsidRPr="00CB6BB3">
        <w:rPr>
          <w:lang w:val="es-ES_tradnl"/>
        </w:rPr>
        <w:t>informes sobre la legislación en materia de igualdad de trato</w:t>
      </w:r>
      <w:r w:rsidRPr="00CB6BB3">
        <w:rPr>
          <w:lang w:val="es-ES_tradnl"/>
        </w:rPr>
        <w:t xml:space="preserve">), </w:t>
      </w:r>
      <w:r w:rsidR="00F62C6A" w:rsidRPr="00CB6BB3">
        <w:rPr>
          <w:lang w:val="es-ES_tradnl"/>
        </w:rPr>
        <w:t>informes de evaluación</w:t>
      </w:r>
      <w:r w:rsidR="00F47A61" w:rsidRPr="00CB6BB3">
        <w:rPr>
          <w:lang w:val="es-ES_tradnl"/>
        </w:rPr>
        <w:t>,</w:t>
      </w:r>
      <w:r w:rsidR="00F62C6A" w:rsidRPr="00CB6BB3">
        <w:rPr>
          <w:lang w:val="es-ES_tradnl"/>
        </w:rPr>
        <w:t xml:space="preserve"> conforme a los </w:t>
      </w:r>
      <w:r w:rsidR="008025E6" w:rsidRPr="00CB6BB3">
        <w:rPr>
          <w:lang w:val="es-ES_tradnl"/>
        </w:rPr>
        <w:t>planes de acción nacionales</w:t>
      </w:r>
      <w:r w:rsidR="00F62C6A" w:rsidRPr="00CB6BB3">
        <w:rPr>
          <w:lang w:val="es-ES_tradnl"/>
        </w:rPr>
        <w:t>, y otros informes y estudios</w:t>
      </w:r>
      <w:r w:rsidRPr="00CB6BB3">
        <w:rPr>
          <w:lang w:val="es-ES_tradnl"/>
        </w:rPr>
        <w:t xml:space="preserve">. </w:t>
      </w:r>
      <w:r w:rsidR="00FF6D32" w:rsidRPr="00CB6BB3">
        <w:rPr>
          <w:lang w:val="es-ES_tradnl"/>
        </w:rPr>
        <w:t>En 2</w:t>
      </w:r>
      <w:r w:rsidR="00F62C6A" w:rsidRPr="00CB6BB3">
        <w:rPr>
          <w:lang w:val="es-ES_tradnl"/>
        </w:rPr>
        <w:t>010 se publicó un informe exha</w:t>
      </w:r>
      <w:r w:rsidR="00F47A61" w:rsidRPr="00CB6BB3">
        <w:rPr>
          <w:lang w:val="es-ES_tradnl"/>
        </w:rPr>
        <w:t>ustivo sobre la situación de la</w:t>
      </w:r>
      <w:r w:rsidR="00F62C6A" w:rsidRPr="00CB6BB3">
        <w:rPr>
          <w:lang w:val="es-ES_tradnl"/>
        </w:rPr>
        <w:t xml:space="preserve"> mujer</w:t>
      </w:r>
      <w:r w:rsidRPr="00CB6BB3">
        <w:rPr>
          <w:rStyle w:val="FootnoteReference"/>
          <w:lang w:val="es-ES_tradnl"/>
        </w:rPr>
        <w:footnoteReference w:id="9"/>
      </w:r>
      <w:r w:rsidR="00F62C6A" w:rsidRPr="00CB6BB3">
        <w:rPr>
          <w:lang w:val="es-ES_tradnl"/>
        </w:rPr>
        <w:t xml:space="preserve">. </w:t>
      </w:r>
      <w:r w:rsidR="00F47A61" w:rsidRPr="00CB6BB3">
        <w:rPr>
          <w:lang w:val="es-ES_tradnl"/>
        </w:rPr>
        <w:t xml:space="preserve">Al respecto, </w:t>
      </w:r>
      <w:r w:rsidR="00475EB0" w:rsidRPr="00CB6BB3">
        <w:rPr>
          <w:lang w:val="es-ES_tradnl"/>
        </w:rPr>
        <w:t xml:space="preserve">es decisivo </w:t>
      </w:r>
      <w:r w:rsidR="00F47A61" w:rsidRPr="00CB6BB3">
        <w:rPr>
          <w:lang w:val="es-ES_tradnl"/>
        </w:rPr>
        <w:t>el papel de</w:t>
      </w:r>
      <w:r w:rsidR="00F62C6A" w:rsidRPr="00CB6BB3">
        <w:rPr>
          <w:lang w:val="es-ES_tradnl"/>
        </w:rPr>
        <w:t xml:space="preserve"> las ONG que trabajan en muchas áreas </w:t>
      </w:r>
      <w:r w:rsidR="00FF6D32" w:rsidRPr="00CB6BB3">
        <w:rPr>
          <w:lang w:val="es-ES_tradnl"/>
        </w:rPr>
        <w:t>de</w:t>
      </w:r>
      <w:r w:rsidR="00F62C6A" w:rsidRPr="00CB6BB3">
        <w:rPr>
          <w:lang w:val="es-ES_tradnl"/>
        </w:rPr>
        <w:t xml:space="preserve"> las políticas para la mujer y la igualdad de género</w:t>
      </w:r>
      <w:r w:rsidR="00FF6D32" w:rsidRPr="00CB6BB3">
        <w:rPr>
          <w:lang w:val="es-ES_tradnl"/>
        </w:rPr>
        <w:t xml:space="preserve">, </w:t>
      </w:r>
      <w:r w:rsidR="00F47A61" w:rsidRPr="00CB6BB3">
        <w:rPr>
          <w:lang w:val="es-ES_tradnl"/>
        </w:rPr>
        <w:t>tanto por lo que respecta al</w:t>
      </w:r>
      <w:r w:rsidR="00F62C6A" w:rsidRPr="00CB6BB3">
        <w:rPr>
          <w:lang w:val="es-ES_tradnl"/>
        </w:rPr>
        <w:t xml:space="preserve"> intercambio de opiniones sobre acontecimientos y problemas</w:t>
      </w:r>
      <w:r w:rsidR="00F47A61" w:rsidRPr="00CB6BB3">
        <w:rPr>
          <w:lang w:val="es-ES_tradnl"/>
        </w:rPr>
        <w:t xml:space="preserve">, como a </w:t>
      </w:r>
      <w:r w:rsidR="00F62C6A" w:rsidRPr="00CB6BB3">
        <w:rPr>
          <w:lang w:val="es-ES_tradnl"/>
        </w:rPr>
        <w:t xml:space="preserve">la cooperación sobre ciertos temas técnicos </w:t>
      </w:r>
      <w:r w:rsidRPr="00CB6BB3">
        <w:rPr>
          <w:lang w:val="es-ES_tradnl"/>
        </w:rPr>
        <w:t>o</w:t>
      </w:r>
      <w:r w:rsidR="00FF6D32" w:rsidRPr="00CB6BB3">
        <w:rPr>
          <w:lang w:val="es-ES_tradnl"/>
        </w:rPr>
        <w:t xml:space="preserve"> proyectos que se desa</w:t>
      </w:r>
      <w:r w:rsidRPr="00CB6BB3">
        <w:rPr>
          <w:lang w:val="es-ES_tradnl"/>
        </w:rPr>
        <w:t>r</w:t>
      </w:r>
      <w:r w:rsidR="00FF6D32" w:rsidRPr="00CB6BB3">
        <w:rPr>
          <w:lang w:val="es-ES_tradnl"/>
        </w:rPr>
        <w:t>rollan de forma periódica</w:t>
      </w:r>
      <w:r w:rsidRPr="00CB6BB3">
        <w:rPr>
          <w:lang w:val="es-ES_tradnl"/>
        </w:rPr>
        <w:t xml:space="preserve">. </w:t>
      </w:r>
      <w:r w:rsidR="00FF6D32" w:rsidRPr="00CB6BB3">
        <w:rPr>
          <w:lang w:val="es-ES_tradnl"/>
        </w:rPr>
        <w:t>E</w:t>
      </w:r>
      <w:r w:rsidR="00895540" w:rsidRPr="00CB6BB3">
        <w:rPr>
          <w:lang w:val="es-ES_tradnl"/>
        </w:rPr>
        <w:t>jemplo d</w:t>
      </w:r>
      <w:r w:rsidR="00FF6D32" w:rsidRPr="00CB6BB3">
        <w:rPr>
          <w:lang w:val="es-ES_tradnl"/>
        </w:rPr>
        <w:t>e e</w:t>
      </w:r>
      <w:r w:rsidR="00F47A61" w:rsidRPr="00CB6BB3">
        <w:rPr>
          <w:lang w:val="es-ES_tradnl"/>
        </w:rPr>
        <w:t xml:space="preserve">sta cooperación </w:t>
      </w:r>
      <w:r w:rsidR="00FF6D32" w:rsidRPr="00CB6BB3">
        <w:rPr>
          <w:lang w:val="es-ES_tradnl"/>
        </w:rPr>
        <w:t>es el diálogo con la sociedad civil en la preparación del presente informe</w:t>
      </w:r>
      <w:r w:rsidRPr="00CB6BB3">
        <w:rPr>
          <w:lang w:val="es-ES_tradnl"/>
        </w:rPr>
        <w:t>.</w:t>
      </w:r>
    </w:p>
    <w:p w:rsidR="005E49B6" w:rsidRPr="00CB6BB3" w:rsidRDefault="005E49B6" w:rsidP="005E49B6">
      <w:pPr>
        <w:pStyle w:val="SingleTxtG"/>
        <w:rPr>
          <w:lang w:val="es-ES_tradnl"/>
        </w:rPr>
      </w:pPr>
      <w:r w:rsidRPr="00CB6BB3">
        <w:rPr>
          <w:lang w:val="es-ES_tradnl"/>
        </w:rPr>
        <w:t>22.</w:t>
      </w:r>
      <w:r w:rsidRPr="00CB6BB3">
        <w:rPr>
          <w:lang w:val="es-ES_tradnl"/>
        </w:rPr>
        <w:tab/>
      </w:r>
      <w:r w:rsidR="00895540" w:rsidRPr="00CB6BB3">
        <w:rPr>
          <w:lang w:val="es-ES_tradnl"/>
        </w:rPr>
        <w:t xml:space="preserve">Por lo que respecta a los mecanismos para la coordinación de las medidas con las </w:t>
      </w:r>
      <w:r w:rsidR="00D845CB" w:rsidRPr="00CB6BB3">
        <w:rPr>
          <w:lang w:val="es-ES_tradnl"/>
        </w:rPr>
        <w:t>provincias f</w:t>
      </w:r>
      <w:r w:rsidR="00895540" w:rsidRPr="00CB6BB3">
        <w:rPr>
          <w:lang w:val="es-ES_tradnl"/>
        </w:rPr>
        <w:t>ederales en la aplicación de la CEDAW</w:t>
      </w:r>
      <w:r w:rsidRPr="00CB6BB3">
        <w:rPr>
          <w:lang w:val="es-ES_tradnl"/>
        </w:rPr>
        <w:t xml:space="preserve">, </w:t>
      </w:r>
      <w:r w:rsidR="00895540" w:rsidRPr="00CB6BB3">
        <w:rPr>
          <w:lang w:val="es-ES_tradnl"/>
        </w:rPr>
        <w:t xml:space="preserve">cabe recalcar que Austria ha consagrado esta Convención en su Constitución, y que por ello ahora también las </w:t>
      </w:r>
      <w:r w:rsidR="00D845CB" w:rsidRPr="00CB6BB3">
        <w:rPr>
          <w:lang w:val="es-ES_tradnl"/>
        </w:rPr>
        <w:t>provincias f</w:t>
      </w:r>
      <w:r w:rsidR="00895540" w:rsidRPr="00CB6BB3">
        <w:rPr>
          <w:lang w:val="es-ES_tradnl"/>
        </w:rPr>
        <w:t>ederales están obligadas a aplicarla</w:t>
      </w:r>
      <w:r w:rsidRPr="00CB6BB3">
        <w:rPr>
          <w:lang w:val="es-ES_tradnl"/>
        </w:rPr>
        <w:t xml:space="preserve">. </w:t>
      </w:r>
      <w:r w:rsidR="00895540" w:rsidRPr="00CB6BB3">
        <w:rPr>
          <w:lang w:val="es-ES_tradnl"/>
        </w:rPr>
        <w:t xml:space="preserve">El Gobierno </w:t>
      </w:r>
      <w:r w:rsidRPr="00CB6BB3">
        <w:rPr>
          <w:lang w:val="es-ES_tradnl"/>
        </w:rPr>
        <w:t xml:space="preserve">Federal </w:t>
      </w:r>
      <w:r w:rsidR="00D845CB" w:rsidRPr="00CB6BB3">
        <w:rPr>
          <w:lang w:val="es-ES_tradnl"/>
        </w:rPr>
        <w:t xml:space="preserve">no está facultado para influir de forma directa en asuntos que corresponden al ámbito de </w:t>
      </w:r>
      <w:r w:rsidR="000A2E19" w:rsidRPr="00CB6BB3">
        <w:rPr>
          <w:lang w:val="es-ES_tradnl"/>
        </w:rPr>
        <w:t>competencia</w:t>
      </w:r>
      <w:r w:rsidR="00D845CB" w:rsidRPr="00CB6BB3">
        <w:rPr>
          <w:lang w:val="es-ES_tradnl"/>
        </w:rPr>
        <w:t xml:space="preserve"> de las provincias f</w:t>
      </w:r>
      <w:r w:rsidRPr="00CB6BB3">
        <w:rPr>
          <w:lang w:val="es-ES_tradnl"/>
        </w:rPr>
        <w:t xml:space="preserve">ederales. </w:t>
      </w:r>
      <w:r w:rsidR="00D845CB" w:rsidRPr="00CB6BB3">
        <w:rPr>
          <w:lang w:val="es-ES_tradnl"/>
        </w:rPr>
        <w:t>No obstante, se celebran reuniones periódicas con representantes de dichas provincias y el Gobierno Federal</w:t>
      </w:r>
      <w:r w:rsidR="00961CF1" w:rsidRPr="00CB6BB3">
        <w:rPr>
          <w:lang w:val="es-ES_tradnl"/>
        </w:rPr>
        <w:t xml:space="preserve"> (conocidas como reuniones de coordinación de derechos humanos)</w:t>
      </w:r>
      <w:r w:rsidR="00D845CB" w:rsidRPr="00CB6BB3">
        <w:rPr>
          <w:lang w:val="es-ES_tradnl"/>
        </w:rPr>
        <w:t xml:space="preserve">, en las que se debaten </w:t>
      </w:r>
      <w:r w:rsidR="00961CF1" w:rsidRPr="00CB6BB3">
        <w:rPr>
          <w:lang w:val="es-ES_tradnl"/>
        </w:rPr>
        <w:t>preguntas ab</w:t>
      </w:r>
      <w:r w:rsidR="00D845CB" w:rsidRPr="00CB6BB3">
        <w:rPr>
          <w:lang w:val="es-ES_tradnl"/>
        </w:rPr>
        <w:t>iertas</w:t>
      </w:r>
      <w:r w:rsidR="00961CF1" w:rsidRPr="00CB6BB3">
        <w:rPr>
          <w:lang w:val="es-ES_tradnl"/>
        </w:rPr>
        <w:t xml:space="preserve"> en la materia</w:t>
      </w:r>
      <w:r w:rsidRPr="00CB6BB3">
        <w:rPr>
          <w:lang w:val="es-ES_tradnl"/>
        </w:rPr>
        <w:t xml:space="preserve">. </w:t>
      </w:r>
      <w:r w:rsidR="00F47A61" w:rsidRPr="00CB6BB3">
        <w:rPr>
          <w:lang w:val="es-ES_tradnl"/>
        </w:rPr>
        <w:t>E</w:t>
      </w:r>
      <w:r w:rsidR="00961CF1" w:rsidRPr="00CB6BB3">
        <w:rPr>
          <w:lang w:val="es-ES_tradnl"/>
        </w:rPr>
        <w:t xml:space="preserve">l intercambio de información en torno a actividades normativas y preocupaciones sobre el área de la mujer entre los niveles federal y de las provincias federales, </w:t>
      </w:r>
      <w:r w:rsidR="00F47A61" w:rsidRPr="00CB6BB3">
        <w:rPr>
          <w:lang w:val="es-ES_tradnl"/>
        </w:rPr>
        <w:t xml:space="preserve">también tiene lugar en las reuniones </w:t>
      </w:r>
      <w:r w:rsidR="001833E0" w:rsidRPr="00CB6BB3">
        <w:rPr>
          <w:lang w:val="es-ES_tradnl"/>
        </w:rPr>
        <w:t xml:space="preserve">que </w:t>
      </w:r>
      <w:r w:rsidR="000A2E19" w:rsidRPr="00CB6BB3">
        <w:rPr>
          <w:lang w:val="es-ES_tradnl"/>
        </w:rPr>
        <w:t xml:space="preserve">a lo largo del año </w:t>
      </w:r>
      <w:r w:rsidR="001833E0" w:rsidRPr="00CB6BB3">
        <w:rPr>
          <w:lang w:val="es-ES_tradnl"/>
        </w:rPr>
        <w:t xml:space="preserve">se </w:t>
      </w:r>
      <w:r w:rsidR="00961CF1" w:rsidRPr="00CB6BB3">
        <w:rPr>
          <w:lang w:val="es-ES_tradnl"/>
        </w:rPr>
        <w:t>celebran</w:t>
      </w:r>
      <w:r w:rsidR="001833E0" w:rsidRPr="00CB6BB3">
        <w:rPr>
          <w:lang w:val="es-ES_tradnl"/>
        </w:rPr>
        <w:t xml:space="preserve"> </w:t>
      </w:r>
      <w:r w:rsidR="00961CF1" w:rsidRPr="00CB6BB3">
        <w:rPr>
          <w:lang w:val="es-ES_tradnl"/>
        </w:rPr>
        <w:t>entre el Ministerio de la Mujer</w:t>
      </w:r>
      <w:r w:rsidR="001833E0" w:rsidRPr="00CB6BB3">
        <w:rPr>
          <w:lang w:val="es-ES_tradnl"/>
        </w:rPr>
        <w:t>,</w:t>
      </w:r>
      <w:r w:rsidR="00961CF1" w:rsidRPr="00CB6BB3">
        <w:rPr>
          <w:lang w:val="es-ES_tradnl"/>
        </w:rPr>
        <w:t xml:space="preserve"> las oficinas de asuntos de la mujer y los funcionarios del área de igualdad de género de</w:t>
      </w:r>
      <w:r w:rsidR="00954189" w:rsidRPr="00CB6BB3">
        <w:rPr>
          <w:lang w:val="es-ES_tradnl"/>
        </w:rPr>
        <w:t xml:space="preserve"> los gobiernos de las provincias f</w:t>
      </w:r>
      <w:r w:rsidR="00961CF1" w:rsidRPr="00CB6BB3">
        <w:rPr>
          <w:lang w:val="es-ES_tradnl"/>
        </w:rPr>
        <w:t xml:space="preserve">ederales y las administraciones </w:t>
      </w:r>
      <w:r w:rsidRPr="00CB6BB3">
        <w:rPr>
          <w:lang w:val="es-ES_tradnl"/>
        </w:rPr>
        <w:t>municipal</w:t>
      </w:r>
      <w:r w:rsidR="00961CF1" w:rsidRPr="00CB6BB3">
        <w:rPr>
          <w:lang w:val="es-ES_tradnl"/>
        </w:rPr>
        <w:t>e</w:t>
      </w:r>
      <w:r w:rsidRPr="00CB6BB3">
        <w:rPr>
          <w:lang w:val="es-ES_tradnl"/>
        </w:rPr>
        <w:t xml:space="preserve">s, </w:t>
      </w:r>
      <w:r w:rsidR="00954189" w:rsidRPr="00CB6BB3">
        <w:rPr>
          <w:lang w:val="es-ES_tradnl"/>
        </w:rPr>
        <w:t>políticos de las provincias f</w:t>
      </w:r>
      <w:r w:rsidRPr="00CB6BB3">
        <w:rPr>
          <w:lang w:val="es-ES_tradnl"/>
        </w:rPr>
        <w:t>ederal</w:t>
      </w:r>
      <w:r w:rsidR="00954189" w:rsidRPr="00CB6BB3">
        <w:rPr>
          <w:lang w:val="es-ES_tradnl"/>
        </w:rPr>
        <w:t>es</w:t>
      </w:r>
      <w:r w:rsidRPr="00CB6BB3">
        <w:rPr>
          <w:lang w:val="es-ES_tradnl"/>
        </w:rPr>
        <w:t xml:space="preserve"> </w:t>
      </w:r>
      <w:r w:rsidR="00954189" w:rsidRPr="00CB6BB3">
        <w:rPr>
          <w:lang w:val="es-ES_tradnl"/>
        </w:rPr>
        <w:t>encargado</w:t>
      </w:r>
      <w:r w:rsidR="001833E0" w:rsidRPr="00CB6BB3">
        <w:rPr>
          <w:lang w:val="es-ES_tradnl"/>
        </w:rPr>
        <w:t>s de asuntos de la mujer, y</w:t>
      </w:r>
      <w:r w:rsidR="00954189" w:rsidRPr="00CB6BB3">
        <w:rPr>
          <w:lang w:val="es-ES_tradnl"/>
        </w:rPr>
        <w:t xml:space="preserve"> con representantes del Ombudsman para la Igualdad de Trato</w:t>
      </w:r>
      <w:r w:rsidRPr="00CB6BB3">
        <w:rPr>
          <w:lang w:val="es-ES_tradnl"/>
        </w:rPr>
        <w:t>.</w:t>
      </w:r>
    </w:p>
    <w:p w:rsidR="005E49B6" w:rsidRPr="00CB6BB3" w:rsidRDefault="005E49B6" w:rsidP="005C668E">
      <w:pPr>
        <w:pStyle w:val="H1G"/>
        <w:rPr>
          <w:lang w:val="es-ES_tradnl"/>
        </w:rPr>
      </w:pPr>
      <w:r w:rsidRPr="00CB6BB3">
        <w:rPr>
          <w:lang w:val="es-ES_tradnl"/>
        </w:rPr>
        <w:tab/>
      </w:r>
      <w:r w:rsidRPr="00CB6BB3">
        <w:rPr>
          <w:lang w:val="es-ES_tradnl"/>
        </w:rPr>
        <w:tab/>
        <w:t>Resp</w:t>
      </w:r>
      <w:r w:rsidR="0056570F" w:rsidRPr="00CB6BB3">
        <w:rPr>
          <w:lang w:val="es-ES_tradnl"/>
        </w:rPr>
        <w:t xml:space="preserve">uesta a las observaciones finales de los párrafos </w:t>
      </w:r>
      <w:r w:rsidRPr="00CB6BB3">
        <w:rPr>
          <w:lang w:val="es-ES_tradnl"/>
        </w:rPr>
        <w:t xml:space="preserve">17 </w:t>
      </w:r>
      <w:r w:rsidR="0056570F" w:rsidRPr="00CB6BB3">
        <w:rPr>
          <w:lang w:val="es-ES_tradnl"/>
        </w:rPr>
        <w:t>y</w:t>
      </w:r>
      <w:r w:rsidRPr="00CB6BB3">
        <w:rPr>
          <w:lang w:val="es-ES_tradnl"/>
        </w:rPr>
        <w:t xml:space="preserve"> 18</w:t>
      </w:r>
      <w:r w:rsidRPr="00CB6BB3">
        <w:rPr>
          <w:lang w:val="es-ES_tradnl"/>
        </w:rPr>
        <w:br/>
        <w:t>Me</w:t>
      </w:r>
      <w:r w:rsidR="0056570F" w:rsidRPr="00CB6BB3">
        <w:rPr>
          <w:lang w:val="es-ES_tradnl"/>
        </w:rPr>
        <w:t>didas para superar los estereotipos basados en el género</w:t>
      </w:r>
    </w:p>
    <w:p w:rsidR="005E49B6" w:rsidRPr="00CB6BB3" w:rsidRDefault="005E49B6" w:rsidP="005E49B6">
      <w:pPr>
        <w:pStyle w:val="SingleTxtG"/>
        <w:rPr>
          <w:lang w:val="es-ES_tradnl"/>
        </w:rPr>
      </w:pPr>
      <w:r w:rsidRPr="00CB6BB3">
        <w:rPr>
          <w:lang w:val="es-ES_tradnl"/>
        </w:rPr>
        <w:t>23.</w:t>
      </w:r>
      <w:r w:rsidRPr="00CB6BB3">
        <w:rPr>
          <w:lang w:val="es-ES_tradnl"/>
        </w:rPr>
        <w:tab/>
      </w:r>
      <w:r w:rsidR="0056570F" w:rsidRPr="00CB6BB3">
        <w:rPr>
          <w:lang w:val="es-ES_tradnl"/>
        </w:rPr>
        <w:t xml:space="preserve">La mayoría de las medidas descritas en el presente informe también sirven para superar actitudes tradicionales </w:t>
      </w:r>
      <w:r w:rsidR="005D5B71" w:rsidRPr="00CB6BB3">
        <w:rPr>
          <w:lang w:val="es-ES_tradnl"/>
        </w:rPr>
        <w:t>respecto de la</w:t>
      </w:r>
      <w:r w:rsidR="0056570F" w:rsidRPr="00CB6BB3">
        <w:rPr>
          <w:lang w:val="es-ES_tradnl"/>
        </w:rPr>
        <w:t xml:space="preserve">s </w:t>
      </w:r>
      <w:r w:rsidR="005D5B71" w:rsidRPr="00CB6BB3">
        <w:rPr>
          <w:lang w:val="es-ES_tradnl"/>
        </w:rPr>
        <w:t>funciones</w:t>
      </w:r>
      <w:r w:rsidR="0056570F" w:rsidRPr="00CB6BB3">
        <w:rPr>
          <w:lang w:val="es-ES_tradnl"/>
        </w:rPr>
        <w:t xml:space="preserve"> </w:t>
      </w:r>
      <w:r w:rsidR="005D5B71" w:rsidRPr="00CB6BB3">
        <w:rPr>
          <w:lang w:val="es-ES_tradnl"/>
        </w:rPr>
        <w:t>relacionada</w:t>
      </w:r>
      <w:r w:rsidR="0056570F" w:rsidRPr="00CB6BB3">
        <w:rPr>
          <w:lang w:val="es-ES_tradnl"/>
        </w:rPr>
        <w:t>s con el género</w:t>
      </w:r>
      <w:r w:rsidR="000909D7" w:rsidRPr="00CB6BB3">
        <w:rPr>
          <w:lang w:val="es-ES_tradnl"/>
        </w:rPr>
        <w:t>;</w:t>
      </w:r>
      <w:r w:rsidR="0056570F" w:rsidRPr="00CB6BB3">
        <w:rPr>
          <w:lang w:val="es-ES_tradnl"/>
        </w:rPr>
        <w:t xml:space="preserve"> por ejemplo, el papel del hombre como </w:t>
      </w:r>
      <w:r w:rsidR="00F53132" w:rsidRPr="00CB6BB3">
        <w:rPr>
          <w:lang w:val="es-ES_tradnl"/>
        </w:rPr>
        <w:t>sostén</w:t>
      </w:r>
      <w:r w:rsidR="0056570F" w:rsidRPr="00CB6BB3">
        <w:rPr>
          <w:lang w:val="es-ES_tradnl"/>
        </w:rPr>
        <w:t xml:space="preserve"> de la familia</w:t>
      </w:r>
      <w:r w:rsidR="00F53132" w:rsidRPr="00CB6BB3">
        <w:rPr>
          <w:lang w:val="es-ES_tradnl"/>
        </w:rPr>
        <w:t>. En los párrafos siguientes se describen algunas actividades concretas</w:t>
      </w:r>
      <w:r w:rsidRPr="00CB6BB3">
        <w:rPr>
          <w:lang w:val="es-ES_tradnl"/>
        </w:rPr>
        <w:t>.</w:t>
      </w:r>
    </w:p>
    <w:p w:rsidR="005E49B6" w:rsidRPr="00CB6BB3" w:rsidRDefault="005E49B6" w:rsidP="005E49B6">
      <w:pPr>
        <w:pStyle w:val="SingleTxtG"/>
        <w:rPr>
          <w:lang w:val="es-ES_tradnl"/>
        </w:rPr>
      </w:pPr>
      <w:r w:rsidRPr="00CB6BB3">
        <w:rPr>
          <w:lang w:val="es-ES_tradnl"/>
        </w:rPr>
        <w:t>24.</w:t>
      </w:r>
      <w:r w:rsidRPr="00CB6BB3">
        <w:rPr>
          <w:lang w:val="es-ES_tradnl"/>
        </w:rPr>
        <w:tab/>
      </w:r>
      <w:r w:rsidR="001833E0" w:rsidRPr="00CB6BB3">
        <w:rPr>
          <w:lang w:val="es-ES_tradnl"/>
        </w:rPr>
        <w:t>S</w:t>
      </w:r>
      <w:r w:rsidR="005D5B71" w:rsidRPr="00CB6BB3">
        <w:rPr>
          <w:lang w:val="es-ES_tradnl"/>
        </w:rPr>
        <w:t xml:space="preserve">e incorporó el principio pedagógico </w:t>
      </w:r>
      <w:r w:rsidR="00C70626">
        <w:rPr>
          <w:lang w:val="es-ES_tradnl"/>
        </w:rPr>
        <w:t>"</w:t>
      </w:r>
      <w:r w:rsidR="005D5B71" w:rsidRPr="00CB6BB3">
        <w:rPr>
          <w:lang w:val="es-ES_tradnl"/>
        </w:rPr>
        <w:t>Educació</w:t>
      </w:r>
      <w:r w:rsidRPr="00CB6BB3">
        <w:rPr>
          <w:lang w:val="es-ES_tradnl"/>
        </w:rPr>
        <w:t xml:space="preserve">n </w:t>
      </w:r>
      <w:r w:rsidR="005D5B71" w:rsidRPr="00CB6BB3">
        <w:rPr>
          <w:lang w:val="es-ES_tradnl"/>
        </w:rPr>
        <w:t>para la igualdad entre las mujeres y los hombres</w:t>
      </w:r>
      <w:r w:rsidR="00C70626">
        <w:rPr>
          <w:lang w:val="es-ES_tradnl"/>
        </w:rPr>
        <w:t>"</w:t>
      </w:r>
      <w:r w:rsidR="005D5B71" w:rsidRPr="00CB6BB3">
        <w:rPr>
          <w:lang w:val="es-ES_tradnl"/>
        </w:rPr>
        <w:t xml:space="preserve"> a otros programas</w:t>
      </w:r>
      <w:r w:rsidR="000909D7" w:rsidRPr="00CB6BB3">
        <w:rPr>
          <w:lang w:val="es-ES_tradnl"/>
        </w:rPr>
        <w:t xml:space="preserve"> de estudio</w:t>
      </w:r>
      <w:r w:rsidR="005D5B71" w:rsidRPr="00CB6BB3">
        <w:rPr>
          <w:lang w:val="es-ES_tradnl"/>
        </w:rPr>
        <w:t>: e</w:t>
      </w:r>
      <w:r w:rsidRPr="00CB6BB3">
        <w:rPr>
          <w:lang w:val="es-ES_tradnl"/>
        </w:rPr>
        <w:t xml:space="preserve">n 2004, </w:t>
      </w:r>
      <w:r w:rsidR="005D5B71" w:rsidRPr="00CB6BB3">
        <w:rPr>
          <w:lang w:val="es-ES_tradnl"/>
        </w:rPr>
        <w:t>al de las escuelas normales de</w:t>
      </w:r>
      <w:r w:rsidR="001833E0" w:rsidRPr="00CB6BB3">
        <w:rPr>
          <w:lang w:val="es-ES_tradnl"/>
        </w:rPr>
        <w:t xml:space="preserve"> docentes de jardín de infantes y</w:t>
      </w:r>
      <w:r w:rsidR="005D5B71" w:rsidRPr="00CB6BB3">
        <w:rPr>
          <w:lang w:val="es-ES_tradnl"/>
        </w:rPr>
        <w:t xml:space="preserve"> los institutos técnicos agrícolas y de silvicultura; en 2007, </w:t>
      </w:r>
      <w:r w:rsidR="00943056" w:rsidRPr="00CB6BB3">
        <w:rPr>
          <w:lang w:val="es-ES_tradnl"/>
        </w:rPr>
        <w:t>al del nivel secundario de las escuelas profesionales de ingeniería, arte y artesanías</w:t>
      </w:r>
      <w:r w:rsidRPr="00CB6BB3">
        <w:rPr>
          <w:lang w:val="es-ES_tradnl"/>
        </w:rPr>
        <w:t>.</w:t>
      </w:r>
    </w:p>
    <w:p w:rsidR="005E49B6" w:rsidRPr="00CB6BB3" w:rsidRDefault="005E49B6" w:rsidP="005C668E">
      <w:pPr>
        <w:pStyle w:val="SingleTxtG"/>
        <w:rPr>
          <w:lang w:val="es-ES_tradnl"/>
        </w:rPr>
      </w:pPr>
      <w:r w:rsidRPr="00CB6BB3">
        <w:rPr>
          <w:lang w:val="es-ES_tradnl"/>
        </w:rPr>
        <w:t>25.</w:t>
      </w:r>
      <w:r w:rsidRPr="00CB6BB3">
        <w:rPr>
          <w:lang w:val="es-ES_tradnl"/>
        </w:rPr>
        <w:tab/>
      </w:r>
      <w:r w:rsidR="00185D2E" w:rsidRPr="00CB6BB3">
        <w:rPr>
          <w:lang w:val="es-ES_tradnl"/>
        </w:rPr>
        <w:t>Durante varios años, los proyectos pa</w:t>
      </w:r>
      <w:r w:rsidR="001833E0" w:rsidRPr="00CB6BB3">
        <w:rPr>
          <w:lang w:val="es-ES_tradnl"/>
        </w:rPr>
        <w:t xml:space="preserve">ra el adelanto </w:t>
      </w:r>
      <w:r w:rsidR="00185D2E" w:rsidRPr="00CB6BB3">
        <w:rPr>
          <w:lang w:val="es-ES_tradnl"/>
        </w:rPr>
        <w:t>de los varones se han centrado en la prevención de la violencia y el fomento de las ocupaciones atípicas</w:t>
      </w:r>
      <w:r w:rsidRPr="00CB6BB3">
        <w:rPr>
          <w:lang w:val="es-ES_tradnl"/>
        </w:rPr>
        <w:t xml:space="preserve">. </w:t>
      </w:r>
      <w:r w:rsidR="001833E0" w:rsidRPr="00CB6BB3">
        <w:rPr>
          <w:lang w:val="es-ES_tradnl"/>
        </w:rPr>
        <w:t>S</w:t>
      </w:r>
      <w:r w:rsidR="006E37A1" w:rsidRPr="00CB6BB3">
        <w:rPr>
          <w:lang w:val="es-ES_tradnl"/>
        </w:rPr>
        <w:t xml:space="preserve">e </w:t>
      </w:r>
      <w:r w:rsidR="000909D7" w:rsidRPr="00CB6BB3">
        <w:rPr>
          <w:lang w:val="es-ES_tradnl"/>
        </w:rPr>
        <w:t>cre</w:t>
      </w:r>
      <w:r w:rsidR="001833E0" w:rsidRPr="00CB6BB3">
        <w:rPr>
          <w:lang w:val="es-ES_tradnl"/>
        </w:rPr>
        <w:t xml:space="preserve">ó un </w:t>
      </w:r>
      <w:r w:rsidR="000909D7" w:rsidRPr="00CB6BB3">
        <w:rPr>
          <w:lang w:val="es-ES_tradnl"/>
        </w:rPr>
        <w:t xml:space="preserve">modelo de </w:t>
      </w:r>
      <w:r w:rsidR="001833E0" w:rsidRPr="00CB6BB3">
        <w:rPr>
          <w:lang w:val="es-ES_tradnl"/>
        </w:rPr>
        <w:t xml:space="preserve">Día </w:t>
      </w:r>
      <w:r w:rsidR="000909D7" w:rsidRPr="00CB6BB3">
        <w:rPr>
          <w:lang w:val="es-ES_tradnl"/>
        </w:rPr>
        <w:t>del Niño, de ámbito escolar, que se celebra regularmente desde</w:t>
      </w:r>
      <w:r w:rsidR="001833E0" w:rsidRPr="00CB6BB3">
        <w:rPr>
          <w:lang w:val="es-ES_tradnl"/>
        </w:rPr>
        <w:t xml:space="preserve"> 2008, y </w:t>
      </w:r>
      <w:r w:rsidR="00185D2E" w:rsidRPr="00CB6BB3">
        <w:rPr>
          <w:lang w:val="es-ES_tradnl"/>
        </w:rPr>
        <w:t>de cuya organizaci</w:t>
      </w:r>
      <w:r w:rsidR="006E37A1" w:rsidRPr="00CB6BB3">
        <w:rPr>
          <w:lang w:val="es-ES_tradnl"/>
        </w:rPr>
        <w:t>ón se ocupan de forma conjunta varios ministerios, instituciones pedagógicas y centros de orientación masculina</w:t>
      </w:r>
      <w:r w:rsidRPr="00CB6BB3">
        <w:rPr>
          <w:lang w:val="es-ES_tradnl"/>
        </w:rPr>
        <w:t xml:space="preserve">. </w:t>
      </w:r>
      <w:r w:rsidR="001833E0" w:rsidRPr="00CB6BB3">
        <w:rPr>
          <w:lang w:val="es-ES_tradnl"/>
        </w:rPr>
        <w:t>Con est</w:t>
      </w:r>
      <w:r w:rsidR="009140BB" w:rsidRPr="00CB6BB3">
        <w:rPr>
          <w:lang w:val="es-ES_tradnl"/>
        </w:rPr>
        <w:t>a conmemoración</w:t>
      </w:r>
      <w:r w:rsidR="006E37A1" w:rsidRPr="00CB6BB3">
        <w:rPr>
          <w:lang w:val="es-ES_tradnl"/>
        </w:rPr>
        <w:t xml:space="preserve"> se pretende despertar y fortalecer el interés de los varones </w:t>
      </w:r>
      <w:r w:rsidR="001833E0" w:rsidRPr="00CB6BB3">
        <w:rPr>
          <w:lang w:val="es-ES_tradnl"/>
        </w:rPr>
        <w:t xml:space="preserve">de entre </w:t>
      </w:r>
      <w:r w:rsidR="006E37A1" w:rsidRPr="00CB6BB3">
        <w:rPr>
          <w:lang w:val="es-ES_tradnl"/>
        </w:rPr>
        <w:t xml:space="preserve">11 y </w:t>
      </w:r>
      <w:r w:rsidRPr="00CB6BB3">
        <w:rPr>
          <w:lang w:val="es-ES_tradnl"/>
        </w:rPr>
        <w:t xml:space="preserve">16 </w:t>
      </w:r>
      <w:r w:rsidR="006E37A1" w:rsidRPr="00CB6BB3">
        <w:rPr>
          <w:lang w:val="es-ES_tradnl"/>
        </w:rPr>
        <w:t xml:space="preserve">años </w:t>
      </w:r>
      <w:r w:rsidR="000909D7" w:rsidRPr="00CB6BB3">
        <w:rPr>
          <w:lang w:val="es-ES_tradnl"/>
        </w:rPr>
        <w:t>de edad</w:t>
      </w:r>
      <w:r w:rsidR="001833E0" w:rsidRPr="00CB6BB3">
        <w:rPr>
          <w:lang w:val="es-ES_tradnl"/>
        </w:rPr>
        <w:t xml:space="preserve"> </w:t>
      </w:r>
      <w:r w:rsidR="006E37A1" w:rsidRPr="00CB6BB3">
        <w:rPr>
          <w:lang w:val="es-ES_tradnl"/>
        </w:rPr>
        <w:t>por las ocupaciones y profesiones no tradicionales</w:t>
      </w:r>
      <w:r w:rsidRPr="00CB6BB3">
        <w:rPr>
          <w:lang w:val="es-ES_tradnl"/>
        </w:rPr>
        <w:t xml:space="preserve">, </w:t>
      </w:r>
      <w:r w:rsidR="006E37A1" w:rsidRPr="00CB6BB3">
        <w:rPr>
          <w:lang w:val="es-ES_tradnl"/>
        </w:rPr>
        <w:t xml:space="preserve">en </w:t>
      </w:r>
      <w:r w:rsidRPr="00CB6BB3">
        <w:rPr>
          <w:lang w:val="es-ES_tradnl"/>
        </w:rPr>
        <w:t>especial</w:t>
      </w:r>
      <w:r w:rsidR="006E37A1" w:rsidRPr="00CB6BB3">
        <w:rPr>
          <w:lang w:val="es-ES_tradnl"/>
        </w:rPr>
        <w:t xml:space="preserve"> en las áreas de educación y enfermería</w:t>
      </w:r>
      <w:r w:rsidRPr="00CB6BB3">
        <w:rPr>
          <w:lang w:val="es-ES_tradnl"/>
        </w:rPr>
        <w:t xml:space="preserve">. </w:t>
      </w:r>
      <w:r w:rsidR="006E37A1" w:rsidRPr="00CB6BB3">
        <w:rPr>
          <w:lang w:val="es-ES_tradnl"/>
        </w:rPr>
        <w:t xml:space="preserve">En 2010 se realizaron los estudios </w:t>
      </w:r>
      <w:r w:rsidR="00C70626">
        <w:rPr>
          <w:lang w:val="es-ES_tradnl"/>
        </w:rPr>
        <w:t>"</w:t>
      </w:r>
      <w:r w:rsidR="006E37A1" w:rsidRPr="00CB6BB3">
        <w:rPr>
          <w:lang w:val="es-ES_tradnl"/>
        </w:rPr>
        <w:t>Estrategia</w:t>
      </w:r>
      <w:r w:rsidRPr="00CB6BB3">
        <w:rPr>
          <w:lang w:val="es-ES_tradnl"/>
        </w:rPr>
        <w:t xml:space="preserve">s </w:t>
      </w:r>
      <w:r w:rsidR="006E37A1" w:rsidRPr="00CB6BB3">
        <w:rPr>
          <w:lang w:val="es-ES_tradnl"/>
        </w:rPr>
        <w:t xml:space="preserve">para ampliar el ámbito profesional de los </w:t>
      </w:r>
      <w:r w:rsidR="001833E0" w:rsidRPr="00CB6BB3">
        <w:rPr>
          <w:lang w:val="es-ES_tradnl"/>
        </w:rPr>
        <w:t xml:space="preserve">varones </w:t>
      </w:r>
      <w:r w:rsidR="000909D7" w:rsidRPr="00CB6BB3">
        <w:rPr>
          <w:lang w:val="es-ES_tradnl"/>
        </w:rPr>
        <w:t>jóvenes</w:t>
      </w:r>
      <w:r w:rsidR="00C70626">
        <w:rPr>
          <w:lang w:val="es-ES_tradnl"/>
        </w:rPr>
        <w:t>"</w:t>
      </w:r>
      <w:r w:rsidR="000909D7" w:rsidRPr="00CB6BB3">
        <w:rPr>
          <w:lang w:val="es-ES_tradnl"/>
        </w:rPr>
        <w:t xml:space="preserve"> y </w:t>
      </w:r>
      <w:r w:rsidR="00C70626">
        <w:rPr>
          <w:lang w:val="es-ES_tradnl"/>
        </w:rPr>
        <w:t>"</w:t>
      </w:r>
      <w:r w:rsidR="000909D7" w:rsidRPr="00CB6BB3">
        <w:rPr>
          <w:lang w:val="es-ES_tradnl"/>
        </w:rPr>
        <w:t>Formación docente sobre</w:t>
      </w:r>
      <w:r w:rsidR="006E37A1" w:rsidRPr="00CB6BB3">
        <w:rPr>
          <w:lang w:val="es-ES_tradnl"/>
        </w:rPr>
        <w:t xml:space="preserve"> tasas de abandono escolar de alumnos de enseñanza primaria</w:t>
      </w:r>
      <w:r w:rsidR="00C70626">
        <w:rPr>
          <w:lang w:val="es-ES_tradnl"/>
        </w:rPr>
        <w:t>"</w:t>
      </w:r>
      <w:r w:rsidRPr="00CB6BB3">
        <w:rPr>
          <w:lang w:val="es-ES_tradnl"/>
        </w:rPr>
        <w:t xml:space="preserve">. </w:t>
      </w:r>
      <w:r w:rsidR="006E37A1" w:rsidRPr="00CB6BB3">
        <w:rPr>
          <w:lang w:val="es-ES_tradnl"/>
        </w:rPr>
        <w:t xml:space="preserve">Se espera que las conclusiones de estos estudios contribuyan a </w:t>
      </w:r>
      <w:r w:rsidR="001833E0" w:rsidRPr="00CB6BB3">
        <w:rPr>
          <w:lang w:val="es-ES_tradnl"/>
        </w:rPr>
        <w:t xml:space="preserve">que </w:t>
      </w:r>
      <w:r w:rsidR="006E37A1" w:rsidRPr="00CB6BB3">
        <w:rPr>
          <w:lang w:val="es-ES_tradnl"/>
        </w:rPr>
        <w:t>las escuelas normales</w:t>
      </w:r>
      <w:r w:rsidR="001833E0" w:rsidRPr="00CB6BB3">
        <w:rPr>
          <w:lang w:val="es-ES_tradnl"/>
        </w:rPr>
        <w:t xml:space="preserve"> vuelvan a captar el interés de los estudiantes de sexo masculino</w:t>
      </w:r>
      <w:r w:rsidRPr="00CB6BB3">
        <w:rPr>
          <w:lang w:val="es-ES_tradnl"/>
        </w:rPr>
        <w:t>.</w:t>
      </w:r>
    </w:p>
    <w:p w:rsidR="005E49B6" w:rsidRPr="00CB6BB3" w:rsidRDefault="005E49B6" w:rsidP="005E49B6">
      <w:pPr>
        <w:pStyle w:val="SingleTxtG"/>
        <w:rPr>
          <w:lang w:val="es-ES_tradnl"/>
        </w:rPr>
      </w:pPr>
      <w:r w:rsidRPr="00CB6BB3">
        <w:rPr>
          <w:lang w:val="es-ES_tradnl"/>
        </w:rPr>
        <w:t>26.</w:t>
      </w:r>
      <w:r w:rsidRPr="00CB6BB3">
        <w:rPr>
          <w:lang w:val="es-ES_tradnl"/>
        </w:rPr>
        <w:tab/>
      </w:r>
      <w:r w:rsidR="009140BB" w:rsidRPr="00CB6BB3">
        <w:rPr>
          <w:lang w:val="es-ES_tradnl"/>
        </w:rPr>
        <w:t>La creación del portal web</w:t>
      </w:r>
      <w:r w:rsidRPr="00CB6BB3">
        <w:rPr>
          <w:lang w:val="es-ES_tradnl"/>
        </w:rPr>
        <w:t xml:space="preserve"> </w:t>
      </w:r>
      <w:r w:rsidR="00C70626">
        <w:rPr>
          <w:lang w:val="es-ES_tradnl"/>
        </w:rPr>
        <w:t>"</w:t>
      </w:r>
      <w:r w:rsidR="009140BB" w:rsidRPr="00CB6BB3">
        <w:rPr>
          <w:lang w:val="es-ES_tradnl"/>
        </w:rPr>
        <w:t>El género y la enseñanza</w:t>
      </w:r>
      <w:r w:rsidR="00C70626">
        <w:rPr>
          <w:lang w:val="es-ES_tradnl"/>
        </w:rPr>
        <w:t>"</w:t>
      </w:r>
      <w:r w:rsidRPr="00CB6BB3">
        <w:rPr>
          <w:rStyle w:val="FootnoteReference"/>
          <w:lang w:val="es-ES_tradnl"/>
        </w:rPr>
        <w:footnoteReference w:id="10"/>
      </w:r>
      <w:r w:rsidRPr="00CB6BB3">
        <w:rPr>
          <w:lang w:val="es-ES_tradnl"/>
        </w:rPr>
        <w:t xml:space="preserve"> </w:t>
      </w:r>
      <w:r w:rsidR="009140BB" w:rsidRPr="00CB6BB3">
        <w:rPr>
          <w:lang w:val="es-ES_tradnl"/>
        </w:rPr>
        <w:t>y el boletín electrónico sobre educació</w:t>
      </w:r>
      <w:r w:rsidR="00443140" w:rsidRPr="00CB6BB3">
        <w:rPr>
          <w:lang w:val="es-ES_tradnl"/>
        </w:rPr>
        <w:t>n,</w:t>
      </w:r>
      <w:r w:rsidRPr="00CB6BB3">
        <w:rPr>
          <w:lang w:val="es-ES_tradnl"/>
        </w:rPr>
        <w:t xml:space="preserve"> </w:t>
      </w:r>
      <w:r w:rsidR="00C70626">
        <w:rPr>
          <w:lang w:val="es-ES_tradnl"/>
        </w:rPr>
        <w:t>"</w:t>
      </w:r>
      <w:r w:rsidR="001833E0" w:rsidRPr="00CB6BB3">
        <w:rPr>
          <w:lang w:val="es-ES_tradnl"/>
        </w:rPr>
        <w:t>S</w:t>
      </w:r>
      <w:r w:rsidR="00443140" w:rsidRPr="00CB6BB3">
        <w:rPr>
          <w:lang w:val="es-ES_tradnl"/>
        </w:rPr>
        <w:t>chuG</w:t>
      </w:r>
      <w:r w:rsidR="00C70626">
        <w:rPr>
          <w:lang w:val="es-ES_tradnl"/>
        </w:rPr>
        <w:t>"</w:t>
      </w:r>
      <w:r w:rsidRPr="00CB6BB3">
        <w:rPr>
          <w:rStyle w:val="FootnoteReference"/>
          <w:lang w:val="es-ES_tradnl"/>
        </w:rPr>
        <w:footnoteReference w:id="11"/>
      </w:r>
      <w:r w:rsidR="001833E0" w:rsidRPr="00CB6BB3">
        <w:rPr>
          <w:lang w:val="es-ES_tradnl"/>
        </w:rPr>
        <w:t>,</w:t>
      </w:r>
      <w:r w:rsidRPr="00CB6BB3">
        <w:rPr>
          <w:lang w:val="es-ES_tradnl"/>
        </w:rPr>
        <w:t xml:space="preserve"> </w:t>
      </w:r>
      <w:r w:rsidR="008B7049" w:rsidRPr="00CB6BB3">
        <w:rPr>
          <w:lang w:val="es-ES_tradnl"/>
        </w:rPr>
        <w:t>tienen por objeto crear conciencia sobre las cuestiones de género entre el personal docente</w:t>
      </w:r>
      <w:r w:rsidRPr="00CB6BB3">
        <w:rPr>
          <w:lang w:val="es-ES_tradnl"/>
        </w:rPr>
        <w:t xml:space="preserve">, </w:t>
      </w:r>
      <w:r w:rsidR="001833E0" w:rsidRPr="00CB6BB3">
        <w:rPr>
          <w:lang w:val="es-ES_tradnl"/>
        </w:rPr>
        <w:t>directores</w:t>
      </w:r>
      <w:r w:rsidR="008B7049" w:rsidRPr="00CB6BB3">
        <w:rPr>
          <w:lang w:val="es-ES_tradnl"/>
        </w:rPr>
        <w:t xml:space="preserve"> y supervis</w:t>
      </w:r>
      <w:r w:rsidR="001833E0" w:rsidRPr="00CB6BB3">
        <w:rPr>
          <w:lang w:val="es-ES_tradnl"/>
        </w:rPr>
        <w:t xml:space="preserve">ores </w:t>
      </w:r>
      <w:r w:rsidR="008B7049" w:rsidRPr="00CB6BB3">
        <w:rPr>
          <w:lang w:val="es-ES_tradnl"/>
        </w:rPr>
        <w:t>de escuelas</w:t>
      </w:r>
      <w:r w:rsidRPr="00CB6BB3">
        <w:rPr>
          <w:lang w:val="es-ES_tradnl"/>
        </w:rPr>
        <w:t xml:space="preserve">. </w:t>
      </w:r>
      <w:r w:rsidR="008B7049" w:rsidRPr="00CB6BB3">
        <w:rPr>
          <w:lang w:val="es-ES_tradnl"/>
        </w:rPr>
        <w:t xml:space="preserve">Las conferencias y simposios realizados en toda </w:t>
      </w:r>
      <w:r w:rsidRPr="00CB6BB3">
        <w:rPr>
          <w:lang w:val="es-ES_tradnl"/>
        </w:rPr>
        <w:t>Austria</w:t>
      </w:r>
      <w:r w:rsidR="008B7049" w:rsidRPr="00CB6BB3">
        <w:rPr>
          <w:lang w:val="es-ES_tradnl"/>
        </w:rPr>
        <w:t xml:space="preserve"> y a nivel regional giraron en torno al tema de las escuelas atentas a las cuestiones de género y la incorporación de la perspectiva de género</w:t>
      </w:r>
      <w:r w:rsidRPr="00CB6BB3">
        <w:rPr>
          <w:lang w:val="es-ES_tradnl"/>
        </w:rPr>
        <w:t>.</w:t>
      </w:r>
    </w:p>
    <w:p w:rsidR="005E49B6" w:rsidRPr="00CB6BB3" w:rsidRDefault="005E49B6" w:rsidP="008B7049">
      <w:pPr>
        <w:pStyle w:val="SingleTxtG"/>
        <w:rPr>
          <w:lang w:val="es-ES_tradnl"/>
        </w:rPr>
      </w:pPr>
      <w:r w:rsidRPr="00CB6BB3">
        <w:rPr>
          <w:lang w:val="es-ES_tradnl"/>
        </w:rPr>
        <w:t>27.</w:t>
      </w:r>
      <w:r w:rsidRPr="00CB6BB3">
        <w:rPr>
          <w:lang w:val="es-ES_tradnl"/>
        </w:rPr>
        <w:tab/>
      </w:r>
      <w:r w:rsidR="008B7049" w:rsidRPr="00CB6BB3">
        <w:rPr>
          <w:lang w:val="es-ES_tradnl"/>
        </w:rPr>
        <w:t xml:space="preserve">En 2007, el tema elegido para conmemorar el </w:t>
      </w:r>
      <w:r w:rsidR="00C70626">
        <w:rPr>
          <w:lang w:val="es-ES_tradnl"/>
        </w:rPr>
        <w:t>"</w:t>
      </w:r>
      <w:r w:rsidR="008B7049" w:rsidRPr="00CB6BB3">
        <w:rPr>
          <w:lang w:val="es-ES_tradnl"/>
        </w:rPr>
        <w:t>Día del género</w:t>
      </w:r>
      <w:r w:rsidR="00C70626">
        <w:rPr>
          <w:lang w:val="es-ES_tradnl"/>
        </w:rPr>
        <w:t>"</w:t>
      </w:r>
      <w:r w:rsidR="008B7049" w:rsidRPr="00CB6BB3">
        <w:rPr>
          <w:lang w:val="es-ES_tradnl"/>
        </w:rPr>
        <w:t xml:space="preserve">, de ámbito escolar y creado por iniciativa conjunta de varios ministerios, fue </w:t>
      </w:r>
      <w:r w:rsidR="00C70626">
        <w:rPr>
          <w:lang w:val="es-ES_tradnl"/>
        </w:rPr>
        <w:t>"</w:t>
      </w:r>
      <w:r w:rsidR="000909D7" w:rsidRPr="00CB6BB3">
        <w:rPr>
          <w:lang w:val="es-ES_tradnl"/>
        </w:rPr>
        <w:t xml:space="preserve">Roles y </w:t>
      </w:r>
      <w:r w:rsidR="008B7049" w:rsidRPr="00CB6BB3">
        <w:rPr>
          <w:lang w:val="es-ES_tradnl"/>
        </w:rPr>
        <w:t>Estereotipos</w:t>
      </w:r>
      <w:r w:rsidR="000909D7" w:rsidRPr="00CB6BB3">
        <w:rPr>
          <w:lang w:val="es-ES_tradnl"/>
        </w:rPr>
        <w:t>,</w:t>
      </w:r>
      <w:r w:rsidR="008B7049" w:rsidRPr="00CB6BB3">
        <w:rPr>
          <w:lang w:val="es-ES_tradnl"/>
        </w:rPr>
        <w:t xml:space="preserve"> y prevención de la violencia</w:t>
      </w:r>
      <w:r w:rsidR="00C70626">
        <w:rPr>
          <w:lang w:val="es-ES_tradnl"/>
        </w:rPr>
        <w:t>"</w:t>
      </w:r>
      <w:r w:rsidR="008B7049" w:rsidRPr="00CB6BB3">
        <w:rPr>
          <w:lang w:val="es-ES_tradnl"/>
        </w:rPr>
        <w:t xml:space="preserve">, y en 2008, </w:t>
      </w:r>
      <w:r w:rsidR="00C70626">
        <w:rPr>
          <w:lang w:val="es-ES_tradnl"/>
        </w:rPr>
        <w:t>"</w:t>
      </w:r>
      <w:r w:rsidR="008B7049" w:rsidRPr="00CB6BB3">
        <w:rPr>
          <w:lang w:val="es-ES_tradnl"/>
        </w:rPr>
        <w:t>La migració</w:t>
      </w:r>
      <w:r w:rsidRPr="00CB6BB3">
        <w:rPr>
          <w:lang w:val="es-ES_tradnl"/>
        </w:rPr>
        <w:t xml:space="preserve">n </w:t>
      </w:r>
      <w:r w:rsidR="008B7049" w:rsidRPr="00CB6BB3">
        <w:rPr>
          <w:lang w:val="es-ES_tradnl"/>
        </w:rPr>
        <w:t>y el género</w:t>
      </w:r>
      <w:r w:rsidR="00C70626">
        <w:rPr>
          <w:lang w:val="es-ES_tradnl"/>
        </w:rPr>
        <w:t>"</w:t>
      </w:r>
      <w:r w:rsidRPr="00CB6BB3">
        <w:rPr>
          <w:lang w:val="es-ES_tradnl"/>
        </w:rPr>
        <w:t xml:space="preserve">. </w:t>
      </w:r>
      <w:r w:rsidR="008B7049" w:rsidRPr="00CB6BB3">
        <w:rPr>
          <w:lang w:val="es-ES_tradnl"/>
        </w:rPr>
        <w:t xml:space="preserve">Esta iniciativa, que ahora lleva por nombre </w:t>
      </w:r>
      <w:r w:rsidR="00C70626">
        <w:rPr>
          <w:lang w:val="es-ES_tradnl"/>
        </w:rPr>
        <w:t>"</w:t>
      </w:r>
      <w:r w:rsidR="008B7049" w:rsidRPr="00CB6BB3">
        <w:rPr>
          <w:lang w:val="es-ES_tradnl"/>
        </w:rPr>
        <w:t>El género, una cuestión de actualidad</w:t>
      </w:r>
      <w:r w:rsidR="00C70626">
        <w:rPr>
          <w:lang w:val="es-ES_tradnl"/>
        </w:rPr>
        <w:t>"</w:t>
      </w:r>
      <w:r w:rsidR="008B7049" w:rsidRPr="00CB6BB3">
        <w:rPr>
          <w:lang w:val="es-ES_tradnl"/>
        </w:rPr>
        <w:t xml:space="preserve"> sigue en marcha; se espera que impulse la reflexión sobre los estereotipos de género</w:t>
      </w:r>
      <w:r w:rsidRPr="00CB6BB3">
        <w:rPr>
          <w:lang w:val="es-ES_tradnl"/>
        </w:rPr>
        <w:t xml:space="preserve">. </w:t>
      </w:r>
    </w:p>
    <w:p w:rsidR="005E49B6" w:rsidRPr="00CB6BB3" w:rsidRDefault="005E49B6" w:rsidP="005E49B6">
      <w:pPr>
        <w:pStyle w:val="SingleTxtG"/>
        <w:rPr>
          <w:lang w:val="es-ES_tradnl"/>
        </w:rPr>
      </w:pPr>
      <w:r w:rsidRPr="00CB6BB3">
        <w:rPr>
          <w:lang w:val="es-ES_tradnl"/>
        </w:rPr>
        <w:t>28.</w:t>
      </w:r>
      <w:r w:rsidRPr="00CB6BB3">
        <w:rPr>
          <w:lang w:val="es-ES_tradnl"/>
        </w:rPr>
        <w:tab/>
      </w:r>
      <w:r w:rsidR="008B7049" w:rsidRPr="00CB6BB3">
        <w:rPr>
          <w:lang w:val="es-ES_tradnl"/>
        </w:rPr>
        <w:t xml:space="preserve">Ya en </w:t>
      </w:r>
      <w:r w:rsidRPr="00CB6BB3">
        <w:rPr>
          <w:lang w:val="es-ES_tradnl"/>
        </w:rPr>
        <w:t xml:space="preserve">2001, </w:t>
      </w:r>
      <w:r w:rsidR="008B7049" w:rsidRPr="00CB6BB3">
        <w:rPr>
          <w:lang w:val="es-ES_tradnl"/>
        </w:rPr>
        <w:t>todas las provincias federales organiz</w:t>
      </w:r>
      <w:r w:rsidR="000909D7" w:rsidRPr="00CB6BB3">
        <w:rPr>
          <w:lang w:val="es-ES_tradnl"/>
        </w:rPr>
        <w:t xml:space="preserve">aron el primer </w:t>
      </w:r>
      <w:r w:rsidR="00C70626">
        <w:rPr>
          <w:lang w:val="es-ES_tradnl"/>
        </w:rPr>
        <w:t>"</w:t>
      </w:r>
      <w:r w:rsidR="000909D7" w:rsidRPr="00CB6BB3">
        <w:rPr>
          <w:lang w:val="es-ES_tradnl"/>
        </w:rPr>
        <w:t>Día de la hija mujer</w:t>
      </w:r>
      <w:r w:rsidR="00C70626">
        <w:rPr>
          <w:lang w:val="es-ES_tradnl"/>
        </w:rPr>
        <w:t>"</w:t>
      </w:r>
      <w:r w:rsidR="008B7049" w:rsidRPr="00CB6BB3">
        <w:rPr>
          <w:lang w:val="es-ES_tradnl"/>
        </w:rPr>
        <w:t xml:space="preserve">, o </w:t>
      </w:r>
      <w:r w:rsidR="00C70626">
        <w:rPr>
          <w:lang w:val="es-ES_tradnl"/>
        </w:rPr>
        <w:t>"</w:t>
      </w:r>
      <w:r w:rsidR="008B7049" w:rsidRPr="00CB6BB3">
        <w:rPr>
          <w:lang w:val="es-ES_tradnl"/>
        </w:rPr>
        <w:t>Día de las Niñas</w:t>
      </w:r>
      <w:r w:rsidR="00C70626">
        <w:rPr>
          <w:lang w:val="es-ES_tradnl"/>
        </w:rPr>
        <w:t>"</w:t>
      </w:r>
      <w:r w:rsidRPr="00CB6BB3">
        <w:rPr>
          <w:lang w:val="es-ES_tradnl"/>
        </w:rPr>
        <w:t xml:space="preserve">. </w:t>
      </w:r>
      <w:r w:rsidR="008B7049" w:rsidRPr="00CB6BB3">
        <w:rPr>
          <w:lang w:val="es-ES_tradnl"/>
        </w:rPr>
        <w:t>Desde entonces, al conmemorar este Día se procura despertar el interés de las niñas por ocupaciones y profesiones técnicas y orientadas al futuro</w:t>
      </w:r>
      <w:r w:rsidRPr="00CB6BB3">
        <w:rPr>
          <w:lang w:val="es-ES_tradnl"/>
        </w:rPr>
        <w:t xml:space="preserve">. </w:t>
      </w:r>
      <w:r w:rsidR="008B7049" w:rsidRPr="00CB6BB3">
        <w:rPr>
          <w:lang w:val="es-ES_tradnl"/>
        </w:rPr>
        <w:t>Desd</w:t>
      </w:r>
      <w:r w:rsidRPr="00CB6BB3">
        <w:rPr>
          <w:lang w:val="es-ES_tradnl"/>
        </w:rPr>
        <w:t xml:space="preserve">e 2006, </w:t>
      </w:r>
      <w:r w:rsidR="001833E0" w:rsidRPr="00CB6BB3">
        <w:rPr>
          <w:lang w:val="es-ES_tradnl"/>
        </w:rPr>
        <w:t>también se celebr</w:t>
      </w:r>
      <w:r w:rsidR="008B7049" w:rsidRPr="00CB6BB3">
        <w:rPr>
          <w:lang w:val="es-ES_tradnl"/>
        </w:rPr>
        <w:t>a un Día de las Niñas en la administración pública federa</w:t>
      </w:r>
      <w:r w:rsidR="00284F88" w:rsidRPr="00CB6BB3">
        <w:rPr>
          <w:lang w:val="es-ES_tradnl"/>
        </w:rPr>
        <w:t>l</w:t>
      </w:r>
      <w:r w:rsidRPr="00CB6BB3">
        <w:rPr>
          <w:rStyle w:val="FootnoteReference"/>
          <w:lang w:val="es-ES_tradnl"/>
        </w:rPr>
        <w:footnoteReference w:id="12"/>
      </w:r>
      <w:r w:rsidR="00284F88" w:rsidRPr="00CB6BB3">
        <w:rPr>
          <w:lang w:val="es-ES_tradnl"/>
        </w:rPr>
        <w:t>. En 2007</w:t>
      </w:r>
      <w:r w:rsidR="001833E0" w:rsidRPr="00CB6BB3">
        <w:rPr>
          <w:lang w:val="es-ES_tradnl"/>
        </w:rPr>
        <w:t>,</w:t>
      </w:r>
      <w:r w:rsidR="00284F88" w:rsidRPr="00CB6BB3">
        <w:rPr>
          <w:lang w:val="es-ES_tradnl"/>
        </w:rPr>
        <w:t xml:space="preserve"> se celebró una reunión en torno al tema </w:t>
      </w:r>
      <w:r w:rsidR="00C70626">
        <w:rPr>
          <w:lang w:val="es-ES_tradnl"/>
        </w:rPr>
        <w:t>"</w:t>
      </w:r>
      <w:r w:rsidR="00284F88" w:rsidRPr="00CB6BB3">
        <w:rPr>
          <w:lang w:val="es-ES_tradnl"/>
        </w:rPr>
        <w:t>¿Quién lleva los pantalones en el periodismo?</w:t>
      </w:r>
      <w:r w:rsidR="00C70626">
        <w:rPr>
          <w:lang w:val="es-ES_tradnl"/>
        </w:rPr>
        <w:t>"</w:t>
      </w:r>
      <w:r w:rsidR="00284F88" w:rsidRPr="00CB6BB3">
        <w:rPr>
          <w:lang w:val="es-ES_tradnl"/>
        </w:rPr>
        <w:t>, en la que se abordaron las oportunidades profesionales de las mujeres periodistas</w:t>
      </w:r>
      <w:r w:rsidR="000909D7" w:rsidRPr="00CB6BB3">
        <w:rPr>
          <w:lang w:val="es-ES_tradnl"/>
        </w:rPr>
        <w:t xml:space="preserve"> y sus posibilidades de </w:t>
      </w:r>
      <w:r w:rsidR="00284F88" w:rsidRPr="00CB6BB3">
        <w:rPr>
          <w:lang w:val="es-ES_tradnl"/>
        </w:rPr>
        <w:t>influ</w:t>
      </w:r>
      <w:r w:rsidR="000909D7" w:rsidRPr="00CB6BB3">
        <w:rPr>
          <w:lang w:val="es-ES_tradnl"/>
        </w:rPr>
        <w:t>ir</w:t>
      </w:r>
      <w:r w:rsidRPr="00CB6BB3">
        <w:rPr>
          <w:lang w:val="es-ES_tradnl"/>
        </w:rPr>
        <w:t xml:space="preserve">. </w:t>
      </w:r>
      <w:r w:rsidR="00284F88" w:rsidRPr="00CB6BB3">
        <w:rPr>
          <w:lang w:val="es-ES_tradnl"/>
        </w:rPr>
        <w:t>Se publicaron los resultados de una evaluación especial de la situación de la mujer en el periodismo</w:t>
      </w:r>
      <w:r w:rsidRPr="00CB6BB3">
        <w:rPr>
          <w:rStyle w:val="FootnoteReference"/>
          <w:lang w:val="es-ES_tradnl"/>
        </w:rPr>
        <w:footnoteReference w:id="13"/>
      </w:r>
      <w:r w:rsidRPr="00CB6BB3">
        <w:rPr>
          <w:lang w:val="es-ES_tradnl"/>
        </w:rPr>
        <w:t xml:space="preserve">. </w:t>
      </w:r>
      <w:r w:rsidR="00284F88" w:rsidRPr="00CB6BB3">
        <w:rPr>
          <w:lang w:val="es-ES_tradnl"/>
        </w:rPr>
        <w:t>En octubre de</w:t>
      </w:r>
      <w:r w:rsidRPr="00CB6BB3">
        <w:rPr>
          <w:lang w:val="es-ES_tradnl"/>
        </w:rPr>
        <w:t xml:space="preserve"> 2010, </w:t>
      </w:r>
      <w:r w:rsidR="00284F88" w:rsidRPr="00CB6BB3">
        <w:rPr>
          <w:lang w:val="es-ES_tradnl"/>
        </w:rPr>
        <w:t>se organizó una conferencia internac</w:t>
      </w:r>
      <w:r w:rsidRPr="00CB6BB3">
        <w:rPr>
          <w:lang w:val="es-ES_tradnl"/>
        </w:rPr>
        <w:t>ional</w:t>
      </w:r>
      <w:r w:rsidR="00284F88" w:rsidRPr="00CB6BB3">
        <w:rPr>
          <w:lang w:val="es-ES_tradnl"/>
        </w:rPr>
        <w:t xml:space="preserve"> sobre el tema </w:t>
      </w:r>
      <w:r w:rsidR="00C70626">
        <w:rPr>
          <w:lang w:val="es-ES_tradnl"/>
        </w:rPr>
        <w:t>"</w:t>
      </w:r>
      <w:r w:rsidR="00284F88" w:rsidRPr="00CB6BB3">
        <w:rPr>
          <w:lang w:val="es-ES_tradnl"/>
        </w:rPr>
        <w:t>Sexismo y publicidad</w:t>
      </w:r>
      <w:r w:rsidR="00C70626">
        <w:rPr>
          <w:lang w:val="es-ES_tradnl"/>
        </w:rPr>
        <w:t>"</w:t>
      </w:r>
      <w:r w:rsidRPr="00CB6BB3">
        <w:rPr>
          <w:lang w:val="es-ES_tradnl"/>
        </w:rPr>
        <w:t>.</w:t>
      </w:r>
    </w:p>
    <w:p w:rsidR="005E49B6" w:rsidRPr="00CB6BB3" w:rsidRDefault="005E49B6" w:rsidP="005E49B6">
      <w:pPr>
        <w:pStyle w:val="SingleTxtG"/>
        <w:rPr>
          <w:lang w:val="es-ES_tradnl"/>
        </w:rPr>
      </w:pPr>
      <w:r w:rsidRPr="00CB6BB3">
        <w:rPr>
          <w:lang w:val="es-ES_tradnl"/>
        </w:rPr>
        <w:t>29.</w:t>
      </w:r>
      <w:r w:rsidRPr="00CB6BB3">
        <w:rPr>
          <w:lang w:val="es-ES_tradnl"/>
        </w:rPr>
        <w:tab/>
      </w:r>
      <w:r w:rsidR="00284F88" w:rsidRPr="00CB6BB3">
        <w:rPr>
          <w:lang w:val="es-ES_tradnl"/>
        </w:rPr>
        <w:t>Cada año se entrega</w:t>
      </w:r>
      <w:r w:rsidR="00A21D99" w:rsidRPr="00CB6BB3">
        <w:rPr>
          <w:lang w:val="es-ES_tradnl"/>
        </w:rPr>
        <w:t>n los premios Käthe Leichter, entre ellos,</w:t>
      </w:r>
      <w:r w:rsidR="00284F88" w:rsidRPr="00CB6BB3">
        <w:rPr>
          <w:lang w:val="es-ES_tradnl"/>
        </w:rPr>
        <w:t xml:space="preserve"> el premio </w:t>
      </w:r>
      <w:r w:rsidR="001833E0" w:rsidRPr="00CB6BB3">
        <w:rPr>
          <w:lang w:val="es-ES_tradnl"/>
        </w:rPr>
        <w:t>estatal Käthe Leichter</w:t>
      </w:r>
      <w:r w:rsidRPr="00CB6BB3">
        <w:rPr>
          <w:lang w:val="es-ES_tradnl"/>
        </w:rPr>
        <w:t xml:space="preserve"> </w:t>
      </w:r>
      <w:r w:rsidR="00284F88" w:rsidRPr="00CB6BB3">
        <w:rPr>
          <w:lang w:val="es-ES_tradnl"/>
        </w:rPr>
        <w:t>para la mujer y la investigación sobre el g</w:t>
      </w:r>
      <w:r w:rsidR="00A21D99" w:rsidRPr="00CB6BB3">
        <w:rPr>
          <w:lang w:val="es-ES_tradnl"/>
        </w:rPr>
        <w:t>énero</w:t>
      </w:r>
      <w:r w:rsidRPr="00CB6BB3">
        <w:rPr>
          <w:lang w:val="es-ES_tradnl"/>
        </w:rPr>
        <w:t xml:space="preserve">. </w:t>
      </w:r>
      <w:r w:rsidR="00A21D99" w:rsidRPr="00CB6BB3">
        <w:rPr>
          <w:lang w:val="es-ES_tradnl"/>
        </w:rPr>
        <w:t>Con este galardón</w:t>
      </w:r>
      <w:r w:rsidR="00284F88" w:rsidRPr="00CB6BB3">
        <w:rPr>
          <w:lang w:val="es-ES_tradnl"/>
        </w:rPr>
        <w:t xml:space="preserve"> se conmemora la vida y la labor de la economista austríaca </w:t>
      </w:r>
      <w:r w:rsidRPr="00CB6BB3">
        <w:rPr>
          <w:lang w:val="es-ES_tradnl"/>
        </w:rPr>
        <w:t>Käthe Leichter</w:t>
      </w:r>
      <w:r w:rsidR="00284F88" w:rsidRPr="00CB6BB3">
        <w:rPr>
          <w:lang w:val="es-ES_tradnl"/>
        </w:rPr>
        <w:t>, y se da reconocimiento a los logros destacados en las ciencias sociales, el arte y la cultura, así como al movimiento feminista y las actividades para lograr la igualdad de género</w:t>
      </w:r>
      <w:r w:rsidRPr="00CB6BB3">
        <w:rPr>
          <w:rStyle w:val="FootnoteReference"/>
          <w:lang w:val="es-ES_tradnl"/>
        </w:rPr>
        <w:footnoteReference w:id="14"/>
      </w:r>
      <w:r w:rsidR="00284F88" w:rsidRPr="00CB6BB3">
        <w:rPr>
          <w:lang w:val="es-ES_tradnl"/>
        </w:rPr>
        <w:t>.</w:t>
      </w:r>
    </w:p>
    <w:p w:rsidR="005E49B6" w:rsidRPr="00CB6BB3" w:rsidRDefault="005E49B6" w:rsidP="005E49B6">
      <w:pPr>
        <w:pStyle w:val="H1G"/>
        <w:rPr>
          <w:lang w:val="es-ES_tradnl"/>
        </w:rPr>
      </w:pPr>
      <w:r w:rsidRPr="00CB6BB3">
        <w:rPr>
          <w:lang w:val="es-ES_tradnl"/>
        </w:rPr>
        <w:tab/>
      </w:r>
      <w:r w:rsidRPr="00CB6BB3">
        <w:rPr>
          <w:lang w:val="es-ES_tradnl"/>
        </w:rPr>
        <w:tab/>
        <w:t>Resp</w:t>
      </w:r>
      <w:r w:rsidR="007E0F29" w:rsidRPr="00CB6BB3">
        <w:rPr>
          <w:lang w:val="es-ES_tradnl"/>
        </w:rPr>
        <w:t>uesta a las observaciones finales de los párrafos 1</w:t>
      </w:r>
      <w:r w:rsidRPr="00CB6BB3">
        <w:rPr>
          <w:lang w:val="es-ES_tradnl"/>
        </w:rPr>
        <w:t xml:space="preserve">9 </w:t>
      </w:r>
      <w:r w:rsidR="007E0F29" w:rsidRPr="00CB6BB3">
        <w:rPr>
          <w:lang w:val="es-ES_tradnl"/>
        </w:rPr>
        <w:t>y</w:t>
      </w:r>
      <w:r w:rsidRPr="00CB6BB3">
        <w:rPr>
          <w:lang w:val="es-ES_tradnl"/>
        </w:rPr>
        <w:t xml:space="preserve"> 20</w:t>
      </w:r>
      <w:r w:rsidRPr="00CB6BB3">
        <w:rPr>
          <w:lang w:val="es-ES_tradnl"/>
        </w:rPr>
        <w:br/>
      </w:r>
      <w:r w:rsidR="007E0F29" w:rsidRPr="00CB6BB3">
        <w:rPr>
          <w:lang w:val="es-ES_tradnl"/>
        </w:rPr>
        <w:t xml:space="preserve">Plan de Acción Nacional sobre Igualdad de Género en el Mercado </w:t>
      </w:r>
      <w:r w:rsidR="005C668E">
        <w:rPr>
          <w:lang w:val="es-ES_tradnl"/>
        </w:rPr>
        <w:br/>
      </w:r>
      <w:r w:rsidR="007E0F29" w:rsidRPr="00CB6BB3">
        <w:rPr>
          <w:lang w:val="es-ES_tradnl"/>
        </w:rPr>
        <w:t>de Trabajo</w:t>
      </w:r>
    </w:p>
    <w:p w:rsidR="005E49B6" w:rsidRPr="00CB6BB3" w:rsidRDefault="005E49B6" w:rsidP="005E49B6">
      <w:pPr>
        <w:pStyle w:val="SingleTxtG"/>
        <w:rPr>
          <w:lang w:val="es-ES_tradnl"/>
        </w:rPr>
      </w:pPr>
      <w:r w:rsidRPr="00CB6BB3">
        <w:rPr>
          <w:lang w:val="es-ES_tradnl"/>
        </w:rPr>
        <w:t>30.</w:t>
      </w:r>
      <w:r w:rsidRPr="00CB6BB3">
        <w:rPr>
          <w:lang w:val="es-ES_tradnl"/>
        </w:rPr>
        <w:tab/>
      </w:r>
      <w:r w:rsidR="00443140" w:rsidRPr="00CB6BB3">
        <w:rPr>
          <w:lang w:val="es-ES_tradnl"/>
        </w:rPr>
        <w:t>A nivel político, se han redoblado los esfuerzos para</w:t>
      </w:r>
      <w:r w:rsidR="00E1511C" w:rsidRPr="00CB6BB3">
        <w:rPr>
          <w:lang w:val="es-ES_tradnl"/>
        </w:rPr>
        <w:t xml:space="preserve"> eliminar la situa</w:t>
      </w:r>
      <w:r w:rsidR="00443140" w:rsidRPr="00CB6BB3">
        <w:rPr>
          <w:lang w:val="es-ES_tradnl"/>
        </w:rPr>
        <w:t>ción de desventaja de la mujer en el mercado de trabajo</w:t>
      </w:r>
      <w:r w:rsidR="00E1511C" w:rsidRPr="00CB6BB3">
        <w:rPr>
          <w:lang w:val="es-ES_tradnl"/>
        </w:rPr>
        <w:t xml:space="preserve">. Entre 2004 y 2009, </w:t>
      </w:r>
      <w:r w:rsidR="00443140" w:rsidRPr="00CB6BB3">
        <w:rPr>
          <w:lang w:val="es-ES_tradnl"/>
        </w:rPr>
        <w:t>el número</w:t>
      </w:r>
      <w:r w:rsidR="00E1511C" w:rsidRPr="00CB6BB3">
        <w:rPr>
          <w:lang w:val="es-ES_tradnl"/>
        </w:rPr>
        <w:t xml:space="preserve"> de mujeres en el empleo activo</w:t>
      </w:r>
      <w:r w:rsidR="00443140" w:rsidRPr="00CB6BB3">
        <w:rPr>
          <w:lang w:val="es-ES_tradnl"/>
        </w:rPr>
        <w:t xml:space="preserve"> </w:t>
      </w:r>
      <w:r w:rsidR="00E1511C" w:rsidRPr="00CB6BB3">
        <w:rPr>
          <w:lang w:val="es-ES_tradnl"/>
        </w:rPr>
        <w:t>aumentó en un</w:t>
      </w:r>
      <w:r w:rsidR="00443140" w:rsidRPr="00CB6BB3">
        <w:rPr>
          <w:lang w:val="es-ES_tradnl"/>
        </w:rPr>
        <w:t xml:space="preserve"> 9,4</w:t>
      </w:r>
      <w:r w:rsidR="00B34FFF">
        <w:rPr>
          <w:lang w:val="es-ES_tradnl"/>
        </w:rPr>
        <w:t>%</w:t>
      </w:r>
      <w:r w:rsidRPr="00CB6BB3">
        <w:rPr>
          <w:lang w:val="es-ES_tradnl"/>
        </w:rPr>
        <w:t xml:space="preserve">, </w:t>
      </w:r>
      <w:r w:rsidR="00443140" w:rsidRPr="00CB6BB3">
        <w:rPr>
          <w:lang w:val="es-ES_tradnl"/>
        </w:rPr>
        <w:t xml:space="preserve">mientras que el </w:t>
      </w:r>
      <w:r w:rsidR="00E1511C" w:rsidRPr="00CB6BB3">
        <w:rPr>
          <w:lang w:val="es-ES_tradnl"/>
        </w:rPr>
        <w:t xml:space="preserve">número </w:t>
      </w:r>
      <w:r w:rsidR="00443140" w:rsidRPr="00CB6BB3">
        <w:rPr>
          <w:lang w:val="es-ES_tradnl"/>
        </w:rPr>
        <w:t xml:space="preserve">de hombres </w:t>
      </w:r>
      <w:r w:rsidR="00E1511C" w:rsidRPr="00CB6BB3">
        <w:rPr>
          <w:lang w:val="es-ES_tradnl"/>
        </w:rPr>
        <w:t>lo hizo en un</w:t>
      </w:r>
      <w:r w:rsidR="00443140" w:rsidRPr="00CB6BB3">
        <w:rPr>
          <w:lang w:val="es-ES_tradnl"/>
        </w:rPr>
        <w:t xml:space="preserve"> </w:t>
      </w:r>
      <w:r w:rsidR="00E1511C" w:rsidRPr="00CB6BB3">
        <w:rPr>
          <w:lang w:val="es-ES_tradnl"/>
        </w:rPr>
        <w:t>3,</w:t>
      </w:r>
      <w:r w:rsidR="00443140" w:rsidRPr="00CB6BB3">
        <w:rPr>
          <w:lang w:val="es-ES_tradnl"/>
        </w:rPr>
        <w:t>1</w:t>
      </w:r>
      <w:r w:rsidR="00B34FFF">
        <w:rPr>
          <w:lang w:val="es-ES_tradnl"/>
        </w:rPr>
        <w:t>%</w:t>
      </w:r>
      <w:r w:rsidRPr="00CB6BB3">
        <w:rPr>
          <w:rStyle w:val="FootnoteReference"/>
          <w:lang w:val="es-ES_tradnl"/>
        </w:rPr>
        <w:footnoteReference w:id="15"/>
      </w:r>
      <w:r w:rsidR="00443140" w:rsidRPr="00CB6BB3">
        <w:rPr>
          <w:lang w:val="es-ES_tradnl"/>
        </w:rPr>
        <w:t>.</w:t>
      </w:r>
      <w:r w:rsidRPr="00CB6BB3">
        <w:rPr>
          <w:lang w:val="es-ES_tradnl"/>
        </w:rPr>
        <w:t xml:space="preserve"> </w:t>
      </w:r>
      <w:r w:rsidR="00443140" w:rsidRPr="00CB6BB3">
        <w:rPr>
          <w:lang w:val="es-ES_tradnl"/>
        </w:rPr>
        <w:t xml:space="preserve">El </w:t>
      </w:r>
      <w:r w:rsidR="00E1511C" w:rsidRPr="00CB6BB3">
        <w:rPr>
          <w:lang w:val="es-ES_tradnl"/>
        </w:rPr>
        <w:t>increm</w:t>
      </w:r>
      <w:r w:rsidR="00443140" w:rsidRPr="00CB6BB3">
        <w:rPr>
          <w:lang w:val="es-ES_tradnl"/>
        </w:rPr>
        <w:t xml:space="preserve">ento de la tasa de empleo </w:t>
      </w:r>
      <w:r w:rsidR="00E1511C" w:rsidRPr="00CB6BB3">
        <w:rPr>
          <w:lang w:val="es-ES_tradnl"/>
        </w:rPr>
        <w:t xml:space="preserve">en principio </w:t>
      </w:r>
      <w:r w:rsidR="00443140" w:rsidRPr="00CB6BB3">
        <w:rPr>
          <w:lang w:val="es-ES_tradnl"/>
        </w:rPr>
        <w:t>puede a</w:t>
      </w:r>
      <w:r w:rsidR="00E1511C" w:rsidRPr="00CB6BB3">
        <w:rPr>
          <w:lang w:val="es-ES_tradnl"/>
        </w:rPr>
        <w:t>tribuirse</w:t>
      </w:r>
      <w:r w:rsidR="00443140" w:rsidRPr="00CB6BB3">
        <w:rPr>
          <w:lang w:val="es-ES_tradnl"/>
        </w:rPr>
        <w:t xml:space="preserve"> al mayor número de empleos a tiempo</w:t>
      </w:r>
      <w:r w:rsidR="006A5335" w:rsidRPr="00CB6BB3">
        <w:rPr>
          <w:lang w:val="es-ES_tradnl"/>
        </w:rPr>
        <w:t xml:space="preserve"> parcial. Las mujeres representa</w:t>
      </w:r>
      <w:r w:rsidR="00443140" w:rsidRPr="00CB6BB3">
        <w:rPr>
          <w:lang w:val="es-ES_tradnl"/>
        </w:rPr>
        <w:t>n sólo un 35</w:t>
      </w:r>
      <w:r w:rsidR="00B34FFF">
        <w:rPr>
          <w:lang w:val="es-ES_tradnl"/>
        </w:rPr>
        <w:t>%</w:t>
      </w:r>
      <w:r w:rsidR="00443140" w:rsidRPr="00CB6BB3">
        <w:rPr>
          <w:lang w:val="es-ES_tradnl"/>
        </w:rPr>
        <w:t xml:space="preserve"> de los empleados a tiempo completo</w:t>
      </w:r>
      <w:r w:rsidRPr="00CB6BB3">
        <w:rPr>
          <w:lang w:val="es-ES_tradnl"/>
        </w:rPr>
        <w:t xml:space="preserve">. </w:t>
      </w:r>
      <w:r w:rsidR="00DD3D70" w:rsidRPr="00CB6BB3">
        <w:rPr>
          <w:lang w:val="es-ES_tradnl"/>
        </w:rPr>
        <w:t>Las oportunidades laborales</w:t>
      </w:r>
      <w:r w:rsidR="00443140" w:rsidRPr="00CB6BB3">
        <w:rPr>
          <w:lang w:val="es-ES_tradnl"/>
        </w:rPr>
        <w:t xml:space="preserve"> en las diversas </w:t>
      </w:r>
      <w:r w:rsidR="00DD3D70" w:rsidRPr="00CB6BB3">
        <w:rPr>
          <w:lang w:val="es-ES_tradnl"/>
        </w:rPr>
        <w:t>áreas de ocupación, e</w:t>
      </w:r>
      <w:r w:rsidRPr="00CB6BB3">
        <w:rPr>
          <w:lang w:val="es-ES_tradnl"/>
        </w:rPr>
        <w:t>n</w:t>
      </w:r>
      <w:r w:rsidR="00DD3D70" w:rsidRPr="00CB6BB3">
        <w:rPr>
          <w:lang w:val="es-ES_tradnl"/>
        </w:rPr>
        <w:t xml:space="preserve"> los distintos sectores de la economía y en los diversos cargos son dispares para las mujeres y para los hombres</w:t>
      </w:r>
      <w:r w:rsidRPr="00CB6BB3">
        <w:rPr>
          <w:lang w:val="es-ES_tradnl"/>
        </w:rPr>
        <w:t xml:space="preserve">. </w:t>
      </w:r>
      <w:r w:rsidR="00E1511C" w:rsidRPr="00CB6BB3">
        <w:rPr>
          <w:lang w:val="es-ES_tradnl"/>
        </w:rPr>
        <w:t>Por lo que respecta a la remuneración por hora,</w:t>
      </w:r>
      <w:r w:rsidR="004F5188" w:rsidRPr="00CB6BB3">
        <w:rPr>
          <w:lang w:val="es-ES_tradnl"/>
        </w:rPr>
        <w:t xml:space="preserve"> </w:t>
      </w:r>
      <w:r w:rsidR="00E1511C" w:rsidRPr="00CB6BB3">
        <w:rPr>
          <w:lang w:val="es-ES_tradnl"/>
        </w:rPr>
        <w:t>no s</w:t>
      </w:r>
      <w:r w:rsidR="004F5188" w:rsidRPr="00CB6BB3">
        <w:rPr>
          <w:lang w:val="es-ES_tradnl"/>
        </w:rPr>
        <w:t>e ha reducido la diferen</w:t>
      </w:r>
      <w:r w:rsidR="00E1511C" w:rsidRPr="00CB6BB3">
        <w:rPr>
          <w:lang w:val="es-ES_tradnl"/>
        </w:rPr>
        <w:t>cia relacionada con el género</w:t>
      </w:r>
      <w:r w:rsidR="004F5188" w:rsidRPr="00CB6BB3">
        <w:rPr>
          <w:lang w:val="es-ES_tradnl"/>
        </w:rPr>
        <w:t xml:space="preserve"> (que en 2009</w:t>
      </w:r>
      <w:r w:rsidR="00E1511C" w:rsidRPr="00CB6BB3">
        <w:rPr>
          <w:lang w:val="es-ES_tradnl"/>
        </w:rPr>
        <w:t xml:space="preserve">, en el caso de las mujeres seguía siendo un </w:t>
      </w:r>
      <w:r w:rsidR="004F5188" w:rsidRPr="00CB6BB3">
        <w:rPr>
          <w:lang w:val="es-ES_tradnl"/>
        </w:rPr>
        <w:t>25,4</w:t>
      </w:r>
      <w:r w:rsidR="00B34FFF">
        <w:rPr>
          <w:lang w:val="es-ES_tradnl"/>
        </w:rPr>
        <w:t>%</w:t>
      </w:r>
      <w:r w:rsidR="004F5188" w:rsidRPr="00CB6BB3">
        <w:rPr>
          <w:lang w:val="es-ES_tradnl"/>
        </w:rPr>
        <w:t xml:space="preserve"> </w:t>
      </w:r>
      <w:r w:rsidR="00E1511C" w:rsidRPr="00CB6BB3">
        <w:rPr>
          <w:lang w:val="es-ES_tradnl"/>
        </w:rPr>
        <w:t>inferi</w:t>
      </w:r>
      <w:r w:rsidR="00BB2D2E" w:rsidRPr="00CB6BB3">
        <w:rPr>
          <w:lang w:val="es-ES_tradnl"/>
        </w:rPr>
        <w:t>o</w:t>
      </w:r>
      <w:r w:rsidR="00E1511C" w:rsidRPr="00CB6BB3">
        <w:rPr>
          <w:lang w:val="es-ES_tradnl"/>
        </w:rPr>
        <w:t>r</w:t>
      </w:r>
      <w:r w:rsidRPr="00CB6BB3">
        <w:rPr>
          <w:lang w:val="es-ES_tradnl"/>
        </w:rPr>
        <w:t>)</w:t>
      </w:r>
      <w:r w:rsidRPr="00CB6BB3">
        <w:rPr>
          <w:rStyle w:val="FootnoteReference"/>
          <w:lang w:val="es-ES_tradnl"/>
        </w:rPr>
        <w:footnoteReference w:id="16"/>
      </w:r>
      <w:r w:rsidRPr="00CB6BB3">
        <w:rPr>
          <w:lang w:val="es-ES_tradnl"/>
        </w:rPr>
        <w:t xml:space="preserve">. </w:t>
      </w:r>
      <w:r w:rsidR="004F5188" w:rsidRPr="00CB6BB3">
        <w:rPr>
          <w:lang w:val="es-ES_tradnl"/>
        </w:rPr>
        <w:t>A consecuencia de la crisis</w:t>
      </w:r>
      <w:r w:rsidR="006B77AE" w:rsidRPr="00CB6BB3">
        <w:rPr>
          <w:lang w:val="es-ES_tradnl"/>
        </w:rPr>
        <w:t xml:space="preserve"> financiera y económica de 2009</w:t>
      </w:r>
      <w:r w:rsidR="004F5188" w:rsidRPr="00CB6BB3">
        <w:rPr>
          <w:lang w:val="es-ES_tradnl"/>
        </w:rPr>
        <w:t xml:space="preserve"> </w:t>
      </w:r>
      <w:r w:rsidR="00615737" w:rsidRPr="00CB6BB3">
        <w:rPr>
          <w:lang w:val="es-ES_tradnl"/>
        </w:rPr>
        <w:t xml:space="preserve">se redujo </w:t>
      </w:r>
      <w:r w:rsidR="004F5188" w:rsidRPr="00CB6BB3">
        <w:rPr>
          <w:lang w:val="es-ES_tradnl"/>
        </w:rPr>
        <w:t>el número de puestos de trabajo a tiempo completo entre las mujeres</w:t>
      </w:r>
      <w:r w:rsidRPr="00CB6BB3">
        <w:rPr>
          <w:lang w:val="es-ES_tradnl"/>
        </w:rPr>
        <w:t xml:space="preserve">, </w:t>
      </w:r>
      <w:r w:rsidR="006B77AE" w:rsidRPr="00CB6BB3">
        <w:rPr>
          <w:lang w:val="es-ES_tradnl"/>
        </w:rPr>
        <w:t>en comparación con</w:t>
      </w:r>
      <w:r w:rsidR="004F5188" w:rsidRPr="00CB6BB3">
        <w:rPr>
          <w:lang w:val="es-ES_tradnl"/>
        </w:rPr>
        <w:t xml:space="preserve"> el trabajo a tiempo parcial</w:t>
      </w:r>
      <w:r w:rsidR="006B77AE" w:rsidRPr="00CB6BB3">
        <w:rPr>
          <w:lang w:val="es-ES_tradnl"/>
        </w:rPr>
        <w:t>, que</w:t>
      </w:r>
      <w:r w:rsidR="004F5188" w:rsidRPr="00CB6BB3">
        <w:rPr>
          <w:lang w:val="es-ES_tradnl"/>
        </w:rPr>
        <w:t xml:space="preserve"> </w:t>
      </w:r>
      <w:r w:rsidR="00615737" w:rsidRPr="00CB6BB3">
        <w:rPr>
          <w:lang w:val="es-ES_tradnl"/>
        </w:rPr>
        <w:t>siguió avanzando</w:t>
      </w:r>
      <w:r w:rsidR="00E1511C" w:rsidRPr="00CB6BB3">
        <w:rPr>
          <w:lang w:val="es-ES_tradnl"/>
        </w:rPr>
        <w:t>, al igual que</w:t>
      </w:r>
      <w:r w:rsidR="004F5188" w:rsidRPr="00CB6BB3">
        <w:rPr>
          <w:lang w:val="es-ES_tradnl"/>
        </w:rPr>
        <w:t xml:space="preserve"> otros fenómenos</w:t>
      </w:r>
      <w:r w:rsidRPr="00CB6BB3">
        <w:rPr>
          <w:lang w:val="es-ES_tradnl"/>
        </w:rPr>
        <w:t xml:space="preserve">. </w:t>
      </w:r>
      <w:r w:rsidR="004F5188" w:rsidRPr="00CB6BB3">
        <w:rPr>
          <w:lang w:val="es-ES_tradnl"/>
        </w:rPr>
        <w:t>E</w:t>
      </w:r>
      <w:r w:rsidRPr="00CB6BB3">
        <w:rPr>
          <w:lang w:val="es-ES_tradnl"/>
        </w:rPr>
        <w:t xml:space="preserve">n 2009, </w:t>
      </w:r>
      <w:r w:rsidR="004F5188" w:rsidRPr="00CB6BB3">
        <w:rPr>
          <w:lang w:val="es-ES_tradnl"/>
        </w:rPr>
        <w:t>el desempleo femenino aumentó menos abruptamente, sin embargo, desde el segundo trimestre de</w:t>
      </w:r>
      <w:r w:rsidRPr="00CB6BB3">
        <w:rPr>
          <w:lang w:val="es-ES_tradnl"/>
        </w:rPr>
        <w:t xml:space="preserve"> 2010</w:t>
      </w:r>
      <w:r w:rsidR="004F5188" w:rsidRPr="00CB6BB3">
        <w:rPr>
          <w:lang w:val="es-ES_tradnl"/>
        </w:rPr>
        <w:t xml:space="preserve">, </w:t>
      </w:r>
      <w:r w:rsidR="00615737" w:rsidRPr="00CB6BB3">
        <w:rPr>
          <w:lang w:val="es-ES_tradnl"/>
        </w:rPr>
        <w:t>la reducción del desempleo femenino ha sido más lenta que la del masculino</w:t>
      </w:r>
      <w:r w:rsidRPr="00CB6BB3">
        <w:rPr>
          <w:lang w:val="es-ES_tradnl"/>
        </w:rPr>
        <w:t>.</w:t>
      </w:r>
    </w:p>
    <w:p w:rsidR="005E49B6" w:rsidRPr="00CB6BB3" w:rsidRDefault="005E49B6" w:rsidP="005E49B6">
      <w:pPr>
        <w:pStyle w:val="SingleTxtG"/>
        <w:rPr>
          <w:lang w:val="es-ES_tradnl"/>
        </w:rPr>
      </w:pPr>
      <w:r w:rsidRPr="00CB6BB3">
        <w:rPr>
          <w:lang w:val="es-ES_tradnl"/>
        </w:rPr>
        <w:t>31.</w:t>
      </w:r>
      <w:r w:rsidRPr="00CB6BB3">
        <w:rPr>
          <w:lang w:val="es-ES_tradnl"/>
        </w:rPr>
        <w:tab/>
      </w:r>
      <w:r w:rsidR="00B06557" w:rsidRPr="00CB6BB3">
        <w:rPr>
          <w:lang w:val="es-ES_tradnl"/>
        </w:rPr>
        <w:t>El 30 de junio de 2010, l</w:t>
      </w:r>
      <w:r w:rsidR="00615737" w:rsidRPr="00CB6BB3">
        <w:rPr>
          <w:lang w:val="es-ES_tradnl"/>
        </w:rPr>
        <w:t>a Ministra</w:t>
      </w:r>
      <w:r w:rsidR="00E1511C" w:rsidRPr="00CB6BB3">
        <w:rPr>
          <w:lang w:val="es-ES_tradnl"/>
        </w:rPr>
        <w:t xml:space="preserve"> F</w:t>
      </w:r>
      <w:r w:rsidR="00615737" w:rsidRPr="00CB6BB3">
        <w:rPr>
          <w:lang w:val="es-ES_tradnl"/>
        </w:rPr>
        <w:t xml:space="preserve">ederal </w:t>
      </w:r>
      <w:r w:rsidR="0064003A" w:rsidRPr="00CB6BB3">
        <w:rPr>
          <w:lang w:val="es-ES_tradnl"/>
        </w:rPr>
        <w:t>de Asuntos de</w:t>
      </w:r>
      <w:r w:rsidR="00615737" w:rsidRPr="00CB6BB3">
        <w:rPr>
          <w:lang w:val="es-ES_tradnl"/>
        </w:rPr>
        <w:t xml:space="preserve"> la Mujer y la Administración Pública presentó </w:t>
      </w:r>
      <w:r w:rsidRPr="00CB6BB3">
        <w:rPr>
          <w:lang w:val="es-ES_tradnl"/>
        </w:rPr>
        <w:t>e</w:t>
      </w:r>
      <w:r w:rsidR="00615737" w:rsidRPr="00CB6BB3">
        <w:rPr>
          <w:lang w:val="es-ES_tradnl"/>
        </w:rPr>
        <w:t>l</w:t>
      </w:r>
      <w:r w:rsidRPr="00CB6BB3">
        <w:rPr>
          <w:lang w:val="es-ES_tradnl"/>
        </w:rPr>
        <w:t xml:space="preserve"> </w:t>
      </w:r>
      <w:r w:rsidR="00C70626">
        <w:rPr>
          <w:lang w:val="es-ES_tradnl"/>
        </w:rPr>
        <w:t>"</w:t>
      </w:r>
      <w:r w:rsidR="00615737" w:rsidRPr="00CB6BB3">
        <w:rPr>
          <w:lang w:val="es-ES_tradnl"/>
        </w:rPr>
        <w:t>Plan de Acción Nac</w:t>
      </w:r>
      <w:r w:rsidRPr="00CB6BB3">
        <w:rPr>
          <w:lang w:val="es-ES_tradnl"/>
        </w:rPr>
        <w:t>ional</w:t>
      </w:r>
      <w:r w:rsidR="00C425BE">
        <w:rPr>
          <w:lang w:val="es-ES_tradnl"/>
        </w:rPr>
        <w:t xml:space="preserve"> </w:t>
      </w:r>
      <w:r w:rsidR="00615737" w:rsidRPr="00CB6BB3">
        <w:rPr>
          <w:lang w:val="es-ES_tradnl"/>
        </w:rPr>
        <w:t>por la Igualdad de Género en el Mercado de Trabajo</w:t>
      </w:r>
      <w:r w:rsidR="00C70626">
        <w:rPr>
          <w:lang w:val="es-ES_tradnl"/>
        </w:rPr>
        <w:t>"</w:t>
      </w:r>
      <w:r w:rsidRPr="00CB6BB3">
        <w:rPr>
          <w:rStyle w:val="FootnoteReference"/>
          <w:lang w:val="es-ES_tradnl"/>
        </w:rPr>
        <w:footnoteReference w:id="17"/>
      </w:r>
      <w:r w:rsidRPr="00CB6BB3">
        <w:rPr>
          <w:lang w:val="es-ES_tradnl"/>
        </w:rPr>
        <w:t xml:space="preserve">. </w:t>
      </w:r>
      <w:r w:rsidR="00B06557" w:rsidRPr="00CB6BB3">
        <w:rPr>
          <w:lang w:val="es-ES_tradnl"/>
        </w:rPr>
        <w:t>En el NAP se definen cuatro objetivos estratégicos y áreas de acción prioritarias</w:t>
      </w:r>
      <w:r w:rsidRPr="00CB6BB3">
        <w:rPr>
          <w:lang w:val="es-ES_tradnl"/>
        </w:rPr>
        <w:t>:</w:t>
      </w:r>
    </w:p>
    <w:p w:rsidR="005E49B6" w:rsidRPr="00CB6BB3" w:rsidRDefault="005C668E" w:rsidP="005C668E">
      <w:pPr>
        <w:pStyle w:val="SingleTxtG"/>
        <w:rPr>
          <w:lang w:val="es-ES_tradnl"/>
        </w:rPr>
      </w:pPr>
      <w:r>
        <w:rPr>
          <w:lang w:val="es-ES_tradnl"/>
        </w:rPr>
        <w:tab/>
      </w:r>
      <w:r w:rsidR="00A11B3E" w:rsidRPr="00CB6BB3">
        <w:rPr>
          <w:lang w:val="es-ES_tradnl"/>
        </w:rPr>
        <w:t>a)</w:t>
      </w:r>
      <w:r w:rsidR="00A11B3E" w:rsidRPr="00CB6BB3">
        <w:rPr>
          <w:lang w:val="es-ES_tradnl"/>
        </w:rPr>
        <w:tab/>
      </w:r>
      <w:r w:rsidRPr="00CB6BB3">
        <w:rPr>
          <w:lang w:val="es-ES_tradnl"/>
        </w:rPr>
        <w:t xml:space="preserve">Diversificar </w:t>
      </w:r>
      <w:r w:rsidR="00B06557" w:rsidRPr="00CB6BB3">
        <w:rPr>
          <w:lang w:val="es-ES_tradnl"/>
        </w:rPr>
        <w:t xml:space="preserve">los itinerarios educativos y las opciones profesionales, </w:t>
      </w:r>
      <w:r w:rsidR="00DB6A6A" w:rsidRPr="00CB6BB3">
        <w:rPr>
          <w:lang w:val="es-ES_tradnl"/>
        </w:rPr>
        <w:t xml:space="preserve">y </w:t>
      </w:r>
      <w:r w:rsidR="00E1511C" w:rsidRPr="00CB6BB3">
        <w:rPr>
          <w:lang w:val="es-ES_tradnl"/>
        </w:rPr>
        <w:t xml:space="preserve">prestar </w:t>
      </w:r>
      <w:r w:rsidR="00DB6A6A" w:rsidRPr="00CB6BB3">
        <w:rPr>
          <w:lang w:val="es-ES_tradnl"/>
        </w:rPr>
        <w:t>una orientación profesional atenta a las cuestiones de género</w:t>
      </w:r>
      <w:r w:rsidR="005E49B6" w:rsidRPr="00CB6BB3">
        <w:rPr>
          <w:lang w:val="es-ES_tradnl"/>
        </w:rPr>
        <w:t>;</w:t>
      </w:r>
    </w:p>
    <w:p w:rsidR="005E49B6" w:rsidRPr="00CB6BB3" w:rsidRDefault="005C668E" w:rsidP="005C668E">
      <w:pPr>
        <w:pStyle w:val="SingleTxtG"/>
        <w:rPr>
          <w:lang w:val="es-ES_tradnl"/>
        </w:rPr>
      </w:pPr>
      <w:r>
        <w:rPr>
          <w:lang w:val="es-ES_tradnl"/>
        </w:rPr>
        <w:tab/>
      </w:r>
      <w:r w:rsidR="005E49B6" w:rsidRPr="00CB6BB3">
        <w:rPr>
          <w:lang w:val="es-ES_tradnl"/>
        </w:rPr>
        <w:t>b)</w:t>
      </w:r>
      <w:r w:rsidR="005E49B6" w:rsidRPr="00CB6BB3">
        <w:rPr>
          <w:lang w:val="es-ES_tradnl"/>
        </w:rPr>
        <w:tab/>
      </w:r>
      <w:r w:rsidRPr="00CB6BB3">
        <w:rPr>
          <w:lang w:val="es-ES_tradnl"/>
        </w:rPr>
        <w:t xml:space="preserve">Aumentar </w:t>
      </w:r>
      <w:r w:rsidR="00DB6A6A" w:rsidRPr="00CB6BB3">
        <w:rPr>
          <w:lang w:val="es-ES_tradnl"/>
        </w:rPr>
        <w:t>la participación de la mujer en la fuerza de trabajo, con especial atención al empleo a tiempo completo</w:t>
      </w:r>
      <w:r w:rsidR="005E49B6" w:rsidRPr="00CB6BB3">
        <w:rPr>
          <w:lang w:val="es-ES_tradnl"/>
        </w:rPr>
        <w:t xml:space="preserve"> (</w:t>
      </w:r>
      <w:r w:rsidR="00DB6A6A" w:rsidRPr="00CB6BB3">
        <w:rPr>
          <w:lang w:val="es-ES_tradnl"/>
        </w:rPr>
        <w:t xml:space="preserve">entre otras cosas, </w:t>
      </w:r>
      <w:r w:rsidR="00E1511C" w:rsidRPr="00CB6BB3">
        <w:rPr>
          <w:lang w:val="es-ES_tradnl"/>
        </w:rPr>
        <w:t xml:space="preserve">mediante </w:t>
      </w:r>
      <w:r w:rsidR="00DB6A6A" w:rsidRPr="00CB6BB3">
        <w:rPr>
          <w:lang w:val="es-ES_tradnl"/>
        </w:rPr>
        <w:t>la reducción de las diferencias relacionadas con el género e</w:t>
      </w:r>
      <w:r w:rsidR="005E49B6" w:rsidRPr="00CB6BB3">
        <w:rPr>
          <w:lang w:val="es-ES_tradnl"/>
        </w:rPr>
        <w:t xml:space="preserve">n </w:t>
      </w:r>
      <w:r w:rsidR="00DB6A6A" w:rsidRPr="00CB6BB3">
        <w:rPr>
          <w:lang w:val="es-ES_tradnl"/>
        </w:rPr>
        <w:t>el empleo, el respaldo a la transición del empleo a tiempo parcial al empleo a tiempo completo</w:t>
      </w:r>
      <w:r w:rsidR="005E49B6" w:rsidRPr="00CB6BB3">
        <w:rPr>
          <w:lang w:val="es-ES_tradnl"/>
        </w:rPr>
        <w:t xml:space="preserve">, </w:t>
      </w:r>
      <w:r w:rsidR="00DB6A6A" w:rsidRPr="00CB6BB3">
        <w:rPr>
          <w:lang w:val="es-ES_tradnl"/>
        </w:rPr>
        <w:t>la mejora de las calificaciones de la mujer, y la adopción de medidas destinadas a facilitar la conciliación de las re</w:t>
      </w:r>
      <w:r w:rsidR="000A2E19" w:rsidRPr="00CB6BB3">
        <w:rPr>
          <w:lang w:val="es-ES_tradnl"/>
        </w:rPr>
        <w:t xml:space="preserve">sponsabilidades laborales y </w:t>
      </w:r>
      <w:r w:rsidR="00DB6A6A" w:rsidRPr="00CB6BB3">
        <w:rPr>
          <w:lang w:val="es-ES_tradnl"/>
        </w:rPr>
        <w:t>familiares</w:t>
      </w:r>
      <w:r w:rsidR="005E49B6" w:rsidRPr="00CB6BB3">
        <w:rPr>
          <w:lang w:val="es-ES_tradnl"/>
        </w:rPr>
        <w:t>);</w:t>
      </w:r>
    </w:p>
    <w:p w:rsidR="005E49B6" w:rsidRPr="00CB6BB3" w:rsidRDefault="005C668E" w:rsidP="005C668E">
      <w:pPr>
        <w:pStyle w:val="SingleTxtG"/>
        <w:rPr>
          <w:lang w:val="es-ES_tradnl"/>
        </w:rPr>
      </w:pPr>
      <w:r>
        <w:rPr>
          <w:lang w:val="es-ES_tradnl"/>
        </w:rPr>
        <w:tab/>
      </w:r>
      <w:r w:rsidR="005E49B6" w:rsidRPr="00CB6BB3">
        <w:rPr>
          <w:lang w:val="es-ES_tradnl"/>
        </w:rPr>
        <w:t>c)</w:t>
      </w:r>
      <w:r w:rsidR="005E49B6" w:rsidRPr="00CB6BB3">
        <w:rPr>
          <w:lang w:val="es-ES_tradnl"/>
        </w:rPr>
        <w:tab/>
      </w:r>
      <w:r w:rsidRPr="00CB6BB3">
        <w:rPr>
          <w:lang w:val="es-ES_tradnl"/>
        </w:rPr>
        <w:t xml:space="preserve">Aumentar </w:t>
      </w:r>
      <w:r w:rsidR="00A11B3E" w:rsidRPr="00CB6BB3">
        <w:rPr>
          <w:lang w:val="es-ES_tradnl"/>
        </w:rPr>
        <w:t>el porcentaje de mujeres en cargos directivos</w:t>
      </w:r>
      <w:r w:rsidR="005E49B6" w:rsidRPr="00CB6BB3">
        <w:rPr>
          <w:lang w:val="es-ES_tradnl"/>
        </w:rPr>
        <w:t>;</w:t>
      </w:r>
    </w:p>
    <w:p w:rsidR="005E49B6" w:rsidRPr="00CB6BB3" w:rsidRDefault="005C668E" w:rsidP="005C668E">
      <w:pPr>
        <w:pStyle w:val="SingleTxtG"/>
        <w:rPr>
          <w:lang w:val="es-ES_tradnl"/>
        </w:rPr>
      </w:pPr>
      <w:r>
        <w:rPr>
          <w:lang w:val="es-ES_tradnl"/>
        </w:rPr>
        <w:tab/>
      </w:r>
      <w:r w:rsidR="00A11B3E" w:rsidRPr="00CB6BB3">
        <w:rPr>
          <w:lang w:val="es-ES_tradnl"/>
        </w:rPr>
        <w:t>d)</w:t>
      </w:r>
      <w:r w:rsidR="00A11B3E" w:rsidRPr="00CB6BB3">
        <w:rPr>
          <w:lang w:val="es-ES_tradnl"/>
        </w:rPr>
        <w:tab/>
      </w:r>
      <w:r w:rsidRPr="00CB6BB3">
        <w:rPr>
          <w:lang w:val="es-ES_tradnl"/>
        </w:rPr>
        <w:t xml:space="preserve">Reducir </w:t>
      </w:r>
      <w:r w:rsidR="00A11B3E" w:rsidRPr="00CB6BB3">
        <w:rPr>
          <w:lang w:val="es-ES_tradnl"/>
        </w:rPr>
        <w:t>la brecha salarial por razones de género</w:t>
      </w:r>
      <w:r w:rsidR="005E49B6" w:rsidRPr="00CB6BB3">
        <w:rPr>
          <w:lang w:val="es-ES_tradnl"/>
        </w:rPr>
        <w:t>.</w:t>
      </w:r>
    </w:p>
    <w:p w:rsidR="005E49B6" w:rsidRPr="00CB6BB3" w:rsidRDefault="005E49B6" w:rsidP="005E49B6">
      <w:pPr>
        <w:pStyle w:val="SingleTxtG"/>
        <w:rPr>
          <w:lang w:val="es-ES_tradnl"/>
        </w:rPr>
      </w:pPr>
      <w:r w:rsidRPr="00CB6BB3">
        <w:rPr>
          <w:lang w:val="es-ES_tradnl"/>
        </w:rPr>
        <w:t>32.</w:t>
      </w:r>
      <w:r w:rsidRPr="00CB6BB3">
        <w:rPr>
          <w:lang w:val="es-ES_tradnl"/>
        </w:rPr>
        <w:tab/>
      </w:r>
      <w:r w:rsidR="00A11B3E" w:rsidRPr="00CB6BB3">
        <w:rPr>
          <w:lang w:val="es-ES_tradnl"/>
        </w:rPr>
        <w:t>Estos objetivos se han de conseguir mediante la adopción de 55 medidas prácticas</w:t>
      </w:r>
      <w:r w:rsidR="006B77AE" w:rsidRPr="00CB6BB3">
        <w:rPr>
          <w:lang w:val="es-ES_tradnl"/>
        </w:rPr>
        <w:t xml:space="preserve"> </w:t>
      </w:r>
      <w:r w:rsidR="00E1511C" w:rsidRPr="00CB6BB3">
        <w:rPr>
          <w:lang w:val="es-ES_tradnl"/>
        </w:rPr>
        <w:t>basadas en los enfoques siguientes</w:t>
      </w:r>
      <w:r w:rsidRPr="00CB6BB3">
        <w:rPr>
          <w:lang w:val="es-ES_tradnl"/>
        </w:rPr>
        <w:t>:</w:t>
      </w:r>
    </w:p>
    <w:p w:rsidR="005E49B6" w:rsidRPr="005C668E" w:rsidRDefault="005C668E" w:rsidP="005C668E">
      <w:pPr>
        <w:pStyle w:val="SingleTxtG"/>
      </w:pPr>
      <w:r>
        <w:tab/>
      </w:r>
      <w:r w:rsidR="007E1282" w:rsidRPr="005C668E">
        <w:t>a)</w:t>
      </w:r>
      <w:r w:rsidR="007E1282" w:rsidRPr="005C668E">
        <w:tab/>
      </w:r>
      <w:r w:rsidRPr="005C668E">
        <w:t xml:space="preserve">Luchar </w:t>
      </w:r>
      <w:r w:rsidR="007E1282" w:rsidRPr="005C668E">
        <w:t>contra los estereotipos de las funciones de mujeres y hombres, ampliando la gama de posibilidades ocupacion</w:t>
      </w:r>
      <w:r w:rsidR="00E1511C" w:rsidRPr="005C668E">
        <w:t>al</w:t>
      </w:r>
      <w:r w:rsidR="007E1282" w:rsidRPr="005C668E">
        <w:t>es/profesionales y de educación</w:t>
      </w:r>
      <w:r w:rsidR="00E1511C" w:rsidRPr="005C668E">
        <w:t xml:space="preserve"> de las jóven</w:t>
      </w:r>
      <w:r w:rsidR="007E1282" w:rsidRPr="005C668E">
        <w:t xml:space="preserve">es, y dándoles acceso a </w:t>
      </w:r>
      <w:r w:rsidR="00E1511C" w:rsidRPr="005C668E">
        <w:t>áreas atípicas; promover</w:t>
      </w:r>
      <w:r w:rsidR="007E1282" w:rsidRPr="005C668E">
        <w:t xml:space="preserve"> la competencia de los docentes en cuestiones de género</w:t>
      </w:r>
      <w:r w:rsidR="005E49B6" w:rsidRPr="005C668E">
        <w:t xml:space="preserve">, </w:t>
      </w:r>
      <w:r w:rsidR="007E1282" w:rsidRPr="005C668E">
        <w:t>e</w:t>
      </w:r>
      <w:r w:rsidR="005E49B6" w:rsidRPr="005C668E">
        <w:t xml:space="preserve">n </w:t>
      </w:r>
      <w:r w:rsidR="007E1282" w:rsidRPr="005C668E">
        <w:t>los programas escolares de desarrollo y en la gestión de las escuelas</w:t>
      </w:r>
      <w:r w:rsidR="005E49B6" w:rsidRPr="005C668E">
        <w:t>;</w:t>
      </w:r>
    </w:p>
    <w:p w:rsidR="005E49B6" w:rsidRPr="005C668E" w:rsidRDefault="005C668E" w:rsidP="005C668E">
      <w:pPr>
        <w:pStyle w:val="SingleTxtG"/>
      </w:pPr>
      <w:r>
        <w:tab/>
      </w:r>
      <w:r w:rsidR="005E49B6" w:rsidRPr="005C668E">
        <w:t>b)</w:t>
      </w:r>
      <w:r w:rsidR="005E49B6" w:rsidRPr="005C668E">
        <w:tab/>
      </w:r>
      <w:r w:rsidRPr="005C668E">
        <w:t xml:space="preserve">Eliminar </w:t>
      </w:r>
      <w:r w:rsidR="00E1511C" w:rsidRPr="005C668E">
        <w:t>los obstáculos que impiden</w:t>
      </w:r>
      <w:r w:rsidR="006B77AE" w:rsidRPr="005C668E">
        <w:t xml:space="preserve"> la participación en la fuerza de trabajo</w:t>
      </w:r>
      <w:r w:rsidR="005E49B6" w:rsidRPr="005C668E">
        <w:t xml:space="preserve">, </w:t>
      </w:r>
      <w:r w:rsidR="00E1511C" w:rsidRPr="005C668E">
        <w:t>apoyando</w:t>
      </w:r>
      <w:r w:rsidR="00F150B1" w:rsidRPr="005C668E">
        <w:t xml:space="preserve"> y f</w:t>
      </w:r>
      <w:r w:rsidR="00E1511C" w:rsidRPr="005C668E">
        <w:t>acilitando</w:t>
      </w:r>
      <w:r w:rsidR="00F150B1" w:rsidRPr="005C668E">
        <w:t xml:space="preserve"> incentivos como impulso al empleo de la mujer</w:t>
      </w:r>
      <w:r w:rsidR="005E49B6" w:rsidRPr="005C668E">
        <w:t>, promo</w:t>
      </w:r>
      <w:r w:rsidR="00F150B1" w:rsidRPr="005C668E">
        <w:t>v</w:t>
      </w:r>
      <w:r w:rsidR="00E1511C" w:rsidRPr="005C668E">
        <w:t>iendo</w:t>
      </w:r>
      <w:r w:rsidR="00F150B1" w:rsidRPr="005C668E">
        <w:t xml:space="preserve"> la educación complementaria, ofreciendo una gama más amplia de posibilidades técnicas y mejores oportunidades profesional</w:t>
      </w:r>
      <w:r w:rsidR="005E49B6" w:rsidRPr="005C668E">
        <w:t xml:space="preserve">es, </w:t>
      </w:r>
      <w:r w:rsidR="00F150B1" w:rsidRPr="005C668E">
        <w:t>infraestructura adic</w:t>
      </w:r>
      <w:r w:rsidR="005E49B6" w:rsidRPr="005C668E">
        <w:t xml:space="preserve">ional </w:t>
      </w:r>
      <w:r w:rsidR="00F150B1" w:rsidRPr="005C668E">
        <w:t xml:space="preserve">y otras medidas que permitan a quienes trabajan conciliar las responsabilidades laborales y familiares </w:t>
      </w:r>
      <w:r w:rsidR="00E1511C" w:rsidRPr="005C668E">
        <w:t xml:space="preserve">con miras a </w:t>
      </w:r>
      <w:r w:rsidR="00F150B1" w:rsidRPr="005C668E">
        <w:t>lograr la igualdad entre las mujeres y los hombres</w:t>
      </w:r>
      <w:r w:rsidR="005E49B6" w:rsidRPr="005C668E">
        <w:t>;</w:t>
      </w:r>
    </w:p>
    <w:p w:rsidR="005E49B6" w:rsidRPr="005C668E" w:rsidRDefault="005C668E" w:rsidP="005C668E">
      <w:pPr>
        <w:pStyle w:val="SingleTxtG"/>
      </w:pPr>
      <w:r>
        <w:tab/>
      </w:r>
      <w:r w:rsidR="005E49B6" w:rsidRPr="005C668E">
        <w:t>c)</w:t>
      </w:r>
      <w:r w:rsidR="005E49B6" w:rsidRPr="005C668E">
        <w:tab/>
      </w:r>
      <w:r w:rsidRPr="005C668E">
        <w:t xml:space="preserve">Aumentar </w:t>
      </w:r>
      <w:r w:rsidR="00D77D70" w:rsidRPr="005C668E">
        <w:t>la proporción de mujeres en los cursos empresariales de formación</w:t>
      </w:r>
      <w:r w:rsidR="00E1511C" w:rsidRPr="005C668E">
        <w:t xml:space="preserve"> avanzada;</w:t>
      </w:r>
      <w:r w:rsidR="00D77D70" w:rsidRPr="005C668E">
        <w:t xml:space="preserve"> establecer un cupo de mujeres e</w:t>
      </w:r>
      <w:r w:rsidR="005E49B6" w:rsidRPr="005C668E">
        <w:t xml:space="preserve">n </w:t>
      </w:r>
      <w:r w:rsidR="00D77D70" w:rsidRPr="005C668E">
        <w:t>los órganos de supervisi</w:t>
      </w:r>
      <w:r w:rsidR="00E1511C" w:rsidRPr="005C668E">
        <w:t>ón de las empresas privadas</w:t>
      </w:r>
      <w:r w:rsidR="00D77D70" w:rsidRPr="005C668E">
        <w:t xml:space="preserve"> y </w:t>
      </w:r>
      <w:r w:rsidR="00E1511C" w:rsidRPr="005C668E">
        <w:t>públicas</w:t>
      </w:r>
      <w:r w:rsidR="00D77D70" w:rsidRPr="005C668E">
        <w:t>, así como en las juntas directivas de las universidades</w:t>
      </w:r>
      <w:r w:rsidR="00E1511C" w:rsidRPr="005C668E">
        <w:t>;</w:t>
      </w:r>
      <w:r w:rsidR="005E49B6" w:rsidRPr="005C668E">
        <w:t xml:space="preserve"> </w:t>
      </w:r>
      <w:r w:rsidR="00D77D70" w:rsidRPr="005C668E">
        <w:t>calificar a las mujeres para que puedan asumir cargos directivos</w:t>
      </w:r>
      <w:r w:rsidR="00E1511C" w:rsidRPr="005C668E">
        <w:t>; adoptar medidas de</w:t>
      </w:r>
      <w:r w:rsidR="005E49B6" w:rsidRPr="005C668E">
        <w:t xml:space="preserve"> </w:t>
      </w:r>
      <w:r w:rsidR="00D77D70" w:rsidRPr="005C668E">
        <w:t xml:space="preserve">acción positiva en </w:t>
      </w:r>
      <w:r w:rsidR="00E1511C" w:rsidRPr="005C668E">
        <w:t xml:space="preserve">las </w:t>
      </w:r>
      <w:r w:rsidR="00D77D70" w:rsidRPr="005C668E">
        <w:t xml:space="preserve">empresas y en la administración pública </w:t>
      </w:r>
      <w:r w:rsidR="005E49B6" w:rsidRPr="005C668E">
        <w:t>federal;</w:t>
      </w:r>
    </w:p>
    <w:p w:rsidR="005E49B6" w:rsidRPr="005C668E" w:rsidRDefault="005C668E" w:rsidP="005C668E">
      <w:pPr>
        <w:pStyle w:val="SingleTxtG"/>
      </w:pPr>
      <w:r>
        <w:tab/>
      </w:r>
      <w:r w:rsidR="005E49B6" w:rsidRPr="005C668E">
        <w:t>d)</w:t>
      </w:r>
      <w:r w:rsidR="005E49B6" w:rsidRPr="005C668E">
        <w:tab/>
      </w:r>
      <w:r w:rsidRPr="005C668E">
        <w:t xml:space="preserve">Mejorar </w:t>
      </w:r>
      <w:r w:rsidR="00946F59" w:rsidRPr="005C668E">
        <w:t>la transparencia en relación con los salarios en las</w:t>
      </w:r>
      <w:r w:rsidR="00E1511C" w:rsidRPr="005C668E">
        <w:t xml:space="preserve"> empresas;</w:t>
      </w:r>
      <w:r w:rsidR="00946F59" w:rsidRPr="005C668E">
        <w:t xml:space="preserve"> mejorar la re</w:t>
      </w:r>
      <w:r w:rsidR="00E1511C" w:rsidRPr="005C668E">
        <w:t>cogida y procesamiento de datos;</w:t>
      </w:r>
      <w:r w:rsidR="00946F59" w:rsidRPr="005C668E">
        <w:t xml:space="preserve"> facilitar información sobre las escalas salariales</w:t>
      </w:r>
      <w:r w:rsidR="005E49B6" w:rsidRPr="005C668E">
        <w:t xml:space="preserve"> </w:t>
      </w:r>
      <w:r w:rsidR="00946F59" w:rsidRPr="005C668E">
        <w:t>de los debu</w:t>
      </w:r>
      <w:r w:rsidR="00E1511C" w:rsidRPr="005C668E">
        <w:t>tantes en el mercado de trabajo;</w:t>
      </w:r>
      <w:r w:rsidR="00946F59" w:rsidRPr="005C668E">
        <w:t xml:space="preserve"> realizar análisis</w:t>
      </w:r>
      <w:r w:rsidR="00E1511C" w:rsidRPr="005C668E">
        <w:t>;</w:t>
      </w:r>
      <w:r w:rsidR="005E49B6" w:rsidRPr="005C668E">
        <w:t xml:space="preserve"> </w:t>
      </w:r>
      <w:r w:rsidR="00946F59" w:rsidRPr="005C668E">
        <w:t xml:space="preserve">respaldar la evaluación de los puestos de trabajo no </w:t>
      </w:r>
      <w:r w:rsidR="005E49B6" w:rsidRPr="005C668E">
        <w:t>discriminat</w:t>
      </w:r>
      <w:r w:rsidR="00946F59" w:rsidRPr="005C668E">
        <w:t>oria</w:t>
      </w:r>
      <w:r w:rsidR="00E1511C" w:rsidRPr="005C668E">
        <w:t>;</w:t>
      </w:r>
      <w:r w:rsidR="005E49B6" w:rsidRPr="005C668E">
        <w:t xml:space="preserve"> </w:t>
      </w:r>
      <w:r w:rsidR="00946F59" w:rsidRPr="005C668E">
        <w:t>elevar la categoría de los puestos de trabajo en las áreas de servicio social, como las guarderías</w:t>
      </w:r>
      <w:r w:rsidR="00893231" w:rsidRPr="005C668E">
        <w:t xml:space="preserve"> infantiles</w:t>
      </w:r>
      <w:r w:rsidR="005E49B6" w:rsidRPr="005C668E">
        <w:t>.</w:t>
      </w:r>
    </w:p>
    <w:p w:rsidR="005E49B6" w:rsidRPr="00CB6BB3" w:rsidRDefault="005E49B6" w:rsidP="005E49B6">
      <w:pPr>
        <w:pStyle w:val="SingleTxtG"/>
        <w:rPr>
          <w:lang w:val="es-ES_tradnl"/>
        </w:rPr>
      </w:pPr>
      <w:r w:rsidRPr="00CB6BB3">
        <w:rPr>
          <w:lang w:val="es-ES_tradnl"/>
        </w:rPr>
        <w:t>33.</w:t>
      </w:r>
      <w:r w:rsidRPr="00CB6BB3">
        <w:rPr>
          <w:lang w:val="es-ES_tradnl"/>
        </w:rPr>
        <w:tab/>
      </w:r>
      <w:r w:rsidR="00E1511C" w:rsidRPr="00CB6BB3">
        <w:rPr>
          <w:lang w:val="es-ES_tradnl"/>
        </w:rPr>
        <w:t>A tal fin, se emplearán diversas</w:t>
      </w:r>
      <w:r w:rsidR="00946F59" w:rsidRPr="00CB6BB3">
        <w:rPr>
          <w:lang w:val="es-ES_tradnl"/>
        </w:rPr>
        <w:t xml:space="preserve"> herramientas</w:t>
      </w:r>
      <w:r w:rsidRPr="00CB6BB3">
        <w:rPr>
          <w:lang w:val="es-ES_tradnl"/>
        </w:rPr>
        <w:t xml:space="preserve">, </w:t>
      </w:r>
      <w:r w:rsidR="00946F59" w:rsidRPr="00CB6BB3">
        <w:rPr>
          <w:lang w:val="es-ES_tradnl"/>
        </w:rPr>
        <w:t>entre otras, la orientación profesional obligatoria en los cursos</w:t>
      </w:r>
      <w:r w:rsidRPr="00CB6BB3">
        <w:rPr>
          <w:lang w:val="es-ES_tradnl"/>
        </w:rPr>
        <w:t xml:space="preserve"> </w:t>
      </w:r>
      <w:r w:rsidR="00946F59" w:rsidRPr="00CB6BB3">
        <w:rPr>
          <w:lang w:val="es-ES_tradnl"/>
        </w:rPr>
        <w:t>7</w:t>
      </w:r>
      <w:r w:rsidR="00946F59" w:rsidRPr="00CB6BB3">
        <w:rPr>
          <w:vertAlign w:val="superscript"/>
          <w:lang w:val="es-ES_tradnl"/>
        </w:rPr>
        <w:t>o</w:t>
      </w:r>
      <w:r w:rsidR="00946F59" w:rsidRPr="00CB6BB3">
        <w:rPr>
          <w:lang w:val="es-ES_tradnl"/>
        </w:rPr>
        <w:t xml:space="preserve"> y </w:t>
      </w:r>
      <w:r w:rsidRPr="00CB6BB3">
        <w:rPr>
          <w:lang w:val="es-ES_tradnl"/>
        </w:rPr>
        <w:t>8</w:t>
      </w:r>
      <w:r w:rsidR="00946F59" w:rsidRPr="00CB6BB3">
        <w:rPr>
          <w:vertAlign w:val="superscript"/>
          <w:lang w:val="es-ES_tradnl"/>
        </w:rPr>
        <w:t>o</w:t>
      </w:r>
      <w:r w:rsidR="00E1511C" w:rsidRPr="00CB6BB3">
        <w:rPr>
          <w:lang w:val="es-ES_tradnl"/>
        </w:rPr>
        <w:t>;</w:t>
      </w:r>
      <w:r w:rsidRPr="00CB6BB3">
        <w:rPr>
          <w:lang w:val="es-ES_tradnl"/>
        </w:rPr>
        <w:t xml:space="preserve"> </w:t>
      </w:r>
      <w:r w:rsidR="00946F59" w:rsidRPr="00CB6BB3">
        <w:rPr>
          <w:lang w:val="es-ES_tradnl"/>
        </w:rPr>
        <w:t>la revisió</w:t>
      </w:r>
      <w:r w:rsidRPr="00CB6BB3">
        <w:rPr>
          <w:lang w:val="es-ES_tradnl"/>
        </w:rPr>
        <w:t xml:space="preserve">n </w:t>
      </w:r>
      <w:r w:rsidR="00946F59" w:rsidRPr="00CB6BB3">
        <w:rPr>
          <w:lang w:val="es-ES_tradnl"/>
        </w:rPr>
        <w:t>del programa de estudios y</w:t>
      </w:r>
      <w:r w:rsidRPr="00CB6BB3">
        <w:rPr>
          <w:lang w:val="es-ES_tradnl"/>
        </w:rPr>
        <w:t xml:space="preserve"> </w:t>
      </w:r>
      <w:r w:rsidR="00946F59" w:rsidRPr="00CB6BB3">
        <w:rPr>
          <w:lang w:val="es-ES_tradnl"/>
        </w:rPr>
        <w:t>la introducción de m</w:t>
      </w:r>
      <w:r w:rsidR="000C75B1" w:rsidRPr="00CB6BB3">
        <w:rPr>
          <w:lang w:val="es-ES_tradnl"/>
        </w:rPr>
        <w:t>aterias encaminadas a eliminar la</w:t>
      </w:r>
      <w:r w:rsidR="00946F59" w:rsidRPr="00CB6BB3">
        <w:rPr>
          <w:lang w:val="es-ES_tradnl"/>
        </w:rPr>
        <w:t xml:space="preserve">s </w:t>
      </w:r>
      <w:r w:rsidR="000C75B1" w:rsidRPr="00CB6BB3">
        <w:rPr>
          <w:lang w:val="es-ES_tradnl"/>
        </w:rPr>
        <w:t xml:space="preserve">funciones </w:t>
      </w:r>
      <w:r w:rsidR="00946F59" w:rsidRPr="00CB6BB3">
        <w:rPr>
          <w:lang w:val="es-ES_tradnl"/>
        </w:rPr>
        <w:t>estereotip</w:t>
      </w:r>
      <w:r w:rsidR="000C75B1" w:rsidRPr="00CB6BB3">
        <w:rPr>
          <w:lang w:val="es-ES_tradnl"/>
        </w:rPr>
        <w:t>ada</w:t>
      </w:r>
      <w:r w:rsidR="00946F59" w:rsidRPr="00CB6BB3">
        <w:rPr>
          <w:lang w:val="es-ES_tradnl"/>
        </w:rPr>
        <w:t>s</w:t>
      </w:r>
      <w:r w:rsidRPr="00CB6BB3">
        <w:rPr>
          <w:lang w:val="es-ES_tradnl"/>
        </w:rPr>
        <w:t xml:space="preserve">, </w:t>
      </w:r>
      <w:r w:rsidR="007764B1" w:rsidRPr="00CB6BB3">
        <w:rPr>
          <w:lang w:val="es-ES_tradnl"/>
        </w:rPr>
        <w:t>en especial en relación con</w:t>
      </w:r>
      <w:r w:rsidR="000C75B1" w:rsidRPr="00CB6BB3">
        <w:rPr>
          <w:lang w:val="es-ES_tradnl"/>
        </w:rPr>
        <w:t xml:space="preserve"> las niñas de familias inmigrantes</w:t>
      </w:r>
      <w:r w:rsidR="007764B1" w:rsidRPr="00CB6BB3">
        <w:rPr>
          <w:lang w:val="es-ES_tradnl"/>
        </w:rPr>
        <w:t>;</w:t>
      </w:r>
      <w:r w:rsidRPr="00CB6BB3">
        <w:rPr>
          <w:lang w:val="es-ES_tradnl"/>
        </w:rPr>
        <w:t xml:space="preserve"> </w:t>
      </w:r>
      <w:r w:rsidR="000C75B1" w:rsidRPr="00CB6BB3">
        <w:rPr>
          <w:lang w:val="es-ES_tradnl"/>
        </w:rPr>
        <w:t>medidas apropiadas en la formaci</w:t>
      </w:r>
      <w:r w:rsidR="000A2E19" w:rsidRPr="00CB6BB3">
        <w:rPr>
          <w:lang w:val="es-ES_tradnl"/>
        </w:rPr>
        <w:t>ón docente básica</w:t>
      </w:r>
      <w:r w:rsidR="007764B1" w:rsidRPr="00CB6BB3">
        <w:rPr>
          <w:lang w:val="es-ES_tradnl"/>
        </w:rPr>
        <w:t xml:space="preserve"> y superior;</w:t>
      </w:r>
      <w:r w:rsidR="000C75B1" w:rsidRPr="00CB6BB3">
        <w:rPr>
          <w:lang w:val="es-ES_tradnl"/>
        </w:rPr>
        <w:t xml:space="preserve"> continuació</w:t>
      </w:r>
      <w:r w:rsidRPr="00CB6BB3">
        <w:rPr>
          <w:lang w:val="es-ES_tradnl"/>
        </w:rPr>
        <w:t xml:space="preserve">n </w:t>
      </w:r>
      <w:r w:rsidR="000C75B1" w:rsidRPr="00CB6BB3">
        <w:rPr>
          <w:lang w:val="es-ES_tradnl"/>
        </w:rPr>
        <w:t>de la creación de instalacion</w:t>
      </w:r>
      <w:r w:rsidR="007764B1" w:rsidRPr="00CB6BB3">
        <w:rPr>
          <w:lang w:val="es-ES_tradnl"/>
        </w:rPr>
        <w:t>es para el cuidado de los niños;</w:t>
      </w:r>
      <w:r w:rsidR="000C75B1" w:rsidRPr="00CB6BB3">
        <w:rPr>
          <w:lang w:val="es-ES_tradnl"/>
        </w:rPr>
        <w:t xml:space="preserve"> promoci</w:t>
      </w:r>
      <w:r w:rsidR="007764B1" w:rsidRPr="00CB6BB3">
        <w:rPr>
          <w:lang w:val="es-ES_tradnl"/>
        </w:rPr>
        <w:t>ón de la licencia de paternidad; y</w:t>
      </w:r>
      <w:r w:rsidR="000C75B1" w:rsidRPr="00CB6BB3">
        <w:rPr>
          <w:lang w:val="es-ES_tradnl"/>
        </w:rPr>
        <w:t xml:space="preserve"> la más reciente enmienda a la Ley de igualdad de trato, según la cual las empresas están obligadas a elaborar informes sobre ingresos</w:t>
      </w:r>
      <w:r w:rsidRPr="00CB6BB3">
        <w:rPr>
          <w:lang w:val="es-ES_tradnl"/>
        </w:rPr>
        <w:t xml:space="preserve">. </w:t>
      </w:r>
      <w:r w:rsidR="00BB2D2E" w:rsidRPr="00CB6BB3">
        <w:rPr>
          <w:lang w:val="es-ES_tradnl"/>
        </w:rPr>
        <w:t>Con el</w:t>
      </w:r>
      <w:r w:rsidRPr="00CB6BB3">
        <w:rPr>
          <w:lang w:val="es-ES_tradnl"/>
        </w:rPr>
        <w:t xml:space="preserve"> NAP </w:t>
      </w:r>
      <w:r w:rsidR="000C75B1" w:rsidRPr="00CB6BB3">
        <w:rPr>
          <w:lang w:val="es-ES_tradnl"/>
        </w:rPr>
        <w:t xml:space="preserve">se da seguimiento a las recomendaciones de la Comisión </w:t>
      </w:r>
      <w:r w:rsidRPr="00CB6BB3">
        <w:rPr>
          <w:lang w:val="es-ES_tradnl"/>
        </w:rPr>
        <w:t>(</w:t>
      </w:r>
      <w:r w:rsidR="000C75B1" w:rsidRPr="00CB6BB3">
        <w:rPr>
          <w:lang w:val="es-ES_tradnl"/>
        </w:rPr>
        <w:t xml:space="preserve">en </w:t>
      </w:r>
      <w:r w:rsidRPr="00CB6BB3">
        <w:rPr>
          <w:lang w:val="es-ES_tradnl"/>
        </w:rPr>
        <w:t xml:space="preserve">especial </w:t>
      </w:r>
      <w:r w:rsidR="000C75B1" w:rsidRPr="00CB6BB3">
        <w:rPr>
          <w:lang w:val="es-ES_tradnl"/>
        </w:rPr>
        <w:t>las reco</w:t>
      </w:r>
      <w:r w:rsidRPr="00CB6BB3">
        <w:rPr>
          <w:lang w:val="es-ES_tradnl"/>
        </w:rPr>
        <w:t>mend</w:t>
      </w:r>
      <w:r w:rsidR="000C75B1" w:rsidRPr="00CB6BB3">
        <w:rPr>
          <w:lang w:val="es-ES_tradnl"/>
        </w:rPr>
        <w:t>ac</w:t>
      </w:r>
      <w:r w:rsidRPr="00CB6BB3">
        <w:rPr>
          <w:lang w:val="es-ES_tradnl"/>
        </w:rPr>
        <w:t>ion</w:t>
      </w:r>
      <w:r w:rsidR="000C75B1" w:rsidRPr="00CB6BB3">
        <w:rPr>
          <w:lang w:val="es-ES_tradnl"/>
        </w:rPr>
        <w:t>e</w:t>
      </w:r>
      <w:r w:rsidRPr="00CB6BB3">
        <w:rPr>
          <w:lang w:val="es-ES_tradnl"/>
        </w:rPr>
        <w:t xml:space="preserve">s </w:t>
      </w:r>
      <w:r w:rsidR="000C75B1" w:rsidRPr="00CB6BB3">
        <w:rPr>
          <w:lang w:val="es-ES_tradnl"/>
        </w:rPr>
        <w:t>de los párrafos 17 a 22 y 27 a</w:t>
      </w:r>
      <w:r w:rsidRPr="00CB6BB3">
        <w:rPr>
          <w:lang w:val="es-ES_tradnl"/>
        </w:rPr>
        <w:t xml:space="preserve"> 28). </w:t>
      </w:r>
      <w:r w:rsidR="000C75B1" w:rsidRPr="00CB6BB3">
        <w:rPr>
          <w:lang w:val="es-ES_tradnl"/>
        </w:rPr>
        <w:t>Los representantes de la sociedad civil, incluidas las ONG, realizan importantes contribuciones</w:t>
      </w:r>
      <w:r w:rsidR="00BB2D2E" w:rsidRPr="00CB6BB3">
        <w:rPr>
          <w:lang w:val="es-ES_tradnl"/>
        </w:rPr>
        <w:t xml:space="preserve"> a la elaboración del </w:t>
      </w:r>
      <w:r w:rsidRPr="00CB6BB3">
        <w:rPr>
          <w:lang w:val="es-ES_tradnl"/>
        </w:rPr>
        <w:t>NAP.</w:t>
      </w:r>
    </w:p>
    <w:p w:rsidR="005E49B6" w:rsidRPr="00CB6BB3" w:rsidRDefault="005E49B6" w:rsidP="005E49B6">
      <w:pPr>
        <w:pStyle w:val="SingleTxtG"/>
        <w:rPr>
          <w:lang w:val="es-ES_tradnl"/>
        </w:rPr>
      </w:pPr>
      <w:r w:rsidRPr="00CB6BB3">
        <w:rPr>
          <w:lang w:val="es-ES_tradnl"/>
        </w:rPr>
        <w:t>34.</w:t>
      </w:r>
      <w:r w:rsidRPr="00CB6BB3">
        <w:rPr>
          <w:lang w:val="es-ES_tradnl"/>
        </w:rPr>
        <w:tab/>
      </w:r>
      <w:r w:rsidR="00701B30" w:rsidRPr="00CB6BB3">
        <w:rPr>
          <w:lang w:val="es-ES_tradnl"/>
        </w:rPr>
        <w:t>La introducción</w:t>
      </w:r>
      <w:r w:rsidR="007764B1" w:rsidRPr="00CB6BB3">
        <w:rPr>
          <w:lang w:val="es-ES_tradnl"/>
        </w:rPr>
        <w:t>,</w:t>
      </w:r>
      <w:r w:rsidR="00D97577" w:rsidRPr="00CB6BB3">
        <w:rPr>
          <w:lang w:val="es-ES_tradnl"/>
        </w:rPr>
        <w:t xml:space="preserve"> a partir del 1</w:t>
      </w:r>
      <w:r w:rsidR="00D52FDB">
        <w:rPr>
          <w:lang w:val="es-ES_tradnl"/>
        </w:rPr>
        <w:t>º</w:t>
      </w:r>
      <w:r w:rsidR="00D97577" w:rsidRPr="00CB6BB3">
        <w:rPr>
          <w:lang w:val="es-ES_tradnl"/>
        </w:rPr>
        <w:t xml:space="preserve"> de enero de 2008</w:t>
      </w:r>
      <w:r w:rsidR="007764B1" w:rsidRPr="00CB6BB3">
        <w:rPr>
          <w:lang w:val="es-ES_tradnl"/>
        </w:rPr>
        <w:t>,</w:t>
      </w:r>
      <w:r w:rsidR="00701B30" w:rsidRPr="00CB6BB3">
        <w:rPr>
          <w:lang w:val="es-ES_tradnl"/>
        </w:rPr>
        <w:t xml:space="preserve"> de </w:t>
      </w:r>
      <w:r w:rsidR="00D97577" w:rsidRPr="00CB6BB3">
        <w:rPr>
          <w:lang w:val="es-ES_tradnl"/>
        </w:rPr>
        <w:t xml:space="preserve">una paga extraordinaria obligatoria por el trabajo adicional que realice quien trabaja a tiempo parcial constituyó una importante medida en favor de la igualdad de trato. Esta cuantía extraordinaria </w:t>
      </w:r>
      <w:r w:rsidR="007764B1" w:rsidRPr="00CB6BB3">
        <w:rPr>
          <w:lang w:val="es-ES_tradnl"/>
        </w:rPr>
        <w:t>asci</w:t>
      </w:r>
      <w:r w:rsidR="00D97577" w:rsidRPr="00CB6BB3">
        <w:rPr>
          <w:lang w:val="es-ES_tradnl"/>
        </w:rPr>
        <w:t>e</w:t>
      </w:r>
      <w:r w:rsidR="007764B1" w:rsidRPr="00CB6BB3">
        <w:rPr>
          <w:lang w:val="es-ES_tradnl"/>
        </w:rPr>
        <w:t>nd</w:t>
      </w:r>
      <w:r w:rsidR="00D97577" w:rsidRPr="00CB6BB3">
        <w:rPr>
          <w:lang w:val="es-ES_tradnl"/>
        </w:rPr>
        <w:t>e a</w:t>
      </w:r>
      <w:r w:rsidR="007764B1" w:rsidRPr="00CB6BB3">
        <w:rPr>
          <w:lang w:val="es-ES_tradnl"/>
        </w:rPr>
        <w:t xml:space="preserve"> un</w:t>
      </w:r>
      <w:r w:rsidR="00D97577" w:rsidRPr="00CB6BB3">
        <w:rPr>
          <w:lang w:val="es-ES_tradnl"/>
        </w:rPr>
        <w:t xml:space="preserve"> 25</w:t>
      </w:r>
      <w:r w:rsidR="00B34FFF">
        <w:rPr>
          <w:lang w:val="es-ES_tradnl"/>
        </w:rPr>
        <w:t>%</w:t>
      </w:r>
      <w:r w:rsidR="00D97577" w:rsidRPr="00CB6BB3">
        <w:rPr>
          <w:lang w:val="es-ES_tradnl"/>
        </w:rPr>
        <w:t xml:space="preserve"> </w:t>
      </w:r>
      <w:r w:rsidR="007764B1" w:rsidRPr="00CB6BB3">
        <w:rPr>
          <w:lang w:val="es-ES_tradnl"/>
        </w:rPr>
        <w:t>más por c</w:t>
      </w:r>
      <w:r w:rsidR="00D97577" w:rsidRPr="00CB6BB3">
        <w:rPr>
          <w:lang w:val="es-ES_tradnl"/>
        </w:rPr>
        <w:t>ada hora adicional trabajada. Este arreglo responde a la necesidad de que quienes trabajan a tiempo parcial pu</w:t>
      </w:r>
      <w:r w:rsidR="007764B1" w:rsidRPr="00CB6BB3">
        <w:rPr>
          <w:lang w:val="es-ES_tradnl"/>
        </w:rPr>
        <w:t>ed</w:t>
      </w:r>
      <w:r w:rsidR="00D97577" w:rsidRPr="00CB6BB3">
        <w:rPr>
          <w:lang w:val="es-ES_tradnl"/>
        </w:rPr>
        <w:t xml:space="preserve">an organizar más fácilmente su vida privada, </w:t>
      </w:r>
      <w:r w:rsidR="007764B1" w:rsidRPr="00CB6BB3">
        <w:rPr>
          <w:lang w:val="es-ES_tradnl"/>
        </w:rPr>
        <w:t>así como a la idea</w:t>
      </w:r>
      <w:r w:rsidR="00D97577" w:rsidRPr="00CB6BB3">
        <w:rPr>
          <w:lang w:val="es-ES_tradnl"/>
        </w:rPr>
        <w:t xml:space="preserve"> de contrarrestar la conversión del empleo a tiempo completo en empleo a tiempo parcial</w:t>
      </w:r>
      <w:r w:rsidRPr="00CB6BB3">
        <w:rPr>
          <w:lang w:val="es-ES_tradnl"/>
        </w:rPr>
        <w:t xml:space="preserve">. </w:t>
      </w:r>
      <w:r w:rsidR="00D97577" w:rsidRPr="00CB6BB3">
        <w:rPr>
          <w:lang w:val="es-ES_tradnl"/>
        </w:rPr>
        <w:t>A excepción de unos pocos casos, los empleados a tiempo completo siempre han tenido derecho al pago de un</w:t>
      </w:r>
      <w:r w:rsidR="00B80EE9" w:rsidRPr="00CB6BB3">
        <w:rPr>
          <w:lang w:val="es-ES_tradnl"/>
        </w:rPr>
        <w:t>a compensación extraordinaria del</w:t>
      </w:r>
      <w:r w:rsidR="00D97577" w:rsidRPr="00CB6BB3">
        <w:rPr>
          <w:lang w:val="es-ES_tradnl"/>
        </w:rPr>
        <w:t xml:space="preserve"> 50</w:t>
      </w:r>
      <w:r w:rsidR="00B34FFF">
        <w:rPr>
          <w:lang w:val="es-ES_tradnl"/>
        </w:rPr>
        <w:t>%</w:t>
      </w:r>
      <w:r w:rsidR="00D97577" w:rsidRPr="00CB6BB3">
        <w:rPr>
          <w:lang w:val="es-ES_tradnl"/>
        </w:rPr>
        <w:t xml:space="preserve"> </w:t>
      </w:r>
      <w:r w:rsidR="00B80EE9" w:rsidRPr="00CB6BB3">
        <w:rPr>
          <w:lang w:val="es-ES_tradnl"/>
        </w:rPr>
        <w:t>por trabajo adicional</w:t>
      </w:r>
      <w:r w:rsidRPr="00CB6BB3">
        <w:rPr>
          <w:lang w:val="es-ES_tradnl"/>
        </w:rPr>
        <w:t>.</w:t>
      </w:r>
    </w:p>
    <w:p w:rsidR="005E49B6" w:rsidRPr="00CB6BB3" w:rsidRDefault="005E49B6" w:rsidP="005E49B6">
      <w:pPr>
        <w:pStyle w:val="SingleTxtG"/>
        <w:rPr>
          <w:lang w:val="es-ES_tradnl"/>
        </w:rPr>
      </w:pPr>
      <w:r w:rsidRPr="00CB6BB3">
        <w:rPr>
          <w:lang w:val="es-ES_tradnl"/>
        </w:rPr>
        <w:t>35.</w:t>
      </w:r>
      <w:r w:rsidRPr="00CB6BB3">
        <w:rPr>
          <w:lang w:val="es-ES_tradnl"/>
        </w:rPr>
        <w:tab/>
      </w:r>
      <w:r w:rsidR="006A5335" w:rsidRPr="00CB6BB3">
        <w:rPr>
          <w:lang w:val="es-ES_tradnl"/>
        </w:rPr>
        <w:t>En 2008 y 2009 se realizaron dos estudios en los que se utilizó un conjunto de indicadores para analizar las disparidades salariales relacionadas con el género</w:t>
      </w:r>
      <w:r w:rsidRPr="00CB6BB3">
        <w:rPr>
          <w:lang w:val="es-ES_tradnl"/>
        </w:rPr>
        <w:t xml:space="preserve">. </w:t>
      </w:r>
      <w:r w:rsidR="006A5335" w:rsidRPr="00CB6BB3">
        <w:rPr>
          <w:lang w:val="es-ES_tradnl"/>
        </w:rPr>
        <w:t xml:space="preserve">Se llegó a la conclusión de que la disparidad salarial ya existe </w:t>
      </w:r>
      <w:r w:rsidR="004012D0" w:rsidRPr="00CB6BB3">
        <w:rPr>
          <w:lang w:val="es-ES_tradnl"/>
        </w:rPr>
        <w:t xml:space="preserve">cuando </w:t>
      </w:r>
      <w:r w:rsidR="006A5335" w:rsidRPr="00CB6BB3">
        <w:rPr>
          <w:lang w:val="es-ES_tradnl"/>
        </w:rPr>
        <w:t>los nuevos participantes en el mercado de trabajo</w:t>
      </w:r>
      <w:r w:rsidR="004012D0" w:rsidRPr="00CB6BB3">
        <w:rPr>
          <w:lang w:val="es-ES_tradnl"/>
        </w:rPr>
        <w:t xml:space="preserve"> se incorporan</w:t>
      </w:r>
      <w:r w:rsidRPr="00CB6BB3">
        <w:rPr>
          <w:lang w:val="es-ES_tradnl"/>
        </w:rPr>
        <w:t xml:space="preserve">, </w:t>
      </w:r>
      <w:r w:rsidR="006A5335" w:rsidRPr="00CB6BB3">
        <w:rPr>
          <w:lang w:val="es-ES_tradnl"/>
        </w:rPr>
        <w:t>lo cual incide considerablemente en la brecha salarial general</w:t>
      </w:r>
      <w:r w:rsidRPr="00CB6BB3">
        <w:rPr>
          <w:lang w:val="es-ES_tradnl"/>
        </w:rPr>
        <w:t xml:space="preserve">. </w:t>
      </w:r>
      <w:r w:rsidR="006A5335" w:rsidRPr="00CB6BB3">
        <w:rPr>
          <w:lang w:val="es-ES_tradnl"/>
        </w:rPr>
        <w:t xml:space="preserve">Otras causas significativas de la disparidad de ingresos entre las mujeres y los hombres son las desigualdades </w:t>
      </w:r>
      <w:r w:rsidR="00BE2369" w:rsidRPr="00CB6BB3">
        <w:rPr>
          <w:lang w:val="es-ES_tradnl"/>
        </w:rPr>
        <w:t>entre uno</w:t>
      </w:r>
      <w:r w:rsidR="000A2E19" w:rsidRPr="00CB6BB3">
        <w:rPr>
          <w:lang w:val="es-ES_tradnl"/>
        </w:rPr>
        <w:t>s</w:t>
      </w:r>
      <w:r w:rsidR="00BE2369" w:rsidRPr="00CB6BB3">
        <w:rPr>
          <w:lang w:val="es-ES_tradnl"/>
        </w:rPr>
        <w:t xml:space="preserve"> y otr</w:t>
      </w:r>
      <w:r w:rsidR="000A2E19" w:rsidRPr="00CB6BB3">
        <w:rPr>
          <w:lang w:val="es-ES_tradnl"/>
        </w:rPr>
        <w:t>as en</w:t>
      </w:r>
      <w:r w:rsidR="00BE2369" w:rsidRPr="00CB6BB3">
        <w:rPr>
          <w:lang w:val="es-ES_tradnl"/>
        </w:rPr>
        <w:t xml:space="preserve"> lo</w:t>
      </w:r>
      <w:r w:rsidR="000A2E19" w:rsidRPr="00CB6BB3">
        <w:rPr>
          <w:lang w:val="es-ES_tradnl"/>
        </w:rPr>
        <w:t xml:space="preserve"> referente a los</w:t>
      </w:r>
      <w:r w:rsidR="00BE2369" w:rsidRPr="00CB6BB3">
        <w:rPr>
          <w:lang w:val="es-ES_tradnl"/>
        </w:rPr>
        <w:t xml:space="preserve"> ascensos profesionales</w:t>
      </w:r>
      <w:r w:rsidR="007764B1" w:rsidRPr="00CB6BB3">
        <w:rPr>
          <w:lang w:val="es-ES_tradnl"/>
        </w:rPr>
        <w:t>,</w:t>
      </w:r>
      <w:r w:rsidR="00BE2369" w:rsidRPr="00CB6BB3">
        <w:rPr>
          <w:lang w:val="es-ES_tradnl"/>
        </w:rPr>
        <w:t xml:space="preserve"> y las interrupciones laborales por razón del cuidado de los hijos</w:t>
      </w:r>
      <w:r w:rsidRPr="00CB6BB3">
        <w:rPr>
          <w:lang w:val="es-ES_tradnl"/>
        </w:rPr>
        <w:t>.</w:t>
      </w:r>
    </w:p>
    <w:p w:rsidR="005E49B6" w:rsidRPr="00CB6BB3" w:rsidRDefault="005E49B6" w:rsidP="005E49B6">
      <w:pPr>
        <w:pStyle w:val="SingleTxtG"/>
        <w:rPr>
          <w:lang w:val="es-ES_tradnl"/>
        </w:rPr>
      </w:pPr>
      <w:r w:rsidRPr="00CB6BB3">
        <w:rPr>
          <w:lang w:val="es-ES_tradnl"/>
        </w:rPr>
        <w:t>36.</w:t>
      </w:r>
      <w:r w:rsidRPr="00CB6BB3">
        <w:rPr>
          <w:lang w:val="es-ES_tradnl"/>
        </w:rPr>
        <w:tab/>
      </w:r>
      <w:r w:rsidR="00BE2369" w:rsidRPr="00CB6BB3">
        <w:rPr>
          <w:lang w:val="es-ES_tradnl"/>
        </w:rPr>
        <w:t xml:space="preserve">El Ombudsman para la Igualdad de Trato ideó talleres </w:t>
      </w:r>
      <w:r w:rsidR="00FB2C48" w:rsidRPr="00CB6BB3">
        <w:rPr>
          <w:lang w:val="es-ES_tradnl"/>
        </w:rPr>
        <w:t>de efecto multiplicador</w:t>
      </w:r>
      <w:r w:rsidR="007764B1" w:rsidRPr="00CB6BB3">
        <w:rPr>
          <w:lang w:val="es-ES_tradnl"/>
        </w:rPr>
        <w:t xml:space="preserve"> para</w:t>
      </w:r>
      <w:r w:rsidRPr="00CB6BB3">
        <w:rPr>
          <w:lang w:val="es-ES_tradnl"/>
        </w:rPr>
        <w:t xml:space="preserve"> </w:t>
      </w:r>
      <w:r w:rsidR="00BE2369" w:rsidRPr="00CB6BB3">
        <w:rPr>
          <w:lang w:val="es-ES_tradnl"/>
        </w:rPr>
        <w:t xml:space="preserve">órganos </w:t>
      </w:r>
      <w:r w:rsidR="007764B1" w:rsidRPr="00CB6BB3">
        <w:rPr>
          <w:lang w:val="es-ES_tradnl"/>
        </w:rPr>
        <w:t xml:space="preserve">representantes de intereses, </w:t>
      </w:r>
      <w:r w:rsidR="000A2E19" w:rsidRPr="00CB6BB3">
        <w:rPr>
          <w:lang w:val="es-ES_tradnl"/>
        </w:rPr>
        <w:t>y</w:t>
      </w:r>
      <w:r w:rsidR="007764B1" w:rsidRPr="00CB6BB3">
        <w:rPr>
          <w:lang w:val="es-ES_tradnl"/>
        </w:rPr>
        <w:t xml:space="preserve"> para</w:t>
      </w:r>
      <w:r w:rsidR="00BE2369" w:rsidRPr="00CB6BB3">
        <w:rPr>
          <w:lang w:val="es-ES_tradnl"/>
        </w:rPr>
        <w:t xml:space="preserve"> empresas</w:t>
      </w:r>
      <w:r w:rsidR="007764B1" w:rsidRPr="00CB6BB3">
        <w:rPr>
          <w:lang w:val="es-ES_tradnl"/>
        </w:rPr>
        <w:t>,</w:t>
      </w:r>
      <w:r w:rsidR="00BE2369" w:rsidRPr="00CB6BB3">
        <w:rPr>
          <w:lang w:val="es-ES_tradnl"/>
        </w:rPr>
        <w:t xml:space="preserve"> que combinan información general sobre las disposiciones obligatorias pertinentes, con una descripción de casos concretos e instrucc</w:t>
      </w:r>
      <w:r w:rsidRPr="00CB6BB3">
        <w:rPr>
          <w:lang w:val="es-ES_tradnl"/>
        </w:rPr>
        <w:t>ion</w:t>
      </w:r>
      <w:r w:rsidR="00BE2369" w:rsidRPr="00CB6BB3">
        <w:rPr>
          <w:lang w:val="es-ES_tradnl"/>
        </w:rPr>
        <w:t>e</w:t>
      </w:r>
      <w:r w:rsidRPr="00CB6BB3">
        <w:rPr>
          <w:lang w:val="es-ES_tradnl"/>
        </w:rPr>
        <w:t xml:space="preserve">s </w:t>
      </w:r>
      <w:r w:rsidR="00BE2369" w:rsidRPr="00CB6BB3">
        <w:rPr>
          <w:lang w:val="es-ES_tradnl"/>
        </w:rPr>
        <w:t>para hacer visibles las diferencias de ingresos</w:t>
      </w:r>
      <w:r w:rsidRPr="00CB6BB3">
        <w:rPr>
          <w:lang w:val="es-ES_tradnl"/>
        </w:rPr>
        <w:t>.</w:t>
      </w:r>
    </w:p>
    <w:p w:rsidR="005E49B6" w:rsidRPr="00CB6BB3" w:rsidRDefault="005E49B6" w:rsidP="005E49B6">
      <w:pPr>
        <w:pStyle w:val="SingleTxtG"/>
        <w:rPr>
          <w:lang w:val="es-ES_tradnl"/>
        </w:rPr>
      </w:pPr>
      <w:r w:rsidRPr="00CB6BB3">
        <w:rPr>
          <w:lang w:val="es-ES_tradnl"/>
        </w:rPr>
        <w:t>37.</w:t>
      </w:r>
      <w:r w:rsidRPr="00CB6BB3">
        <w:rPr>
          <w:lang w:val="es-ES_tradnl"/>
        </w:rPr>
        <w:tab/>
      </w:r>
      <w:r w:rsidR="003E192C" w:rsidRPr="00CB6BB3">
        <w:rPr>
          <w:lang w:val="es-ES_tradnl"/>
        </w:rPr>
        <w:t>Se concibió otro curso de formación destinado a mejorar el profesionalismo de los especialistas en igualdad de remuneración</w:t>
      </w:r>
      <w:r w:rsidR="000A2E19" w:rsidRPr="00CB6BB3">
        <w:rPr>
          <w:lang w:val="es-ES_tradnl"/>
        </w:rPr>
        <w:t>;</w:t>
      </w:r>
      <w:r w:rsidRPr="00CB6BB3">
        <w:rPr>
          <w:lang w:val="es-ES_tradnl"/>
        </w:rPr>
        <w:t xml:space="preserve"> </w:t>
      </w:r>
      <w:r w:rsidR="000A2E19" w:rsidRPr="00CB6BB3">
        <w:rPr>
          <w:lang w:val="es-ES_tradnl"/>
        </w:rPr>
        <w:t>e</w:t>
      </w:r>
      <w:r w:rsidR="003E192C" w:rsidRPr="00CB6BB3">
        <w:rPr>
          <w:lang w:val="es-ES_tradnl"/>
        </w:rPr>
        <w:t>n 2008 y</w:t>
      </w:r>
      <w:r w:rsidRPr="00CB6BB3">
        <w:rPr>
          <w:lang w:val="es-ES_tradnl"/>
        </w:rPr>
        <w:t xml:space="preserve"> 2009 </w:t>
      </w:r>
      <w:r w:rsidR="003E192C" w:rsidRPr="00CB6BB3">
        <w:rPr>
          <w:lang w:val="es-ES_tradnl"/>
        </w:rPr>
        <w:t>se celebrar</w:t>
      </w:r>
      <w:r w:rsidR="007764B1" w:rsidRPr="00CB6BB3">
        <w:rPr>
          <w:lang w:val="es-ES_tradnl"/>
        </w:rPr>
        <w:t xml:space="preserve">on tres </w:t>
      </w:r>
      <w:r w:rsidR="00F3188C">
        <w:rPr>
          <w:lang w:val="es-ES_tradnl"/>
        </w:rPr>
        <w:t xml:space="preserve">talleres </w:t>
      </w:r>
      <w:r w:rsidR="007764B1" w:rsidRPr="00CB6BB3">
        <w:rPr>
          <w:lang w:val="es-ES_tradnl"/>
        </w:rPr>
        <w:t>de este tipo</w:t>
      </w:r>
      <w:r w:rsidRPr="00CB6BB3">
        <w:rPr>
          <w:lang w:val="es-ES_tradnl"/>
        </w:rPr>
        <w:t xml:space="preserve">. </w:t>
      </w:r>
      <w:r w:rsidR="003E192C" w:rsidRPr="00CB6BB3">
        <w:rPr>
          <w:lang w:val="es-ES_tradnl"/>
        </w:rPr>
        <w:t xml:space="preserve">Un módulo del curso </w:t>
      </w:r>
      <w:r w:rsidR="00D12055" w:rsidRPr="00CB6BB3">
        <w:rPr>
          <w:lang w:val="es-ES_tradnl"/>
        </w:rPr>
        <w:t xml:space="preserve">se refería a las tutorías como instrumento para lograr la igualdad </w:t>
      </w:r>
      <w:r w:rsidR="007764B1" w:rsidRPr="00CB6BB3">
        <w:rPr>
          <w:lang w:val="es-ES_tradnl"/>
        </w:rPr>
        <w:t xml:space="preserve">en el caso </w:t>
      </w:r>
      <w:r w:rsidR="00D12055" w:rsidRPr="00CB6BB3">
        <w:rPr>
          <w:lang w:val="es-ES_tradnl"/>
        </w:rPr>
        <w:t xml:space="preserve">de </w:t>
      </w:r>
      <w:r w:rsidR="004012D0" w:rsidRPr="00CB6BB3">
        <w:rPr>
          <w:lang w:val="es-ES_tradnl"/>
        </w:rPr>
        <w:t>las in</w:t>
      </w:r>
      <w:r w:rsidR="00D12055" w:rsidRPr="00CB6BB3">
        <w:rPr>
          <w:lang w:val="es-ES_tradnl"/>
        </w:rPr>
        <w:t xml:space="preserve">migrantes. En el cuarto trimestre de </w:t>
      </w:r>
      <w:r w:rsidRPr="00CB6BB3">
        <w:rPr>
          <w:lang w:val="es-ES_tradnl"/>
        </w:rPr>
        <w:t xml:space="preserve">2009, </w:t>
      </w:r>
      <w:r w:rsidR="00D12055" w:rsidRPr="00CB6BB3">
        <w:rPr>
          <w:lang w:val="es-ES_tradnl"/>
        </w:rPr>
        <w:t>se puso en marcha una campaña titulada</w:t>
      </w:r>
      <w:r w:rsidRPr="00CB6BB3">
        <w:rPr>
          <w:lang w:val="es-ES_tradnl"/>
        </w:rPr>
        <w:t xml:space="preserve"> </w:t>
      </w:r>
      <w:r w:rsidR="00C70626">
        <w:rPr>
          <w:lang w:val="es-ES_tradnl"/>
        </w:rPr>
        <w:t>"</w:t>
      </w:r>
      <w:r w:rsidR="00D12055" w:rsidRPr="00CB6BB3">
        <w:rPr>
          <w:lang w:val="es-ES_tradnl"/>
        </w:rPr>
        <w:t>Igual = Justo</w:t>
      </w:r>
      <w:r w:rsidR="00C70626">
        <w:rPr>
          <w:lang w:val="es-ES_tradnl"/>
        </w:rPr>
        <w:t>"</w:t>
      </w:r>
      <w:r w:rsidR="00D12055" w:rsidRPr="00CB6BB3">
        <w:rPr>
          <w:lang w:val="es-ES_tradnl"/>
        </w:rPr>
        <w:t>, que gir</w:t>
      </w:r>
      <w:r w:rsidR="007764B1" w:rsidRPr="00CB6BB3">
        <w:rPr>
          <w:lang w:val="es-ES_tradnl"/>
        </w:rPr>
        <w:t>ó</w:t>
      </w:r>
      <w:r w:rsidR="00D12055" w:rsidRPr="00CB6BB3">
        <w:rPr>
          <w:lang w:val="es-ES_tradnl"/>
        </w:rPr>
        <w:t xml:space="preserve"> en torno a la igualdad de remuneración por un trabajo de igual valor</w:t>
      </w:r>
      <w:r w:rsidRPr="00CB6BB3">
        <w:rPr>
          <w:lang w:val="es-ES_tradnl"/>
        </w:rPr>
        <w:t>.</w:t>
      </w:r>
    </w:p>
    <w:p w:rsidR="005E49B6" w:rsidRPr="00CB6BB3" w:rsidRDefault="005E49B6" w:rsidP="005E49B6">
      <w:pPr>
        <w:pStyle w:val="SingleTxtG"/>
        <w:rPr>
          <w:lang w:val="es-ES_tradnl"/>
        </w:rPr>
      </w:pPr>
      <w:r w:rsidRPr="00CB6BB3">
        <w:rPr>
          <w:lang w:val="es-ES_tradnl"/>
        </w:rPr>
        <w:t>38.</w:t>
      </w:r>
      <w:r w:rsidRPr="00CB6BB3">
        <w:rPr>
          <w:lang w:val="es-ES_tradnl"/>
        </w:rPr>
        <w:tab/>
      </w:r>
      <w:r w:rsidR="0043725A" w:rsidRPr="00CB6BB3">
        <w:rPr>
          <w:lang w:val="es-ES_tradnl"/>
        </w:rPr>
        <w:t>El Servicio Público de Empleo de Austria</w:t>
      </w:r>
      <w:r w:rsidRPr="00CB6BB3">
        <w:rPr>
          <w:lang w:val="es-ES_tradnl"/>
        </w:rPr>
        <w:t xml:space="preserve"> (</w:t>
      </w:r>
      <w:r w:rsidR="00223F5C">
        <w:rPr>
          <w:lang w:val="es-ES_tradnl"/>
        </w:rPr>
        <w:t>SPE</w:t>
      </w:r>
      <w:r w:rsidRPr="00CB6BB3">
        <w:rPr>
          <w:lang w:val="es-ES_tradnl"/>
        </w:rPr>
        <w:t>) adopt</w:t>
      </w:r>
      <w:r w:rsidR="0043725A" w:rsidRPr="00CB6BB3">
        <w:rPr>
          <w:lang w:val="es-ES_tradnl"/>
        </w:rPr>
        <w:t>ó la estrategia vinculante de perseguir la igualdad e</w:t>
      </w:r>
      <w:r w:rsidR="0048447C" w:rsidRPr="00CB6BB3">
        <w:rPr>
          <w:lang w:val="es-ES_tradnl"/>
        </w:rPr>
        <w:t>n todos los aspectos</w:t>
      </w:r>
      <w:r w:rsidRPr="00CB6BB3">
        <w:rPr>
          <w:lang w:val="es-ES_tradnl"/>
        </w:rPr>
        <w:t xml:space="preserve">. </w:t>
      </w:r>
      <w:r w:rsidR="0043725A" w:rsidRPr="00CB6BB3">
        <w:rPr>
          <w:lang w:val="es-ES_tradnl"/>
        </w:rPr>
        <w:t>E</w:t>
      </w:r>
      <w:r w:rsidRPr="00CB6BB3">
        <w:rPr>
          <w:lang w:val="es-ES_tradnl"/>
        </w:rPr>
        <w:t xml:space="preserve">n 2001, </w:t>
      </w:r>
      <w:r w:rsidR="0043725A" w:rsidRPr="00CB6BB3">
        <w:rPr>
          <w:lang w:val="es-ES_tradnl"/>
        </w:rPr>
        <w:t xml:space="preserve">se </w:t>
      </w:r>
      <w:r w:rsidR="007764B1" w:rsidRPr="00CB6BB3">
        <w:rPr>
          <w:lang w:val="es-ES_tradnl"/>
        </w:rPr>
        <w:t>adopt</w:t>
      </w:r>
      <w:r w:rsidR="0048447C" w:rsidRPr="00CB6BB3">
        <w:rPr>
          <w:lang w:val="es-ES_tradnl"/>
        </w:rPr>
        <w:t xml:space="preserve">ó </w:t>
      </w:r>
      <w:r w:rsidR="007764B1" w:rsidRPr="00CB6BB3">
        <w:rPr>
          <w:lang w:val="es-ES_tradnl"/>
        </w:rPr>
        <w:t xml:space="preserve">el criterio de </w:t>
      </w:r>
      <w:r w:rsidR="0048447C" w:rsidRPr="00CB6BB3">
        <w:rPr>
          <w:lang w:val="es-ES_tradnl"/>
        </w:rPr>
        <w:t>q</w:t>
      </w:r>
      <w:r w:rsidR="0043725A" w:rsidRPr="00CB6BB3">
        <w:rPr>
          <w:lang w:val="es-ES_tradnl"/>
        </w:rPr>
        <w:t>ue el 50</w:t>
      </w:r>
      <w:r w:rsidR="00B34FFF">
        <w:rPr>
          <w:lang w:val="es-ES_tradnl"/>
        </w:rPr>
        <w:t>%</w:t>
      </w:r>
      <w:r w:rsidR="0043725A" w:rsidRPr="00CB6BB3">
        <w:rPr>
          <w:lang w:val="es-ES_tradnl"/>
        </w:rPr>
        <w:t xml:space="preserve"> de los fondos presupuestarios asignados a una política activa del mercado de trabajo se gastar</w:t>
      </w:r>
      <w:r w:rsidR="007764B1" w:rsidRPr="00CB6BB3">
        <w:rPr>
          <w:lang w:val="es-ES_tradnl"/>
        </w:rPr>
        <w:t>í</w:t>
      </w:r>
      <w:r w:rsidR="0043725A" w:rsidRPr="00CB6BB3">
        <w:rPr>
          <w:lang w:val="es-ES_tradnl"/>
        </w:rPr>
        <w:t xml:space="preserve">a en </w:t>
      </w:r>
      <w:r w:rsidR="000A2E19" w:rsidRPr="00CB6BB3">
        <w:rPr>
          <w:lang w:val="es-ES_tradnl"/>
        </w:rPr>
        <w:t>asuntos de la</w:t>
      </w:r>
      <w:r w:rsidR="0043725A" w:rsidRPr="00CB6BB3">
        <w:rPr>
          <w:lang w:val="es-ES_tradnl"/>
        </w:rPr>
        <w:t xml:space="preserve"> mujer; </w:t>
      </w:r>
      <w:r w:rsidR="0048447C" w:rsidRPr="00CB6BB3">
        <w:rPr>
          <w:lang w:val="es-ES_tradnl"/>
        </w:rPr>
        <w:t xml:space="preserve">dado que </w:t>
      </w:r>
      <w:r w:rsidR="0043725A" w:rsidRPr="00CB6BB3">
        <w:rPr>
          <w:lang w:val="es-ES_tradnl"/>
        </w:rPr>
        <w:t xml:space="preserve">la crisis económica </w:t>
      </w:r>
      <w:r w:rsidR="0048447C" w:rsidRPr="00CB6BB3">
        <w:rPr>
          <w:lang w:val="es-ES_tradnl"/>
        </w:rPr>
        <w:t>disparó las cifras de desempleo masculino, en 2009 ese objetivo</w:t>
      </w:r>
      <w:r w:rsidR="007764B1" w:rsidRPr="00CB6BB3">
        <w:rPr>
          <w:lang w:val="es-ES_tradnl"/>
        </w:rPr>
        <w:t xml:space="preserve"> no se logró plenamente. Ese año</w:t>
      </w:r>
      <w:r w:rsidR="0048447C" w:rsidRPr="00CB6BB3">
        <w:rPr>
          <w:lang w:val="es-ES_tradnl"/>
        </w:rPr>
        <w:t xml:space="preserve">, </w:t>
      </w:r>
      <w:r w:rsidR="007764B1" w:rsidRPr="00CB6BB3">
        <w:rPr>
          <w:lang w:val="es-ES_tradnl"/>
        </w:rPr>
        <w:t>el gasto en asuntos de la mujer fue del</w:t>
      </w:r>
      <w:r w:rsidR="0048447C" w:rsidRPr="00CB6BB3">
        <w:rPr>
          <w:lang w:val="es-ES_tradnl"/>
        </w:rPr>
        <w:t xml:space="preserve"> </w:t>
      </w:r>
      <w:r w:rsidRPr="00CB6BB3">
        <w:rPr>
          <w:lang w:val="es-ES_tradnl"/>
        </w:rPr>
        <w:t>4</w:t>
      </w:r>
      <w:r w:rsidR="0048447C" w:rsidRPr="00CB6BB3">
        <w:rPr>
          <w:lang w:val="es-ES_tradnl"/>
        </w:rPr>
        <w:t>8,4</w:t>
      </w:r>
      <w:r w:rsidR="00B34FFF">
        <w:rPr>
          <w:lang w:val="es-ES_tradnl"/>
        </w:rPr>
        <w:t>%</w:t>
      </w:r>
      <w:r w:rsidR="0048447C" w:rsidRPr="00CB6BB3">
        <w:rPr>
          <w:lang w:val="es-ES_tradnl"/>
        </w:rPr>
        <w:t xml:space="preserve"> (472,9 mill</w:t>
      </w:r>
      <w:r w:rsidRPr="00CB6BB3">
        <w:rPr>
          <w:lang w:val="es-ES_tradnl"/>
        </w:rPr>
        <w:t>on</w:t>
      </w:r>
      <w:r w:rsidR="0048447C" w:rsidRPr="00CB6BB3">
        <w:rPr>
          <w:lang w:val="es-ES_tradnl"/>
        </w:rPr>
        <w:t>es de</w:t>
      </w:r>
      <w:r w:rsidRPr="00CB6BB3">
        <w:rPr>
          <w:lang w:val="es-ES_tradnl"/>
        </w:rPr>
        <w:t xml:space="preserve"> euro</w:t>
      </w:r>
      <w:r w:rsidR="0048447C" w:rsidRPr="00CB6BB3">
        <w:rPr>
          <w:lang w:val="es-ES_tradnl"/>
        </w:rPr>
        <w:t>s</w:t>
      </w:r>
      <w:r w:rsidRPr="00CB6BB3">
        <w:rPr>
          <w:lang w:val="es-ES_tradnl"/>
        </w:rPr>
        <w:t>) (ex</w:t>
      </w:r>
      <w:r w:rsidR="0048447C" w:rsidRPr="00CB6BB3">
        <w:rPr>
          <w:lang w:val="es-ES_tradnl"/>
        </w:rPr>
        <w:t>clu</w:t>
      </w:r>
      <w:r w:rsidRPr="00CB6BB3">
        <w:rPr>
          <w:lang w:val="es-ES_tradnl"/>
        </w:rPr>
        <w:t>i</w:t>
      </w:r>
      <w:r w:rsidR="0048447C" w:rsidRPr="00CB6BB3">
        <w:rPr>
          <w:lang w:val="es-ES_tradnl"/>
        </w:rPr>
        <w:t>do el trabajo de corta duración</w:t>
      </w:r>
      <w:r w:rsidRPr="00CB6BB3">
        <w:rPr>
          <w:lang w:val="es-ES_tradnl"/>
        </w:rPr>
        <w:t xml:space="preserve">) </w:t>
      </w:r>
      <w:r w:rsidR="000A2E19" w:rsidRPr="00CB6BB3">
        <w:rPr>
          <w:lang w:val="es-ES_tradnl"/>
        </w:rPr>
        <w:t>del presupuesto destinado</w:t>
      </w:r>
      <w:r w:rsidR="0048447C" w:rsidRPr="00CB6BB3">
        <w:rPr>
          <w:lang w:val="es-ES_tradnl"/>
        </w:rPr>
        <w:t xml:space="preserve"> a actividades del área d</w:t>
      </w:r>
      <w:r w:rsidR="007764B1" w:rsidRPr="00CB6BB3">
        <w:rPr>
          <w:lang w:val="es-ES_tradnl"/>
        </w:rPr>
        <w:t>e género</w:t>
      </w:r>
      <w:r w:rsidR="0048447C" w:rsidRPr="00CB6BB3">
        <w:rPr>
          <w:lang w:val="es-ES_tradnl"/>
        </w:rPr>
        <w:t>.</w:t>
      </w:r>
      <w:r w:rsidRPr="00CB6BB3">
        <w:rPr>
          <w:lang w:val="es-ES_tradnl"/>
        </w:rPr>
        <w:t xml:space="preserve"> </w:t>
      </w:r>
      <w:r w:rsidR="0048447C" w:rsidRPr="00CB6BB3">
        <w:rPr>
          <w:lang w:val="es-ES_tradnl"/>
        </w:rPr>
        <w:t>E</w:t>
      </w:r>
      <w:r w:rsidRPr="00CB6BB3">
        <w:rPr>
          <w:lang w:val="es-ES_tradnl"/>
        </w:rPr>
        <w:t xml:space="preserve">n 2007, </w:t>
      </w:r>
      <w:r w:rsidR="0048447C" w:rsidRPr="00CB6BB3">
        <w:rPr>
          <w:lang w:val="es-ES_tradnl"/>
        </w:rPr>
        <w:t xml:space="preserve">el </w:t>
      </w:r>
      <w:r w:rsidR="007764B1" w:rsidRPr="00CB6BB3">
        <w:rPr>
          <w:lang w:val="es-ES_tradnl"/>
        </w:rPr>
        <w:t xml:space="preserve">gasto fue del </w:t>
      </w:r>
      <w:r w:rsidR="0048447C" w:rsidRPr="00CB6BB3">
        <w:rPr>
          <w:lang w:val="es-ES_tradnl"/>
        </w:rPr>
        <w:t>49,4</w:t>
      </w:r>
      <w:r w:rsidR="00B34FFF">
        <w:rPr>
          <w:lang w:val="es-ES_tradnl"/>
        </w:rPr>
        <w:t>%</w:t>
      </w:r>
      <w:r w:rsidR="007764B1" w:rsidRPr="00CB6BB3">
        <w:rPr>
          <w:lang w:val="es-ES_tradnl"/>
        </w:rPr>
        <w:t xml:space="preserve"> de l</w:t>
      </w:r>
      <w:r w:rsidR="004012D0" w:rsidRPr="00CB6BB3">
        <w:rPr>
          <w:lang w:val="es-ES_tradnl"/>
        </w:rPr>
        <w:t>os fondos</w:t>
      </w:r>
      <w:r w:rsidR="0048447C" w:rsidRPr="00CB6BB3">
        <w:rPr>
          <w:lang w:val="es-ES_tradnl"/>
        </w:rPr>
        <w:t xml:space="preserve"> </w:t>
      </w:r>
      <w:r w:rsidR="004012D0" w:rsidRPr="00CB6BB3">
        <w:rPr>
          <w:lang w:val="es-ES_tradnl"/>
        </w:rPr>
        <w:t>(</w:t>
      </w:r>
      <w:r w:rsidR="0048447C" w:rsidRPr="00CB6BB3">
        <w:rPr>
          <w:lang w:val="es-ES_tradnl"/>
        </w:rPr>
        <w:t>que ese año habían sido</w:t>
      </w:r>
      <w:r w:rsidR="004012D0" w:rsidRPr="00CB6BB3">
        <w:rPr>
          <w:lang w:val="es-ES_tradnl"/>
        </w:rPr>
        <w:t xml:space="preserve"> aumentados en un 20</w:t>
      </w:r>
      <w:r w:rsidR="00B34FFF">
        <w:rPr>
          <w:lang w:val="es-ES_tradnl"/>
        </w:rPr>
        <w:t>%</w:t>
      </w:r>
      <w:r w:rsidR="004012D0" w:rsidRPr="00CB6BB3">
        <w:rPr>
          <w:lang w:val="es-ES_tradnl"/>
        </w:rPr>
        <w:t>),</w:t>
      </w:r>
      <w:r w:rsidR="0048447C" w:rsidRPr="00CB6BB3">
        <w:rPr>
          <w:lang w:val="es-ES_tradnl"/>
        </w:rPr>
        <w:t xml:space="preserve"> en comparación con no menos del 52,3</w:t>
      </w:r>
      <w:r w:rsidR="00B34FFF">
        <w:rPr>
          <w:lang w:val="es-ES_tradnl"/>
        </w:rPr>
        <w:t>%</w:t>
      </w:r>
      <w:r w:rsidR="0048447C" w:rsidRPr="00CB6BB3">
        <w:rPr>
          <w:lang w:val="es-ES_tradnl"/>
        </w:rPr>
        <w:t xml:space="preserve"> </w:t>
      </w:r>
      <w:r w:rsidR="009D7223" w:rsidRPr="00CB6BB3">
        <w:rPr>
          <w:lang w:val="es-ES_tradnl"/>
        </w:rPr>
        <w:t xml:space="preserve">gastado </w:t>
      </w:r>
      <w:r w:rsidR="0048447C" w:rsidRPr="00CB6BB3">
        <w:rPr>
          <w:lang w:val="es-ES_tradnl"/>
        </w:rPr>
        <w:t>en</w:t>
      </w:r>
      <w:r w:rsidRPr="00CB6BB3">
        <w:rPr>
          <w:lang w:val="es-ES_tradnl"/>
        </w:rPr>
        <w:t xml:space="preserve"> 2008.</w:t>
      </w:r>
    </w:p>
    <w:p w:rsidR="005E49B6" w:rsidRPr="00CB6BB3" w:rsidRDefault="005E49B6" w:rsidP="005E49B6">
      <w:pPr>
        <w:pStyle w:val="SingleTxtG"/>
        <w:rPr>
          <w:lang w:val="es-ES_tradnl"/>
        </w:rPr>
      </w:pPr>
      <w:r w:rsidRPr="00CB6BB3">
        <w:rPr>
          <w:lang w:val="es-ES_tradnl"/>
        </w:rPr>
        <w:t>39.</w:t>
      </w:r>
      <w:r w:rsidRPr="00CB6BB3">
        <w:rPr>
          <w:lang w:val="es-ES_tradnl"/>
        </w:rPr>
        <w:tab/>
      </w:r>
      <w:r w:rsidR="00512AB4" w:rsidRPr="00CB6BB3">
        <w:rPr>
          <w:lang w:val="es-ES_tradnl"/>
        </w:rPr>
        <w:t xml:space="preserve">Un </w:t>
      </w:r>
      <w:r w:rsidR="000D3A18" w:rsidRPr="00CB6BB3">
        <w:rPr>
          <w:lang w:val="es-ES_tradnl"/>
        </w:rPr>
        <w:t xml:space="preserve">objetivo esencial de la búsqueda de igualdad de </w:t>
      </w:r>
      <w:r w:rsidRPr="00CB6BB3">
        <w:rPr>
          <w:lang w:val="es-ES_tradnl"/>
        </w:rPr>
        <w:t>Austria</w:t>
      </w:r>
      <w:r w:rsidR="000D3A18" w:rsidRPr="00CB6BB3">
        <w:rPr>
          <w:lang w:val="es-ES_tradnl"/>
        </w:rPr>
        <w:t xml:space="preserve"> en sus políticas de mercado de trabajo e</w:t>
      </w:r>
      <w:r w:rsidRPr="00CB6BB3">
        <w:rPr>
          <w:lang w:val="es-ES_tradnl"/>
        </w:rPr>
        <w:t xml:space="preserve">s </w:t>
      </w:r>
      <w:r w:rsidR="000D3A18" w:rsidRPr="00CB6BB3">
        <w:rPr>
          <w:lang w:val="es-ES_tradnl"/>
        </w:rPr>
        <w:t>que las mujeres y las niñas tengan acceso a todas las ocupaciones, profe</w:t>
      </w:r>
      <w:r w:rsidRPr="00CB6BB3">
        <w:rPr>
          <w:lang w:val="es-ES_tradnl"/>
        </w:rPr>
        <w:t>sion</w:t>
      </w:r>
      <w:r w:rsidR="000D3A18" w:rsidRPr="00CB6BB3">
        <w:rPr>
          <w:lang w:val="es-ES_tradnl"/>
        </w:rPr>
        <w:t>e</w:t>
      </w:r>
      <w:r w:rsidRPr="00CB6BB3">
        <w:rPr>
          <w:lang w:val="es-ES_tradnl"/>
        </w:rPr>
        <w:t xml:space="preserve">s </w:t>
      </w:r>
      <w:r w:rsidR="000D3A18" w:rsidRPr="00CB6BB3">
        <w:rPr>
          <w:lang w:val="es-ES_tradnl"/>
        </w:rPr>
        <w:t>y cargos</w:t>
      </w:r>
      <w:r w:rsidRPr="00CB6BB3">
        <w:rPr>
          <w:lang w:val="es-ES_tradnl"/>
        </w:rPr>
        <w:t xml:space="preserve">. </w:t>
      </w:r>
      <w:r w:rsidR="000D3A18" w:rsidRPr="00CB6BB3">
        <w:rPr>
          <w:lang w:val="es-ES_tradnl"/>
        </w:rPr>
        <w:t xml:space="preserve">Los </w:t>
      </w:r>
      <w:r w:rsidRPr="00CB6BB3">
        <w:rPr>
          <w:lang w:val="es-ES_tradnl"/>
        </w:rPr>
        <w:t xml:space="preserve">63 </w:t>
      </w:r>
      <w:r w:rsidR="000D3A18" w:rsidRPr="00CB6BB3">
        <w:rPr>
          <w:lang w:val="es-ES_tradnl"/>
        </w:rPr>
        <w:t>centros de información profes</w:t>
      </w:r>
      <w:r w:rsidRPr="00CB6BB3">
        <w:rPr>
          <w:lang w:val="es-ES_tradnl"/>
        </w:rPr>
        <w:t>ional</w:t>
      </w:r>
      <w:r w:rsidR="000D3A18" w:rsidRPr="00CB6BB3">
        <w:rPr>
          <w:lang w:val="es-ES_tradnl"/>
        </w:rPr>
        <w:t xml:space="preserve"> del</w:t>
      </w:r>
      <w:r w:rsidRPr="00CB6BB3">
        <w:rPr>
          <w:lang w:val="es-ES_tradnl"/>
        </w:rPr>
        <w:t xml:space="preserve"> </w:t>
      </w:r>
      <w:r w:rsidR="00223F5C">
        <w:rPr>
          <w:lang w:val="es-ES_tradnl"/>
        </w:rPr>
        <w:t>SPE</w:t>
      </w:r>
      <w:r w:rsidRPr="00CB6BB3">
        <w:rPr>
          <w:lang w:val="es-ES_tradnl"/>
        </w:rPr>
        <w:t xml:space="preserve"> </w:t>
      </w:r>
      <w:r w:rsidR="000D3A18" w:rsidRPr="00CB6BB3">
        <w:rPr>
          <w:lang w:val="es-ES_tradnl"/>
        </w:rPr>
        <w:t>a</w:t>
      </w:r>
      <w:r w:rsidR="00D11A3A" w:rsidRPr="00CB6BB3">
        <w:rPr>
          <w:lang w:val="es-ES_tradnl"/>
        </w:rPr>
        <w:t>yud</w:t>
      </w:r>
      <w:r w:rsidR="000D3A18" w:rsidRPr="00CB6BB3">
        <w:rPr>
          <w:lang w:val="es-ES_tradnl"/>
        </w:rPr>
        <w:t>an a las mujeres y las niñas en la elección de una ocupación o profesión. En cooperació</w:t>
      </w:r>
      <w:r w:rsidRPr="00CB6BB3">
        <w:rPr>
          <w:lang w:val="es-ES_tradnl"/>
        </w:rPr>
        <w:t xml:space="preserve">n </w:t>
      </w:r>
      <w:r w:rsidR="000D3A18" w:rsidRPr="00CB6BB3">
        <w:rPr>
          <w:lang w:val="es-ES_tradnl"/>
        </w:rPr>
        <w:t>con los centros de orientación de mujeres y niñas</w:t>
      </w:r>
      <w:r w:rsidRPr="00CB6BB3">
        <w:rPr>
          <w:lang w:val="es-ES_tradnl"/>
        </w:rPr>
        <w:t xml:space="preserve">, </w:t>
      </w:r>
      <w:r w:rsidR="000D3A18" w:rsidRPr="00CB6BB3">
        <w:rPr>
          <w:lang w:val="es-ES_tradnl"/>
        </w:rPr>
        <w:t>el</w:t>
      </w:r>
      <w:r w:rsidRPr="00CB6BB3">
        <w:rPr>
          <w:lang w:val="es-ES_tradnl"/>
        </w:rPr>
        <w:t xml:space="preserve"> </w:t>
      </w:r>
      <w:r w:rsidR="00223F5C">
        <w:rPr>
          <w:lang w:val="es-ES_tradnl"/>
        </w:rPr>
        <w:t>SPE</w:t>
      </w:r>
      <w:r w:rsidRPr="00CB6BB3">
        <w:rPr>
          <w:lang w:val="es-ES_tradnl"/>
        </w:rPr>
        <w:t xml:space="preserve"> </w:t>
      </w:r>
      <w:r w:rsidR="000D3A18" w:rsidRPr="00CB6BB3">
        <w:rPr>
          <w:lang w:val="es-ES_tradnl"/>
        </w:rPr>
        <w:t>presta orientación profesional e</w:t>
      </w:r>
      <w:r w:rsidRPr="00CB6BB3">
        <w:rPr>
          <w:lang w:val="es-ES_tradnl"/>
        </w:rPr>
        <w:t>special</w:t>
      </w:r>
      <w:r w:rsidR="000D3A18" w:rsidRPr="00CB6BB3">
        <w:rPr>
          <w:lang w:val="es-ES_tradnl"/>
        </w:rPr>
        <w:t xml:space="preserve">. Además, una de las actividades decisivas del </w:t>
      </w:r>
      <w:r w:rsidR="00223F5C">
        <w:rPr>
          <w:lang w:val="es-ES_tradnl"/>
        </w:rPr>
        <w:t>SPE</w:t>
      </w:r>
      <w:r w:rsidR="000D3A18" w:rsidRPr="00CB6BB3">
        <w:rPr>
          <w:lang w:val="es-ES_tradnl"/>
        </w:rPr>
        <w:t xml:space="preserve"> es la capacitación de mujeres desempleadas que carecen de las calificaciones necesarias o</w:t>
      </w:r>
      <w:r w:rsidRPr="00CB6BB3">
        <w:rPr>
          <w:lang w:val="es-ES_tradnl"/>
        </w:rPr>
        <w:t xml:space="preserve"> </w:t>
      </w:r>
      <w:r w:rsidR="000D3A18" w:rsidRPr="00CB6BB3">
        <w:rPr>
          <w:lang w:val="es-ES_tradnl"/>
        </w:rPr>
        <w:t>que tienen calificaciones sin demanda en el mercado de trabajo</w:t>
      </w:r>
      <w:r w:rsidRPr="00CB6BB3">
        <w:rPr>
          <w:lang w:val="es-ES_tradnl"/>
        </w:rPr>
        <w:t xml:space="preserve">. </w:t>
      </w:r>
      <w:r w:rsidR="000D3A18" w:rsidRPr="00CB6BB3">
        <w:rPr>
          <w:lang w:val="es-ES_tradnl"/>
        </w:rPr>
        <w:t>En 2006 se puso en marcha un programa de promoción especí</w:t>
      </w:r>
      <w:r w:rsidRPr="00CB6BB3">
        <w:rPr>
          <w:lang w:val="es-ES_tradnl"/>
        </w:rPr>
        <w:t>fic</w:t>
      </w:r>
      <w:r w:rsidR="000D3A18" w:rsidRPr="00CB6BB3">
        <w:rPr>
          <w:lang w:val="es-ES_tradnl"/>
        </w:rPr>
        <w:t>o, denominado</w:t>
      </w:r>
      <w:r w:rsidRPr="00CB6BB3">
        <w:rPr>
          <w:lang w:val="es-ES_tradnl"/>
        </w:rPr>
        <w:t xml:space="preserve"> </w:t>
      </w:r>
      <w:r w:rsidR="00C70626">
        <w:rPr>
          <w:lang w:val="es-ES_tradnl"/>
        </w:rPr>
        <w:t>"</w:t>
      </w:r>
      <w:r w:rsidRPr="00CB6BB3">
        <w:rPr>
          <w:lang w:val="es-ES_tradnl"/>
        </w:rPr>
        <w:t>FiT</w:t>
      </w:r>
      <w:r w:rsidR="00C70626">
        <w:rPr>
          <w:lang w:val="es-ES_tradnl"/>
        </w:rPr>
        <w:t>"</w:t>
      </w:r>
      <w:r w:rsidRPr="00CB6BB3">
        <w:rPr>
          <w:lang w:val="es-ES_tradnl"/>
        </w:rPr>
        <w:t xml:space="preserve"> (</w:t>
      </w:r>
      <w:r w:rsidR="00C70626">
        <w:rPr>
          <w:lang w:val="es-ES_tradnl"/>
        </w:rPr>
        <w:t>"</w:t>
      </w:r>
      <w:r w:rsidR="000D3A18" w:rsidRPr="00CB6BB3">
        <w:rPr>
          <w:lang w:val="es-ES_tradnl"/>
        </w:rPr>
        <w:t>La mujer en las artesanías y la tecnología</w:t>
      </w:r>
      <w:r w:rsidR="00C70626">
        <w:rPr>
          <w:lang w:val="es-ES_tradnl"/>
        </w:rPr>
        <w:t>"</w:t>
      </w:r>
      <w:r w:rsidRPr="00CB6BB3">
        <w:rPr>
          <w:lang w:val="es-ES_tradnl"/>
        </w:rPr>
        <w:t>)</w:t>
      </w:r>
      <w:r w:rsidR="00D11A3A" w:rsidRPr="00CB6BB3">
        <w:rPr>
          <w:lang w:val="es-ES_tradnl"/>
        </w:rPr>
        <w:t>,</w:t>
      </w:r>
      <w:r w:rsidR="000D3A18" w:rsidRPr="00CB6BB3">
        <w:rPr>
          <w:lang w:val="es-ES_tradnl"/>
        </w:rPr>
        <w:t xml:space="preserve"> que ofrece una formación certificada en tecnología</w:t>
      </w:r>
      <w:r w:rsidRPr="00CB6BB3">
        <w:rPr>
          <w:lang w:val="es-ES_tradnl"/>
        </w:rPr>
        <w:t xml:space="preserve">, </w:t>
      </w:r>
      <w:r w:rsidR="000D3A18" w:rsidRPr="00CB6BB3">
        <w:rPr>
          <w:lang w:val="es-ES_tradnl"/>
        </w:rPr>
        <w:t>artesanías y comercio</w:t>
      </w:r>
      <w:r w:rsidR="008A419C" w:rsidRPr="00CB6BB3">
        <w:rPr>
          <w:lang w:val="es-ES_tradnl"/>
        </w:rPr>
        <w:t xml:space="preserve">. Los cursos </w:t>
      </w:r>
      <w:r w:rsidR="00D11A3A" w:rsidRPr="00CB6BB3">
        <w:rPr>
          <w:lang w:val="es-ES_tradnl"/>
        </w:rPr>
        <w:t xml:space="preserve">de perfeccionamiento </w:t>
      </w:r>
      <w:r w:rsidR="008A419C" w:rsidRPr="00CB6BB3">
        <w:rPr>
          <w:lang w:val="es-ES_tradnl"/>
        </w:rPr>
        <w:t>relacionados con las ocupaciones del área de</w:t>
      </w:r>
      <w:r w:rsidR="00D11A3A" w:rsidRPr="00CB6BB3">
        <w:rPr>
          <w:lang w:val="es-ES_tradnl"/>
        </w:rPr>
        <w:t xml:space="preserve"> atención de salud y enfermería</w:t>
      </w:r>
      <w:r w:rsidR="008A419C" w:rsidRPr="00CB6BB3">
        <w:rPr>
          <w:lang w:val="es-ES_tradnl"/>
        </w:rPr>
        <w:t xml:space="preserve"> también </w:t>
      </w:r>
      <w:r w:rsidR="004012D0" w:rsidRPr="00CB6BB3">
        <w:rPr>
          <w:lang w:val="es-ES_tradnl"/>
        </w:rPr>
        <w:t xml:space="preserve">han sido concebidos </w:t>
      </w:r>
      <w:r w:rsidR="008A419C" w:rsidRPr="00CB6BB3">
        <w:rPr>
          <w:lang w:val="es-ES_tradnl"/>
        </w:rPr>
        <w:t>para mejorar las calificaciones de quienes ya trabajan en este sector</w:t>
      </w:r>
      <w:r w:rsidRPr="00CB6BB3">
        <w:rPr>
          <w:lang w:val="es-ES_tradnl"/>
        </w:rPr>
        <w:t xml:space="preserve">. </w:t>
      </w:r>
      <w:r w:rsidR="008A419C" w:rsidRPr="00CB6BB3">
        <w:rPr>
          <w:lang w:val="es-ES_tradnl"/>
        </w:rPr>
        <w:t xml:space="preserve">En 2010 </w:t>
      </w:r>
      <w:r w:rsidR="00D11A3A" w:rsidRPr="00CB6BB3">
        <w:rPr>
          <w:lang w:val="es-ES_tradnl"/>
        </w:rPr>
        <w:t>se puso a</w:t>
      </w:r>
      <w:r w:rsidR="008A419C" w:rsidRPr="00CB6BB3">
        <w:rPr>
          <w:lang w:val="es-ES_tradnl"/>
        </w:rPr>
        <w:t xml:space="preserve"> prueba otro programa de acción positiva en algunas provincias federales</w:t>
      </w:r>
      <w:r w:rsidRPr="00CB6BB3">
        <w:rPr>
          <w:lang w:val="es-ES_tradnl"/>
        </w:rPr>
        <w:t xml:space="preserve">: </w:t>
      </w:r>
      <w:r w:rsidR="008A419C" w:rsidRPr="00CB6BB3">
        <w:rPr>
          <w:lang w:val="es-ES_tradnl"/>
        </w:rPr>
        <w:t xml:space="preserve">se crearon centros profesionales para mujeres, </w:t>
      </w:r>
      <w:r w:rsidR="00D11A3A" w:rsidRPr="00CB6BB3">
        <w:rPr>
          <w:lang w:val="es-ES_tradnl"/>
        </w:rPr>
        <w:t>desde los que se ofrecen cursos de capacitación</w:t>
      </w:r>
      <w:r w:rsidRPr="00CB6BB3">
        <w:rPr>
          <w:lang w:val="es-ES_tradnl"/>
        </w:rPr>
        <w:t xml:space="preserve">. </w:t>
      </w:r>
      <w:r w:rsidR="008A419C" w:rsidRPr="00CB6BB3">
        <w:rPr>
          <w:lang w:val="es-ES_tradnl"/>
        </w:rPr>
        <w:t xml:space="preserve">Por lo que respecta a las opciones para reintegrarse al mercado de trabajo, véase la respuesta a los párrafos </w:t>
      </w:r>
      <w:r w:rsidRPr="00CB6BB3">
        <w:rPr>
          <w:lang w:val="es-ES_tradnl"/>
        </w:rPr>
        <w:t xml:space="preserve">21 </w:t>
      </w:r>
      <w:r w:rsidR="008A419C" w:rsidRPr="00CB6BB3">
        <w:rPr>
          <w:lang w:val="es-ES_tradnl"/>
        </w:rPr>
        <w:t>y</w:t>
      </w:r>
      <w:r w:rsidRPr="00CB6BB3">
        <w:rPr>
          <w:lang w:val="es-ES_tradnl"/>
        </w:rPr>
        <w:t xml:space="preserve"> 22.</w:t>
      </w:r>
    </w:p>
    <w:p w:rsidR="005E49B6" w:rsidRPr="00CB6BB3" w:rsidRDefault="005E49B6" w:rsidP="00FB2C48">
      <w:pPr>
        <w:pStyle w:val="SingleTxtG"/>
        <w:rPr>
          <w:lang w:val="es-ES_tradnl"/>
        </w:rPr>
      </w:pPr>
      <w:r w:rsidRPr="00CB6BB3">
        <w:rPr>
          <w:lang w:val="es-ES_tradnl"/>
        </w:rPr>
        <w:t>40.</w:t>
      </w:r>
      <w:r w:rsidRPr="00CB6BB3">
        <w:rPr>
          <w:lang w:val="es-ES_tradnl"/>
        </w:rPr>
        <w:tab/>
        <w:t>E</w:t>
      </w:r>
      <w:r w:rsidR="00FB2C48" w:rsidRPr="00CB6BB3">
        <w:rPr>
          <w:lang w:val="es-ES_tradnl"/>
        </w:rPr>
        <w:t>jemplos de las provincias federales: e</w:t>
      </w:r>
      <w:r w:rsidRPr="00CB6BB3">
        <w:rPr>
          <w:lang w:val="es-ES_tradnl"/>
        </w:rPr>
        <w:t xml:space="preserve">n 2010, </w:t>
      </w:r>
      <w:r w:rsidR="00FB2C48" w:rsidRPr="00CB6BB3">
        <w:rPr>
          <w:lang w:val="es-ES_tradnl"/>
        </w:rPr>
        <w:t>ce celebró en Carintia el sexto concurso</w:t>
      </w:r>
      <w:r w:rsidRPr="00CB6BB3">
        <w:rPr>
          <w:lang w:val="es-ES_tradnl"/>
        </w:rPr>
        <w:t xml:space="preserve"> L</w:t>
      </w:r>
      <w:r w:rsidR="00FB2C48" w:rsidRPr="00CB6BB3">
        <w:rPr>
          <w:lang w:val="es-ES_tradnl"/>
        </w:rPr>
        <w:t>ILITH</w:t>
      </w:r>
      <w:r w:rsidRPr="00CB6BB3">
        <w:rPr>
          <w:lang w:val="es-ES_tradnl"/>
        </w:rPr>
        <w:t xml:space="preserve">, </w:t>
      </w:r>
      <w:r w:rsidR="00D11A3A" w:rsidRPr="00CB6BB3">
        <w:rPr>
          <w:lang w:val="es-ES_tradnl"/>
        </w:rPr>
        <w:t>cuya finalidad es</w:t>
      </w:r>
      <w:r w:rsidR="00FB2C48" w:rsidRPr="00CB6BB3">
        <w:rPr>
          <w:lang w:val="es-ES_tradnl"/>
        </w:rPr>
        <w:t xml:space="preserve"> motivar a las jovencitas para que p</w:t>
      </w:r>
      <w:r w:rsidR="00D11A3A" w:rsidRPr="00CB6BB3">
        <w:rPr>
          <w:lang w:val="es-ES_tradnl"/>
        </w:rPr>
        <w:t>i</w:t>
      </w:r>
      <w:r w:rsidR="00FB2C48" w:rsidRPr="00CB6BB3">
        <w:rPr>
          <w:lang w:val="es-ES_tradnl"/>
        </w:rPr>
        <w:t>ens</w:t>
      </w:r>
      <w:r w:rsidR="00D11A3A" w:rsidRPr="00CB6BB3">
        <w:rPr>
          <w:lang w:val="es-ES_tradnl"/>
        </w:rPr>
        <w:t>en en su futuro</w:t>
      </w:r>
      <w:r w:rsidRPr="00CB6BB3">
        <w:rPr>
          <w:lang w:val="es-ES_tradnl"/>
        </w:rPr>
        <w:t xml:space="preserve">. </w:t>
      </w:r>
      <w:r w:rsidR="00FB2C48" w:rsidRPr="00CB6BB3">
        <w:rPr>
          <w:lang w:val="es-ES_tradnl"/>
        </w:rPr>
        <w:t xml:space="preserve">Desde </w:t>
      </w:r>
      <w:r w:rsidRPr="00CB6BB3">
        <w:rPr>
          <w:lang w:val="es-ES_tradnl"/>
        </w:rPr>
        <w:t xml:space="preserve">2007, </w:t>
      </w:r>
      <w:r w:rsidR="00FB2C48" w:rsidRPr="00CB6BB3">
        <w:rPr>
          <w:lang w:val="es-ES_tradnl"/>
        </w:rPr>
        <w:t>y en cooperación con el Centro Klagenfurt para las Niñas, cada dos años se celebra un</w:t>
      </w:r>
      <w:r w:rsidRPr="00CB6BB3">
        <w:rPr>
          <w:lang w:val="es-ES_tradnl"/>
        </w:rPr>
        <w:t>a conferenc</w:t>
      </w:r>
      <w:r w:rsidR="00FB2C48" w:rsidRPr="00CB6BB3">
        <w:rPr>
          <w:lang w:val="es-ES_tradnl"/>
        </w:rPr>
        <w:t>ia sobre orientación vocacional imparcial desde el punto de vista del género</w:t>
      </w:r>
      <w:r w:rsidRPr="00CB6BB3">
        <w:rPr>
          <w:lang w:val="es-ES_tradnl"/>
        </w:rPr>
        <w:t xml:space="preserve">. </w:t>
      </w:r>
      <w:r w:rsidR="00FB2C48" w:rsidRPr="00CB6BB3">
        <w:rPr>
          <w:lang w:val="es-ES_tradnl"/>
        </w:rPr>
        <w:t xml:space="preserve">Las escuelas </w:t>
      </w:r>
      <w:r w:rsidR="004D3D66" w:rsidRPr="00CB6BB3">
        <w:rPr>
          <w:lang w:val="es-ES_tradnl"/>
        </w:rPr>
        <w:t>secundarias de primer ciclo con logros especiales en el área de orientación vocacional atenta a las cuestiones de género pueden solicitar un sello de calidad</w:t>
      </w:r>
      <w:r w:rsidRPr="00CB6BB3">
        <w:rPr>
          <w:lang w:val="es-ES_tradnl"/>
        </w:rPr>
        <w:t xml:space="preserve"> </w:t>
      </w:r>
      <w:r w:rsidR="004D3D66" w:rsidRPr="00CB6BB3">
        <w:rPr>
          <w:lang w:val="es-ES_tradnl"/>
        </w:rPr>
        <w:t>en orientaci</w:t>
      </w:r>
      <w:r w:rsidR="00D11A3A" w:rsidRPr="00CB6BB3">
        <w:rPr>
          <w:lang w:val="es-ES_tradnl"/>
        </w:rPr>
        <w:t>ón profesional, que se otorga</w:t>
      </w:r>
      <w:r w:rsidR="00BB2D2E" w:rsidRPr="00CB6BB3">
        <w:rPr>
          <w:lang w:val="es-ES_tradnl"/>
        </w:rPr>
        <w:t xml:space="preserve"> desde</w:t>
      </w:r>
      <w:r w:rsidR="004D3D66" w:rsidRPr="00CB6BB3">
        <w:rPr>
          <w:lang w:val="es-ES_tradnl"/>
        </w:rPr>
        <w:t xml:space="preserve"> </w:t>
      </w:r>
      <w:r w:rsidRPr="00CB6BB3">
        <w:rPr>
          <w:lang w:val="es-ES_tradnl"/>
        </w:rPr>
        <w:t>2009 (</w:t>
      </w:r>
      <w:r w:rsidR="004D3D66" w:rsidRPr="00CB6BB3">
        <w:rPr>
          <w:lang w:val="es-ES_tradnl"/>
        </w:rPr>
        <w:t xml:space="preserve">véase también el </w:t>
      </w:r>
      <w:r w:rsidR="00045553" w:rsidRPr="00CB6BB3">
        <w:rPr>
          <w:lang w:val="es-ES_tradnl"/>
        </w:rPr>
        <w:t xml:space="preserve">artículo </w:t>
      </w:r>
      <w:r w:rsidRPr="00CB6BB3">
        <w:rPr>
          <w:lang w:val="es-ES_tradnl"/>
        </w:rPr>
        <w:t>10).</w:t>
      </w:r>
    </w:p>
    <w:p w:rsidR="005E49B6" w:rsidRPr="00CB6BB3" w:rsidRDefault="005E49B6" w:rsidP="005C668E">
      <w:pPr>
        <w:pStyle w:val="H23G"/>
        <w:rPr>
          <w:lang w:val="es-ES_tradnl"/>
        </w:rPr>
      </w:pPr>
      <w:r w:rsidRPr="00CB6BB3">
        <w:rPr>
          <w:lang w:val="es-ES_tradnl"/>
        </w:rPr>
        <w:tab/>
      </w:r>
      <w:r w:rsidRPr="00CB6BB3">
        <w:rPr>
          <w:lang w:val="es-ES_tradnl"/>
        </w:rPr>
        <w:tab/>
      </w:r>
      <w:r w:rsidR="00897EF7" w:rsidRPr="00CB6BB3">
        <w:rPr>
          <w:lang w:val="es-ES_tradnl"/>
        </w:rPr>
        <w:t>Garantizar la seguridad social y luchar contra el riesgo de pobreza de las mujeres</w:t>
      </w:r>
    </w:p>
    <w:p w:rsidR="005E49B6" w:rsidRPr="00CB6BB3" w:rsidRDefault="005E49B6" w:rsidP="005E49B6">
      <w:pPr>
        <w:pStyle w:val="SingleTxtG"/>
        <w:rPr>
          <w:lang w:val="es-ES_tradnl"/>
        </w:rPr>
      </w:pPr>
      <w:r w:rsidRPr="00CB6BB3">
        <w:rPr>
          <w:lang w:val="es-ES_tradnl"/>
        </w:rPr>
        <w:t>41.</w:t>
      </w:r>
      <w:r w:rsidRPr="00CB6BB3">
        <w:rPr>
          <w:lang w:val="es-ES_tradnl"/>
        </w:rPr>
        <w:tab/>
      </w:r>
      <w:r w:rsidR="00897EF7" w:rsidRPr="00CB6BB3">
        <w:rPr>
          <w:lang w:val="es-ES_tradnl"/>
        </w:rPr>
        <w:t xml:space="preserve">Mejorar o conseguir la seguridad social y una pensión de jubilación adecuada para las mujeres mayores, en especial las que </w:t>
      </w:r>
      <w:r w:rsidR="00625B0E" w:rsidRPr="00CB6BB3">
        <w:rPr>
          <w:lang w:val="es-ES_tradnl"/>
        </w:rPr>
        <w:t>perciben</w:t>
      </w:r>
      <w:r w:rsidR="00897EF7" w:rsidRPr="00CB6BB3">
        <w:rPr>
          <w:lang w:val="es-ES_tradnl"/>
        </w:rPr>
        <w:t xml:space="preserve"> una jubilación mínima o nula</w:t>
      </w:r>
      <w:r w:rsidR="00625B0E" w:rsidRPr="00CB6BB3">
        <w:rPr>
          <w:lang w:val="es-ES_tradnl"/>
        </w:rPr>
        <w:t xml:space="preserve">, </w:t>
      </w:r>
      <w:r w:rsidR="00897EF7" w:rsidRPr="00CB6BB3">
        <w:rPr>
          <w:lang w:val="es-ES_tradnl"/>
        </w:rPr>
        <w:t xml:space="preserve">o </w:t>
      </w:r>
      <w:r w:rsidR="000A2E19" w:rsidRPr="00CB6BB3">
        <w:rPr>
          <w:lang w:val="es-ES_tradnl"/>
        </w:rPr>
        <w:t>las que en el futuro no gozarán de este beneficio</w:t>
      </w:r>
      <w:r w:rsidRPr="00CB6BB3">
        <w:rPr>
          <w:lang w:val="es-ES_tradnl"/>
        </w:rPr>
        <w:t>, as</w:t>
      </w:r>
      <w:r w:rsidR="00625B0E" w:rsidRPr="00CB6BB3">
        <w:rPr>
          <w:lang w:val="es-ES_tradnl"/>
        </w:rPr>
        <w:t xml:space="preserve">í como la armonización de las pensiones de las mujeres con las de los hombres constituye un reto importante para la política social de </w:t>
      </w:r>
      <w:r w:rsidRPr="00CB6BB3">
        <w:rPr>
          <w:lang w:val="es-ES_tradnl"/>
        </w:rPr>
        <w:t xml:space="preserve">Austria. </w:t>
      </w:r>
      <w:r w:rsidR="00625B0E" w:rsidRPr="00CB6BB3">
        <w:rPr>
          <w:lang w:val="es-ES_tradnl"/>
        </w:rPr>
        <w:t>En diciembre de 2009, la pensión de jubilación media (inclu</w:t>
      </w:r>
      <w:r w:rsidRPr="00CB6BB3">
        <w:rPr>
          <w:lang w:val="es-ES_tradnl"/>
        </w:rPr>
        <w:t>i</w:t>
      </w:r>
      <w:r w:rsidR="00D11A3A" w:rsidRPr="00CB6BB3">
        <w:rPr>
          <w:lang w:val="es-ES_tradnl"/>
        </w:rPr>
        <w:t>da</w:t>
      </w:r>
      <w:r w:rsidR="00625B0E" w:rsidRPr="00CB6BB3">
        <w:rPr>
          <w:lang w:val="es-ES_tradnl"/>
        </w:rPr>
        <w:t>s la</w:t>
      </w:r>
      <w:r w:rsidRPr="00CB6BB3">
        <w:rPr>
          <w:lang w:val="es-ES_tradnl"/>
        </w:rPr>
        <w:t>s</w:t>
      </w:r>
      <w:r w:rsidR="00625B0E" w:rsidRPr="00CB6BB3">
        <w:rPr>
          <w:lang w:val="es-ES_tradnl"/>
        </w:rPr>
        <w:t xml:space="preserve"> asignaciones complementarias</w:t>
      </w:r>
      <w:r w:rsidRPr="00CB6BB3">
        <w:rPr>
          <w:lang w:val="es-ES_tradnl"/>
        </w:rPr>
        <w:t>) a</w:t>
      </w:r>
      <w:r w:rsidR="00625B0E" w:rsidRPr="00CB6BB3">
        <w:rPr>
          <w:lang w:val="es-ES_tradnl"/>
        </w:rPr>
        <w:t>scendía a 1.</w:t>
      </w:r>
      <w:r w:rsidRPr="00CB6BB3">
        <w:rPr>
          <w:lang w:val="es-ES_tradnl"/>
        </w:rPr>
        <w:t>100</w:t>
      </w:r>
      <w:r w:rsidR="00D11A3A" w:rsidRPr="00CB6BB3">
        <w:rPr>
          <w:lang w:val="es-ES_tradnl"/>
        </w:rPr>
        <w:t>; la pensión</w:t>
      </w:r>
      <w:r w:rsidR="00625B0E" w:rsidRPr="00CB6BB3">
        <w:rPr>
          <w:lang w:val="es-ES_tradnl"/>
        </w:rPr>
        <w:t xml:space="preserve"> d</w:t>
      </w:r>
      <w:r w:rsidR="00D11A3A" w:rsidRPr="00CB6BB3">
        <w:rPr>
          <w:lang w:val="es-ES_tradnl"/>
        </w:rPr>
        <w:t>e los hombres rondaba</w:t>
      </w:r>
      <w:r w:rsidR="00625B0E" w:rsidRPr="00CB6BB3">
        <w:rPr>
          <w:lang w:val="es-ES_tradnl"/>
        </w:rPr>
        <w:t xml:space="preserve"> los 1.</w:t>
      </w:r>
      <w:r w:rsidRPr="00CB6BB3">
        <w:rPr>
          <w:lang w:val="es-ES_tradnl"/>
        </w:rPr>
        <w:t xml:space="preserve">436 </w:t>
      </w:r>
      <w:r w:rsidR="00D11A3A" w:rsidRPr="00CB6BB3">
        <w:rPr>
          <w:lang w:val="es-ES_tradnl"/>
        </w:rPr>
        <w:t>euros, y la</w:t>
      </w:r>
      <w:r w:rsidR="00625B0E" w:rsidRPr="00CB6BB3">
        <w:rPr>
          <w:lang w:val="es-ES_tradnl"/>
        </w:rPr>
        <w:t xml:space="preserve"> de las mujeres, </w:t>
      </w:r>
      <w:r w:rsidR="00D11A3A" w:rsidRPr="00CB6BB3">
        <w:rPr>
          <w:lang w:val="es-ES_tradnl"/>
        </w:rPr>
        <w:t xml:space="preserve">los </w:t>
      </w:r>
      <w:r w:rsidRPr="00CB6BB3">
        <w:rPr>
          <w:lang w:val="es-ES_tradnl"/>
        </w:rPr>
        <w:t>853</w:t>
      </w:r>
      <w:r w:rsidR="00625B0E" w:rsidRPr="00CB6BB3">
        <w:rPr>
          <w:lang w:val="es-ES_tradnl"/>
        </w:rPr>
        <w:t xml:space="preserve"> euros</w:t>
      </w:r>
      <w:r w:rsidRPr="00CB6BB3">
        <w:rPr>
          <w:lang w:val="es-ES_tradnl"/>
        </w:rPr>
        <w:t>.</w:t>
      </w:r>
    </w:p>
    <w:p w:rsidR="005E49B6" w:rsidRPr="00CB6BB3" w:rsidRDefault="005E49B6" w:rsidP="005E49B6">
      <w:pPr>
        <w:pStyle w:val="SingleTxtG"/>
        <w:rPr>
          <w:lang w:val="es-ES_tradnl"/>
        </w:rPr>
      </w:pPr>
      <w:r w:rsidRPr="00CB6BB3">
        <w:rPr>
          <w:lang w:val="es-ES_tradnl"/>
        </w:rPr>
        <w:t>42.</w:t>
      </w:r>
      <w:r w:rsidRPr="00CB6BB3">
        <w:rPr>
          <w:lang w:val="es-ES_tradnl"/>
        </w:rPr>
        <w:tab/>
      </w:r>
      <w:r w:rsidR="00625B0E" w:rsidRPr="00CB6BB3">
        <w:rPr>
          <w:lang w:val="es-ES_tradnl"/>
        </w:rPr>
        <w:t xml:space="preserve">La introducción (en 2005) de un </w:t>
      </w:r>
      <w:r w:rsidR="00C70626">
        <w:rPr>
          <w:lang w:val="es-ES_tradnl"/>
        </w:rPr>
        <w:t>"</w:t>
      </w:r>
      <w:r w:rsidR="00625B0E" w:rsidRPr="00CB6BB3">
        <w:rPr>
          <w:lang w:val="es-ES_tradnl"/>
        </w:rPr>
        <w:t>régimen voluntario de reparto</w:t>
      </w:r>
      <w:r w:rsidR="00C70626">
        <w:rPr>
          <w:lang w:val="es-ES_tradnl"/>
        </w:rPr>
        <w:t>"</w:t>
      </w:r>
      <w:r w:rsidR="00625B0E" w:rsidRPr="00CB6BB3">
        <w:rPr>
          <w:lang w:val="es-ES_tradnl"/>
        </w:rPr>
        <w:t xml:space="preserve"> para los períodos de cuidado de los hijos </w:t>
      </w:r>
      <w:r w:rsidR="00D11A3A" w:rsidRPr="00CB6BB3">
        <w:rPr>
          <w:lang w:val="es-ES_tradnl"/>
        </w:rPr>
        <w:t xml:space="preserve">creó más </w:t>
      </w:r>
      <w:r w:rsidR="007B15B0" w:rsidRPr="00CB6BB3">
        <w:rPr>
          <w:lang w:val="es-ES_tradnl"/>
        </w:rPr>
        <w:t xml:space="preserve">posibilidades para que las mujeres cobraran una pensión de vejez </w:t>
      </w:r>
      <w:r w:rsidRPr="00CB6BB3">
        <w:rPr>
          <w:lang w:val="es-ES_tradnl"/>
        </w:rPr>
        <w:t>independ</w:t>
      </w:r>
      <w:r w:rsidR="007B15B0" w:rsidRPr="00CB6BB3">
        <w:rPr>
          <w:lang w:val="es-ES_tradnl"/>
        </w:rPr>
        <w:t>i</w:t>
      </w:r>
      <w:r w:rsidRPr="00CB6BB3">
        <w:rPr>
          <w:lang w:val="es-ES_tradnl"/>
        </w:rPr>
        <w:t>ent</w:t>
      </w:r>
      <w:r w:rsidR="007B15B0" w:rsidRPr="00CB6BB3">
        <w:rPr>
          <w:lang w:val="es-ES_tradnl"/>
        </w:rPr>
        <w:t>e</w:t>
      </w:r>
      <w:r w:rsidRPr="00CB6BB3">
        <w:rPr>
          <w:lang w:val="es-ES_tradnl"/>
        </w:rPr>
        <w:t xml:space="preserve">. </w:t>
      </w:r>
      <w:r w:rsidR="007B15B0" w:rsidRPr="00CB6BB3">
        <w:rPr>
          <w:lang w:val="es-ES_tradnl"/>
        </w:rPr>
        <w:t>Desde</w:t>
      </w:r>
      <w:r w:rsidRPr="00CB6BB3">
        <w:rPr>
          <w:lang w:val="es-ES_tradnl"/>
        </w:rPr>
        <w:t xml:space="preserve"> 2005, </w:t>
      </w:r>
      <w:r w:rsidR="000A2E19" w:rsidRPr="00CB6BB3">
        <w:rPr>
          <w:lang w:val="es-ES_tradnl"/>
        </w:rPr>
        <w:t xml:space="preserve">para calcular la pensión de las mujeres </w:t>
      </w:r>
      <w:r w:rsidR="007B15B0" w:rsidRPr="00CB6BB3">
        <w:rPr>
          <w:lang w:val="es-ES_tradnl"/>
        </w:rPr>
        <w:t xml:space="preserve">se </w:t>
      </w:r>
      <w:r w:rsidR="00D11A3A" w:rsidRPr="00CB6BB3">
        <w:rPr>
          <w:lang w:val="es-ES_tradnl"/>
        </w:rPr>
        <w:t xml:space="preserve">han ido </w:t>
      </w:r>
      <w:r w:rsidR="007B15B0" w:rsidRPr="00CB6BB3">
        <w:rPr>
          <w:lang w:val="es-ES_tradnl"/>
        </w:rPr>
        <w:t>revisan</w:t>
      </w:r>
      <w:r w:rsidR="00D11A3A" w:rsidRPr="00CB6BB3">
        <w:rPr>
          <w:lang w:val="es-ES_tradnl"/>
        </w:rPr>
        <w:t>do</w:t>
      </w:r>
      <w:r w:rsidR="007B15B0" w:rsidRPr="00CB6BB3">
        <w:rPr>
          <w:lang w:val="es-ES_tradnl"/>
        </w:rPr>
        <w:t xml:space="preserve"> los períodos de cuidado de los hijos</w:t>
      </w:r>
      <w:r w:rsidRPr="00CB6BB3">
        <w:rPr>
          <w:lang w:val="es-ES_tradnl"/>
        </w:rPr>
        <w:t xml:space="preserve">. </w:t>
      </w:r>
      <w:r w:rsidR="00D11A3A" w:rsidRPr="00CB6BB3">
        <w:rPr>
          <w:lang w:val="es-ES_tradnl"/>
        </w:rPr>
        <w:t>Desde entonces</w:t>
      </w:r>
      <w:r w:rsidR="007B15B0" w:rsidRPr="00CB6BB3">
        <w:rPr>
          <w:lang w:val="es-ES_tradnl"/>
        </w:rPr>
        <w:t xml:space="preserve">, se han tomado en consideración períodos de hasta cuatro años </w:t>
      </w:r>
      <w:r w:rsidR="00D11A3A" w:rsidRPr="00CB6BB3">
        <w:rPr>
          <w:lang w:val="es-ES_tradnl"/>
        </w:rPr>
        <w:t xml:space="preserve">por hijo </w:t>
      </w:r>
      <w:r w:rsidR="007B15B0" w:rsidRPr="00CB6BB3">
        <w:rPr>
          <w:lang w:val="es-ES_tradnl"/>
        </w:rPr>
        <w:t>para calcular la pensión a la que se tiene derecho sobre la base de los ingresos de contribuc</w:t>
      </w:r>
      <w:r w:rsidRPr="00CB6BB3">
        <w:rPr>
          <w:lang w:val="es-ES_tradnl"/>
        </w:rPr>
        <w:t xml:space="preserve">iones. </w:t>
      </w:r>
      <w:r w:rsidR="007B15B0" w:rsidRPr="00CB6BB3">
        <w:rPr>
          <w:lang w:val="es-ES_tradnl"/>
        </w:rPr>
        <w:t>Esta base se aumenta cada año</w:t>
      </w:r>
      <w:r w:rsidRPr="00CB6BB3">
        <w:rPr>
          <w:rStyle w:val="FootnoteReference"/>
          <w:lang w:val="es-ES_tradnl"/>
        </w:rPr>
        <w:footnoteReference w:id="18"/>
      </w:r>
      <w:r w:rsidR="007B15B0" w:rsidRPr="00CB6BB3">
        <w:rPr>
          <w:lang w:val="es-ES_tradnl"/>
        </w:rPr>
        <w:t>; en</w:t>
      </w:r>
      <w:r w:rsidRPr="00CB6BB3">
        <w:rPr>
          <w:lang w:val="es-ES_tradnl"/>
        </w:rPr>
        <w:t xml:space="preserve"> 2010 </w:t>
      </w:r>
      <w:r w:rsidR="007B15B0" w:rsidRPr="00CB6BB3">
        <w:rPr>
          <w:lang w:val="es-ES_tradnl"/>
        </w:rPr>
        <w:t>ascendía a 1.528,</w:t>
      </w:r>
      <w:r w:rsidRPr="00CB6BB3">
        <w:rPr>
          <w:lang w:val="es-ES_tradnl"/>
        </w:rPr>
        <w:t>87 a</w:t>
      </w:r>
      <w:r w:rsidR="007B15B0" w:rsidRPr="00CB6BB3">
        <w:rPr>
          <w:lang w:val="es-ES_tradnl"/>
        </w:rPr>
        <w:t>l mes</w:t>
      </w:r>
      <w:r w:rsidRPr="00CB6BB3">
        <w:rPr>
          <w:lang w:val="es-ES_tradnl"/>
        </w:rPr>
        <w:t xml:space="preserve">. </w:t>
      </w:r>
      <w:r w:rsidR="007B15B0" w:rsidRPr="00CB6BB3">
        <w:rPr>
          <w:lang w:val="es-ES_tradnl"/>
        </w:rPr>
        <w:t>El 1</w:t>
      </w:r>
      <w:r w:rsidR="00792D71">
        <w:rPr>
          <w:lang w:val="es-ES_tradnl"/>
        </w:rPr>
        <w:t>º</w:t>
      </w:r>
      <w:r w:rsidR="007B15B0" w:rsidRPr="00CB6BB3">
        <w:rPr>
          <w:lang w:val="es-ES_tradnl"/>
        </w:rPr>
        <w:t xml:space="preserve"> de julio de</w:t>
      </w:r>
      <w:r w:rsidRPr="00CB6BB3">
        <w:rPr>
          <w:lang w:val="es-ES_tradnl"/>
        </w:rPr>
        <w:t xml:space="preserve"> 2007, </w:t>
      </w:r>
      <w:r w:rsidR="00702FCC" w:rsidRPr="00CB6BB3">
        <w:rPr>
          <w:lang w:val="es-ES_tradnl"/>
        </w:rPr>
        <w:t xml:space="preserve">se mejoró </w:t>
      </w:r>
      <w:r w:rsidR="007B15B0" w:rsidRPr="00CB6BB3">
        <w:rPr>
          <w:lang w:val="es-ES_tradnl"/>
        </w:rPr>
        <w:t xml:space="preserve">el régimen de seguro de pensiones voluntario </w:t>
      </w:r>
      <w:r w:rsidR="00702FCC" w:rsidRPr="00CB6BB3">
        <w:rPr>
          <w:lang w:val="es-ES_tradnl"/>
        </w:rPr>
        <w:t xml:space="preserve">de quienes </w:t>
      </w:r>
      <w:r w:rsidR="00C20650" w:rsidRPr="00CB6BB3">
        <w:rPr>
          <w:lang w:val="es-ES_tradnl"/>
        </w:rPr>
        <w:t xml:space="preserve">deben </w:t>
      </w:r>
      <w:r w:rsidR="00702FCC" w:rsidRPr="00CB6BB3">
        <w:rPr>
          <w:lang w:val="es-ES_tradnl"/>
        </w:rPr>
        <w:t>cuida</w:t>
      </w:r>
      <w:r w:rsidR="00C20650" w:rsidRPr="00CB6BB3">
        <w:rPr>
          <w:lang w:val="es-ES_tradnl"/>
        </w:rPr>
        <w:t>r d</w:t>
      </w:r>
      <w:r w:rsidR="00702FCC" w:rsidRPr="00CB6BB3">
        <w:rPr>
          <w:lang w:val="es-ES_tradnl"/>
        </w:rPr>
        <w:t xml:space="preserve">e </w:t>
      </w:r>
      <w:r w:rsidR="00C20650" w:rsidRPr="00CB6BB3">
        <w:rPr>
          <w:lang w:val="es-ES_tradnl"/>
        </w:rPr>
        <w:t xml:space="preserve">un </w:t>
      </w:r>
      <w:r w:rsidR="00D11A3A" w:rsidRPr="00CB6BB3">
        <w:rPr>
          <w:lang w:val="es-ES_tradnl"/>
        </w:rPr>
        <w:t>miembro</w:t>
      </w:r>
      <w:r w:rsidR="00702FCC" w:rsidRPr="00CB6BB3">
        <w:rPr>
          <w:lang w:val="es-ES_tradnl"/>
        </w:rPr>
        <w:t xml:space="preserve"> de la familia </w:t>
      </w:r>
      <w:r w:rsidR="00C20650" w:rsidRPr="00CB6BB3">
        <w:rPr>
          <w:lang w:val="es-ES_tradnl"/>
        </w:rPr>
        <w:t>que lo necesita</w:t>
      </w:r>
      <w:r w:rsidRPr="00CB6BB3">
        <w:rPr>
          <w:lang w:val="es-ES_tradnl"/>
        </w:rPr>
        <w:t xml:space="preserve">. </w:t>
      </w:r>
      <w:r w:rsidR="00D11A3A" w:rsidRPr="00CB6BB3">
        <w:rPr>
          <w:lang w:val="es-ES_tradnl"/>
        </w:rPr>
        <w:t>Desde</w:t>
      </w:r>
      <w:r w:rsidRPr="00CB6BB3">
        <w:rPr>
          <w:lang w:val="es-ES_tradnl"/>
        </w:rPr>
        <w:t xml:space="preserve"> 2009, </w:t>
      </w:r>
      <w:r w:rsidR="00C20650" w:rsidRPr="00CB6BB3">
        <w:rPr>
          <w:lang w:val="es-ES_tradnl"/>
        </w:rPr>
        <w:t xml:space="preserve">el Estado Federal </w:t>
      </w:r>
      <w:r w:rsidR="00D11A3A" w:rsidRPr="00CB6BB3">
        <w:rPr>
          <w:lang w:val="es-ES_tradnl"/>
        </w:rPr>
        <w:t xml:space="preserve">está obligado, por tiempo indeterminado, a </w:t>
      </w:r>
      <w:r w:rsidR="00C20650" w:rsidRPr="00CB6BB3">
        <w:rPr>
          <w:lang w:val="es-ES_tradnl"/>
        </w:rPr>
        <w:t>financiar</w:t>
      </w:r>
      <w:r w:rsidR="00D11A3A" w:rsidRPr="00CB6BB3">
        <w:rPr>
          <w:lang w:val="es-ES_tradnl"/>
        </w:rPr>
        <w:t xml:space="preserve"> </w:t>
      </w:r>
      <w:r w:rsidR="00C20650" w:rsidRPr="00CB6BB3">
        <w:rPr>
          <w:lang w:val="es-ES_tradnl"/>
        </w:rPr>
        <w:t xml:space="preserve">las contribuciones de seguros </w:t>
      </w:r>
      <w:r w:rsidR="00D11A3A" w:rsidRPr="00CB6BB3">
        <w:rPr>
          <w:lang w:val="es-ES_tradnl"/>
        </w:rPr>
        <w:t xml:space="preserve">de </w:t>
      </w:r>
      <w:r w:rsidR="00C20650" w:rsidRPr="00CB6BB3">
        <w:rPr>
          <w:lang w:val="es-ES_tradnl"/>
        </w:rPr>
        <w:t>quienes gozan de la cobertura del segur</w:t>
      </w:r>
      <w:r w:rsidR="00D11A3A" w:rsidRPr="00CB6BB3">
        <w:rPr>
          <w:lang w:val="es-ES_tradnl"/>
        </w:rPr>
        <w:t xml:space="preserve">o voluntario de pensiones y </w:t>
      </w:r>
      <w:r w:rsidR="00C20650" w:rsidRPr="00CB6BB3">
        <w:rPr>
          <w:lang w:val="es-ES_tradnl"/>
        </w:rPr>
        <w:t>deben cuidar de un miembro de la familia que lo necesita</w:t>
      </w:r>
      <w:r w:rsidRPr="00CB6BB3">
        <w:rPr>
          <w:lang w:val="es-ES_tradnl"/>
        </w:rPr>
        <w:t xml:space="preserve">, </w:t>
      </w:r>
      <w:r w:rsidR="00C20650" w:rsidRPr="00CB6BB3">
        <w:rPr>
          <w:lang w:val="es-ES_tradnl"/>
        </w:rPr>
        <w:t xml:space="preserve">a partir de la categoría </w:t>
      </w:r>
      <w:r w:rsidRPr="00CB6BB3">
        <w:rPr>
          <w:lang w:val="es-ES_tradnl"/>
        </w:rPr>
        <w:t>3</w:t>
      </w:r>
      <w:r w:rsidRPr="00CB6BB3">
        <w:rPr>
          <w:rStyle w:val="FootnoteReference"/>
          <w:lang w:val="es-ES_tradnl"/>
        </w:rPr>
        <w:footnoteReference w:id="19"/>
      </w:r>
      <w:r w:rsidR="00C20650" w:rsidRPr="00CB6BB3">
        <w:rPr>
          <w:lang w:val="es-ES_tradnl"/>
        </w:rPr>
        <w:t>.</w:t>
      </w:r>
    </w:p>
    <w:p w:rsidR="005E49B6" w:rsidRPr="00CB6BB3" w:rsidRDefault="005E49B6" w:rsidP="005E49B6">
      <w:pPr>
        <w:pStyle w:val="SingleTxtG"/>
        <w:rPr>
          <w:lang w:val="es-ES_tradnl"/>
        </w:rPr>
      </w:pPr>
      <w:r w:rsidRPr="00CB6BB3">
        <w:rPr>
          <w:lang w:val="es-ES_tradnl"/>
        </w:rPr>
        <w:t>43.</w:t>
      </w:r>
      <w:r w:rsidRPr="00CB6BB3">
        <w:rPr>
          <w:lang w:val="es-ES_tradnl"/>
        </w:rPr>
        <w:tab/>
      </w:r>
      <w:r w:rsidR="006E0AB9" w:rsidRPr="00CB6BB3">
        <w:rPr>
          <w:lang w:val="es-ES_tradnl"/>
        </w:rPr>
        <w:t>Las mujeres se cuentan entre los principales beneficiarios de la lucha contra la pobreza</w:t>
      </w:r>
      <w:r w:rsidRPr="00CB6BB3">
        <w:rPr>
          <w:lang w:val="es-ES_tradnl"/>
        </w:rPr>
        <w:t xml:space="preserve">. </w:t>
      </w:r>
      <w:r w:rsidR="006E0AB9" w:rsidRPr="00CB6BB3">
        <w:rPr>
          <w:lang w:val="es-ES_tradnl"/>
        </w:rPr>
        <w:t xml:space="preserve">En el caso de </w:t>
      </w:r>
      <w:r w:rsidR="009B24E8" w:rsidRPr="00CB6BB3">
        <w:rPr>
          <w:lang w:val="es-ES_tradnl"/>
        </w:rPr>
        <w:t>las que pueden</w:t>
      </w:r>
      <w:r w:rsidR="006E0AB9" w:rsidRPr="00CB6BB3">
        <w:rPr>
          <w:lang w:val="es-ES_tradnl"/>
        </w:rPr>
        <w:t xml:space="preserve"> acceder a un empleo remunerado, los in</w:t>
      </w:r>
      <w:r w:rsidR="009B24E8" w:rsidRPr="00CB6BB3">
        <w:rPr>
          <w:lang w:val="es-ES_tradnl"/>
        </w:rPr>
        <w:t>gresos procedentes del empleo son</w:t>
      </w:r>
      <w:r w:rsidR="006E0AB9" w:rsidRPr="00CB6BB3">
        <w:rPr>
          <w:lang w:val="es-ES_tradnl"/>
        </w:rPr>
        <w:t xml:space="preserve"> la clave para </w:t>
      </w:r>
      <w:r w:rsidR="009B24E8" w:rsidRPr="00CB6BB3">
        <w:rPr>
          <w:lang w:val="es-ES_tradnl"/>
        </w:rPr>
        <w:t xml:space="preserve">evitar </w:t>
      </w:r>
      <w:r w:rsidR="006E0AB9" w:rsidRPr="00CB6BB3">
        <w:rPr>
          <w:lang w:val="es-ES_tradnl"/>
        </w:rPr>
        <w:t>la pobreza</w:t>
      </w:r>
      <w:r w:rsidRPr="00CB6BB3">
        <w:rPr>
          <w:lang w:val="es-ES_tradnl"/>
        </w:rPr>
        <w:t xml:space="preserve">. </w:t>
      </w:r>
      <w:r w:rsidR="006E0AB9" w:rsidRPr="00CB6BB3">
        <w:rPr>
          <w:lang w:val="es-ES_tradnl"/>
        </w:rPr>
        <w:t>El empleo a tiempo completo supone un menor riesgo de pobreza para la mujer</w:t>
      </w:r>
      <w:r w:rsidRPr="00CB6BB3">
        <w:rPr>
          <w:lang w:val="es-ES_tradnl"/>
        </w:rPr>
        <w:t xml:space="preserve">. </w:t>
      </w:r>
      <w:r w:rsidR="009B24E8" w:rsidRPr="00CB6BB3">
        <w:rPr>
          <w:lang w:val="es-ES_tradnl"/>
        </w:rPr>
        <w:t>La mejora de las posibilidades de acceder a asignaciones para el cuidado de los hijos facilitó la reincorporación de las madres al mercado de trabajo</w:t>
      </w:r>
      <w:r w:rsidRPr="00CB6BB3">
        <w:rPr>
          <w:lang w:val="es-ES_tradnl"/>
        </w:rPr>
        <w:t xml:space="preserve">. </w:t>
      </w:r>
      <w:r w:rsidR="00DC5744" w:rsidRPr="00CB6BB3">
        <w:rPr>
          <w:lang w:val="es-ES_tradnl"/>
        </w:rPr>
        <w:t>La aceleración del ritmo de creación de guarderías</w:t>
      </w:r>
      <w:r w:rsidR="00893231" w:rsidRPr="00CB6BB3">
        <w:rPr>
          <w:lang w:val="es-ES_tradnl"/>
        </w:rPr>
        <w:t xml:space="preserve"> infantiles</w:t>
      </w:r>
      <w:r w:rsidR="00DC5744" w:rsidRPr="00CB6BB3">
        <w:rPr>
          <w:lang w:val="es-ES_tradnl"/>
        </w:rPr>
        <w:t xml:space="preserve"> y asilos de ancianos ha mejorado las posibilidades de ascenso para la mujer</w:t>
      </w:r>
      <w:r w:rsidRPr="00CB6BB3">
        <w:rPr>
          <w:lang w:val="es-ES_tradnl"/>
        </w:rPr>
        <w:t xml:space="preserve">. </w:t>
      </w:r>
      <w:r w:rsidR="00DC5744" w:rsidRPr="00CB6BB3">
        <w:rPr>
          <w:lang w:val="es-ES_tradnl"/>
        </w:rPr>
        <w:t>En el último decenio,</w:t>
      </w:r>
      <w:r w:rsidR="004012D0" w:rsidRPr="00CB6BB3">
        <w:rPr>
          <w:lang w:val="es-ES_tradnl"/>
        </w:rPr>
        <w:t xml:space="preserve"> se ha duplicado</w:t>
      </w:r>
      <w:r w:rsidR="00DC5744" w:rsidRPr="00CB6BB3">
        <w:rPr>
          <w:lang w:val="es-ES_tradnl"/>
        </w:rPr>
        <w:t xml:space="preserve"> el número de plazas en guarderías para niños meno</w:t>
      </w:r>
      <w:r w:rsidR="004012D0" w:rsidRPr="00CB6BB3">
        <w:rPr>
          <w:lang w:val="es-ES_tradnl"/>
        </w:rPr>
        <w:t xml:space="preserve">res de </w:t>
      </w:r>
      <w:r w:rsidR="00792D71">
        <w:rPr>
          <w:lang w:val="es-ES_tradnl"/>
        </w:rPr>
        <w:t xml:space="preserve">3 </w:t>
      </w:r>
      <w:r w:rsidR="004012D0" w:rsidRPr="00CB6BB3">
        <w:rPr>
          <w:lang w:val="es-ES_tradnl"/>
        </w:rPr>
        <w:t>años</w:t>
      </w:r>
      <w:r w:rsidRPr="00CB6BB3">
        <w:rPr>
          <w:lang w:val="es-ES_tradnl"/>
        </w:rPr>
        <w:t>.</w:t>
      </w:r>
    </w:p>
    <w:p w:rsidR="005E49B6" w:rsidRPr="00CB6BB3" w:rsidRDefault="005E49B6" w:rsidP="005E49B6">
      <w:pPr>
        <w:pStyle w:val="SingleTxtG"/>
        <w:rPr>
          <w:lang w:val="es-ES_tradnl"/>
        </w:rPr>
      </w:pPr>
      <w:r w:rsidRPr="00CB6BB3">
        <w:rPr>
          <w:lang w:val="es-ES_tradnl"/>
        </w:rPr>
        <w:t>44.</w:t>
      </w:r>
      <w:r w:rsidRPr="00CB6BB3">
        <w:rPr>
          <w:lang w:val="es-ES_tradnl"/>
        </w:rPr>
        <w:tab/>
      </w:r>
      <w:r w:rsidR="004F7546" w:rsidRPr="00CB6BB3">
        <w:rPr>
          <w:lang w:val="es-ES_tradnl"/>
        </w:rPr>
        <w:t xml:space="preserve">Con la adopción de una serie de medidas en diferentes esferas se ha logrado reducir la diferencia </w:t>
      </w:r>
      <w:r w:rsidR="00D11A3A" w:rsidRPr="00CB6BB3">
        <w:rPr>
          <w:lang w:val="es-ES_tradnl"/>
        </w:rPr>
        <w:t>de</w:t>
      </w:r>
      <w:r w:rsidR="004F7546" w:rsidRPr="00CB6BB3">
        <w:rPr>
          <w:lang w:val="es-ES_tradnl"/>
        </w:rPr>
        <w:t xml:space="preserve"> la tasa de riesgo de pobreza</w:t>
      </w:r>
      <w:r w:rsidR="00D11A3A" w:rsidRPr="00CB6BB3">
        <w:rPr>
          <w:lang w:val="es-ES_tradnl"/>
        </w:rPr>
        <w:t xml:space="preserve"> entre mujeres y hombres</w:t>
      </w:r>
      <w:r w:rsidRPr="00CB6BB3">
        <w:rPr>
          <w:lang w:val="es-ES_tradnl"/>
        </w:rPr>
        <w:t xml:space="preserve">. </w:t>
      </w:r>
      <w:r w:rsidR="004F7546" w:rsidRPr="00CB6BB3">
        <w:rPr>
          <w:lang w:val="es-ES_tradnl"/>
        </w:rPr>
        <w:t>En</w:t>
      </w:r>
      <w:r w:rsidRPr="00CB6BB3">
        <w:rPr>
          <w:lang w:val="es-ES_tradnl"/>
        </w:rPr>
        <w:t xml:space="preserve"> 2000, </w:t>
      </w:r>
      <w:r w:rsidR="004F7546" w:rsidRPr="00CB6BB3">
        <w:rPr>
          <w:lang w:val="es-ES_tradnl"/>
        </w:rPr>
        <w:t>el 14</w:t>
      </w:r>
      <w:r w:rsidR="00B34FFF">
        <w:rPr>
          <w:lang w:val="es-ES_tradnl"/>
        </w:rPr>
        <w:t>%</w:t>
      </w:r>
      <w:r w:rsidR="004F7546" w:rsidRPr="00CB6BB3">
        <w:rPr>
          <w:lang w:val="es-ES_tradnl"/>
        </w:rPr>
        <w:t xml:space="preserve"> de las mujeres y el 9</w:t>
      </w:r>
      <w:r w:rsidR="00B34FFF">
        <w:rPr>
          <w:lang w:val="es-ES_tradnl"/>
        </w:rPr>
        <w:t>%</w:t>
      </w:r>
      <w:r w:rsidR="004F7546" w:rsidRPr="00CB6BB3">
        <w:rPr>
          <w:lang w:val="es-ES_tradnl"/>
        </w:rPr>
        <w:t xml:space="preserve"> de los hombres corrían riesgo de pobreza; e</w:t>
      </w:r>
      <w:r w:rsidRPr="00CB6BB3">
        <w:rPr>
          <w:lang w:val="es-ES_tradnl"/>
        </w:rPr>
        <w:t xml:space="preserve">n 2008, </w:t>
      </w:r>
      <w:r w:rsidR="004F7546" w:rsidRPr="00CB6BB3">
        <w:rPr>
          <w:lang w:val="es-ES_tradnl"/>
        </w:rPr>
        <w:t>estas tasas eran del 13,5</w:t>
      </w:r>
      <w:r w:rsidR="00B34FFF">
        <w:rPr>
          <w:lang w:val="es-ES_tradnl"/>
        </w:rPr>
        <w:t>%</w:t>
      </w:r>
      <w:r w:rsidR="004F7546" w:rsidRPr="00CB6BB3">
        <w:rPr>
          <w:lang w:val="es-ES_tradnl"/>
        </w:rPr>
        <w:t xml:space="preserve"> para las mujeres y el 11,2</w:t>
      </w:r>
      <w:r w:rsidR="00B34FFF">
        <w:rPr>
          <w:lang w:val="es-ES_tradnl"/>
        </w:rPr>
        <w:t>%</w:t>
      </w:r>
      <w:r w:rsidR="004F7546" w:rsidRPr="00CB6BB3">
        <w:rPr>
          <w:lang w:val="es-ES_tradnl"/>
        </w:rPr>
        <w:t xml:space="preserve"> para los hombres</w:t>
      </w:r>
      <w:r w:rsidRPr="00CB6BB3">
        <w:rPr>
          <w:lang w:val="es-ES_tradnl"/>
        </w:rPr>
        <w:t xml:space="preserve">. </w:t>
      </w:r>
    </w:p>
    <w:p w:rsidR="005E49B6" w:rsidRPr="00CB6BB3" w:rsidRDefault="004F7546" w:rsidP="005E49B6">
      <w:pPr>
        <w:pStyle w:val="SingleTxtG"/>
        <w:rPr>
          <w:lang w:val="es-ES_tradnl"/>
        </w:rPr>
      </w:pPr>
      <w:r w:rsidRPr="00CB6BB3">
        <w:rPr>
          <w:lang w:val="es-ES_tradnl"/>
        </w:rPr>
        <w:t>45.</w:t>
      </w:r>
      <w:r w:rsidRPr="00CB6BB3">
        <w:rPr>
          <w:lang w:val="es-ES_tradnl"/>
        </w:rPr>
        <w:tab/>
        <w:t>En comparaci</w:t>
      </w:r>
      <w:r w:rsidR="00AC1243" w:rsidRPr="00CB6BB3">
        <w:rPr>
          <w:lang w:val="es-ES_tradnl"/>
        </w:rPr>
        <w:t>ón con los hombres, e</w:t>
      </w:r>
      <w:r w:rsidRPr="00CB6BB3">
        <w:rPr>
          <w:lang w:val="es-ES_tradnl"/>
        </w:rPr>
        <w:t xml:space="preserve"> independientemente de si perciben una pensión o no</w:t>
      </w:r>
      <w:r w:rsidR="00AC1243" w:rsidRPr="00CB6BB3">
        <w:rPr>
          <w:lang w:val="es-ES_tradnl"/>
        </w:rPr>
        <w:t>, las mujeres siempre corren un mayor riesgo de verse afectadas por la pobreza</w:t>
      </w:r>
      <w:r w:rsidR="005E49B6" w:rsidRPr="00CB6BB3">
        <w:rPr>
          <w:lang w:val="es-ES_tradnl"/>
        </w:rPr>
        <w:t xml:space="preserve">, </w:t>
      </w:r>
      <w:r w:rsidR="00AC1243" w:rsidRPr="00CB6BB3">
        <w:rPr>
          <w:lang w:val="es-ES_tradnl"/>
        </w:rPr>
        <w:t xml:space="preserve">en </w:t>
      </w:r>
      <w:r w:rsidR="005E49B6" w:rsidRPr="00CB6BB3">
        <w:rPr>
          <w:lang w:val="es-ES_tradnl"/>
        </w:rPr>
        <w:t>especial</w:t>
      </w:r>
      <w:r w:rsidR="004012D0" w:rsidRPr="00CB6BB3">
        <w:rPr>
          <w:lang w:val="es-ES_tradnl"/>
        </w:rPr>
        <w:t>, si</w:t>
      </w:r>
      <w:r w:rsidR="00AC1243" w:rsidRPr="00CB6BB3">
        <w:rPr>
          <w:lang w:val="es-ES_tradnl"/>
        </w:rPr>
        <w:t xml:space="preserve"> no tienen pareja</w:t>
      </w:r>
      <w:r w:rsidR="005E49B6" w:rsidRPr="00CB6BB3">
        <w:rPr>
          <w:lang w:val="es-ES_tradnl"/>
        </w:rPr>
        <w:t xml:space="preserve">. </w:t>
      </w:r>
      <w:r w:rsidR="00BF197C" w:rsidRPr="00CB6BB3">
        <w:rPr>
          <w:lang w:val="es-ES_tradnl"/>
        </w:rPr>
        <w:t>L</w:t>
      </w:r>
      <w:r w:rsidR="00AC1243" w:rsidRPr="00CB6BB3">
        <w:rPr>
          <w:lang w:val="es-ES_tradnl"/>
        </w:rPr>
        <w:t xml:space="preserve">a introducción de un régimen de ingresos mínimos </w:t>
      </w:r>
      <w:r w:rsidR="00BF197C" w:rsidRPr="00CB6BB3">
        <w:rPr>
          <w:lang w:val="es-ES_tradnl"/>
        </w:rPr>
        <w:t>con comprobación de haberes es una de las iniciativas encaminadas a luchar, entre otras cosas, contra el riesgo de pobreza del cabeza de familia monoparental</w:t>
      </w:r>
      <w:r w:rsidR="005E49B6" w:rsidRPr="00CB6BB3">
        <w:rPr>
          <w:lang w:val="es-ES_tradnl"/>
        </w:rPr>
        <w:t xml:space="preserve">. </w:t>
      </w:r>
      <w:r w:rsidR="00BF197C" w:rsidRPr="00CB6BB3">
        <w:rPr>
          <w:lang w:val="es-ES_tradnl"/>
        </w:rPr>
        <w:t xml:space="preserve">En virtud del nuevo régimen, las madres solteras (o los padres solteros) que tienen derecho a un ingreso mínimo recibirán prestaciones más elevadas que las </w:t>
      </w:r>
      <w:r w:rsidR="004012D0" w:rsidRPr="00CB6BB3">
        <w:rPr>
          <w:lang w:val="es-ES_tradnl"/>
        </w:rPr>
        <w:t>previstas en la legislación social</w:t>
      </w:r>
      <w:r w:rsidR="00BF197C" w:rsidRPr="00CB6BB3">
        <w:rPr>
          <w:lang w:val="es-ES_tradnl"/>
        </w:rPr>
        <w:t xml:space="preserve"> de las provincias federales</w:t>
      </w:r>
      <w:r w:rsidR="005E49B6" w:rsidRPr="00CB6BB3">
        <w:rPr>
          <w:lang w:val="es-ES_tradnl"/>
        </w:rPr>
        <w:t xml:space="preserve">. </w:t>
      </w:r>
      <w:r w:rsidR="00BF197C" w:rsidRPr="00CB6BB3">
        <w:rPr>
          <w:lang w:val="es-ES_tradnl"/>
        </w:rPr>
        <w:t xml:space="preserve">A principios de </w:t>
      </w:r>
      <w:r w:rsidR="005E49B6" w:rsidRPr="00CB6BB3">
        <w:rPr>
          <w:lang w:val="es-ES_tradnl"/>
        </w:rPr>
        <w:t xml:space="preserve">2011, </w:t>
      </w:r>
      <w:r w:rsidR="00BF197C" w:rsidRPr="00CB6BB3">
        <w:rPr>
          <w:lang w:val="es-ES_tradnl"/>
        </w:rPr>
        <w:t>el régimen de ingresos mínimos con comprobación de haberes se aplica</w:t>
      </w:r>
      <w:r w:rsidR="00D11A3A" w:rsidRPr="00CB6BB3">
        <w:rPr>
          <w:lang w:val="es-ES_tradnl"/>
        </w:rPr>
        <w:t>rá</w:t>
      </w:r>
      <w:r w:rsidR="00BF197C" w:rsidRPr="00CB6BB3">
        <w:rPr>
          <w:lang w:val="es-ES_tradnl"/>
        </w:rPr>
        <w:t xml:space="preserve"> en toda Austria</w:t>
      </w:r>
      <w:r w:rsidR="005E49B6" w:rsidRPr="00CB6BB3">
        <w:rPr>
          <w:lang w:val="es-ES_tradnl"/>
        </w:rPr>
        <w:t xml:space="preserve"> (</w:t>
      </w:r>
      <w:r w:rsidR="00BF197C" w:rsidRPr="00CB6BB3">
        <w:rPr>
          <w:lang w:val="es-ES_tradnl"/>
        </w:rPr>
        <w:t>bajo la jurisdicción de las provincias federales</w:t>
      </w:r>
      <w:r w:rsidR="005E49B6" w:rsidRPr="00CB6BB3">
        <w:rPr>
          <w:lang w:val="es-ES_tradnl"/>
        </w:rPr>
        <w:t xml:space="preserve">). </w:t>
      </w:r>
      <w:r w:rsidR="00BF197C" w:rsidRPr="00CB6BB3">
        <w:rPr>
          <w:lang w:val="es-ES_tradnl"/>
        </w:rPr>
        <w:t>E</w:t>
      </w:r>
      <w:r w:rsidR="005E49B6" w:rsidRPr="00CB6BB3">
        <w:rPr>
          <w:lang w:val="es-ES_tradnl"/>
        </w:rPr>
        <w:t xml:space="preserve">n 2011, </w:t>
      </w:r>
      <w:r w:rsidR="00BF197C" w:rsidRPr="00CB6BB3">
        <w:rPr>
          <w:lang w:val="es-ES_tradnl"/>
        </w:rPr>
        <w:t xml:space="preserve">el nivel mínimo para solteros y progenitores solteros asciende a </w:t>
      </w:r>
      <w:r w:rsidR="005E49B6" w:rsidRPr="00CB6BB3">
        <w:rPr>
          <w:lang w:val="es-ES_tradnl"/>
        </w:rPr>
        <w:t xml:space="preserve">753 </w:t>
      </w:r>
      <w:r w:rsidR="00BF197C" w:rsidRPr="00CB6BB3">
        <w:rPr>
          <w:lang w:val="es-ES_tradnl"/>
        </w:rPr>
        <w:t xml:space="preserve">euros </w:t>
      </w:r>
      <w:r w:rsidR="005E49B6" w:rsidRPr="00CB6BB3">
        <w:rPr>
          <w:lang w:val="es-ES_tradnl"/>
        </w:rPr>
        <w:t xml:space="preserve">(12 </w:t>
      </w:r>
      <w:r w:rsidR="00BF197C" w:rsidRPr="00CB6BB3">
        <w:rPr>
          <w:lang w:val="es-ES_tradnl"/>
        </w:rPr>
        <w:t>veces al año</w:t>
      </w:r>
      <w:r w:rsidR="005E49B6" w:rsidRPr="00CB6BB3">
        <w:rPr>
          <w:lang w:val="es-ES_tradnl"/>
        </w:rPr>
        <w:t xml:space="preserve">). </w:t>
      </w:r>
      <w:r w:rsidR="00BF197C" w:rsidRPr="00CB6BB3">
        <w:rPr>
          <w:lang w:val="es-ES_tradnl"/>
        </w:rPr>
        <w:t>Además, todo adulto tiene derecho a solicitar esa prestación, con independencia de que tenga o no pareja</w:t>
      </w:r>
      <w:r w:rsidR="005E49B6" w:rsidRPr="00CB6BB3">
        <w:rPr>
          <w:lang w:val="es-ES_tradnl"/>
        </w:rPr>
        <w:t xml:space="preserve">, </w:t>
      </w:r>
      <w:r w:rsidR="00BF197C" w:rsidRPr="00CB6BB3">
        <w:rPr>
          <w:lang w:val="es-ES_tradnl"/>
        </w:rPr>
        <w:t>un arreglo del que se beneficiarán principalmente las mujeres</w:t>
      </w:r>
      <w:r w:rsidR="005E49B6" w:rsidRPr="00CB6BB3">
        <w:rPr>
          <w:lang w:val="es-ES_tradnl"/>
        </w:rPr>
        <w:t xml:space="preserve">. </w:t>
      </w:r>
      <w:r w:rsidR="00BF197C" w:rsidRPr="00CB6BB3">
        <w:rPr>
          <w:lang w:val="es-ES_tradnl"/>
        </w:rPr>
        <w:t>Los beneficiarios del ingreso mínimo con comprobación de haberes han sido incluidos</w:t>
      </w:r>
      <w:r w:rsidR="003C2218" w:rsidRPr="00CB6BB3">
        <w:rPr>
          <w:lang w:val="es-ES_tradnl"/>
        </w:rPr>
        <w:t xml:space="preserve"> de forma normativa en el régimen de seguro de enfermedad</w:t>
      </w:r>
      <w:r w:rsidR="005E49B6" w:rsidRPr="00CB6BB3">
        <w:rPr>
          <w:rStyle w:val="FootnoteReference"/>
          <w:lang w:val="es-ES_tradnl"/>
        </w:rPr>
        <w:footnoteReference w:id="20"/>
      </w:r>
      <w:r w:rsidR="003C2218" w:rsidRPr="00CB6BB3">
        <w:rPr>
          <w:lang w:val="es-ES_tradnl"/>
        </w:rPr>
        <w:t>.</w:t>
      </w:r>
      <w:r w:rsidR="005E49B6" w:rsidRPr="00CB6BB3">
        <w:rPr>
          <w:lang w:val="es-ES_tradnl"/>
        </w:rPr>
        <w:t xml:space="preserve"> </w:t>
      </w:r>
      <w:r w:rsidR="003C2218" w:rsidRPr="00CB6BB3">
        <w:rPr>
          <w:lang w:val="es-ES_tradnl"/>
        </w:rPr>
        <w:t xml:space="preserve">Ahora también recibirán una tarjeta electrónica, en lugar del </w:t>
      </w:r>
      <w:r w:rsidR="00D11A3A" w:rsidRPr="00CB6BB3">
        <w:rPr>
          <w:lang w:val="es-ES_tradnl"/>
        </w:rPr>
        <w:t xml:space="preserve">bono del </w:t>
      </w:r>
      <w:r w:rsidR="003C2218" w:rsidRPr="00CB6BB3">
        <w:rPr>
          <w:lang w:val="es-ES_tradnl"/>
        </w:rPr>
        <w:t>fondo de salud que se exigía en el pasado</w:t>
      </w:r>
      <w:r w:rsidR="005E49B6" w:rsidRPr="00CB6BB3">
        <w:rPr>
          <w:lang w:val="es-ES_tradnl"/>
        </w:rPr>
        <w:t>.</w:t>
      </w:r>
    </w:p>
    <w:p w:rsidR="005E49B6" w:rsidRPr="00CB6BB3" w:rsidRDefault="005E49B6" w:rsidP="005E49B6">
      <w:pPr>
        <w:pStyle w:val="H1G"/>
        <w:rPr>
          <w:lang w:val="es-ES_tradnl"/>
        </w:rPr>
      </w:pPr>
      <w:r w:rsidRPr="00CB6BB3">
        <w:rPr>
          <w:lang w:val="es-ES_tradnl"/>
        </w:rPr>
        <w:tab/>
      </w:r>
      <w:r w:rsidRPr="00CB6BB3">
        <w:rPr>
          <w:lang w:val="es-ES_tradnl"/>
        </w:rPr>
        <w:tab/>
        <w:t>Resp</w:t>
      </w:r>
      <w:r w:rsidR="00360398" w:rsidRPr="00CB6BB3">
        <w:rPr>
          <w:lang w:val="es-ES_tradnl"/>
        </w:rPr>
        <w:t>uesta a las observaciones finales de los párrafos 21 y 22</w:t>
      </w:r>
      <w:r w:rsidRPr="00CB6BB3">
        <w:rPr>
          <w:lang w:val="es-ES_tradnl"/>
        </w:rPr>
        <w:br/>
      </w:r>
      <w:r w:rsidR="00893231" w:rsidRPr="00CB6BB3">
        <w:rPr>
          <w:lang w:val="es-ES_tradnl"/>
        </w:rPr>
        <w:t>Concili</w:t>
      </w:r>
      <w:r w:rsidR="00360398" w:rsidRPr="00CB6BB3">
        <w:rPr>
          <w:lang w:val="es-ES_tradnl"/>
        </w:rPr>
        <w:t xml:space="preserve">ar las </w:t>
      </w:r>
      <w:r w:rsidR="00893231" w:rsidRPr="00CB6BB3">
        <w:rPr>
          <w:lang w:val="es-ES_tradnl"/>
        </w:rPr>
        <w:t>responsabilidades</w:t>
      </w:r>
      <w:r w:rsidR="00360398" w:rsidRPr="00CB6BB3">
        <w:rPr>
          <w:lang w:val="es-ES_tradnl"/>
        </w:rPr>
        <w:t xml:space="preserve"> familiares y </w:t>
      </w:r>
      <w:r w:rsidR="00893231" w:rsidRPr="00CB6BB3">
        <w:rPr>
          <w:lang w:val="es-ES_tradnl"/>
        </w:rPr>
        <w:t>laborales</w:t>
      </w:r>
      <w:r w:rsidR="00360398" w:rsidRPr="00CB6BB3">
        <w:rPr>
          <w:lang w:val="es-ES_tradnl"/>
        </w:rPr>
        <w:t xml:space="preserve"> de </w:t>
      </w:r>
      <w:r w:rsidR="005C668E">
        <w:rPr>
          <w:lang w:val="es-ES_tradnl"/>
        </w:rPr>
        <w:br/>
      </w:r>
      <w:r w:rsidR="00360398" w:rsidRPr="00CB6BB3">
        <w:rPr>
          <w:lang w:val="es-ES_tradnl"/>
        </w:rPr>
        <w:t>las</w:t>
      </w:r>
      <w:r w:rsidR="00DD72B5" w:rsidRPr="00CB6BB3">
        <w:rPr>
          <w:lang w:val="es-ES_tradnl"/>
        </w:rPr>
        <w:t xml:space="preserve"> </w:t>
      </w:r>
      <w:r w:rsidR="00360398" w:rsidRPr="00CB6BB3">
        <w:rPr>
          <w:lang w:val="es-ES_tradnl"/>
        </w:rPr>
        <w:t>mujeres y de los hombres</w:t>
      </w:r>
    </w:p>
    <w:p w:rsidR="005E49B6" w:rsidRPr="00CB6BB3" w:rsidRDefault="00893231" w:rsidP="005E49B6">
      <w:pPr>
        <w:pStyle w:val="SingleTxtG"/>
        <w:rPr>
          <w:lang w:val="es-ES_tradnl"/>
        </w:rPr>
      </w:pPr>
      <w:r w:rsidRPr="00CB6BB3">
        <w:rPr>
          <w:lang w:val="es-ES_tradnl"/>
        </w:rPr>
        <w:t>46.</w:t>
      </w:r>
      <w:r w:rsidRPr="00CB6BB3">
        <w:rPr>
          <w:lang w:val="es-ES_tradnl"/>
        </w:rPr>
        <w:tab/>
      </w:r>
      <w:r w:rsidR="00D11A3A" w:rsidRPr="00CB6BB3">
        <w:rPr>
          <w:lang w:val="es-ES_tradnl"/>
        </w:rPr>
        <w:t>El aumento del número d</w:t>
      </w:r>
      <w:r w:rsidR="00BF29DC" w:rsidRPr="00CB6BB3">
        <w:rPr>
          <w:lang w:val="es-ES_tradnl"/>
        </w:rPr>
        <w:t xml:space="preserve">e guarderías infantiles y </w:t>
      </w:r>
      <w:r w:rsidR="005F1507" w:rsidRPr="00CB6BB3">
        <w:rPr>
          <w:lang w:val="es-ES_tradnl"/>
        </w:rPr>
        <w:t xml:space="preserve">el fomento de </w:t>
      </w:r>
      <w:r w:rsidR="00BF29DC" w:rsidRPr="00CB6BB3">
        <w:rPr>
          <w:lang w:val="es-ES_tradnl"/>
        </w:rPr>
        <w:t xml:space="preserve">la participación de los hombres en las tareas domésticas y las tareas familiares son ejemplos de </w:t>
      </w:r>
      <w:r w:rsidR="005F1507" w:rsidRPr="00CB6BB3">
        <w:rPr>
          <w:lang w:val="es-ES_tradnl"/>
        </w:rPr>
        <w:t>medidas</w:t>
      </w:r>
      <w:r w:rsidR="00BF29DC" w:rsidRPr="00CB6BB3">
        <w:rPr>
          <w:lang w:val="es-ES_tradnl"/>
        </w:rPr>
        <w:t xml:space="preserve"> importantes</w:t>
      </w:r>
      <w:r w:rsidR="00D11A3A" w:rsidRPr="00CB6BB3">
        <w:rPr>
          <w:lang w:val="es-ES_tradnl"/>
        </w:rPr>
        <w:t xml:space="preserve"> que están adoptándose. S</w:t>
      </w:r>
      <w:r w:rsidR="00BF29DC" w:rsidRPr="00CB6BB3">
        <w:rPr>
          <w:lang w:val="es-ES_tradnl"/>
        </w:rPr>
        <w:t xml:space="preserve">e procura </w:t>
      </w:r>
      <w:r w:rsidR="00D11A3A" w:rsidRPr="00CB6BB3">
        <w:rPr>
          <w:lang w:val="es-ES_tradnl"/>
        </w:rPr>
        <w:t xml:space="preserve">también </w:t>
      </w:r>
      <w:r w:rsidR="00BF29DC" w:rsidRPr="00CB6BB3">
        <w:rPr>
          <w:lang w:val="es-ES_tradnl"/>
        </w:rPr>
        <w:t>promover la participación equitativa de las madres y los padres en el empleo remunerado, en las responsabilidades respecto del cuidado de miembros de la familia y en el trabajo doméstico</w:t>
      </w:r>
      <w:r w:rsidR="005E49B6" w:rsidRPr="00CB6BB3">
        <w:rPr>
          <w:lang w:val="es-ES_tradnl"/>
        </w:rPr>
        <w:t xml:space="preserve">. </w:t>
      </w:r>
      <w:r w:rsidR="00BF29DC" w:rsidRPr="00CB6BB3">
        <w:rPr>
          <w:lang w:val="es-ES_tradnl"/>
        </w:rPr>
        <w:t>E</w:t>
      </w:r>
      <w:r w:rsidR="005E49B6" w:rsidRPr="00CB6BB3">
        <w:rPr>
          <w:lang w:val="es-ES_tradnl"/>
        </w:rPr>
        <w:t xml:space="preserve">n 2010, </w:t>
      </w:r>
      <w:r w:rsidR="00BF29DC" w:rsidRPr="00CB6BB3">
        <w:rPr>
          <w:lang w:val="es-ES_tradnl"/>
        </w:rPr>
        <w:t>el sistema de prestaciones para el cuidado de los hijos fue modificado</w:t>
      </w:r>
      <w:r w:rsidR="001C677A" w:rsidRPr="00CB6BB3">
        <w:rPr>
          <w:lang w:val="es-ES_tradnl"/>
        </w:rPr>
        <w:t xml:space="preserve">; ahora </w:t>
      </w:r>
      <w:r w:rsidR="005F1507" w:rsidRPr="00CB6BB3">
        <w:rPr>
          <w:lang w:val="es-ES_tradnl"/>
        </w:rPr>
        <w:t xml:space="preserve">prevé dos nuevas </w:t>
      </w:r>
      <w:r w:rsidR="00D11A3A" w:rsidRPr="00CB6BB3">
        <w:rPr>
          <w:lang w:val="es-ES_tradnl"/>
        </w:rPr>
        <w:t>modalidad</w:t>
      </w:r>
      <w:r w:rsidR="005F1507" w:rsidRPr="00CB6BB3">
        <w:rPr>
          <w:lang w:val="es-ES_tradnl"/>
        </w:rPr>
        <w:t xml:space="preserve">es </w:t>
      </w:r>
      <w:r w:rsidR="001C677A" w:rsidRPr="00CB6BB3">
        <w:rPr>
          <w:lang w:val="es-ES_tradnl"/>
        </w:rPr>
        <w:t>de prestación a corto plazo</w:t>
      </w:r>
      <w:r w:rsidR="005E49B6" w:rsidRPr="00CB6BB3">
        <w:rPr>
          <w:rStyle w:val="FootnoteReference"/>
          <w:lang w:val="es-ES_tradnl"/>
        </w:rPr>
        <w:footnoteReference w:id="21"/>
      </w:r>
      <w:r w:rsidR="005F1507" w:rsidRPr="00CB6BB3">
        <w:rPr>
          <w:lang w:val="es-ES_tradnl"/>
        </w:rPr>
        <w:t>.</w:t>
      </w:r>
      <w:r w:rsidR="005E49B6" w:rsidRPr="00CB6BB3">
        <w:rPr>
          <w:lang w:val="es-ES_tradnl"/>
        </w:rPr>
        <w:t xml:space="preserve"> </w:t>
      </w:r>
      <w:r w:rsidR="00D11A3A" w:rsidRPr="00CB6BB3">
        <w:rPr>
          <w:lang w:val="es-ES_tradnl"/>
        </w:rPr>
        <w:t>Así pues</w:t>
      </w:r>
      <w:r w:rsidR="005E49B6" w:rsidRPr="00CB6BB3">
        <w:rPr>
          <w:lang w:val="es-ES_tradnl"/>
        </w:rPr>
        <w:t xml:space="preserve">, </w:t>
      </w:r>
      <w:r w:rsidR="005F1507" w:rsidRPr="00CB6BB3">
        <w:rPr>
          <w:lang w:val="es-ES_tradnl"/>
        </w:rPr>
        <w:t xml:space="preserve">en la actualidad se dispone de cuatro </w:t>
      </w:r>
      <w:r w:rsidR="00D11A3A" w:rsidRPr="00CB6BB3">
        <w:rPr>
          <w:lang w:val="es-ES_tradnl"/>
        </w:rPr>
        <w:t>modalidad</w:t>
      </w:r>
      <w:r w:rsidR="005F1507" w:rsidRPr="00CB6BB3">
        <w:rPr>
          <w:lang w:val="es-ES_tradnl"/>
        </w:rPr>
        <w:t>es de sumas globales, y una</w:t>
      </w:r>
      <w:r w:rsidR="005E49B6" w:rsidRPr="00CB6BB3">
        <w:rPr>
          <w:lang w:val="es-ES_tradnl"/>
        </w:rPr>
        <w:t xml:space="preserve"> </w:t>
      </w:r>
      <w:r w:rsidR="005F1507" w:rsidRPr="00CB6BB3">
        <w:rPr>
          <w:lang w:val="es-ES_tradnl"/>
        </w:rPr>
        <w:t>vinculada a los ingresos</w:t>
      </w:r>
      <w:r w:rsidR="005E49B6" w:rsidRPr="00CB6BB3">
        <w:rPr>
          <w:lang w:val="es-ES_tradnl"/>
        </w:rPr>
        <w:t xml:space="preserve">. </w:t>
      </w:r>
      <w:r w:rsidR="00D11A3A" w:rsidRPr="00CB6BB3">
        <w:rPr>
          <w:lang w:val="es-ES_tradnl"/>
        </w:rPr>
        <w:t>T</w:t>
      </w:r>
      <w:r w:rsidR="005F1507" w:rsidRPr="00CB6BB3">
        <w:rPr>
          <w:lang w:val="es-ES_tradnl"/>
        </w:rPr>
        <w:t>oman</w:t>
      </w:r>
      <w:r w:rsidR="00D11A3A" w:rsidRPr="00CB6BB3">
        <w:rPr>
          <w:lang w:val="es-ES_tradnl"/>
        </w:rPr>
        <w:t>do</w:t>
      </w:r>
      <w:r w:rsidR="005F1507" w:rsidRPr="00CB6BB3">
        <w:rPr>
          <w:lang w:val="es-ES_tradnl"/>
        </w:rPr>
        <w:t xml:space="preserve"> </w:t>
      </w:r>
      <w:r w:rsidR="004012D0" w:rsidRPr="00CB6BB3">
        <w:rPr>
          <w:lang w:val="es-ES_tradnl"/>
        </w:rPr>
        <w:t xml:space="preserve">como referencia los nacimientos </w:t>
      </w:r>
      <w:r w:rsidR="00705CD0" w:rsidRPr="00CB6BB3">
        <w:rPr>
          <w:lang w:val="es-ES_tradnl"/>
        </w:rPr>
        <w:t xml:space="preserve">que tuvieron lugar desde </w:t>
      </w:r>
      <w:r w:rsidR="004012D0" w:rsidRPr="00CB6BB3">
        <w:rPr>
          <w:lang w:val="es-ES_tradnl"/>
        </w:rPr>
        <w:t>el</w:t>
      </w:r>
      <w:r w:rsidR="005F1507" w:rsidRPr="00CB6BB3">
        <w:rPr>
          <w:lang w:val="es-ES_tradnl"/>
        </w:rPr>
        <w:t xml:space="preserve"> 1</w:t>
      </w:r>
      <w:r w:rsidR="00D52FDB">
        <w:rPr>
          <w:lang w:val="es-ES_tradnl"/>
        </w:rPr>
        <w:t>º</w:t>
      </w:r>
      <w:r w:rsidR="00705CD0" w:rsidRPr="00CB6BB3">
        <w:rPr>
          <w:lang w:val="es-ES_tradnl"/>
        </w:rPr>
        <w:t xml:space="preserve"> de enero de 2010 en adelante</w:t>
      </w:r>
      <w:r w:rsidR="005F1507" w:rsidRPr="00CB6BB3">
        <w:rPr>
          <w:lang w:val="es-ES_tradnl"/>
        </w:rPr>
        <w:t xml:space="preserve">, se </w:t>
      </w:r>
      <w:r w:rsidR="00705CD0" w:rsidRPr="00CB6BB3">
        <w:rPr>
          <w:lang w:val="es-ES_tradnl"/>
        </w:rPr>
        <w:t>observa</w:t>
      </w:r>
      <w:r w:rsidR="005F1507" w:rsidRPr="00CB6BB3">
        <w:rPr>
          <w:lang w:val="es-ES_tradnl"/>
        </w:rPr>
        <w:t xml:space="preserve"> </w:t>
      </w:r>
      <w:r w:rsidR="005D55DD" w:rsidRPr="00CB6BB3">
        <w:rPr>
          <w:lang w:val="es-ES_tradnl"/>
        </w:rPr>
        <w:t xml:space="preserve">que </w:t>
      </w:r>
      <w:r w:rsidR="0090628B" w:rsidRPr="00CB6BB3">
        <w:rPr>
          <w:lang w:val="es-ES_tradnl"/>
        </w:rPr>
        <w:t>a</w:t>
      </w:r>
      <w:r w:rsidR="005F1507" w:rsidRPr="00CB6BB3">
        <w:rPr>
          <w:lang w:val="es-ES_tradnl"/>
        </w:rPr>
        <w:t xml:space="preserve"> la fecha de referencia, 30 de diciembre de </w:t>
      </w:r>
      <w:r w:rsidR="005E49B6" w:rsidRPr="00CB6BB3">
        <w:rPr>
          <w:lang w:val="es-ES_tradnl"/>
        </w:rPr>
        <w:t>2010</w:t>
      </w:r>
      <w:r w:rsidR="005F1507" w:rsidRPr="00CB6BB3">
        <w:rPr>
          <w:lang w:val="es-ES_tradnl"/>
        </w:rPr>
        <w:t>, más del 12</w:t>
      </w:r>
      <w:r w:rsidR="00B34FFF">
        <w:rPr>
          <w:lang w:val="es-ES_tradnl"/>
        </w:rPr>
        <w:t>%</w:t>
      </w:r>
      <w:r w:rsidR="005F1507" w:rsidRPr="00CB6BB3">
        <w:rPr>
          <w:lang w:val="es-ES_tradnl"/>
        </w:rPr>
        <w:t xml:space="preserve"> de todos los solicitantes optaron por la asignación para el cuidado del hijo vinculada a los ingresos, y el 4,6</w:t>
      </w:r>
      <w:r w:rsidR="00B34FFF">
        <w:rPr>
          <w:lang w:val="es-ES_tradnl"/>
        </w:rPr>
        <w:t>%</w:t>
      </w:r>
      <w:r w:rsidR="0090628B" w:rsidRPr="00CB6BB3">
        <w:rPr>
          <w:lang w:val="es-ES_tradnl"/>
        </w:rPr>
        <w:t>,</w:t>
      </w:r>
      <w:r w:rsidR="005E49B6" w:rsidRPr="00CB6BB3">
        <w:rPr>
          <w:lang w:val="es-ES_tradnl"/>
        </w:rPr>
        <w:t xml:space="preserve"> </w:t>
      </w:r>
      <w:r w:rsidR="005F1507" w:rsidRPr="00CB6BB3">
        <w:rPr>
          <w:lang w:val="es-ES_tradnl"/>
        </w:rPr>
        <w:t xml:space="preserve">por la </w:t>
      </w:r>
      <w:r w:rsidR="005D55DD" w:rsidRPr="00CB6BB3">
        <w:rPr>
          <w:lang w:val="es-ES_tradnl"/>
        </w:rPr>
        <w:t>suma global a</w:t>
      </w:r>
      <w:r w:rsidR="005F1507" w:rsidRPr="00CB6BB3">
        <w:rPr>
          <w:lang w:val="es-ES_tradnl"/>
        </w:rPr>
        <w:t xml:space="preserve"> corto plazo</w:t>
      </w:r>
      <w:r w:rsidR="005E49B6" w:rsidRPr="00CB6BB3">
        <w:rPr>
          <w:lang w:val="es-ES_tradnl"/>
        </w:rPr>
        <w:t xml:space="preserve">. </w:t>
      </w:r>
      <w:r w:rsidR="001C677A" w:rsidRPr="00CB6BB3">
        <w:rPr>
          <w:lang w:val="es-ES_tradnl"/>
        </w:rPr>
        <w:t>En consecuencia, cerca del 17</w:t>
      </w:r>
      <w:r w:rsidR="00B34FFF">
        <w:rPr>
          <w:lang w:val="es-ES_tradnl"/>
        </w:rPr>
        <w:t>%</w:t>
      </w:r>
      <w:r w:rsidR="0090628B" w:rsidRPr="00CB6BB3">
        <w:rPr>
          <w:lang w:val="es-ES_tradnl"/>
        </w:rPr>
        <w:t xml:space="preserve"> de es</w:t>
      </w:r>
      <w:r w:rsidR="001C677A" w:rsidRPr="00CB6BB3">
        <w:rPr>
          <w:lang w:val="es-ES_tradnl"/>
        </w:rPr>
        <w:t xml:space="preserve">os padres eligió una de las </w:t>
      </w:r>
      <w:r w:rsidR="0090628B" w:rsidRPr="00CB6BB3">
        <w:rPr>
          <w:lang w:val="es-ES_tradnl"/>
        </w:rPr>
        <w:t xml:space="preserve">dos </w:t>
      </w:r>
      <w:r w:rsidR="001C677A" w:rsidRPr="00CB6BB3">
        <w:rPr>
          <w:lang w:val="es-ES_tradnl"/>
        </w:rPr>
        <w:t xml:space="preserve">nuevas </w:t>
      </w:r>
      <w:r w:rsidR="00D11A3A" w:rsidRPr="00CB6BB3">
        <w:rPr>
          <w:lang w:val="es-ES_tradnl"/>
        </w:rPr>
        <w:t>modalidad</w:t>
      </w:r>
      <w:r w:rsidR="0090628B" w:rsidRPr="00CB6BB3">
        <w:rPr>
          <w:lang w:val="es-ES_tradnl"/>
        </w:rPr>
        <w:t>es a</w:t>
      </w:r>
      <w:r w:rsidR="001C677A" w:rsidRPr="00CB6BB3">
        <w:rPr>
          <w:lang w:val="es-ES_tradnl"/>
        </w:rPr>
        <w:t xml:space="preserve"> corto plazo</w:t>
      </w:r>
      <w:r w:rsidR="005E49B6" w:rsidRPr="00CB6BB3">
        <w:rPr>
          <w:lang w:val="es-ES_tradnl"/>
        </w:rPr>
        <w:t xml:space="preserve">. </w:t>
      </w:r>
      <w:r w:rsidR="0090628B" w:rsidRPr="00CB6BB3">
        <w:rPr>
          <w:lang w:val="es-ES_tradnl"/>
        </w:rPr>
        <w:t>En la fecha de referencia, l</w:t>
      </w:r>
      <w:r w:rsidR="001C677A" w:rsidRPr="00CB6BB3">
        <w:rPr>
          <w:lang w:val="es-ES_tradnl"/>
        </w:rPr>
        <w:t>a proporción de padres que percib</w:t>
      </w:r>
      <w:r w:rsidR="0090628B" w:rsidRPr="00CB6BB3">
        <w:rPr>
          <w:lang w:val="es-ES_tradnl"/>
        </w:rPr>
        <w:t>i</w:t>
      </w:r>
      <w:r w:rsidR="001C677A" w:rsidRPr="00CB6BB3">
        <w:rPr>
          <w:lang w:val="es-ES_tradnl"/>
        </w:rPr>
        <w:t>e</w:t>
      </w:r>
      <w:r w:rsidR="0090628B" w:rsidRPr="00CB6BB3">
        <w:rPr>
          <w:lang w:val="es-ES_tradnl"/>
        </w:rPr>
        <w:t>ro</w:t>
      </w:r>
      <w:r w:rsidR="001C677A" w:rsidRPr="00CB6BB3">
        <w:rPr>
          <w:lang w:val="es-ES_tradnl"/>
        </w:rPr>
        <w:t xml:space="preserve">n una prestación </w:t>
      </w:r>
      <w:r w:rsidR="0090628B" w:rsidRPr="00CB6BB3">
        <w:rPr>
          <w:lang w:val="es-ES_tradnl"/>
        </w:rPr>
        <w:t xml:space="preserve">vinculada a los ingresos se mantuvo </w:t>
      </w:r>
      <w:r w:rsidR="001C677A" w:rsidRPr="00CB6BB3">
        <w:rPr>
          <w:lang w:val="es-ES_tradnl"/>
        </w:rPr>
        <w:t>e</w:t>
      </w:r>
      <w:r w:rsidR="0090628B" w:rsidRPr="00CB6BB3">
        <w:rPr>
          <w:lang w:val="es-ES_tradnl"/>
        </w:rPr>
        <w:t>n</w:t>
      </w:r>
      <w:r w:rsidR="001C677A" w:rsidRPr="00CB6BB3">
        <w:rPr>
          <w:lang w:val="es-ES_tradnl"/>
        </w:rPr>
        <w:t xml:space="preserve"> alrededor del 6,4</w:t>
      </w:r>
      <w:r w:rsidR="00B34FFF">
        <w:rPr>
          <w:lang w:val="es-ES_tradnl"/>
        </w:rPr>
        <w:t>%</w:t>
      </w:r>
      <w:r w:rsidR="001C677A" w:rsidRPr="00CB6BB3">
        <w:rPr>
          <w:lang w:val="es-ES_tradnl"/>
        </w:rPr>
        <w:t>. La proporción de padres que recibieron la prestación en forma de</w:t>
      </w:r>
      <w:r w:rsidR="0090628B" w:rsidRPr="00CB6BB3">
        <w:rPr>
          <w:lang w:val="es-ES_tradnl"/>
        </w:rPr>
        <w:t xml:space="preserve"> suma global a</w:t>
      </w:r>
      <w:r w:rsidR="001C677A" w:rsidRPr="00CB6BB3">
        <w:rPr>
          <w:lang w:val="es-ES_tradnl"/>
        </w:rPr>
        <w:t xml:space="preserve"> cort</w:t>
      </w:r>
      <w:r w:rsidR="005D55DD" w:rsidRPr="00CB6BB3">
        <w:rPr>
          <w:lang w:val="es-ES_tradnl"/>
        </w:rPr>
        <w:t>o plazo fue incluso más elevada:</w:t>
      </w:r>
      <w:r w:rsidR="001C677A" w:rsidRPr="00CB6BB3">
        <w:rPr>
          <w:lang w:val="es-ES_tradnl"/>
        </w:rPr>
        <w:t xml:space="preserve"> aproximadamente, del 8,9</w:t>
      </w:r>
      <w:r w:rsidR="00B34FFF">
        <w:rPr>
          <w:lang w:val="es-ES_tradnl"/>
        </w:rPr>
        <w:t>%</w:t>
      </w:r>
      <w:r w:rsidR="005E49B6" w:rsidRPr="00CB6BB3">
        <w:rPr>
          <w:lang w:val="es-ES_tradnl"/>
        </w:rPr>
        <w:t>.</w:t>
      </w:r>
    </w:p>
    <w:p w:rsidR="005E49B6" w:rsidRPr="00CB6BB3" w:rsidRDefault="005E49B6" w:rsidP="005E49B6">
      <w:pPr>
        <w:pStyle w:val="SingleTxtG"/>
        <w:rPr>
          <w:lang w:val="es-ES_tradnl"/>
        </w:rPr>
      </w:pPr>
      <w:r w:rsidRPr="00CB6BB3">
        <w:rPr>
          <w:lang w:val="es-ES_tradnl"/>
        </w:rPr>
        <w:t>47.</w:t>
      </w:r>
      <w:r w:rsidRPr="00CB6BB3">
        <w:rPr>
          <w:lang w:val="es-ES_tradnl"/>
        </w:rPr>
        <w:tab/>
      </w:r>
      <w:r w:rsidR="00902D3F" w:rsidRPr="00CB6BB3">
        <w:rPr>
          <w:lang w:val="es-ES_tradnl"/>
        </w:rPr>
        <w:t>A partir del 1</w:t>
      </w:r>
      <w:r w:rsidR="005C668E">
        <w:rPr>
          <w:lang w:val="es-ES_tradnl"/>
        </w:rPr>
        <w:t>º</w:t>
      </w:r>
      <w:r w:rsidR="00902D3F" w:rsidRPr="00CB6BB3">
        <w:rPr>
          <w:lang w:val="es-ES_tradnl"/>
        </w:rPr>
        <w:t xml:space="preserve"> de julio de</w:t>
      </w:r>
      <w:r w:rsidRPr="00CB6BB3">
        <w:rPr>
          <w:lang w:val="es-ES_tradnl"/>
        </w:rPr>
        <w:t xml:space="preserve"> 2004 </w:t>
      </w:r>
      <w:r w:rsidR="00902D3F" w:rsidRPr="00CB6BB3">
        <w:rPr>
          <w:lang w:val="es-ES_tradnl"/>
        </w:rPr>
        <w:t>los padres que trabajan en empresas dotadas de una plantilla de más de 20 personas tienen derecho a trabajar a medio tiempo</w:t>
      </w:r>
      <w:r w:rsidRPr="00CB6BB3">
        <w:rPr>
          <w:lang w:val="es-ES_tradnl"/>
        </w:rPr>
        <w:t xml:space="preserve">, </w:t>
      </w:r>
      <w:r w:rsidR="00875C3A" w:rsidRPr="00CB6BB3">
        <w:rPr>
          <w:lang w:val="es-ES_tradnl"/>
        </w:rPr>
        <w:t>siempre y cuando hayan estado empleados durante tres años</w:t>
      </w:r>
      <w:r w:rsidR="00660AFB" w:rsidRPr="00CB6BB3">
        <w:rPr>
          <w:lang w:val="es-ES_tradnl"/>
        </w:rPr>
        <w:t xml:space="preserve"> ininterrumpidos, contando el período de</w:t>
      </w:r>
      <w:r w:rsidR="00875C3A" w:rsidRPr="00CB6BB3">
        <w:rPr>
          <w:lang w:val="es-ES_tradnl"/>
        </w:rPr>
        <w:t xml:space="preserve"> licencia parental</w:t>
      </w:r>
      <w:r w:rsidRPr="00CB6BB3">
        <w:rPr>
          <w:lang w:val="es-ES_tradnl"/>
        </w:rPr>
        <w:t xml:space="preserve">. </w:t>
      </w:r>
      <w:r w:rsidR="00875C3A" w:rsidRPr="00CB6BB3">
        <w:rPr>
          <w:lang w:val="es-ES_tradnl"/>
        </w:rPr>
        <w:t xml:space="preserve">Los progenitores tienen derecho a trabajar a tiempo parcial hasta que el hijo </w:t>
      </w:r>
      <w:r w:rsidR="00660AFB" w:rsidRPr="00CB6BB3">
        <w:rPr>
          <w:lang w:val="es-ES_tradnl"/>
        </w:rPr>
        <w:t>cumple</w:t>
      </w:r>
      <w:r w:rsidR="00875C3A" w:rsidRPr="00CB6BB3">
        <w:rPr>
          <w:lang w:val="es-ES_tradnl"/>
        </w:rPr>
        <w:t xml:space="preserve"> </w:t>
      </w:r>
      <w:r w:rsidR="00792D71">
        <w:rPr>
          <w:lang w:val="es-ES_tradnl"/>
        </w:rPr>
        <w:t xml:space="preserve">7 </w:t>
      </w:r>
      <w:r w:rsidR="00875C3A" w:rsidRPr="00CB6BB3">
        <w:rPr>
          <w:lang w:val="es-ES_tradnl"/>
        </w:rPr>
        <w:t>años, o más tiempo, si la escolarización comienza posteriormente</w:t>
      </w:r>
      <w:r w:rsidRPr="00CB6BB3">
        <w:rPr>
          <w:lang w:val="es-ES_tradnl"/>
        </w:rPr>
        <w:t xml:space="preserve">. </w:t>
      </w:r>
      <w:r w:rsidR="00875C3A" w:rsidRPr="00CB6BB3">
        <w:rPr>
          <w:lang w:val="es-ES_tradnl"/>
        </w:rPr>
        <w:t>Los padres que no gozan de este derecho puede</w:t>
      </w:r>
      <w:r w:rsidR="00660AFB" w:rsidRPr="00CB6BB3">
        <w:rPr>
          <w:lang w:val="es-ES_tradnl"/>
        </w:rPr>
        <w:t>n</w:t>
      </w:r>
      <w:r w:rsidR="00875C3A" w:rsidRPr="00CB6BB3">
        <w:rPr>
          <w:lang w:val="es-ES_tradnl"/>
        </w:rPr>
        <w:t xml:space="preserve">, si lo acuerdan con el empleador, trabajar a tiempo parcial como máximo hasta que el hijo cumple </w:t>
      </w:r>
      <w:r w:rsidR="00660AFB" w:rsidRPr="00CB6BB3">
        <w:rPr>
          <w:lang w:val="es-ES_tradnl"/>
        </w:rPr>
        <w:t xml:space="preserve">los </w:t>
      </w:r>
      <w:r w:rsidR="00792D71">
        <w:rPr>
          <w:lang w:val="es-ES_tradnl"/>
        </w:rPr>
        <w:t xml:space="preserve">4 </w:t>
      </w:r>
      <w:r w:rsidR="00875C3A" w:rsidRPr="00CB6BB3">
        <w:rPr>
          <w:lang w:val="es-ES_tradnl"/>
        </w:rPr>
        <w:t>años</w:t>
      </w:r>
      <w:r w:rsidRPr="00CB6BB3">
        <w:rPr>
          <w:lang w:val="es-ES_tradnl"/>
        </w:rPr>
        <w:t xml:space="preserve"> (</w:t>
      </w:r>
      <w:r w:rsidR="00875C3A" w:rsidRPr="00CB6BB3">
        <w:rPr>
          <w:lang w:val="es-ES_tradnl"/>
        </w:rPr>
        <w:t>acuerdo laboral parental a tiem</w:t>
      </w:r>
      <w:r w:rsidRPr="00CB6BB3">
        <w:rPr>
          <w:lang w:val="es-ES_tradnl"/>
        </w:rPr>
        <w:t>p</w:t>
      </w:r>
      <w:r w:rsidR="00875C3A" w:rsidRPr="00CB6BB3">
        <w:rPr>
          <w:lang w:val="es-ES_tradnl"/>
        </w:rPr>
        <w:t>o parcial)</w:t>
      </w:r>
      <w:r w:rsidRPr="00CB6BB3">
        <w:rPr>
          <w:lang w:val="es-ES_tradnl"/>
        </w:rPr>
        <w:t xml:space="preserve">. </w:t>
      </w:r>
      <w:r w:rsidR="00875C3A" w:rsidRPr="00CB6BB3">
        <w:rPr>
          <w:lang w:val="es-ES_tradnl"/>
        </w:rPr>
        <w:t xml:space="preserve">Además, en empresas pequeñas, el derecho al empleo a tiempo parcial de los padres puede </w:t>
      </w:r>
      <w:r w:rsidR="00C032B5" w:rsidRPr="00CB6BB3">
        <w:rPr>
          <w:lang w:val="es-ES_tradnl"/>
        </w:rPr>
        <w:t>definirse en una concertación con la empresa. Los padres pueden volver a trabajar a tiempo completo y gozar de protección especial tanto contra</w:t>
      </w:r>
      <w:r w:rsidRPr="00CB6BB3">
        <w:rPr>
          <w:lang w:val="es-ES_tradnl"/>
        </w:rPr>
        <w:t xml:space="preserve"> </w:t>
      </w:r>
      <w:r w:rsidR="00C032B5" w:rsidRPr="00CB6BB3">
        <w:rPr>
          <w:lang w:val="es-ES_tradnl"/>
        </w:rPr>
        <w:t>el preaviso de despido como contra el despido</w:t>
      </w:r>
      <w:r w:rsidRPr="00CB6BB3">
        <w:rPr>
          <w:lang w:val="es-ES_tradnl"/>
        </w:rPr>
        <w:t xml:space="preserve">. </w:t>
      </w:r>
      <w:r w:rsidR="00C032B5" w:rsidRPr="00CB6BB3">
        <w:rPr>
          <w:lang w:val="es-ES_tradnl"/>
        </w:rPr>
        <w:t>Ambos progenitores pueden pedir el empleo a tiempo parcial simultáneamente</w:t>
      </w:r>
      <w:r w:rsidRPr="00CB6BB3">
        <w:rPr>
          <w:lang w:val="es-ES_tradnl"/>
        </w:rPr>
        <w:t xml:space="preserve">. </w:t>
      </w:r>
      <w:r w:rsidR="00C032B5" w:rsidRPr="00CB6BB3">
        <w:rPr>
          <w:lang w:val="es-ES_tradnl"/>
        </w:rPr>
        <w:t>Una evaluación ha demostrado una tendencia favorable</w:t>
      </w:r>
      <w:r w:rsidR="00660AFB" w:rsidRPr="00CB6BB3">
        <w:rPr>
          <w:lang w:val="es-ES_tradnl"/>
        </w:rPr>
        <w:t>, pues crece</w:t>
      </w:r>
      <w:r w:rsidRPr="00CB6BB3">
        <w:rPr>
          <w:lang w:val="es-ES_tradnl"/>
        </w:rPr>
        <w:t xml:space="preserve"> </w:t>
      </w:r>
      <w:r w:rsidR="00660AFB" w:rsidRPr="00CB6BB3">
        <w:rPr>
          <w:lang w:val="es-ES_tradnl"/>
        </w:rPr>
        <w:t>el número de padres que aprovecha</w:t>
      </w:r>
      <w:r w:rsidR="00C032B5" w:rsidRPr="00CB6BB3">
        <w:rPr>
          <w:lang w:val="es-ES_tradnl"/>
        </w:rPr>
        <w:t xml:space="preserve"> su derecho a trabajar a tiempo parcial, aunque </w:t>
      </w:r>
      <w:r w:rsidR="00660AFB" w:rsidRPr="00CB6BB3">
        <w:rPr>
          <w:lang w:val="es-ES_tradnl"/>
        </w:rPr>
        <w:t>el número sigue siendo modesto</w:t>
      </w:r>
      <w:r w:rsidRPr="00CB6BB3">
        <w:rPr>
          <w:lang w:val="es-ES_tradnl"/>
        </w:rPr>
        <w:t>.</w:t>
      </w:r>
    </w:p>
    <w:p w:rsidR="005E49B6" w:rsidRPr="00CB6BB3" w:rsidRDefault="00F6678A" w:rsidP="005E49B6">
      <w:pPr>
        <w:pStyle w:val="SingleTxtG"/>
        <w:rPr>
          <w:lang w:val="es-ES_tradnl"/>
        </w:rPr>
      </w:pPr>
      <w:r w:rsidRPr="00CB6BB3">
        <w:rPr>
          <w:lang w:val="es-ES_tradnl"/>
        </w:rPr>
        <w:t>48.</w:t>
      </w:r>
      <w:r w:rsidRPr="00CB6BB3">
        <w:rPr>
          <w:lang w:val="es-ES_tradnl"/>
        </w:rPr>
        <w:tab/>
        <w:t>Atención de salud en el hogar</w:t>
      </w:r>
      <w:r w:rsidR="005E49B6" w:rsidRPr="00CB6BB3">
        <w:rPr>
          <w:lang w:val="es-ES_tradnl"/>
        </w:rPr>
        <w:t xml:space="preserve">: </w:t>
      </w:r>
      <w:r w:rsidRPr="00CB6BB3">
        <w:rPr>
          <w:lang w:val="es-ES_tradnl"/>
        </w:rPr>
        <w:t>en virtud de una e</w:t>
      </w:r>
      <w:r w:rsidR="00660AFB" w:rsidRPr="00CB6BB3">
        <w:rPr>
          <w:lang w:val="es-ES_tradnl"/>
        </w:rPr>
        <w:t>nmienda a la ley pertinente</w:t>
      </w:r>
      <w:r w:rsidRPr="00CB6BB3">
        <w:rPr>
          <w:lang w:val="es-ES_tradnl"/>
        </w:rPr>
        <w:t>, se prolongó a un máximo de nueve meses la duración general de la atención de salud en el domicilio de un hijo que padece una enfermedad sumamente grave</w:t>
      </w:r>
      <w:r w:rsidR="005E49B6" w:rsidRPr="00CB6BB3">
        <w:rPr>
          <w:lang w:val="es-ES_tradnl"/>
        </w:rPr>
        <w:t xml:space="preserve">. </w:t>
      </w:r>
      <w:r w:rsidRPr="00CB6BB3">
        <w:rPr>
          <w:lang w:val="es-ES_tradnl"/>
        </w:rPr>
        <w:t>El derecho a cuidar a un miembro de la familia con una enfermedad</w:t>
      </w:r>
      <w:r w:rsidR="009D25A7" w:rsidRPr="00CB6BB3">
        <w:rPr>
          <w:lang w:val="es-ES_tradnl"/>
        </w:rPr>
        <w:t xml:space="preserve"> terminal </w:t>
      </w:r>
      <w:r w:rsidRPr="00CB6BB3">
        <w:rPr>
          <w:lang w:val="es-ES_tradnl"/>
        </w:rPr>
        <w:t xml:space="preserve">ha sido concedido también a padres adoptivos y a padres de acogida, </w:t>
      </w:r>
      <w:r w:rsidR="00660AFB" w:rsidRPr="00CB6BB3">
        <w:rPr>
          <w:lang w:val="es-ES_tradnl"/>
        </w:rPr>
        <w:t>así como a hijos adoptivos e hijos de la pareja</w:t>
      </w:r>
      <w:r w:rsidR="00C44571" w:rsidRPr="00CB6BB3">
        <w:rPr>
          <w:lang w:val="es-ES_tradnl"/>
        </w:rPr>
        <w:t xml:space="preserve"> de hecho</w:t>
      </w:r>
      <w:r w:rsidR="00660AFB" w:rsidRPr="00CB6BB3">
        <w:rPr>
          <w:lang w:val="es-ES_tradnl"/>
        </w:rPr>
        <w:t xml:space="preserve">, </w:t>
      </w:r>
      <w:r w:rsidRPr="00CB6BB3">
        <w:rPr>
          <w:lang w:val="es-ES_tradnl"/>
        </w:rPr>
        <w:t xml:space="preserve">y desde </w:t>
      </w:r>
      <w:r w:rsidR="005E49B6" w:rsidRPr="00CB6BB3">
        <w:rPr>
          <w:lang w:val="es-ES_tradnl"/>
        </w:rPr>
        <w:t>2010</w:t>
      </w:r>
      <w:r w:rsidR="00660AFB" w:rsidRPr="00CB6BB3">
        <w:rPr>
          <w:lang w:val="es-ES_tradnl"/>
        </w:rPr>
        <w:t>,</w:t>
      </w:r>
      <w:r w:rsidR="005E49B6" w:rsidRPr="00CB6BB3">
        <w:rPr>
          <w:lang w:val="es-ES_tradnl"/>
        </w:rPr>
        <w:t xml:space="preserve"> </w:t>
      </w:r>
      <w:r w:rsidRPr="00CB6BB3">
        <w:rPr>
          <w:lang w:val="es-ES_tradnl"/>
        </w:rPr>
        <w:t xml:space="preserve">también a </w:t>
      </w:r>
      <w:r w:rsidR="00660AFB" w:rsidRPr="00CB6BB3">
        <w:rPr>
          <w:lang w:val="es-ES_tradnl"/>
        </w:rPr>
        <w:t xml:space="preserve">las </w:t>
      </w:r>
      <w:r w:rsidR="00C44571" w:rsidRPr="00CB6BB3">
        <w:rPr>
          <w:lang w:val="es-ES_tradnl"/>
        </w:rPr>
        <w:t>parejas inscrit</w:t>
      </w:r>
      <w:r w:rsidRPr="00CB6BB3">
        <w:rPr>
          <w:lang w:val="es-ES_tradnl"/>
        </w:rPr>
        <w:t>as y, en principio, a sus hijos</w:t>
      </w:r>
      <w:r w:rsidR="005E49B6" w:rsidRPr="00CB6BB3">
        <w:rPr>
          <w:lang w:val="es-ES_tradnl"/>
        </w:rPr>
        <w:t>.</w:t>
      </w:r>
    </w:p>
    <w:p w:rsidR="005E49B6" w:rsidRPr="00CB6BB3" w:rsidRDefault="005E49B6" w:rsidP="005E49B6">
      <w:pPr>
        <w:pStyle w:val="SingleTxtG"/>
        <w:rPr>
          <w:lang w:val="es-ES_tradnl"/>
        </w:rPr>
      </w:pPr>
      <w:r w:rsidRPr="00CB6BB3">
        <w:rPr>
          <w:lang w:val="es-ES_tradnl"/>
        </w:rPr>
        <w:t>49.</w:t>
      </w:r>
      <w:r w:rsidRPr="00CB6BB3">
        <w:rPr>
          <w:lang w:val="es-ES_tradnl"/>
        </w:rPr>
        <w:tab/>
      </w:r>
      <w:r w:rsidR="00275DF5" w:rsidRPr="00CB6BB3">
        <w:rPr>
          <w:lang w:val="es-ES_tradnl"/>
        </w:rPr>
        <w:t xml:space="preserve">Políticas del mercado de trabajo para la reintegración a la vida laboral: las mujeres que </w:t>
      </w:r>
      <w:r w:rsidR="00C44571" w:rsidRPr="00CB6BB3">
        <w:rPr>
          <w:lang w:val="es-ES_tradnl"/>
        </w:rPr>
        <w:t xml:space="preserve">han </w:t>
      </w:r>
      <w:r w:rsidR="00275DF5" w:rsidRPr="00CB6BB3">
        <w:rPr>
          <w:lang w:val="es-ES_tradnl"/>
        </w:rPr>
        <w:t xml:space="preserve">interrumpido su carrera por razones familiares reciben apoyo a través de </w:t>
      </w:r>
      <w:r w:rsidR="00C44571" w:rsidRPr="00CB6BB3">
        <w:rPr>
          <w:lang w:val="es-ES_tradnl"/>
        </w:rPr>
        <w:t xml:space="preserve">los </w:t>
      </w:r>
      <w:r w:rsidR="00275DF5" w:rsidRPr="00CB6BB3">
        <w:rPr>
          <w:lang w:val="es-ES_tradnl"/>
        </w:rPr>
        <w:t>servicios de orientación</w:t>
      </w:r>
      <w:r w:rsidR="00C44571" w:rsidRPr="00CB6BB3">
        <w:rPr>
          <w:lang w:val="es-ES_tradnl"/>
        </w:rPr>
        <w:t>,</w:t>
      </w:r>
      <w:r w:rsidR="00275DF5" w:rsidRPr="00CB6BB3">
        <w:rPr>
          <w:lang w:val="es-ES_tradnl"/>
        </w:rPr>
        <w:t xml:space="preserve"> que trabajan en cooperación con los centros de orientación femenina</w:t>
      </w:r>
      <w:r w:rsidR="004012D0" w:rsidRPr="00CB6BB3">
        <w:rPr>
          <w:lang w:val="es-ES_tradnl"/>
        </w:rPr>
        <w:t>,</w:t>
      </w:r>
      <w:r w:rsidR="00275DF5" w:rsidRPr="00CB6BB3">
        <w:rPr>
          <w:lang w:val="es-ES_tradnl"/>
        </w:rPr>
        <w:t xml:space="preserve"> que ofrecen programas de </w:t>
      </w:r>
      <w:r w:rsidR="00E749D5" w:rsidRPr="00CB6BB3">
        <w:rPr>
          <w:lang w:val="es-ES_tradnl"/>
        </w:rPr>
        <w:t>perfeccionamiento</w:t>
      </w:r>
      <w:r w:rsidRPr="00CB6BB3">
        <w:rPr>
          <w:lang w:val="es-ES_tradnl"/>
        </w:rPr>
        <w:t xml:space="preserve">, </w:t>
      </w:r>
      <w:r w:rsidR="00275DF5" w:rsidRPr="00CB6BB3">
        <w:rPr>
          <w:lang w:val="es-ES_tradnl"/>
        </w:rPr>
        <w:t xml:space="preserve">subsidios para el cuidado infantil y prestaciones de reintegración para facilitar su reincorporación a la vida laboral. </w:t>
      </w:r>
      <w:r w:rsidR="00292F6E" w:rsidRPr="00CB6BB3">
        <w:rPr>
          <w:lang w:val="es-ES_tradnl"/>
        </w:rPr>
        <w:t>Como cuestión de principio, quienes (aún) gozan de una licencia parental también pueden recibir formación profesional</w:t>
      </w:r>
      <w:r w:rsidRPr="00CB6BB3">
        <w:rPr>
          <w:lang w:val="es-ES_tradnl"/>
        </w:rPr>
        <w:t xml:space="preserve">. </w:t>
      </w:r>
      <w:r w:rsidR="00292F6E" w:rsidRPr="00CB6BB3">
        <w:rPr>
          <w:lang w:val="es-ES_tradnl"/>
        </w:rPr>
        <w:t xml:space="preserve">El programa </w:t>
      </w:r>
      <w:r w:rsidR="00C70626">
        <w:rPr>
          <w:lang w:val="es-ES_tradnl"/>
        </w:rPr>
        <w:t>"</w:t>
      </w:r>
      <w:r w:rsidRPr="00CB6BB3">
        <w:rPr>
          <w:lang w:val="es-ES_tradnl"/>
        </w:rPr>
        <w:t>Re</w:t>
      </w:r>
      <w:r w:rsidR="00292F6E" w:rsidRPr="00CB6BB3">
        <w:rPr>
          <w:lang w:val="es-ES_tradnl"/>
        </w:rPr>
        <w:t>incorporación con perspectivas de futuro</w:t>
      </w:r>
      <w:r w:rsidR="00C70626">
        <w:rPr>
          <w:lang w:val="es-ES_tradnl"/>
        </w:rPr>
        <w:t>"</w:t>
      </w:r>
      <w:r w:rsidRPr="00CB6BB3">
        <w:rPr>
          <w:lang w:val="es-ES_tradnl"/>
        </w:rPr>
        <w:t xml:space="preserve"> </w:t>
      </w:r>
      <w:r w:rsidR="00292F6E" w:rsidRPr="00CB6BB3">
        <w:rPr>
          <w:lang w:val="es-ES_tradnl"/>
        </w:rPr>
        <w:t xml:space="preserve">fue concebido especialmente para la mujer, y consta de módulos de reorientación, un plan de formación suplementaria y de apoyo personalizado mientras </w:t>
      </w:r>
      <w:r w:rsidR="004012D0" w:rsidRPr="00CB6BB3">
        <w:rPr>
          <w:lang w:val="es-ES_tradnl"/>
        </w:rPr>
        <w:t>se busca</w:t>
      </w:r>
      <w:r w:rsidR="00292F6E" w:rsidRPr="00CB6BB3">
        <w:rPr>
          <w:lang w:val="es-ES_tradnl"/>
        </w:rPr>
        <w:t xml:space="preserve"> trabajo</w:t>
      </w:r>
      <w:r w:rsidRPr="00CB6BB3">
        <w:rPr>
          <w:lang w:val="es-ES_tradnl"/>
        </w:rPr>
        <w:t xml:space="preserve">. </w:t>
      </w:r>
      <w:r w:rsidR="00292F6E" w:rsidRPr="00CB6BB3">
        <w:rPr>
          <w:lang w:val="es-ES_tradnl"/>
        </w:rPr>
        <w:t>E</w:t>
      </w:r>
      <w:r w:rsidRPr="00CB6BB3">
        <w:rPr>
          <w:lang w:val="es-ES_tradnl"/>
        </w:rPr>
        <w:t xml:space="preserve">n 2009, </w:t>
      </w:r>
      <w:r w:rsidR="00292F6E" w:rsidRPr="00CB6BB3">
        <w:rPr>
          <w:lang w:val="es-ES_tradnl"/>
        </w:rPr>
        <w:t>unas 29.</w:t>
      </w:r>
      <w:r w:rsidRPr="00CB6BB3">
        <w:rPr>
          <w:lang w:val="es-ES_tradnl"/>
        </w:rPr>
        <w:t xml:space="preserve">100 </w:t>
      </w:r>
      <w:r w:rsidR="00292F6E" w:rsidRPr="00CB6BB3">
        <w:rPr>
          <w:lang w:val="es-ES_tradnl"/>
        </w:rPr>
        <w:t>mujeres en proceso de reincorporación al mercado laboral (un 6,3</w:t>
      </w:r>
      <w:r w:rsidR="00B34FFF">
        <w:rPr>
          <w:lang w:val="es-ES_tradnl"/>
        </w:rPr>
        <w:t>%</w:t>
      </w:r>
      <w:r w:rsidR="00292F6E" w:rsidRPr="00CB6BB3">
        <w:rPr>
          <w:lang w:val="es-ES_tradnl"/>
        </w:rPr>
        <w:t xml:space="preserve"> más que en 2008</w:t>
      </w:r>
      <w:r w:rsidRPr="00CB6BB3">
        <w:rPr>
          <w:lang w:val="es-ES_tradnl"/>
        </w:rPr>
        <w:t xml:space="preserve">) </w:t>
      </w:r>
      <w:r w:rsidR="00292F6E" w:rsidRPr="00CB6BB3">
        <w:rPr>
          <w:lang w:val="es-ES_tradnl"/>
        </w:rPr>
        <w:t>se beneficiaron de medidas de promoción</w:t>
      </w:r>
      <w:r w:rsidRPr="00CB6BB3">
        <w:rPr>
          <w:lang w:val="es-ES_tradnl"/>
        </w:rPr>
        <w:t xml:space="preserve">, </w:t>
      </w:r>
      <w:r w:rsidR="00292F6E" w:rsidRPr="00CB6BB3">
        <w:rPr>
          <w:lang w:val="es-ES_tradnl"/>
        </w:rPr>
        <w:t xml:space="preserve">en </w:t>
      </w:r>
      <w:r w:rsidRPr="00CB6BB3">
        <w:rPr>
          <w:lang w:val="es-ES_tradnl"/>
        </w:rPr>
        <w:t>especial</w:t>
      </w:r>
      <w:r w:rsidR="00292F6E" w:rsidRPr="00CB6BB3">
        <w:rPr>
          <w:lang w:val="es-ES_tradnl"/>
        </w:rPr>
        <w:t>, de cursos</w:t>
      </w:r>
      <w:r w:rsidR="00E749D5" w:rsidRPr="00CB6BB3">
        <w:rPr>
          <w:lang w:val="es-ES_tradnl"/>
        </w:rPr>
        <w:t xml:space="preserve"> de perfeccionamiento (21.</w:t>
      </w:r>
      <w:r w:rsidRPr="00CB6BB3">
        <w:rPr>
          <w:lang w:val="es-ES_tradnl"/>
        </w:rPr>
        <w:t xml:space="preserve">900). </w:t>
      </w:r>
      <w:r w:rsidR="00241F60" w:rsidRPr="00CB6BB3">
        <w:rPr>
          <w:lang w:val="es-ES_tradnl"/>
        </w:rPr>
        <w:t>Los subsidios destinados a las guarderías infantiles han propiciado la habilitación de plazas adicionales en los establecimientos, así como la contratación de más personal</w:t>
      </w:r>
      <w:r w:rsidRPr="00CB6BB3">
        <w:rPr>
          <w:lang w:val="es-ES_tradnl"/>
        </w:rPr>
        <w:t>.</w:t>
      </w:r>
    </w:p>
    <w:p w:rsidR="005E49B6" w:rsidRPr="00CB6BB3" w:rsidRDefault="00241F60" w:rsidP="005E49B6">
      <w:pPr>
        <w:pStyle w:val="SingleTxtG"/>
        <w:rPr>
          <w:lang w:val="es-ES_tradnl"/>
        </w:rPr>
      </w:pPr>
      <w:r w:rsidRPr="00CB6BB3">
        <w:rPr>
          <w:lang w:val="es-ES_tradnl"/>
        </w:rPr>
        <w:t>50.</w:t>
      </w:r>
      <w:r w:rsidRPr="00CB6BB3">
        <w:rPr>
          <w:lang w:val="es-ES_tradnl"/>
        </w:rPr>
        <w:tab/>
        <w:t>Entre 2008 y</w:t>
      </w:r>
      <w:r w:rsidR="005E49B6" w:rsidRPr="00CB6BB3">
        <w:rPr>
          <w:lang w:val="es-ES_tradnl"/>
        </w:rPr>
        <w:t xml:space="preserve"> 2010, </w:t>
      </w:r>
      <w:r w:rsidRPr="00CB6BB3">
        <w:rPr>
          <w:lang w:val="es-ES_tradnl"/>
        </w:rPr>
        <w:t xml:space="preserve">el Gobierno </w:t>
      </w:r>
      <w:r w:rsidR="005E49B6" w:rsidRPr="00CB6BB3">
        <w:rPr>
          <w:lang w:val="es-ES_tradnl"/>
        </w:rPr>
        <w:t xml:space="preserve">Federal </w:t>
      </w:r>
      <w:r w:rsidRPr="00CB6BB3">
        <w:rPr>
          <w:lang w:val="es-ES_tradnl"/>
        </w:rPr>
        <w:t>puso a disposición la suma de 45 mill</w:t>
      </w:r>
      <w:r w:rsidR="005E49B6" w:rsidRPr="00CB6BB3">
        <w:rPr>
          <w:lang w:val="es-ES_tradnl"/>
        </w:rPr>
        <w:t>on</w:t>
      </w:r>
      <w:r w:rsidRPr="00CB6BB3">
        <w:rPr>
          <w:lang w:val="es-ES_tradnl"/>
        </w:rPr>
        <w:t>es</w:t>
      </w:r>
      <w:r w:rsidR="005E49B6" w:rsidRPr="00CB6BB3">
        <w:rPr>
          <w:lang w:val="es-ES_tradnl"/>
        </w:rPr>
        <w:t xml:space="preserve"> </w:t>
      </w:r>
      <w:r w:rsidRPr="00CB6BB3">
        <w:rPr>
          <w:lang w:val="es-ES_tradnl"/>
        </w:rPr>
        <w:t xml:space="preserve">de </w:t>
      </w:r>
      <w:r w:rsidR="005E49B6" w:rsidRPr="00CB6BB3">
        <w:rPr>
          <w:lang w:val="es-ES_tradnl"/>
        </w:rPr>
        <w:t>euro</w:t>
      </w:r>
      <w:r w:rsidRPr="00CB6BB3">
        <w:rPr>
          <w:lang w:val="es-ES_tradnl"/>
        </w:rPr>
        <w:t xml:space="preserve">s para la ampliación de las guarderías infantiles, en especial para niños menores de </w:t>
      </w:r>
      <w:r w:rsidR="002879BD">
        <w:rPr>
          <w:lang w:val="es-ES_tradnl"/>
        </w:rPr>
        <w:t xml:space="preserve">3 </w:t>
      </w:r>
      <w:r w:rsidRPr="00CB6BB3">
        <w:rPr>
          <w:lang w:val="es-ES_tradnl"/>
        </w:rPr>
        <w:t>años de edad</w:t>
      </w:r>
      <w:r w:rsidR="005E49B6" w:rsidRPr="00CB6BB3">
        <w:rPr>
          <w:lang w:val="es-ES_tradnl"/>
        </w:rPr>
        <w:t xml:space="preserve">. </w:t>
      </w:r>
      <w:r w:rsidRPr="00CB6BB3">
        <w:rPr>
          <w:lang w:val="es-ES_tradnl"/>
        </w:rPr>
        <w:t xml:space="preserve">Con miras a ofrecer a todos los niños las mejores </w:t>
      </w:r>
      <w:r w:rsidR="00C44571" w:rsidRPr="00CB6BB3">
        <w:rPr>
          <w:lang w:val="es-ES_tradnl"/>
        </w:rPr>
        <w:t>o</w:t>
      </w:r>
      <w:r w:rsidRPr="00CB6BB3">
        <w:rPr>
          <w:lang w:val="es-ES_tradnl"/>
        </w:rPr>
        <w:t>p</w:t>
      </w:r>
      <w:r w:rsidR="00C44571" w:rsidRPr="00CB6BB3">
        <w:rPr>
          <w:lang w:val="es-ES_tradnl"/>
        </w:rPr>
        <w:t>cion</w:t>
      </w:r>
      <w:r w:rsidRPr="00CB6BB3">
        <w:rPr>
          <w:lang w:val="es-ES_tradnl"/>
        </w:rPr>
        <w:t xml:space="preserve">es educativas y </w:t>
      </w:r>
      <w:r w:rsidR="00C44571" w:rsidRPr="00CB6BB3">
        <w:rPr>
          <w:lang w:val="es-ES_tradnl"/>
        </w:rPr>
        <w:t xml:space="preserve">posibilidades de sentar las bases de la futura vida </w:t>
      </w:r>
      <w:r w:rsidRPr="00CB6BB3">
        <w:rPr>
          <w:lang w:val="es-ES_tradnl"/>
        </w:rPr>
        <w:t>laboral</w:t>
      </w:r>
      <w:r w:rsidR="005E49B6" w:rsidRPr="00CB6BB3">
        <w:rPr>
          <w:lang w:val="es-ES_tradnl"/>
        </w:rPr>
        <w:t xml:space="preserve">, </w:t>
      </w:r>
      <w:r w:rsidRPr="00CB6BB3">
        <w:rPr>
          <w:lang w:val="es-ES_tradnl"/>
        </w:rPr>
        <w:t xml:space="preserve">independientemente de su situación socioeconómica, el Gobierno </w:t>
      </w:r>
      <w:r w:rsidR="005E49B6" w:rsidRPr="00CB6BB3">
        <w:rPr>
          <w:lang w:val="es-ES_tradnl"/>
        </w:rPr>
        <w:t xml:space="preserve">Federal </w:t>
      </w:r>
      <w:r w:rsidRPr="00CB6BB3">
        <w:rPr>
          <w:lang w:val="es-ES_tradnl"/>
        </w:rPr>
        <w:t>también facilitó 70 mill</w:t>
      </w:r>
      <w:r w:rsidR="005E49B6" w:rsidRPr="00CB6BB3">
        <w:rPr>
          <w:lang w:val="es-ES_tradnl"/>
        </w:rPr>
        <w:t>on</w:t>
      </w:r>
      <w:r w:rsidRPr="00CB6BB3">
        <w:rPr>
          <w:lang w:val="es-ES_tradnl"/>
        </w:rPr>
        <w:t xml:space="preserve">es de euros </w:t>
      </w:r>
      <w:r w:rsidR="00E4675F" w:rsidRPr="00CB6BB3">
        <w:rPr>
          <w:lang w:val="es-ES_tradnl"/>
        </w:rPr>
        <w:t>para</w:t>
      </w:r>
      <w:r w:rsidRPr="00CB6BB3">
        <w:rPr>
          <w:lang w:val="es-ES_tradnl"/>
        </w:rPr>
        <w:t xml:space="preserve"> las escuelas de párvulos </w:t>
      </w:r>
      <w:r w:rsidR="00E4675F" w:rsidRPr="00CB6BB3">
        <w:rPr>
          <w:lang w:val="es-ES_tradnl"/>
        </w:rPr>
        <w:t>para todos los años desde 2009 hasta</w:t>
      </w:r>
      <w:r w:rsidR="005E49B6" w:rsidRPr="00CB6BB3">
        <w:rPr>
          <w:lang w:val="es-ES_tradnl"/>
        </w:rPr>
        <w:t xml:space="preserve"> 2013.</w:t>
      </w:r>
      <w:r w:rsidR="00E4675F" w:rsidRPr="00CB6BB3">
        <w:rPr>
          <w:lang w:val="es-ES_tradnl"/>
        </w:rPr>
        <w:t xml:space="preserve"> </w:t>
      </w:r>
      <w:r w:rsidR="00D9700D" w:rsidRPr="00CB6BB3">
        <w:rPr>
          <w:lang w:val="es-ES_tradnl"/>
        </w:rPr>
        <w:t>E</w:t>
      </w:r>
      <w:r w:rsidR="00E4675F" w:rsidRPr="00CB6BB3">
        <w:rPr>
          <w:lang w:val="es-ES_tradnl"/>
        </w:rPr>
        <w:t xml:space="preserve">stos fondos </w:t>
      </w:r>
      <w:r w:rsidR="00D9700D" w:rsidRPr="00CB6BB3">
        <w:rPr>
          <w:lang w:val="es-ES_tradnl"/>
        </w:rPr>
        <w:t xml:space="preserve">han sido asignados </w:t>
      </w:r>
      <w:r w:rsidR="005D55DD" w:rsidRPr="00CB6BB3">
        <w:rPr>
          <w:lang w:val="es-ES_tradnl"/>
        </w:rPr>
        <w:t>con miras a</w:t>
      </w:r>
      <w:r w:rsidR="00D9700D" w:rsidRPr="00CB6BB3">
        <w:rPr>
          <w:lang w:val="es-ES_tradnl"/>
        </w:rPr>
        <w:t xml:space="preserve">l cumplimiento de la media jornada gratuita obligatoria de desarrollo </w:t>
      </w:r>
      <w:r w:rsidR="00E4675F" w:rsidRPr="00CB6BB3">
        <w:rPr>
          <w:lang w:val="es-ES_tradnl"/>
        </w:rPr>
        <w:t>de las aptitudes infantiles en guarder</w:t>
      </w:r>
      <w:r w:rsidR="00D9700D" w:rsidRPr="00CB6BB3">
        <w:rPr>
          <w:lang w:val="es-ES_tradnl"/>
        </w:rPr>
        <w:t>ías</w:t>
      </w:r>
      <w:r w:rsidR="00C44571" w:rsidRPr="00CB6BB3">
        <w:rPr>
          <w:lang w:val="es-ES_tradnl"/>
        </w:rPr>
        <w:t>,</w:t>
      </w:r>
      <w:r w:rsidR="005E49B6" w:rsidRPr="00CB6BB3">
        <w:rPr>
          <w:lang w:val="es-ES_tradnl"/>
        </w:rPr>
        <w:t xml:space="preserve"> </w:t>
      </w:r>
      <w:r w:rsidR="00E4675F" w:rsidRPr="00CB6BB3">
        <w:rPr>
          <w:lang w:val="es-ES_tradnl"/>
        </w:rPr>
        <w:t>en el último año que precede a la escolarización obligatoria</w:t>
      </w:r>
      <w:r w:rsidR="005E49B6" w:rsidRPr="00CB6BB3">
        <w:rPr>
          <w:lang w:val="es-ES_tradnl"/>
        </w:rPr>
        <w:t xml:space="preserve">. </w:t>
      </w:r>
      <w:r w:rsidR="00D9700D" w:rsidRPr="00CB6BB3">
        <w:rPr>
          <w:lang w:val="es-ES_tradnl"/>
        </w:rPr>
        <w:t>A partir de septiembre de 2</w:t>
      </w:r>
      <w:r w:rsidR="005E49B6" w:rsidRPr="00CB6BB3">
        <w:rPr>
          <w:lang w:val="es-ES_tradnl"/>
        </w:rPr>
        <w:t>010</w:t>
      </w:r>
      <w:r w:rsidR="00D9700D" w:rsidRPr="00CB6BB3">
        <w:rPr>
          <w:lang w:val="es-ES_tradnl"/>
        </w:rPr>
        <w:t>, en toda Austria es obligatoria la media jornada d</w:t>
      </w:r>
      <w:r w:rsidR="00C44571" w:rsidRPr="00CB6BB3">
        <w:rPr>
          <w:lang w:val="es-ES_tradnl"/>
        </w:rPr>
        <w:t>e asistencia de los niños de es</w:t>
      </w:r>
      <w:r w:rsidR="00D9700D" w:rsidRPr="00CB6BB3">
        <w:rPr>
          <w:lang w:val="es-ES_tradnl"/>
        </w:rPr>
        <w:t>a edad</w:t>
      </w:r>
      <w:r w:rsidR="005E49B6" w:rsidRPr="00CB6BB3">
        <w:rPr>
          <w:lang w:val="es-ES_tradnl"/>
        </w:rPr>
        <w:t xml:space="preserve">. </w:t>
      </w:r>
      <w:r w:rsidR="00D9700D" w:rsidRPr="00CB6BB3">
        <w:rPr>
          <w:lang w:val="es-ES_tradnl"/>
        </w:rPr>
        <w:t>Los efectos de este servicio gratuito y de la obligación de asistir a la guardería se evaluarán de forma continua. Además, desde</w:t>
      </w:r>
      <w:r w:rsidR="005E49B6" w:rsidRPr="00CB6BB3">
        <w:rPr>
          <w:lang w:val="es-ES_tradnl"/>
        </w:rPr>
        <w:t xml:space="preserve"> 2005, </w:t>
      </w:r>
      <w:r w:rsidR="00CF72D2" w:rsidRPr="00CB6BB3">
        <w:rPr>
          <w:lang w:val="es-ES_tradnl"/>
        </w:rPr>
        <w:t xml:space="preserve">los proveedores privados reciben 700.000 </w:t>
      </w:r>
      <w:r w:rsidR="00BB2D2E" w:rsidRPr="00CB6BB3">
        <w:rPr>
          <w:lang w:val="es-ES_tradnl"/>
        </w:rPr>
        <w:t xml:space="preserve">euros </w:t>
      </w:r>
      <w:r w:rsidR="00CF72D2" w:rsidRPr="00CB6BB3">
        <w:rPr>
          <w:lang w:val="es-ES_tradnl"/>
        </w:rPr>
        <w:t>an</w:t>
      </w:r>
      <w:r w:rsidR="005E49B6" w:rsidRPr="00CB6BB3">
        <w:rPr>
          <w:lang w:val="es-ES_tradnl"/>
        </w:rPr>
        <w:t>ual</w:t>
      </w:r>
      <w:r w:rsidR="00CF72D2" w:rsidRPr="00CB6BB3">
        <w:rPr>
          <w:lang w:val="es-ES_tradnl"/>
        </w:rPr>
        <w:t xml:space="preserve">es procedentes del Fondo de Nivelación de las Cargas Familiares. Desde el 1º de septiembre de </w:t>
      </w:r>
      <w:r w:rsidR="005E49B6" w:rsidRPr="00CB6BB3">
        <w:rPr>
          <w:lang w:val="es-ES_tradnl"/>
        </w:rPr>
        <w:t>2009</w:t>
      </w:r>
      <w:r w:rsidR="00C44571" w:rsidRPr="00CB6BB3">
        <w:rPr>
          <w:lang w:val="es-ES_tradnl"/>
        </w:rPr>
        <w:t xml:space="preserve"> rigen nuev</w:t>
      </w:r>
      <w:r w:rsidR="00CF72D2" w:rsidRPr="00CB6BB3">
        <w:rPr>
          <w:lang w:val="es-ES_tradnl"/>
        </w:rPr>
        <w:t xml:space="preserve">as directrices </w:t>
      </w:r>
      <w:r w:rsidR="00C44571" w:rsidRPr="00CB6BB3">
        <w:rPr>
          <w:lang w:val="es-ES_tradnl"/>
        </w:rPr>
        <w:t>que permiten la concesión de subsidios tanto para sistemas</w:t>
      </w:r>
      <w:r w:rsidR="00CF72D2" w:rsidRPr="00CB6BB3">
        <w:rPr>
          <w:lang w:val="es-ES_tradnl"/>
        </w:rPr>
        <w:t xml:space="preserve"> empresariales </w:t>
      </w:r>
      <w:r w:rsidR="00C44571" w:rsidRPr="00CB6BB3">
        <w:rPr>
          <w:lang w:val="es-ES_tradnl"/>
        </w:rPr>
        <w:t xml:space="preserve">de atención infantil, como para la </w:t>
      </w:r>
      <w:r w:rsidR="00CF72D2" w:rsidRPr="00CB6BB3">
        <w:rPr>
          <w:lang w:val="es-ES_tradnl"/>
        </w:rPr>
        <w:t>formación de cuidadoras de niños</w:t>
      </w:r>
      <w:r w:rsidR="005E49B6" w:rsidRPr="00CB6BB3">
        <w:rPr>
          <w:lang w:val="es-ES_tradnl"/>
        </w:rPr>
        <w:t>.</w:t>
      </w:r>
    </w:p>
    <w:p w:rsidR="005E49B6" w:rsidRPr="00CB6BB3" w:rsidRDefault="005E49B6" w:rsidP="005E49B6">
      <w:pPr>
        <w:pStyle w:val="SingleTxtG"/>
        <w:rPr>
          <w:lang w:val="es-ES_tradnl"/>
        </w:rPr>
      </w:pPr>
      <w:r w:rsidRPr="00CB6BB3">
        <w:rPr>
          <w:lang w:val="es-ES_tradnl"/>
        </w:rPr>
        <w:t>51.</w:t>
      </w:r>
      <w:r w:rsidRPr="00CB6BB3">
        <w:rPr>
          <w:lang w:val="es-ES_tradnl"/>
        </w:rPr>
        <w:tab/>
      </w:r>
      <w:r w:rsidR="005D741D" w:rsidRPr="00CB6BB3">
        <w:rPr>
          <w:lang w:val="es-ES_tradnl"/>
        </w:rPr>
        <w:t>En los últimos años, las tasas de asistencia a la</w:t>
      </w:r>
      <w:r w:rsidR="00BB2D2E" w:rsidRPr="00CB6BB3">
        <w:rPr>
          <w:lang w:val="es-ES_tradnl"/>
        </w:rPr>
        <w:t xml:space="preserve">s guarderías infantiles aumentaron </w:t>
      </w:r>
      <w:r w:rsidR="005D741D" w:rsidRPr="00CB6BB3">
        <w:rPr>
          <w:lang w:val="es-ES_tradnl"/>
        </w:rPr>
        <w:t>significativamente, pese a que sigue habiendo diferencias importantes entre regiones</w:t>
      </w:r>
      <w:r w:rsidR="00475EB0" w:rsidRPr="00CB6BB3">
        <w:rPr>
          <w:lang w:val="es-ES_tradnl"/>
        </w:rPr>
        <w:t>;</w:t>
      </w:r>
      <w:r w:rsidR="005D741D" w:rsidRPr="00CB6BB3">
        <w:rPr>
          <w:lang w:val="es-ES_tradnl"/>
        </w:rPr>
        <w:t xml:space="preserve"> p</w:t>
      </w:r>
      <w:r w:rsidR="00475EB0" w:rsidRPr="00CB6BB3">
        <w:rPr>
          <w:lang w:val="es-ES_tradnl"/>
        </w:rPr>
        <w:t xml:space="preserve">or ejemplo, en relación con </w:t>
      </w:r>
      <w:r w:rsidR="005D741D" w:rsidRPr="00CB6BB3">
        <w:rPr>
          <w:lang w:val="es-ES_tradnl"/>
        </w:rPr>
        <w:t>la hora de apertura</w:t>
      </w:r>
      <w:r w:rsidRPr="00CB6BB3">
        <w:rPr>
          <w:lang w:val="es-ES_tradnl"/>
        </w:rPr>
        <w:t xml:space="preserve">. </w:t>
      </w:r>
      <w:r w:rsidR="005D741D" w:rsidRPr="00CB6BB3">
        <w:rPr>
          <w:lang w:val="es-ES_tradnl"/>
        </w:rPr>
        <w:t xml:space="preserve">En 2009, la tasa de asistencia </w:t>
      </w:r>
      <w:r w:rsidR="00475EB0" w:rsidRPr="00CB6BB3">
        <w:rPr>
          <w:lang w:val="es-ES_tradnl"/>
        </w:rPr>
        <w:t xml:space="preserve">a guarderías en relación con el </w:t>
      </w:r>
      <w:r w:rsidR="005D741D" w:rsidRPr="00CB6BB3">
        <w:rPr>
          <w:lang w:val="es-ES_tradnl"/>
        </w:rPr>
        <w:t xml:space="preserve">grupo de edad de entre </w:t>
      </w:r>
      <w:r w:rsidR="002879BD">
        <w:rPr>
          <w:lang w:val="es-ES_tradnl"/>
        </w:rPr>
        <w:t xml:space="preserve">3 </w:t>
      </w:r>
      <w:r w:rsidR="005D741D" w:rsidRPr="00CB6BB3">
        <w:rPr>
          <w:lang w:val="es-ES_tradnl"/>
        </w:rPr>
        <w:t xml:space="preserve">y </w:t>
      </w:r>
      <w:r w:rsidR="002879BD">
        <w:rPr>
          <w:lang w:val="es-ES_tradnl"/>
        </w:rPr>
        <w:t xml:space="preserve">5 </w:t>
      </w:r>
      <w:r w:rsidR="005D741D" w:rsidRPr="00CB6BB3">
        <w:rPr>
          <w:lang w:val="es-ES_tradnl"/>
        </w:rPr>
        <w:t>años era del 88,5</w:t>
      </w:r>
      <w:r w:rsidR="00B34FFF">
        <w:rPr>
          <w:lang w:val="es-ES_tradnl"/>
        </w:rPr>
        <w:t>%</w:t>
      </w:r>
      <w:r w:rsidR="005D741D" w:rsidRPr="00CB6BB3">
        <w:rPr>
          <w:lang w:val="es-ES_tradnl"/>
        </w:rPr>
        <w:t xml:space="preserve"> </w:t>
      </w:r>
      <w:r w:rsidR="00B34FFF">
        <w:rPr>
          <w:lang w:val="es-ES_tradnl"/>
        </w:rPr>
        <w:t>—</w:t>
      </w:r>
      <w:r w:rsidR="005D741D" w:rsidRPr="00CB6BB3">
        <w:rPr>
          <w:lang w:val="es-ES_tradnl"/>
        </w:rPr>
        <w:t>sin contar</w:t>
      </w:r>
      <w:r w:rsidR="00475EB0" w:rsidRPr="00CB6BB3">
        <w:rPr>
          <w:lang w:val="es-ES_tradnl"/>
        </w:rPr>
        <w:t xml:space="preserve"> </w:t>
      </w:r>
      <w:r w:rsidR="005D741D" w:rsidRPr="00CB6BB3">
        <w:rPr>
          <w:lang w:val="es-ES_tradnl"/>
        </w:rPr>
        <w:t xml:space="preserve">cuidadoras y niños que comienzan la escolarización antes de los </w:t>
      </w:r>
      <w:r w:rsidR="00792D71">
        <w:rPr>
          <w:lang w:val="es-ES_tradnl"/>
        </w:rPr>
        <w:t xml:space="preserve">6 </w:t>
      </w:r>
      <w:r w:rsidR="005D741D" w:rsidRPr="00CB6BB3">
        <w:rPr>
          <w:lang w:val="es-ES_tradnl"/>
        </w:rPr>
        <w:t>años</w:t>
      </w:r>
      <w:r w:rsidRPr="00CB6BB3">
        <w:rPr>
          <w:lang w:val="es-ES_tradnl"/>
        </w:rPr>
        <w:t xml:space="preserve">. </w:t>
      </w:r>
      <w:r w:rsidR="005D741D" w:rsidRPr="00CB6BB3">
        <w:rPr>
          <w:lang w:val="es-ES_tradnl"/>
        </w:rPr>
        <w:t>Si tambi</w:t>
      </w:r>
      <w:r w:rsidR="000F074B" w:rsidRPr="00CB6BB3">
        <w:rPr>
          <w:lang w:val="es-ES_tradnl"/>
        </w:rPr>
        <w:t>én se toma</w:t>
      </w:r>
      <w:r w:rsidR="005D741D" w:rsidRPr="00CB6BB3">
        <w:rPr>
          <w:lang w:val="es-ES_tradnl"/>
        </w:rPr>
        <w:t>n en consideración estos dos grupos</w:t>
      </w:r>
      <w:r w:rsidRPr="00CB6BB3">
        <w:rPr>
          <w:lang w:val="es-ES_tradnl"/>
        </w:rPr>
        <w:t xml:space="preserve">, </w:t>
      </w:r>
      <w:r w:rsidR="005D741D" w:rsidRPr="00CB6BB3">
        <w:rPr>
          <w:lang w:val="es-ES_tradnl"/>
        </w:rPr>
        <w:t>la tasa es del 91</w:t>
      </w:r>
      <w:r w:rsidR="00B34FFF">
        <w:rPr>
          <w:lang w:val="es-ES_tradnl"/>
        </w:rPr>
        <w:t>%</w:t>
      </w:r>
      <w:r w:rsidRPr="00CB6BB3">
        <w:rPr>
          <w:lang w:val="es-ES_tradnl"/>
        </w:rPr>
        <w:t xml:space="preserve">. </w:t>
      </w:r>
      <w:r w:rsidR="005D741D" w:rsidRPr="00CB6BB3">
        <w:rPr>
          <w:lang w:val="es-ES_tradnl"/>
        </w:rPr>
        <w:t>E</w:t>
      </w:r>
      <w:r w:rsidRPr="00CB6BB3">
        <w:rPr>
          <w:lang w:val="es-ES_tradnl"/>
        </w:rPr>
        <w:t xml:space="preserve">n 2009, </w:t>
      </w:r>
      <w:r w:rsidR="005D741D" w:rsidRPr="00CB6BB3">
        <w:rPr>
          <w:lang w:val="es-ES_tradnl"/>
        </w:rPr>
        <w:t xml:space="preserve">el porcentaje de niños en la franja de edad de entre </w:t>
      </w:r>
      <w:r w:rsidR="005C668E">
        <w:rPr>
          <w:lang w:val="es-ES_tradnl"/>
        </w:rPr>
        <w:t xml:space="preserve">0 </w:t>
      </w:r>
      <w:r w:rsidR="005D741D" w:rsidRPr="00CB6BB3">
        <w:rPr>
          <w:lang w:val="es-ES_tradnl"/>
        </w:rPr>
        <w:t xml:space="preserve">y </w:t>
      </w:r>
      <w:r w:rsidR="005C668E">
        <w:rPr>
          <w:lang w:val="es-ES_tradnl"/>
        </w:rPr>
        <w:t xml:space="preserve">3 </w:t>
      </w:r>
      <w:r w:rsidR="005D741D" w:rsidRPr="00CB6BB3">
        <w:rPr>
          <w:lang w:val="es-ES_tradnl"/>
        </w:rPr>
        <w:t>años que asist</w:t>
      </w:r>
      <w:r w:rsidR="00475EB0" w:rsidRPr="00CB6BB3">
        <w:rPr>
          <w:lang w:val="es-ES_tradnl"/>
        </w:rPr>
        <w:t>ía a</w:t>
      </w:r>
      <w:r w:rsidR="005D741D" w:rsidRPr="00CB6BB3">
        <w:rPr>
          <w:lang w:val="es-ES_tradnl"/>
        </w:rPr>
        <w:t xml:space="preserve"> guardería</w:t>
      </w:r>
      <w:r w:rsidR="00475EB0" w:rsidRPr="00CB6BB3">
        <w:rPr>
          <w:lang w:val="es-ES_tradnl"/>
        </w:rPr>
        <w:t>s</w:t>
      </w:r>
      <w:r w:rsidR="005D741D" w:rsidRPr="00CB6BB3">
        <w:rPr>
          <w:lang w:val="es-ES_tradnl"/>
        </w:rPr>
        <w:t xml:space="preserve"> era del 15,</w:t>
      </w:r>
      <w:r w:rsidRPr="00CB6BB3">
        <w:rPr>
          <w:lang w:val="es-ES_tradnl"/>
        </w:rPr>
        <w:t>8</w:t>
      </w:r>
      <w:r w:rsidR="005C668E">
        <w:rPr>
          <w:lang w:val="es-ES_tradnl"/>
        </w:rPr>
        <w:t>%</w:t>
      </w:r>
      <w:r w:rsidRPr="00CB6BB3">
        <w:rPr>
          <w:lang w:val="es-ES_tradnl"/>
        </w:rPr>
        <w:t xml:space="preserve">. </w:t>
      </w:r>
      <w:r w:rsidR="005D741D" w:rsidRPr="00CB6BB3">
        <w:rPr>
          <w:lang w:val="es-ES_tradnl"/>
        </w:rPr>
        <w:t>S</w:t>
      </w:r>
      <w:r w:rsidR="00475EB0" w:rsidRPr="00CB6BB3">
        <w:rPr>
          <w:lang w:val="es-ES_tradnl"/>
        </w:rPr>
        <w:t>i</w:t>
      </w:r>
      <w:r w:rsidR="005D741D" w:rsidRPr="00CB6BB3">
        <w:rPr>
          <w:lang w:val="es-ES_tradnl"/>
        </w:rPr>
        <w:t xml:space="preserve"> se incluye a los niños de esta edad </w:t>
      </w:r>
      <w:r w:rsidR="00475EB0" w:rsidRPr="00CB6BB3">
        <w:rPr>
          <w:lang w:val="es-ES_tradnl"/>
        </w:rPr>
        <w:t>a cargo de cuidadora</w:t>
      </w:r>
      <w:r w:rsidR="005D741D" w:rsidRPr="00CB6BB3">
        <w:rPr>
          <w:lang w:val="es-ES_tradnl"/>
        </w:rPr>
        <w:t>s, esta</w:t>
      </w:r>
      <w:r w:rsidR="005C668E">
        <w:rPr>
          <w:lang w:val="es-ES_tradnl"/>
        </w:rPr>
        <w:t xml:space="preserve"> cifra asciende a alrededor del </w:t>
      </w:r>
      <w:r w:rsidR="005D741D" w:rsidRPr="00CB6BB3">
        <w:rPr>
          <w:lang w:val="es-ES_tradnl"/>
        </w:rPr>
        <w:t>18</w:t>
      </w:r>
      <w:r w:rsidR="00B34FFF">
        <w:rPr>
          <w:lang w:val="es-ES_tradnl"/>
        </w:rPr>
        <w:t>%</w:t>
      </w:r>
      <w:r w:rsidRPr="00CB6BB3">
        <w:rPr>
          <w:lang w:val="es-ES_tradnl"/>
        </w:rPr>
        <w:t>.</w:t>
      </w:r>
    </w:p>
    <w:p w:rsidR="005E49B6" w:rsidRPr="00CB6BB3" w:rsidRDefault="000F074B" w:rsidP="005E49B6">
      <w:pPr>
        <w:pStyle w:val="SingleTxtG"/>
        <w:rPr>
          <w:lang w:val="es-ES_tradnl"/>
        </w:rPr>
      </w:pPr>
      <w:r w:rsidRPr="00CB6BB3">
        <w:rPr>
          <w:lang w:val="es-ES_tradnl"/>
        </w:rPr>
        <w:t>52.</w:t>
      </w:r>
      <w:r w:rsidRPr="00CB6BB3">
        <w:rPr>
          <w:lang w:val="es-ES_tradnl"/>
        </w:rPr>
        <w:tab/>
        <w:t>En 2009 se formuló el Plan Marco para los Centros de Enseñanza Elemental, que se aplica en todas las provincias federales</w:t>
      </w:r>
      <w:r w:rsidR="005E49B6" w:rsidRPr="00CB6BB3">
        <w:rPr>
          <w:lang w:val="es-ES_tradnl"/>
        </w:rPr>
        <w:t xml:space="preserve">, </w:t>
      </w:r>
      <w:r w:rsidRPr="00CB6BB3">
        <w:rPr>
          <w:lang w:val="es-ES_tradnl"/>
        </w:rPr>
        <w:t xml:space="preserve">en relación con los niños en edades comprendidas entre los </w:t>
      </w:r>
      <w:r w:rsidR="002879BD">
        <w:rPr>
          <w:lang w:val="es-ES_tradnl"/>
        </w:rPr>
        <w:t xml:space="preserve">0 </w:t>
      </w:r>
      <w:r w:rsidRPr="00CB6BB3">
        <w:rPr>
          <w:lang w:val="es-ES_tradnl"/>
        </w:rPr>
        <w:t xml:space="preserve">y los </w:t>
      </w:r>
      <w:r w:rsidR="002879BD">
        <w:rPr>
          <w:lang w:val="es-ES_tradnl"/>
        </w:rPr>
        <w:t xml:space="preserve">6 </w:t>
      </w:r>
      <w:r w:rsidRPr="00CB6BB3">
        <w:rPr>
          <w:lang w:val="es-ES_tradnl"/>
        </w:rPr>
        <w:t>años</w:t>
      </w:r>
      <w:r w:rsidR="005E49B6" w:rsidRPr="00CB6BB3">
        <w:rPr>
          <w:lang w:val="es-ES_tradnl"/>
        </w:rPr>
        <w:t xml:space="preserve">. </w:t>
      </w:r>
      <w:r w:rsidRPr="00CB6BB3">
        <w:rPr>
          <w:lang w:val="es-ES_tradnl"/>
        </w:rPr>
        <w:t xml:space="preserve">Contiene instrucciones para </w:t>
      </w:r>
      <w:r w:rsidR="004012D0" w:rsidRPr="00CB6BB3">
        <w:rPr>
          <w:lang w:val="es-ES_tradnl"/>
        </w:rPr>
        <w:t>e</w:t>
      </w:r>
      <w:r w:rsidRPr="00CB6BB3">
        <w:rPr>
          <w:lang w:val="es-ES_tradnl"/>
        </w:rPr>
        <w:t xml:space="preserve">l personal de estos centros </w:t>
      </w:r>
      <w:r w:rsidR="00475EB0" w:rsidRPr="00CB6BB3">
        <w:rPr>
          <w:lang w:val="es-ES_tradnl"/>
        </w:rPr>
        <w:t>con miras a lograr</w:t>
      </w:r>
      <w:r w:rsidR="009B2CE6" w:rsidRPr="00CB6BB3">
        <w:rPr>
          <w:lang w:val="es-ES_tradnl"/>
        </w:rPr>
        <w:t xml:space="preserve"> el mejor </w:t>
      </w:r>
      <w:r w:rsidR="00F47A61" w:rsidRPr="00CB6BB3">
        <w:rPr>
          <w:lang w:val="es-ES_tradnl"/>
        </w:rPr>
        <w:t>adelanto</w:t>
      </w:r>
      <w:r w:rsidR="009B2CE6" w:rsidRPr="00CB6BB3">
        <w:rPr>
          <w:lang w:val="es-ES_tradnl"/>
        </w:rPr>
        <w:t xml:space="preserve"> posible de los niños</w:t>
      </w:r>
      <w:r w:rsidR="005E49B6" w:rsidRPr="00CB6BB3">
        <w:rPr>
          <w:lang w:val="es-ES_tradnl"/>
        </w:rPr>
        <w:t xml:space="preserve">. </w:t>
      </w:r>
      <w:r w:rsidR="00475EB0" w:rsidRPr="00CB6BB3">
        <w:rPr>
          <w:lang w:val="es-ES_tradnl"/>
        </w:rPr>
        <w:t>U</w:t>
      </w:r>
      <w:r w:rsidR="009B2CE6" w:rsidRPr="00CB6BB3">
        <w:rPr>
          <w:lang w:val="es-ES_tradnl"/>
        </w:rPr>
        <w:t xml:space="preserve">n principio básico que </w:t>
      </w:r>
      <w:r w:rsidR="00475EB0" w:rsidRPr="00CB6BB3">
        <w:rPr>
          <w:lang w:val="es-ES_tradnl"/>
        </w:rPr>
        <w:t xml:space="preserve">se aplica </w:t>
      </w:r>
      <w:r w:rsidR="009B2CE6" w:rsidRPr="00CB6BB3">
        <w:rPr>
          <w:lang w:val="es-ES_tradnl"/>
        </w:rPr>
        <w:t>es el de la sensibilidad hacia las cuestiones de género</w:t>
      </w:r>
      <w:r w:rsidR="005E49B6" w:rsidRPr="00CB6BB3">
        <w:rPr>
          <w:rStyle w:val="FootnoteReference"/>
          <w:lang w:val="es-ES_tradnl"/>
        </w:rPr>
        <w:footnoteReference w:id="22"/>
      </w:r>
      <w:r w:rsidR="009B2CE6" w:rsidRPr="00CB6BB3">
        <w:rPr>
          <w:lang w:val="es-ES_tradnl"/>
        </w:rPr>
        <w:t>.</w:t>
      </w:r>
    </w:p>
    <w:p w:rsidR="005E49B6" w:rsidRPr="00CB6BB3" w:rsidRDefault="009D25A7" w:rsidP="005E49B6">
      <w:pPr>
        <w:pStyle w:val="SingleTxtG"/>
        <w:rPr>
          <w:lang w:val="es-ES_tradnl"/>
        </w:rPr>
      </w:pPr>
      <w:r w:rsidRPr="00CB6BB3">
        <w:rPr>
          <w:lang w:val="es-ES_tradnl"/>
        </w:rPr>
        <w:t>53.</w:t>
      </w:r>
      <w:r w:rsidRPr="00CB6BB3">
        <w:rPr>
          <w:lang w:val="es-ES_tradnl"/>
        </w:rPr>
        <w:tab/>
        <w:t xml:space="preserve">Se están construyendo más escuelas que funcionarán </w:t>
      </w:r>
      <w:r w:rsidR="00475EB0" w:rsidRPr="00CB6BB3">
        <w:rPr>
          <w:lang w:val="es-ES_tradnl"/>
        </w:rPr>
        <w:t>a jornada completa, y</w:t>
      </w:r>
      <w:r w:rsidRPr="00CB6BB3">
        <w:rPr>
          <w:lang w:val="es-ES_tradnl"/>
        </w:rPr>
        <w:t xml:space="preserve"> se promueven los </w:t>
      </w:r>
      <w:r w:rsidR="00475EB0" w:rsidRPr="00CB6BB3">
        <w:rPr>
          <w:lang w:val="es-ES_tradnl"/>
        </w:rPr>
        <w:t>servicios</w:t>
      </w:r>
      <w:r w:rsidRPr="00CB6BB3">
        <w:rPr>
          <w:lang w:val="es-ES_tradnl"/>
        </w:rPr>
        <w:t xml:space="preserve"> de </w:t>
      </w:r>
      <w:r w:rsidR="00475EB0" w:rsidRPr="00CB6BB3">
        <w:rPr>
          <w:lang w:val="es-ES_tradnl"/>
        </w:rPr>
        <w:t xml:space="preserve">atención de </w:t>
      </w:r>
      <w:r w:rsidRPr="00CB6BB3">
        <w:rPr>
          <w:lang w:val="es-ES_tradnl"/>
        </w:rPr>
        <w:t xml:space="preserve">buena calidad </w:t>
      </w:r>
      <w:r w:rsidR="00475EB0" w:rsidRPr="00CB6BB3">
        <w:rPr>
          <w:lang w:val="es-ES_tradnl"/>
        </w:rPr>
        <w:t xml:space="preserve">a </w:t>
      </w:r>
      <w:r w:rsidRPr="00CB6BB3">
        <w:rPr>
          <w:lang w:val="es-ES_tradnl"/>
        </w:rPr>
        <w:t>jornada</w:t>
      </w:r>
      <w:r w:rsidR="00475EB0" w:rsidRPr="00CB6BB3">
        <w:rPr>
          <w:lang w:val="es-ES_tradnl"/>
        </w:rPr>
        <w:t xml:space="preserve"> completa</w:t>
      </w:r>
      <w:r w:rsidRPr="00CB6BB3">
        <w:rPr>
          <w:lang w:val="es-ES_tradnl"/>
        </w:rPr>
        <w:t>. E</w:t>
      </w:r>
      <w:r w:rsidR="005E49B6" w:rsidRPr="00CB6BB3">
        <w:rPr>
          <w:lang w:val="es-ES_tradnl"/>
        </w:rPr>
        <w:t>n 2007/</w:t>
      </w:r>
      <w:r w:rsidRPr="00CB6BB3">
        <w:rPr>
          <w:lang w:val="es-ES_tradnl"/>
        </w:rPr>
        <w:t>20</w:t>
      </w:r>
      <w:r w:rsidR="005E49B6" w:rsidRPr="00CB6BB3">
        <w:rPr>
          <w:lang w:val="es-ES_tradnl"/>
        </w:rPr>
        <w:t xml:space="preserve">08, </w:t>
      </w:r>
      <w:r w:rsidR="00E30CE1" w:rsidRPr="00CB6BB3">
        <w:rPr>
          <w:lang w:val="es-ES_tradnl"/>
        </w:rPr>
        <w:t xml:space="preserve">se puso en marcha </w:t>
      </w:r>
      <w:r w:rsidRPr="00CB6BB3">
        <w:rPr>
          <w:lang w:val="es-ES_tradnl"/>
        </w:rPr>
        <w:t xml:space="preserve">la campaña </w:t>
      </w:r>
      <w:r w:rsidR="00C70626">
        <w:rPr>
          <w:lang w:val="es-ES_tradnl"/>
        </w:rPr>
        <w:t>"</w:t>
      </w:r>
      <w:r w:rsidR="00E30CE1" w:rsidRPr="00CB6BB3">
        <w:rPr>
          <w:lang w:val="es-ES_tradnl"/>
        </w:rPr>
        <w:t>Atención escolar de buena calidad durante toda la jornada</w:t>
      </w:r>
      <w:r w:rsidR="00C70626">
        <w:rPr>
          <w:lang w:val="es-ES_tradnl"/>
        </w:rPr>
        <w:t>"</w:t>
      </w:r>
      <w:r w:rsidR="005E49B6" w:rsidRPr="00CB6BB3">
        <w:rPr>
          <w:lang w:val="es-ES_tradnl"/>
        </w:rPr>
        <w:t xml:space="preserve">: </w:t>
      </w:r>
      <w:r w:rsidR="00E30CE1" w:rsidRPr="00CB6BB3">
        <w:rPr>
          <w:lang w:val="es-ES_tradnl"/>
        </w:rPr>
        <w:t>una escuela puede someter</w:t>
      </w:r>
      <w:r w:rsidR="00475EB0" w:rsidRPr="00CB6BB3">
        <w:rPr>
          <w:lang w:val="es-ES_tradnl"/>
        </w:rPr>
        <w:t>se</w:t>
      </w:r>
      <w:r w:rsidR="00E30CE1" w:rsidRPr="00CB6BB3">
        <w:rPr>
          <w:lang w:val="es-ES_tradnl"/>
        </w:rPr>
        <w:t xml:space="preserve"> voluntariamente </w:t>
      </w:r>
      <w:r w:rsidR="00475EB0" w:rsidRPr="00CB6BB3">
        <w:rPr>
          <w:lang w:val="es-ES_tradnl"/>
        </w:rPr>
        <w:t xml:space="preserve">a un control de calidad como </w:t>
      </w:r>
      <w:r w:rsidR="00E30CE1" w:rsidRPr="00CB6BB3">
        <w:rPr>
          <w:lang w:val="es-ES_tradnl"/>
        </w:rPr>
        <w:t xml:space="preserve">servicio de </w:t>
      </w:r>
      <w:r w:rsidR="00475EB0" w:rsidRPr="00CB6BB3">
        <w:rPr>
          <w:lang w:val="es-ES_tradnl"/>
        </w:rPr>
        <w:t>atención a</w:t>
      </w:r>
      <w:r w:rsidR="00E30CE1" w:rsidRPr="00CB6BB3">
        <w:rPr>
          <w:lang w:val="es-ES_tradnl"/>
        </w:rPr>
        <w:t xml:space="preserve"> jornada completa, y obtener un sello de calidad</w:t>
      </w:r>
      <w:r w:rsidR="005E49B6" w:rsidRPr="00CB6BB3">
        <w:rPr>
          <w:lang w:val="es-ES_tradnl"/>
        </w:rPr>
        <w:t>.</w:t>
      </w:r>
    </w:p>
    <w:p w:rsidR="005E49B6" w:rsidRPr="00CB6BB3" w:rsidRDefault="005E49B6" w:rsidP="005E49B6">
      <w:pPr>
        <w:pStyle w:val="SingleTxtG"/>
        <w:rPr>
          <w:lang w:val="es-ES_tradnl"/>
        </w:rPr>
      </w:pPr>
      <w:r w:rsidRPr="00CB6BB3">
        <w:rPr>
          <w:lang w:val="es-ES_tradnl"/>
        </w:rPr>
        <w:t>54.</w:t>
      </w:r>
      <w:r w:rsidRPr="00CB6BB3">
        <w:rPr>
          <w:lang w:val="es-ES_tradnl"/>
        </w:rPr>
        <w:tab/>
        <w:t>E</w:t>
      </w:r>
      <w:r w:rsidR="00E30CE1" w:rsidRPr="00CB6BB3">
        <w:rPr>
          <w:lang w:val="es-ES_tradnl"/>
        </w:rPr>
        <w:t>jemplo de las provincias federales</w:t>
      </w:r>
      <w:r w:rsidRPr="00CB6BB3">
        <w:rPr>
          <w:lang w:val="es-ES_tradnl"/>
        </w:rPr>
        <w:t xml:space="preserve">: </w:t>
      </w:r>
      <w:r w:rsidR="00E30CE1" w:rsidRPr="00CB6BB3">
        <w:rPr>
          <w:lang w:val="es-ES_tradnl"/>
        </w:rPr>
        <w:t xml:space="preserve">desde </w:t>
      </w:r>
      <w:r w:rsidRPr="00CB6BB3">
        <w:rPr>
          <w:lang w:val="es-ES_tradnl"/>
        </w:rPr>
        <w:t xml:space="preserve">2010, </w:t>
      </w:r>
      <w:r w:rsidR="00E30CE1" w:rsidRPr="00CB6BB3">
        <w:rPr>
          <w:lang w:val="es-ES_tradnl"/>
        </w:rPr>
        <w:t>la asistencia a</w:t>
      </w:r>
      <w:r w:rsidR="00C425BE">
        <w:rPr>
          <w:lang w:val="es-ES_tradnl"/>
        </w:rPr>
        <w:t xml:space="preserve"> </w:t>
      </w:r>
      <w:r w:rsidR="00E30CE1" w:rsidRPr="00CB6BB3">
        <w:rPr>
          <w:lang w:val="es-ES_tradnl"/>
        </w:rPr>
        <w:t xml:space="preserve">los jardines de infancia municipales en Viena es gratuito para los niños de entre </w:t>
      </w:r>
      <w:r w:rsidR="002879BD">
        <w:rPr>
          <w:lang w:val="es-ES_tradnl"/>
        </w:rPr>
        <w:t xml:space="preserve">0 </w:t>
      </w:r>
      <w:r w:rsidR="00E30CE1" w:rsidRPr="00CB6BB3">
        <w:rPr>
          <w:lang w:val="es-ES_tradnl"/>
        </w:rPr>
        <w:t xml:space="preserve">y </w:t>
      </w:r>
      <w:r w:rsidR="002879BD">
        <w:rPr>
          <w:lang w:val="es-ES_tradnl"/>
        </w:rPr>
        <w:t xml:space="preserve">6 </w:t>
      </w:r>
      <w:r w:rsidR="00E30CE1" w:rsidRPr="00CB6BB3">
        <w:rPr>
          <w:lang w:val="es-ES_tradnl"/>
        </w:rPr>
        <w:t>años de edad; sólo se cobra una cuantía para las comidas</w:t>
      </w:r>
      <w:r w:rsidRPr="00CB6BB3">
        <w:rPr>
          <w:lang w:val="es-ES_tradnl"/>
        </w:rPr>
        <w:t xml:space="preserve">. </w:t>
      </w:r>
      <w:r w:rsidR="00E30CE1" w:rsidRPr="00CB6BB3">
        <w:rPr>
          <w:lang w:val="es-ES_tradnl"/>
        </w:rPr>
        <w:t>El número de establecimientos de escolarización obligatoria de jornada</w:t>
      </w:r>
      <w:r w:rsidR="00475EB0" w:rsidRPr="00CB6BB3">
        <w:rPr>
          <w:lang w:val="es-ES_tradnl"/>
        </w:rPr>
        <w:t xml:space="preserve"> completa aumenta continuamente;</w:t>
      </w:r>
      <w:r w:rsidR="00E30CE1" w:rsidRPr="00CB6BB3">
        <w:rPr>
          <w:lang w:val="es-ES_tradnl"/>
        </w:rPr>
        <w:t xml:space="preserve"> también </w:t>
      </w:r>
      <w:r w:rsidR="00475EB0" w:rsidRPr="00CB6BB3">
        <w:rPr>
          <w:lang w:val="es-ES_tradnl"/>
        </w:rPr>
        <w:t xml:space="preserve">se </w:t>
      </w:r>
      <w:r w:rsidR="00E30CE1" w:rsidRPr="00CB6BB3">
        <w:rPr>
          <w:lang w:val="es-ES_tradnl"/>
        </w:rPr>
        <w:t>cuida de los niños en días festivos y en vacaciones</w:t>
      </w:r>
      <w:r w:rsidRPr="00CB6BB3">
        <w:rPr>
          <w:lang w:val="es-ES_tradnl"/>
        </w:rPr>
        <w:t>.</w:t>
      </w:r>
    </w:p>
    <w:p w:rsidR="005E49B6" w:rsidRPr="00CB6BB3" w:rsidRDefault="00E30CE1" w:rsidP="005E49B6">
      <w:pPr>
        <w:pStyle w:val="SingleTxtG"/>
        <w:rPr>
          <w:lang w:val="es-ES_tradnl"/>
        </w:rPr>
      </w:pPr>
      <w:r w:rsidRPr="00CB6BB3">
        <w:rPr>
          <w:lang w:val="es-ES_tradnl"/>
        </w:rPr>
        <w:t>55.</w:t>
      </w:r>
      <w:r w:rsidRPr="00CB6BB3">
        <w:rPr>
          <w:lang w:val="es-ES_tradnl"/>
        </w:rPr>
        <w:tab/>
        <w:t>E</w:t>
      </w:r>
      <w:r w:rsidR="005E49B6" w:rsidRPr="00CB6BB3">
        <w:rPr>
          <w:lang w:val="es-ES_tradnl"/>
        </w:rPr>
        <w:t xml:space="preserve">n </w:t>
      </w:r>
      <w:r w:rsidRPr="00CB6BB3">
        <w:rPr>
          <w:lang w:val="es-ES_tradnl"/>
        </w:rPr>
        <w:t xml:space="preserve">Baja </w:t>
      </w:r>
      <w:r w:rsidR="005E49B6" w:rsidRPr="00CB6BB3">
        <w:rPr>
          <w:lang w:val="es-ES_tradnl"/>
        </w:rPr>
        <w:t xml:space="preserve">Austria, </w:t>
      </w:r>
      <w:r w:rsidR="00000B61" w:rsidRPr="00CB6BB3">
        <w:rPr>
          <w:lang w:val="es-ES_tradnl"/>
        </w:rPr>
        <w:t>se llevó a cabo</w:t>
      </w:r>
      <w:r w:rsidRPr="00CB6BB3">
        <w:rPr>
          <w:lang w:val="es-ES_tradnl"/>
        </w:rPr>
        <w:t xml:space="preserve"> un proyecto titulado</w:t>
      </w:r>
      <w:r w:rsidR="005E49B6" w:rsidRPr="00CB6BB3">
        <w:rPr>
          <w:lang w:val="es-ES_tradnl"/>
        </w:rPr>
        <w:t xml:space="preserve"> </w:t>
      </w:r>
      <w:r w:rsidR="00C70626">
        <w:rPr>
          <w:lang w:val="es-ES_tradnl"/>
        </w:rPr>
        <w:t>"</w:t>
      </w:r>
      <w:r w:rsidR="00000B61" w:rsidRPr="00CB6BB3">
        <w:rPr>
          <w:lang w:val="es-ES_tradnl"/>
        </w:rPr>
        <w:t>Política de recursos humanos orientada a los progenitores y centrada en los padres</w:t>
      </w:r>
      <w:r w:rsidR="00C70626">
        <w:rPr>
          <w:lang w:val="es-ES_tradnl"/>
        </w:rPr>
        <w:t>"</w:t>
      </w:r>
      <w:r w:rsidR="005E49B6" w:rsidRPr="00CB6BB3">
        <w:rPr>
          <w:lang w:val="es-ES_tradnl"/>
        </w:rPr>
        <w:t xml:space="preserve"> (2008-2010)</w:t>
      </w:r>
      <w:r w:rsidRPr="00CB6BB3">
        <w:rPr>
          <w:lang w:val="es-ES_tradnl"/>
        </w:rPr>
        <w:t>,</w:t>
      </w:r>
      <w:r w:rsidR="00000B61" w:rsidRPr="00CB6BB3">
        <w:rPr>
          <w:lang w:val="es-ES_tradnl"/>
        </w:rPr>
        <w:t xml:space="preserve"> a partir del cual se adopt</w:t>
      </w:r>
      <w:r w:rsidR="004012D0" w:rsidRPr="00CB6BB3">
        <w:rPr>
          <w:lang w:val="es-ES_tradnl"/>
        </w:rPr>
        <w:t>aron diversas</w:t>
      </w:r>
      <w:r w:rsidR="00000B61" w:rsidRPr="00CB6BB3">
        <w:rPr>
          <w:lang w:val="es-ES_tradnl"/>
        </w:rPr>
        <w:t xml:space="preserve"> medidas</w:t>
      </w:r>
      <w:r w:rsidR="005E49B6" w:rsidRPr="00CB6BB3">
        <w:rPr>
          <w:rStyle w:val="FootnoteReference"/>
          <w:lang w:val="es-ES_tradnl"/>
        </w:rPr>
        <w:footnoteReference w:id="23"/>
      </w:r>
      <w:r w:rsidR="00000B61" w:rsidRPr="00CB6BB3">
        <w:rPr>
          <w:lang w:val="es-ES_tradnl"/>
        </w:rPr>
        <w:t>.</w:t>
      </w:r>
    </w:p>
    <w:p w:rsidR="00B0711D" w:rsidRPr="00827E24" w:rsidRDefault="005E49B6" w:rsidP="005C668E">
      <w:pPr>
        <w:pStyle w:val="H1G"/>
        <w:rPr>
          <w:highlight w:val="yellow"/>
        </w:rPr>
      </w:pPr>
      <w:r w:rsidRPr="00CB6BB3">
        <w:rPr>
          <w:lang w:val="es-ES_tradnl"/>
        </w:rPr>
        <w:tab/>
      </w:r>
      <w:r w:rsidRPr="00CB6BB3">
        <w:rPr>
          <w:lang w:val="es-ES_tradnl"/>
        </w:rPr>
        <w:tab/>
      </w:r>
      <w:r w:rsidR="00B0711D" w:rsidRPr="00A9474A">
        <w:t>Respuesta a las observaciones finales de los párrafos 23 y 24</w:t>
      </w:r>
      <w:r w:rsidR="00B0711D" w:rsidRPr="00A9474A">
        <w:br/>
        <w:t>Prevención y eliminación de la violencia contra la mujer</w:t>
      </w:r>
    </w:p>
    <w:p w:rsidR="00927023" w:rsidRPr="004257AD" w:rsidRDefault="00927023" w:rsidP="00927023">
      <w:pPr>
        <w:pStyle w:val="SingleTxtG"/>
        <w:rPr>
          <w:lang w:val="es-ES_tradnl"/>
        </w:rPr>
      </w:pPr>
      <w:r w:rsidRPr="004257AD">
        <w:rPr>
          <w:lang w:val="es-ES_tradnl"/>
        </w:rPr>
        <w:t>56.</w:t>
      </w:r>
      <w:r w:rsidRPr="004257AD">
        <w:rPr>
          <w:lang w:val="es-ES_tradnl"/>
        </w:rPr>
        <w:tab/>
        <w:t xml:space="preserve">La prevención y la lucha eficaces contra todas las formas de violencia contra la mujer constituyen un objetivo prioritario del Gobierno Federal. </w:t>
      </w:r>
      <w:r w:rsidR="00BB38CA">
        <w:rPr>
          <w:lang w:val="es-ES_tradnl"/>
        </w:rPr>
        <w:t>Este</w:t>
      </w:r>
      <w:r w:rsidRPr="004257AD">
        <w:rPr>
          <w:lang w:val="es-ES_tradnl"/>
        </w:rPr>
        <w:t xml:space="preserve"> enfoque integral </w:t>
      </w:r>
      <w:r w:rsidR="00BB38CA">
        <w:rPr>
          <w:lang w:val="es-ES_tradnl"/>
        </w:rPr>
        <w:t>se centra en</w:t>
      </w:r>
      <w:r w:rsidRPr="004257AD">
        <w:rPr>
          <w:lang w:val="es-ES_tradnl"/>
        </w:rPr>
        <w:t xml:space="preserve"> la violencia doméstica, el enjuiciamiento de los autores de actos de violencia, los derechos de las víctimas y la disponibilidad de apoyo para ellas, la prevención, la cooperación, la formación, la información y la</w:t>
      </w:r>
      <w:r w:rsidR="00B76931">
        <w:rPr>
          <w:lang w:val="es-ES_tradnl"/>
        </w:rPr>
        <w:t xml:space="preserve"> sensibilización</w:t>
      </w:r>
      <w:r w:rsidRPr="004257AD">
        <w:rPr>
          <w:lang w:val="es-ES_tradnl"/>
        </w:rPr>
        <w:t xml:space="preserve">. En la Ley de protección contra la violencia de 1997 se incorporaron mejoras fundamentales. </w:t>
      </w:r>
    </w:p>
    <w:p w:rsidR="00927023" w:rsidRPr="00EB182D" w:rsidRDefault="00927023" w:rsidP="00927023">
      <w:pPr>
        <w:pStyle w:val="SingleTxtG"/>
        <w:rPr>
          <w:lang w:val="es-ES_tradnl"/>
        </w:rPr>
      </w:pPr>
      <w:r w:rsidRPr="004257AD">
        <w:rPr>
          <w:lang w:val="es-ES_tradnl"/>
        </w:rPr>
        <w:t>57.</w:t>
      </w:r>
      <w:r w:rsidRPr="004257AD">
        <w:rPr>
          <w:lang w:val="es-ES_tradnl"/>
        </w:rPr>
        <w:tab/>
        <w:t>En la segunda Ley de protección contra la violencia de 2009</w:t>
      </w:r>
      <w:r w:rsidRPr="004257AD">
        <w:rPr>
          <w:rStyle w:val="FootnoteReference"/>
          <w:lang w:val="es-ES_tradnl"/>
        </w:rPr>
        <w:footnoteReference w:id="24"/>
      </w:r>
      <w:r w:rsidR="002B22BF">
        <w:rPr>
          <w:lang w:val="es-ES_tradnl"/>
        </w:rPr>
        <w:t xml:space="preserve"> se establecieron otras </w:t>
      </w:r>
      <w:r w:rsidRPr="004257AD">
        <w:rPr>
          <w:lang w:val="es-ES_tradnl"/>
        </w:rPr>
        <w:t xml:space="preserve">medidas importantes. </w:t>
      </w:r>
      <w:bookmarkStart w:id="0" w:name="OLE_LINK1"/>
      <w:bookmarkStart w:id="1" w:name="OLE_LINK2"/>
      <w:r w:rsidR="009C3DBC">
        <w:rPr>
          <w:lang w:val="es-ES_tradnl"/>
        </w:rPr>
        <w:t>Fueron tipificados como delito</w:t>
      </w:r>
      <w:r w:rsidR="009C3DBC" w:rsidRPr="004257AD">
        <w:rPr>
          <w:rStyle w:val="FootnoteReference"/>
          <w:lang w:val="es-ES_tradnl"/>
        </w:rPr>
        <w:footnoteReference w:id="25"/>
      </w:r>
      <w:r w:rsidR="009C3DBC">
        <w:rPr>
          <w:lang w:val="es-ES_tradnl"/>
        </w:rPr>
        <w:t xml:space="preserve"> l</w:t>
      </w:r>
      <w:r w:rsidR="002B22BF">
        <w:rPr>
          <w:lang w:val="es-ES_tradnl"/>
        </w:rPr>
        <w:t>os actos de violencia en serie</w:t>
      </w:r>
      <w:bookmarkEnd w:id="0"/>
      <w:bookmarkEnd w:id="1"/>
      <w:r w:rsidR="009C3DBC">
        <w:rPr>
          <w:lang w:val="es-ES_tradnl"/>
        </w:rPr>
        <w:t>, esto es, los</w:t>
      </w:r>
      <w:r w:rsidRPr="004257AD">
        <w:rPr>
          <w:lang w:val="es-ES_tradnl"/>
        </w:rPr>
        <w:t xml:space="preserve"> actos de violencia </w:t>
      </w:r>
      <w:r w:rsidR="009C3DBC">
        <w:rPr>
          <w:lang w:val="es-ES_tradnl"/>
        </w:rPr>
        <w:t xml:space="preserve">que un perpetrador comete </w:t>
      </w:r>
      <w:r w:rsidRPr="004257AD">
        <w:rPr>
          <w:lang w:val="es-ES_tradnl"/>
        </w:rPr>
        <w:t xml:space="preserve">en repetidas ocasiones contra otra persona durante un período prolongado. La sanción básica es </w:t>
      </w:r>
      <w:r w:rsidR="007835F3">
        <w:rPr>
          <w:lang w:val="es-ES_tradnl"/>
        </w:rPr>
        <w:t xml:space="preserve">la </w:t>
      </w:r>
      <w:r w:rsidR="00C01B54">
        <w:rPr>
          <w:lang w:val="es-ES_tradnl"/>
        </w:rPr>
        <w:t>pena de</w:t>
      </w:r>
      <w:r w:rsidR="00AD3A47">
        <w:rPr>
          <w:lang w:val="es-ES_tradnl"/>
        </w:rPr>
        <w:t xml:space="preserve"> </w:t>
      </w:r>
      <w:r w:rsidR="007835F3">
        <w:rPr>
          <w:lang w:val="es-ES_tradnl"/>
        </w:rPr>
        <w:t xml:space="preserve">prisión por un término de </w:t>
      </w:r>
      <w:r w:rsidRPr="004257AD">
        <w:rPr>
          <w:lang w:val="es-ES_tradnl"/>
        </w:rPr>
        <w:t>hasta tres años</w:t>
      </w:r>
      <w:r w:rsidR="00AD3A47">
        <w:rPr>
          <w:lang w:val="es-ES_tradnl"/>
        </w:rPr>
        <w:t>,</w:t>
      </w:r>
      <w:r w:rsidRPr="004257AD">
        <w:rPr>
          <w:lang w:val="es-ES_tradnl"/>
        </w:rPr>
        <w:t xml:space="preserve"> y, en casos claramente definidos, </w:t>
      </w:r>
      <w:r w:rsidR="00AD3A47">
        <w:rPr>
          <w:lang w:val="es-ES_tradnl"/>
        </w:rPr>
        <w:t>el castigo es incluso más severo</w:t>
      </w:r>
      <w:r w:rsidRPr="004257AD">
        <w:rPr>
          <w:lang w:val="es-ES_tradnl"/>
        </w:rPr>
        <w:t xml:space="preserve">. Además, se establecieron sanciones punitivas más </w:t>
      </w:r>
      <w:r w:rsidR="00C01B54">
        <w:rPr>
          <w:lang w:val="es-ES_tradnl"/>
        </w:rPr>
        <w:t>estrictas</w:t>
      </w:r>
      <w:r w:rsidRPr="004257AD">
        <w:rPr>
          <w:rStyle w:val="FootnoteReference"/>
          <w:lang w:val="es-ES_tradnl"/>
        </w:rPr>
        <w:footnoteReference w:id="26"/>
      </w:r>
      <w:r w:rsidRPr="004257AD">
        <w:rPr>
          <w:lang w:val="es-ES_tradnl"/>
        </w:rPr>
        <w:t xml:space="preserve"> para varios delitos sexuales. Por ejemplo, se instituyó una prórroga general del período </w:t>
      </w:r>
      <w:r w:rsidRPr="00EB182D">
        <w:rPr>
          <w:lang w:val="es-ES_tradnl"/>
        </w:rPr>
        <w:t>que debe transcurrir antes de la eliminación del delito</w:t>
      </w:r>
      <w:r w:rsidR="00EB182D" w:rsidRPr="00EB182D">
        <w:rPr>
          <w:lang w:val="es-ES_tradnl"/>
        </w:rPr>
        <w:t xml:space="preserve"> del registro de antecedentes, o de </w:t>
      </w:r>
      <w:r w:rsidRPr="00EB182D">
        <w:rPr>
          <w:lang w:val="es-ES_tradnl"/>
        </w:rPr>
        <w:t>la exclusión absoluta de la posibilidad de eliminarlo.</w:t>
      </w:r>
      <w:r w:rsidR="00AD3A47">
        <w:rPr>
          <w:lang w:val="es-ES_tradnl"/>
        </w:rPr>
        <w:t xml:space="preserve"> </w:t>
      </w:r>
      <w:r w:rsidR="00C01B54">
        <w:rPr>
          <w:lang w:val="es-ES_tradnl"/>
        </w:rPr>
        <w:t>El acceso consciente</w:t>
      </w:r>
      <w:r w:rsidRPr="00EB182D">
        <w:rPr>
          <w:lang w:val="es-ES_tradnl"/>
        </w:rPr>
        <w:t xml:space="preserve"> a material </w:t>
      </w:r>
      <w:r w:rsidR="00AD3A47">
        <w:rPr>
          <w:lang w:val="es-ES_tradnl"/>
        </w:rPr>
        <w:t>de pornografía infantil e</w:t>
      </w:r>
      <w:r w:rsidR="00C01B54">
        <w:rPr>
          <w:lang w:val="es-ES_tradnl"/>
        </w:rPr>
        <w:t xml:space="preserve">n Internet es susceptible </w:t>
      </w:r>
      <w:r w:rsidRPr="00EB182D">
        <w:rPr>
          <w:lang w:val="es-ES_tradnl"/>
        </w:rPr>
        <w:t xml:space="preserve">de </w:t>
      </w:r>
      <w:r w:rsidR="00C01B54">
        <w:rPr>
          <w:lang w:val="es-ES_tradnl"/>
        </w:rPr>
        <w:t xml:space="preserve">una pena de </w:t>
      </w:r>
      <w:r w:rsidRPr="00EB182D">
        <w:rPr>
          <w:lang w:val="es-ES_tradnl"/>
        </w:rPr>
        <w:t>prisión; se establecieron sanciones más estrictas por la divulgación de tales imágenes</w:t>
      </w:r>
      <w:r w:rsidRPr="00EB182D">
        <w:rPr>
          <w:rStyle w:val="FootnoteReference"/>
          <w:lang w:val="es-ES_tradnl"/>
        </w:rPr>
        <w:footnoteReference w:id="27"/>
      </w:r>
      <w:r w:rsidRPr="00EB182D">
        <w:rPr>
          <w:lang w:val="es-ES_tradnl"/>
        </w:rPr>
        <w:t xml:space="preserve">. </w:t>
      </w:r>
      <w:r w:rsidR="00C01B54">
        <w:rPr>
          <w:lang w:val="es-ES_tradnl"/>
        </w:rPr>
        <w:t xml:space="preserve">A </w:t>
      </w:r>
      <w:r w:rsidRPr="00EB182D">
        <w:rPr>
          <w:lang w:val="es-ES_tradnl"/>
        </w:rPr>
        <w:t>l</w:t>
      </w:r>
      <w:r w:rsidR="00B40F5F">
        <w:rPr>
          <w:lang w:val="es-ES_tradnl"/>
        </w:rPr>
        <w:t xml:space="preserve">a lista de actos que constituyen </w:t>
      </w:r>
      <w:r w:rsidRPr="00EB182D">
        <w:rPr>
          <w:lang w:val="es-ES_tradnl"/>
        </w:rPr>
        <w:t>delito de esclavitud</w:t>
      </w:r>
      <w:r w:rsidRPr="00EB182D">
        <w:rPr>
          <w:rStyle w:val="FootnoteReference"/>
          <w:lang w:val="es-ES_tradnl"/>
        </w:rPr>
        <w:footnoteReference w:id="28"/>
      </w:r>
      <w:r w:rsidRPr="00EB182D">
        <w:rPr>
          <w:lang w:val="es-ES_tradnl"/>
        </w:rPr>
        <w:t xml:space="preserve"> </w:t>
      </w:r>
      <w:r w:rsidR="00C01B54">
        <w:rPr>
          <w:lang w:val="es-ES_tradnl"/>
        </w:rPr>
        <w:t xml:space="preserve">se añadió el de </w:t>
      </w:r>
      <w:r w:rsidRPr="00EB182D">
        <w:rPr>
          <w:lang w:val="es-ES_tradnl"/>
        </w:rPr>
        <w:t>privación de la libertad personal en forma de esclavitud o condiciones similares a la esclavitud.</w:t>
      </w:r>
    </w:p>
    <w:p w:rsidR="00927023" w:rsidRPr="00EB182D" w:rsidRDefault="00927023" w:rsidP="00927023">
      <w:pPr>
        <w:pStyle w:val="SingleTxtG"/>
        <w:rPr>
          <w:lang w:val="es-ES_tradnl"/>
        </w:rPr>
      </w:pPr>
      <w:r w:rsidRPr="00EB182D">
        <w:rPr>
          <w:lang w:val="es-ES_tradnl"/>
        </w:rPr>
        <w:t>58.</w:t>
      </w:r>
      <w:r w:rsidRPr="00EB182D">
        <w:rPr>
          <w:lang w:val="es-ES_tradnl"/>
        </w:rPr>
        <w:tab/>
        <w:t xml:space="preserve">Los agresores </w:t>
      </w:r>
      <w:r w:rsidRPr="000D61D9">
        <w:rPr>
          <w:lang w:val="es-ES_tradnl"/>
        </w:rPr>
        <w:t>sexuales o delincuentes violent</w:t>
      </w:r>
      <w:r w:rsidR="00B40F5F" w:rsidRPr="000D61D9">
        <w:rPr>
          <w:lang w:val="es-ES_tradnl"/>
        </w:rPr>
        <w:t>os por motivos sexuales que quedan en libertad o</w:t>
      </w:r>
      <w:r w:rsidRPr="000D61D9">
        <w:rPr>
          <w:lang w:val="es-ES_tradnl"/>
        </w:rPr>
        <w:t xml:space="preserve"> se encuentran en libertad condicional pueden ser sometidos a vigilancia por parte del tribunal</w:t>
      </w:r>
      <w:r w:rsidRPr="000D61D9">
        <w:rPr>
          <w:rStyle w:val="FootnoteReference"/>
          <w:lang w:val="es-ES_tradnl"/>
        </w:rPr>
        <w:footnoteReference w:id="29"/>
      </w:r>
      <w:r w:rsidRPr="000D61D9">
        <w:rPr>
          <w:lang w:val="es-ES_tradnl"/>
        </w:rPr>
        <w:t xml:space="preserve">. Como medida preventiva se </w:t>
      </w:r>
      <w:r w:rsidR="00B40F5F" w:rsidRPr="000D61D9">
        <w:rPr>
          <w:lang w:val="es-ES_tradnl"/>
        </w:rPr>
        <w:t>han prohibido</w:t>
      </w:r>
      <w:r w:rsidRPr="000D61D9">
        <w:rPr>
          <w:lang w:val="es-ES_tradnl"/>
        </w:rPr>
        <w:t xml:space="preserve"> determinadas actividades</w:t>
      </w:r>
      <w:r w:rsidRPr="000D61D9">
        <w:rPr>
          <w:rStyle w:val="FootnoteReference"/>
          <w:lang w:val="es-ES_tradnl"/>
        </w:rPr>
        <w:footnoteReference w:id="30"/>
      </w:r>
      <w:r w:rsidR="00B40F5F" w:rsidRPr="000D61D9">
        <w:rPr>
          <w:lang w:val="es-ES_tradnl"/>
        </w:rPr>
        <w:t>. Al conceder la li</w:t>
      </w:r>
      <w:r w:rsidRPr="000D61D9">
        <w:rPr>
          <w:lang w:val="es-ES_tradnl"/>
        </w:rPr>
        <w:t xml:space="preserve">bertad condicional a </w:t>
      </w:r>
      <w:r w:rsidR="00B40F5F" w:rsidRPr="000D61D9">
        <w:rPr>
          <w:lang w:val="es-ES_tradnl"/>
        </w:rPr>
        <w:t>un agresor</w:t>
      </w:r>
      <w:r w:rsidRPr="000D61D9">
        <w:rPr>
          <w:lang w:val="es-ES_tradnl"/>
        </w:rPr>
        <w:t xml:space="preserve">, el tribunal debe solicitar el servicio de </w:t>
      </w:r>
      <w:r w:rsidR="00B40F5F" w:rsidRPr="000D61D9">
        <w:rPr>
          <w:lang w:val="es-ES_tradnl"/>
        </w:rPr>
        <w:t xml:space="preserve">vigilancia de la </w:t>
      </w:r>
      <w:r w:rsidRPr="000D61D9">
        <w:rPr>
          <w:lang w:val="es-ES_tradnl"/>
        </w:rPr>
        <w:t>libertad condicional</w:t>
      </w:r>
      <w:r w:rsidRPr="000D61D9">
        <w:rPr>
          <w:rStyle w:val="FootnoteReference"/>
          <w:lang w:val="es-ES_tradnl"/>
        </w:rPr>
        <w:footnoteReference w:id="31"/>
      </w:r>
      <w:r w:rsidRPr="000D61D9">
        <w:rPr>
          <w:lang w:val="es-ES_tradnl"/>
        </w:rPr>
        <w:t xml:space="preserve">. </w:t>
      </w:r>
      <w:r w:rsidR="00CB462B" w:rsidRPr="000D61D9">
        <w:rPr>
          <w:lang w:val="es-ES_tradnl"/>
        </w:rPr>
        <w:t xml:space="preserve">El período de vigilancia </w:t>
      </w:r>
      <w:r w:rsidR="00FF682B" w:rsidRPr="000D61D9">
        <w:rPr>
          <w:lang w:val="es-ES_tradnl"/>
        </w:rPr>
        <w:t>de la libertad</w:t>
      </w:r>
      <w:r w:rsidR="00CB462B" w:rsidRPr="000D61D9">
        <w:rPr>
          <w:lang w:val="es-ES_tradnl"/>
        </w:rPr>
        <w:t xml:space="preserve"> condicional fue ampliado</w:t>
      </w:r>
      <w:r w:rsidRPr="000D61D9">
        <w:rPr>
          <w:rStyle w:val="FootnoteReference"/>
          <w:lang w:val="es-ES_tradnl"/>
        </w:rPr>
        <w:footnoteReference w:id="32"/>
      </w:r>
      <w:r w:rsidR="00FF682B" w:rsidRPr="000D61D9">
        <w:rPr>
          <w:lang w:val="es-ES_tradnl"/>
        </w:rPr>
        <w:t>. El informe del órgano pericial y de evaluación de</w:t>
      </w:r>
      <w:r w:rsidRPr="000D61D9">
        <w:rPr>
          <w:lang w:val="es-ES_tradnl"/>
        </w:rPr>
        <w:t xml:space="preserve"> casos de violencia y agresión sexual debe presentarse ante el Registro central de análisis con fines de prevención</w:t>
      </w:r>
      <w:r w:rsidRPr="000D61D9">
        <w:rPr>
          <w:rStyle w:val="FootnoteReference"/>
          <w:lang w:val="es-ES_tradnl"/>
        </w:rPr>
        <w:footnoteReference w:id="33"/>
      </w:r>
      <w:r w:rsidRPr="000D61D9">
        <w:rPr>
          <w:lang w:val="es-ES_tradnl"/>
        </w:rPr>
        <w:t>. El comienzo del período de prescripción en el caso de delitos sexuales se pospuso al 28</w:t>
      </w:r>
      <w:r w:rsidR="005C668E">
        <w:rPr>
          <w:lang w:val="es-ES_tradnl"/>
        </w:rPr>
        <w:t>º</w:t>
      </w:r>
      <w:r w:rsidRPr="000D61D9">
        <w:rPr>
          <w:lang w:val="es-ES_tradnl"/>
        </w:rPr>
        <w:t xml:space="preserve"> año de vida de la víctima, dado que las consecuencias de las experiencias traumáticas con frecuencia se manifiestan durante la adultez. Además, se amplió el </w:t>
      </w:r>
      <w:r w:rsidR="00FF682B" w:rsidRPr="000D61D9">
        <w:rPr>
          <w:lang w:val="es-ES_tradnl"/>
        </w:rPr>
        <w:t xml:space="preserve">ámbito </w:t>
      </w:r>
      <w:r w:rsidRPr="000D61D9">
        <w:rPr>
          <w:lang w:val="es-ES_tradnl"/>
        </w:rPr>
        <w:t>de aplicación de esta disposición.</w:t>
      </w:r>
    </w:p>
    <w:p w:rsidR="00927023" w:rsidRPr="00EB182D" w:rsidRDefault="00927023" w:rsidP="00927023">
      <w:pPr>
        <w:pStyle w:val="SingleTxtG"/>
        <w:rPr>
          <w:lang w:val="es-ES_tradnl"/>
        </w:rPr>
      </w:pPr>
      <w:r w:rsidRPr="00EB182D">
        <w:rPr>
          <w:lang w:val="es-ES_tradnl"/>
        </w:rPr>
        <w:t>59.</w:t>
      </w:r>
      <w:r w:rsidRPr="00EB182D">
        <w:rPr>
          <w:lang w:val="es-ES_tradnl"/>
        </w:rPr>
        <w:tab/>
        <w:t xml:space="preserve">En 2006, se agregó </w:t>
      </w:r>
      <w:r w:rsidR="00A3499C">
        <w:rPr>
          <w:lang w:val="es-ES_tradnl"/>
        </w:rPr>
        <w:t xml:space="preserve">al Código Penal </w:t>
      </w:r>
      <w:r w:rsidRPr="00EB182D">
        <w:rPr>
          <w:lang w:val="es-ES_tradnl"/>
        </w:rPr>
        <w:t xml:space="preserve">la sección </w:t>
      </w:r>
      <w:r w:rsidR="0005731B">
        <w:rPr>
          <w:lang w:val="es-ES_tradnl"/>
        </w:rPr>
        <w:t>sobre</w:t>
      </w:r>
      <w:r w:rsidRPr="00EB182D">
        <w:rPr>
          <w:lang w:val="es-ES_tradnl"/>
        </w:rPr>
        <w:t xml:space="preserve"> el ac</w:t>
      </w:r>
      <w:r w:rsidR="00A3499C">
        <w:rPr>
          <w:lang w:val="es-ES_tradnl"/>
        </w:rPr>
        <w:t>oso</w:t>
      </w:r>
      <w:r w:rsidRPr="00EB182D">
        <w:rPr>
          <w:rStyle w:val="FootnoteReference"/>
          <w:lang w:val="es-ES_tradnl"/>
        </w:rPr>
        <w:footnoteReference w:id="34"/>
      </w:r>
      <w:r w:rsidRPr="00EB182D">
        <w:rPr>
          <w:lang w:val="es-ES_tradnl"/>
        </w:rPr>
        <w:t>.</w:t>
      </w:r>
    </w:p>
    <w:p w:rsidR="00927023" w:rsidRPr="000D61D9" w:rsidRDefault="008A2F8C" w:rsidP="00927023">
      <w:pPr>
        <w:pStyle w:val="SingleTxtG"/>
        <w:rPr>
          <w:lang w:val="es-ES_tradnl"/>
        </w:rPr>
      </w:pPr>
      <w:r>
        <w:rPr>
          <w:lang w:val="es-ES_tradnl"/>
        </w:rPr>
        <w:t>60.</w:t>
      </w:r>
      <w:r>
        <w:rPr>
          <w:lang w:val="es-ES_tradnl"/>
        </w:rPr>
        <w:tab/>
      </w:r>
      <w:r w:rsidRPr="000D61D9">
        <w:rPr>
          <w:lang w:val="es-ES_tradnl"/>
        </w:rPr>
        <w:t>Derechos de las víctimas:</w:t>
      </w:r>
      <w:r w:rsidR="00927023" w:rsidRPr="000D61D9">
        <w:rPr>
          <w:lang w:val="es-ES_tradnl"/>
        </w:rPr>
        <w:t xml:space="preserve"> Desde 2006</w:t>
      </w:r>
      <w:r w:rsidR="00927023" w:rsidRPr="000D61D9">
        <w:rPr>
          <w:rStyle w:val="FootnoteReference"/>
          <w:lang w:val="es-ES_tradnl"/>
        </w:rPr>
        <w:footnoteReference w:id="35"/>
      </w:r>
      <w:r w:rsidR="00927023" w:rsidRPr="000D61D9">
        <w:rPr>
          <w:lang w:val="es-ES_tradnl"/>
        </w:rPr>
        <w:t xml:space="preserve">, las víctimas de actos de violencia, amenazas peligrosas o delitos sexuales, así como las personas a cargo de </w:t>
      </w:r>
      <w:r w:rsidR="00C37C7B" w:rsidRPr="000D61D9">
        <w:rPr>
          <w:lang w:val="es-ES_tradnl"/>
        </w:rPr>
        <w:t>alguien</w:t>
      </w:r>
      <w:r w:rsidR="00927023" w:rsidRPr="000D61D9">
        <w:rPr>
          <w:lang w:val="es-ES_tradnl"/>
        </w:rPr>
        <w:t xml:space="preserve"> que </w:t>
      </w:r>
      <w:r w:rsidR="00C37C7B" w:rsidRPr="000D61D9">
        <w:rPr>
          <w:lang w:val="es-ES_tradnl"/>
        </w:rPr>
        <w:t>pudo perder la vida</w:t>
      </w:r>
      <w:r w:rsidR="00927023" w:rsidRPr="000D61D9">
        <w:rPr>
          <w:lang w:val="es-ES_tradnl"/>
        </w:rPr>
        <w:t xml:space="preserve"> </w:t>
      </w:r>
      <w:r w:rsidR="00D66EAE" w:rsidRPr="000D61D9">
        <w:rPr>
          <w:lang w:val="es-ES_tradnl"/>
        </w:rPr>
        <w:t>a consecuencia</w:t>
      </w:r>
      <w:r w:rsidR="00927023" w:rsidRPr="000D61D9">
        <w:rPr>
          <w:lang w:val="es-ES_tradnl"/>
        </w:rPr>
        <w:t xml:space="preserve"> de un delito</w:t>
      </w:r>
      <w:r w:rsidR="001C2976">
        <w:rPr>
          <w:lang w:val="es-ES_tradnl"/>
        </w:rPr>
        <w:t>,</w:t>
      </w:r>
      <w:r w:rsidR="00927023" w:rsidRPr="000D61D9">
        <w:rPr>
          <w:lang w:val="es-ES_tradnl"/>
        </w:rPr>
        <w:t xml:space="preserve"> u otras personas a cargo que presenciaron el delito</w:t>
      </w:r>
      <w:r w:rsidR="001C2976">
        <w:rPr>
          <w:lang w:val="es-ES_tradnl"/>
        </w:rPr>
        <w:t>,</w:t>
      </w:r>
      <w:r w:rsidR="00927023" w:rsidRPr="000D61D9">
        <w:rPr>
          <w:lang w:val="es-ES_tradnl"/>
        </w:rPr>
        <w:t xml:space="preserve"> por ley </w:t>
      </w:r>
      <w:r w:rsidR="00C37C7B" w:rsidRPr="000D61D9">
        <w:rPr>
          <w:lang w:val="es-ES_tradnl"/>
        </w:rPr>
        <w:t xml:space="preserve">tienen derecho </w:t>
      </w:r>
      <w:r w:rsidR="00927023" w:rsidRPr="000D61D9">
        <w:rPr>
          <w:lang w:val="es-ES_tradnl"/>
        </w:rPr>
        <w:t>a obtener asistencia jurídica y psicosocial gratuita</w:t>
      </w:r>
      <w:r w:rsidR="00C37C7B" w:rsidRPr="000D61D9">
        <w:rPr>
          <w:lang w:val="es-ES_tradnl"/>
        </w:rPr>
        <w:t>s</w:t>
      </w:r>
      <w:r w:rsidR="00927023" w:rsidRPr="000D61D9">
        <w:rPr>
          <w:lang w:val="es-ES_tradnl"/>
        </w:rPr>
        <w:t xml:space="preserve"> durante los procedimientos judiciales. En 2009, la asistencia psicosocial</w:t>
      </w:r>
      <w:r w:rsidR="00927023" w:rsidRPr="000D61D9">
        <w:rPr>
          <w:rStyle w:val="FootnoteReference"/>
          <w:lang w:val="es-ES_tradnl"/>
        </w:rPr>
        <w:footnoteReference w:id="36"/>
      </w:r>
      <w:r w:rsidR="00927023" w:rsidRPr="000D61D9">
        <w:rPr>
          <w:lang w:val="es-ES_tradnl"/>
        </w:rPr>
        <w:t xml:space="preserve"> y la reducción al mínimo de la angustia a la que se somete a las víctimas </w:t>
      </w:r>
      <w:r w:rsidR="00B63151" w:rsidRPr="000D61D9">
        <w:rPr>
          <w:lang w:val="es-ES_tradnl"/>
        </w:rPr>
        <w:t>en los interrogatorios de los</w:t>
      </w:r>
      <w:r w:rsidR="00927023" w:rsidRPr="000D61D9">
        <w:rPr>
          <w:lang w:val="es-ES_tradnl"/>
        </w:rPr>
        <w:t xml:space="preserve"> tribunales se hicieron extensivas a los procedimientos civiles</w:t>
      </w:r>
      <w:r w:rsidR="00927023" w:rsidRPr="000D61D9">
        <w:rPr>
          <w:rStyle w:val="FootnoteReference"/>
          <w:lang w:val="es-ES_tradnl"/>
        </w:rPr>
        <w:footnoteReference w:id="37"/>
      </w:r>
      <w:r w:rsidR="00B63151" w:rsidRPr="000D61D9">
        <w:rPr>
          <w:lang w:val="es-ES_tradnl"/>
        </w:rPr>
        <w:t>. El tribunal puede</w:t>
      </w:r>
      <w:r w:rsidR="00927023" w:rsidRPr="000D61D9">
        <w:rPr>
          <w:lang w:val="es-ES_tradnl"/>
        </w:rPr>
        <w:t xml:space="preserve"> i</w:t>
      </w:r>
      <w:r w:rsidR="00B63151" w:rsidRPr="000D61D9">
        <w:rPr>
          <w:lang w:val="es-ES_tradnl"/>
        </w:rPr>
        <w:t>ncluso omitir el interrogatori</w:t>
      </w:r>
      <w:r w:rsidR="00476095" w:rsidRPr="000D61D9">
        <w:rPr>
          <w:lang w:val="es-ES_tradnl"/>
        </w:rPr>
        <w:t>o</w:t>
      </w:r>
      <w:r w:rsidR="00B63151" w:rsidRPr="000D61D9">
        <w:rPr>
          <w:lang w:val="es-ES_tradnl"/>
        </w:rPr>
        <w:t xml:space="preserve"> de un menor</w:t>
      </w:r>
      <w:r w:rsidR="00927023" w:rsidRPr="000D61D9">
        <w:rPr>
          <w:lang w:val="es-ES_tradnl"/>
        </w:rPr>
        <w:t xml:space="preserve"> </w:t>
      </w:r>
      <w:r w:rsidR="00B63151" w:rsidRPr="000D61D9">
        <w:rPr>
          <w:lang w:val="es-ES_tradnl"/>
        </w:rPr>
        <w:t>cuando ello pudiera perjudicar</w:t>
      </w:r>
      <w:r w:rsidR="00927023" w:rsidRPr="000D61D9">
        <w:rPr>
          <w:lang w:val="es-ES_tradnl"/>
        </w:rPr>
        <w:t xml:space="preserve"> su bienestar. Las víctimas de actos de violencia, las personas expuestas a amenazas peligrosas o </w:t>
      </w:r>
      <w:r w:rsidR="006D7866" w:rsidRPr="000D61D9">
        <w:rPr>
          <w:lang w:val="es-ES_tradnl"/>
        </w:rPr>
        <w:t>a agresión sexual</w:t>
      </w:r>
      <w:r w:rsidR="00927023" w:rsidRPr="000D61D9">
        <w:rPr>
          <w:lang w:val="es-ES_tradnl"/>
        </w:rPr>
        <w:t xml:space="preserve"> tienen derecho a</w:t>
      </w:r>
      <w:r w:rsidR="006D7866" w:rsidRPr="000D61D9">
        <w:rPr>
          <w:lang w:val="es-ES_tradnl"/>
        </w:rPr>
        <w:t xml:space="preserve"> que el</w:t>
      </w:r>
      <w:r w:rsidR="00927023" w:rsidRPr="000D61D9">
        <w:rPr>
          <w:lang w:val="es-ES_tradnl"/>
        </w:rPr>
        <w:t xml:space="preserve"> interrogat</w:t>
      </w:r>
      <w:r w:rsidR="006D7866" w:rsidRPr="000D61D9">
        <w:rPr>
          <w:lang w:val="es-ES_tradnl"/>
        </w:rPr>
        <w:t xml:space="preserve">orio se realice </w:t>
      </w:r>
      <w:r w:rsidR="00213B26" w:rsidRPr="000D61D9">
        <w:rPr>
          <w:lang w:val="es-ES_tradnl"/>
        </w:rPr>
        <w:t>contemplando</w:t>
      </w:r>
      <w:r w:rsidR="006D7866" w:rsidRPr="000D61D9">
        <w:rPr>
          <w:lang w:val="es-ES_tradnl"/>
        </w:rPr>
        <w:t xml:space="preserve"> </w:t>
      </w:r>
      <w:r w:rsidR="00213B26" w:rsidRPr="000D61D9">
        <w:rPr>
          <w:lang w:val="es-ES_tradnl"/>
        </w:rPr>
        <w:t xml:space="preserve">al máximo </w:t>
      </w:r>
      <w:r w:rsidR="006D7866" w:rsidRPr="000D61D9">
        <w:rPr>
          <w:lang w:val="es-ES_tradnl"/>
        </w:rPr>
        <w:t>su si</w:t>
      </w:r>
      <w:r w:rsidR="00927023" w:rsidRPr="000D61D9">
        <w:rPr>
          <w:lang w:val="es-ES_tradnl"/>
        </w:rPr>
        <w:t>tuación</w:t>
      </w:r>
      <w:r w:rsidR="00927023" w:rsidRPr="000D61D9">
        <w:rPr>
          <w:rStyle w:val="FootnoteReference"/>
          <w:lang w:val="es-ES_tradnl"/>
        </w:rPr>
        <w:footnoteReference w:id="38"/>
      </w:r>
      <w:r w:rsidR="00927023" w:rsidRPr="000D61D9">
        <w:rPr>
          <w:lang w:val="es-ES_tradnl"/>
        </w:rPr>
        <w:t xml:space="preserve"> (</w:t>
      </w:r>
      <w:r w:rsidR="006D7866" w:rsidRPr="000D61D9">
        <w:rPr>
          <w:lang w:val="es-ES_tradnl"/>
        </w:rPr>
        <w:t>que e</w:t>
      </w:r>
      <w:r w:rsidR="00927023" w:rsidRPr="000D61D9">
        <w:rPr>
          <w:lang w:val="es-ES_tradnl"/>
        </w:rPr>
        <w:t>l autor del delito</w:t>
      </w:r>
      <w:r w:rsidR="006D7866" w:rsidRPr="000D61D9">
        <w:rPr>
          <w:lang w:val="es-ES_tradnl"/>
        </w:rPr>
        <w:t xml:space="preserve"> no esté presente; que se le formulen </w:t>
      </w:r>
      <w:r w:rsidR="00927023" w:rsidRPr="000D61D9">
        <w:rPr>
          <w:lang w:val="es-ES_tradnl"/>
        </w:rPr>
        <w:t>preguntas</w:t>
      </w:r>
      <w:r w:rsidR="006D7866" w:rsidRPr="000D61D9">
        <w:rPr>
          <w:lang w:val="es-ES_tradnl"/>
        </w:rPr>
        <w:t xml:space="preserve"> </w:t>
      </w:r>
      <w:r w:rsidR="00927023" w:rsidRPr="000D61D9">
        <w:rPr>
          <w:lang w:val="es-ES_tradnl"/>
        </w:rPr>
        <w:t>indirectas, etc.).</w:t>
      </w:r>
    </w:p>
    <w:p w:rsidR="00927023" w:rsidRPr="000D61D9" w:rsidRDefault="00AB5E73" w:rsidP="00927023">
      <w:pPr>
        <w:pStyle w:val="SingleTxtG"/>
        <w:rPr>
          <w:lang w:val="es-ES_tradnl"/>
        </w:rPr>
      </w:pPr>
      <w:r w:rsidRPr="000D61D9">
        <w:rPr>
          <w:lang w:val="es-ES_tradnl"/>
        </w:rPr>
        <w:t>61.</w:t>
      </w:r>
      <w:r w:rsidRPr="000D61D9">
        <w:rPr>
          <w:lang w:val="es-ES_tradnl"/>
        </w:rPr>
        <w:tab/>
        <w:t xml:space="preserve">Desde 2008, los </w:t>
      </w:r>
      <w:r w:rsidR="00927023" w:rsidRPr="000D61D9">
        <w:rPr>
          <w:lang w:val="es-ES_tradnl"/>
        </w:rPr>
        <w:t xml:space="preserve">fiscales con formación especial en la materia </w:t>
      </w:r>
      <w:r w:rsidRPr="000D61D9">
        <w:rPr>
          <w:lang w:val="es-ES_tradnl"/>
        </w:rPr>
        <w:t xml:space="preserve">están habilitados para </w:t>
      </w:r>
      <w:r w:rsidR="00213B26" w:rsidRPr="000D61D9">
        <w:rPr>
          <w:lang w:val="es-ES_tradnl"/>
        </w:rPr>
        <w:t>tramitar</w:t>
      </w:r>
      <w:r w:rsidR="00927023" w:rsidRPr="000D61D9">
        <w:rPr>
          <w:lang w:val="es-ES_tradnl"/>
        </w:rPr>
        <w:t xml:space="preserve"> los casos de violencia en el entorno social inmediato de las víctimas. La ley mediante la cual se reformó el Código de Procedimiento Penal (en vigor desde el 1° de enero de 2008) otorgó a las víctimas </w:t>
      </w:r>
      <w:r w:rsidR="00530810" w:rsidRPr="00530810">
        <w:rPr>
          <w:lang w:val="es-ES_tradnl"/>
        </w:rPr>
        <w:t>amplios derechos de acceso a la información, y, en determinados casos, en calidad de parte en el proceso</w:t>
      </w:r>
      <w:r w:rsidR="00927023" w:rsidRPr="000D61D9">
        <w:rPr>
          <w:lang w:val="es-ES_tradnl"/>
        </w:rPr>
        <w:t>. Si se suspenden las investigaci</w:t>
      </w:r>
      <w:r w:rsidR="00E32841" w:rsidRPr="000D61D9">
        <w:rPr>
          <w:lang w:val="es-ES_tradnl"/>
        </w:rPr>
        <w:t xml:space="preserve">ones penales, la víctima tiene </w:t>
      </w:r>
      <w:r w:rsidR="00927023" w:rsidRPr="000D61D9">
        <w:rPr>
          <w:lang w:val="es-ES_tradnl"/>
        </w:rPr>
        <w:t>derecho a solicitar al tribunal la continuación del proceso judicial</w:t>
      </w:r>
      <w:r w:rsidR="00927023" w:rsidRPr="000D61D9">
        <w:rPr>
          <w:rStyle w:val="FootnoteReference"/>
          <w:lang w:val="es-ES_tradnl"/>
        </w:rPr>
        <w:footnoteReference w:id="39"/>
      </w:r>
      <w:r w:rsidR="00927023" w:rsidRPr="000D61D9">
        <w:rPr>
          <w:lang w:val="es-ES_tradnl"/>
        </w:rPr>
        <w:t xml:space="preserve">. Además, </w:t>
      </w:r>
      <w:r w:rsidR="00EA1CEF">
        <w:rPr>
          <w:lang w:val="es-ES_tradnl"/>
        </w:rPr>
        <w:t>deberá ser informada</w:t>
      </w:r>
      <w:r w:rsidR="00927023" w:rsidRPr="000D61D9">
        <w:rPr>
          <w:lang w:val="es-ES_tradnl"/>
        </w:rPr>
        <w:t xml:space="preserve"> </w:t>
      </w:r>
      <w:r w:rsidR="00E32841" w:rsidRPr="000D61D9">
        <w:rPr>
          <w:lang w:val="es-ES_tradnl"/>
        </w:rPr>
        <w:t xml:space="preserve">si el acusado deja de estar en régimen de </w:t>
      </w:r>
      <w:r w:rsidR="00927023" w:rsidRPr="000D61D9">
        <w:rPr>
          <w:lang w:val="es-ES_tradnl"/>
        </w:rPr>
        <w:t>prisión preventiva</w:t>
      </w:r>
      <w:r w:rsidR="00927023" w:rsidRPr="000D61D9">
        <w:rPr>
          <w:rStyle w:val="FootnoteReference"/>
          <w:lang w:val="es-ES_tradnl"/>
        </w:rPr>
        <w:footnoteReference w:id="40"/>
      </w:r>
      <w:r w:rsidR="00B20F9E">
        <w:rPr>
          <w:lang w:val="es-ES_tradnl"/>
        </w:rPr>
        <w:t xml:space="preserve">, o </w:t>
      </w:r>
      <w:r w:rsidR="00B20F9E" w:rsidRPr="000D61D9">
        <w:rPr>
          <w:lang w:val="es-ES_tradnl"/>
        </w:rPr>
        <w:t xml:space="preserve">si </w:t>
      </w:r>
      <w:r w:rsidR="00B20F9E">
        <w:rPr>
          <w:lang w:val="es-ES_tradnl"/>
        </w:rPr>
        <w:t>el recluso es</w:t>
      </w:r>
      <w:r w:rsidR="00B20F9E" w:rsidRPr="000D61D9">
        <w:rPr>
          <w:lang w:val="es-ES_tradnl"/>
        </w:rPr>
        <w:t xml:space="preserve"> excarcela</w:t>
      </w:r>
      <w:r w:rsidR="00B20F9E">
        <w:rPr>
          <w:lang w:val="es-ES_tradnl"/>
        </w:rPr>
        <w:t>do</w:t>
      </w:r>
      <w:r w:rsidR="00A27279" w:rsidRPr="000D61D9">
        <w:rPr>
          <w:lang w:val="es-ES_tradnl"/>
        </w:rPr>
        <w:t>, si</w:t>
      </w:r>
      <w:r w:rsidR="00EA1CEF">
        <w:rPr>
          <w:lang w:val="es-ES_tradnl"/>
        </w:rPr>
        <w:t xml:space="preserve"> así lo hubiere</w:t>
      </w:r>
      <w:r w:rsidR="00A27279" w:rsidRPr="000D61D9">
        <w:rPr>
          <w:lang w:val="es-ES_tradnl"/>
        </w:rPr>
        <w:t xml:space="preserve"> solicitado con antelaci</w:t>
      </w:r>
      <w:r w:rsidR="00B20F9E">
        <w:rPr>
          <w:lang w:val="es-ES_tradnl"/>
        </w:rPr>
        <w:t>ón</w:t>
      </w:r>
      <w:r w:rsidR="00927023" w:rsidRPr="000D61D9">
        <w:rPr>
          <w:rStyle w:val="FootnoteReference"/>
          <w:lang w:val="es-ES_tradnl"/>
        </w:rPr>
        <w:footnoteReference w:id="41"/>
      </w:r>
      <w:r w:rsidR="00927023" w:rsidRPr="000D61D9">
        <w:rPr>
          <w:lang w:val="es-ES_tradnl"/>
        </w:rPr>
        <w:t>.</w:t>
      </w:r>
    </w:p>
    <w:p w:rsidR="00927023" w:rsidRPr="000D61D9" w:rsidRDefault="00927023" w:rsidP="00927023">
      <w:pPr>
        <w:pStyle w:val="SingleTxtG"/>
        <w:rPr>
          <w:lang w:val="es-ES_tradnl"/>
        </w:rPr>
      </w:pPr>
      <w:r w:rsidRPr="000D61D9">
        <w:rPr>
          <w:lang w:val="es-ES_tradnl"/>
        </w:rPr>
        <w:t>62.</w:t>
      </w:r>
      <w:r w:rsidRPr="000D61D9">
        <w:rPr>
          <w:lang w:val="es-ES_tradnl"/>
        </w:rPr>
        <w:tab/>
        <w:t>Para proteger a las víctimas de la violencia doméstica, los magistrados están autorizados expresamente</w:t>
      </w:r>
      <w:r w:rsidRPr="000D61D9">
        <w:rPr>
          <w:rStyle w:val="FootnoteReference"/>
          <w:lang w:val="es-ES_tradnl"/>
        </w:rPr>
        <w:footnoteReference w:id="42"/>
      </w:r>
      <w:r w:rsidRPr="000D61D9">
        <w:rPr>
          <w:lang w:val="es-ES_tradnl"/>
        </w:rPr>
        <w:t xml:space="preserve"> a</w:t>
      </w:r>
      <w:r w:rsidRPr="00EB182D">
        <w:rPr>
          <w:lang w:val="es-ES_tradnl"/>
        </w:rPr>
        <w:t xml:space="preserve"> </w:t>
      </w:r>
      <w:r w:rsidR="007925E4">
        <w:rPr>
          <w:lang w:val="es-ES_tradnl"/>
        </w:rPr>
        <w:t>abstenerse de</w:t>
      </w:r>
      <w:r w:rsidRPr="00EB182D">
        <w:rPr>
          <w:lang w:val="es-ES_tradnl"/>
        </w:rPr>
        <w:t xml:space="preserve"> imponer la prisión preventiva al autor del delito tras el arresto y </w:t>
      </w:r>
      <w:r w:rsidR="007925E4">
        <w:rPr>
          <w:lang w:val="es-ES_tradnl"/>
        </w:rPr>
        <w:t xml:space="preserve">recurrir a </w:t>
      </w:r>
      <w:r w:rsidRPr="000D61D9">
        <w:rPr>
          <w:lang w:val="es-ES_tradnl"/>
        </w:rPr>
        <w:t>otros medios meno</w:t>
      </w:r>
      <w:r w:rsidR="008A2F8C" w:rsidRPr="000D61D9">
        <w:rPr>
          <w:lang w:val="es-ES_tradnl"/>
        </w:rPr>
        <w:t>s severos (juramentos</w:t>
      </w:r>
      <w:r w:rsidR="007925E4" w:rsidRPr="000D61D9">
        <w:rPr>
          <w:lang w:val="es-ES_tradnl"/>
        </w:rPr>
        <w:t xml:space="preserve"> solemnes </w:t>
      </w:r>
      <w:r w:rsidR="008A2F8C" w:rsidRPr="000D61D9">
        <w:rPr>
          <w:lang w:val="es-ES_tradnl"/>
        </w:rPr>
        <w:t>e</w:t>
      </w:r>
      <w:r w:rsidRPr="000D61D9">
        <w:rPr>
          <w:lang w:val="es-ES_tradnl"/>
        </w:rPr>
        <w:t xml:space="preserve"> instrucciones pertinentes). Si el agresor </w:t>
      </w:r>
      <w:r w:rsidR="008A2F8C" w:rsidRPr="000D61D9">
        <w:rPr>
          <w:lang w:val="es-ES_tradnl"/>
        </w:rPr>
        <w:t xml:space="preserve">se niega a realizar </w:t>
      </w:r>
      <w:r w:rsidRPr="000D61D9">
        <w:rPr>
          <w:lang w:val="es-ES_tradnl"/>
        </w:rPr>
        <w:t xml:space="preserve">dichos juramentos o instrucciones, </w:t>
      </w:r>
      <w:r w:rsidR="007925E4" w:rsidRPr="000D61D9">
        <w:rPr>
          <w:lang w:val="es-ES_tradnl"/>
        </w:rPr>
        <w:t xml:space="preserve">la prisión preventiva </w:t>
      </w:r>
      <w:r w:rsidRPr="000D61D9">
        <w:rPr>
          <w:lang w:val="es-ES_tradnl"/>
        </w:rPr>
        <w:t>puede imponerse de inmediato. Las partes, y tambié</w:t>
      </w:r>
      <w:r w:rsidR="007925E4" w:rsidRPr="000D61D9">
        <w:rPr>
          <w:lang w:val="es-ES_tradnl"/>
        </w:rPr>
        <w:t>n los testigos, ahora tienen derecho a</w:t>
      </w:r>
      <w:r w:rsidRPr="000D61D9">
        <w:rPr>
          <w:lang w:val="es-ES_tradnl"/>
        </w:rPr>
        <w:t xml:space="preserve"> no indicar su domicilio en las presentaciones formales por escrito en procedimientos civiles</w:t>
      </w:r>
      <w:r w:rsidRPr="000D61D9">
        <w:rPr>
          <w:rStyle w:val="FootnoteReference"/>
          <w:lang w:val="es-ES_tradnl"/>
        </w:rPr>
        <w:footnoteReference w:id="43"/>
      </w:r>
      <w:r w:rsidRPr="000D61D9">
        <w:rPr>
          <w:lang w:val="es-ES_tradnl"/>
        </w:rPr>
        <w:t>.</w:t>
      </w:r>
    </w:p>
    <w:p w:rsidR="00927023" w:rsidRPr="000D61D9" w:rsidRDefault="008A2F8C" w:rsidP="00927023">
      <w:pPr>
        <w:pStyle w:val="SingleTxtG"/>
        <w:rPr>
          <w:lang w:val="es-ES_tradnl"/>
        </w:rPr>
      </w:pPr>
      <w:r w:rsidRPr="000D61D9">
        <w:rPr>
          <w:lang w:val="es-ES_tradnl"/>
        </w:rPr>
        <w:t>63.</w:t>
      </w:r>
      <w:r w:rsidRPr="000D61D9">
        <w:rPr>
          <w:lang w:val="es-ES_tradnl"/>
        </w:rPr>
        <w:tab/>
        <w:t>Medidas cautelares:</w:t>
      </w:r>
      <w:r w:rsidR="00927023" w:rsidRPr="000D61D9">
        <w:rPr>
          <w:lang w:val="es-ES_tradnl"/>
        </w:rPr>
        <w:t xml:space="preserve"> Con arreglo a la primera Ley de protección contra la violencia de 1997, es posible</w:t>
      </w:r>
      <w:r w:rsidRPr="000D61D9">
        <w:rPr>
          <w:lang w:val="es-ES_tradnl"/>
        </w:rPr>
        <w:t>,</w:t>
      </w:r>
      <w:r w:rsidR="00927023" w:rsidRPr="000D61D9">
        <w:rPr>
          <w:lang w:val="es-ES_tradnl"/>
        </w:rPr>
        <w:t xml:space="preserve"> mediante una orden judicial</w:t>
      </w:r>
      <w:r w:rsidRPr="000D61D9">
        <w:rPr>
          <w:lang w:val="es-ES_tradnl"/>
        </w:rPr>
        <w:t>,</w:t>
      </w:r>
      <w:r w:rsidR="00927023" w:rsidRPr="000D61D9">
        <w:rPr>
          <w:lang w:val="es-ES_tradnl"/>
        </w:rPr>
        <w:t xml:space="preserve"> prohibir que los delincuentes violentos ingresen en la vivien</w:t>
      </w:r>
      <w:r w:rsidR="0022415F">
        <w:rPr>
          <w:lang w:val="es-ES_tradnl"/>
        </w:rPr>
        <w:t>da (donde reside la víctima) o vivir</w:t>
      </w:r>
      <w:r w:rsidR="00927023" w:rsidRPr="000D61D9">
        <w:rPr>
          <w:lang w:val="es-ES_tradnl"/>
        </w:rPr>
        <w:t xml:space="preserve"> en </w:t>
      </w:r>
      <w:r w:rsidR="007925E4" w:rsidRPr="000D61D9">
        <w:rPr>
          <w:lang w:val="es-ES_tradnl"/>
        </w:rPr>
        <w:t>la zona aledaña</w:t>
      </w:r>
      <w:r w:rsidR="00927023" w:rsidRPr="000D61D9">
        <w:rPr>
          <w:lang w:val="es-ES_tradnl"/>
        </w:rPr>
        <w:t xml:space="preserve">. En 2009, </w:t>
      </w:r>
      <w:r w:rsidR="009051E9" w:rsidRPr="000D61D9">
        <w:rPr>
          <w:lang w:val="es-ES_tradnl"/>
        </w:rPr>
        <w:t xml:space="preserve">el listado </w:t>
      </w:r>
      <w:r w:rsidR="00927023" w:rsidRPr="000D61D9">
        <w:rPr>
          <w:lang w:val="es-ES_tradnl"/>
        </w:rPr>
        <w:t xml:space="preserve">de personas que pueden recibir </w:t>
      </w:r>
      <w:r w:rsidR="009051E9" w:rsidRPr="000D61D9">
        <w:rPr>
          <w:lang w:val="es-ES_tradnl"/>
        </w:rPr>
        <w:t xml:space="preserve">este tipo de </w:t>
      </w:r>
      <w:r w:rsidR="00927023" w:rsidRPr="000D61D9">
        <w:rPr>
          <w:lang w:val="es-ES_tradnl"/>
        </w:rPr>
        <w:t>protección</w:t>
      </w:r>
      <w:r w:rsidR="009051E9" w:rsidRPr="000D61D9">
        <w:rPr>
          <w:lang w:val="es-ES_tradnl"/>
        </w:rPr>
        <w:t xml:space="preserve"> fue ampliado</w:t>
      </w:r>
      <w:r w:rsidR="00927023" w:rsidRPr="000D61D9">
        <w:rPr>
          <w:lang w:val="es-ES_tradnl"/>
        </w:rPr>
        <w:t xml:space="preserve">. Asimismo, es posible prohibir a los agresores </w:t>
      </w:r>
      <w:r w:rsidRPr="000D61D9">
        <w:rPr>
          <w:lang w:val="es-ES_tradnl"/>
        </w:rPr>
        <w:t>permanecer</w:t>
      </w:r>
      <w:r w:rsidR="00927023" w:rsidRPr="000D61D9">
        <w:rPr>
          <w:lang w:val="es-ES_tradnl"/>
        </w:rPr>
        <w:t xml:space="preserve"> en </w:t>
      </w:r>
      <w:r w:rsidRPr="000D61D9">
        <w:rPr>
          <w:lang w:val="es-ES_tradnl"/>
        </w:rPr>
        <w:t xml:space="preserve">determinados </w:t>
      </w:r>
      <w:r w:rsidR="00927023" w:rsidRPr="000D61D9">
        <w:rPr>
          <w:lang w:val="es-ES_tradnl"/>
        </w:rPr>
        <w:t xml:space="preserve">lugares y </w:t>
      </w:r>
      <w:r w:rsidRPr="000D61D9">
        <w:rPr>
          <w:lang w:val="es-ES_tradnl"/>
        </w:rPr>
        <w:t>ponerse</w:t>
      </w:r>
      <w:r w:rsidR="00927023" w:rsidRPr="000D61D9">
        <w:rPr>
          <w:lang w:val="es-ES_tradnl"/>
        </w:rPr>
        <w:t xml:space="preserve"> en contac</w:t>
      </w:r>
      <w:r w:rsidRPr="000D61D9">
        <w:rPr>
          <w:lang w:val="es-ES_tradnl"/>
        </w:rPr>
        <w:t>to con la víctima. E</w:t>
      </w:r>
      <w:r w:rsidR="00927023" w:rsidRPr="000D61D9">
        <w:rPr>
          <w:lang w:val="es-ES_tradnl"/>
        </w:rPr>
        <w:t>l período de validez de tales medidas cautelares</w:t>
      </w:r>
      <w:r w:rsidRPr="000D61D9">
        <w:rPr>
          <w:lang w:val="es-ES_tradnl"/>
        </w:rPr>
        <w:t xml:space="preserve"> fue ampliado</w:t>
      </w:r>
      <w:r w:rsidR="00927023" w:rsidRPr="000D61D9">
        <w:rPr>
          <w:lang w:val="es-ES_tradnl"/>
        </w:rPr>
        <w:t>.</w:t>
      </w:r>
    </w:p>
    <w:p w:rsidR="00927023" w:rsidRPr="000D61D9" w:rsidRDefault="00927023" w:rsidP="00927023">
      <w:pPr>
        <w:pStyle w:val="SingleTxtG"/>
        <w:rPr>
          <w:lang w:val="es-ES_tradnl"/>
        </w:rPr>
      </w:pPr>
      <w:r w:rsidRPr="000D61D9">
        <w:rPr>
          <w:lang w:val="es-ES_tradnl"/>
        </w:rPr>
        <w:t>64.</w:t>
      </w:r>
      <w:r w:rsidRPr="000D61D9">
        <w:rPr>
          <w:lang w:val="es-ES_tradnl"/>
        </w:rPr>
        <w:tab/>
        <w:t xml:space="preserve">Asistencia: Desde 2004, </w:t>
      </w:r>
      <w:r w:rsidR="00C15CAA" w:rsidRPr="000D61D9">
        <w:rPr>
          <w:lang w:val="es-ES_tradnl"/>
        </w:rPr>
        <w:t xml:space="preserve">se han </w:t>
      </w:r>
      <w:r w:rsidR="00FD1A85">
        <w:rPr>
          <w:lang w:val="es-ES_tradnl"/>
        </w:rPr>
        <w:t>id</w:t>
      </w:r>
      <w:r w:rsidR="00AB5E73" w:rsidRPr="000D61D9">
        <w:rPr>
          <w:lang w:val="es-ES_tradnl"/>
        </w:rPr>
        <w:t xml:space="preserve">o creando </w:t>
      </w:r>
      <w:r w:rsidR="00C15CAA" w:rsidRPr="000D61D9">
        <w:rPr>
          <w:lang w:val="es-ES_tradnl"/>
        </w:rPr>
        <w:t>más</w:t>
      </w:r>
      <w:r w:rsidRPr="000D61D9">
        <w:rPr>
          <w:lang w:val="es-ES_tradnl"/>
        </w:rPr>
        <w:t xml:space="preserve"> centros de protección contra la violencia </w:t>
      </w:r>
      <w:r w:rsidR="00C15CAA" w:rsidRPr="000D61D9">
        <w:rPr>
          <w:lang w:val="es-ES_tradnl"/>
        </w:rPr>
        <w:t>e</w:t>
      </w:r>
      <w:r w:rsidRPr="000D61D9">
        <w:rPr>
          <w:lang w:val="es-ES_tradnl"/>
        </w:rPr>
        <w:t>n</w:t>
      </w:r>
      <w:r w:rsidR="00AB5E73" w:rsidRPr="000D61D9">
        <w:rPr>
          <w:lang w:val="es-ES_tradnl"/>
        </w:rPr>
        <w:t xml:space="preserve"> todas las provincias federales; el</w:t>
      </w:r>
      <w:r w:rsidRPr="000D61D9">
        <w:rPr>
          <w:lang w:val="es-ES_tradnl"/>
        </w:rPr>
        <w:t xml:space="preserve"> presupuesto </w:t>
      </w:r>
      <w:r w:rsidR="00AB5E73" w:rsidRPr="000D61D9">
        <w:rPr>
          <w:lang w:val="es-ES_tradnl"/>
        </w:rPr>
        <w:t xml:space="preserve">de estos centros </w:t>
      </w:r>
      <w:r w:rsidR="00C15CAA" w:rsidRPr="000D61D9">
        <w:rPr>
          <w:lang w:val="es-ES_tradnl"/>
        </w:rPr>
        <w:t>ha sido aumentado a más del doble</w:t>
      </w:r>
      <w:r w:rsidRPr="000D61D9">
        <w:rPr>
          <w:lang w:val="es-ES_tradnl"/>
        </w:rPr>
        <w:t xml:space="preserve"> (</w:t>
      </w:r>
      <w:r w:rsidR="00C15CAA" w:rsidRPr="000D61D9">
        <w:rPr>
          <w:lang w:val="es-ES_tradnl"/>
        </w:rPr>
        <w:t>en 2010 ascendió a</w:t>
      </w:r>
      <w:r w:rsidR="00AB5E73" w:rsidRPr="000D61D9">
        <w:rPr>
          <w:lang w:val="es-ES_tradnl"/>
        </w:rPr>
        <w:t xml:space="preserve"> 6.360.000 euros). Se han habilitado</w:t>
      </w:r>
      <w:r w:rsidRPr="000D61D9">
        <w:rPr>
          <w:lang w:val="es-ES_tradnl"/>
        </w:rPr>
        <w:t xml:space="preserve"> otros 14 centros regionales y oficinas de </w:t>
      </w:r>
      <w:r w:rsidR="00C15CAA" w:rsidRPr="000D61D9">
        <w:rPr>
          <w:lang w:val="es-ES_tradnl"/>
        </w:rPr>
        <w:t>orientación</w:t>
      </w:r>
      <w:r w:rsidR="00AB5E73" w:rsidRPr="000D61D9">
        <w:rPr>
          <w:lang w:val="es-ES_tradnl"/>
        </w:rPr>
        <w:t xml:space="preserve">, </w:t>
      </w:r>
      <w:r w:rsidRPr="000D61D9">
        <w:rPr>
          <w:lang w:val="es-ES_tradnl"/>
        </w:rPr>
        <w:t xml:space="preserve">algunos </w:t>
      </w:r>
      <w:r w:rsidR="00AB5E73" w:rsidRPr="000D61D9">
        <w:rPr>
          <w:lang w:val="es-ES_tradnl"/>
        </w:rPr>
        <w:t xml:space="preserve">de los cuales </w:t>
      </w:r>
      <w:r w:rsidRPr="000D61D9">
        <w:rPr>
          <w:lang w:val="es-ES_tradnl"/>
        </w:rPr>
        <w:t>están financiados por las provincias federales respectivas. La cantidad de víctimas que asisten a dichos centros aumentó de 8.623 en 2004 a 14.622 en 2009</w:t>
      </w:r>
      <w:r w:rsidRPr="000D61D9">
        <w:rPr>
          <w:rStyle w:val="FootnoteReference"/>
          <w:lang w:val="es-ES_tradnl"/>
        </w:rPr>
        <w:footnoteReference w:id="44"/>
      </w:r>
      <w:r w:rsidRPr="000D61D9">
        <w:rPr>
          <w:lang w:val="es-ES_tradnl"/>
        </w:rPr>
        <w:t xml:space="preserve">. También se han </w:t>
      </w:r>
      <w:r w:rsidR="00C15CAA" w:rsidRPr="000D61D9">
        <w:rPr>
          <w:lang w:val="es-ES_tradnl"/>
        </w:rPr>
        <w:t>habilitado nuevos centros de acogida</w:t>
      </w:r>
      <w:r w:rsidRPr="000D61D9">
        <w:rPr>
          <w:lang w:val="es-ES_tradnl"/>
        </w:rPr>
        <w:t xml:space="preserve"> para mujeres</w:t>
      </w:r>
      <w:r w:rsidR="00C15CAA" w:rsidRPr="000D61D9">
        <w:rPr>
          <w:lang w:val="es-ES_tradnl"/>
        </w:rPr>
        <w:t xml:space="preserve"> víctimas de la violencia, que se suman</w:t>
      </w:r>
      <w:r w:rsidRPr="000D61D9">
        <w:rPr>
          <w:lang w:val="es-ES_tradnl"/>
        </w:rPr>
        <w:t xml:space="preserve"> a la lista </w:t>
      </w:r>
      <w:r w:rsidR="00C15CAA" w:rsidRPr="000D61D9">
        <w:rPr>
          <w:lang w:val="es-ES_tradnl"/>
        </w:rPr>
        <w:t xml:space="preserve">ya </w:t>
      </w:r>
      <w:r w:rsidRPr="000D61D9">
        <w:rPr>
          <w:lang w:val="es-ES_tradnl"/>
        </w:rPr>
        <w:t>existente; en 2010</w:t>
      </w:r>
      <w:r w:rsidR="00C15CAA" w:rsidRPr="000D61D9">
        <w:rPr>
          <w:lang w:val="es-ES_tradnl"/>
        </w:rPr>
        <w:t xml:space="preserve">, 30 </w:t>
      </w:r>
      <w:r w:rsidR="001A696C" w:rsidRPr="000D61D9">
        <w:rPr>
          <w:lang w:val="es-ES_tradnl"/>
        </w:rPr>
        <w:t>centro</w:t>
      </w:r>
      <w:r w:rsidR="00C15CAA" w:rsidRPr="000D61D9">
        <w:rPr>
          <w:lang w:val="es-ES_tradnl"/>
        </w:rPr>
        <w:t>s</w:t>
      </w:r>
      <w:r w:rsidRPr="000D61D9">
        <w:rPr>
          <w:lang w:val="es-ES_tradnl"/>
        </w:rPr>
        <w:t xml:space="preserve"> ofrecían un t</w:t>
      </w:r>
      <w:r w:rsidR="00C15CAA" w:rsidRPr="000D61D9">
        <w:rPr>
          <w:lang w:val="es-ES_tradnl"/>
        </w:rPr>
        <w:t>otal de 750 plazas.</w:t>
      </w:r>
      <w:r w:rsidRPr="000D61D9">
        <w:rPr>
          <w:lang w:val="es-ES_tradnl"/>
        </w:rPr>
        <w:t xml:space="preserve"> </w:t>
      </w:r>
      <w:r w:rsidR="00C15CAA" w:rsidRPr="000D61D9">
        <w:rPr>
          <w:lang w:val="es-ES_tradnl"/>
        </w:rPr>
        <w:t>Muchos</w:t>
      </w:r>
      <w:r w:rsidRPr="000D61D9">
        <w:rPr>
          <w:lang w:val="es-ES_tradnl"/>
        </w:rPr>
        <w:t xml:space="preserve"> centros de </w:t>
      </w:r>
      <w:r w:rsidR="00C15CAA" w:rsidRPr="000D61D9">
        <w:rPr>
          <w:lang w:val="es-ES_tradnl"/>
        </w:rPr>
        <w:t>asesoramiento en asuntos de</w:t>
      </w:r>
      <w:r w:rsidRPr="000D61D9">
        <w:rPr>
          <w:lang w:val="es-ES_tradnl"/>
        </w:rPr>
        <w:t xml:space="preserve"> la mujer han recibido financia</w:t>
      </w:r>
      <w:r w:rsidR="00C15CAA" w:rsidRPr="000D61D9">
        <w:rPr>
          <w:lang w:val="es-ES_tradnl"/>
        </w:rPr>
        <w:t>ción</w:t>
      </w:r>
      <w:r w:rsidRPr="000D61D9">
        <w:rPr>
          <w:lang w:val="es-ES_tradnl"/>
        </w:rPr>
        <w:t xml:space="preserve">. El servicio telefónico </w:t>
      </w:r>
      <w:r w:rsidR="00C15CAA" w:rsidRPr="000D61D9">
        <w:rPr>
          <w:lang w:val="es-ES_tradnl"/>
        </w:rPr>
        <w:t xml:space="preserve">gratuito de asistencia </w:t>
      </w:r>
      <w:r w:rsidRPr="000D61D9">
        <w:rPr>
          <w:lang w:val="es-ES_tradnl"/>
        </w:rPr>
        <w:t>a las mujeres expuestas a la violencia masculina, al que se ha dado una amplia difusión, está disponible las 24 horas</w:t>
      </w:r>
      <w:r w:rsidR="00C15CAA" w:rsidRPr="000D61D9">
        <w:rPr>
          <w:lang w:val="es-ES_tradnl"/>
        </w:rPr>
        <w:t xml:space="preserve"> y funciona en todo el país. Además de est</w:t>
      </w:r>
      <w:r w:rsidRPr="000D61D9">
        <w:rPr>
          <w:lang w:val="es-ES_tradnl"/>
        </w:rPr>
        <w:t>a línea</w:t>
      </w:r>
      <w:r w:rsidR="00C15CAA" w:rsidRPr="000D61D9">
        <w:rPr>
          <w:lang w:val="es-ES_tradnl"/>
        </w:rPr>
        <w:t xml:space="preserve">, </w:t>
      </w:r>
      <w:r w:rsidRPr="000D61D9">
        <w:rPr>
          <w:lang w:val="es-ES_tradnl"/>
        </w:rPr>
        <w:t>Viena</w:t>
      </w:r>
      <w:r w:rsidR="00C15CAA" w:rsidRPr="000D61D9">
        <w:rPr>
          <w:lang w:val="es-ES_tradnl"/>
        </w:rPr>
        <w:t xml:space="preserve"> cuenta con otras cinco líneas telefónicas regionales</w:t>
      </w:r>
      <w:r w:rsidRPr="000D61D9">
        <w:rPr>
          <w:lang w:val="es-ES_tradnl"/>
        </w:rPr>
        <w:t>.</w:t>
      </w:r>
    </w:p>
    <w:p w:rsidR="00927023" w:rsidRPr="000D61D9" w:rsidRDefault="00927023" w:rsidP="00927023">
      <w:pPr>
        <w:pStyle w:val="SingleTxtG"/>
        <w:rPr>
          <w:lang w:val="es-ES_tradnl"/>
        </w:rPr>
      </w:pPr>
      <w:r w:rsidRPr="000D61D9">
        <w:rPr>
          <w:lang w:val="es-ES_tradnl"/>
        </w:rPr>
        <w:t>65.</w:t>
      </w:r>
      <w:r w:rsidRPr="000D61D9">
        <w:rPr>
          <w:lang w:val="es-ES_tradnl"/>
        </w:rPr>
        <w:tab/>
        <w:t>Formación básica y avanzada: Se han financiado constantement</w:t>
      </w:r>
      <w:r w:rsidR="001A696C" w:rsidRPr="000D61D9">
        <w:rPr>
          <w:lang w:val="es-ES_tradnl"/>
        </w:rPr>
        <w:t>e talleres de formación básica</w:t>
      </w:r>
      <w:r w:rsidRPr="000D61D9">
        <w:rPr>
          <w:lang w:val="es-ES_tradnl"/>
        </w:rPr>
        <w:t xml:space="preserve"> y avan</w:t>
      </w:r>
      <w:r w:rsidR="001A696C" w:rsidRPr="000D61D9">
        <w:rPr>
          <w:lang w:val="es-ES_tradnl"/>
        </w:rPr>
        <w:t>zada para e</w:t>
      </w:r>
      <w:r w:rsidRPr="000D61D9">
        <w:rPr>
          <w:lang w:val="es-ES_tradnl"/>
        </w:rPr>
        <w:t xml:space="preserve">l personal de las </w:t>
      </w:r>
      <w:r w:rsidR="001A696C" w:rsidRPr="000D61D9">
        <w:rPr>
          <w:lang w:val="es-ES_tradnl"/>
        </w:rPr>
        <w:t>instituciones de protección de</w:t>
      </w:r>
      <w:r w:rsidRPr="000D61D9">
        <w:rPr>
          <w:lang w:val="es-ES_tradnl"/>
        </w:rPr>
        <w:t xml:space="preserve"> la mujer. Desde 2009, se </w:t>
      </w:r>
      <w:r w:rsidR="00376930" w:rsidRPr="000D61D9">
        <w:rPr>
          <w:lang w:val="es-ES_tradnl"/>
        </w:rPr>
        <w:t>org</w:t>
      </w:r>
      <w:r w:rsidR="00CB0FBA" w:rsidRPr="000D61D9">
        <w:rPr>
          <w:lang w:val="es-ES_tradnl"/>
        </w:rPr>
        <w:t>anizan</w:t>
      </w:r>
      <w:r w:rsidR="00376930" w:rsidRPr="000D61D9">
        <w:rPr>
          <w:lang w:val="es-ES_tradnl"/>
        </w:rPr>
        <w:t xml:space="preserve"> otros talleres</w:t>
      </w:r>
      <w:r w:rsidR="00AB5E73" w:rsidRPr="000D61D9">
        <w:rPr>
          <w:lang w:val="es-ES_tradnl"/>
        </w:rPr>
        <w:t xml:space="preserve"> que cuentan con</w:t>
      </w:r>
      <w:r w:rsidR="00376930" w:rsidRPr="000D61D9">
        <w:rPr>
          <w:lang w:val="es-ES_tradnl"/>
        </w:rPr>
        <w:t xml:space="preserve"> un programa propio</w:t>
      </w:r>
      <w:r w:rsidR="001A696C" w:rsidRPr="000D61D9">
        <w:rPr>
          <w:lang w:val="es-ES_tradnl"/>
        </w:rPr>
        <w:t>, de</w:t>
      </w:r>
      <w:r w:rsidRPr="000D61D9">
        <w:rPr>
          <w:lang w:val="es-ES_tradnl"/>
        </w:rPr>
        <w:t>stin</w:t>
      </w:r>
      <w:r w:rsidR="001A696C" w:rsidRPr="000D61D9">
        <w:rPr>
          <w:lang w:val="es-ES_tradnl"/>
        </w:rPr>
        <w:t>ados al personal que brinda</w:t>
      </w:r>
      <w:r w:rsidRPr="000D61D9">
        <w:rPr>
          <w:lang w:val="es-ES_tradnl"/>
        </w:rPr>
        <w:t xml:space="preserve"> asistencia psicosocial a las mujeres durante las acciones penales. </w:t>
      </w:r>
      <w:r w:rsidR="00376930" w:rsidRPr="000D61D9">
        <w:rPr>
          <w:lang w:val="es-ES_tradnl"/>
        </w:rPr>
        <w:t>Se celebran reuniones periódicas</w:t>
      </w:r>
      <w:r w:rsidRPr="000D61D9">
        <w:rPr>
          <w:lang w:val="es-ES_tradnl"/>
        </w:rPr>
        <w:t xml:space="preserve"> con los representantes de los centros de protección contra la violencia</w:t>
      </w:r>
      <w:r w:rsidR="00CD1F43" w:rsidRPr="000D61D9">
        <w:rPr>
          <w:lang w:val="es-ES_tradnl"/>
        </w:rPr>
        <w:t xml:space="preserve"> para analizar las mejoras necesarias</w:t>
      </w:r>
      <w:r w:rsidR="00376930" w:rsidRPr="000D61D9">
        <w:rPr>
          <w:lang w:val="es-ES_tradnl"/>
        </w:rPr>
        <w:t xml:space="preserve">; </w:t>
      </w:r>
      <w:r w:rsidRPr="000D61D9">
        <w:rPr>
          <w:lang w:val="es-ES_tradnl"/>
        </w:rPr>
        <w:t xml:space="preserve">la Ministra Federal de Asuntos de la Mujer </w:t>
      </w:r>
      <w:r w:rsidR="00376930" w:rsidRPr="000D61D9">
        <w:rPr>
          <w:lang w:val="es-ES_tradnl"/>
        </w:rPr>
        <w:t xml:space="preserve">sistemáticamente </w:t>
      </w:r>
      <w:r w:rsidR="00CD1F43">
        <w:rPr>
          <w:lang w:val="es-ES_tradnl"/>
        </w:rPr>
        <w:t xml:space="preserve">invita a delegados de ONG que trabajan en asuntos de </w:t>
      </w:r>
      <w:r w:rsidRPr="000D61D9">
        <w:rPr>
          <w:lang w:val="es-ES_tradnl"/>
        </w:rPr>
        <w:t>la mujer a participar en los debates.</w:t>
      </w:r>
    </w:p>
    <w:p w:rsidR="00927023" w:rsidRPr="000D61D9" w:rsidRDefault="001D4A4D" w:rsidP="00927023">
      <w:pPr>
        <w:pStyle w:val="SingleTxtG"/>
        <w:rPr>
          <w:lang w:val="es-ES_tradnl"/>
        </w:rPr>
      </w:pPr>
      <w:r w:rsidRPr="000D61D9">
        <w:rPr>
          <w:lang w:val="es-ES_tradnl"/>
        </w:rPr>
        <w:t>66.</w:t>
      </w:r>
      <w:r w:rsidRPr="000D61D9">
        <w:rPr>
          <w:lang w:val="es-ES_tradnl"/>
        </w:rPr>
        <w:tab/>
        <w:t>Entre los temas incluidos en los exámenes que habilitan a los candidatos para los cargos judiciales, cabe mencionar la prevención de la violencia;</w:t>
      </w:r>
      <w:r w:rsidR="00927023" w:rsidRPr="000D61D9">
        <w:rPr>
          <w:lang w:val="es-ES_tradnl"/>
        </w:rPr>
        <w:t xml:space="preserve"> las leyes que rigen la</w:t>
      </w:r>
      <w:r w:rsidRPr="000D61D9">
        <w:rPr>
          <w:lang w:val="es-ES_tradnl"/>
        </w:rPr>
        <w:t xml:space="preserve"> protección contra la violencia;</w:t>
      </w:r>
      <w:r w:rsidR="00927023" w:rsidRPr="000D61D9">
        <w:rPr>
          <w:lang w:val="es-ES_tradnl"/>
        </w:rPr>
        <w:t xml:space="preserve"> </w:t>
      </w:r>
      <w:r w:rsidRPr="000D61D9">
        <w:rPr>
          <w:lang w:val="es-ES_tradnl"/>
        </w:rPr>
        <w:t>l</w:t>
      </w:r>
      <w:r w:rsidR="00927023" w:rsidRPr="000D61D9">
        <w:rPr>
          <w:lang w:val="es-ES_tradnl"/>
        </w:rPr>
        <w:t xml:space="preserve">a cooperación entre el poder judicial, los órganos de aplicación de la ley, las instituciones de protección de las víctimas y los centros de intervención, </w:t>
      </w:r>
      <w:r w:rsidRPr="000D61D9">
        <w:rPr>
          <w:lang w:val="es-ES_tradnl"/>
        </w:rPr>
        <w:t xml:space="preserve">así como </w:t>
      </w:r>
      <w:r w:rsidR="00927023" w:rsidRPr="000D61D9">
        <w:rPr>
          <w:lang w:val="es-ES_tradnl"/>
        </w:rPr>
        <w:t>l</w:t>
      </w:r>
      <w:r w:rsidRPr="000D61D9">
        <w:rPr>
          <w:lang w:val="es-ES_tradnl"/>
        </w:rPr>
        <w:t xml:space="preserve">a labor que se realiza en ellos; y </w:t>
      </w:r>
      <w:r w:rsidR="00927023" w:rsidRPr="000D61D9">
        <w:rPr>
          <w:lang w:val="es-ES_tradnl"/>
        </w:rPr>
        <w:t>los derechos humanos y fundamentales</w:t>
      </w:r>
      <w:r w:rsidR="00CB0FBA" w:rsidRPr="000D61D9">
        <w:rPr>
          <w:lang w:val="es-ES_tradnl"/>
        </w:rPr>
        <w:t xml:space="preserve">. Desde 2008, </w:t>
      </w:r>
      <w:r w:rsidR="00927023" w:rsidRPr="000D61D9">
        <w:rPr>
          <w:lang w:val="es-ES_tradnl"/>
        </w:rPr>
        <w:t xml:space="preserve">los candidatos a juez </w:t>
      </w:r>
      <w:r w:rsidR="00CB0FBA" w:rsidRPr="000D61D9">
        <w:rPr>
          <w:lang w:val="es-ES_tradnl"/>
        </w:rPr>
        <w:t xml:space="preserve">deben </w:t>
      </w:r>
      <w:r w:rsidR="00927023" w:rsidRPr="000D61D9">
        <w:rPr>
          <w:lang w:val="es-ES_tradnl"/>
        </w:rPr>
        <w:t>reali</w:t>
      </w:r>
      <w:r w:rsidR="00CB0FBA" w:rsidRPr="000D61D9">
        <w:rPr>
          <w:lang w:val="es-ES_tradnl"/>
        </w:rPr>
        <w:t>zar</w:t>
      </w:r>
      <w:r w:rsidR="00FD1A85">
        <w:rPr>
          <w:lang w:val="es-ES_tradnl"/>
        </w:rPr>
        <w:t xml:space="preserve"> un taller</w:t>
      </w:r>
      <w:r w:rsidR="00927023" w:rsidRPr="000D61D9">
        <w:rPr>
          <w:lang w:val="es-ES_tradnl"/>
        </w:rPr>
        <w:t xml:space="preserve"> de tres días </w:t>
      </w:r>
      <w:r w:rsidR="00CB0FBA" w:rsidRPr="000D61D9">
        <w:rPr>
          <w:lang w:val="es-ES_tradnl"/>
        </w:rPr>
        <w:t>sobre</w:t>
      </w:r>
      <w:r w:rsidR="00927023" w:rsidRPr="000D61D9">
        <w:rPr>
          <w:lang w:val="es-ES_tradnl"/>
        </w:rPr>
        <w:t xml:space="preserve"> derechos fundamentales y </w:t>
      </w:r>
      <w:r w:rsidR="00CB0FBA" w:rsidRPr="000D61D9">
        <w:rPr>
          <w:lang w:val="es-ES_tradnl"/>
        </w:rPr>
        <w:t>recibir forma</w:t>
      </w:r>
      <w:r w:rsidR="00927023" w:rsidRPr="000D61D9">
        <w:rPr>
          <w:lang w:val="es-ES_tradnl"/>
        </w:rPr>
        <w:t>ción práctica en una institución de bienestar o protección de las víctimas durante un período de dos semanas</w:t>
      </w:r>
      <w:r w:rsidR="00CB0FBA" w:rsidRPr="000D61D9">
        <w:rPr>
          <w:lang w:val="es-ES_tradnl"/>
        </w:rPr>
        <w:t xml:space="preserve"> como mínimo</w:t>
      </w:r>
      <w:r w:rsidR="00927023" w:rsidRPr="000D61D9">
        <w:rPr>
          <w:lang w:val="es-ES_tradnl"/>
        </w:rPr>
        <w:t xml:space="preserve">. Para la formación avanzada de magistrados y fiscales, hay diversos </w:t>
      </w:r>
      <w:r w:rsidR="00FD1A85">
        <w:rPr>
          <w:lang w:val="es-ES_tradnl"/>
        </w:rPr>
        <w:t xml:space="preserve">talleres </w:t>
      </w:r>
      <w:r w:rsidR="00927023" w:rsidRPr="000D61D9">
        <w:rPr>
          <w:lang w:val="es-ES_tradnl"/>
        </w:rPr>
        <w:t xml:space="preserve">que tratan sobre estos temas, así como sobre asuntos específicos como </w:t>
      </w:r>
      <w:r w:rsidR="00C70626">
        <w:rPr>
          <w:lang w:val="es-ES_tradnl"/>
        </w:rPr>
        <w:t>"</w:t>
      </w:r>
      <w:r w:rsidR="00927023" w:rsidRPr="000D61D9">
        <w:rPr>
          <w:lang w:val="es-ES_tradnl"/>
        </w:rPr>
        <w:t>la violencia dirigida hacia la mujer y la violencia doméstica</w:t>
      </w:r>
      <w:r w:rsidR="00C70626">
        <w:rPr>
          <w:lang w:val="es-ES_tradnl"/>
        </w:rPr>
        <w:t>"</w:t>
      </w:r>
      <w:r w:rsidR="00927023" w:rsidRPr="000D61D9">
        <w:rPr>
          <w:lang w:val="es-ES_tradnl"/>
        </w:rPr>
        <w:t xml:space="preserve"> y </w:t>
      </w:r>
      <w:r w:rsidR="00C70626">
        <w:rPr>
          <w:lang w:val="es-ES_tradnl"/>
        </w:rPr>
        <w:t>"</w:t>
      </w:r>
      <w:r w:rsidR="00927023" w:rsidRPr="000D61D9">
        <w:rPr>
          <w:lang w:val="es-ES_tradnl"/>
        </w:rPr>
        <w:t>la trata de seres humanos</w:t>
      </w:r>
      <w:r w:rsidR="00C70626">
        <w:rPr>
          <w:lang w:val="es-ES_tradnl"/>
        </w:rPr>
        <w:t>"</w:t>
      </w:r>
      <w:r w:rsidR="00927023" w:rsidRPr="000D61D9">
        <w:rPr>
          <w:lang w:val="es-ES_tradnl"/>
        </w:rPr>
        <w:t>.</w:t>
      </w:r>
    </w:p>
    <w:p w:rsidR="00927023" w:rsidRPr="00EB182D" w:rsidRDefault="00927023" w:rsidP="00927023">
      <w:pPr>
        <w:pStyle w:val="SingleTxtG"/>
        <w:rPr>
          <w:lang w:val="es-ES_tradnl"/>
        </w:rPr>
      </w:pPr>
      <w:r w:rsidRPr="000D61D9">
        <w:rPr>
          <w:lang w:val="es-ES_tradnl"/>
        </w:rPr>
        <w:t>67.</w:t>
      </w:r>
      <w:r w:rsidRPr="000D61D9">
        <w:rPr>
          <w:lang w:val="es-ES_tradnl"/>
        </w:rPr>
        <w:tab/>
        <w:t xml:space="preserve">La aplicación de la ley, que también incluye la intervención policial, </w:t>
      </w:r>
      <w:r w:rsidR="008554AC" w:rsidRPr="000D61D9">
        <w:rPr>
          <w:lang w:val="es-ES_tradnl"/>
        </w:rPr>
        <w:t>tiene como meta la prevención;</w:t>
      </w:r>
      <w:r w:rsidRPr="000D61D9">
        <w:rPr>
          <w:lang w:val="es-ES_tradnl"/>
        </w:rPr>
        <w:t xml:space="preserve"> se espera que un enfoque de tolerancia cero </w:t>
      </w:r>
      <w:r w:rsidR="008554AC" w:rsidRPr="000D61D9">
        <w:rPr>
          <w:lang w:val="es-ES_tradnl"/>
        </w:rPr>
        <w:t>con la</w:t>
      </w:r>
      <w:r w:rsidRPr="000D61D9">
        <w:rPr>
          <w:lang w:val="es-ES_tradnl"/>
        </w:rPr>
        <w:t xml:space="preserve"> violencia doméstica reduzca el riesgo de actos de violencia repetidos. En última instancia, esto debería contribu</w:t>
      </w:r>
      <w:r w:rsidR="008554AC" w:rsidRPr="000D61D9">
        <w:rPr>
          <w:lang w:val="es-ES_tradnl"/>
        </w:rPr>
        <w:t xml:space="preserve">ir a un cambio de la </w:t>
      </w:r>
      <w:r w:rsidRPr="000D61D9">
        <w:rPr>
          <w:lang w:val="es-ES_tradnl"/>
        </w:rPr>
        <w:t>s</w:t>
      </w:r>
      <w:r w:rsidR="008554AC" w:rsidRPr="000D61D9">
        <w:rPr>
          <w:lang w:val="es-ES_tradnl"/>
        </w:rPr>
        <w:t>ituación estructural</w:t>
      </w:r>
      <w:r w:rsidRPr="00EB182D">
        <w:rPr>
          <w:lang w:val="es-ES_tradnl"/>
        </w:rPr>
        <w:t>. Los funcionarios encargados de hacer cumplir la ley deben explicar a los agresores que son responsables de sus delitos</w:t>
      </w:r>
      <w:r w:rsidR="008554AC">
        <w:rPr>
          <w:lang w:val="es-ES_tradnl"/>
        </w:rPr>
        <w:t>,</w:t>
      </w:r>
      <w:r w:rsidRPr="00EB182D">
        <w:rPr>
          <w:lang w:val="es-ES_tradnl"/>
        </w:rPr>
        <w:t xml:space="preserve"> y</w:t>
      </w:r>
      <w:r w:rsidR="008554AC">
        <w:rPr>
          <w:lang w:val="es-ES_tradnl"/>
        </w:rPr>
        <w:t xml:space="preserve"> confrontarlos con el carácter ilícito</w:t>
      </w:r>
      <w:r w:rsidRPr="00EB182D">
        <w:rPr>
          <w:lang w:val="es-ES_tradnl"/>
        </w:rPr>
        <w:t xml:space="preserve"> de sus actos.</w:t>
      </w:r>
    </w:p>
    <w:p w:rsidR="00927023" w:rsidRPr="000D61D9" w:rsidRDefault="00927023" w:rsidP="00927023">
      <w:pPr>
        <w:pStyle w:val="SingleTxtG"/>
        <w:rPr>
          <w:lang w:val="es-ES_tradnl"/>
        </w:rPr>
      </w:pPr>
      <w:r w:rsidRPr="00EB182D">
        <w:rPr>
          <w:lang w:val="es-ES_tradnl"/>
        </w:rPr>
        <w:t>68.</w:t>
      </w:r>
      <w:r w:rsidRPr="00EB182D">
        <w:rPr>
          <w:lang w:val="es-ES_tradnl"/>
        </w:rPr>
        <w:tab/>
        <w:t>Diversos proyectos y campañas se han ce</w:t>
      </w:r>
      <w:r w:rsidRPr="000D61D9">
        <w:rPr>
          <w:lang w:val="es-ES_tradnl"/>
        </w:rPr>
        <w:t xml:space="preserve">ntrado en </w:t>
      </w:r>
      <w:r w:rsidR="006F0F98" w:rsidRPr="000D61D9">
        <w:rPr>
          <w:lang w:val="es-ES_tradnl"/>
        </w:rPr>
        <w:t xml:space="preserve">aumentar </w:t>
      </w:r>
      <w:r w:rsidRPr="000D61D9">
        <w:rPr>
          <w:lang w:val="es-ES_tradnl"/>
        </w:rPr>
        <w:t xml:space="preserve">la capacidad </w:t>
      </w:r>
      <w:r w:rsidR="006F0F98" w:rsidRPr="000D61D9">
        <w:rPr>
          <w:lang w:val="es-ES_tradnl"/>
        </w:rPr>
        <w:t>para</w:t>
      </w:r>
      <w:r w:rsidRPr="000D61D9">
        <w:rPr>
          <w:lang w:val="es-ES_tradnl"/>
        </w:rPr>
        <w:t xml:space="preserve"> solucionar </w:t>
      </w:r>
      <w:r w:rsidR="006F0F98" w:rsidRPr="000D61D9">
        <w:rPr>
          <w:lang w:val="es-ES_tradnl"/>
        </w:rPr>
        <w:t xml:space="preserve">los </w:t>
      </w:r>
      <w:r w:rsidRPr="000D61D9">
        <w:rPr>
          <w:lang w:val="es-ES_tradnl"/>
        </w:rPr>
        <w:t>conf</w:t>
      </w:r>
      <w:r w:rsidR="006F0F98" w:rsidRPr="000D61D9">
        <w:rPr>
          <w:lang w:val="es-ES_tradnl"/>
        </w:rPr>
        <w:t>lictos por medios pacíficos, y en</w:t>
      </w:r>
      <w:r w:rsidRPr="000D61D9">
        <w:rPr>
          <w:lang w:val="es-ES_tradnl"/>
        </w:rPr>
        <w:t xml:space="preserve"> crear conciencia sobre</w:t>
      </w:r>
      <w:r w:rsidR="006F0F98" w:rsidRPr="000D61D9">
        <w:rPr>
          <w:lang w:val="es-ES_tradnl"/>
        </w:rPr>
        <w:t xml:space="preserve"> la necesidad de prevenir</w:t>
      </w:r>
      <w:r w:rsidRPr="000D61D9">
        <w:rPr>
          <w:lang w:val="es-ES_tradnl"/>
        </w:rPr>
        <w:t xml:space="preserve"> la violencia. </w:t>
      </w:r>
    </w:p>
    <w:p w:rsidR="00927023" w:rsidRPr="000D61D9" w:rsidRDefault="00927023" w:rsidP="006F0F98">
      <w:pPr>
        <w:pStyle w:val="SingleTxtG"/>
        <w:rPr>
          <w:lang w:val="es-ES_tradnl"/>
        </w:rPr>
      </w:pPr>
      <w:r w:rsidRPr="000D61D9">
        <w:rPr>
          <w:lang w:val="es-ES_tradnl"/>
        </w:rPr>
        <w:t>69.</w:t>
      </w:r>
      <w:r w:rsidRPr="000D61D9">
        <w:rPr>
          <w:lang w:val="es-ES_tradnl"/>
        </w:rPr>
        <w:tab/>
        <w:t xml:space="preserve">Prácticas tradicionales nocivas, como </w:t>
      </w:r>
      <w:r w:rsidR="006F0F98" w:rsidRPr="000D61D9">
        <w:rPr>
          <w:lang w:val="es-ES_tradnl"/>
        </w:rPr>
        <w:t>el matrimonio forzado</w:t>
      </w:r>
      <w:r w:rsidRPr="000D61D9">
        <w:rPr>
          <w:lang w:val="es-ES_tradnl"/>
        </w:rPr>
        <w:t xml:space="preserve"> y </w:t>
      </w:r>
      <w:r w:rsidR="006F0F98" w:rsidRPr="000D61D9">
        <w:rPr>
          <w:lang w:val="es-ES_tradnl"/>
        </w:rPr>
        <w:t xml:space="preserve">la </w:t>
      </w:r>
      <w:r w:rsidRPr="000D61D9">
        <w:rPr>
          <w:lang w:val="es-ES_tradnl"/>
        </w:rPr>
        <w:t>mutilación ge</w:t>
      </w:r>
      <w:r w:rsidR="006F0F98" w:rsidRPr="000D61D9">
        <w:rPr>
          <w:lang w:val="es-ES_tradnl"/>
        </w:rPr>
        <w:t>nital de la mujer: Se celebraron</w:t>
      </w:r>
      <w:r w:rsidRPr="000D61D9">
        <w:rPr>
          <w:lang w:val="es-ES_tradnl"/>
        </w:rPr>
        <w:t xml:space="preserve"> varias reuniones técnicas y se compiló un catálogo de medidas destinadas a la la</w:t>
      </w:r>
      <w:r w:rsidR="00624B45" w:rsidRPr="000D61D9">
        <w:rPr>
          <w:lang w:val="es-ES_tradnl"/>
        </w:rPr>
        <w:t>bor de prevención. Se publicó</w:t>
      </w:r>
      <w:r w:rsidRPr="000D61D9">
        <w:rPr>
          <w:lang w:val="es-ES_tradnl"/>
        </w:rPr>
        <w:t xml:space="preserve"> un estudio sobre </w:t>
      </w:r>
      <w:r w:rsidR="009533A8" w:rsidRPr="000D61D9">
        <w:rPr>
          <w:lang w:val="es-ES_tradnl"/>
        </w:rPr>
        <w:t xml:space="preserve">las prácticas tradicionales nocivas como causa de </w:t>
      </w:r>
      <w:r w:rsidRPr="000D61D9">
        <w:rPr>
          <w:lang w:val="es-ES_tradnl"/>
        </w:rPr>
        <w:t>la violencia contra la mujer</w:t>
      </w:r>
      <w:r w:rsidR="006F0F98" w:rsidRPr="000D61D9">
        <w:rPr>
          <w:lang w:val="es-ES_tradnl"/>
        </w:rPr>
        <w:t xml:space="preserve"> (2008)</w:t>
      </w:r>
      <w:r w:rsidR="00624B45" w:rsidRPr="000D61D9">
        <w:rPr>
          <w:lang w:val="es-ES_tradnl"/>
        </w:rPr>
        <w:t xml:space="preserve">, así como </w:t>
      </w:r>
      <w:r w:rsidR="006F0F98" w:rsidRPr="000D61D9">
        <w:rPr>
          <w:lang w:val="es-ES_tradnl"/>
        </w:rPr>
        <w:t xml:space="preserve">un folleto </w:t>
      </w:r>
      <w:r w:rsidRPr="000D61D9">
        <w:rPr>
          <w:lang w:val="es-ES_tradnl"/>
        </w:rPr>
        <w:t>basa</w:t>
      </w:r>
      <w:r w:rsidR="006F0F98" w:rsidRPr="000D61D9">
        <w:rPr>
          <w:lang w:val="es-ES_tradnl"/>
        </w:rPr>
        <w:t>do</w:t>
      </w:r>
      <w:r w:rsidR="009533A8" w:rsidRPr="000D61D9">
        <w:rPr>
          <w:lang w:val="es-ES_tradnl"/>
        </w:rPr>
        <w:t xml:space="preserve"> en dicho estudio (2009). Bajo la dirección del Presidente del Consejo Nacional y la coordinación de la African-Women</w:t>
      </w:r>
      <w:r w:rsidR="008D34BE">
        <w:rPr>
          <w:lang w:val="es-ES_tradnl"/>
        </w:rPr>
        <w:t>'</w:t>
      </w:r>
      <w:r w:rsidR="009533A8" w:rsidRPr="000D61D9">
        <w:rPr>
          <w:lang w:val="es-ES_tradnl"/>
        </w:rPr>
        <w:t>s Organization</w:t>
      </w:r>
      <w:r w:rsidR="009533A8" w:rsidRPr="000D61D9">
        <w:rPr>
          <w:rStyle w:val="FootnoteReference"/>
          <w:lang w:val="es-ES_tradnl"/>
        </w:rPr>
        <w:footnoteReference w:id="45"/>
      </w:r>
      <w:r w:rsidR="009533A8" w:rsidRPr="000D61D9">
        <w:rPr>
          <w:lang w:val="es-ES_tradnl"/>
        </w:rPr>
        <w:t>, s</w:t>
      </w:r>
      <w:r w:rsidR="00624B45" w:rsidRPr="000D61D9">
        <w:rPr>
          <w:lang w:val="es-ES_tradnl"/>
        </w:rPr>
        <w:t>e formul</w:t>
      </w:r>
      <w:r w:rsidRPr="000D61D9">
        <w:rPr>
          <w:lang w:val="es-ES_tradnl"/>
        </w:rPr>
        <w:t>ó un Plan de Acción Nacional para la Prevención y Eliminación de la Mutilación Genital</w:t>
      </w:r>
      <w:r w:rsidR="009533A8" w:rsidRPr="000D61D9">
        <w:rPr>
          <w:lang w:val="es-ES_tradnl"/>
        </w:rPr>
        <w:t xml:space="preserve"> Femenina en Austria</w:t>
      </w:r>
      <w:r w:rsidR="00624B45" w:rsidRPr="000D61D9">
        <w:rPr>
          <w:lang w:val="es-ES_tradnl"/>
        </w:rPr>
        <w:t>. Con ocasión</w:t>
      </w:r>
      <w:r w:rsidRPr="000D61D9">
        <w:rPr>
          <w:lang w:val="es-ES_tradnl"/>
        </w:rPr>
        <w:t xml:space="preserve"> de la celebración del Día de Lucha contra la Mutilación Genital Femenina, se publicó un</w:t>
      </w:r>
      <w:r w:rsidR="009533A8" w:rsidRPr="000D61D9">
        <w:rPr>
          <w:lang w:val="es-ES_tradnl"/>
        </w:rPr>
        <w:t>a nueva</w:t>
      </w:r>
      <w:r w:rsidRPr="000D61D9">
        <w:rPr>
          <w:lang w:val="es-ES_tradnl"/>
        </w:rPr>
        <w:t xml:space="preserve"> </w:t>
      </w:r>
      <w:r w:rsidR="009533A8" w:rsidRPr="000D61D9">
        <w:rPr>
          <w:lang w:val="es-ES_tradnl"/>
        </w:rPr>
        <w:t>carpeta de información en cinco idiomas, elaborada</w:t>
      </w:r>
      <w:r w:rsidRPr="000D61D9">
        <w:rPr>
          <w:lang w:val="es-ES_tradnl"/>
        </w:rPr>
        <w:t xml:space="preserve"> por </w:t>
      </w:r>
      <w:r w:rsidR="00C70626">
        <w:rPr>
          <w:lang w:val="es-ES_tradnl"/>
        </w:rPr>
        <w:t>"</w:t>
      </w:r>
      <w:r w:rsidRPr="000D61D9">
        <w:rPr>
          <w:lang w:val="es-ES_tradnl"/>
        </w:rPr>
        <w:t>Stop FGM</w:t>
      </w:r>
      <w:r w:rsidR="00C70626">
        <w:rPr>
          <w:lang w:val="es-ES_tradnl"/>
        </w:rPr>
        <w:t>"</w:t>
      </w:r>
      <w:r w:rsidRPr="000D61D9">
        <w:rPr>
          <w:lang w:val="es-ES_tradnl"/>
        </w:rPr>
        <w:t xml:space="preserve"> </w:t>
      </w:r>
      <w:r w:rsidR="009533A8" w:rsidRPr="000D61D9">
        <w:rPr>
          <w:lang w:val="es-ES_tradnl"/>
        </w:rPr>
        <w:t>y destinada</w:t>
      </w:r>
      <w:r w:rsidRPr="000D61D9">
        <w:rPr>
          <w:lang w:val="es-ES_tradnl"/>
        </w:rPr>
        <w:t xml:space="preserve"> directamente a los padres.</w:t>
      </w:r>
    </w:p>
    <w:p w:rsidR="00927023" w:rsidRPr="000D61D9" w:rsidRDefault="00927023" w:rsidP="00927023">
      <w:pPr>
        <w:pStyle w:val="SingleTxtG"/>
        <w:rPr>
          <w:lang w:val="es-ES_tradnl"/>
        </w:rPr>
      </w:pPr>
      <w:r w:rsidRPr="000D61D9">
        <w:rPr>
          <w:lang w:val="es-ES_tradnl"/>
        </w:rPr>
        <w:t>70.</w:t>
      </w:r>
      <w:r w:rsidRPr="000D61D9">
        <w:rPr>
          <w:lang w:val="es-ES_tradnl"/>
        </w:rPr>
        <w:tab/>
        <w:t>Mayor cooperación y coordinación: Todos los ministerios, los órganos de las provinci</w:t>
      </w:r>
      <w:r w:rsidR="00972124" w:rsidRPr="000D61D9">
        <w:rPr>
          <w:lang w:val="es-ES_tradnl"/>
        </w:rPr>
        <w:t>as federales y las ONG que se ocup</w:t>
      </w:r>
      <w:r w:rsidRPr="000D61D9">
        <w:rPr>
          <w:lang w:val="es-ES_tradnl"/>
        </w:rPr>
        <w:t xml:space="preserve">an </w:t>
      </w:r>
      <w:r w:rsidR="00972124" w:rsidRPr="000D61D9">
        <w:rPr>
          <w:lang w:val="es-ES_tradnl"/>
        </w:rPr>
        <w:t xml:space="preserve">de </w:t>
      </w:r>
      <w:r w:rsidRPr="000D61D9">
        <w:rPr>
          <w:lang w:val="es-ES_tradnl"/>
        </w:rPr>
        <w:t>la prevención de la violencia están representados en el Consejo Asesor sobre Asuntos Fundamentales de Prevención de la Violencia (el Consejo para la Prevención) del Ministerio Federal del Interior. Las actividades de dicho Consejo comprenden, en especial, la elaboración</w:t>
      </w:r>
      <w:r w:rsidRPr="00EB182D">
        <w:rPr>
          <w:lang w:val="es-ES_tradnl"/>
        </w:rPr>
        <w:t xml:space="preserve"> de propuestas y documentos de posición en relación con los proyectos de </w:t>
      </w:r>
      <w:r w:rsidRPr="000D61D9">
        <w:rPr>
          <w:lang w:val="es-ES_tradnl"/>
        </w:rPr>
        <w:t>prevención de la violenc</w:t>
      </w:r>
      <w:r w:rsidR="00972124" w:rsidRPr="000D61D9">
        <w:rPr>
          <w:lang w:val="es-ES_tradnl"/>
        </w:rPr>
        <w:t>ia del Ministerio. L</w:t>
      </w:r>
      <w:r w:rsidRPr="000D61D9">
        <w:rPr>
          <w:lang w:val="es-ES_tradnl"/>
        </w:rPr>
        <w:t xml:space="preserve">a plataforma </w:t>
      </w:r>
      <w:r w:rsidR="00972124" w:rsidRPr="000D61D9">
        <w:rPr>
          <w:lang w:val="es-ES_tradnl"/>
        </w:rPr>
        <w:t>contra la violencia doméstica</w:t>
      </w:r>
      <w:r w:rsidRPr="000D61D9">
        <w:rPr>
          <w:lang w:val="es-ES_tradnl"/>
        </w:rPr>
        <w:t xml:space="preserve"> ha</w:t>
      </w:r>
      <w:r w:rsidR="00972124" w:rsidRPr="000D61D9">
        <w:rPr>
          <w:lang w:val="es-ES_tradnl"/>
        </w:rPr>
        <w:t xml:space="preserve"> ideado, entre otra</w:t>
      </w:r>
      <w:r w:rsidRPr="000D61D9">
        <w:rPr>
          <w:lang w:val="es-ES_tradnl"/>
        </w:rPr>
        <w:t>s</w:t>
      </w:r>
      <w:r w:rsidR="00972124" w:rsidRPr="000D61D9">
        <w:rPr>
          <w:lang w:val="es-ES_tradnl"/>
        </w:rPr>
        <w:t xml:space="preserve"> cosas</w:t>
      </w:r>
      <w:r w:rsidRPr="000D61D9">
        <w:rPr>
          <w:lang w:val="es-ES_tradnl"/>
        </w:rPr>
        <w:t>, diversos proyectos de intervenció</w:t>
      </w:r>
      <w:r w:rsidR="00972124" w:rsidRPr="000D61D9">
        <w:rPr>
          <w:lang w:val="es-ES_tradnl"/>
        </w:rPr>
        <w:t>n y prevención, que puso</w:t>
      </w:r>
      <w:r w:rsidRPr="000D61D9">
        <w:rPr>
          <w:lang w:val="es-ES_tradnl"/>
        </w:rPr>
        <w:t xml:space="preserve"> a disposición de las partes interesadas</w:t>
      </w:r>
      <w:r w:rsidRPr="000D61D9">
        <w:rPr>
          <w:rStyle w:val="FootnoteReference"/>
          <w:lang w:val="es-ES_tradnl"/>
        </w:rPr>
        <w:footnoteReference w:id="46"/>
      </w:r>
      <w:r w:rsidRPr="000D61D9">
        <w:rPr>
          <w:lang w:val="es-ES_tradnl"/>
        </w:rPr>
        <w:t>.</w:t>
      </w:r>
    </w:p>
    <w:p w:rsidR="00927023" w:rsidRPr="000D61D9" w:rsidRDefault="00927023" w:rsidP="00927023">
      <w:pPr>
        <w:pStyle w:val="SingleTxtG"/>
        <w:rPr>
          <w:lang w:val="es-ES_tradnl"/>
        </w:rPr>
      </w:pPr>
      <w:r w:rsidRPr="000D61D9">
        <w:rPr>
          <w:lang w:val="es-ES_tradnl"/>
        </w:rPr>
        <w:t>71.</w:t>
      </w:r>
      <w:r w:rsidRPr="000D61D9">
        <w:rPr>
          <w:lang w:val="es-ES_tradnl"/>
        </w:rPr>
        <w:tab/>
        <w:t xml:space="preserve">Para la elaboración interministerial de medidas de prevención de la violencia, se establecen </w:t>
      </w:r>
      <w:r w:rsidR="00972124" w:rsidRPr="000D61D9">
        <w:rPr>
          <w:lang w:val="es-ES_tradnl"/>
        </w:rPr>
        <w:t>grupos de trabajo en los que por lo general participan</w:t>
      </w:r>
      <w:r w:rsidRPr="000D61D9">
        <w:rPr>
          <w:lang w:val="es-ES_tradnl"/>
        </w:rPr>
        <w:t xml:space="preserve"> representantes de ONG, como el grupo de trabajo interministerial para la aplicación de</w:t>
      </w:r>
      <w:r w:rsidR="00CD1F43">
        <w:rPr>
          <w:lang w:val="es-ES_tradnl"/>
        </w:rPr>
        <w:t xml:space="preserve"> las</w:t>
      </w:r>
      <w:r w:rsidRPr="000D61D9">
        <w:rPr>
          <w:lang w:val="es-ES_tradnl"/>
        </w:rPr>
        <w:t xml:space="preserve"> medidas</w:t>
      </w:r>
      <w:r w:rsidR="00972124" w:rsidRPr="000D61D9">
        <w:rPr>
          <w:lang w:val="es-ES_tradnl"/>
        </w:rPr>
        <w:t>, creado en el marco</w:t>
      </w:r>
      <w:r w:rsidRPr="000D61D9">
        <w:rPr>
          <w:lang w:val="es-ES_tradnl"/>
        </w:rPr>
        <w:t xml:space="preserve"> </w:t>
      </w:r>
      <w:r w:rsidR="00972124" w:rsidRPr="000D61D9">
        <w:rPr>
          <w:lang w:val="es-ES_tradnl"/>
        </w:rPr>
        <w:t>de</w:t>
      </w:r>
      <w:r w:rsidRPr="000D61D9">
        <w:rPr>
          <w:lang w:val="es-ES_tradnl"/>
        </w:rPr>
        <w:t xml:space="preserve"> la campaña del Consejo Europeo de 2007/2008 contra la violencia dirigida hacia las mujeres. Austria respalda los</w:t>
      </w:r>
      <w:r w:rsidR="00972124" w:rsidRPr="000D61D9">
        <w:rPr>
          <w:lang w:val="es-ES_tradnl"/>
        </w:rPr>
        <w:t xml:space="preserve"> esfuerzos del Consejo Europeo</w:t>
      </w:r>
      <w:r w:rsidRPr="000D61D9">
        <w:rPr>
          <w:lang w:val="es-ES_tradnl"/>
        </w:rPr>
        <w:t xml:space="preserve"> tendientes a celebrar un </w:t>
      </w:r>
      <w:r w:rsidR="00972124" w:rsidRPr="000D61D9">
        <w:rPr>
          <w:lang w:val="es-ES_tradnl"/>
        </w:rPr>
        <w:t>acuerdo</w:t>
      </w:r>
      <w:r w:rsidRPr="000D61D9">
        <w:rPr>
          <w:lang w:val="es-ES_tradnl"/>
        </w:rPr>
        <w:t xml:space="preserve"> jurídicamente vinculante e integral que aborde exclusivamente el problema de la violencia contra la mujer.</w:t>
      </w:r>
    </w:p>
    <w:p w:rsidR="00927023" w:rsidRPr="00EB182D" w:rsidRDefault="00927023" w:rsidP="00562ECE">
      <w:pPr>
        <w:pStyle w:val="SingleTxtG"/>
        <w:rPr>
          <w:lang w:val="es-ES_tradnl"/>
        </w:rPr>
      </w:pPr>
      <w:r w:rsidRPr="000D61D9">
        <w:rPr>
          <w:lang w:val="es-ES_tradnl"/>
        </w:rPr>
        <w:t>72.</w:t>
      </w:r>
      <w:r w:rsidRPr="000D61D9">
        <w:rPr>
          <w:lang w:val="es-ES_tradnl"/>
        </w:rPr>
        <w:tab/>
        <w:t xml:space="preserve">Relaciones públicas y publicaciones: </w:t>
      </w:r>
      <w:r w:rsidR="00562ECE" w:rsidRPr="000D61D9">
        <w:rPr>
          <w:lang w:val="es-ES_tradnl"/>
        </w:rPr>
        <w:t>Desde 2006 se mantiene una exposic</w:t>
      </w:r>
      <w:r w:rsidRPr="000D61D9">
        <w:rPr>
          <w:lang w:val="es-ES_tradnl"/>
        </w:rPr>
        <w:t xml:space="preserve">ión itinerante denominada </w:t>
      </w:r>
      <w:r w:rsidR="00C70626">
        <w:rPr>
          <w:lang w:val="es-ES_tradnl"/>
        </w:rPr>
        <w:t>"</w:t>
      </w:r>
      <w:r w:rsidRPr="000D61D9">
        <w:rPr>
          <w:lang w:val="es-ES_tradnl"/>
        </w:rPr>
        <w:t>Entre bastidores</w:t>
      </w:r>
      <w:r w:rsidR="00C70626">
        <w:rPr>
          <w:lang w:val="es-ES_tradnl"/>
        </w:rPr>
        <w:t>"</w:t>
      </w:r>
      <w:r w:rsidR="00562ECE" w:rsidRPr="000D61D9">
        <w:rPr>
          <w:lang w:val="es-ES_tradnl"/>
        </w:rPr>
        <w:t>, en la que, entre otros aspectos, se</w:t>
      </w:r>
      <w:r w:rsidRPr="000D61D9">
        <w:rPr>
          <w:lang w:val="es-ES_tradnl"/>
        </w:rPr>
        <w:t xml:space="preserve"> aborda el fenómeno de la violencia doméstica, su alcance, causas, formas, y </w:t>
      </w:r>
      <w:r w:rsidR="00562ECE" w:rsidRPr="000D61D9">
        <w:rPr>
          <w:lang w:val="es-ES_tradnl"/>
        </w:rPr>
        <w:t xml:space="preserve">se </w:t>
      </w:r>
      <w:r w:rsidRPr="000D61D9">
        <w:rPr>
          <w:lang w:val="es-ES_tradnl"/>
        </w:rPr>
        <w:t>proporciona información sobre las leyes pertinentes</w:t>
      </w:r>
      <w:r w:rsidR="00562ECE" w:rsidRPr="000D61D9">
        <w:rPr>
          <w:lang w:val="es-ES_tradnl"/>
        </w:rPr>
        <w:t xml:space="preserve"> y las instituciones de apoyo. Cada año, a través de l</w:t>
      </w:r>
      <w:r w:rsidRPr="000D61D9">
        <w:rPr>
          <w:lang w:val="es-ES_tradnl"/>
        </w:rPr>
        <w:t xml:space="preserve">a iniciativa </w:t>
      </w:r>
      <w:r w:rsidR="00C70626">
        <w:rPr>
          <w:lang w:val="es-ES_tradnl"/>
        </w:rPr>
        <w:t>"</w:t>
      </w:r>
      <w:r w:rsidRPr="000D61D9">
        <w:rPr>
          <w:lang w:val="es-ES_tradnl"/>
        </w:rPr>
        <w:t>Género: un asunto de actualidad</w:t>
      </w:r>
      <w:r w:rsidR="00C70626">
        <w:rPr>
          <w:lang w:val="es-ES_tradnl"/>
        </w:rPr>
        <w:t>"</w:t>
      </w:r>
      <w:r w:rsidRPr="000D61D9">
        <w:rPr>
          <w:lang w:val="es-ES_tradnl"/>
        </w:rPr>
        <w:t xml:space="preserve"> </w:t>
      </w:r>
      <w:r w:rsidR="00562ECE" w:rsidRPr="000D61D9">
        <w:rPr>
          <w:lang w:val="es-ES_tradnl"/>
        </w:rPr>
        <w:t xml:space="preserve">se </w:t>
      </w:r>
      <w:r w:rsidRPr="000D61D9">
        <w:rPr>
          <w:lang w:val="es-ES_tradnl"/>
        </w:rPr>
        <w:t>hace hincapié en diferentes aspectos de la pre</w:t>
      </w:r>
      <w:r w:rsidR="00562ECE" w:rsidRPr="000D61D9">
        <w:rPr>
          <w:lang w:val="es-ES_tradnl"/>
        </w:rPr>
        <w:t>vención de la violencia</w:t>
      </w:r>
      <w:r w:rsidRPr="000D61D9">
        <w:rPr>
          <w:lang w:val="es-ES_tradnl"/>
        </w:rPr>
        <w:t>. Con motivo del 10° aniversario de la Ley de protección contra la violencia de Austria</w:t>
      </w:r>
      <w:r w:rsidR="00562ECE" w:rsidRPr="000D61D9">
        <w:rPr>
          <w:lang w:val="es-ES_tradnl"/>
        </w:rPr>
        <w:t>,</w:t>
      </w:r>
      <w:r w:rsidRPr="000D61D9">
        <w:rPr>
          <w:lang w:val="es-ES_tradnl"/>
        </w:rPr>
        <w:t xml:space="preserve"> en noviembre de 2007, se celebró una conferencia internacional muy prestigiosa en relación con el tema </w:t>
      </w:r>
      <w:r w:rsidR="00C70626">
        <w:rPr>
          <w:lang w:val="es-ES_tradnl"/>
        </w:rPr>
        <w:t>"</w:t>
      </w:r>
      <w:r w:rsidRPr="000D61D9">
        <w:rPr>
          <w:lang w:val="es-ES_tradnl"/>
        </w:rPr>
        <w:t>Diez años de legislación austríaca en materia de protección contra la violencia en el contex</w:t>
      </w:r>
      <w:r w:rsidR="00562ECE" w:rsidRPr="000D61D9">
        <w:rPr>
          <w:lang w:val="es-ES_tradnl"/>
        </w:rPr>
        <w:t>to internacional</w:t>
      </w:r>
      <w:r w:rsidR="00C70626">
        <w:rPr>
          <w:lang w:val="es-ES_tradnl"/>
        </w:rPr>
        <w:t>"</w:t>
      </w:r>
      <w:r w:rsidR="00562ECE" w:rsidRPr="000D61D9">
        <w:rPr>
          <w:lang w:val="es-ES_tradnl"/>
        </w:rPr>
        <w:t xml:space="preserve">. Desde </w:t>
      </w:r>
      <w:r w:rsidRPr="000D61D9">
        <w:rPr>
          <w:lang w:val="es-ES_tradnl"/>
        </w:rPr>
        <w:t xml:space="preserve">el sitio web </w:t>
      </w:r>
      <w:r w:rsidRPr="008F0FAF">
        <w:rPr>
          <w:lang w:val="es-ES_tradnl"/>
        </w:rPr>
        <w:t>www.frauen.bka.gv.at</w:t>
      </w:r>
      <w:r w:rsidRPr="000D61D9">
        <w:rPr>
          <w:lang w:val="es-ES_tradnl"/>
        </w:rPr>
        <w:t>, pueden descargarse publicaciones e información general sobre la violencia contra la mujer (en alemán e inglés). Cabe mencionar que todos los ministerios que participan en la lucha contra la viole</w:t>
      </w:r>
      <w:r w:rsidR="005929EC" w:rsidRPr="000D61D9">
        <w:rPr>
          <w:lang w:val="es-ES_tradnl"/>
        </w:rPr>
        <w:t>ncia contra la mujer han hecho publicar o han</w:t>
      </w:r>
      <w:r w:rsidR="00562ECE" w:rsidRPr="000D61D9">
        <w:rPr>
          <w:lang w:val="es-ES_tradnl"/>
        </w:rPr>
        <w:t xml:space="preserve"> publica</w:t>
      </w:r>
      <w:r w:rsidR="005929EC" w:rsidRPr="000D61D9">
        <w:rPr>
          <w:lang w:val="es-ES_tradnl"/>
        </w:rPr>
        <w:t xml:space="preserve">do gran </w:t>
      </w:r>
      <w:r w:rsidRPr="000D61D9">
        <w:rPr>
          <w:lang w:val="es-ES_tradnl"/>
        </w:rPr>
        <w:t>cantidad de folletos, guías prácticas y revistas téc</w:t>
      </w:r>
      <w:r w:rsidR="005929EC" w:rsidRPr="000D61D9">
        <w:rPr>
          <w:lang w:val="es-ES_tradnl"/>
        </w:rPr>
        <w:t xml:space="preserve">nicas </w:t>
      </w:r>
      <w:r w:rsidR="00562ECE" w:rsidRPr="000D61D9">
        <w:rPr>
          <w:lang w:val="es-ES_tradnl"/>
        </w:rPr>
        <w:t>sobre este tema. Este material</w:t>
      </w:r>
      <w:r w:rsidR="005929EC" w:rsidRPr="000D61D9">
        <w:rPr>
          <w:lang w:val="es-ES_tradnl"/>
        </w:rPr>
        <w:t xml:space="preserve"> se hace llegar a</w:t>
      </w:r>
      <w:r w:rsidRPr="000D61D9">
        <w:rPr>
          <w:lang w:val="es-ES_tradnl"/>
        </w:rPr>
        <w:t xml:space="preserve"> escuelas, hospitales, tribunales de justicia y otras inst</w:t>
      </w:r>
      <w:r w:rsidR="005929EC" w:rsidRPr="000D61D9">
        <w:rPr>
          <w:lang w:val="es-ES_tradnl"/>
        </w:rPr>
        <w:t>ituciones (públicas), así como a</w:t>
      </w:r>
      <w:r w:rsidRPr="000D61D9">
        <w:rPr>
          <w:lang w:val="es-ES_tradnl"/>
        </w:rPr>
        <w:t xml:space="preserve"> las víctimas y otras partes interesadas.</w:t>
      </w:r>
    </w:p>
    <w:p w:rsidR="00927023" w:rsidRPr="00EB182D" w:rsidRDefault="00927023" w:rsidP="00F24AA1">
      <w:pPr>
        <w:pStyle w:val="SingleTxtG"/>
        <w:rPr>
          <w:lang w:val="es-ES_tradnl"/>
        </w:rPr>
      </w:pPr>
      <w:r w:rsidRPr="00EB182D">
        <w:rPr>
          <w:lang w:val="es-ES_tradnl"/>
        </w:rPr>
        <w:t>73.</w:t>
      </w:r>
      <w:r w:rsidRPr="00EB182D">
        <w:rPr>
          <w:lang w:val="es-ES_tradnl"/>
        </w:rPr>
        <w:tab/>
        <w:t xml:space="preserve">Recopilación sistemática de datos: Se ha creado una base de datos central </w:t>
      </w:r>
      <w:r w:rsidR="00F24AA1">
        <w:rPr>
          <w:lang w:val="es-ES_tradnl"/>
        </w:rPr>
        <w:t>sobre</w:t>
      </w:r>
      <w:r w:rsidRPr="00EB182D">
        <w:rPr>
          <w:lang w:val="es-ES_tradnl"/>
        </w:rPr>
        <w:t xml:space="preserve"> protección contra la violencia. Las </w:t>
      </w:r>
      <w:r w:rsidRPr="000D61D9">
        <w:rPr>
          <w:lang w:val="es-ES_tradnl"/>
        </w:rPr>
        <w:t xml:space="preserve">autoridades </w:t>
      </w:r>
      <w:r w:rsidR="00F24AA1" w:rsidRPr="000D61D9">
        <w:rPr>
          <w:lang w:val="es-ES_tradnl"/>
        </w:rPr>
        <w:t>encargadas de hacer cumplir</w:t>
      </w:r>
      <w:r w:rsidRPr="000D61D9">
        <w:rPr>
          <w:lang w:val="es-ES_tradnl"/>
        </w:rPr>
        <w:t xml:space="preserve"> la ley han </w:t>
      </w:r>
      <w:r w:rsidR="00F24AA1" w:rsidRPr="000D61D9">
        <w:rPr>
          <w:lang w:val="es-ES_tradnl"/>
        </w:rPr>
        <w:t>sido habilitadas</w:t>
      </w:r>
      <w:r w:rsidRPr="000D61D9">
        <w:rPr>
          <w:lang w:val="es-ES_tradnl"/>
        </w:rPr>
        <w:t xml:space="preserve"> para procesar datos de identificación en un sistema de información integrado </w:t>
      </w:r>
      <w:r w:rsidR="00F24AA1" w:rsidRPr="000D61D9">
        <w:rPr>
          <w:lang w:val="es-ES_tradnl"/>
        </w:rPr>
        <w:t xml:space="preserve">referente a </w:t>
      </w:r>
      <w:r w:rsidRPr="000D61D9">
        <w:rPr>
          <w:lang w:val="es-ES_tradnl"/>
        </w:rPr>
        <w:t>las personas afectadas por una de las medidas establecidas en el artículo 38</w:t>
      </w:r>
      <w:r w:rsidR="004A5545">
        <w:rPr>
          <w:lang w:val="es-ES_tradnl"/>
        </w:rPr>
        <w:t xml:space="preserve"> </w:t>
      </w:r>
      <w:r w:rsidRPr="000D61D9">
        <w:rPr>
          <w:lang w:val="es-ES_tradnl"/>
        </w:rPr>
        <w:t>a) de la Ley</w:t>
      </w:r>
      <w:r w:rsidR="00177980" w:rsidRPr="000D61D9">
        <w:rPr>
          <w:lang w:val="es-ES_tradnl"/>
        </w:rPr>
        <w:t xml:space="preserve"> de aplicación efectiva</w:t>
      </w:r>
      <w:r w:rsidRPr="000D61D9">
        <w:rPr>
          <w:lang w:val="es-ES_tradnl"/>
        </w:rPr>
        <w:t xml:space="preserve"> de la ley (casos de violencia doméstica). Esta </w:t>
      </w:r>
      <w:r w:rsidR="00F24AA1" w:rsidRPr="000D61D9">
        <w:rPr>
          <w:lang w:val="es-ES_tradnl"/>
        </w:rPr>
        <w:t>h</w:t>
      </w:r>
      <w:r w:rsidRPr="000D61D9">
        <w:rPr>
          <w:lang w:val="es-ES_tradnl"/>
        </w:rPr>
        <w:t>a</w:t>
      </w:r>
      <w:r w:rsidR="00F24AA1" w:rsidRPr="000D61D9">
        <w:rPr>
          <w:lang w:val="es-ES_tradnl"/>
        </w:rPr>
        <w:t>bilit</w:t>
      </w:r>
      <w:r w:rsidRPr="000D61D9">
        <w:rPr>
          <w:lang w:val="es-ES_tradnl"/>
        </w:rPr>
        <w:t>ación también se aplica a datos de disponibilidad, antecedentes de deli</w:t>
      </w:r>
      <w:r w:rsidR="00F24AA1" w:rsidRPr="000D61D9">
        <w:rPr>
          <w:lang w:val="es-ES_tradnl"/>
        </w:rPr>
        <w:t>tos violentos perpetrados y otro</w:t>
      </w:r>
      <w:r w:rsidRPr="000D61D9">
        <w:rPr>
          <w:lang w:val="es-ES_tradnl"/>
        </w:rPr>
        <w:t xml:space="preserve">s </w:t>
      </w:r>
      <w:r w:rsidR="00F24AA1" w:rsidRPr="000D61D9">
        <w:rPr>
          <w:lang w:val="es-ES_tradnl"/>
        </w:rPr>
        <w:t>datos</w:t>
      </w:r>
      <w:r w:rsidRPr="000D61D9">
        <w:rPr>
          <w:lang w:val="es-ES_tradnl"/>
        </w:rPr>
        <w:t>. Con respecto a la</w:t>
      </w:r>
      <w:r w:rsidR="00F24AA1" w:rsidRPr="000D61D9">
        <w:rPr>
          <w:lang w:val="es-ES_tradnl"/>
        </w:rPr>
        <w:t>s</w:t>
      </w:r>
      <w:r w:rsidRPr="000D61D9">
        <w:rPr>
          <w:lang w:val="es-ES_tradnl"/>
        </w:rPr>
        <w:t xml:space="preserve"> personas </w:t>
      </w:r>
      <w:r w:rsidR="00F24AA1" w:rsidRPr="000D61D9">
        <w:rPr>
          <w:lang w:val="es-ES_tradnl"/>
        </w:rPr>
        <w:t>objeto</w:t>
      </w:r>
      <w:r w:rsidR="00F24AA1">
        <w:rPr>
          <w:lang w:val="es-ES_tradnl"/>
        </w:rPr>
        <w:t xml:space="preserve"> de protección</w:t>
      </w:r>
      <w:r w:rsidRPr="00EB182D">
        <w:rPr>
          <w:lang w:val="es-ES_tradnl"/>
        </w:rPr>
        <w:t>, sólo puede</w:t>
      </w:r>
      <w:r w:rsidR="00F24AA1">
        <w:rPr>
          <w:lang w:val="es-ES_tradnl"/>
        </w:rPr>
        <w:t>n utilizarse los</w:t>
      </w:r>
      <w:r w:rsidRPr="00EB182D">
        <w:rPr>
          <w:lang w:val="es-ES_tradnl"/>
        </w:rPr>
        <w:t xml:space="preserve"> </w:t>
      </w:r>
      <w:r w:rsidR="00F24AA1">
        <w:rPr>
          <w:lang w:val="es-ES_tradnl"/>
        </w:rPr>
        <w:t>datos relativos a la edad,</w:t>
      </w:r>
      <w:r w:rsidRPr="00EB182D">
        <w:rPr>
          <w:lang w:val="es-ES_tradnl"/>
        </w:rPr>
        <w:t xml:space="preserve"> </w:t>
      </w:r>
      <w:r w:rsidR="00F24AA1">
        <w:rPr>
          <w:lang w:val="es-ES_tradnl"/>
        </w:rPr>
        <w:t xml:space="preserve">el </w:t>
      </w:r>
      <w:r w:rsidRPr="00EB182D">
        <w:rPr>
          <w:lang w:val="es-ES_tradnl"/>
        </w:rPr>
        <w:t xml:space="preserve">sexo, </w:t>
      </w:r>
      <w:r w:rsidR="00F24AA1">
        <w:rPr>
          <w:lang w:val="es-ES_tradnl"/>
        </w:rPr>
        <w:t xml:space="preserve">la </w:t>
      </w:r>
      <w:r w:rsidRPr="00EB182D">
        <w:rPr>
          <w:lang w:val="es-ES_tradnl"/>
        </w:rPr>
        <w:t xml:space="preserve">nacionalidad o </w:t>
      </w:r>
      <w:r w:rsidR="00F24AA1">
        <w:rPr>
          <w:lang w:val="es-ES_tradnl"/>
        </w:rPr>
        <w:t xml:space="preserve">el </w:t>
      </w:r>
      <w:r w:rsidRPr="00EB182D">
        <w:rPr>
          <w:lang w:val="es-ES_tradnl"/>
        </w:rPr>
        <w:t xml:space="preserve">parentesco con el agresor. </w:t>
      </w:r>
      <w:r w:rsidR="00F24AA1">
        <w:rPr>
          <w:lang w:val="es-ES_tradnl"/>
        </w:rPr>
        <w:t>Una vez que se emite una orden de alejamiento, l</w:t>
      </w:r>
      <w:r w:rsidRPr="00EB182D">
        <w:rPr>
          <w:lang w:val="es-ES_tradnl"/>
        </w:rPr>
        <w:t xml:space="preserve">os datos </w:t>
      </w:r>
      <w:r w:rsidR="00F24AA1">
        <w:rPr>
          <w:lang w:val="es-ES_tradnl"/>
        </w:rPr>
        <w:t xml:space="preserve">en cuestión </w:t>
      </w:r>
      <w:r w:rsidRPr="00EB182D">
        <w:rPr>
          <w:lang w:val="es-ES_tradnl"/>
        </w:rPr>
        <w:t>deben eliminarse</w:t>
      </w:r>
      <w:r w:rsidRPr="00EB182D">
        <w:rPr>
          <w:rStyle w:val="FootnoteReference"/>
          <w:lang w:val="es-ES_tradnl"/>
        </w:rPr>
        <w:footnoteReference w:id="47"/>
      </w:r>
      <w:r w:rsidRPr="00EB182D">
        <w:rPr>
          <w:lang w:val="es-ES_tradnl"/>
        </w:rPr>
        <w:t>. La información de todos los agresores sexuales detenidos o condenados se marca de manera especial al incorporarla en los antecedentes penal</w:t>
      </w:r>
      <w:r w:rsidR="00F24AA1">
        <w:rPr>
          <w:lang w:val="es-ES_tradnl"/>
        </w:rPr>
        <w:t>es, para que, de ser menester</w:t>
      </w:r>
      <w:r w:rsidRPr="00EB182D">
        <w:rPr>
          <w:lang w:val="es-ES_tradnl"/>
        </w:rPr>
        <w:t xml:space="preserve">, pueda recuperarse y ponerse a disposición de las autoridades </w:t>
      </w:r>
      <w:r w:rsidR="00F24AA1">
        <w:rPr>
          <w:lang w:val="es-ES_tradnl"/>
        </w:rPr>
        <w:t>a la mayor brevedad</w:t>
      </w:r>
      <w:r w:rsidRPr="00EB182D">
        <w:rPr>
          <w:rStyle w:val="FootnoteReference"/>
          <w:lang w:val="es-ES_tradnl"/>
        </w:rPr>
        <w:footnoteReference w:id="48"/>
      </w:r>
      <w:r w:rsidRPr="00EB182D">
        <w:rPr>
          <w:lang w:val="es-ES_tradnl"/>
        </w:rPr>
        <w:t>.</w:t>
      </w:r>
    </w:p>
    <w:p w:rsidR="00927023" w:rsidRPr="000D61D9" w:rsidRDefault="00927023" w:rsidP="00927023">
      <w:pPr>
        <w:pStyle w:val="SingleTxtG"/>
        <w:rPr>
          <w:lang w:val="es-ES_tradnl"/>
        </w:rPr>
      </w:pPr>
      <w:r w:rsidRPr="00EB182D">
        <w:rPr>
          <w:lang w:val="es-ES_tradnl"/>
        </w:rPr>
        <w:t>74.</w:t>
      </w:r>
      <w:r w:rsidRPr="00EB182D">
        <w:rPr>
          <w:lang w:val="es-ES_tradnl"/>
        </w:rPr>
        <w:tab/>
        <w:t>Ejemplos de las provincias federales: Viena: Se facilit</w:t>
      </w:r>
      <w:r w:rsidR="000203DC">
        <w:rPr>
          <w:lang w:val="es-ES_tradnl"/>
        </w:rPr>
        <w:t>aron</w:t>
      </w:r>
      <w:r w:rsidRPr="00EB182D">
        <w:rPr>
          <w:lang w:val="es-ES_tradnl"/>
        </w:rPr>
        <w:t xml:space="preserve"> subsidios continuos y a largo plazo </w:t>
      </w:r>
      <w:r w:rsidR="000203DC">
        <w:rPr>
          <w:lang w:val="es-ES_tradnl"/>
        </w:rPr>
        <w:t>con fines diversos, a saber,</w:t>
      </w:r>
      <w:r w:rsidRPr="00EB182D">
        <w:rPr>
          <w:lang w:val="es-ES_tradnl"/>
        </w:rPr>
        <w:t xml:space="preserve"> </w:t>
      </w:r>
      <w:r w:rsidR="001A696C">
        <w:rPr>
          <w:lang w:val="es-ES_tradnl"/>
        </w:rPr>
        <w:t>centros de acogida</w:t>
      </w:r>
      <w:r w:rsidR="000203DC">
        <w:rPr>
          <w:lang w:val="es-ES_tradnl"/>
        </w:rPr>
        <w:t xml:space="preserve"> de mujeres;</w:t>
      </w:r>
      <w:r w:rsidRPr="00EB182D">
        <w:rPr>
          <w:lang w:val="es-ES_tradnl"/>
        </w:rPr>
        <w:t xml:space="preserve"> servicio telefónico </w:t>
      </w:r>
      <w:r w:rsidR="000203DC">
        <w:rPr>
          <w:lang w:val="es-ES_tradnl"/>
        </w:rPr>
        <w:t>durante las 24 horas;</w:t>
      </w:r>
      <w:r w:rsidRPr="00EB182D">
        <w:rPr>
          <w:lang w:val="es-ES_tradnl"/>
        </w:rPr>
        <w:t xml:space="preserve"> campañas de </w:t>
      </w:r>
      <w:r w:rsidR="000203DC">
        <w:rPr>
          <w:lang w:val="es-ES_tradnl"/>
        </w:rPr>
        <w:t>sensibilización;</w:t>
      </w:r>
      <w:r w:rsidRPr="00EB182D">
        <w:rPr>
          <w:lang w:val="es-ES_tradnl"/>
        </w:rPr>
        <w:t xml:space="preserve"> definición legal y creación</w:t>
      </w:r>
      <w:r w:rsidR="000203DC">
        <w:rPr>
          <w:lang w:val="es-ES_tradnl"/>
        </w:rPr>
        <w:t>,</w:t>
      </w:r>
      <w:r w:rsidR="000203DC" w:rsidRPr="000203DC">
        <w:rPr>
          <w:lang w:val="es-ES_tradnl"/>
        </w:rPr>
        <w:t xml:space="preserve"> </w:t>
      </w:r>
      <w:r w:rsidR="000203DC" w:rsidRPr="00EB182D">
        <w:rPr>
          <w:lang w:val="es-ES_tradnl"/>
        </w:rPr>
        <w:t>en los hospitales principales y centrales</w:t>
      </w:r>
      <w:r w:rsidR="000203DC">
        <w:rPr>
          <w:lang w:val="es-ES_tradnl"/>
        </w:rPr>
        <w:t>,</w:t>
      </w:r>
      <w:r w:rsidRPr="00EB182D">
        <w:rPr>
          <w:lang w:val="es-ES_tradnl"/>
        </w:rPr>
        <w:t xml:space="preserve"> de unidades de protección de las víctimas</w:t>
      </w:r>
      <w:r w:rsidR="000203DC">
        <w:rPr>
          <w:lang w:val="es-ES_tradnl"/>
        </w:rPr>
        <w:t xml:space="preserve">, con miras a la detección temprana </w:t>
      </w:r>
      <w:r w:rsidRPr="00EB182D">
        <w:rPr>
          <w:lang w:val="es-ES_tradnl"/>
        </w:rPr>
        <w:t>de casos de violenc</w:t>
      </w:r>
      <w:r w:rsidR="000203DC">
        <w:rPr>
          <w:lang w:val="es-ES_tradnl"/>
        </w:rPr>
        <w:t>ia sexual</w:t>
      </w:r>
      <w:r w:rsidR="000203DC" w:rsidRPr="000D61D9">
        <w:rPr>
          <w:lang w:val="es-ES_tradnl"/>
        </w:rPr>
        <w:t>, física y psicológica</w:t>
      </w:r>
      <w:r w:rsidRPr="000D61D9">
        <w:rPr>
          <w:lang w:val="es-ES_tradnl"/>
        </w:rPr>
        <w:t xml:space="preserve"> espec</w:t>
      </w:r>
      <w:r w:rsidR="000203DC" w:rsidRPr="000D61D9">
        <w:rPr>
          <w:lang w:val="es-ES_tradnl"/>
        </w:rPr>
        <w:t>ialmente dirigida hacia mujeres; y sensibilización</w:t>
      </w:r>
      <w:r w:rsidRPr="000D61D9">
        <w:rPr>
          <w:lang w:val="es-ES_tradnl"/>
        </w:rPr>
        <w:t xml:space="preserve"> </w:t>
      </w:r>
      <w:r w:rsidR="000203DC" w:rsidRPr="000D61D9">
        <w:rPr>
          <w:lang w:val="es-ES_tradnl"/>
        </w:rPr>
        <w:t>de los docentes</w:t>
      </w:r>
      <w:r w:rsidRPr="000D61D9">
        <w:rPr>
          <w:lang w:val="es-ES_tradnl"/>
        </w:rPr>
        <w:t xml:space="preserve"> de jardín de infantes</w:t>
      </w:r>
      <w:r w:rsidR="000203DC" w:rsidRPr="000D61D9">
        <w:rPr>
          <w:lang w:val="es-ES_tradnl"/>
        </w:rPr>
        <w:t>,</w:t>
      </w:r>
      <w:r w:rsidRPr="000D61D9">
        <w:rPr>
          <w:lang w:val="es-ES_tradnl"/>
        </w:rPr>
        <w:t xml:space="preserve"> </w:t>
      </w:r>
      <w:r w:rsidR="000203DC" w:rsidRPr="000D61D9">
        <w:rPr>
          <w:lang w:val="es-ES_tradnl"/>
        </w:rPr>
        <w:t>sobre</w:t>
      </w:r>
      <w:r w:rsidRPr="000D61D9">
        <w:rPr>
          <w:lang w:val="es-ES_tradnl"/>
        </w:rPr>
        <w:t xml:space="preserve"> la mutilación genital fem</w:t>
      </w:r>
      <w:r w:rsidR="00CD1F43">
        <w:rPr>
          <w:lang w:val="es-ES_tradnl"/>
        </w:rPr>
        <w:t>enina y el matrimonio forzado, así como</w:t>
      </w:r>
      <w:r w:rsidR="000203DC" w:rsidRPr="000D61D9">
        <w:rPr>
          <w:lang w:val="es-ES_tradnl"/>
        </w:rPr>
        <w:t xml:space="preserve"> de las médicas, sobre ese tipo de</w:t>
      </w:r>
      <w:r w:rsidRPr="000D61D9">
        <w:rPr>
          <w:lang w:val="es-ES_tradnl"/>
        </w:rPr>
        <w:t xml:space="preserve"> mutilación y </w:t>
      </w:r>
      <w:r w:rsidR="000203DC" w:rsidRPr="000D61D9">
        <w:rPr>
          <w:lang w:val="es-ES_tradnl"/>
        </w:rPr>
        <w:t xml:space="preserve">sobre </w:t>
      </w:r>
      <w:r w:rsidRPr="000D61D9">
        <w:rPr>
          <w:lang w:val="es-ES_tradnl"/>
        </w:rPr>
        <w:t>cirugía genital femenina.</w:t>
      </w:r>
    </w:p>
    <w:p w:rsidR="00927023" w:rsidRPr="00EB182D" w:rsidRDefault="00927023" w:rsidP="00927023">
      <w:pPr>
        <w:pStyle w:val="SingleTxtG"/>
        <w:rPr>
          <w:lang w:val="es-ES_tradnl"/>
        </w:rPr>
      </w:pPr>
      <w:r w:rsidRPr="000D61D9">
        <w:rPr>
          <w:lang w:val="es-ES_tradnl"/>
        </w:rPr>
        <w:t>75.</w:t>
      </w:r>
      <w:r w:rsidRPr="000D61D9">
        <w:rPr>
          <w:lang w:val="es-ES_tradnl"/>
        </w:rPr>
        <w:tab/>
        <w:t xml:space="preserve">Vorarlberg: Promoción de los proyectos de concienciación </w:t>
      </w:r>
      <w:r w:rsidR="00C70626">
        <w:rPr>
          <w:lang w:val="es-ES_tradnl"/>
        </w:rPr>
        <w:t>"</w:t>
      </w:r>
      <w:r w:rsidRPr="000D61D9">
        <w:rPr>
          <w:lang w:val="es-ES_tradnl"/>
        </w:rPr>
        <w:t>Cruzar y marcar fronteras</w:t>
      </w:r>
      <w:r w:rsidR="00C70626">
        <w:rPr>
          <w:lang w:val="es-ES_tradnl"/>
        </w:rPr>
        <w:t>"</w:t>
      </w:r>
      <w:r w:rsidRPr="000D61D9">
        <w:rPr>
          <w:lang w:val="es-ES_tradnl"/>
        </w:rPr>
        <w:t xml:space="preserve"> y </w:t>
      </w:r>
      <w:r w:rsidR="00C70626">
        <w:rPr>
          <w:lang w:val="es-ES_tradnl"/>
        </w:rPr>
        <w:t>"</w:t>
      </w:r>
      <w:r w:rsidRPr="000D61D9">
        <w:rPr>
          <w:lang w:val="es-ES_tradnl"/>
        </w:rPr>
        <w:t>Señal</w:t>
      </w:r>
      <w:r w:rsidR="00C70626">
        <w:rPr>
          <w:lang w:val="es-ES_tradnl"/>
        </w:rPr>
        <w:t>"</w:t>
      </w:r>
      <w:r w:rsidRPr="000D61D9">
        <w:rPr>
          <w:lang w:val="es-ES_tradnl"/>
        </w:rPr>
        <w:t>. Estos proyectos están destinados a</w:t>
      </w:r>
      <w:r w:rsidR="00CD1F43">
        <w:rPr>
          <w:lang w:val="es-ES_tradnl"/>
        </w:rPr>
        <w:t>l</w:t>
      </w:r>
      <w:r w:rsidRPr="000D61D9">
        <w:rPr>
          <w:lang w:val="es-ES_tradnl"/>
        </w:rPr>
        <w:t xml:space="preserve"> personal médico y paramédico de las comunidades locales. Se han ampliado las </w:t>
      </w:r>
      <w:r w:rsidR="00EF5546" w:rsidRPr="000D61D9">
        <w:rPr>
          <w:lang w:val="es-ES_tradnl"/>
        </w:rPr>
        <w:t>competencia</w:t>
      </w:r>
      <w:r w:rsidRPr="000D61D9">
        <w:rPr>
          <w:lang w:val="es-ES_tradnl"/>
        </w:rPr>
        <w:t xml:space="preserve">s y la capacidad de </w:t>
      </w:r>
      <w:r w:rsidR="00EF5546" w:rsidRPr="000D61D9">
        <w:rPr>
          <w:lang w:val="es-ES_tradnl"/>
        </w:rPr>
        <w:t xml:space="preserve">los centros de </w:t>
      </w:r>
      <w:r w:rsidRPr="000D61D9">
        <w:rPr>
          <w:lang w:val="es-ES_tradnl"/>
        </w:rPr>
        <w:t xml:space="preserve">alojamiento de emergencia para mujeres y </w:t>
      </w:r>
      <w:r w:rsidR="00EF5546" w:rsidRPr="000D61D9">
        <w:rPr>
          <w:lang w:val="es-ES_tradnl"/>
        </w:rPr>
        <w:t>d</w:t>
      </w:r>
      <w:r w:rsidRPr="000D61D9">
        <w:rPr>
          <w:lang w:val="es-ES_tradnl"/>
        </w:rPr>
        <w:t xml:space="preserve">el centro de protección contra la violencia, </w:t>
      </w:r>
      <w:r w:rsidR="00EF5546" w:rsidRPr="000D61D9">
        <w:rPr>
          <w:lang w:val="es-ES_tradnl"/>
        </w:rPr>
        <w:t>tal es el caso del centro de D</w:t>
      </w:r>
      <w:r w:rsidRPr="000D61D9">
        <w:rPr>
          <w:lang w:val="es-ES_tradnl"/>
        </w:rPr>
        <w:t>ornbirn.</w:t>
      </w:r>
    </w:p>
    <w:p w:rsidR="00927023" w:rsidRPr="00EB182D" w:rsidRDefault="00927023" w:rsidP="00927023">
      <w:pPr>
        <w:pStyle w:val="H1G"/>
        <w:rPr>
          <w:lang w:val="es-ES_tradnl"/>
        </w:rPr>
      </w:pPr>
      <w:r w:rsidRPr="00EB182D">
        <w:rPr>
          <w:lang w:val="es-ES_tradnl"/>
        </w:rPr>
        <w:tab/>
      </w:r>
      <w:r w:rsidRPr="00EB182D">
        <w:rPr>
          <w:lang w:val="es-ES_tradnl"/>
        </w:rPr>
        <w:tab/>
        <w:t xml:space="preserve">Respuesta a las observaciones finales </w:t>
      </w:r>
      <w:r w:rsidR="004E1189">
        <w:rPr>
          <w:lang w:val="es-ES_tradnl"/>
        </w:rPr>
        <w:t>de los</w:t>
      </w:r>
      <w:r w:rsidRPr="00EB182D">
        <w:rPr>
          <w:lang w:val="es-ES_tradnl"/>
        </w:rPr>
        <w:t xml:space="preserve"> párrafos 25 y 26</w:t>
      </w:r>
      <w:r w:rsidRPr="00EB182D">
        <w:rPr>
          <w:lang w:val="es-ES_tradnl"/>
        </w:rPr>
        <w:br/>
        <w:t>Lucha contra la trata de mujeres y niñas</w:t>
      </w:r>
    </w:p>
    <w:p w:rsidR="00927023" w:rsidRPr="000D61D9" w:rsidRDefault="00927023" w:rsidP="00927023">
      <w:pPr>
        <w:pStyle w:val="SingleTxtG"/>
        <w:rPr>
          <w:lang w:val="es-ES_tradnl"/>
        </w:rPr>
      </w:pPr>
      <w:r w:rsidRPr="00EB182D">
        <w:rPr>
          <w:lang w:val="es-ES_tradnl"/>
        </w:rPr>
        <w:t>76.</w:t>
      </w:r>
      <w:r w:rsidRPr="00EB182D">
        <w:rPr>
          <w:lang w:val="es-ES_tradnl"/>
        </w:rPr>
        <w:tab/>
        <w:t>E</w:t>
      </w:r>
      <w:r w:rsidR="00090CBC">
        <w:rPr>
          <w:lang w:val="es-ES_tradnl"/>
        </w:rPr>
        <w:t xml:space="preserve">n 2004, y </w:t>
      </w:r>
      <w:r w:rsidR="00090CBC" w:rsidRPr="00EB182D">
        <w:rPr>
          <w:lang w:val="es-ES_tradnl"/>
        </w:rPr>
        <w:t>con arreglo a una decisión adoptada por</w:t>
      </w:r>
      <w:r w:rsidR="00090CBC">
        <w:rPr>
          <w:lang w:val="es-ES_tradnl"/>
        </w:rPr>
        <w:t xml:space="preserve"> el Consejo de Ministros,</w:t>
      </w:r>
      <w:r w:rsidR="00090CBC" w:rsidRPr="00EB182D">
        <w:rPr>
          <w:lang w:val="es-ES_tradnl"/>
        </w:rPr>
        <w:t xml:space="preserve"> </w:t>
      </w:r>
      <w:r w:rsidR="00090CBC">
        <w:rPr>
          <w:lang w:val="es-ES_tradnl"/>
        </w:rPr>
        <w:t>se creó e</w:t>
      </w:r>
      <w:r w:rsidRPr="00EB182D">
        <w:rPr>
          <w:lang w:val="es-ES_tradnl"/>
        </w:rPr>
        <w:t xml:space="preserve">l </w:t>
      </w:r>
      <w:r w:rsidRPr="00090CBC">
        <w:rPr>
          <w:lang w:val="es-ES_tradnl"/>
        </w:rPr>
        <w:t xml:space="preserve">Grupo </w:t>
      </w:r>
      <w:r w:rsidRPr="00EB182D">
        <w:rPr>
          <w:lang w:val="es-ES_tradnl"/>
        </w:rPr>
        <w:t>de lucha contra la trata de seres humanos</w:t>
      </w:r>
      <w:r w:rsidR="00090CBC">
        <w:rPr>
          <w:lang w:val="es-ES_tradnl"/>
        </w:rPr>
        <w:t>, integrado por</w:t>
      </w:r>
      <w:r w:rsidRPr="00EB182D">
        <w:rPr>
          <w:lang w:val="es-ES_tradnl"/>
        </w:rPr>
        <w:t xml:space="preserve"> representantes de todos los ministerios competentes, las provincias federales y ONG</w:t>
      </w:r>
      <w:r w:rsidRPr="000D61D9">
        <w:rPr>
          <w:lang w:val="es-ES_tradnl"/>
        </w:rPr>
        <w:t xml:space="preserve">. </w:t>
      </w:r>
      <w:r w:rsidR="00090CBC" w:rsidRPr="000D61D9">
        <w:rPr>
          <w:lang w:val="es-ES_tradnl"/>
        </w:rPr>
        <w:t>Tras la aprobación en 2007 del</w:t>
      </w:r>
      <w:r w:rsidRPr="000D61D9">
        <w:rPr>
          <w:lang w:val="es-ES_tradnl"/>
        </w:rPr>
        <w:t xml:space="preserve"> primer Plan de Acción Nacional c</w:t>
      </w:r>
      <w:r w:rsidR="00090CBC" w:rsidRPr="000D61D9">
        <w:rPr>
          <w:lang w:val="es-ES_tradnl"/>
        </w:rPr>
        <w:t>ontra la trata de seres humanos</w:t>
      </w:r>
      <w:r w:rsidRPr="000D61D9">
        <w:rPr>
          <w:lang w:val="es-ES_tradnl"/>
        </w:rPr>
        <w:t xml:space="preserve">, </w:t>
      </w:r>
      <w:r w:rsidR="00090CBC" w:rsidRPr="000D61D9">
        <w:rPr>
          <w:lang w:val="es-ES_tradnl"/>
        </w:rPr>
        <w:t xml:space="preserve">en mayo de 2009, </w:t>
      </w:r>
      <w:r w:rsidRPr="000D61D9">
        <w:rPr>
          <w:lang w:val="es-ES_tradnl"/>
        </w:rPr>
        <w:t>el Gobierno Federal creó el segundo plan</w:t>
      </w:r>
      <w:r w:rsidR="00090CBC" w:rsidRPr="000D61D9">
        <w:rPr>
          <w:lang w:val="es-ES_tradnl"/>
        </w:rPr>
        <w:t>,</w:t>
      </w:r>
      <w:r w:rsidRPr="000D61D9">
        <w:rPr>
          <w:lang w:val="es-ES_tradnl"/>
        </w:rPr>
        <w:t xml:space="preserve"> que abarca el período de 2009 a 2011</w:t>
      </w:r>
      <w:r w:rsidRPr="000D61D9">
        <w:rPr>
          <w:rStyle w:val="FootnoteReference"/>
          <w:lang w:val="es-ES_tradnl"/>
        </w:rPr>
        <w:footnoteReference w:id="49"/>
      </w:r>
      <w:r w:rsidRPr="000D61D9">
        <w:rPr>
          <w:lang w:val="es-ES_tradnl"/>
        </w:rPr>
        <w:t>. En esta estrategia integral</w:t>
      </w:r>
      <w:r w:rsidR="00090CBC" w:rsidRPr="000D61D9">
        <w:rPr>
          <w:lang w:val="es-ES_tradnl"/>
        </w:rPr>
        <w:t>,</w:t>
      </w:r>
      <w:r w:rsidRPr="000D61D9">
        <w:rPr>
          <w:lang w:val="es-ES_tradnl"/>
        </w:rPr>
        <w:t xml:space="preserve"> cuyo objetivo principal es la lucha contra la trata de mujer</w:t>
      </w:r>
      <w:r w:rsidR="00090CBC" w:rsidRPr="000D61D9">
        <w:rPr>
          <w:lang w:val="es-ES_tradnl"/>
        </w:rPr>
        <w:t>es y niñas, se definen medidas sobre coordinación;</w:t>
      </w:r>
      <w:r w:rsidRPr="000D61D9">
        <w:rPr>
          <w:lang w:val="es-ES_tradnl"/>
        </w:rPr>
        <w:t xml:space="preserve"> prevención</w:t>
      </w:r>
      <w:r w:rsidR="00090CBC" w:rsidRPr="000D61D9">
        <w:rPr>
          <w:lang w:val="es-ES_tradnl"/>
        </w:rPr>
        <w:t xml:space="preserve">; </w:t>
      </w:r>
      <w:r w:rsidRPr="000D61D9">
        <w:rPr>
          <w:lang w:val="es-ES_tradnl"/>
        </w:rPr>
        <w:t>protección de víctimas</w:t>
      </w:r>
      <w:r w:rsidR="00090CBC" w:rsidRPr="000D61D9">
        <w:rPr>
          <w:lang w:val="es-ES_tradnl"/>
        </w:rPr>
        <w:t>, entre otras cosas,</w:t>
      </w:r>
      <w:r w:rsidRPr="000D61D9">
        <w:rPr>
          <w:lang w:val="es-ES_tradnl"/>
        </w:rPr>
        <w:t xml:space="preserve"> asistencia jurídica y psicosocial, y, </w:t>
      </w:r>
      <w:r w:rsidR="00090CBC" w:rsidRPr="000D61D9">
        <w:rPr>
          <w:lang w:val="es-ES_tradnl"/>
        </w:rPr>
        <w:t>de ser menester</w:t>
      </w:r>
      <w:r w:rsidRPr="000D61D9">
        <w:rPr>
          <w:lang w:val="es-ES_tradnl"/>
        </w:rPr>
        <w:t xml:space="preserve">, apoyo económico </w:t>
      </w:r>
      <w:r w:rsidR="00090CBC" w:rsidRPr="000D61D9">
        <w:rPr>
          <w:lang w:val="es-ES_tradnl"/>
        </w:rPr>
        <w:t>a fin de asegurar su sustento;</w:t>
      </w:r>
      <w:r w:rsidRPr="000D61D9">
        <w:rPr>
          <w:lang w:val="es-ES_tradnl"/>
        </w:rPr>
        <w:t xml:space="preserve"> así como </w:t>
      </w:r>
      <w:r w:rsidR="00090CBC" w:rsidRPr="000D61D9">
        <w:rPr>
          <w:lang w:val="es-ES_tradnl"/>
        </w:rPr>
        <w:t xml:space="preserve">sobre </w:t>
      </w:r>
      <w:r w:rsidRPr="000D61D9">
        <w:rPr>
          <w:lang w:val="es-ES_tradnl"/>
        </w:rPr>
        <w:t xml:space="preserve">enjuiciamiento y cooperación internacional. Las ONG desempeñan un papel fundamental en la elaboración y la aplicación de este </w:t>
      </w:r>
      <w:r w:rsidR="008025E6" w:rsidRPr="000D61D9">
        <w:rPr>
          <w:lang w:val="es-ES_tradnl"/>
        </w:rPr>
        <w:t>plan de acción nacional</w:t>
      </w:r>
      <w:r w:rsidRPr="000D61D9">
        <w:rPr>
          <w:lang w:val="es-ES_tradnl"/>
        </w:rPr>
        <w:t>.</w:t>
      </w:r>
    </w:p>
    <w:p w:rsidR="00927023" w:rsidRPr="000D61D9" w:rsidRDefault="00927023" w:rsidP="00927023">
      <w:pPr>
        <w:pStyle w:val="SingleTxtG"/>
        <w:rPr>
          <w:lang w:val="es-ES_tradnl"/>
        </w:rPr>
      </w:pPr>
      <w:r w:rsidRPr="000D61D9">
        <w:rPr>
          <w:lang w:val="es-ES_tradnl"/>
        </w:rPr>
        <w:t>77.</w:t>
      </w:r>
      <w:r w:rsidRPr="000D61D9">
        <w:rPr>
          <w:lang w:val="es-ES_tradnl"/>
        </w:rPr>
        <w:tab/>
        <w:t xml:space="preserve">En ciertas circunstancias, las víctimas de la trata de seres humanos o de </w:t>
      </w:r>
      <w:r w:rsidR="00C94437" w:rsidRPr="000D61D9">
        <w:rPr>
          <w:lang w:val="es-ES_tradnl"/>
        </w:rPr>
        <w:t xml:space="preserve">la trata de </w:t>
      </w:r>
      <w:r w:rsidRPr="000D61D9">
        <w:rPr>
          <w:lang w:val="es-ES_tradnl"/>
        </w:rPr>
        <w:t xml:space="preserve">mujeres en particular tienen derecho a </w:t>
      </w:r>
      <w:r w:rsidR="00C94437" w:rsidRPr="000D61D9">
        <w:rPr>
          <w:lang w:val="es-ES_tradnl"/>
        </w:rPr>
        <w:t>percibir una indemnización,</w:t>
      </w:r>
      <w:r w:rsidRPr="000D61D9">
        <w:rPr>
          <w:lang w:val="es-ES_tradnl"/>
        </w:rPr>
        <w:t xml:space="preserve"> de conformidad con la Ley</w:t>
      </w:r>
      <w:r w:rsidR="00C94437" w:rsidRPr="000D61D9">
        <w:rPr>
          <w:lang w:val="es-ES_tradnl"/>
        </w:rPr>
        <w:t xml:space="preserve"> relativa a las</w:t>
      </w:r>
      <w:r w:rsidRPr="000D61D9">
        <w:rPr>
          <w:lang w:val="es-ES_tradnl"/>
        </w:rPr>
        <w:t xml:space="preserve"> víctimas de </w:t>
      </w:r>
      <w:r w:rsidR="00C94437" w:rsidRPr="000D61D9">
        <w:rPr>
          <w:lang w:val="es-ES_tradnl"/>
        </w:rPr>
        <w:t>delito</w:t>
      </w:r>
      <w:r w:rsidRPr="000D61D9">
        <w:rPr>
          <w:lang w:val="es-ES_tradnl"/>
        </w:rPr>
        <w:t xml:space="preserve">. Estas </w:t>
      </w:r>
      <w:r w:rsidR="00C94437" w:rsidRPr="000D61D9">
        <w:rPr>
          <w:lang w:val="es-ES_tradnl"/>
        </w:rPr>
        <w:t>prestac</w:t>
      </w:r>
      <w:r w:rsidRPr="000D61D9">
        <w:rPr>
          <w:lang w:val="es-ES_tradnl"/>
        </w:rPr>
        <w:t>iones t</w:t>
      </w:r>
      <w:r w:rsidR="00C94437" w:rsidRPr="000D61D9">
        <w:rPr>
          <w:lang w:val="es-ES_tradnl"/>
        </w:rPr>
        <w:t>ambién incluyen el reembolso de</w:t>
      </w:r>
      <w:r w:rsidRPr="000D61D9">
        <w:rPr>
          <w:lang w:val="es-ES_tradnl"/>
        </w:rPr>
        <w:t>l</w:t>
      </w:r>
      <w:r w:rsidR="00C94437" w:rsidRPr="000D61D9">
        <w:rPr>
          <w:lang w:val="es-ES_tradnl"/>
        </w:rPr>
        <w:t xml:space="preserve"> costo</w:t>
      </w:r>
      <w:r w:rsidRPr="000D61D9">
        <w:rPr>
          <w:lang w:val="es-ES_tradnl"/>
        </w:rPr>
        <w:t xml:space="preserve"> de</w:t>
      </w:r>
      <w:r w:rsidR="00C94437" w:rsidRPr="000D61D9">
        <w:rPr>
          <w:lang w:val="es-ES_tradnl"/>
        </w:rPr>
        <w:t xml:space="preserve"> la psicoterapia necesaria</w:t>
      </w:r>
      <w:r w:rsidRPr="000D61D9">
        <w:rPr>
          <w:lang w:val="es-ES_tradnl"/>
        </w:rPr>
        <w:t xml:space="preserve"> </w:t>
      </w:r>
      <w:r w:rsidR="00C94437" w:rsidRPr="000D61D9">
        <w:rPr>
          <w:lang w:val="es-ES_tradnl"/>
        </w:rPr>
        <w:t>a consecuencia de la situación vivida</w:t>
      </w:r>
      <w:r w:rsidRPr="000D61D9">
        <w:rPr>
          <w:lang w:val="es-ES_tradnl"/>
        </w:rPr>
        <w:t>. Desde</w:t>
      </w:r>
      <w:r w:rsidRPr="00EB182D">
        <w:rPr>
          <w:lang w:val="es-ES_tradnl"/>
        </w:rPr>
        <w:t xml:space="preserve"> 2004, el presupuesto del Centro de Intervención para las Mujeres Víctimas de la Trata se </w:t>
      </w:r>
      <w:r w:rsidR="00C94437">
        <w:rPr>
          <w:lang w:val="es-ES_tradnl"/>
        </w:rPr>
        <w:t>ha aumentado a más del doble (en 2010 ascendió a</w:t>
      </w:r>
      <w:r w:rsidRPr="00EB182D">
        <w:rPr>
          <w:lang w:val="es-ES_tradnl"/>
        </w:rPr>
        <w:t xml:space="preserve"> 480.000 euros). Además de</w:t>
      </w:r>
      <w:r w:rsidR="00C94437">
        <w:rPr>
          <w:lang w:val="es-ES_tradnl"/>
        </w:rPr>
        <w:t xml:space="preserve"> crearse en 1998 un centro de </w:t>
      </w:r>
      <w:r w:rsidRPr="00EB182D">
        <w:rPr>
          <w:lang w:val="es-ES_tradnl"/>
        </w:rPr>
        <w:t xml:space="preserve">alojamiento de emergencia </w:t>
      </w:r>
      <w:r w:rsidR="00C94437">
        <w:rPr>
          <w:lang w:val="es-ES_tradnl"/>
        </w:rPr>
        <w:t>de carácter secreto</w:t>
      </w:r>
      <w:r w:rsidRPr="00EB182D">
        <w:rPr>
          <w:lang w:val="es-ES_tradnl"/>
        </w:rPr>
        <w:t xml:space="preserve">, en 2007, se creó </w:t>
      </w:r>
      <w:r w:rsidR="00C94437">
        <w:rPr>
          <w:lang w:val="es-ES_tradnl"/>
        </w:rPr>
        <w:t xml:space="preserve">otro centro </w:t>
      </w:r>
      <w:r w:rsidRPr="00EB182D">
        <w:rPr>
          <w:lang w:val="es-ES_tradnl"/>
        </w:rPr>
        <w:t>para seis personas</w:t>
      </w:r>
      <w:r w:rsidR="00C94437">
        <w:rPr>
          <w:lang w:val="es-ES_tradnl"/>
        </w:rPr>
        <w:t>, también de</w:t>
      </w:r>
      <w:r w:rsidRPr="00EB182D">
        <w:rPr>
          <w:lang w:val="es-ES_tradnl"/>
        </w:rPr>
        <w:t xml:space="preserve"> </w:t>
      </w:r>
      <w:r w:rsidR="00C94437">
        <w:rPr>
          <w:lang w:val="es-ES_tradnl"/>
        </w:rPr>
        <w:t xml:space="preserve">carácter </w:t>
      </w:r>
      <w:r w:rsidRPr="00EB182D">
        <w:rPr>
          <w:lang w:val="es-ES_tradnl"/>
        </w:rPr>
        <w:t>secreto</w:t>
      </w:r>
      <w:r w:rsidR="00C94437">
        <w:rPr>
          <w:lang w:val="es-ES_tradnl"/>
        </w:rPr>
        <w:t xml:space="preserve">, en el que </w:t>
      </w:r>
      <w:r w:rsidR="00C94437" w:rsidRPr="000D61D9">
        <w:rPr>
          <w:lang w:val="es-ES_tradnl"/>
        </w:rPr>
        <w:t>los cuidados prestados son parciales. En este centro se a</w:t>
      </w:r>
      <w:r w:rsidRPr="000D61D9">
        <w:rPr>
          <w:lang w:val="es-ES_tradnl"/>
        </w:rPr>
        <w:t>lberga a víctimas, que, después de recibir cuidados intensivo</w:t>
      </w:r>
      <w:r w:rsidR="00244AB8" w:rsidRPr="000D61D9">
        <w:rPr>
          <w:lang w:val="es-ES_tradnl"/>
        </w:rPr>
        <w:t>s permanentes en un centro</w:t>
      </w:r>
      <w:r w:rsidRPr="000D61D9">
        <w:rPr>
          <w:lang w:val="es-ES_tradnl"/>
        </w:rPr>
        <w:t xml:space="preserve"> de alojamiento de emergencia, se encuentran lo suficientemente estables como para llevar una v</w:t>
      </w:r>
      <w:r w:rsidR="00C94437" w:rsidRPr="000D61D9">
        <w:rPr>
          <w:lang w:val="es-ES_tradnl"/>
        </w:rPr>
        <w:t>ida que requiere</w:t>
      </w:r>
      <w:r w:rsidRPr="000D61D9">
        <w:rPr>
          <w:lang w:val="es-ES_tradnl"/>
        </w:rPr>
        <w:t xml:space="preserve"> menos cuidados. En las comunidades locales, se organizaron mesas redondas en to</w:t>
      </w:r>
      <w:r w:rsidR="00C94437" w:rsidRPr="000D61D9">
        <w:rPr>
          <w:lang w:val="es-ES_tradnl"/>
        </w:rPr>
        <w:t>rno a la trata de seres humanos en las que</w:t>
      </w:r>
      <w:r w:rsidRPr="000D61D9">
        <w:rPr>
          <w:lang w:val="es-ES_tradnl"/>
        </w:rPr>
        <w:t xml:space="preserve"> se proporcionó información y se realizaron a</w:t>
      </w:r>
      <w:r w:rsidR="00C94437" w:rsidRPr="000D61D9">
        <w:rPr>
          <w:lang w:val="es-ES_tradnl"/>
        </w:rPr>
        <w:t>ctividades de negociación. Austria mantiene una estrecha cooperación</w:t>
      </w:r>
      <w:r w:rsidRPr="000D61D9">
        <w:rPr>
          <w:lang w:val="es-ES_tradnl"/>
        </w:rPr>
        <w:t xml:space="preserve"> con sus países vecinos y con instituciones de la UE.</w:t>
      </w:r>
    </w:p>
    <w:p w:rsidR="00927023" w:rsidRPr="000D61D9" w:rsidRDefault="009D5695" w:rsidP="00927023">
      <w:pPr>
        <w:pStyle w:val="SingleTxtG"/>
        <w:rPr>
          <w:lang w:val="es-ES_tradnl"/>
        </w:rPr>
      </w:pPr>
      <w:r w:rsidRPr="000D61D9">
        <w:rPr>
          <w:lang w:val="es-ES_tradnl"/>
        </w:rPr>
        <w:t>78.</w:t>
      </w:r>
      <w:r w:rsidRPr="000D61D9">
        <w:rPr>
          <w:lang w:val="es-ES_tradnl"/>
        </w:rPr>
        <w:tab/>
        <w:t>Es posible emitir</w:t>
      </w:r>
      <w:r w:rsidR="00927023" w:rsidRPr="000D61D9">
        <w:rPr>
          <w:lang w:val="es-ES_tradnl"/>
        </w:rPr>
        <w:t xml:space="preserve"> </w:t>
      </w:r>
      <w:r w:rsidRPr="000D61D9">
        <w:rPr>
          <w:lang w:val="es-ES_tradnl"/>
        </w:rPr>
        <w:t>un permiso de residencia a</w:t>
      </w:r>
      <w:r w:rsidR="00927023" w:rsidRPr="000D61D9">
        <w:rPr>
          <w:lang w:val="es-ES_tradnl"/>
        </w:rPr>
        <w:t xml:space="preserve"> víctimas o testigos de la trata de seres humanos</w:t>
      </w:r>
      <w:r w:rsidRPr="000D61D9">
        <w:rPr>
          <w:lang w:val="es-ES_tradnl"/>
        </w:rPr>
        <w:t>,</w:t>
      </w:r>
      <w:r w:rsidR="00927023" w:rsidRPr="000D61D9">
        <w:rPr>
          <w:lang w:val="es-ES_tradnl"/>
        </w:rPr>
        <w:t xml:space="preserve"> o </w:t>
      </w:r>
      <w:r w:rsidR="00EE2DB9" w:rsidRPr="000D61D9">
        <w:rPr>
          <w:lang w:val="es-ES_tradnl"/>
        </w:rPr>
        <w:t xml:space="preserve">a </w:t>
      </w:r>
      <w:r w:rsidRPr="000D61D9">
        <w:rPr>
          <w:lang w:val="es-ES_tradnl"/>
        </w:rPr>
        <w:t xml:space="preserve">víctimas </w:t>
      </w:r>
      <w:r w:rsidR="00927023" w:rsidRPr="000D61D9">
        <w:rPr>
          <w:lang w:val="es-ES_tradnl"/>
        </w:rPr>
        <w:t>de la prostitución forzada transfronteriza</w:t>
      </w:r>
      <w:r w:rsidRPr="000D61D9">
        <w:rPr>
          <w:lang w:val="es-ES_tradnl"/>
        </w:rPr>
        <w:t>,</w:t>
      </w:r>
      <w:r w:rsidR="00927023" w:rsidRPr="000D61D9">
        <w:rPr>
          <w:lang w:val="es-ES_tradnl"/>
        </w:rPr>
        <w:t xml:space="preserve"> </w:t>
      </w:r>
      <w:r w:rsidRPr="000D61D9">
        <w:rPr>
          <w:lang w:val="es-ES_tradnl"/>
        </w:rPr>
        <w:t xml:space="preserve">para que estas personas gocen de </w:t>
      </w:r>
      <w:r w:rsidR="00927023" w:rsidRPr="000D61D9">
        <w:rPr>
          <w:lang w:val="es-ES_tradnl"/>
        </w:rPr>
        <w:t xml:space="preserve">protección </w:t>
      </w:r>
      <w:r w:rsidRPr="000D61D9">
        <w:rPr>
          <w:lang w:val="es-ES_tradnl"/>
        </w:rPr>
        <w:t>e</w:t>
      </w:r>
      <w:r w:rsidR="00927023" w:rsidRPr="000D61D9">
        <w:rPr>
          <w:lang w:val="es-ES_tradnl"/>
        </w:rPr>
        <w:t>s</w:t>
      </w:r>
      <w:r w:rsidRPr="000D61D9">
        <w:rPr>
          <w:lang w:val="es-ES_tradnl"/>
        </w:rPr>
        <w:t>pecial</w:t>
      </w:r>
      <w:r w:rsidR="00927023" w:rsidRPr="000D61D9">
        <w:rPr>
          <w:rStyle w:val="FootnoteReference"/>
          <w:lang w:val="es-ES_tradnl"/>
        </w:rPr>
        <w:footnoteReference w:id="50"/>
      </w:r>
      <w:r w:rsidR="00927023" w:rsidRPr="000D61D9">
        <w:rPr>
          <w:lang w:val="es-ES_tradnl"/>
        </w:rPr>
        <w:t xml:space="preserve">. En virtud de esta disposición jurídica, </w:t>
      </w:r>
      <w:r w:rsidRPr="000D61D9">
        <w:rPr>
          <w:lang w:val="es-ES_tradnl"/>
        </w:rPr>
        <w:t>la víctima recibe un permiso</w:t>
      </w:r>
      <w:r w:rsidR="00927023" w:rsidRPr="000D61D9">
        <w:rPr>
          <w:lang w:val="es-ES_tradnl"/>
        </w:rPr>
        <w:t xml:space="preserve"> de residencia legal durante las accione</w:t>
      </w:r>
      <w:r w:rsidRPr="000D61D9">
        <w:rPr>
          <w:lang w:val="es-ES_tradnl"/>
        </w:rPr>
        <w:t>s judiciales, por lo que dispone</w:t>
      </w:r>
      <w:r w:rsidR="00927023" w:rsidRPr="000D61D9">
        <w:rPr>
          <w:lang w:val="es-ES_tradnl"/>
        </w:rPr>
        <w:t xml:space="preserve"> </w:t>
      </w:r>
      <w:r w:rsidRPr="000D61D9">
        <w:rPr>
          <w:lang w:val="es-ES_tradnl"/>
        </w:rPr>
        <w:t>d</w:t>
      </w:r>
      <w:r w:rsidR="00927023" w:rsidRPr="000D61D9">
        <w:rPr>
          <w:lang w:val="es-ES_tradnl"/>
        </w:rPr>
        <w:t xml:space="preserve">el tiempo necesario para </w:t>
      </w:r>
      <w:r w:rsidR="00EE2DB9" w:rsidRPr="000D61D9">
        <w:rPr>
          <w:lang w:val="es-ES_tradnl"/>
        </w:rPr>
        <w:t xml:space="preserve">interponer un recurso </w:t>
      </w:r>
      <w:r w:rsidR="00927023" w:rsidRPr="000D61D9">
        <w:rPr>
          <w:lang w:val="es-ES_tradnl"/>
        </w:rPr>
        <w:t xml:space="preserve">y </w:t>
      </w:r>
      <w:r w:rsidR="00EE2DB9" w:rsidRPr="000D61D9">
        <w:rPr>
          <w:lang w:val="es-ES_tradnl"/>
        </w:rPr>
        <w:t>hacerlo tramitar, de conformidad con e</w:t>
      </w:r>
      <w:r w:rsidR="00927023" w:rsidRPr="000D61D9">
        <w:rPr>
          <w:lang w:val="es-ES_tradnl"/>
        </w:rPr>
        <w:t xml:space="preserve">l derecho civil. </w:t>
      </w:r>
      <w:r w:rsidR="00EE2DB9" w:rsidRPr="000D61D9">
        <w:rPr>
          <w:lang w:val="es-ES_tradnl"/>
        </w:rPr>
        <w:t xml:space="preserve">Se dispone de </w:t>
      </w:r>
      <w:r w:rsidR="00927023" w:rsidRPr="000D61D9">
        <w:rPr>
          <w:lang w:val="es-ES_tradnl"/>
        </w:rPr>
        <w:t>procedimientos jurídicos simplificados</w:t>
      </w:r>
      <w:r w:rsidR="00EE2DB9" w:rsidRPr="000D61D9">
        <w:rPr>
          <w:lang w:val="es-ES_tradnl"/>
        </w:rPr>
        <w:t xml:space="preserve"> en los se toma</w:t>
      </w:r>
      <w:r w:rsidR="00927023" w:rsidRPr="000D61D9">
        <w:rPr>
          <w:lang w:val="es-ES_tradnl"/>
        </w:rPr>
        <w:t xml:space="preserve"> en consideración la situa</w:t>
      </w:r>
      <w:r w:rsidR="00EE2DB9" w:rsidRPr="000D61D9">
        <w:rPr>
          <w:lang w:val="es-ES_tradnl"/>
        </w:rPr>
        <w:t>ción específica de estas personas</w:t>
      </w:r>
      <w:r w:rsidR="00927023" w:rsidRPr="000D61D9">
        <w:rPr>
          <w:lang w:val="es-ES_tradnl"/>
        </w:rPr>
        <w:t>.</w:t>
      </w:r>
    </w:p>
    <w:p w:rsidR="00927023" w:rsidRPr="000D61D9" w:rsidRDefault="00927023" w:rsidP="00927023">
      <w:pPr>
        <w:pStyle w:val="SingleTxtG"/>
        <w:rPr>
          <w:lang w:val="es-ES_tradnl"/>
        </w:rPr>
      </w:pPr>
      <w:r w:rsidRPr="000D61D9">
        <w:rPr>
          <w:lang w:val="es-ES_tradnl"/>
        </w:rPr>
        <w:t>79.</w:t>
      </w:r>
      <w:r w:rsidRPr="000D61D9">
        <w:rPr>
          <w:lang w:val="es-ES_tradnl"/>
        </w:rPr>
        <w:tab/>
        <w:t>En</w:t>
      </w:r>
      <w:r w:rsidR="00E25E81" w:rsidRPr="000D61D9">
        <w:rPr>
          <w:lang w:val="es-ES_tradnl"/>
        </w:rPr>
        <w:t xml:space="preserve"> relación con la trata de seres humanos, en 2010</w:t>
      </w:r>
      <w:r w:rsidRPr="000D61D9">
        <w:rPr>
          <w:lang w:val="es-ES_tradnl"/>
        </w:rPr>
        <w:t xml:space="preserve"> se </w:t>
      </w:r>
      <w:r w:rsidR="00E25E81" w:rsidRPr="000D61D9">
        <w:rPr>
          <w:lang w:val="es-ES_tradnl"/>
        </w:rPr>
        <w:t xml:space="preserve">habilitó una línea telefónica de </w:t>
      </w:r>
      <w:r w:rsidR="00CD1F43" w:rsidRPr="000D61D9">
        <w:rPr>
          <w:lang w:val="es-ES_tradnl"/>
        </w:rPr>
        <w:t>emergencia</w:t>
      </w:r>
      <w:r w:rsidR="00E25E81" w:rsidRPr="000D61D9">
        <w:rPr>
          <w:lang w:val="es-ES_tradnl"/>
        </w:rPr>
        <w:t xml:space="preserve"> de alcance</w:t>
      </w:r>
      <w:r w:rsidRPr="000D61D9">
        <w:rPr>
          <w:lang w:val="es-ES_tradnl"/>
        </w:rPr>
        <w:t xml:space="preserve"> nacional</w:t>
      </w:r>
      <w:r w:rsidR="00E25E81" w:rsidRPr="000D61D9">
        <w:rPr>
          <w:lang w:val="es-ES_tradnl"/>
        </w:rPr>
        <w:t xml:space="preserve">, que funciona las 24 horas del día a través de </w:t>
      </w:r>
      <w:r w:rsidRPr="000D61D9">
        <w:rPr>
          <w:lang w:val="es-ES_tradnl"/>
        </w:rPr>
        <w:t xml:space="preserve">las comisarías </w:t>
      </w:r>
      <w:r w:rsidR="00E25E81" w:rsidRPr="000D61D9">
        <w:rPr>
          <w:lang w:val="es-ES_tradnl"/>
        </w:rPr>
        <w:t>de policía</w:t>
      </w:r>
      <w:r w:rsidRPr="000D61D9">
        <w:rPr>
          <w:lang w:val="es-ES_tradnl"/>
        </w:rPr>
        <w:t xml:space="preserve">. Además, se organizaron programas de formación sobre la trata de seres humanos destinados a funcionarios </w:t>
      </w:r>
      <w:r w:rsidR="00E25E81" w:rsidRPr="000D61D9">
        <w:rPr>
          <w:lang w:val="es-ES_tradnl"/>
        </w:rPr>
        <w:t>encargados de hacer cumplir</w:t>
      </w:r>
      <w:r w:rsidRPr="000D61D9">
        <w:rPr>
          <w:lang w:val="es-ES_tradnl"/>
        </w:rPr>
        <w:t xml:space="preserve"> la ley.</w:t>
      </w:r>
    </w:p>
    <w:p w:rsidR="00927023" w:rsidRPr="000D61D9" w:rsidRDefault="00927023" w:rsidP="00927023">
      <w:pPr>
        <w:pStyle w:val="SingleTxtG"/>
        <w:rPr>
          <w:lang w:val="es-ES_tradnl"/>
        </w:rPr>
      </w:pPr>
      <w:r w:rsidRPr="000D61D9">
        <w:rPr>
          <w:lang w:val="es-ES_tradnl"/>
        </w:rPr>
        <w:t>80.</w:t>
      </w:r>
      <w:r w:rsidRPr="000D61D9">
        <w:rPr>
          <w:lang w:val="es-ES_tradnl"/>
        </w:rPr>
        <w:tab/>
        <w:t xml:space="preserve">Austria ha realizado una labor de prevención en más de 100 países en </w:t>
      </w:r>
      <w:r w:rsidR="000E6B15">
        <w:rPr>
          <w:lang w:val="es-ES_tradnl"/>
        </w:rPr>
        <w:t xml:space="preserve">situación de </w:t>
      </w:r>
      <w:r w:rsidRPr="000D61D9">
        <w:rPr>
          <w:lang w:val="es-ES_tradnl"/>
        </w:rPr>
        <w:t>riesgo. Se solicitó a todas las delegaciones del servicio diplomático de</w:t>
      </w:r>
      <w:r w:rsidR="00F72E59" w:rsidRPr="000D61D9">
        <w:rPr>
          <w:lang w:val="es-ES_tradnl"/>
        </w:rPr>
        <w:t>l país</w:t>
      </w:r>
      <w:r w:rsidRPr="000D61D9">
        <w:rPr>
          <w:lang w:val="es-ES_tradnl"/>
        </w:rPr>
        <w:t xml:space="preserve"> que tomasen medidas </w:t>
      </w:r>
      <w:r w:rsidR="00CD1F43">
        <w:rPr>
          <w:lang w:val="es-ES_tradnl"/>
        </w:rPr>
        <w:t xml:space="preserve">concretas </w:t>
      </w:r>
      <w:r w:rsidRPr="000D61D9">
        <w:rPr>
          <w:lang w:val="es-ES_tradnl"/>
        </w:rPr>
        <w:t>y enérgicas contra la trata de seres humanos. El Organismo Austríaco de Cooperación para</w:t>
      </w:r>
      <w:r w:rsidR="009420FF" w:rsidRPr="000D61D9">
        <w:rPr>
          <w:lang w:val="es-ES_tradnl"/>
        </w:rPr>
        <w:t xml:space="preserve"> el Desarrollo ha realizado</w:t>
      </w:r>
      <w:r w:rsidR="00F72E59" w:rsidRPr="000D61D9">
        <w:rPr>
          <w:lang w:val="es-ES_tradnl"/>
        </w:rPr>
        <w:t xml:space="preserve"> una aportación significativa</w:t>
      </w:r>
      <w:r w:rsidRPr="000D61D9">
        <w:rPr>
          <w:lang w:val="es-ES_tradnl"/>
        </w:rPr>
        <w:t xml:space="preserve"> a la lucha contra la trata de seres humanos en los p</w:t>
      </w:r>
      <w:r w:rsidR="009420FF" w:rsidRPr="000D61D9">
        <w:rPr>
          <w:lang w:val="es-ES_tradnl"/>
        </w:rPr>
        <w:t>aíses de origen. Con objeto</w:t>
      </w:r>
      <w:r w:rsidRPr="000D61D9">
        <w:rPr>
          <w:lang w:val="es-ES_tradnl"/>
        </w:rPr>
        <w:t xml:space="preserve"> de aumentar la protección del personal doméstico de diplomáticos acreditados en Austria </w:t>
      </w:r>
      <w:r w:rsidR="00F72E59" w:rsidRPr="000D61D9">
        <w:rPr>
          <w:lang w:val="es-ES_tradnl"/>
        </w:rPr>
        <w:t>o de</w:t>
      </w:r>
      <w:r w:rsidRPr="000D61D9">
        <w:rPr>
          <w:lang w:val="es-ES_tradnl"/>
        </w:rPr>
        <w:t xml:space="preserve"> </w:t>
      </w:r>
      <w:r w:rsidR="00F72E59" w:rsidRPr="000D61D9">
        <w:rPr>
          <w:lang w:val="es-ES_tradnl"/>
        </w:rPr>
        <w:t>funcionarios internacionales, y a fin de contrarrestar cualquier tipo de abuso,</w:t>
      </w:r>
      <w:r w:rsidRPr="000D61D9">
        <w:rPr>
          <w:lang w:val="es-ES_tradnl"/>
        </w:rPr>
        <w:t xml:space="preserve"> se </w:t>
      </w:r>
      <w:r w:rsidR="00F72E59" w:rsidRPr="000D61D9">
        <w:rPr>
          <w:lang w:val="es-ES_tradnl"/>
        </w:rPr>
        <w:t>idearon muchos</w:t>
      </w:r>
      <w:r w:rsidRPr="000D61D9">
        <w:rPr>
          <w:lang w:val="es-ES_tradnl"/>
        </w:rPr>
        <w:t xml:space="preserve"> mecanismos de control en cooperación con los demás ministerios competentes y organizaciones de protección de las víctimas. Por lo tanto, </w:t>
      </w:r>
      <w:r w:rsidR="00F72E59" w:rsidRPr="000D61D9">
        <w:rPr>
          <w:lang w:val="es-ES_tradnl"/>
        </w:rPr>
        <w:t xml:space="preserve">en este sentido, </w:t>
      </w:r>
      <w:r w:rsidRPr="000D61D9">
        <w:rPr>
          <w:lang w:val="es-ES_tradnl"/>
        </w:rPr>
        <w:t>Austria ha si</w:t>
      </w:r>
      <w:r w:rsidR="00F72E59" w:rsidRPr="000D61D9">
        <w:rPr>
          <w:lang w:val="es-ES_tradnl"/>
        </w:rPr>
        <w:t xml:space="preserve">do un precursor </w:t>
      </w:r>
      <w:r w:rsidRPr="000D61D9">
        <w:rPr>
          <w:lang w:val="es-ES_tradnl"/>
        </w:rPr>
        <w:t>en el ámbito internacional.</w:t>
      </w:r>
    </w:p>
    <w:p w:rsidR="00927023" w:rsidRPr="000D61D9" w:rsidRDefault="00927023" w:rsidP="00927023">
      <w:pPr>
        <w:pStyle w:val="SingleTxtG"/>
        <w:rPr>
          <w:lang w:val="es-ES_tradnl"/>
        </w:rPr>
      </w:pPr>
      <w:r w:rsidRPr="000D61D9">
        <w:rPr>
          <w:lang w:val="es-ES_tradnl"/>
        </w:rPr>
        <w:t>81.</w:t>
      </w:r>
      <w:r w:rsidRPr="000D61D9">
        <w:rPr>
          <w:lang w:val="es-ES_tradnl"/>
        </w:rPr>
        <w:tab/>
      </w:r>
      <w:r w:rsidR="009420FF" w:rsidRPr="000D61D9">
        <w:rPr>
          <w:lang w:val="es-ES_tradnl"/>
        </w:rPr>
        <w:t>La celebración anual d</w:t>
      </w:r>
      <w:r w:rsidRPr="000D61D9">
        <w:rPr>
          <w:lang w:val="es-ES_tradnl"/>
        </w:rPr>
        <w:t>el Día de lucha contra la trata de seres humanos</w:t>
      </w:r>
      <w:r w:rsidR="009420FF" w:rsidRPr="000D61D9">
        <w:rPr>
          <w:lang w:val="es-ES_tradnl"/>
        </w:rPr>
        <w:t>,</w:t>
      </w:r>
      <w:r w:rsidRPr="000D61D9">
        <w:rPr>
          <w:lang w:val="es-ES_tradnl"/>
        </w:rPr>
        <w:t xml:space="preserve"> de la UE</w:t>
      </w:r>
      <w:r w:rsidR="009420FF" w:rsidRPr="000D61D9">
        <w:rPr>
          <w:lang w:val="es-ES_tradnl"/>
        </w:rPr>
        <w:t>,</w:t>
      </w:r>
      <w:r w:rsidRPr="000D61D9">
        <w:rPr>
          <w:lang w:val="es-ES_tradnl"/>
        </w:rPr>
        <w:t xml:space="preserve"> </w:t>
      </w:r>
      <w:r w:rsidR="009420FF" w:rsidRPr="000D61D9">
        <w:rPr>
          <w:lang w:val="es-ES_tradnl"/>
        </w:rPr>
        <w:t>en 2010 tuvo lugar en</w:t>
      </w:r>
      <w:r w:rsidRPr="000D61D9">
        <w:rPr>
          <w:lang w:val="es-ES_tradnl"/>
        </w:rPr>
        <w:t xml:space="preserve"> Viena </w:t>
      </w:r>
      <w:r w:rsidR="009420FF" w:rsidRPr="000D61D9">
        <w:rPr>
          <w:lang w:val="es-ES_tradnl"/>
        </w:rPr>
        <w:t>bajo el título</w:t>
      </w:r>
      <w:r w:rsidRPr="000D61D9">
        <w:rPr>
          <w:lang w:val="es-ES_tradnl"/>
        </w:rPr>
        <w:t xml:space="preserve"> </w:t>
      </w:r>
      <w:r w:rsidR="00C70626">
        <w:rPr>
          <w:lang w:val="es-ES_tradnl"/>
        </w:rPr>
        <w:t>"</w:t>
      </w:r>
      <w:r w:rsidRPr="000D61D9">
        <w:rPr>
          <w:lang w:val="es-ES_tradnl"/>
        </w:rPr>
        <w:t>Unir fuerzas contra la trata de seres humanos: Actividades de Austria en la lucha contra la tr</w:t>
      </w:r>
      <w:r w:rsidR="009420FF" w:rsidRPr="000D61D9">
        <w:rPr>
          <w:lang w:val="es-ES_tradnl"/>
        </w:rPr>
        <w:t>ata de seres humanos</w:t>
      </w:r>
      <w:r w:rsidR="00C70626">
        <w:rPr>
          <w:lang w:val="es-ES_tradnl"/>
        </w:rPr>
        <w:t>"</w:t>
      </w:r>
      <w:r w:rsidR="009420FF" w:rsidRPr="000D61D9">
        <w:rPr>
          <w:lang w:val="es-ES_tradnl"/>
        </w:rPr>
        <w:t>. La exposi</w:t>
      </w:r>
      <w:r w:rsidRPr="000D61D9">
        <w:rPr>
          <w:lang w:val="es-ES_tradnl"/>
        </w:rPr>
        <w:t xml:space="preserve">ción </w:t>
      </w:r>
      <w:r w:rsidR="00C70626">
        <w:rPr>
          <w:lang w:val="es-ES_tradnl"/>
        </w:rPr>
        <w:t>"</w:t>
      </w:r>
      <w:r w:rsidRPr="000D61D9">
        <w:rPr>
          <w:lang w:val="es-ES_tradnl"/>
        </w:rPr>
        <w:t>Trata de seres humanos: esclavitud en el siglo XXI</w:t>
      </w:r>
      <w:r w:rsidR="00C70626">
        <w:rPr>
          <w:lang w:val="es-ES_tradnl"/>
        </w:rPr>
        <w:t>"</w:t>
      </w:r>
      <w:r w:rsidRPr="000D61D9">
        <w:rPr>
          <w:lang w:val="es-ES_tradnl"/>
        </w:rPr>
        <w:t xml:space="preserve"> está dirigida principalmente a niños en edad escolar</w:t>
      </w:r>
      <w:r w:rsidR="009420FF" w:rsidRPr="000D61D9">
        <w:rPr>
          <w:lang w:val="es-ES_tradnl"/>
        </w:rPr>
        <w:t xml:space="preserve">; se procura </w:t>
      </w:r>
      <w:r w:rsidRPr="000D61D9">
        <w:rPr>
          <w:lang w:val="es-ES_tradnl"/>
        </w:rPr>
        <w:t xml:space="preserve">explicar el fenómeno de la trata de seres humanos y fomentar </w:t>
      </w:r>
      <w:r w:rsidR="009420FF" w:rsidRPr="000D61D9">
        <w:rPr>
          <w:lang w:val="es-ES_tradnl"/>
        </w:rPr>
        <w:t>el debate</w:t>
      </w:r>
      <w:r w:rsidRPr="000D61D9">
        <w:rPr>
          <w:lang w:val="es-ES_tradnl"/>
        </w:rPr>
        <w:t xml:space="preserve"> sobre </w:t>
      </w:r>
      <w:r w:rsidR="009420FF" w:rsidRPr="000D61D9">
        <w:rPr>
          <w:lang w:val="es-ES_tradnl"/>
        </w:rPr>
        <w:t>las causas</w:t>
      </w:r>
      <w:r w:rsidRPr="000D61D9">
        <w:rPr>
          <w:lang w:val="es-ES_tradnl"/>
        </w:rPr>
        <w:t>.</w:t>
      </w:r>
    </w:p>
    <w:p w:rsidR="00927023" w:rsidRPr="000D61D9" w:rsidRDefault="00927023" w:rsidP="00927023">
      <w:pPr>
        <w:pStyle w:val="SingleTxtG"/>
        <w:rPr>
          <w:lang w:val="es-ES_tradnl"/>
        </w:rPr>
      </w:pPr>
      <w:r w:rsidRPr="000D61D9">
        <w:rPr>
          <w:lang w:val="es-ES_tradnl"/>
        </w:rPr>
        <w:t>82.</w:t>
      </w:r>
      <w:r w:rsidRPr="000D61D9">
        <w:rPr>
          <w:lang w:val="es-ES_tradnl"/>
        </w:rPr>
        <w:tab/>
        <w:t xml:space="preserve">Ejemplo de las provincias federales: En Viena, las víctimas de la trata de seres humanos que necesitan un permiso de </w:t>
      </w:r>
      <w:r w:rsidR="00CD1F43">
        <w:rPr>
          <w:lang w:val="es-ES_tradnl"/>
        </w:rPr>
        <w:t>residencia pueden dirigirse al</w:t>
      </w:r>
      <w:r w:rsidR="00202E66" w:rsidRPr="000D61D9">
        <w:rPr>
          <w:lang w:val="es-ES_tradnl"/>
        </w:rPr>
        <w:t xml:space="preserve"> fun</w:t>
      </w:r>
      <w:r w:rsidR="00CD1F43">
        <w:rPr>
          <w:lang w:val="es-ES_tradnl"/>
        </w:rPr>
        <w:t>cionario de enlace, que trabaja en estrecha cooperación</w:t>
      </w:r>
      <w:r w:rsidRPr="000D61D9">
        <w:rPr>
          <w:lang w:val="es-ES_tradnl"/>
        </w:rPr>
        <w:t xml:space="preserve"> con el Centro de Intervención para las Mujeres Víctimas de la Trata. Se</w:t>
      </w:r>
      <w:r w:rsidR="00C425BE">
        <w:rPr>
          <w:lang w:val="es-ES_tradnl"/>
        </w:rPr>
        <w:t xml:space="preserve"> </w:t>
      </w:r>
      <w:r w:rsidR="00202E66" w:rsidRPr="000D61D9">
        <w:rPr>
          <w:lang w:val="es-ES_tradnl"/>
        </w:rPr>
        <w:t xml:space="preserve">fomenta la </w:t>
      </w:r>
      <w:r w:rsidRPr="000D61D9">
        <w:rPr>
          <w:lang w:val="es-ES_tradnl"/>
        </w:rPr>
        <w:t xml:space="preserve">formación de </w:t>
      </w:r>
      <w:r w:rsidR="00202E66" w:rsidRPr="000D61D9">
        <w:rPr>
          <w:lang w:val="es-ES_tradnl"/>
        </w:rPr>
        <w:t xml:space="preserve">actores de efecto </w:t>
      </w:r>
      <w:r w:rsidRPr="000D61D9">
        <w:rPr>
          <w:lang w:val="es-ES_tradnl"/>
        </w:rPr>
        <w:t>multiplicador</w:t>
      </w:r>
      <w:r w:rsidR="00202E66" w:rsidRPr="000D61D9">
        <w:rPr>
          <w:lang w:val="es-ES_tradnl"/>
        </w:rPr>
        <w:t>,</w:t>
      </w:r>
      <w:r w:rsidRPr="000D61D9">
        <w:rPr>
          <w:lang w:val="es-ES_tradnl"/>
        </w:rPr>
        <w:t xml:space="preserve"> para ayudar a las víctimas de la trata que padecen la explotación sexual.</w:t>
      </w:r>
    </w:p>
    <w:p w:rsidR="00927023" w:rsidRPr="000D61D9" w:rsidRDefault="00927023" w:rsidP="00927023">
      <w:pPr>
        <w:pStyle w:val="H1G"/>
        <w:rPr>
          <w:lang w:val="es-ES_tradnl"/>
        </w:rPr>
      </w:pPr>
      <w:r w:rsidRPr="000D61D9">
        <w:rPr>
          <w:lang w:val="es-ES_tradnl"/>
        </w:rPr>
        <w:tab/>
      </w:r>
      <w:r w:rsidRPr="000D61D9">
        <w:rPr>
          <w:lang w:val="es-ES_tradnl"/>
        </w:rPr>
        <w:tab/>
        <w:t xml:space="preserve">Respuesta a las observaciones finales </w:t>
      </w:r>
      <w:r w:rsidR="004E1189" w:rsidRPr="000D61D9">
        <w:rPr>
          <w:lang w:val="es-ES_tradnl"/>
        </w:rPr>
        <w:t>de los</w:t>
      </w:r>
      <w:r w:rsidRPr="000D61D9">
        <w:rPr>
          <w:lang w:val="es-ES_tradnl"/>
        </w:rPr>
        <w:t xml:space="preserve"> párrafos 27 y 28</w:t>
      </w:r>
      <w:r w:rsidRPr="000D61D9">
        <w:rPr>
          <w:lang w:val="es-ES_tradnl"/>
        </w:rPr>
        <w:br/>
        <w:t>Aumentar la proporción de mujeres en puestos decisorios</w:t>
      </w:r>
    </w:p>
    <w:p w:rsidR="00927023" w:rsidRPr="000D61D9" w:rsidRDefault="00927023" w:rsidP="00927023">
      <w:pPr>
        <w:pStyle w:val="SingleTxtG"/>
        <w:rPr>
          <w:lang w:val="es-ES_tradnl"/>
        </w:rPr>
      </w:pPr>
      <w:r w:rsidRPr="000D61D9">
        <w:rPr>
          <w:lang w:val="es-ES_tradnl"/>
        </w:rPr>
        <w:t>83.</w:t>
      </w:r>
      <w:r w:rsidRPr="000D61D9">
        <w:rPr>
          <w:lang w:val="es-ES_tradnl"/>
        </w:rPr>
        <w:tab/>
      </w:r>
      <w:r w:rsidR="001F2E6B" w:rsidRPr="000D61D9">
        <w:rPr>
          <w:lang w:val="es-ES_tradnl"/>
        </w:rPr>
        <w:t>Por lo que respecta a l</w:t>
      </w:r>
      <w:r w:rsidRPr="000D61D9">
        <w:rPr>
          <w:lang w:val="es-ES_tradnl"/>
        </w:rPr>
        <w:t xml:space="preserve">as mujeres </w:t>
      </w:r>
      <w:r w:rsidR="001F2E6B" w:rsidRPr="000D61D9">
        <w:rPr>
          <w:lang w:val="es-ES_tradnl"/>
        </w:rPr>
        <w:t xml:space="preserve">que ocupan </w:t>
      </w:r>
      <w:r w:rsidRPr="000D61D9">
        <w:rPr>
          <w:lang w:val="es-ES_tradnl"/>
        </w:rPr>
        <w:t xml:space="preserve">puestos </w:t>
      </w:r>
      <w:r w:rsidR="001F2E6B" w:rsidRPr="000D61D9">
        <w:rPr>
          <w:lang w:val="es-ES_tradnl"/>
        </w:rPr>
        <w:t xml:space="preserve">de nivel directivo y </w:t>
      </w:r>
      <w:r w:rsidRPr="000D61D9">
        <w:rPr>
          <w:lang w:val="es-ES_tradnl"/>
        </w:rPr>
        <w:t>decisorio</w:t>
      </w:r>
      <w:r w:rsidR="001F2E6B" w:rsidRPr="000D61D9">
        <w:rPr>
          <w:lang w:val="es-ES_tradnl"/>
        </w:rPr>
        <w:t xml:space="preserve"> más alto</w:t>
      </w:r>
      <w:r w:rsidRPr="000D61D9">
        <w:rPr>
          <w:lang w:val="es-ES_tradnl"/>
        </w:rPr>
        <w:t xml:space="preserve"> en ámbitos como la política, la vida empresarial, la ciencia y la administración, las conclusiones de diversos estudios revelan una excesiva </w:t>
      </w:r>
      <w:r w:rsidR="001F2E6B" w:rsidRPr="000D61D9">
        <w:rPr>
          <w:lang w:val="es-ES_tradnl"/>
        </w:rPr>
        <w:t xml:space="preserve">presencia </w:t>
      </w:r>
      <w:r w:rsidRPr="000D61D9">
        <w:rPr>
          <w:lang w:val="es-ES_tradnl"/>
        </w:rPr>
        <w:t>de hombres en algunas esferas y cambios mínimos en esta situación. En Austria, la participación de mujeres en puestos decisorios de la vida política se encuentra en el segmento medio o superior de la lista de los 27 Estados miembros de la UE y países pertenecientes al EEE. La proporción de mujeres en puestos directivos en la administración pública federal aumentó en los últimos años</w:t>
      </w:r>
      <w:r w:rsidRPr="000D61D9">
        <w:rPr>
          <w:rStyle w:val="FootnoteReference"/>
          <w:lang w:val="es-ES_tradnl"/>
        </w:rPr>
        <w:footnoteReference w:id="51"/>
      </w:r>
      <w:r w:rsidR="00A02024" w:rsidRPr="000D61D9">
        <w:rPr>
          <w:lang w:val="es-ES_tradnl"/>
        </w:rPr>
        <w:t>. A febrero de 2011, e</w:t>
      </w:r>
      <w:r w:rsidRPr="000D61D9">
        <w:rPr>
          <w:lang w:val="es-ES_tradnl"/>
        </w:rPr>
        <w:t>n las 200 empresas austríacas con los mayores volúmenes de negocios, las mujeres representaban el 10,3</w:t>
      </w:r>
      <w:r w:rsidR="00B34FFF">
        <w:rPr>
          <w:lang w:val="es-ES_tradnl"/>
        </w:rPr>
        <w:t>%</w:t>
      </w:r>
      <w:r w:rsidRPr="000D61D9">
        <w:rPr>
          <w:lang w:val="es-ES_tradnl"/>
        </w:rPr>
        <w:t xml:space="preserve"> de los integrantes de juntas </w:t>
      </w:r>
      <w:r w:rsidR="00A02024" w:rsidRPr="000D61D9">
        <w:rPr>
          <w:lang w:val="es-ES_tradnl"/>
        </w:rPr>
        <w:t xml:space="preserve">de </w:t>
      </w:r>
      <w:r w:rsidRPr="000D61D9">
        <w:rPr>
          <w:lang w:val="es-ES_tradnl"/>
        </w:rPr>
        <w:t>supervis</w:t>
      </w:r>
      <w:r w:rsidR="00A02024" w:rsidRPr="000D61D9">
        <w:rPr>
          <w:lang w:val="es-ES_tradnl"/>
        </w:rPr>
        <w:t>ión</w:t>
      </w:r>
      <w:r w:rsidRPr="000D61D9">
        <w:rPr>
          <w:lang w:val="es-ES_tradnl"/>
        </w:rPr>
        <w:t>, y el 4,4</w:t>
      </w:r>
      <w:r w:rsidR="00B34FFF">
        <w:rPr>
          <w:lang w:val="es-ES_tradnl"/>
        </w:rPr>
        <w:t>%</w:t>
      </w:r>
      <w:r w:rsidRPr="000D61D9">
        <w:rPr>
          <w:lang w:val="es-ES_tradnl"/>
        </w:rPr>
        <w:t xml:space="preserve"> de todos los </w:t>
      </w:r>
      <w:r w:rsidR="00A02024" w:rsidRPr="000D61D9">
        <w:rPr>
          <w:lang w:val="es-ES_tradnl"/>
        </w:rPr>
        <w:t>consejos</w:t>
      </w:r>
      <w:r w:rsidRPr="000D61D9">
        <w:rPr>
          <w:lang w:val="es-ES_tradnl"/>
        </w:rPr>
        <w:t xml:space="preserve"> de administración o </w:t>
      </w:r>
      <w:r w:rsidR="00A02024" w:rsidRPr="000D61D9">
        <w:rPr>
          <w:lang w:val="es-ES_tradnl"/>
        </w:rPr>
        <w:t xml:space="preserve">juntas </w:t>
      </w:r>
      <w:r w:rsidRPr="000D61D9">
        <w:rPr>
          <w:lang w:val="es-ES_tradnl"/>
        </w:rPr>
        <w:t>direct</w:t>
      </w:r>
      <w:r w:rsidR="00A02024" w:rsidRPr="000D61D9">
        <w:rPr>
          <w:lang w:val="es-ES_tradnl"/>
        </w:rPr>
        <w:t>ivas</w:t>
      </w:r>
      <w:r w:rsidRPr="000D61D9">
        <w:rPr>
          <w:lang w:val="es-ES_tradnl"/>
        </w:rPr>
        <w:t xml:space="preserve"> generales de Austria. En 2008, la proporción de mujeres represen</w:t>
      </w:r>
      <w:r w:rsidR="00A02024" w:rsidRPr="000D61D9">
        <w:rPr>
          <w:lang w:val="es-ES_tradnl"/>
        </w:rPr>
        <w:t xml:space="preserve">tadas en las juntas de supervisión de empresas públicas </w:t>
      </w:r>
      <w:r w:rsidRPr="000D61D9">
        <w:rPr>
          <w:lang w:val="es-ES_tradnl"/>
        </w:rPr>
        <w:t>e</w:t>
      </w:r>
      <w:r w:rsidR="00A02024" w:rsidRPr="000D61D9">
        <w:rPr>
          <w:lang w:val="es-ES_tradnl"/>
        </w:rPr>
        <w:t>ra</w:t>
      </w:r>
      <w:r w:rsidRPr="000D61D9">
        <w:rPr>
          <w:lang w:val="es-ES_tradnl"/>
        </w:rPr>
        <w:t xml:space="preserve"> del 16,1</w:t>
      </w:r>
      <w:r w:rsidR="00B34FFF">
        <w:rPr>
          <w:lang w:val="es-ES_tradnl"/>
        </w:rPr>
        <w:t>%</w:t>
      </w:r>
      <w:r w:rsidRPr="000D61D9">
        <w:rPr>
          <w:lang w:val="es-ES_tradnl"/>
        </w:rPr>
        <w:t>, y en consejos de</w:t>
      </w:r>
      <w:r w:rsidR="00A02024" w:rsidRPr="000D61D9">
        <w:rPr>
          <w:lang w:val="es-ES_tradnl"/>
        </w:rPr>
        <w:t xml:space="preserve"> administración o en la dirección</w:t>
      </w:r>
      <w:r w:rsidRPr="000D61D9">
        <w:rPr>
          <w:lang w:val="es-ES_tradnl"/>
        </w:rPr>
        <w:t xml:space="preserve"> superior</w:t>
      </w:r>
      <w:r w:rsidR="00A02024" w:rsidRPr="000D61D9">
        <w:rPr>
          <w:lang w:val="es-ES_tradnl"/>
        </w:rPr>
        <w:t>,</w:t>
      </w:r>
      <w:r w:rsidR="00792D71">
        <w:rPr>
          <w:lang w:val="es-ES_tradnl"/>
        </w:rPr>
        <w:t xml:space="preserve"> del </w:t>
      </w:r>
      <w:r w:rsidRPr="000D61D9">
        <w:rPr>
          <w:lang w:val="es-ES_tradnl"/>
        </w:rPr>
        <w:t>11,6</w:t>
      </w:r>
      <w:r w:rsidR="00B34FFF">
        <w:rPr>
          <w:lang w:val="es-ES_tradnl"/>
        </w:rPr>
        <w:t>%</w:t>
      </w:r>
      <w:r w:rsidRPr="000D61D9">
        <w:rPr>
          <w:lang w:val="es-ES_tradnl"/>
        </w:rPr>
        <w:t>.</w:t>
      </w:r>
    </w:p>
    <w:p w:rsidR="00927023" w:rsidRPr="000D61D9" w:rsidRDefault="00927023" w:rsidP="00927023">
      <w:pPr>
        <w:pStyle w:val="SingleTxtG"/>
        <w:rPr>
          <w:lang w:val="es-ES_tradnl"/>
        </w:rPr>
      </w:pPr>
      <w:r w:rsidRPr="000D61D9">
        <w:rPr>
          <w:lang w:val="es-ES_tradnl"/>
        </w:rPr>
        <w:t>84.</w:t>
      </w:r>
      <w:r w:rsidRPr="000D61D9">
        <w:rPr>
          <w:lang w:val="es-ES_tradnl"/>
        </w:rPr>
        <w:tab/>
        <w:t xml:space="preserve">En consecuencia, el avance de la mujer en puestos de liderazgo constituye una inquietud fundamental de las políticas relativas a la mujer aplicadas por el Gobierno Federal. En el Plan de Acción Nacional por la Igualdad de Género en el Mercado de </w:t>
      </w:r>
      <w:r w:rsidR="00342454" w:rsidRPr="000D61D9">
        <w:rPr>
          <w:lang w:val="es-ES_tradnl"/>
        </w:rPr>
        <w:t>Trabajo se definen medidas concretas</w:t>
      </w:r>
      <w:r w:rsidRPr="000D61D9">
        <w:rPr>
          <w:lang w:val="es-ES_tradnl"/>
        </w:rPr>
        <w:t xml:space="preserve"> que aumentarán el porcentaje de mujeres en l</w:t>
      </w:r>
      <w:r w:rsidR="00342454" w:rsidRPr="000D61D9">
        <w:rPr>
          <w:lang w:val="es-ES_tradnl"/>
        </w:rPr>
        <w:t>os puestos decisorios de empres</w:t>
      </w:r>
      <w:r w:rsidRPr="000D61D9">
        <w:rPr>
          <w:lang w:val="es-ES_tradnl"/>
        </w:rPr>
        <w:t xml:space="preserve">as públicas y privadas y en la administración pública (véase la respuesta a los párrafos </w:t>
      </w:r>
      <w:r w:rsidR="00342454" w:rsidRPr="000D61D9">
        <w:rPr>
          <w:lang w:val="es-ES_tradnl"/>
        </w:rPr>
        <w:t>19 y 20). El Gobierno Federal estableci</w:t>
      </w:r>
      <w:r w:rsidRPr="000D61D9">
        <w:rPr>
          <w:lang w:val="es-ES_tradnl"/>
        </w:rPr>
        <w:t>ó un</w:t>
      </w:r>
      <w:r w:rsidR="00342454" w:rsidRPr="000D61D9">
        <w:rPr>
          <w:lang w:val="es-ES_tradnl"/>
        </w:rPr>
        <w:t xml:space="preserve"> cupo de mujeres en</w:t>
      </w:r>
      <w:r w:rsidRPr="000D61D9">
        <w:rPr>
          <w:lang w:val="es-ES_tradnl"/>
        </w:rPr>
        <w:t xml:space="preserve"> los órganos de supervisión de las </w:t>
      </w:r>
      <w:r w:rsidR="00342454" w:rsidRPr="000D61D9">
        <w:rPr>
          <w:lang w:val="es-ES_tradnl"/>
        </w:rPr>
        <w:t>empresas</w:t>
      </w:r>
      <w:r w:rsidRPr="000D61D9">
        <w:rPr>
          <w:lang w:val="es-ES_tradnl"/>
        </w:rPr>
        <w:t xml:space="preserve"> públicas: de acuerdo con este plan gradua</w:t>
      </w:r>
      <w:r w:rsidR="00342454" w:rsidRPr="000D61D9">
        <w:rPr>
          <w:lang w:val="es-ES_tradnl"/>
        </w:rPr>
        <w:t>l</w:t>
      </w:r>
      <w:r w:rsidR="00CD1F43">
        <w:rPr>
          <w:lang w:val="es-ES_tradnl"/>
        </w:rPr>
        <w:t xml:space="preserve">, </w:t>
      </w:r>
      <w:r w:rsidR="00342454" w:rsidRPr="000D61D9">
        <w:rPr>
          <w:lang w:val="es-ES_tradnl"/>
        </w:rPr>
        <w:t>el porcentaje</w:t>
      </w:r>
      <w:r w:rsidRPr="000D61D9">
        <w:rPr>
          <w:lang w:val="es-ES_tradnl"/>
        </w:rPr>
        <w:t xml:space="preserve"> de mujeres en las juntas de supervisión designadas por el Gobierno Federal debe elevarse a un 25</w:t>
      </w:r>
      <w:r w:rsidR="00B34FFF">
        <w:rPr>
          <w:lang w:val="es-ES_tradnl"/>
        </w:rPr>
        <w:t>%</w:t>
      </w:r>
      <w:r w:rsidRPr="000D61D9">
        <w:rPr>
          <w:lang w:val="es-ES_tradnl"/>
        </w:rPr>
        <w:t xml:space="preserve"> para 2013, y a un 35</w:t>
      </w:r>
      <w:r w:rsidR="00B34FFF">
        <w:rPr>
          <w:lang w:val="es-ES_tradnl"/>
        </w:rPr>
        <w:t>%</w:t>
      </w:r>
      <w:r w:rsidRPr="000D61D9">
        <w:rPr>
          <w:lang w:val="es-ES_tradnl"/>
        </w:rPr>
        <w:t xml:space="preserve"> para 2018</w:t>
      </w:r>
      <w:r w:rsidRPr="000D61D9">
        <w:rPr>
          <w:rStyle w:val="FootnoteReference"/>
          <w:lang w:val="es-ES_tradnl"/>
        </w:rPr>
        <w:footnoteReference w:id="52"/>
      </w:r>
      <w:r w:rsidRPr="000D61D9">
        <w:rPr>
          <w:lang w:val="es-ES_tradnl"/>
        </w:rPr>
        <w:t xml:space="preserve">. En el </w:t>
      </w:r>
      <w:r w:rsidR="00342454" w:rsidRPr="000D61D9">
        <w:rPr>
          <w:lang w:val="es-ES_tradnl"/>
        </w:rPr>
        <w:t xml:space="preserve">nuevo </w:t>
      </w:r>
      <w:r w:rsidRPr="000D61D9">
        <w:rPr>
          <w:lang w:val="es-ES_tradnl"/>
        </w:rPr>
        <w:t>portal web relativo a las mujeres en puestos superiores</w:t>
      </w:r>
      <w:r w:rsidRPr="000D61D9">
        <w:rPr>
          <w:rStyle w:val="FootnoteReference"/>
          <w:lang w:val="es-ES_tradnl"/>
        </w:rPr>
        <w:footnoteReference w:id="53"/>
      </w:r>
      <w:r w:rsidR="00342454" w:rsidRPr="000D61D9">
        <w:rPr>
          <w:lang w:val="es-ES_tradnl"/>
        </w:rPr>
        <w:t>, habilitado</w:t>
      </w:r>
      <w:r w:rsidRPr="000D61D9">
        <w:rPr>
          <w:lang w:val="es-ES_tradnl"/>
        </w:rPr>
        <w:t xml:space="preserve"> en 2010, puede</w:t>
      </w:r>
      <w:r w:rsidR="00342454" w:rsidRPr="000D61D9">
        <w:rPr>
          <w:lang w:val="es-ES_tradnl"/>
        </w:rPr>
        <w:t>n</w:t>
      </w:r>
      <w:r w:rsidRPr="000D61D9">
        <w:rPr>
          <w:lang w:val="es-ES_tradnl"/>
        </w:rPr>
        <w:t xml:space="preserve"> obtenerse más </w:t>
      </w:r>
      <w:r w:rsidR="00342454" w:rsidRPr="000D61D9">
        <w:rPr>
          <w:lang w:val="es-ES_tradnl"/>
        </w:rPr>
        <w:t>datos</w:t>
      </w:r>
      <w:r w:rsidRPr="000D61D9">
        <w:rPr>
          <w:lang w:val="es-ES_tradnl"/>
        </w:rPr>
        <w:t xml:space="preserve"> y </w:t>
      </w:r>
      <w:r w:rsidR="00342454" w:rsidRPr="000D61D9">
        <w:rPr>
          <w:lang w:val="es-ES_tradnl"/>
        </w:rPr>
        <w:t>el listado de la</w:t>
      </w:r>
      <w:r w:rsidRPr="000D61D9">
        <w:rPr>
          <w:lang w:val="es-ES_tradnl"/>
        </w:rPr>
        <w:t>s medidas de promoción.</w:t>
      </w:r>
    </w:p>
    <w:p w:rsidR="00927023" w:rsidRPr="000D61D9" w:rsidRDefault="00927023" w:rsidP="00561073">
      <w:pPr>
        <w:pStyle w:val="SingleTxtG"/>
        <w:rPr>
          <w:lang w:val="es-ES_tradnl"/>
        </w:rPr>
      </w:pPr>
      <w:r w:rsidRPr="000D61D9">
        <w:rPr>
          <w:lang w:val="es-ES_tradnl"/>
        </w:rPr>
        <w:t>85.</w:t>
      </w:r>
      <w:r w:rsidRPr="000D61D9">
        <w:rPr>
          <w:lang w:val="es-ES_tradnl"/>
        </w:rPr>
        <w:tab/>
        <w:t xml:space="preserve">En las universidades, deben realizarse esfuerzos para contrarrestar la </w:t>
      </w:r>
      <w:r w:rsidR="00C70626">
        <w:rPr>
          <w:lang w:val="es-ES_tradnl"/>
        </w:rPr>
        <w:t>"</w:t>
      </w:r>
      <w:r w:rsidRPr="000D61D9">
        <w:rPr>
          <w:lang w:val="es-ES_tradnl"/>
        </w:rPr>
        <w:t>fuga de cerebros</w:t>
      </w:r>
      <w:r w:rsidR="00C70626">
        <w:rPr>
          <w:lang w:val="es-ES_tradnl"/>
        </w:rPr>
        <w:t>"</w:t>
      </w:r>
      <w:r w:rsidRPr="000D61D9">
        <w:rPr>
          <w:lang w:val="es-ES_tradnl"/>
        </w:rPr>
        <w:t>, es decir, la de</w:t>
      </w:r>
      <w:r w:rsidR="00561073" w:rsidRPr="000D61D9">
        <w:rPr>
          <w:lang w:val="es-ES_tradnl"/>
        </w:rPr>
        <w:t>saparición gradual de mujeres sumamente calificadas durante la carrera académica. A tal fin, se ha de adoptar</w:t>
      </w:r>
      <w:r w:rsidRPr="000D61D9">
        <w:rPr>
          <w:lang w:val="es-ES_tradnl"/>
        </w:rPr>
        <w:t xml:space="preserve"> una política de recursos humanos con objetivos específicos</w:t>
      </w:r>
      <w:r w:rsidR="00561073" w:rsidRPr="000D61D9">
        <w:rPr>
          <w:lang w:val="es-ES_tradnl"/>
        </w:rPr>
        <w:t xml:space="preserve">, así como medidas de </w:t>
      </w:r>
      <w:r w:rsidRPr="000D61D9">
        <w:rPr>
          <w:lang w:val="es-ES_tradnl"/>
        </w:rPr>
        <w:t xml:space="preserve">acción afirmativa, y, en especial, </w:t>
      </w:r>
      <w:r w:rsidR="00561073" w:rsidRPr="000D61D9">
        <w:rPr>
          <w:lang w:val="es-ES_tradnl"/>
        </w:rPr>
        <w:t xml:space="preserve">se ha </w:t>
      </w:r>
      <w:r w:rsidRPr="000D61D9">
        <w:rPr>
          <w:lang w:val="es-ES_tradnl"/>
        </w:rPr>
        <w:t>de</w:t>
      </w:r>
      <w:r w:rsidR="00561073" w:rsidRPr="000D61D9">
        <w:rPr>
          <w:lang w:val="es-ES_tradnl"/>
        </w:rPr>
        <w:t xml:space="preserve"> velar</w:t>
      </w:r>
      <w:r w:rsidRPr="000D61D9">
        <w:rPr>
          <w:lang w:val="es-ES_tradnl"/>
        </w:rPr>
        <w:t xml:space="preserve"> por el cumplimiento de</w:t>
      </w:r>
      <w:r w:rsidR="00561073" w:rsidRPr="000D61D9">
        <w:rPr>
          <w:lang w:val="es-ES_tradnl"/>
        </w:rPr>
        <w:t>l</w:t>
      </w:r>
      <w:r w:rsidRPr="000D61D9">
        <w:rPr>
          <w:lang w:val="es-ES_tradnl"/>
        </w:rPr>
        <w:t xml:space="preserve"> cu</w:t>
      </w:r>
      <w:r w:rsidR="00561073" w:rsidRPr="000D61D9">
        <w:rPr>
          <w:lang w:val="es-ES_tradnl"/>
        </w:rPr>
        <w:t>po</w:t>
      </w:r>
      <w:r w:rsidRPr="000D61D9">
        <w:rPr>
          <w:lang w:val="es-ES_tradnl"/>
        </w:rPr>
        <w:t xml:space="preserve"> de mujeres </w:t>
      </w:r>
      <w:r w:rsidR="00561073" w:rsidRPr="000D61D9">
        <w:rPr>
          <w:lang w:val="es-ES_tradnl"/>
        </w:rPr>
        <w:t xml:space="preserve">establecido </w:t>
      </w:r>
      <w:r w:rsidRPr="000D61D9">
        <w:rPr>
          <w:lang w:val="es-ES_tradnl"/>
        </w:rPr>
        <w:t xml:space="preserve">recientemente </w:t>
      </w:r>
      <w:r w:rsidR="00561073" w:rsidRPr="000D61D9">
        <w:rPr>
          <w:lang w:val="es-ES_tradnl"/>
        </w:rPr>
        <w:t>para to</w:t>
      </w:r>
      <w:r w:rsidRPr="000D61D9">
        <w:rPr>
          <w:lang w:val="es-ES_tradnl"/>
        </w:rPr>
        <w:t>dos los órganos universitarios (véase el artículo 4).</w:t>
      </w:r>
    </w:p>
    <w:p w:rsidR="00927023" w:rsidRPr="000D61D9" w:rsidRDefault="00927023" w:rsidP="00927023">
      <w:pPr>
        <w:pStyle w:val="SingleTxtG"/>
        <w:rPr>
          <w:lang w:val="es-ES_tradnl"/>
        </w:rPr>
      </w:pPr>
      <w:r w:rsidRPr="000D61D9">
        <w:rPr>
          <w:lang w:val="es-ES_tradnl"/>
        </w:rPr>
        <w:t>86.</w:t>
      </w:r>
      <w:r w:rsidRPr="000D61D9">
        <w:rPr>
          <w:lang w:val="es-ES_tradnl"/>
        </w:rPr>
        <w:tab/>
      </w:r>
      <w:r w:rsidR="00343C30" w:rsidRPr="000D61D9">
        <w:rPr>
          <w:lang w:val="es-ES_tradnl"/>
        </w:rPr>
        <w:t>Las</w:t>
      </w:r>
      <w:r w:rsidRPr="000D61D9">
        <w:rPr>
          <w:lang w:val="es-ES_tradnl"/>
        </w:rPr>
        <w:t xml:space="preserve"> tutorías</w:t>
      </w:r>
      <w:r w:rsidR="00343C30" w:rsidRPr="000D61D9">
        <w:rPr>
          <w:lang w:val="es-ES_tradnl"/>
        </w:rPr>
        <w:t xml:space="preserve"> servirán para aumentar más </w:t>
      </w:r>
      <w:r w:rsidRPr="000D61D9">
        <w:rPr>
          <w:lang w:val="es-ES_tradnl"/>
        </w:rPr>
        <w:t xml:space="preserve">las calificaciones personales y profesionales de las mujeres </w:t>
      </w:r>
      <w:r w:rsidR="00343C30" w:rsidRPr="000D61D9">
        <w:rPr>
          <w:lang w:val="es-ES_tradnl"/>
        </w:rPr>
        <w:t xml:space="preserve">y hacerlas </w:t>
      </w:r>
      <w:r w:rsidRPr="000D61D9">
        <w:rPr>
          <w:lang w:val="es-ES_tradnl"/>
        </w:rPr>
        <w:t xml:space="preserve">más visibles. En varios ministerios, se han elaborado diversos programas de tutorías. En el marco del programa federal de </w:t>
      </w:r>
      <w:r w:rsidR="00343C30" w:rsidRPr="000D61D9">
        <w:rPr>
          <w:lang w:val="es-ES_tradnl"/>
        </w:rPr>
        <w:t>tutoría</w:t>
      </w:r>
      <w:r w:rsidR="00FD1A85">
        <w:rPr>
          <w:lang w:val="es-ES_tradnl"/>
        </w:rPr>
        <w:t>s</w:t>
      </w:r>
      <w:r w:rsidR="00343C30" w:rsidRPr="000D61D9">
        <w:rPr>
          <w:lang w:val="es-ES_tradnl"/>
        </w:rPr>
        <w:t xml:space="preserve"> transversales</w:t>
      </w:r>
      <w:r w:rsidRPr="000D61D9">
        <w:rPr>
          <w:rStyle w:val="FootnoteReference"/>
          <w:lang w:val="es-ES_tradnl"/>
        </w:rPr>
        <w:footnoteReference w:id="54"/>
      </w:r>
      <w:r w:rsidR="00343C30" w:rsidRPr="000D61D9">
        <w:rPr>
          <w:lang w:val="es-ES_tradnl"/>
        </w:rPr>
        <w:t xml:space="preserve"> emprendido</w:t>
      </w:r>
      <w:r w:rsidRPr="000D61D9">
        <w:rPr>
          <w:lang w:val="es-ES_tradnl"/>
        </w:rPr>
        <w:t xml:space="preserve"> en 2004, funcionarios ex</w:t>
      </w:r>
      <w:r w:rsidR="00343C30" w:rsidRPr="000D61D9">
        <w:rPr>
          <w:lang w:val="es-ES_tradnl"/>
        </w:rPr>
        <w:t>perimentados de alto nivel ayuda</w:t>
      </w:r>
      <w:r w:rsidRPr="000D61D9">
        <w:rPr>
          <w:lang w:val="es-ES_tradnl"/>
        </w:rPr>
        <w:t>n a mujeres que trabajan en diversos ministerios.</w:t>
      </w:r>
    </w:p>
    <w:p w:rsidR="00927023" w:rsidRPr="000D61D9" w:rsidRDefault="00927023" w:rsidP="00927023">
      <w:pPr>
        <w:pStyle w:val="SingleTxtG"/>
        <w:rPr>
          <w:lang w:val="es-ES_tradnl"/>
        </w:rPr>
      </w:pPr>
      <w:r w:rsidRPr="000D61D9">
        <w:rPr>
          <w:lang w:val="es-ES_tradnl"/>
        </w:rPr>
        <w:t>87.</w:t>
      </w:r>
      <w:r w:rsidRPr="000D61D9">
        <w:rPr>
          <w:lang w:val="es-ES_tradnl"/>
        </w:rPr>
        <w:tab/>
        <w:t xml:space="preserve">Ejemplos de las provincias federales: Durante varios años, todas las provincias federales han ofrecido módulos de formación </w:t>
      </w:r>
      <w:r w:rsidR="00881500" w:rsidRPr="000D61D9">
        <w:rPr>
          <w:lang w:val="es-ES_tradnl"/>
        </w:rPr>
        <w:t xml:space="preserve">complementaria </w:t>
      </w:r>
      <w:r w:rsidRPr="000D61D9">
        <w:rPr>
          <w:lang w:val="es-ES_tradnl"/>
        </w:rPr>
        <w:t xml:space="preserve">para mujeres, a fin de aumentar su participación en los órganos de adopción de decisiones, especialmente en el ámbito local. Algunos ejemplos son los cursos de formación política y </w:t>
      </w:r>
      <w:r w:rsidR="00881500" w:rsidRPr="000D61D9">
        <w:rPr>
          <w:lang w:val="es-ES_tradnl"/>
        </w:rPr>
        <w:t xml:space="preserve">los </w:t>
      </w:r>
      <w:r w:rsidRPr="000D61D9">
        <w:rPr>
          <w:lang w:val="es-ES_tradnl"/>
        </w:rPr>
        <w:t>programas de tutorías (véanse los artículos 4 y 7).</w:t>
      </w:r>
    </w:p>
    <w:p w:rsidR="00927023" w:rsidRPr="000D61D9" w:rsidRDefault="00927023" w:rsidP="00927023">
      <w:pPr>
        <w:pStyle w:val="H1G"/>
        <w:rPr>
          <w:lang w:val="es-ES_tradnl"/>
        </w:rPr>
      </w:pPr>
      <w:r w:rsidRPr="000D61D9">
        <w:rPr>
          <w:lang w:val="es-ES_tradnl"/>
        </w:rPr>
        <w:tab/>
      </w:r>
      <w:r w:rsidRPr="000D61D9">
        <w:rPr>
          <w:lang w:val="es-ES_tradnl"/>
        </w:rPr>
        <w:tab/>
        <w:t xml:space="preserve">Respuesta a las observaciones finales </w:t>
      </w:r>
      <w:r w:rsidR="004E1189" w:rsidRPr="000D61D9">
        <w:rPr>
          <w:lang w:val="es-ES_tradnl"/>
        </w:rPr>
        <w:t>de los</w:t>
      </w:r>
      <w:r w:rsidRPr="000D61D9">
        <w:rPr>
          <w:lang w:val="es-ES_tradnl"/>
        </w:rPr>
        <w:t xml:space="preserve"> párrafos 29 y 30</w:t>
      </w:r>
      <w:r w:rsidRPr="000D61D9">
        <w:rPr>
          <w:lang w:val="es-ES_tradnl"/>
        </w:rPr>
        <w:br/>
        <w:t xml:space="preserve">Derechos de las mujeres </w:t>
      </w:r>
      <w:r w:rsidR="00FD1A85">
        <w:rPr>
          <w:lang w:val="es-ES_tradnl"/>
        </w:rPr>
        <w:t>in</w:t>
      </w:r>
      <w:r w:rsidRPr="000D61D9">
        <w:rPr>
          <w:lang w:val="es-ES_tradnl"/>
        </w:rPr>
        <w:t>migrantes y su integración</w:t>
      </w:r>
    </w:p>
    <w:p w:rsidR="00927023" w:rsidRPr="000D61D9" w:rsidRDefault="00927023" w:rsidP="00927023">
      <w:pPr>
        <w:pStyle w:val="SingleTxtG"/>
        <w:rPr>
          <w:lang w:val="es-ES_tradnl"/>
        </w:rPr>
      </w:pPr>
      <w:r w:rsidRPr="000D61D9">
        <w:rPr>
          <w:lang w:val="es-ES_tradnl"/>
        </w:rPr>
        <w:t>88.</w:t>
      </w:r>
      <w:r w:rsidRPr="000D61D9">
        <w:rPr>
          <w:lang w:val="es-ES_tradnl"/>
        </w:rPr>
        <w:tab/>
        <w:t>Austria es uno de los pocos Estados miembros de la UE</w:t>
      </w:r>
      <w:r w:rsidR="00AA5D77" w:rsidRPr="000D61D9">
        <w:rPr>
          <w:lang w:val="es-ES_tradnl"/>
        </w:rPr>
        <w:t xml:space="preserve"> que ha</w:t>
      </w:r>
      <w:r w:rsidR="00CD1F43">
        <w:rPr>
          <w:lang w:val="es-ES_tradnl"/>
        </w:rPr>
        <w:t xml:space="preserve"> </w:t>
      </w:r>
      <w:r w:rsidR="00AA5D77" w:rsidRPr="000D61D9">
        <w:rPr>
          <w:lang w:val="es-ES_tradnl"/>
        </w:rPr>
        <w:t>definido</w:t>
      </w:r>
      <w:r w:rsidRPr="000D61D9">
        <w:rPr>
          <w:lang w:val="es-ES_tradnl"/>
        </w:rPr>
        <w:t xml:space="preserve"> el concepto de la discriminación múltiple </w:t>
      </w:r>
      <w:r w:rsidR="004322DB" w:rsidRPr="000D61D9">
        <w:rPr>
          <w:lang w:val="es-ES_tradnl"/>
        </w:rPr>
        <w:t>en la L</w:t>
      </w:r>
      <w:r w:rsidRPr="000D61D9">
        <w:rPr>
          <w:lang w:val="es-ES_tradnl"/>
        </w:rPr>
        <w:t xml:space="preserve">ey sobre igualdad de trato. Por lo tanto, las mujeres pueden invocar el precepto de la igualdad de trato entre hombres y mujeres y la igualdad de derechos independientemente del origen étnico, </w:t>
      </w:r>
      <w:r w:rsidR="004322DB" w:rsidRPr="000D61D9">
        <w:rPr>
          <w:lang w:val="es-ES_tradnl"/>
        </w:rPr>
        <w:t xml:space="preserve">la </w:t>
      </w:r>
      <w:r w:rsidRPr="000D61D9">
        <w:rPr>
          <w:lang w:val="es-ES_tradnl"/>
        </w:rPr>
        <w:t xml:space="preserve">religión o </w:t>
      </w:r>
      <w:r w:rsidR="004322DB" w:rsidRPr="000D61D9">
        <w:rPr>
          <w:lang w:val="es-ES_tradnl"/>
        </w:rPr>
        <w:t>la ideología</w:t>
      </w:r>
      <w:r w:rsidRPr="000D61D9">
        <w:rPr>
          <w:lang w:val="es-ES_tradnl"/>
        </w:rPr>
        <w:t xml:space="preserve">, </w:t>
      </w:r>
      <w:r w:rsidR="004322DB" w:rsidRPr="000D61D9">
        <w:rPr>
          <w:lang w:val="es-ES_tradnl"/>
        </w:rPr>
        <w:t xml:space="preserve">la </w:t>
      </w:r>
      <w:r w:rsidRPr="000D61D9">
        <w:rPr>
          <w:lang w:val="es-ES_tradnl"/>
        </w:rPr>
        <w:t xml:space="preserve">edad </w:t>
      </w:r>
      <w:r w:rsidR="004322DB" w:rsidRPr="000D61D9">
        <w:rPr>
          <w:lang w:val="es-ES_tradnl"/>
        </w:rPr>
        <w:t>o la</w:t>
      </w:r>
      <w:r w:rsidRPr="000D61D9">
        <w:rPr>
          <w:lang w:val="es-ES_tradnl"/>
        </w:rPr>
        <w:t xml:space="preserve"> orientación sexual (véase la respuesta a los párrafos 11 y 12). Las experiencias adquiridas y los mecanismos de apoyo se intercambian dentro de una red de la UE.</w:t>
      </w:r>
    </w:p>
    <w:p w:rsidR="00927023" w:rsidRPr="000D61D9" w:rsidRDefault="00223F5C" w:rsidP="00CD1F43">
      <w:pPr>
        <w:pStyle w:val="SingleTxtG"/>
        <w:rPr>
          <w:lang w:val="es-ES_tradnl"/>
        </w:rPr>
      </w:pPr>
      <w:r w:rsidRPr="000D61D9">
        <w:rPr>
          <w:lang w:val="es-ES_tradnl"/>
        </w:rPr>
        <w:t>89.</w:t>
      </w:r>
      <w:r w:rsidRPr="000D61D9">
        <w:rPr>
          <w:lang w:val="es-ES_tradnl"/>
        </w:rPr>
        <w:tab/>
        <w:t>Gracias a l</w:t>
      </w:r>
      <w:r w:rsidR="00E62BD6" w:rsidRPr="000D61D9">
        <w:rPr>
          <w:lang w:val="es-ES_tradnl"/>
        </w:rPr>
        <w:t>as actividades</w:t>
      </w:r>
      <w:r w:rsidR="00927023" w:rsidRPr="000D61D9">
        <w:rPr>
          <w:lang w:val="es-ES_tradnl"/>
        </w:rPr>
        <w:t xml:space="preserve"> de integración, las mujeres </w:t>
      </w:r>
      <w:r w:rsidR="00E62BD6" w:rsidRPr="000D61D9">
        <w:rPr>
          <w:lang w:val="es-ES_tradnl"/>
        </w:rPr>
        <w:t>in</w:t>
      </w:r>
      <w:r w:rsidR="00927023" w:rsidRPr="000D61D9">
        <w:rPr>
          <w:lang w:val="es-ES_tradnl"/>
        </w:rPr>
        <w:t xml:space="preserve">migrantes residentes han </w:t>
      </w:r>
      <w:r w:rsidR="00E62BD6" w:rsidRPr="000D61D9">
        <w:rPr>
          <w:lang w:val="es-ES_tradnl"/>
        </w:rPr>
        <w:t>ganado</w:t>
      </w:r>
      <w:r w:rsidR="00927023" w:rsidRPr="000D61D9">
        <w:rPr>
          <w:lang w:val="es-ES_tradnl"/>
        </w:rPr>
        <w:t xml:space="preserve"> mayor acceso al mercado de trabajo y, en consecuencia, la cantidad de mujeres extranjeras que no cuentan con </w:t>
      </w:r>
      <w:r w:rsidR="00E62BD6" w:rsidRPr="000D61D9">
        <w:rPr>
          <w:lang w:val="es-ES_tradnl"/>
        </w:rPr>
        <w:t xml:space="preserve">un </w:t>
      </w:r>
      <w:r w:rsidR="00927023" w:rsidRPr="000D61D9">
        <w:rPr>
          <w:lang w:val="es-ES_tradnl"/>
        </w:rPr>
        <w:t xml:space="preserve">permiso de trabajo </w:t>
      </w:r>
      <w:r w:rsidR="00E62BD6" w:rsidRPr="000D61D9">
        <w:rPr>
          <w:lang w:val="es-ES_tradnl"/>
        </w:rPr>
        <w:t xml:space="preserve">ha </w:t>
      </w:r>
      <w:r w:rsidR="00927023" w:rsidRPr="000D61D9">
        <w:rPr>
          <w:lang w:val="es-ES_tradnl"/>
        </w:rPr>
        <w:t>disminu</w:t>
      </w:r>
      <w:r w:rsidR="00E62BD6" w:rsidRPr="000D61D9">
        <w:rPr>
          <w:lang w:val="es-ES_tradnl"/>
        </w:rPr>
        <w:t>ido</w:t>
      </w:r>
      <w:r w:rsidR="00927023" w:rsidRPr="000D61D9">
        <w:rPr>
          <w:lang w:val="es-ES_tradnl"/>
        </w:rPr>
        <w:t xml:space="preserve"> considerablemente. El </w:t>
      </w:r>
      <w:r w:rsidRPr="000D61D9">
        <w:rPr>
          <w:lang w:val="es-ES_tradnl"/>
        </w:rPr>
        <w:t>SPE</w:t>
      </w:r>
      <w:r w:rsidR="00927023" w:rsidRPr="000D61D9">
        <w:rPr>
          <w:lang w:val="es-ES_tradnl"/>
        </w:rPr>
        <w:t xml:space="preserve"> está comprometido con la gestión de la diversidad como parte de su política d</w:t>
      </w:r>
      <w:r w:rsidR="00E62BD6" w:rsidRPr="000D61D9">
        <w:rPr>
          <w:lang w:val="es-ES_tradnl"/>
        </w:rPr>
        <w:t>e mercado de trabajo. Organiza</w:t>
      </w:r>
      <w:r w:rsidR="00927023" w:rsidRPr="000D61D9">
        <w:rPr>
          <w:lang w:val="es-ES_tradnl"/>
        </w:rPr>
        <w:t xml:space="preserve"> programas de formación </w:t>
      </w:r>
      <w:r w:rsidR="00E62BD6" w:rsidRPr="000D61D9">
        <w:rPr>
          <w:lang w:val="es-ES_tradnl"/>
        </w:rPr>
        <w:t xml:space="preserve">para el personal, </w:t>
      </w:r>
      <w:r w:rsidR="00927023" w:rsidRPr="000D61D9">
        <w:rPr>
          <w:lang w:val="es-ES_tradnl"/>
        </w:rPr>
        <w:t>sobre comunicación intercultural</w:t>
      </w:r>
      <w:r w:rsidR="00E62BD6" w:rsidRPr="000D61D9">
        <w:rPr>
          <w:lang w:val="es-ES_tradnl"/>
        </w:rPr>
        <w:t>,</w:t>
      </w:r>
      <w:r w:rsidR="00927023" w:rsidRPr="000D61D9">
        <w:rPr>
          <w:lang w:val="es-ES_tradnl"/>
        </w:rPr>
        <w:t xml:space="preserve"> y </w:t>
      </w:r>
      <w:r w:rsidR="00E62BD6" w:rsidRPr="000D61D9">
        <w:rPr>
          <w:lang w:val="es-ES_tradnl"/>
        </w:rPr>
        <w:t xml:space="preserve">contempla </w:t>
      </w:r>
      <w:r w:rsidR="00927023" w:rsidRPr="000D61D9">
        <w:rPr>
          <w:lang w:val="es-ES_tradnl"/>
        </w:rPr>
        <w:t>medidas específicas, como la contratación de trabajadores</w:t>
      </w:r>
      <w:r w:rsidR="00E62BD6" w:rsidRPr="000D61D9">
        <w:rPr>
          <w:lang w:val="es-ES_tradnl"/>
        </w:rPr>
        <w:t xml:space="preserve"> de entornos</w:t>
      </w:r>
      <w:r w:rsidR="00927023" w:rsidRPr="000D61D9">
        <w:rPr>
          <w:lang w:val="es-ES_tradnl"/>
        </w:rPr>
        <w:t xml:space="preserve"> </w:t>
      </w:r>
      <w:r w:rsidR="00E62BD6" w:rsidRPr="000D61D9">
        <w:rPr>
          <w:lang w:val="es-ES_tradnl"/>
        </w:rPr>
        <w:t>in</w:t>
      </w:r>
      <w:r w:rsidR="00927023" w:rsidRPr="000D61D9">
        <w:rPr>
          <w:lang w:val="es-ES_tradnl"/>
        </w:rPr>
        <w:t>migrantes</w:t>
      </w:r>
      <w:r w:rsidR="00E62BD6" w:rsidRPr="000D61D9">
        <w:rPr>
          <w:lang w:val="es-ES_tradnl"/>
        </w:rPr>
        <w:t>; publica material informativo</w:t>
      </w:r>
      <w:r w:rsidR="00927023" w:rsidRPr="000D61D9">
        <w:rPr>
          <w:lang w:val="es-ES_tradnl"/>
        </w:rPr>
        <w:t xml:space="preserve"> y folletos en vario</w:t>
      </w:r>
      <w:r w:rsidR="00E62BD6" w:rsidRPr="000D61D9">
        <w:rPr>
          <w:lang w:val="es-ES_tradnl"/>
        </w:rPr>
        <w:t>s idiomas;</w:t>
      </w:r>
      <w:r w:rsidR="00927023" w:rsidRPr="000D61D9">
        <w:rPr>
          <w:lang w:val="es-ES_tradnl"/>
        </w:rPr>
        <w:t xml:space="preserve"> </w:t>
      </w:r>
      <w:r w:rsidR="00CD1F43">
        <w:rPr>
          <w:lang w:val="es-ES_tradnl"/>
        </w:rPr>
        <w:t xml:space="preserve">y </w:t>
      </w:r>
      <w:r w:rsidR="00927023" w:rsidRPr="000D61D9">
        <w:rPr>
          <w:lang w:val="es-ES_tradnl"/>
        </w:rPr>
        <w:t>fomenta el reconocimiento de las calificaciones adquiridas por los migrantes en el exterior</w:t>
      </w:r>
      <w:r w:rsidR="00927023" w:rsidRPr="000D61D9">
        <w:rPr>
          <w:rStyle w:val="FootnoteReference"/>
          <w:lang w:val="es-ES_tradnl"/>
        </w:rPr>
        <w:footnoteReference w:id="55"/>
      </w:r>
      <w:r w:rsidR="00927023" w:rsidRPr="000D61D9">
        <w:rPr>
          <w:lang w:val="es-ES_tradnl"/>
        </w:rPr>
        <w:t>. Los solicitantes de asilo que desean obtener empleo remunerado nec</w:t>
      </w:r>
      <w:r w:rsidR="00E62BD6" w:rsidRPr="000D61D9">
        <w:rPr>
          <w:lang w:val="es-ES_tradnl"/>
        </w:rPr>
        <w:t>esitan un permiso de trabajo. Lo</w:t>
      </w:r>
      <w:r w:rsidR="00927023" w:rsidRPr="000D61D9">
        <w:rPr>
          <w:lang w:val="es-ES_tradnl"/>
        </w:rPr>
        <w:t xml:space="preserve">s </w:t>
      </w:r>
      <w:r w:rsidR="00E62BD6" w:rsidRPr="000D61D9">
        <w:rPr>
          <w:lang w:val="es-ES_tradnl"/>
        </w:rPr>
        <w:t>requisitos</w:t>
      </w:r>
      <w:r w:rsidR="00927023" w:rsidRPr="000D61D9">
        <w:rPr>
          <w:lang w:val="es-ES_tradnl"/>
        </w:rPr>
        <w:t xml:space="preserve"> para obtener un permiso de residenci</w:t>
      </w:r>
      <w:r w:rsidR="00E62BD6" w:rsidRPr="000D61D9">
        <w:rPr>
          <w:lang w:val="es-ES_tradnl"/>
        </w:rPr>
        <w:t>a, documento imprescindible para obtener</w:t>
      </w:r>
      <w:r w:rsidR="00927023" w:rsidRPr="000D61D9">
        <w:rPr>
          <w:lang w:val="es-ES_tradnl"/>
        </w:rPr>
        <w:t xml:space="preserve"> un permiso de trabajo, </w:t>
      </w:r>
      <w:r w:rsidR="00E62BD6" w:rsidRPr="000D61D9">
        <w:rPr>
          <w:lang w:val="es-ES_tradnl"/>
        </w:rPr>
        <w:t xml:space="preserve">por lo </w:t>
      </w:r>
      <w:r w:rsidR="00333746" w:rsidRPr="000D61D9">
        <w:rPr>
          <w:lang w:val="es-ES_tradnl"/>
        </w:rPr>
        <w:t>general se reúnen en un término de tres meses desde</w:t>
      </w:r>
      <w:r w:rsidR="00927023" w:rsidRPr="000D61D9">
        <w:rPr>
          <w:lang w:val="es-ES_tradnl"/>
        </w:rPr>
        <w:t xml:space="preserve"> la presentación de una solicitud de asilo.</w:t>
      </w:r>
    </w:p>
    <w:p w:rsidR="00927023" w:rsidRPr="000D61D9" w:rsidRDefault="00927023" w:rsidP="00927023">
      <w:pPr>
        <w:pStyle w:val="SingleTxtG"/>
        <w:rPr>
          <w:lang w:val="es-ES_tradnl"/>
        </w:rPr>
      </w:pPr>
      <w:r w:rsidRPr="000D61D9">
        <w:rPr>
          <w:lang w:val="es-ES_tradnl"/>
        </w:rPr>
        <w:t>90</w:t>
      </w:r>
      <w:r w:rsidR="00AF691B" w:rsidRPr="000D61D9">
        <w:rPr>
          <w:lang w:val="es-ES_tradnl"/>
        </w:rPr>
        <w:t>.</w:t>
      </w:r>
      <w:r w:rsidR="00AF691B" w:rsidRPr="000D61D9">
        <w:rPr>
          <w:lang w:val="es-ES_tradnl"/>
        </w:rPr>
        <w:tab/>
        <w:t xml:space="preserve">El proyecto </w:t>
      </w:r>
      <w:r w:rsidR="00C70626">
        <w:rPr>
          <w:lang w:val="es-ES_tradnl"/>
        </w:rPr>
        <w:t>"</w:t>
      </w:r>
      <w:r w:rsidR="00AF691B" w:rsidRPr="000D61D9">
        <w:rPr>
          <w:lang w:val="es-ES_tradnl"/>
        </w:rPr>
        <w:t>Asociación interpersonal</w:t>
      </w:r>
      <w:r w:rsidR="00C70626">
        <w:rPr>
          <w:lang w:val="es-ES_tradnl"/>
        </w:rPr>
        <w:t>"</w:t>
      </w:r>
      <w:r w:rsidR="00AF691B" w:rsidRPr="000D61D9">
        <w:rPr>
          <w:lang w:val="es-ES_tradnl"/>
        </w:rPr>
        <w:t>. P</w:t>
      </w:r>
      <w:r w:rsidRPr="000D61D9">
        <w:rPr>
          <w:lang w:val="es-ES_tradnl"/>
        </w:rPr>
        <w:t xml:space="preserve">atrocinios para menores refugiados no acompañados (2008 a 2010), organiza y apoya el patrocinio </w:t>
      </w:r>
      <w:r w:rsidR="00AF691B" w:rsidRPr="000D61D9">
        <w:rPr>
          <w:lang w:val="es-ES_tradnl"/>
        </w:rPr>
        <w:t xml:space="preserve">de nacionales </w:t>
      </w:r>
      <w:r w:rsidRPr="000D61D9">
        <w:rPr>
          <w:lang w:val="es-ES_tradnl"/>
        </w:rPr>
        <w:t xml:space="preserve">a menores refugiados que llegan </w:t>
      </w:r>
      <w:r w:rsidR="00AF691B" w:rsidRPr="000D61D9">
        <w:rPr>
          <w:lang w:val="es-ES_tradnl"/>
        </w:rPr>
        <w:t>al país sin</w:t>
      </w:r>
      <w:r w:rsidR="005836A6" w:rsidRPr="000D61D9">
        <w:rPr>
          <w:lang w:val="es-ES_tradnl"/>
        </w:rPr>
        <w:t xml:space="preserve"> ningún familiar. El patrocinio</w:t>
      </w:r>
      <w:r w:rsidRPr="000D61D9">
        <w:rPr>
          <w:lang w:val="es-ES_tradnl"/>
        </w:rPr>
        <w:t xml:space="preserve">, </w:t>
      </w:r>
      <w:r w:rsidR="005836A6" w:rsidRPr="000D61D9">
        <w:rPr>
          <w:lang w:val="es-ES_tradnl"/>
        </w:rPr>
        <w:t xml:space="preserve">que se establece sobre la base </w:t>
      </w:r>
      <w:r w:rsidR="00535E52" w:rsidRPr="000D61D9">
        <w:rPr>
          <w:lang w:val="es-ES_tradnl"/>
        </w:rPr>
        <w:t>de</w:t>
      </w:r>
      <w:r w:rsidRPr="000D61D9">
        <w:rPr>
          <w:lang w:val="es-ES_tradnl"/>
        </w:rPr>
        <w:t xml:space="preserve"> </w:t>
      </w:r>
      <w:r w:rsidR="005836A6" w:rsidRPr="000D61D9">
        <w:rPr>
          <w:lang w:val="es-ES_tradnl"/>
        </w:rPr>
        <w:t>una relación</w:t>
      </w:r>
      <w:r w:rsidRPr="000D61D9">
        <w:rPr>
          <w:lang w:val="es-ES_tradnl"/>
        </w:rPr>
        <w:t xml:space="preserve"> de confianza entre copart</w:t>
      </w:r>
      <w:r w:rsidR="00535E52" w:rsidRPr="000D61D9">
        <w:rPr>
          <w:lang w:val="es-ES_tradnl"/>
        </w:rPr>
        <w:t>ícipes en pie de igualdad, constituye</w:t>
      </w:r>
      <w:r w:rsidRPr="000D61D9">
        <w:rPr>
          <w:lang w:val="es-ES_tradnl"/>
        </w:rPr>
        <w:t xml:space="preserve"> un requisito esencial par</w:t>
      </w:r>
      <w:r w:rsidR="00AF691B" w:rsidRPr="000D61D9">
        <w:rPr>
          <w:lang w:val="es-ES_tradnl"/>
        </w:rPr>
        <w:t>a una integración satisfactoria</w:t>
      </w:r>
      <w:r w:rsidRPr="000D61D9">
        <w:rPr>
          <w:lang w:val="es-ES_tradnl"/>
        </w:rPr>
        <w:t>.</w:t>
      </w:r>
    </w:p>
    <w:p w:rsidR="00927023" w:rsidRPr="000D61D9" w:rsidRDefault="00927023" w:rsidP="00927023">
      <w:pPr>
        <w:pStyle w:val="SingleTxtG"/>
        <w:rPr>
          <w:lang w:val="es-ES_tradnl"/>
        </w:rPr>
      </w:pPr>
      <w:r w:rsidRPr="000D61D9">
        <w:rPr>
          <w:lang w:val="es-ES_tradnl"/>
        </w:rPr>
        <w:t>91.</w:t>
      </w:r>
      <w:r w:rsidRPr="000D61D9">
        <w:rPr>
          <w:lang w:val="es-ES_tradnl"/>
        </w:rPr>
        <w:tab/>
        <w:t>Las personas a las que se les ha reconocido la condición de refugiado pueden solicitar subvenciones destinadas a la integración</w:t>
      </w:r>
      <w:r w:rsidRPr="000D61D9">
        <w:rPr>
          <w:rStyle w:val="FootnoteReference"/>
          <w:lang w:val="es-ES_tradnl"/>
        </w:rPr>
        <w:footnoteReference w:id="56"/>
      </w:r>
      <w:r w:rsidRPr="000D61D9">
        <w:rPr>
          <w:lang w:val="es-ES_tradnl"/>
        </w:rPr>
        <w:t xml:space="preserve">. </w:t>
      </w:r>
      <w:r w:rsidR="004403E4" w:rsidRPr="000D61D9">
        <w:rPr>
          <w:lang w:val="es-ES_tradnl"/>
        </w:rPr>
        <w:t>Estas subvenciones permiten al</w:t>
      </w:r>
      <w:r w:rsidRPr="000D61D9">
        <w:rPr>
          <w:lang w:val="es-ES_tradnl"/>
        </w:rPr>
        <w:t xml:space="preserve"> refugiado</w:t>
      </w:r>
      <w:r w:rsidR="004403E4" w:rsidRPr="000D61D9">
        <w:rPr>
          <w:lang w:val="es-ES_tradnl"/>
        </w:rPr>
        <w:t xml:space="preserve"> integrars</w:t>
      </w:r>
      <w:r w:rsidRPr="000D61D9">
        <w:rPr>
          <w:lang w:val="es-ES_tradnl"/>
        </w:rPr>
        <w:t>e pl</w:t>
      </w:r>
      <w:r w:rsidR="004403E4" w:rsidRPr="000D61D9">
        <w:rPr>
          <w:lang w:val="es-ES_tradnl"/>
        </w:rPr>
        <w:t>enamente en</w:t>
      </w:r>
      <w:r w:rsidRPr="000D61D9">
        <w:rPr>
          <w:lang w:val="es-ES_tradnl"/>
        </w:rPr>
        <w:t xml:space="preserve"> la vida social, cultural y económica de Austria y, posiblemente, disfrutar de </w:t>
      </w:r>
      <w:r w:rsidR="004403E4" w:rsidRPr="000D61D9">
        <w:rPr>
          <w:lang w:val="es-ES_tradnl"/>
        </w:rPr>
        <w:t>la misma igualdad d</w:t>
      </w:r>
      <w:r w:rsidRPr="000D61D9">
        <w:rPr>
          <w:lang w:val="es-ES_tradnl"/>
        </w:rPr>
        <w:t xml:space="preserve">e oportunidades de gran alcance </w:t>
      </w:r>
      <w:r w:rsidR="004403E4" w:rsidRPr="000D61D9">
        <w:rPr>
          <w:lang w:val="es-ES_tradnl"/>
        </w:rPr>
        <w:t>de</w:t>
      </w:r>
      <w:r w:rsidRPr="000D61D9">
        <w:rPr>
          <w:lang w:val="es-ES_tradnl"/>
        </w:rPr>
        <w:t xml:space="preserve"> que </w:t>
      </w:r>
      <w:r w:rsidR="004403E4" w:rsidRPr="000D61D9">
        <w:rPr>
          <w:lang w:val="es-ES_tradnl"/>
        </w:rPr>
        <w:t xml:space="preserve">disfrutan </w:t>
      </w:r>
      <w:r w:rsidRPr="000D61D9">
        <w:rPr>
          <w:lang w:val="es-ES_tradnl"/>
        </w:rPr>
        <w:t>los ciudadanos nacionale</w:t>
      </w:r>
      <w:r w:rsidR="004403E4" w:rsidRPr="000D61D9">
        <w:rPr>
          <w:lang w:val="es-ES_tradnl"/>
        </w:rPr>
        <w:t>s. En el marco del programa de asistencia del Gobierno Federal par</w:t>
      </w:r>
      <w:r w:rsidRPr="000D61D9">
        <w:rPr>
          <w:lang w:val="es-ES_tradnl"/>
        </w:rPr>
        <w:t>a solicitantes de asilo</w:t>
      </w:r>
      <w:r w:rsidRPr="000D61D9">
        <w:rPr>
          <w:rStyle w:val="FootnoteReference"/>
          <w:lang w:val="es-ES_tradnl"/>
        </w:rPr>
        <w:footnoteReference w:id="57"/>
      </w:r>
      <w:r w:rsidRPr="000D61D9">
        <w:rPr>
          <w:lang w:val="es-ES_tradnl"/>
        </w:rPr>
        <w:t>, se ha</w:t>
      </w:r>
      <w:r w:rsidR="004403E4" w:rsidRPr="000D61D9">
        <w:rPr>
          <w:lang w:val="es-ES_tradnl"/>
        </w:rPr>
        <w:t>n</w:t>
      </w:r>
      <w:r w:rsidRPr="000D61D9">
        <w:rPr>
          <w:lang w:val="es-ES_tradnl"/>
        </w:rPr>
        <w:t xml:space="preserve"> creado una serie de </w:t>
      </w:r>
      <w:r w:rsidR="004403E4" w:rsidRPr="000D61D9">
        <w:rPr>
          <w:lang w:val="es-ES_tradnl"/>
        </w:rPr>
        <w:t>centros de alojamiento</w:t>
      </w:r>
      <w:r w:rsidRPr="000D61D9">
        <w:rPr>
          <w:lang w:val="es-ES_tradnl"/>
        </w:rPr>
        <w:t xml:space="preserve"> exclusivos para mujeres solteras. Cada vez </w:t>
      </w:r>
      <w:r w:rsidR="004403E4" w:rsidRPr="000D61D9">
        <w:rPr>
          <w:lang w:val="es-ES_tradnl"/>
        </w:rPr>
        <w:t xml:space="preserve">es más frecuente que </w:t>
      </w:r>
      <w:r w:rsidRPr="000D61D9">
        <w:rPr>
          <w:lang w:val="es-ES_tradnl"/>
        </w:rPr>
        <w:t>tribunales independientes con competencia</w:t>
      </w:r>
      <w:r w:rsidR="004403E4" w:rsidRPr="000D61D9">
        <w:rPr>
          <w:lang w:val="es-ES_tradnl"/>
        </w:rPr>
        <w:t xml:space="preserve"> en casos de asilo reconozcan</w:t>
      </w:r>
      <w:r w:rsidRPr="000D61D9">
        <w:rPr>
          <w:lang w:val="es-ES_tradnl"/>
        </w:rPr>
        <w:t xml:space="preserve"> causales basadas en el género para conceder asilo, por ejemplo, la amenaza de mutilación geni</w:t>
      </w:r>
      <w:r w:rsidR="004403E4" w:rsidRPr="000D61D9">
        <w:rPr>
          <w:lang w:val="es-ES_tradnl"/>
        </w:rPr>
        <w:t>tal femenina, el matrimonio forzado, la prostitución forzada y la violación</w:t>
      </w:r>
      <w:r w:rsidRPr="000D61D9">
        <w:rPr>
          <w:lang w:val="es-ES_tradnl"/>
        </w:rPr>
        <w:t xml:space="preserve">. En el sexto informe </w:t>
      </w:r>
      <w:r w:rsidR="004403E4" w:rsidRPr="000D61D9">
        <w:rPr>
          <w:lang w:val="es-ES_tradnl"/>
        </w:rPr>
        <w:t xml:space="preserve">de </w:t>
      </w:r>
      <w:r w:rsidRPr="000D61D9">
        <w:rPr>
          <w:lang w:val="es-ES_tradnl"/>
        </w:rPr>
        <w:t>Austria</w:t>
      </w:r>
      <w:r w:rsidR="004403E4" w:rsidRPr="000D61D9">
        <w:rPr>
          <w:lang w:val="es-ES_tradnl"/>
        </w:rPr>
        <w:t xml:space="preserve"> sobre la aplicación de la CEDAW</w:t>
      </w:r>
      <w:r w:rsidRPr="000D61D9">
        <w:rPr>
          <w:lang w:val="es-ES_tradnl"/>
        </w:rPr>
        <w:t>,</w:t>
      </w:r>
      <w:r w:rsidR="004403E4" w:rsidRPr="000D61D9">
        <w:rPr>
          <w:lang w:val="es-ES_tradnl"/>
        </w:rPr>
        <w:t xml:space="preserve"> se explic</w:t>
      </w:r>
      <w:r w:rsidRPr="000D61D9">
        <w:rPr>
          <w:lang w:val="es-ES_tradnl"/>
        </w:rPr>
        <w:t xml:space="preserve">ó </w:t>
      </w:r>
      <w:r w:rsidR="004403E4" w:rsidRPr="000D61D9">
        <w:rPr>
          <w:lang w:val="es-ES_tradnl"/>
        </w:rPr>
        <w:t xml:space="preserve">de forma pormenorizada </w:t>
      </w:r>
      <w:r w:rsidRPr="000D61D9">
        <w:rPr>
          <w:lang w:val="es-ES_tradnl"/>
        </w:rPr>
        <w:t xml:space="preserve">la opción de iniciar un </w:t>
      </w:r>
      <w:r w:rsidR="00C70626">
        <w:rPr>
          <w:lang w:val="es-ES_tradnl"/>
        </w:rPr>
        <w:t>"</w:t>
      </w:r>
      <w:r w:rsidRPr="000D61D9">
        <w:rPr>
          <w:lang w:val="es-ES_tradnl"/>
        </w:rPr>
        <w:t>procedimiento de asilo familiar</w:t>
      </w:r>
      <w:r w:rsidR="00C70626">
        <w:rPr>
          <w:lang w:val="es-ES_tradnl"/>
        </w:rPr>
        <w:t>"</w:t>
      </w:r>
      <w:r w:rsidRPr="000D61D9">
        <w:rPr>
          <w:lang w:val="es-ES_tradnl"/>
        </w:rPr>
        <w:t>.</w:t>
      </w:r>
    </w:p>
    <w:p w:rsidR="00927023" w:rsidRPr="00EB182D" w:rsidRDefault="00474643" w:rsidP="00927023">
      <w:pPr>
        <w:pStyle w:val="SingleTxtG"/>
        <w:rPr>
          <w:lang w:val="es-ES_tradnl"/>
        </w:rPr>
      </w:pPr>
      <w:r w:rsidRPr="000D61D9">
        <w:rPr>
          <w:lang w:val="es-ES_tradnl"/>
        </w:rPr>
        <w:t>92.</w:t>
      </w:r>
      <w:r w:rsidRPr="000D61D9">
        <w:rPr>
          <w:lang w:val="es-ES_tradnl"/>
        </w:rPr>
        <w:tab/>
        <w:t>Al definir los objetivos del Plan de acción nacional para la integración</w:t>
      </w:r>
      <w:r w:rsidRPr="000D61D9">
        <w:rPr>
          <w:rStyle w:val="FootnoteReference"/>
          <w:lang w:val="es-ES_tradnl"/>
        </w:rPr>
        <w:footnoteReference w:id="58"/>
      </w:r>
      <w:r w:rsidRPr="000D61D9">
        <w:rPr>
          <w:lang w:val="es-ES_tradnl"/>
        </w:rPr>
        <w:t>, s</w:t>
      </w:r>
      <w:r w:rsidR="00927023" w:rsidRPr="000D61D9">
        <w:rPr>
          <w:lang w:val="es-ES_tradnl"/>
        </w:rPr>
        <w:t>e han tenido en cuenta</w:t>
      </w:r>
      <w:r w:rsidRPr="000D61D9">
        <w:rPr>
          <w:lang w:val="es-ES_tradnl"/>
        </w:rPr>
        <w:t xml:space="preserve"> las recomendaciones d</w:t>
      </w:r>
      <w:r w:rsidR="00927023" w:rsidRPr="000D61D9">
        <w:rPr>
          <w:lang w:val="es-ES_tradnl"/>
        </w:rPr>
        <w:t>el Comité</w:t>
      </w:r>
      <w:r w:rsidRPr="000D61D9">
        <w:rPr>
          <w:lang w:val="es-ES_tradnl"/>
        </w:rPr>
        <w:t xml:space="preserve"> relativas al último informe sobre la </w:t>
      </w:r>
      <w:r w:rsidR="00927023" w:rsidRPr="000D61D9">
        <w:rPr>
          <w:lang w:val="es-ES_tradnl"/>
        </w:rPr>
        <w:t xml:space="preserve">CEDAW. En este </w:t>
      </w:r>
      <w:r w:rsidR="008025E6" w:rsidRPr="000D61D9">
        <w:rPr>
          <w:lang w:val="es-ES_tradnl"/>
        </w:rPr>
        <w:t>plan</w:t>
      </w:r>
      <w:r w:rsidR="00927023" w:rsidRPr="000D61D9">
        <w:rPr>
          <w:lang w:val="es-ES_tradnl"/>
        </w:rPr>
        <w:t xml:space="preserve"> de acción también se abordan el riesgo de pobreza y la amenaza de violencia, inclu</w:t>
      </w:r>
      <w:r w:rsidRPr="000D61D9">
        <w:rPr>
          <w:lang w:val="es-ES_tradnl"/>
        </w:rPr>
        <w:t>ida</w:t>
      </w:r>
      <w:r w:rsidR="00927023" w:rsidRPr="000D61D9">
        <w:rPr>
          <w:lang w:val="es-ES_tradnl"/>
        </w:rPr>
        <w:t xml:space="preserve"> la violencia familiar, y las dificultades que enfrentan los solicitantes de asilo para obtener </w:t>
      </w:r>
      <w:r w:rsidRPr="000D61D9">
        <w:rPr>
          <w:lang w:val="es-ES_tradnl"/>
        </w:rPr>
        <w:t>un permiso</w:t>
      </w:r>
      <w:r w:rsidR="00927023" w:rsidRPr="000D61D9">
        <w:rPr>
          <w:lang w:val="es-ES_tradnl"/>
        </w:rPr>
        <w:t xml:space="preserve"> de residencia, obtener acceso a los servicios sociales y hallar un empleo que </w:t>
      </w:r>
      <w:r w:rsidR="00CD1F43">
        <w:rPr>
          <w:lang w:val="es-ES_tradnl"/>
        </w:rPr>
        <w:t>se corresponda con</w:t>
      </w:r>
      <w:r w:rsidR="00927023" w:rsidRPr="000D61D9">
        <w:rPr>
          <w:lang w:val="es-ES_tradnl"/>
        </w:rPr>
        <w:t xml:space="preserve"> su nivel educativo, </w:t>
      </w:r>
      <w:r w:rsidRPr="000D61D9">
        <w:rPr>
          <w:lang w:val="es-ES_tradnl"/>
        </w:rPr>
        <w:t xml:space="preserve">su </w:t>
      </w:r>
      <w:r w:rsidR="00927023" w:rsidRPr="000D61D9">
        <w:rPr>
          <w:lang w:val="es-ES_tradnl"/>
        </w:rPr>
        <w:t xml:space="preserve">experiencia y </w:t>
      </w:r>
      <w:r w:rsidRPr="000D61D9">
        <w:rPr>
          <w:lang w:val="es-ES_tradnl"/>
        </w:rPr>
        <w:t xml:space="preserve">sus </w:t>
      </w:r>
      <w:r w:rsidR="00927023" w:rsidRPr="000D61D9">
        <w:rPr>
          <w:lang w:val="es-ES_tradnl"/>
        </w:rPr>
        <w:t xml:space="preserve">calificaciones. Además, mediante el </w:t>
      </w:r>
      <w:r w:rsidR="008025E6" w:rsidRPr="000D61D9">
        <w:rPr>
          <w:lang w:val="es-ES_tradnl"/>
        </w:rPr>
        <w:t>plan</w:t>
      </w:r>
      <w:r w:rsidR="00927023" w:rsidRPr="000D61D9">
        <w:rPr>
          <w:lang w:val="es-ES_tradnl"/>
        </w:rPr>
        <w:t xml:space="preserve"> de acción se procura luchar contra la discriminación y la discriminación múltiple, la incitación al odio y al racismo contra los </w:t>
      </w:r>
      <w:r w:rsidRPr="000D61D9">
        <w:rPr>
          <w:lang w:val="es-ES_tradnl"/>
        </w:rPr>
        <w:t>in</w:t>
      </w:r>
      <w:r w:rsidR="00927023" w:rsidRPr="000D61D9">
        <w:rPr>
          <w:lang w:val="es-ES_tradnl"/>
        </w:rPr>
        <w:t xml:space="preserve">migrantes, </w:t>
      </w:r>
      <w:r w:rsidRPr="000D61D9">
        <w:rPr>
          <w:lang w:val="es-ES_tradnl"/>
        </w:rPr>
        <w:t xml:space="preserve">en </w:t>
      </w:r>
      <w:r w:rsidR="00927023" w:rsidRPr="000D61D9">
        <w:rPr>
          <w:lang w:val="es-ES_tradnl"/>
        </w:rPr>
        <w:t>especial</w:t>
      </w:r>
      <w:r w:rsidRPr="000D61D9">
        <w:rPr>
          <w:lang w:val="es-ES_tradnl"/>
        </w:rPr>
        <w:t xml:space="preserve"> contra los solicitantes de</w:t>
      </w:r>
      <w:r w:rsidR="00927023" w:rsidRPr="000D61D9">
        <w:rPr>
          <w:lang w:val="es-ES_tradnl"/>
        </w:rPr>
        <w:t xml:space="preserve"> asilo, y adoptar las medidas necesarias para lograr su integración.</w:t>
      </w:r>
    </w:p>
    <w:p w:rsidR="00927023" w:rsidRPr="00EB182D" w:rsidRDefault="00927023" w:rsidP="00927023">
      <w:pPr>
        <w:pStyle w:val="SingleTxtG"/>
        <w:rPr>
          <w:lang w:val="es-ES_tradnl"/>
        </w:rPr>
      </w:pPr>
      <w:r w:rsidRPr="00EB182D">
        <w:rPr>
          <w:lang w:val="es-ES_tradnl"/>
        </w:rPr>
        <w:t>93.</w:t>
      </w:r>
      <w:r w:rsidRPr="00EB182D">
        <w:rPr>
          <w:lang w:val="es-ES_tradnl"/>
        </w:rPr>
        <w:tab/>
        <w:t>Las disposiciones jurídicas contra el racismo, el extremismo, la incitación al odio y la discriminación</w:t>
      </w:r>
      <w:r w:rsidR="00474643">
        <w:rPr>
          <w:lang w:val="es-ES_tradnl"/>
        </w:rPr>
        <w:t>,</w:t>
      </w:r>
      <w:r w:rsidRPr="00EB182D">
        <w:rPr>
          <w:lang w:val="es-ES_tradnl"/>
        </w:rPr>
        <w:t xml:space="preserve"> y las normas sobre igualdad deben comunicarse más eficazmente al público en general. </w:t>
      </w:r>
      <w:r w:rsidR="00474643">
        <w:rPr>
          <w:lang w:val="es-ES_tradnl"/>
        </w:rPr>
        <w:t>En los planes de estudio escolar, se debe atribuir más importancia a l</w:t>
      </w:r>
      <w:r w:rsidRPr="00EB182D">
        <w:rPr>
          <w:lang w:val="es-ES_tradnl"/>
        </w:rPr>
        <w:t xml:space="preserve">a igualdad de género y la igualdad de derechos entre hombres y mujeres, así como </w:t>
      </w:r>
      <w:r w:rsidR="00474643">
        <w:rPr>
          <w:lang w:val="es-ES_tradnl"/>
        </w:rPr>
        <w:t xml:space="preserve">a </w:t>
      </w:r>
      <w:r w:rsidRPr="00EB182D">
        <w:rPr>
          <w:lang w:val="es-ES_tradnl"/>
        </w:rPr>
        <w:t>la prevención de la violencia. Además, debe realizarse una evaluación de la eficacia de la protección judicial y extrajudicial contra la discriminación. Los funcionarios públicos, en especial los funcionarios judiciales y los encargados de la aplicación de la ley, deben recibir formación adicional en materia de prevención de la discriminación.</w:t>
      </w:r>
    </w:p>
    <w:p w:rsidR="00927023" w:rsidRPr="00EB182D" w:rsidRDefault="00927023" w:rsidP="00927023">
      <w:pPr>
        <w:pStyle w:val="SingleTxtG"/>
        <w:rPr>
          <w:lang w:val="es-ES_tradnl"/>
        </w:rPr>
      </w:pPr>
      <w:r w:rsidRPr="00EB182D">
        <w:rPr>
          <w:lang w:val="es-ES_tradnl"/>
        </w:rPr>
        <w:t>94.</w:t>
      </w:r>
      <w:r w:rsidRPr="00EB182D">
        <w:rPr>
          <w:lang w:val="es-ES_tradnl"/>
        </w:rPr>
        <w:tab/>
        <w:t xml:space="preserve">El Fondo de Integración de Austria (Österreichischer Integrationsfonds) y el </w:t>
      </w:r>
      <w:r w:rsidR="00223F5C">
        <w:rPr>
          <w:lang w:val="es-ES_tradnl"/>
        </w:rPr>
        <w:t>SPE</w:t>
      </w:r>
      <w:r w:rsidR="00CD1F43">
        <w:rPr>
          <w:lang w:val="es-ES_tradnl"/>
        </w:rPr>
        <w:t xml:space="preserve"> </w:t>
      </w:r>
      <w:r w:rsidR="00474643">
        <w:rPr>
          <w:lang w:val="es-ES_tradnl"/>
        </w:rPr>
        <w:t>ejecutan</w:t>
      </w:r>
      <w:r w:rsidRPr="00EB182D">
        <w:rPr>
          <w:lang w:val="es-ES_tradnl"/>
        </w:rPr>
        <w:t xml:space="preserve"> </w:t>
      </w:r>
      <w:r w:rsidR="00474643">
        <w:rPr>
          <w:lang w:val="es-ES_tradnl"/>
        </w:rPr>
        <w:t>muchos</w:t>
      </w:r>
      <w:r w:rsidRPr="00EB182D">
        <w:rPr>
          <w:lang w:val="es-ES_tradnl"/>
        </w:rPr>
        <w:t xml:space="preserve"> programas para la integración de los </w:t>
      </w:r>
      <w:r w:rsidR="00474643">
        <w:rPr>
          <w:lang w:val="es-ES_tradnl"/>
        </w:rPr>
        <w:t>in</w:t>
      </w:r>
      <w:r w:rsidRPr="00EB182D">
        <w:rPr>
          <w:lang w:val="es-ES_tradnl"/>
        </w:rPr>
        <w:t xml:space="preserve">migrantes en la sociedad y el mercado de trabajo de Austria, </w:t>
      </w:r>
      <w:r w:rsidR="00474643">
        <w:rPr>
          <w:lang w:val="es-ES_tradnl"/>
        </w:rPr>
        <w:t xml:space="preserve">y dan especial importancia a </w:t>
      </w:r>
      <w:r w:rsidRPr="00EB182D">
        <w:rPr>
          <w:lang w:val="es-ES_tradnl"/>
        </w:rPr>
        <w:t>l</w:t>
      </w:r>
      <w:r w:rsidR="00474643">
        <w:rPr>
          <w:lang w:val="es-ES_tradnl"/>
        </w:rPr>
        <w:t>a</w:t>
      </w:r>
      <w:r w:rsidRPr="00EB182D">
        <w:rPr>
          <w:lang w:val="es-ES_tradnl"/>
        </w:rPr>
        <w:t xml:space="preserve"> </w:t>
      </w:r>
      <w:r w:rsidR="00474643">
        <w:rPr>
          <w:lang w:val="es-ES_tradnl"/>
        </w:rPr>
        <w:t>orientación</w:t>
      </w:r>
      <w:r w:rsidRPr="00EB182D">
        <w:rPr>
          <w:lang w:val="es-ES_tradnl"/>
        </w:rPr>
        <w:t xml:space="preserve"> y el apoyo a las mujeres. En prácticamente todas las áreas prioritarias re</w:t>
      </w:r>
      <w:r w:rsidR="00474643">
        <w:rPr>
          <w:lang w:val="es-ES_tradnl"/>
        </w:rPr>
        <w:t xml:space="preserve">ferentes a </w:t>
      </w:r>
      <w:r w:rsidR="00CD1F43">
        <w:rPr>
          <w:lang w:val="es-ES_tradnl"/>
        </w:rPr>
        <w:t>asuntos de integración y asilo</w:t>
      </w:r>
      <w:r w:rsidRPr="00EB182D">
        <w:rPr>
          <w:lang w:val="es-ES_tradnl"/>
        </w:rPr>
        <w:t xml:space="preserve"> se tienen en cuentan </w:t>
      </w:r>
      <w:r w:rsidR="00474643">
        <w:rPr>
          <w:lang w:val="es-ES_tradnl"/>
        </w:rPr>
        <w:t xml:space="preserve">los </w:t>
      </w:r>
      <w:r w:rsidRPr="00EB182D">
        <w:rPr>
          <w:lang w:val="es-ES_tradnl"/>
        </w:rPr>
        <w:t xml:space="preserve">aspectos </w:t>
      </w:r>
      <w:r w:rsidR="00474643">
        <w:rPr>
          <w:lang w:val="es-ES_tradnl"/>
        </w:rPr>
        <w:t>relacionados con</w:t>
      </w:r>
      <w:r w:rsidRPr="00EB182D">
        <w:rPr>
          <w:lang w:val="es-ES_tradnl"/>
        </w:rPr>
        <w:t xml:space="preserve"> la mujer. Se organizaron varias conferencias y proyectos con miras a sensibilizar al público </w:t>
      </w:r>
      <w:r w:rsidR="00474643">
        <w:rPr>
          <w:lang w:val="es-ES_tradnl"/>
        </w:rPr>
        <w:t>sobre los temas de la</w:t>
      </w:r>
      <w:r w:rsidRPr="00EB182D">
        <w:rPr>
          <w:lang w:val="es-ES_tradnl"/>
        </w:rPr>
        <w:t xml:space="preserve"> migración </w:t>
      </w:r>
      <w:r w:rsidR="00474643">
        <w:rPr>
          <w:lang w:val="es-ES_tradnl"/>
        </w:rPr>
        <w:t>y la</w:t>
      </w:r>
      <w:r w:rsidRPr="00EB182D">
        <w:rPr>
          <w:lang w:val="es-ES_tradnl"/>
        </w:rPr>
        <w:t xml:space="preserve"> integración.</w:t>
      </w:r>
    </w:p>
    <w:p w:rsidR="00927023" w:rsidRPr="000D61D9" w:rsidRDefault="00927023" w:rsidP="00927023">
      <w:pPr>
        <w:pStyle w:val="H1G"/>
        <w:rPr>
          <w:lang w:val="es-ES_tradnl"/>
        </w:rPr>
      </w:pPr>
      <w:r w:rsidRPr="00EB182D">
        <w:rPr>
          <w:lang w:val="es-ES_tradnl"/>
        </w:rPr>
        <w:tab/>
      </w:r>
      <w:r w:rsidRPr="00EB182D">
        <w:rPr>
          <w:lang w:val="es-ES_tradnl"/>
        </w:rPr>
        <w:tab/>
      </w:r>
      <w:r w:rsidRPr="000D61D9">
        <w:rPr>
          <w:lang w:val="es-ES_tradnl"/>
        </w:rPr>
        <w:t xml:space="preserve">Respuesta a las observaciones finales </w:t>
      </w:r>
      <w:r w:rsidR="004E1189" w:rsidRPr="000D61D9">
        <w:rPr>
          <w:lang w:val="es-ES_tradnl"/>
        </w:rPr>
        <w:t>del</w:t>
      </w:r>
      <w:r w:rsidRPr="000D61D9">
        <w:rPr>
          <w:lang w:val="es-ES_tradnl"/>
        </w:rPr>
        <w:t xml:space="preserve"> párrafo 31</w:t>
      </w:r>
    </w:p>
    <w:p w:rsidR="00927023" w:rsidRPr="000D61D9" w:rsidRDefault="008F1D03" w:rsidP="00927023">
      <w:pPr>
        <w:pStyle w:val="SingleTxtG"/>
        <w:rPr>
          <w:lang w:val="es-ES_tradnl"/>
        </w:rPr>
      </w:pPr>
      <w:r w:rsidRPr="000D61D9">
        <w:rPr>
          <w:lang w:val="es-ES_tradnl"/>
        </w:rPr>
        <w:t>95.</w:t>
      </w:r>
      <w:r w:rsidRPr="000D61D9">
        <w:rPr>
          <w:lang w:val="es-ES_tradnl"/>
        </w:rPr>
        <w:tab/>
        <w:t>Con ocasión</w:t>
      </w:r>
      <w:r w:rsidR="00927023" w:rsidRPr="000D61D9">
        <w:rPr>
          <w:lang w:val="es-ES_tradnl"/>
        </w:rPr>
        <w:t xml:space="preserve"> del 10</w:t>
      </w:r>
      <w:r w:rsidR="005C668E">
        <w:rPr>
          <w:lang w:val="es-ES_tradnl"/>
        </w:rPr>
        <w:t>º</w:t>
      </w:r>
      <w:r w:rsidR="00927023" w:rsidRPr="000D61D9">
        <w:rPr>
          <w:lang w:val="es-ES_tradnl"/>
        </w:rPr>
        <w:t xml:space="preserve"> y </w:t>
      </w:r>
      <w:r w:rsidRPr="000D61D9">
        <w:rPr>
          <w:lang w:val="es-ES_tradnl"/>
        </w:rPr>
        <w:t xml:space="preserve">el </w:t>
      </w:r>
      <w:r w:rsidR="00927023" w:rsidRPr="000D61D9">
        <w:rPr>
          <w:lang w:val="es-ES_tradnl"/>
        </w:rPr>
        <w:t>15</w:t>
      </w:r>
      <w:r w:rsidR="005C668E">
        <w:rPr>
          <w:lang w:val="es-ES_tradnl"/>
        </w:rPr>
        <w:t>º</w:t>
      </w:r>
      <w:r w:rsidR="00927023" w:rsidRPr="000D61D9">
        <w:rPr>
          <w:lang w:val="es-ES_tradnl"/>
        </w:rPr>
        <w:t xml:space="preserve"> aniversario de la Plataforma de Acción de Beiji</w:t>
      </w:r>
      <w:r w:rsidRPr="000D61D9">
        <w:rPr>
          <w:lang w:val="es-ES_tradnl"/>
        </w:rPr>
        <w:t>ng, Austria presentó un informe</w:t>
      </w:r>
      <w:r w:rsidR="00927023" w:rsidRPr="000D61D9">
        <w:rPr>
          <w:lang w:val="es-ES_tradnl"/>
        </w:rPr>
        <w:t xml:space="preserve"> a la Comisión Económica para Europa (CEPE) de las Naciones Unidas sobre las medidas aplicadas en el ámbito nacional en las 12 áreas de actividad fundamentales. La Convención y la Plataforma de Acción de Beijing constituyen una base importante para elaborar el Plan de Acción Nacional por la Igualdad de Género en el Mercado de Trabajo de Austria.</w:t>
      </w:r>
    </w:p>
    <w:p w:rsidR="00927023" w:rsidRPr="000D61D9" w:rsidRDefault="00927023" w:rsidP="00927023">
      <w:pPr>
        <w:pStyle w:val="H1G"/>
        <w:rPr>
          <w:lang w:val="es-ES_tradnl"/>
        </w:rPr>
      </w:pPr>
      <w:r w:rsidRPr="000D61D9">
        <w:rPr>
          <w:lang w:val="es-ES_tradnl"/>
        </w:rPr>
        <w:tab/>
      </w:r>
      <w:r w:rsidRPr="000D61D9">
        <w:rPr>
          <w:lang w:val="es-ES_tradnl"/>
        </w:rPr>
        <w:tab/>
        <w:t xml:space="preserve">Respuesta a las observaciones finales </w:t>
      </w:r>
      <w:r w:rsidR="004E1189" w:rsidRPr="000D61D9">
        <w:rPr>
          <w:lang w:val="es-ES_tradnl"/>
        </w:rPr>
        <w:t>del</w:t>
      </w:r>
      <w:r w:rsidRPr="000D61D9">
        <w:rPr>
          <w:lang w:val="es-ES_tradnl"/>
        </w:rPr>
        <w:t xml:space="preserve"> párrafo 32</w:t>
      </w:r>
      <w:r w:rsidRPr="000D61D9">
        <w:rPr>
          <w:lang w:val="es-ES_tradnl"/>
        </w:rPr>
        <w:br/>
        <w:t>Incorporar la perspectiva de igualdad en la política de desarrollo</w:t>
      </w:r>
    </w:p>
    <w:p w:rsidR="00927023" w:rsidRPr="000D61D9" w:rsidRDefault="00927023" w:rsidP="00927023">
      <w:pPr>
        <w:pStyle w:val="SingleTxtG"/>
        <w:rPr>
          <w:lang w:val="es-ES_tradnl"/>
        </w:rPr>
      </w:pPr>
      <w:r w:rsidRPr="000D61D9">
        <w:rPr>
          <w:lang w:val="es-ES_tradnl"/>
        </w:rPr>
        <w:t>96.</w:t>
      </w:r>
      <w:r w:rsidRPr="000D61D9">
        <w:rPr>
          <w:lang w:val="es-ES_tradnl"/>
        </w:rPr>
        <w:tab/>
        <w:t>La igualdad entre hombres y mujeres en todos los asuntos</w:t>
      </w:r>
      <w:r w:rsidR="00CD1F43">
        <w:rPr>
          <w:lang w:val="es-ES_tradnl"/>
        </w:rPr>
        <w:t xml:space="preserve"> referentes a las</w:t>
      </w:r>
      <w:r w:rsidRPr="000D61D9">
        <w:rPr>
          <w:lang w:val="es-ES_tradnl"/>
        </w:rPr>
        <w:t xml:space="preserve"> políticas de desarrollo figura entre los principios rectores de la política de desarrollo de Austria</w:t>
      </w:r>
      <w:r w:rsidRPr="000D61D9">
        <w:rPr>
          <w:rStyle w:val="FootnoteReference"/>
          <w:lang w:val="es-ES_tradnl"/>
        </w:rPr>
        <w:footnoteReference w:id="59"/>
      </w:r>
      <w:r w:rsidRPr="000D61D9">
        <w:rPr>
          <w:lang w:val="es-ES_tradnl"/>
        </w:rPr>
        <w:t xml:space="preserve">. Uno de los </w:t>
      </w:r>
      <w:r w:rsidR="00970701" w:rsidRPr="000D61D9">
        <w:rPr>
          <w:lang w:val="es-ES_tradnl"/>
        </w:rPr>
        <w:t xml:space="preserve">Objetivos </w:t>
      </w:r>
      <w:r w:rsidRPr="000D61D9">
        <w:rPr>
          <w:lang w:val="es-ES_tradnl"/>
        </w:rPr>
        <w:t xml:space="preserve">de </w:t>
      </w:r>
      <w:r w:rsidR="00970701" w:rsidRPr="000D61D9">
        <w:rPr>
          <w:lang w:val="es-ES_tradnl"/>
        </w:rPr>
        <w:t xml:space="preserve">Desarrollo </w:t>
      </w:r>
      <w:r w:rsidRPr="000D61D9">
        <w:rPr>
          <w:lang w:val="es-ES_tradnl"/>
        </w:rPr>
        <w:t xml:space="preserve">del </w:t>
      </w:r>
      <w:r w:rsidR="00970701" w:rsidRPr="000D61D9">
        <w:rPr>
          <w:lang w:val="es-ES_tradnl"/>
        </w:rPr>
        <w:t xml:space="preserve">Milenio </w:t>
      </w:r>
      <w:r w:rsidR="00FD2EB6" w:rsidRPr="000D61D9">
        <w:rPr>
          <w:lang w:val="es-ES_tradnl"/>
        </w:rPr>
        <w:t xml:space="preserve">de las Naciones Unidas (ODM, </w:t>
      </w:r>
      <w:r w:rsidR="00970701">
        <w:rPr>
          <w:lang w:val="es-ES_tradnl"/>
        </w:rPr>
        <w:t xml:space="preserve">Nº </w:t>
      </w:r>
      <w:r w:rsidRPr="000D61D9">
        <w:rPr>
          <w:lang w:val="es-ES_tradnl"/>
        </w:rPr>
        <w:t xml:space="preserve">3) es </w:t>
      </w:r>
      <w:r w:rsidR="00FD2EB6" w:rsidRPr="000D61D9">
        <w:rPr>
          <w:lang w:val="es-ES_tradnl"/>
        </w:rPr>
        <w:t>p</w:t>
      </w:r>
      <w:r w:rsidRPr="000D61D9">
        <w:rPr>
          <w:lang w:val="es-ES_tradnl"/>
        </w:rPr>
        <w:t>romo</w:t>
      </w:r>
      <w:r w:rsidR="00FD2EB6" w:rsidRPr="000D61D9">
        <w:rPr>
          <w:lang w:val="es-ES_tradnl"/>
        </w:rPr>
        <w:t>ver</w:t>
      </w:r>
      <w:r w:rsidRPr="000D61D9">
        <w:rPr>
          <w:lang w:val="es-ES_tradnl"/>
        </w:rPr>
        <w:t xml:space="preserve"> la igualdad </w:t>
      </w:r>
      <w:r w:rsidR="00FD2EB6" w:rsidRPr="000D61D9">
        <w:rPr>
          <w:lang w:val="es-ES_tradnl"/>
        </w:rPr>
        <w:t xml:space="preserve">entre los sexos </w:t>
      </w:r>
      <w:r w:rsidRPr="000D61D9">
        <w:rPr>
          <w:lang w:val="es-ES_tradnl"/>
        </w:rPr>
        <w:t xml:space="preserve">y la emancipación de la mujer, </w:t>
      </w:r>
      <w:r w:rsidR="00FD2EB6" w:rsidRPr="000D61D9">
        <w:rPr>
          <w:lang w:val="es-ES_tradnl"/>
        </w:rPr>
        <w:t xml:space="preserve">factores </w:t>
      </w:r>
      <w:r w:rsidRPr="000D61D9">
        <w:rPr>
          <w:lang w:val="es-ES_tradnl"/>
        </w:rPr>
        <w:t xml:space="preserve">que al mismo tiempo </w:t>
      </w:r>
      <w:r w:rsidR="00FD2EB6" w:rsidRPr="000D61D9">
        <w:rPr>
          <w:lang w:val="es-ES_tradnl"/>
        </w:rPr>
        <w:t>son</w:t>
      </w:r>
      <w:r w:rsidRPr="000D61D9">
        <w:rPr>
          <w:lang w:val="es-ES_tradnl"/>
        </w:rPr>
        <w:t xml:space="preserve"> decisivo</w:t>
      </w:r>
      <w:r w:rsidR="00FD1A85">
        <w:rPr>
          <w:lang w:val="es-ES_tradnl"/>
        </w:rPr>
        <w:t>s</w:t>
      </w:r>
      <w:r w:rsidRPr="000D61D9">
        <w:rPr>
          <w:lang w:val="es-ES_tradnl"/>
        </w:rPr>
        <w:t xml:space="preserve"> para su aplicación. Por lo tanto, el Organismo Austríaco de Cooperación para el Desarrollo (OEZA) supervisa constantemente todos los programas y proyectos, así como todas las políticas de desarrollo</w:t>
      </w:r>
      <w:r w:rsidR="00FD2EB6" w:rsidRPr="000D61D9">
        <w:rPr>
          <w:lang w:val="es-ES_tradnl"/>
        </w:rPr>
        <w:t>,</w:t>
      </w:r>
      <w:r w:rsidRPr="000D61D9">
        <w:rPr>
          <w:lang w:val="es-ES_tradnl"/>
        </w:rPr>
        <w:t xml:space="preserve"> para que contribuyan a la igualdad </w:t>
      </w:r>
      <w:r w:rsidR="00FD2EB6" w:rsidRPr="000D61D9">
        <w:rPr>
          <w:lang w:val="es-ES_tradnl"/>
        </w:rPr>
        <w:t>de género</w:t>
      </w:r>
      <w:r w:rsidRPr="000D61D9">
        <w:rPr>
          <w:lang w:val="es-ES_tradnl"/>
        </w:rPr>
        <w:t xml:space="preserve">. Junto con el apoyo </w:t>
      </w:r>
      <w:r w:rsidR="00FD2EB6" w:rsidRPr="000D61D9">
        <w:rPr>
          <w:lang w:val="es-ES_tradnl"/>
        </w:rPr>
        <w:t>a</w:t>
      </w:r>
      <w:r w:rsidRPr="000D61D9">
        <w:rPr>
          <w:lang w:val="es-ES_tradnl"/>
        </w:rPr>
        <w:t>l fortalecimiento de est</w:t>
      </w:r>
      <w:r w:rsidR="00FD1A85">
        <w:rPr>
          <w:lang w:val="es-ES_tradnl"/>
        </w:rPr>
        <w:t>ructuras económicas funcionales,</w:t>
      </w:r>
      <w:r w:rsidR="00FD2EB6" w:rsidRPr="000D61D9">
        <w:rPr>
          <w:lang w:val="es-ES_tradnl"/>
        </w:rPr>
        <w:t xml:space="preserve"> la promoción de la educación;</w:t>
      </w:r>
      <w:r w:rsidRPr="000D61D9">
        <w:rPr>
          <w:lang w:val="es-ES_tradnl"/>
        </w:rPr>
        <w:t xml:space="preserve"> la participación política</w:t>
      </w:r>
      <w:r w:rsidR="00FD2EB6" w:rsidRPr="000D61D9">
        <w:rPr>
          <w:lang w:val="es-ES_tradnl"/>
        </w:rPr>
        <w:t>; la atención médica;</w:t>
      </w:r>
      <w:r w:rsidRPr="000D61D9">
        <w:rPr>
          <w:lang w:val="es-ES_tradnl"/>
        </w:rPr>
        <w:t xml:space="preserve"> la eliminación de la violencia</w:t>
      </w:r>
      <w:r w:rsidR="00FD2EB6" w:rsidRPr="000D61D9">
        <w:rPr>
          <w:lang w:val="es-ES_tradnl"/>
        </w:rPr>
        <w:t xml:space="preserve"> contra la mujer, incluidas las</w:t>
      </w:r>
      <w:r w:rsidRPr="000D61D9">
        <w:rPr>
          <w:lang w:val="es-ES_tradnl"/>
        </w:rPr>
        <w:t xml:space="preserve"> </w:t>
      </w:r>
      <w:r w:rsidR="00FD2EB6" w:rsidRPr="000D61D9">
        <w:rPr>
          <w:lang w:val="es-ES_tradnl"/>
        </w:rPr>
        <w:t>prácticas tradicionales nocivas;</w:t>
      </w:r>
      <w:r w:rsidRPr="000D61D9">
        <w:rPr>
          <w:lang w:val="es-ES_tradnl"/>
        </w:rPr>
        <w:t xml:space="preserve"> y el reconocimiento de la función específica de la mujer en situaciones de conflicto o posteriores a conflictos</w:t>
      </w:r>
      <w:r w:rsidR="00FD2EB6" w:rsidRPr="000D61D9">
        <w:rPr>
          <w:lang w:val="es-ES_tradnl"/>
        </w:rPr>
        <w:t>,</w:t>
      </w:r>
      <w:r w:rsidRPr="000D61D9">
        <w:rPr>
          <w:lang w:val="es-ES_tradnl"/>
        </w:rPr>
        <w:t xml:space="preserve"> constituyen las áreas de actividad centrales que </w:t>
      </w:r>
      <w:r w:rsidR="00FD2EB6" w:rsidRPr="000D61D9">
        <w:rPr>
          <w:lang w:val="es-ES_tradnl"/>
        </w:rPr>
        <w:t>permitirán lograr</w:t>
      </w:r>
      <w:r w:rsidRPr="000D61D9">
        <w:rPr>
          <w:lang w:val="es-ES_tradnl"/>
        </w:rPr>
        <w:t xml:space="preserve"> la igualdad y la no discriminación de la mujer. Austria ha respaldado las actividades orientadas hacia la igualdad</w:t>
      </w:r>
      <w:r w:rsidR="00FD2EB6" w:rsidRPr="000D61D9">
        <w:rPr>
          <w:lang w:val="es-ES_tradnl"/>
        </w:rPr>
        <w:t>,</w:t>
      </w:r>
      <w:r w:rsidRPr="000D61D9">
        <w:rPr>
          <w:lang w:val="es-ES_tradnl"/>
        </w:rPr>
        <w:t xml:space="preserve"> </w:t>
      </w:r>
      <w:r w:rsidR="00FD2EB6" w:rsidRPr="000D61D9">
        <w:rPr>
          <w:lang w:val="es-ES_tradnl"/>
        </w:rPr>
        <w:t>ejecutadas de forma continua en los últimos años por</w:t>
      </w:r>
      <w:r w:rsidRPr="000D61D9">
        <w:rPr>
          <w:lang w:val="es-ES_tradnl"/>
        </w:rPr>
        <w:t xml:space="preserve"> las organizaciones del Grupo de las Naciones Unidas para el Desarrollo, especialmente el PNUD, el FNUDC, el FNUAP y el UNICEF.</w:t>
      </w:r>
    </w:p>
    <w:p w:rsidR="00927023" w:rsidRPr="000D61D9" w:rsidRDefault="00927023" w:rsidP="00927023">
      <w:pPr>
        <w:pStyle w:val="SingleTxtG"/>
        <w:rPr>
          <w:lang w:val="es-ES_tradnl"/>
        </w:rPr>
      </w:pPr>
      <w:r w:rsidRPr="000D61D9">
        <w:rPr>
          <w:lang w:val="es-ES_tradnl"/>
        </w:rPr>
        <w:t>97.</w:t>
      </w:r>
      <w:r w:rsidRPr="000D61D9">
        <w:rPr>
          <w:lang w:val="es-ES_tradnl"/>
        </w:rPr>
        <w:tab/>
        <w:t>Ejemplo de las provincias federales: Los criterios definidos en la cooperación para el desarrollo de Vorarlberg conceden prioridad a los proyectos estructurales para la mujer, por lo que se han financiado pro</w:t>
      </w:r>
      <w:r w:rsidR="00FD2EB6" w:rsidRPr="000D61D9">
        <w:rPr>
          <w:lang w:val="es-ES_tradnl"/>
        </w:rPr>
        <w:t>yectos educativos y</w:t>
      </w:r>
      <w:r w:rsidRPr="000D61D9">
        <w:rPr>
          <w:lang w:val="es-ES_tradnl"/>
        </w:rPr>
        <w:t xml:space="preserve"> </w:t>
      </w:r>
      <w:r w:rsidR="00FD2EB6" w:rsidRPr="000D61D9">
        <w:rPr>
          <w:lang w:val="es-ES_tradnl"/>
        </w:rPr>
        <w:t xml:space="preserve">de </w:t>
      </w:r>
      <w:r w:rsidRPr="000D61D9">
        <w:rPr>
          <w:lang w:val="es-ES_tradnl"/>
        </w:rPr>
        <w:t>micro</w:t>
      </w:r>
      <w:r w:rsidR="00FD2EB6" w:rsidRPr="000D61D9">
        <w:rPr>
          <w:lang w:val="es-ES_tradnl"/>
        </w:rPr>
        <w:t>financiación</w:t>
      </w:r>
      <w:r w:rsidRPr="000D61D9">
        <w:rPr>
          <w:lang w:val="es-ES_tradnl"/>
        </w:rPr>
        <w:t xml:space="preserve"> para la mujer</w:t>
      </w:r>
      <w:r w:rsidR="00FD2EB6" w:rsidRPr="000D61D9">
        <w:rPr>
          <w:lang w:val="es-ES_tradnl"/>
        </w:rPr>
        <w:t>, además de</w:t>
      </w:r>
      <w:r w:rsidRPr="000D61D9">
        <w:rPr>
          <w:lang w:val="es-ES_tradnl"/>
        </w:rPr>
        <w:t xml:space="preserve"> otros programas (véase el artículo 3).</w:t>
      </w:r>
    </w:p>
    <w:p w:rsidR="00927023" w:rsidRPr="000D61D9" w:rsidRDefault="00927023" w:rsidP="00927023">
      <w:pPr>
        <w:pStyle w:val="H1G"/>
        <w:rPr>
          <w:lang w:val="es-ES_tradnl"/>
        </w:rPr>
      </w:pPr>
      <w:r w:rsidRPr="000D61D9">
        <w:rPr>
          <w:lang w:val="es-ES_tradnl"/>
        </w:rPr>
        <w:tab/>
      </w:r>
      <w:r w:rsidRPr="000D61D9">
        <w:rPr>
          <w:lang w:val="es-ES_tradnl"/>
        </w:rPr>
        <w:tab/>
        <w:t xml:space="preserve">Respuesta a las observaciones finales </w:t>
      </w:r>
      <w:r w:rsidR="004E1189" w:rsidRPr="000D61D9">
        <w:rPr>
          <w:lang w:val="es-ES_tradnl"/>
        </w:rPr>
        <w:t>del</w:t>
      </w:r>
      <w:r w:rsidRPr="000D61D9">
        <w:rPr>
          <w:lang w:val="es-ES_tradnl"/>
        </w:rPr>
        <w:t xml:space="preserve"> párrafo 33</w:t>
      </w:r>
    </w:p>
    <w:p w:rsidR="00927023" w:rsidRPr="000D61D9" w:rsidRDefault="00927023" w:rsidP="00927023">
      <w:pPr>
        <w:pStyle w:val="SingleTxtG"/>
        <w:rPr>
          <w:lang w:val="es-ES_tradnl"/>
        </w:rPr>
      </w:pPr>
      <w:r w:rsidRPr="000D61D9">
        <w:rPr>
          <w:lang w:val="es-ES_tradnl"/>
        </w:rPr>
        <w:t>98.</w:t>
      </w:r>
      <w:r w:rsidRPr="000D61D9">
        <w:rPr>
          <w:lang w:val="es-ES_tradnl"/>
        </w:rPr>
        <w:tab/>
        <w:t>Si bien los derechos de los trabajadores migrantes y sus familiares consagrados en la Convención están garantizados en gran medida, en ciertos aspectos</w:t>
      </w:r>
      <w:r w:rsidR="004147ED" w:rsidRPr="000D61D9">
        <w:rPr>
          <w:lang w:val="es-ES_tradnl"/>
        </w:rPr>
        <w:t>,</w:t>
      </w:r>
      <w:r w:rsidRPr="000D61D9">
        <w:rPr>
          <w:lang w:val="es-ES_tradnl"/>
        </w:rPr>
        <w:t xml:space="preserve"> dichos derechos son aún más completos que los estipulados en las directivas de la UE pertinentes. Austria no pr</w:t>
      </w:r>
      <w:r w:rsidR="004147ED" w:rsidRPr="000D61D9">
        <w:rPr>
          <w:lang w:val="es-ES_tradnl"/>
        </w:rPr>
        <w:t>evé</w:t>
      </w:r>
      <w:r w:rsidRPr="000D61D9">
        <w:rPr>
          <w:lang w:val="es-ES_tradnl"/>
        </w:rPr>
        <w:t xml:space="preserve"> ratificar la Convención Internacional sobre la protección de los derechos de todos los trabajadores migratorios y de sus familiares.</w:t>
      </w:r>
    </w:p>
    <w:p w:rsidR="00927023" w:rsidRPr="000D61D9" w:rsidRDefault="00927023" w:rsidP="00927023">
      <w:pPr>
        <w:pStyle w:val="H1G"/>
        <w:rPr>
          <w:lang w:val="es-ES_tradnl"/>
        </w:rPr>
      </w:pPr>
      <w:r w:rsidRPr="000D61D9">
        <w:rPr>
          <w:lang w:val="es-ES_tradnl"/>
        </w:rPr>
        <w:tab/>
      </w:r>
      <w:r w:rsidRPr="000D61D9">
        <w:rPr>
          <w:lang w:val="es-ES_tradnl"/>
        </w:rPr>
        <w:tab/>
        <w:t xml:space="preserve">Respuesta a las observaciones finales </w:t>
      </w:r>
      <w:r w:rsidR="004E1189" w:rsidRPr="000D61D9">
        <w:rPr>
          <w:lang w:val="es-ES_tradnl"/>
        </w:rPr>
        <w:t>del</w:t>
      </w:r>
      <w:r w:rsidRPr="000D61D9">
        <w:rPr>
          <w:lang w:val="es-ES_tradnl"/>
        </w:rPr>
        <w:t xml:space="preserve"> párrafo 34</w:t>
      </w:r>
      <w:r w:rsidRPr="000D61D9">
        <w:rPr>
          <w:lang w:val="es-ES_tradnl"/>
        </w:rPr>
        <w:br/>
        <w:t xml:space="preserve">Dar mayor difusión al CEDAW y a las recomendaciones </w:t>
      </w:r>
      <w:r w:rsidR="005C668E">
        <w:rPr>
          <w:lang w:val="es-ES_tradnl"/>
        </w:rPr>
        <w:br/>
      </w:r>
      <w:r w:rsidRPr="000D61D9">
        <w:rPr>
          <w:lang w:val="es-ES_tradnl"/>
        </w:rPr>
        <w:t>del Comité</w:t>
      </w:r>
    </w:p>
    <w:p w:rsidR="005E49B6" w:rsidRPr="000D61D9" w:rsidRDefault="00927023" w:rsidP="00927023">
      <w:pPr>
        <w:pStyle w:val="SingleTxtG"/>
        <w:rPr>
          <w:lang w:val="es-ES_tradnl"/>
        </w:rPr>
      </w:pPr>
      <w:r w:rsidRPr="000D61D9">
        <w:rPr>
          <w:lang w:val="es-ES_tradnl"/>
        </w:rPr>
        <w:t>99.</w:t>
      </w:r>
      <w:r w:rsidRPr="000D61D9">
        <w:rPr>
          <w:lang w:val="es-ES_tradnl"/>
        </w:rPr>
        <w:tab/>
        <w:t xml:space="preserve">Con miras </w:t>
      </w:r>
      <w:r w:rsidR="00FD1A85">
        <w:rPr>
          <w:lang w:val="es-ES_tradnl"/>
        </w:rPr>
        <w:t xml:space="preserve">a </w:t>
      </w:r>
      <w:r w:rsidR="004147ED" w:rsidRPr="000D61D9">
        <w:rPr>
          <w:lang w:val="es-ES_tradnl"/>
        </w:rPr>
        <w:t>difundir más ampliamente la</w:t>
      </w:r>
      <w:r w:rsidRPr="000D61D9">
        <w:rPr>
          <w:lang w:val="es-ES_tradnl"/>
        </w:rPr>
        <w:t xml:space="preserve"> CEDAW al público en general en Austria, </w:t>
      </w:r>
      <w:r w:rsidR="004147ED" w:rsidRPr="000D61D9">
        <w:rPr>
          <w:lang w:val="es-ES_tradnl"/>
        </w:rPr>
        <w:t xml:space="preserve">se publicó un folleto en varios idiomas, </w:t>
      </w:r>
      <w:r w:rsidR="00C70626">
        <w:rPr>
          <w:lang w:val="es-ES_tradnl"/>
        </w:rPr>
        <w:t>"</w:t>
      </w:r>
      <w:r w:rsidR="004147ED" w:rsidRPr="000D61D9">
        <w:rPr>
          <w:lang w:val="es-ES_tradnl"/>
        </w:rPr>
        <w:t xml:space="preserve">¿Qué es </w:t>
      </w:r>
      <w:r w:rsidRPr="000D61D9">
        <w:rPr>
          <w:lang w:val="es-ES_tradnl"/>
        </w:rPr>
        <w:t>l</w:t>
      </w:r>
      <w:r w:rsidR="004147ED" w:rsidRPr="000D61D9">
        <w:rPr>
          <w:lang w:val="es-ES_tradnl"/>
        </w:rPr>
        <w:t>a</w:t>
      </w:r>
      <w:r w:rsidRPr="000D61D9">
        <w:rPr>
          <w:lang w:val="es-ES_tradnl"/>
        </w:rPr>
        <w:t xml:space="preserve"> CEDAW?</w:t>
      </w:r>
      <w:r w:rsidR="00C70626">
        <w:rPr>
          <w:lang w:val="es-ES_tradnl"/>
        </w:rPr>
        <w:t>"</w:t>
      </w:r>
      <w:r w:rsidR="004147ED" w:rsidRPr="000D61D9">
        <w:rPr>
          <w:lang w:val="es-ES_tradnl"/>
        </w:rPr>
        <w:t>, que</w:t>
      </w:r>
      <w:r w:rsidRPr="000D61D9">
        <w:rPr>
          <w:lang w:val="es-ES_tradnl"/>
        </w:rPr>
        <w:t xml:space="preserve"> </w:t>
      </w:r>
      <w:r w:rsidR="004147ED" w:rsidRPr="000D61D9">
        <w:rPr>
          <w:lang w:val="es-ES_tradnl"/>
        </w:rPr>
        <w:t>figura en</w:t>
      </w:r>
      <w:r w:rsidRPr="000D61D9">
        <w:rPr>
          <w:lang w:val="es-ES_tradnl"/>
        </w:rPr>
        <w:t xml:space="preserve"> la página de </w:t>
      </w:r>
      <w:r w:rsidR="004147ED" w:rsidRPr="000D61D9">
        <w:rPr>
          <w:lang w:val="es-ES_tradnl"/>
        </w:rPr>
        <w:t>acceso al sitio web d</w:t>
      </w:r>
      <w:r w:rsidRPr="000D61D9">
        <w:rPr>
          <w:lang w:val="es-ES_tradnl"/>
        </w:rPr>
        <w:t xml:space="preserve">el Ministerio de la Mujer, </w:t>
      </w:r>
      <w:r w:rsidR="00CD1F43">
        <w:rPr>
          <w:lang w:val="es-ES_tradnl"/>
        </w:rPr>
        <w:t xml:space="preserve">y </w:t>
      </w:r>
      <w:r w:rsidRPr="000D61D9">
        <w:rPr>
          <w:lang w:val="es-ES_tradnl"/>
        </w:rPr>
        <w:t xml:space="preserve">desde la cual puede descargarse. </w:t>
      </w:r>
      <w:r w:rsidR="004147ED" w:rsidRPr="000D61D9">
        <w:rPr>
          <w:lang w:val="es-ES_tradnl"/>
        </w:rPr>
        <w:t>T</w:t>
      </w:r>
      <w:r w:rsidRPr="000D61D9">
        <w:rPr>
          <w:lang w:val="es-ES_tradnl"/>
        </w:rPr>
        <w:t>ambién se envió a todos los ministerios, a los Gobiernos de las provincias federales y al Par</w:t>
      </w:r>
      <w:r w:rsidR="004147ED" w:rsidRPr="000D61D9">
        <w:rPr>
          <w:lang w:val="es-ES_tradnl"/>
        </w:rPr>
        <w:t>lamento de Austria, y se presentó</w:t>
      </w:r>
      <w:r w:rsidRPr="000D61D9">
        <w:rPr>
          <w:lang w:val="es-ES_tradnl"/>
        </w:rPr>
        <w:t xml:space="preserve"> en conferencias, seminarios y reuniones. Asimismo, las observaciones fin</w:t>
      </w:r>
      <w:r w:rsidR="004147ED" w:rsidRPr="000D61D9">
        <w:rPr>
          <w:lang w:val="es-ES_tradnl"/>
        </w:rPr>
        <w:t>ales del Comité se tradujeron al</w:t>
      </w:r>
      <w:r w:rsidRPr="000D61D9">
        <w:rPr>
          <w:lang w:val="es-ES_tradnl"/>
        </w:rPr>
        <w:t xml:space="preserve"> alemán</w:t>
      </w:r>
      <w:r w:rsidR="004147ED" w:rsidRPr="000D61D9">
        <w:rPr>
          <w:lang w:val="es-ES_tradnl"/>
        </w:rPr>
        <w:t>,</w:t>
      </w:r>
      <w:r w:rsidRPr="000D61D9">
        <w:rPr>
          <w:lang w:val="es-ES_tradnl"/>
        </w:rPr>
        <w:t xml:space="preserve"> y se distribuyeron ampliamente. </w:t>
      </w:r>
      <w:r w:rsidR="004147ED" w:rsidRPr="000D61D9">
        <w:rPr>
          <w:lang w:val="es-ES_tradnl"/>
        </w:rPr>
        <w:t>E</w:t>
      </w:r>
      <w:r w:rsidRPr="000D61D9">
        <w:rPr>
          <w:lang w:val="es-ES_tradnl"/>
        </w:rPr>
        <w:t>n 2007</w:t>
      </w:r>
      <w:r w:rsidR="004147ED" w:rsidRPr="000D61D9">
        <w:rPr>
          <w:lang w:val="es-ES_tradnl"/>
        </w:rPr>
        <w:t>, con ocasión de</w:t>
      </w:r>
      <w:r w:rsidRPr="000D61D9">
        <w:rPr>
          <w:lang w:val="es-ES_tradnl"/>
        </w:rPr>
        <w:t>l 15</w:t>
      </w:r>
      <w:r w:rsidR="005C668E">
        <w:rPr>
          <w:lang w:val="es-ES_tradnl"/>
        </w:rPr>
        <w:t>º</w:t>
      </w:r>
      <w:r w:rsidRPr="000D61D9">
        <w:rPr>
          <w:lang w:val="es-ES_tradnl"/>
        </w:rPr>
        <w:t xml:space="preserve"> aniversario de la ratificación de la Convención por parte de Austria, y en 2009</w:t>
      </w:r>
      <w:r w:rsidR="004147ED" w:rsidRPr="000D61D9">
        <w:rPr>
          <w:lang w:val="es-ES_tradnl"/>
        </w:rPr>
        <w:t>,</w:t>
      </w:r>
      <w:r w:rsidRPr="000D61D9">
        <w:rPr>
          <w:lang w:val="es-ES_tradnl"/>
        </w:rPr>
        <w:t xml:space="preserve"> </w:t>
      </w:r>
      <w:r w:rsidR="00CD1F43">
        <w:rPr>
          <w:lang w:val="es-ES_tradnl"/>
        </w:rPr>
        <w:t xml:space="preserve">para conmemorar </w:t>
      </w:r>
      <w:r w:rsidRPr="000D61D9">
        <w:rPr>
          <w:lang w:val="es-ES_tradnl"/>
        </w:rPr>
        <w:t>el 30°</w:t>
      </w:r>
      <w:r w:rsidR="004147ED" w:rsidRPr="000D61D9">
        <w:rPr>
          <w:lang w:val="es-ES_tradnl"/>
        </w:rPr>
        <w:t xml:space="preserve"> aniversario de la Convención</w:t>
      </w:r>
      <w:r w:rsidR="00CD1F43">
        <w:rPr>
          <w:lang w:val="es-ES_tradnl"/>
        </w:rPr>
        <w:t>,</w:t>
      </w:r>
      <w:r w:rsidR="00CD1F43" w:rsidRPr="00CD1F43">
        <w:rPr>
          <w:lang w:val="es-ES_tradnl"/>
        </w:rPr>
        <w:t xml:space="preserve"> </w:t>
      </w:r>
      <w:r w:rsidR="00CD1F43" w:rsidRPr="000D61D9">
        <w:rPr>
          <w:lang w:val="es-ES_tradnl"/>
        </w:rPr>
        <w:t>se celebraron d</w:t>
      </w:r>
      <w:r w:rsidR="00CD1F43">
        <w:rPr>
          <w:lang w:val="es-ES_tradnl"/>
        </w:rPr>
        <w:t>iversos eventos internacionales</w:t>
      </w:r>
      <w:r w:rsidR="004147ED" w:rsidRPr="000D61D9">
        <w:rPr>
          <w:lang w:val="es-ES_tradnl"/>
        </w:rPr>
        <w:t>. E</w:t>
      </w:r>
      <w:r w:rsidRPr="000D61D9">
        <w:rPr>
          <w:lang w:val="es-ES_tradnl"/>
        </w:rPr>
        <w:t xml:space="preserve">n el portal </w:t>
      </w:r>
      <w:r w:rsidR="00C70626">
        <w:rPr>
          <w:lang w:val="es-ES_tradnl"/>
        </w:rPr>
        <w:t>"</w:t>
      </w:r>
      <w:r w:rsidRPr="000D61D9">
        <w:rPr>
          <w:lang w:val="es-ES_tradnl"/>
        </w:rPr>
        <w:t>Género + Educación</w:t>
      </w:r>
      <w:r w:rsidR="00C70626">
        <w:rPr>
          <w:lang w:val="es-ES_tradnl"/>
        </w:rPr>
        <w:t>"</w:t>
      </w:r>
      <w:r w:rsidRPr="000D61D9">
        <w:rPr>
          <w:rStyle w:val="FootnoteReference"/>
          <w:lang w:val="es-ES_tradnl"/>
        </w:rPr>
        <w:footnoteReference w:id="60"/>
      </w:r>
      <w:r w:rsidR="004147ED" w:rsidRPr="000D61D9">
        <w:rPr>
          <w:lang w:val="es-ES_tradnl"/>
        </w:rPr>
        <w:t>, se agregó información sobre la CEDAW destinada a las escuelas</w:t>
      </w:r>
      <w:r w:rsidRPr="000D61D9">
        <w:rPr>
          <w:lang w:val="es-ES_tradnl"/>
        </w:rPr>
        <w:t>.</w:t>
      </w:r>
    </w:p>
    <w:p w:rsidR="00F82234" w:rsidRPr="000D61D9" w:rsidRDefault="00F82234" w:rsidP="005C668E">
      <w:pPr>
        <w:pStyle w:val="HChG"/>
        <w:rPr>
          <w:lang w:val="es-ES_tradnl"/>
        </w:rPr>
      </w:pPr>
      <w:r w:rsidRPr="000D61D9">
        <w:rPr>
          <w:lang w:val="es-ES_tradnl"/>
        </w:rPr>
        <w:tab/>
      </w:r>
      <w:r w:rsidRPr="000D61D9">
        <w:rPr>
          <w:noProof/>
          <w:lang w:val="es-ES_tradnl"/>
        </w:rPr>
        <w:t>III.</w:t>
      </w:r>
      <w:r w:rsidR="00E5065C" w:rsidRPr="000D61D9">
        <w:rPr>
          <w:lang w:val="es-ES_tradnl"/>
        </w:rPr>
        <w:tab/>
        <w:t>Aplicación de la Convención</w:t>
      </w:r>
    </w:p>
    <w:p w:rsidR="00F82234" w:rsidRPr="000D61D9" w:rsidRDefault="00F82234" w:rsidP="005C668E">
      <w:pPr>
        <w:pStyle w:val="H1G"/>
        <w:rPr>
          <w:lang w:val="es-ES_tradnl"/>
        </w:rPr>
      </w:pPr>
      <w:r w:rsidRPr="000D61D9">
        <w:rPr>
          <w:lang w:val="es-ES_tradnl"/>
        </w:rPr>
        <w:tab/>
      </w:r>
      <w:r w:rsidRPr="000D61D9">
        <w:rPr>
          <w:lang w:val="es-ES_tradnl"/>
        </w:rPr>
        <w:tab/>
        <w:t>Artículo 2</w:t>
      </w:r>
      <w:r w:rsidRPr="000D61D9">
        <w:rPr>
          <w:lang w:val="es-ES_tradnl"/>
        </w:rPr>
        <w:br/>
        <w:t>Presupuestación con una perspectiva de género</w:t>
      </w:r>
    </w:p>
    <w:p w:rsidR="006740CB" w:rsidRPr="00CB6BB3" w:rsidRDefault="00F82234" w:rsidP="005C668E">
      <w:pPr>
        <w:pStyle w:val="SingleTxtG"/>
        <w:rPr>
          <w:lang w:val="es-ES_tradnl"/>
        </w:rPr>
      </w:pPr>
      <w:r w:rsidRPr="000D61D9">
        <w:rPr>
          <w:lang w:val="es-ES_tradnl"/>
        </w:rPr>
        <w:t>100.</w:t>
      </w:r>
      <w:r w:rsidRPr="000D61D9">
        <w:rPr>
          <w:lang w:val="es-ES_tradnl"/>
        </w:rPr>
        <w:tab/>
        <w:t xml:space="preserve">La presupuestación con una perspectiva de género es un medio para lograr la adhesión efectiva al principio de igualdad, y comprende un conjunto de herramientas de política financiera que contribuyen a adoptar estrategias de incorporación de las cuestiones de género. A partir de 2005, se integró la perspectiva de género en los presupuestos de los </w:t>
      </w:r>
      <w:r w:rsidR="00FE0EF6" w:rsidRPr="000D61D9">
        <w:rPr>
          <w:lang w:val="es-ES_tradnl"/>
        </w:rPr>
        <w:t>ministerios federales</w:t>
      </w:r>
      <w:r w:rsidRPr="000D61D9">
        <w:rPr>
          <w:lang w:val="es-ES_tradnl"/>
        </w:rPr>
        <w:t xml:space="preserve"> a través de proyectos individuales relacionados con el género. Desde el 1</w:t>
      </w:r>
      <w:r w:rsidR="005C668E">
        <w:rPr>
          <w:lang w:val="es-ES_tradnl"/>
        </w:rPr>
        <w:t>º</w:t>
      </w:r>
      <w:r w:rsidRPr="000D61D9">
        <w:rPr>
          <w:lang w:val="es-ES_tradnl"/>
        </w:rPr>
        <w:t xml:space="preserve"> de enero de 2009, </w:t>
      </w:r>
      <w:r w:rsidR="008D7158">
        <w:rPr>
          <w:lang w:val="es-ES_tradnl"/>
        </w:rPr>
        <w:t xml:space="preserve">rige </w:t>
      </w:r>
      <w:r w:rsidRPr="000D61D9">
        <w:rPr>
          <w:lang w:val="es-ES_tradnl"/>
        </w:rPr>
        <w:t>un nuevo objetivo nacional en materia de política presupuestaria en la Constitución Federal. Del mismo modo, se exige al Gobierno Federal, a las provincias federales y a las municipalidades que den efectividad a la igualdad entre hombres y mujeres en la gestión de sus presupuestos</w:t>
      </w:r>
      <w:r w:rsidRPr="000D61D9">
        <w:rPr>
          <w:rStyle w:val="FootnoteReference"/>
          <w:szCs w:val="24"/>
          <w:lang w:val="es-ES_tradnl"/>
        </w:rPr>
        <w:footnoteReference w:id="61"/>
      </w:r>
      <w:r w:rsidRPr="000D61D9">
        <w:rPr>
          <w:lang w:val="es-ES_tradnl"/>
        </w:rPr>
        <w:t>. El 1</w:t>
      </w:r>
      <w:r w:rsidR="00F47CB0">
        <w:rPr>
          <w:lang w:val="es-ES_tradnl"/>
        </w:rPr>
        <w:t>º</w:t>
      </w:r>
      <w:r w:rsidRPr="000D61D9">
        <w:rPr>
          <w:lang w:val="es-ES_tradnl"/>
        </w:rPr>
        <w:t xml:space="preserve"> de enero de 2013 entrarán en vigor nuevas normas encaminadas a lograr la adhesión al principio de </w:t>
      </w:r>
      <w:r w:rsidR="00C70626">
        <w:rPr>
          <w:lang w:val="es-ES_tradnl"/>
        </w:rPr>
        <w:t>"</w:t>
      </w:r>
      <w:r w:rsidRPr="000D61D9">
        <w:rPr>
          <w:lang w:val="es-ES_tradnl"/>
        </w:rPr>
        <w:t>orientación al logro de resultados</w:t>
      </w:r>
      <w:r w:rsidR="00C70626">
        <w:rPr>
          <w:lang w:val="es-ES_tradnl"/>
        </w:rPr>
        <w:t>"</w:t>
      </w:r>
      <w:r w:rsidRPr="000D61D9">
        <w:rPr>
          <w:lang w:val="es-ES_tradnl"/>
        </w:rPr>
        <w:t xml:space="preserve">, en particular en relación con el objetivo de la igualdad efectiva entre hombres y mujeres. </w:t>
      </w:r>
      <w:r w:rsidR="00927B6C" w:rsidRPr="000D61D9">
        <w:rPr>
          <w:lang w:val="es-ES_tradnl"/>
        </w:rPr>
        <w:t>La igualdad se definió</w:t>
      </w:r>
      <w:r w:rsidR="00927B6C" w:rsidRPr="00CB6BB3">
        <w:rPr>
          <w:lang w:val="es-ES_tradnl"/>
        </w:rPr>
        <w:t xml:space="preserve"> como </w:t>
      </w:r>
      <w:r w:rsidRPr="00CB6BB3">
        <w:rPr>
          <w:lang w:val="es-ES_tradnl"/>
        </w:rPr>
        <w:t>parte integral de la gestión del presupuesto</w:t>
      </w:r>
      <w:r w:rsidRPr="00CB6BB3">
        <w:rPr>
          <w:rStyle w:val="FootnoteReference"/>
          <w:szCs w:val="24"/>
          <w:lang w:val="es-ES_tradnl"/>
        </w:rPr>
        <w:footnoteReference w:id="62"/>
      </w:r>
      <w:r w:rsidRPr="00CB6BB3">
        <w:rPr>
          <w:lang w:val="es-ES_tradnl"/>
        </w:rPr>
        <w:t xml:space="preserve">. Todas las autoridades que intervienen en este proceso deberán cumplir con este principio en relación con todos los capítulos del presupuesto federal. Además, el informe de estrategia, en el que se deben incluir comentarios sobre el proyecto de </w:t>
      </w:r>
      <w:r w:rsidR="00B34FFF" w:rsidRPr="00CB6BB3">
        <w:rPr>
          <w:lang w:val="es-ES_tradnl"/>
        </w:rPr>
        <w:t xml:space="preserve">ley federal </w:t>
      </w:r>
      <w:r w:rsidRPr="00CB6BB3">
        <w:rPr>
          <w:lang w:val="es-ES_tradnl"/>
        </w:rPr>
        <w:t xml:space="preserve">sobre el establecimiento del marco de planificación presupuestaria, sirve, entre otras cosas, para ilustrar las estrategias y los resultados (previstos) en relación con la igualdad de género efectiva. Cada año, se deberá presentar un informe con el seguimiento de los resultados al Consejo Nacional, en el que, por separado, </w:t>
      </w:r>
      <w:r w:rsidR="00927B6C" w:rsidRPr="00CB6BB3">
        <w:rPr>
          <w:lang w:val="es-ES_tradnl"/>
        </w:rPr>
        <w:t xml:space="preserve">se suministre </w:t>
      </w:r>
      <w:r w:rsidRPr="00CB6BB3">
        <w:rPr>
          <w:lang w:val="es-ES_tradnl"/>
        </w:rPr>
        <w:t>información sobre las áreas que contribuyen a lograr la iguald</w:t>
      </w:r>
      <w:r w:rsidR="00927B6C" w:rsidRPr="00CB6BB3">
        <w:rPr>
          <w:lang w:val="es-ES_tradnl"/>
        </w:rPr>
        <w:t>ad de hecho</w:t>
      </w:r>
      <w:r w:rsidRPr="00CB6BB3">
        <w:rPr>
          <w:lang w:val="es-ES_tradnl"/>
        </w:rPr>
        <w:t>. Asimismo, la presupuestación con perspectiva de género deberá aplicarse en todas las etapas de la gestión del presupuesto federal, es decir, durante la planificación, la redacción del proyecto de presupuesto, la aplicación y el control presupuestario.</w:t>
      </w:r>
    </w:p>
    <w:p w:rsidR="006740CB" w:rsidRPr="00CB6BB3" w:rsidRDefault="00F82234" w:rsidP="006740CB">
      <w:pPr>
        <w:pStyle w:val="SingleTxtG"/>
        <w:rPr>
          <w:lang w:val="es-ES_tradnl"/>
        </w:rPr>
      </w:pPr>
      <w:r w:rsidRPr="00CB6BB3">
        <w:rPr>
          <w:lang w:val="es-ES_tradnl"/>
        </w:rPr>
        <w:t>101.</w:t>
      </w:r>
      <w:r w:rsidRPr="00CB6BB3">
        <w:rPr>
          <w:lang w:val="es-ES_tradnl"/>
        </w:rPr>
        <w:tab/>
        <w:t xml:space="preserve">Se dispone de un manual titulado </w:t>
      </w:r>
      <w:r w:rsidR="00C70626">
        <w:rPr>
          <w:lang w:val="es-ES_tradnl"/>
        </w:rPr>
        <w:t>"</w:t>
      </w:r>
      <w:r w:rsidRPr="00CB6BB3">
        <w:rPr>
          <w:lang w:val="es-ES_tradnl"/>
        </w:rPr>
        <w:t>Presupuestación atenta al género en la administración pública</w:t>
      </w:r>
      <w:r w:rsidR="00C70626">
        <w:rPr>
          <w:lang w:val="es-ES_tradnl"/>
        </w:rPr>
        <w:t>"</w:t>
      </w:r>
      <w:r w:rsidRPr="00CB6BB3">
        <w:rPr>
          <w:lang w:val="es-ES_tradnl"/>
        </w:rPr>
        <w:t>, así como de un conjunto de herramientas sobre esta materia</w:t>
      </w:r>
      <w:r w:rsidRPr="00CB6BB3">
        <w:rPr>
          <w:rStyle w:val="FootnoteReference"/>
          <w:szCs w:val="24"/>
          <w:lang w:val="es-ES_tradnl"/>
        </w:rPr>
        <w:footnoteReference w:id="63"/>
      </w:r>
      <w:r w:rsidRPr="00CB6BB3">
        <w:rPr>
          <w:lang w:val="es-ES_tradnl"/>
        </w:rPr>
        <w:t>, que tienen utilidad práctica para los ministerios y contribuyen a crear conocimientos especializados. Como parte de los programas de formación de los ministerios federales, también se imparten cursos sobre presupuestación con enfoque de género.</w:t>
      </w:r>
    </w:p>
    <w:p w:rsidR="006740CB" w:rsidRPr="00CB6BB3" w:rsidRDefault="00F82234" w:rsidP="006740CB">
      <w:pPr>
        <w:pStyle w:val="SingleTxtG"/>
        <w:rPr>
          <w:lang w:val="es-ES_tradnl"/>
        </w:rPr>
      </w:pPr>
      <w:r w:rsidRPr="00CB6BB3">
        <w:rPr>
          <w:lang w:val="es-ES_tradnl"/>
        </w:rPr>
        <w:t>102.</w:t>
      </w:r>
      <w:r w:rsidRPr="00CB6BB3">
        <w:rPr>
          <w:lang w:val="es-ES_tradnl"/>
        </w:rPr>
        <w:tab/>
        <w:t>Ejemplos de las Provincias Federales. La elaboración de presupuestos con una perspectiva de género fue integrada al proceso habitual de presupuestación en la provincia federal de Viena en 2005.</w:t>
      </w:r>
      <w:r w:rsidR="006740CB" w:rsidRPr="00CB6BB3">
        <w:rPr>
          <w:lang w:val="es-ES_tradnl"/>
        </w:rPr>
        <w:t xml:space="preserve"> </w:t>
      </w:r>
    </w:p>
    <w:p w:rsidR="006740CB" w:rsidRPr="00CB6BB3" w:rsidRDefault="00F82234" w:rsidP="006740CB">
      <w:pPr>
        <w:pStyle w:val="SingleTxtG"/>
        <w:rPr>
          <w:lang w:val="es-ES_tradnl"/>
        </w:rPr>
      </w:pPr>
      <w:r w:rsidRPr="00CB6BB3">
        <w:rPr>
          <w:szCs w:val="24"/>
          <w:lang w:val="es-ES_tradnl"/>
        </w:rPr>
        <w:t>103.</w:t>
      </w:r>
      <w:r w:rsidRPr="00CB6BB3">
        <w:rPr>
          <w:szCs w:val="24"/>
          <w:lang w:val="es-ES_tradnl"/>
        </w:rPr>
        <w:tab/>
        <w:t xml:space="preserve">Se enmendaron las </w:t>
      </w:r>
      <w:r w:rsidR="00B34FFF" w:rsidRPr="00CB6BB3">
        <w:rPr>
          <w:szCs w:val="24"/>
          <w:lang w:val="es-ES_tradnl"/>
        </w:rPr>
        <w:t xml:space="preserve">leyes </w:t>
      </w:r>
      <w:r w:rsidRPr="00CB6BB3">
        <w:rPr>
          <w:szCs w:val="24"/>
          <w:lang w:val="es-ES_tradnl"/>
        </w:rPr>
        <w:t>de igualdad de trato de todas las provincias federales</w:t>
      </w:r>
      <w:r w:rsidR="006740CB" w:rsidRPr="00CB6BB3">
        <w:rPr>
          <w:lang w:val="es-ES_tradnl"/>
        </w:rPr>
        <w:t>.</w:t>
      </w:r>
    </w:p>
    <w:p w:rsidR="006740CB" w:rsidRPr="00CB6BB3" w:rsidRDefault="006740CB" w:rsidP="006740CB">
      <w:pPr>
        <w:pStyle w:val="SingleTxtG"/>
        <w:rPr>
          <w:lang w:val="es-ES_tradnl"/>
        </w:rPr>
      </w:pPr>
      <w:r w:rsidRPr="00CB6BB3">
        <w:rPr>
          <w:lang w:val="es-ES_tradnl"/>
        </w:rPr>
        <w:t>104.</w:t>
      </w:r>
      <w:r w:rsidRPr="00CB6BB3">
        <w:rPr>
          <w:lang w:val="es-ES_tradnl"/>
        </w:rPr>
        <w:tab/>
      </w:r>
      <w:r w:rsidR="00F82234" w:rsidRPr="00CB6BB3">
        <w:rPr>
          <w:szCs w:val="24"/>
          <w:lang w:val="es-ES_tradnl"/>
        </w:rPr>
        <w:t>La Ley de Baja Austria contra la discriminación entró en vigor en 2005 y ha sido enmendada dos veces desde entonces. Prohíbe la discriminación por razones de sexo, entre otras cosas, en las áreas siguientes (siempre y cuando estén dentro de la competencia legislativa de la propia provincia federal): la discriminación con respecto al acceso al trabajo autónomo, a la orientación profesional, a la formación profesional básica o avanzada; el acceso a bienes y servicios y a su suministro. Existe un consejo contra la discriminación, que asiste a aquellos ciudadanos que se consideran discriminados, según lo previsto por esta ley, y que realiza negociaciones con miras a lograr la conciliación</w:t>
      </w:r>
      <w:r w:rsidRPr="00CB6BB3">
        <w:rPr>
          <w:lang w:val="es-ES_tradnl"/>
        </w:rPr>
        <w:t>.</w:t>
      </w:r>
    </w:p>
    <w:p w:rsidR="006740CB" w:rsidRPr="00CB6BB3" w:rsidRDefault="00F82234" w:rsidP="006740CB">
      <w:pPr>
        <w:pStyle w:val="SingleTxtG"/>
        <w:rPr>
          <w:lang w:val="es-ES_tradnl"/>
        </w:rPr>
      </w:pPr>
      <w:r w:rsidRPr="00CB6BB3">
        <w:rPr>
          <w:szCs w:val="24"/>
          <w:lang w:val="es-ES_tradnl"/>
        </w:rPr>
        <w:t>105.</w:t>
      </w:r>
      <w:r w:rsidRPr="00CB6BB3">
        <w:rPr>
          <w:szCs w:val="24"/>
          <w:lang w:val="es-ES_tradnl"/>
        </w:rPr>
        <w:tab/>
        <w:t>En 2010 se aprobó por unanimidad la Ley de Estiria para el adelanto de la mujer, cuyo objetivo es eliminar todo tipo de discriminación contra la mujer y garantizar la igualdad de oportunidades entre hombres y mujeres. Entre otras cláusulas, contiene disposiciones para proteger a las mujeres contra la violencia y mitigar la pobreza femenina</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106.</w:t>
      </w:r>
      <w:r w:rsidRPr="00CB6BB3">
        <w:rPr>
          <w:szCs w:val="24"/>
          <w:lang w:val="es-ES_tradnl"/>
        </w:rPr>
        <w:tab/>
        <w:t>En 2005 se aprobó la Ley de Vorarlberg contra la discriminación, que fue enmendada en 2008</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107.</w:t>
      </w:r>
      <w:r w:rsidRPr="00CB6BB3">
        <w:rPr>
          <w:szCs w:val="24"/>
          <w:lang w:val="es-ES_tradnl"/>
        </w:rPr>
        <w:tab/>
        <w:t>Cabe mencionar la Ley de protección de la maternidad de Burgenland, y la Ley que gobierna la licencia parental del padre, en su versión subenmendada de 2006</w:t>
      </w:r>
      <w:r w:rsidR="006740CB" w:rsidRPr="00CB6BB3">
        <w:rPr>
          <w:lang w:val="es-ES_tradnl"/>
        </w:rPr>
        <w:t>.</w:t>
      </w:r>
    </w:p>
    <w:p w:rsidR="00F82234" w:rsidRPr="00F47CB0" w:rsidRDefault="00F82234" w:rsidP="00F47CB0">
      <w:pPr>
        <w:pStyle w:val="SingleTxtG"/>
      </w:pPr>
      <w:r w:rsidRPr="00CB6BB3">
        <w:rPr>
          <w:lang w:val="es-ES_tradnl"/>
        </w:rPr>
        <w:t>108.</w:t>
      </w:r>
      <w:r w:rsidRPr="00CB6BB3">
        <w:rPr>
          <w:lang w:val="es-ES_tradnl"/>
        </w:rPr>
        <w:tab/>
        <w:t>El Gobierno de la provincia federal de Salzburgo ordenó la elaboración de una declaración de principios en materia de igualdad de oportunidades para hombres y mujeres en forma de estudio científico social. Esta declaración de principios fue objeto de un acalorado debate en una reunión de investigación del Gobierno de esta provincia, celebrada el 8 de abril de 2010. Actualmente, se está redactando un proyecto</w:t>
      </w:r>
      <w:r w:rsidR="00927B6C" w:rsidRPr="00CB6BB3">
        <w:rPr>
          <w:lang w:val="es-ES_tradnl"/>
        </w:rPr>
        <w:t xml:space="preserve"> de ley gubernamental sobre</w:t>
      </w:r>
      <w:r w:rsidRPr="00CB6BB3">
        <w:rPr>
          <w:lang w:val="es-ES_tradnl"/>
        </w:rPr>
        <w:t xml:space="preserve"> la aplicación de esta declaración.</w:t>
      </w:r>
    </w:p>
    <w:p w:rsidR="00F82234" w:rsidRPr="00CB6BB3" w:rsidRDefault="00F82234" w:rsidP="00045553">
      <w:pPr>
        <w:pStyle w:val="H1G"/>
        <w:rPr>
          <w:lang w:val="es-ES_tradnl"/>
        </w:rPr>
      </w:pPr>
      <w:r w:rsidRPr="00CB6BB3">
        <w:rPr>
          <w:lang w:val="es-ES_tradnl"/>
        </w:rPr>
        <w:tab/>
      </w:r>
      <w:r w:rsidRPr="00CB6BB3">
        <w:rPr>
          <w:lang w:val="es-ES_tradnl"/>
        </w:rPr>
        <w:tab/>
      </w:r>
      <w:r w:rsidRPr="00045553">
        <w:t>Artículo</w:t>
      </w:r>
      <w:r w:rsidRPr="00CB6BB3">
        <w:rPr>
          <w:lang w:val="es-ES_tradnl"/>
        </w:rPr>
        <w:t xml:space="preserve"> 3</w:t>
      </w:r>
      <w:r w:rsidRPr="00CB6BB3">
        <w:rPr>
          <w:lang w:val="es-ES_tradnl"/>
        </w:rPr>
        <w:br/>
        <w:t xml:space="preserve">Garantizar los derechos humanos y libertades fundamentales </w:t>
      </w:r>
      <w:r w:rsidR="00F47CB0">
        <w:rPr>
          <w:lang w:val="es-ES_tradnl"/>
        </w:rPr>
        <w:br/>
      </w:r>
      <w:r w:rsidRPr="00CB6BB3">
        <w:rPr>
          <w:lang w:val="es-ES_tradnl"/>
        </w:rPr>
        <w:t>de las mujeres</w:t>
      </w:r>
    </w:p>
    <w:p w:rsidR="006740CB" w:rsidRPr="00CB6BB3" w:rsidRDefault="00F82234" w:rsidP="006740CB">
      <w:pPr>
        <w:pStyle w:val="SingleTxtG"/>
        <w:rPr>
          <w:lang w:val="es-ES_tradnl"/>
        </w:rPr>
      </w:pPr>
      <w:r w:rsidRPr="00CB6BB3">
        <w:rPr>
          <w:szCs w:val="24"/>
          <w:lang w:val="es-ES_tradnl"/>
        </w:rPr>
        <w:t>109.</w:t>
      </w:r>
      <w:r w:rsidRPr="00CB6BB3">
        <w:rPr>
          <w:szCs w:val="24"/>
          <w:lang w:val="es-ES_tradnl"/>
        </w:rPr>
        <w:tab/>
        <w:t xml:space="preserve">En 2004 se creó una dependencia encargada de promover la igualdad de género y el adelanto de la mujer en el ámbito de la cooperación para el desarrollo dentro del Organismo Austríaco de Desarrollo (ADA). Al igual que en el caso de la CEDAW, se definieron principios rectores que postulan la obligación de preservar los derechos de las mujeres </w:t>
      </w:r>
      <w:r w:rsidR="00927B6C" w:rsidRPr="00CB6BB3">
        <w:rPr>
          <w:szCs w:val="24"/>
          <w:lang w:val="es-ES_tradnl"/>
        </w:rPr>
        <w:t>al perseguir l</w:t>
      </w:r>
      <w:r w:rsidRPr="00CB6BB3">
        <w:rPr>
          <w:szCs w:val="24"/>
          <w:lang w:val="es-ES_tradnl"/>
        </w:rPr>
        <w:t>a consecución de los Objetivos de Desarrollo del Milenio, así como en la ejecución de las estrategias de reducción de la pobreza</w:t>
      </w:r>
      <w:r w:rsidRPr="00CB6BB3">
        <w:rPr>
          <w:rStyle w:val="FootnoteReference"/>
          <w:szCs w:val="24"/>
          <w:lang w:val="es-ES_tradnl"/>
        </w:rPr>
        <w:footnoteReference w:id="64"/>
      </w:r>
      <w:r w:rsidRPr="00CB6BB3">
        <w:rPr>
          <w:szCs w:val="24"/>
          <w:lang w:val="es-ES_tradnl"/>
        </w:rPr>
        <w:t>. Véase también la respuesta a la recomendación que figura en el párrafo 32</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110.</w:t>
      </w:r>
      <w:r w:rsidRPr="00CB6BB3">
        <w:rPr>
          <w:szCs w:val="24"/>
          <w:lang w:val="es-ES_tradnl"/>
        </w:rPr>
        <w:tab/>
        <w:t>Entre 2004 y 2009, los fondos comprometidos para proyectos que tienen en cuenta las cuestiones de género fueron incrementados en un 65</w:t>
      </w:r>
      <w:r w:rsidR="00B34FFF">
        <w:rPr>
          <w:szCs w:val="24"/>
          <w:lang w:val="es-ES_tradnl"/>
        </w:rPr>
        <w:t>%</w:t>
      </w:r>
      <w:r w:rsidRPr="00CB6BB3">
        <w:rPr>
          <w:szCs w:val="24"/>
          <w:lang w:val="es-ES_tradnl"/>
        </w:rPr>
        <w:t>, hasta alcanzar unos 71 millones de euros (lo que equivale a aproximadamente un 72</w:t>
      </w:r>
      <w:r w:rsidR="00B34FFF">
        <w:rPr>
          <w:szCs w:val="24"/>
          <w:lang w:val="es-ES_tradnl"/>
        </w:rPr>
        <w:t>%</w:t>
      </w:r>
      <w:r w:rsidRPr="00CB6BB3">
        <w:rPr>
          <w:szCs w:val="24"/>
          <w:lang w:val="es-ES_tradnl"/>
        </w:rPr>
        <w:t xml:space="preserve"> del total de los compromisos financieros del ADA)</w:t>
      </w:r>
      <w:r w:rsidR="006740CB" w:rsidRPr="00CB6BB3">
        <w:rPr>
          <w:szCs w:val="24"/>
          <w:lang w:val="es-ES_tradnl"/>
        </w:rPr>
        <w:t>.</w:t>
      </w:r>
      <w:r w:rsidR="006740CB" w:rsidRPr="00CB6BB3">
        <w:rPr>
          <w:lang w:val="es-ES_tradnl"/>
        </w:rPr>
        <w:t xml:space="preserve"> </w:t>
      </w:r>
    </w:p>
    <w:p w:rsidR="006740CB" w:rsidRPr="00CB6BB3" w:rsidRDefault="00F82234" w:rsidP="006740CB">
      <w:pPr>
        <w:pStyle w:val="SingleTxtG"/>
        <w:rPr>
          <w:lang w:val="es-ES_tradnl"/>
        </w:rPr>
      </w:pPr>
      <w:r w:rsidRPr="00CB6BB3">
        <w:rPr>
          <w:szCs w:val="24"/>
          <w:lang w:val="es-ES_tradnl"/>
        </w:rPr>
        <w:t>111.</w:t>
      </w:r>
      <w:r w:rsidRPr="00CB6BB3">
        <w:rPr>
          <w:szCs w:val="24"/>
          <w:lang w:val="es-ES_tradnl"/>
        </w:rPr>
        <w:tab/>
        <w:t xml:space="preserve">El Organismo Austríaco de Cooperación para el Desarrollo (OEZA) hace especial hincapié en la lucha contra la violencia hacia la mujer. Además de financiar </w:t>
      </w:r>
      <w:r w:rsidR="001A696C">
        <w:rPr>
          <w:szCs w:val="24"/>
          <w:lang w:val="es-ES_tradnl"/>
        </w:rPr>
        <w:t>centros de acogida</w:t>
      </w:r>
      <w:r w:rsidRPr="00CB6BB3">
        <w:rPr>
          <w:szCs w:val="24"/>
          <w:lang w:val="es-ES_tradnl"/>
        </w:rPr>
        <w:t xml:space="preserve"> para mujeres </w:t>
      </w:r>
      <w:r w:rsidRPr="005073C8">
        <w:rPr>
          <w:szCs w:val="24"/>
          <w:lang w:val="es-ES_tradnl"/>
        </w:rPr>
        <w:t xml:space="preserve">víctimas de </w:t>
      </w:r>
      <w:r w:rsidR="001A696C" w:rsidRPr="005073C8">
        <w:rPr>
          <w:szCs w:val="24"/>
          <w:lang w:val="es-ES_tradnl"/>
        </w:rPr>
        <w:t>malos tratos</w:t>
      </w:r>
      <w:r w:rsidRPr="005073C8">
        <w:rPr>
          <w:szCs w:val="24"/>
          <w:lang w:val="es-ES_tradnl"/>
        </w:rPr>
        <w:t xml:space="preserve"> (en Serbia y Montenegro), entre 2004 y 2010 se destinaron unos 6 millones de euros a combatir la trata</w:t>
      </w:r>
      <w:r w:rsidRPr="00CB6BB3">
        <w:rPr>
          <w:szCs w:val="24"/>
          <w:lang w:val="es-ES_tradnl"/>
        </w:rPr>
        <w:t xml:space="preserve"> de mujeres y niños. En el marco de estos programas, </w:t>
      </w:r>
      <w:r w:rsidR="00927B6C" w:rsidRPr="00CB6BB3">
        <w:rPr>
          <w:szCs w:val="24"/>
          <w:lang w:val="es-ES_tradnl"/>
        </w:rPr>
        <w:t>se donaron fondos a organizac</w:t>
      </w:r>
      <w:r w:rsidRPr="00CB6BB3">
        <w:rPr>
          <w:szCs w:val="24"/>
          <w:lang w:val="es-ES_tradnl"/>
        </w:rPr>
        <w:t xml:space="preserve">iones internacionales (OSCE, UNICEF, OIM) y ONG. A ello debe sumarse la financiación de actividades encaminadas a la aplicación de la </w:t>
      </w:r>
      <w:r w:rsidR="002879BD" w:rsidRPr="00CB6BB3">
        <w:rPr>
          <w:szCs w:val="24"/>
          <w:lang w:val="es-ES_tradnl"/>
        </w:rPr>
        <w:t>resolución</w:t>
      </w:r>
      <w:r w:rsidRPr="00CB6BB3">
        <w:rPr>
          <w:szCs w:val="24"/>
          <w:lang w:val="es-ES_tradnl"/>
        </w:rPr>
        <w:t xml:space="preserve"> 1325 del Consejo de Seguridad de las Naciones Unidas. En Uganda septentrional, por ejemplo, varias organizaciones de mujeres recibieron fondos para financiar sus iniciativas de resolución de conflictos y de consolidación de la paz</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112.</w:t>
      </w:r>
      <w:r w:rsidRPr="00CB6BB3">
        <w:rPr>
          <w:szCs w:val="24"/>
          <w:lang w:val="es-ES_tradnl"/>
        </w:rPr>
        <w:tab/>
        <w:t>La segunda área prioritaria del ADA es la presupuestación con perspectiva de género, que fue promovida a través de publicaciones</w:t>
      </w:r>
      <w:r w:rsidRPr="00CB6BB3">
        <w:rPr>
          <w:rStyle w:val="FootnoteReference"/>
          <w:szCs w:val="24"/>
          <w:lang w:val="es-ES_tradnl"/>
        </w:rPr>
        <w:footnoteReference w:id="65"/>
      </w:r>
      <w:r w:rsidRPr="00CB6BB3">
        <w:rPr>
          <w:szCs w:val="24"/>
          <w:lang w:val="es-ES_tradnl"/>
        </w:rPr>
        <w:t xml:space="preserve"> y la formación de un grupo de expertos que, entre otras cosas, procura vincular la gestión de las finanzas públicas con la elaboración de presupuestos que tengan en cuenta las cuestiones de género. Asimismo, el ADA fue el donante principal de un programa de UNIFEM en Europa sudoriental. </w:t>
      </w:r>
      <w:r w:rsidR="00BF3169" w:rsidRPr="00CB6BB3">
        <w:rPr>
          <w:szCs w:val="24"/>
          <w:lang w:val="es-ES_tradnl"/>
        </w:rPr>
        <w:t>A nivel internacional, el OEZA logró incluir la presupuestación con enfoque de género en el Protocolo Final de la Conferencia de Doha sobre la financiación del desarrollo (2008)</w:t>
      </w:r>
      <w:r w:rsidR="00BF3169" w:rsidRPr="00CB6BB3">
        <w:rPr>
          <w:lang w:val="es-ES_tradnl"/>
        </w:rPr>
        <w:t>.</w:t>
      </w:r>
    </w:p>
    <w:p w:rsidR="006740CB" w:rsidRPr="00CB6BB3" w:rsidRDefault="00F82234" w:rsidP="006740CB">
      <w:pPr>
        <w:pStyle w:val="SingleTxtG"/>
        <w:rPr>
          <w:lang w:val="es-ES_tradnl"/>
        </w:rPr>
      </w:pPr>
      <w:r w:rsidRPr="00CB6BB3">
        <w:rPr>
          <w:szCs w:val="24"/>
          <w:lang w:val="es-ES_tradnl"/>
        </w:rPr>
        <w:t>113.</w:t>
      </w:r>
      <w:r w:rsidRPr="00CB6BB3">
        <w:rPr>
          <w:szCs w:val="24"/>
          <w:lang w:val="es-ES_tradnl"/>
        </w:rPr>
        <w:tab/>
        <w:t xml:space="preserve">En agosto de 2007, Austria adoptó un Plan de Acción Nacional para la Aplicación de la </w:t>
      </w:r>
      <w:r w:rsidR="002879BD" w:rsidRPr="00CB6BB3">
        <w:rPr>
          <w:szCs w:val="24"/>
          <w:lang w:val="es-ES_tradnl"/>
        </w:rPr>
        <w:t>resolución</w:t>
      </w:r>
      <w:r w:rsidRPr="00CB6BB3">
        <w:rPr>
          <w:szCs w:val="24"/>
          <w:lang w:val="es-ES_tradnl"/>
        </w:rPr>
        <w:t xml:space="preserve"> 1325 (2000) del Consejo de Seguridad. El grupo de trabajo interministerial encargado de la puesta en práctica de este plan, de cuya coordinación se ocupa el Ministerio Federal para Asuntos Europeos e Internacionales, presenta al Parlamento, tras la celebración de consultas con representantes de la sociedad civil, un informe anual sobre la evolución de la ejecución</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114.</w:t>
      </w:r>
      <w:r w:rsidRPr="00CB6BB3">
        <w:rPr>
          <w:szCs w:val="24"/>
          <w:lang w:val="es-ES_tradnl"/>
        </w:rPr>
        <w:tab/>
        <w:t xml:space="preserve">La educación política es una materia del programa de estudios de las escuelas austríacas desde el octavo grado en adelante. Además, desde 1978, es parte del sistema educativo en virtud del decreto fundamental sobre educación política. Zentrum Polis es la unidad de servicio pedagógico de las escuelas en el ámbito de la educación política y los derechos humanos, entre otros temas. En 2007 se celebraron unas jornadas de acción en materia de educación política orientadas a la igualdad de género; en 2008, las jornadas giraron en torno al tema Diálogo intercultural por la diversidad cultural. Sobre la base del principio educativo </w:t>
      </w:r>
      <w:r w:rsidR="00C70626">
        <w:rPr>
          <w:szCs w:val="24"/>
          <w:lang w:val="es-ES_tradnl"/>
        </w:rPr>
        <w:t>"</w:t>
      </w:r>
      <w:r w:rsidRPr="00CB6BB3">
        <w:rPr>
          <w:szCs w:val="24"/>
          <w:lang w:val="es-ES_tradnl"/>
        </w:rPr>
        <w:t>educación política</w:t>
      </w:r>
      <w:r w:rsidR="00C70626">
        <w:rPr>
          <w:szCs w:val="24"/>
          <w:lang w:val="es-ES_tradnl"/>
        </w:rPr>
        <w:t>"</w:t>
      </w:r>
      <w:r w:rsidRPr="00CB6BB3">
        <w:rPr>
          <w:szCs w:val="24"/>
          <w:lang w:val="es-ES_tradnl"/>
        </w:rPr>
        <w:t>, se integra la educación sobre derechos humanos a todas las materias, en todos los niveles y en todo tipo de escuelas. Además, los derechos humanos forman parte de la materia obligatoria educación política a partir del noveno grado</w:t>
      </w:r>
      <w:r w:rsidRPr="00CB6BB3">
        <w:rPr>
          <w:rStyle w:val="FootnoteReference"/>
          <w:szCs w:val="24"/>
          <w:lang w:val="es-ES_tradnl"/>
        </w:rPr>
        <w:footnoteReference w:id="66"/>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115.</w:t>
      </w:r>
      <w:r w:rsidRPr="00CB6BB3">
        <w:rPr>
          <w:szCs w:val="24"/>
          <w:lang w:val="es-ES_tradnl"/>
        </w:rPr>
        <w:tab/>
        <w:t>Como parte de un programa mundial relativo a los derechos humanos, en 2008 se presentó en las escuelas un estudio sobre educación en esta materia</w:t>
      </w:r>
      <w:r w:rsidR="006F74E7">
        <w:rPr>
          <w:szCs w:val="24"/>
          <w:lang w:val="es-ES_tradnl"/>
        </w:rPr>
        <w:t>,</w:t>
      </w:r>
      <w:r w:rsidRPr="00CB6BB3">
        <w:rPr>
          <w:szCs w:val="24"/>
          <w:lang w:val="es-ES_tradnl"/>
        </w:rPr>
        <w:t xml:space="preserve"> </w:t>
      </w:r>
      <w:r w:rsidR="006F74E7">
        <w:rPr>
          <w:szCs w:val="24"/>
          <w:lang w:val="es-ES_tradnl"/>
        </w:rPr>
        <w:t xml:space="preserve">que </w:t>
      </w:r>
      <w:r w:rsidR="006F74E7" w:rsidRPr="00CB6BB3">
        <w:rPr>
          <w:szCs w:val="24"/>
          <w:lang w:val="es-ES_tradnl"/>
        </w:rPr>
        <w:t xml:space="preserve">significó </w:t>
      </w:r>
      <w:r w:rsidRPr="00CB6BB3">
        <w:rPr>
          <w:szCs w:val="24"/>
          <w:lang w:val="es-ES_tradnl"/>
        </w:rPr>
        <w:t>una aportación a la primera fase del programa, encaminado a promover la educación sobre los derechos humanos en las escuelas de todo el mundo. La creación del Rosa Mayreder College significó un paso importante hacia el avance de las cuestiones de política relativas a la mujer en la enseñanza de adultos</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116.</w:t>
      </w:r>
      <w:r w:rsidRPr="00CB6BB3">
        <w:rPr>
          <w:szCs w:val="24"/>
          <w:lang w:val="es-ES_tradnl"/>
        </w:rPr>
        <w:tab/>
        <w:t>La Sociedad Austríaca de Educación Política</w:t>
      </w:r>
      <w:r w:rsidRPr="00CB6BB3">
        <w:rPr>
          <w:rStyle w:val="FootnoteReference"/>
          <w:szCs w:val="24"/>
          <w:lang w:val="es-ES_tradnl"/>
        </w:rPr>
        <w:footnoteReference w:id="67"/>
      </w:r>
      <w:r w:rsidRPr="00CB6BB3">
        <w:rPr>
          <w:szCs w:val="24"/>
          <w:lang w:val="es-ES_tradnl"/>
        </w:rPr>
        <w:t xml:space="preserve"> ofrece subvenciones para proyectos de diversas instituciones educativas a nivel local, regional y provincial. En el ámbito de la educación política de adultos, también se promueven programas de enseñanza sobre género y su integración dentro del sistema de educación de adultos</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117.</w:t>
      </w:r>
      <w:r w:rsidRPr="00CB6BB3">
        <w:rPr>
          <w:szCs w:val="24"/>
          <w:lang w:val="es-ES_tradnl"/>
        </w:rPr>
        <w:tab/>
        <w:t>Con respecto a la promoción de las artes, la igualdad de género es uno de los criterios que se tienen en cuenta a la hora de evaluar y recomendar las solicitudes de financiación. En el mundo del arte, el principio de la igualdad de género rige la designación de los miembros de órganos de asesoramiento y la contratación de curadores o comisionados de exposiciones organizadas por el Gobierno, lo cual se refleja en que la mayoría de puestos estén ocupados por mujeres. El Consejo Asesor para la Promoción de las Artes procura tomar sistemáticamente en consideración las cuestiones de género en todas sus actividades</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118.</w:t>
      </w:r>
      <w:r w:rsidRPr="00CB6BB3">
        <w:rPr>
          <w:szCs w:val="24"/>
          <w:lang w:val="es-ES_tradnl"/>
        </w:rPr>
        <w:tab/>
        <w:t xml:space="preserve">En el terreno cinematográfico, se han lanzado una serie de iniciativas, como </w:t>
      </w:r>
      <w:r w:rsidR="00C70626">
        <w:rPr>
          <w:szCs w:val="24"/>
          <w:lang w:val="es-ES_tradnl"/>
        </w:rPr>
        <w:t>"</w:t>
      </w:r>
      <w:r w:rsidRPr="00CB6BB3">
        <w:rPr>
          <w:szCs w:val="24"/>
          <w:lang w:val="es-ES_tradnl"/>
        </w:rPr>
        <w:t>Women.Work.Film</w:t>
      </w:r>
      <w:r w:rsidR="00C70626">
        <w:rPr>
          <w:szCs w:val="24"/>
          <w:lang w:val="es-ES_tradnl"/>
        </w:rPr>
        <w:t>"</w:t>
      </w:r>
      <w:r w:rsidRPr="00CB6BB3">
        <w:rPr>
          <w:szCs w:val="24"/>
          <w:lang w:val="es-ES_tradnl"/>
        </w:rPr>
        <w:t>. La enmienda de la Ley de promoción de la cinematografía hace especial hincapié en que el lenguaje sea imparcial desde el punto de vista del género, y establece que en la junta de supervisión del Instituto Cinematográfico Austríaco hombres y mujeres estén representados por igual. En 2010, por primera vez se abrió a concurso el Premio a la artista más destacada – Cultura de la mujer 2010</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119.</w:t>
      </w:r>
      <w:r w:rsidRPr="00CB6BB3">
        <w:rPr>
          <w:szCs w:val="24"/>
          <w:lang w:val="es-ES_tradnl"/>
        </w:rPr>
        <w:tab/>
        <w:t>Proyecto de apoyo a la mujer romaní: una de las asociaciones de romaníes de Austria ha ideado una</w:t>
      </w:r>
      <w:r w:rsidR="00927B6C" w:rsidRPr="00CB6BB3">
        <w:rPr>
          <w:szCs w:val="24"/>
          <w:lang w:val="es-ES_tradnl"/>
        </w:rPr>
        <w:t xml:space="preserve"> red de recursos didácticos. Tras mantenerse </w:t>
      </w:r>
      <w:r w:rsidRPr="00CB6BB3">
        <w:rPr>
          <w:szCs w:val="24"/>
          <w:lang w:val="es-ES_tradnl"/>
        </w:rPr>
        <w:t>en contacto con familias romaníes durante varios años</w:t>
      </w:r>
      <w:r w:rsidR="00927B6C" w:rsidRPr="00CB6BB3">
        <w:rPr>
          <w:szCs w:val="24"/>
          <w:lang w:val="es-ES_tradnl"/>
        </w:rPr>
        <w:t>,</w:t>
      </w:r>
      <w:r w:rsidRPr="00CB6BB3">
        <w:rPr>
          <w:szCs w:val="24"/>
          <w:lang w:val="es-ES_tradnl"/>
        </w:rPr>
        <w:t xml:space="preserve"> </w:t>
      </w:r>
      <w:r w:rsidR="00927B6C" w:rsidRPr="00CB6BB3">
        <w:rPr>
          <w:szCs w:val="24"/>
          <w:lang w:val="es-ES_tradnl"/>
        </w:rPr>
        <w:t>concibió</w:t>
      </w:r>
      <w:r w:rsidRPr="00CB6BB3">
        <w:rPr>
          <w:szCs w:val="24"/>
          <w:lang w:val="es-ES_tradnl"/>
        </w:rPr>
        <w:t xml:space="preserve"> un concepto de orientación centrado específicamente en las necesidades de las mujeres. Se precisarán y analizarán los problemas de las mujeres romaníes tomando </w:t>
      </w:r>
      <w:r w:rsidR="00927B6C" w:rsidRPr="00CB6BB3">
        <w:rPr>
          <w:szCs w:val="24"/>
          <w:lang w:val="es-ES_tradnl"/>
        </w:rPr>
        <w:t>como referente</w:t>
      </w:r>
      <w:r w:rsidRPr="00CB6BB3">
        <w:rPr>
          <w:szCs w:val="24"/>
          <w:lang w:val="es-ES_tradnl"/>
        </w:rPr>
        <w:t xml:space="preserve"> las ciencias sociales, </w:t>
      </w:r>
      <w:r w:rsidR="00927B6C" w:rsidRPr="00CB6BB3">
        <w:rPr>
          <w:szCs w:val="24"/>
          <w:lang w:val="es-ES_tradnl"/>
        </w:rPr>
        <w:t xml:space="preserve">para </w:t>
      </w:r>
      <w:r w:rsidRPr="00CB6BB3">
        <w:rPr>
          <w:szCs w:val="24"/>
          <w:lang w:val="es-ES_tradnl"/>
        </w:rPr>
        <w:t xml:space="preserve">idear un programa de orientación sujeto a metas, que será subvencionado con fondos destinados a </w:t>
      </w:r>
      <w:r w:rsidR="00927B6C" w:rsidRPr="00CB6BB3">
        <w:rPr>
          <w:szCs w:val="24"/>
          <w:lang w:val="es-ES_tradnl"/>
        </w:rPr>
        <w:t xml:space="preserve">los </w:t>
      </w:r>
      <w:r w:rsidRPr="00CB6BB3">
        <w:rPr>
          <w:szCs w:val="24"/>
          <w:lang w:val="es-ES_tradnl"/>
        </w:rPr>
        <w:t>grupos étnicos</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120.</w:t>
      </w:r>
      <w:r w:rsidRPr="00CB6BB3">
        <w:rPr>
          <w:szCs w:val="24"/>
          <w:lang w:val="es-ES_tradnl"/>
        </w:rPr>
        <w:tab/>
        <w:t xml:space="preserve">Ejemplos de las provincias federales. En Viena, se habilitó una línea especial de servicio telefónico gratuito de orientación para niñas. Se organizaron conferencias, reuniones y publicaciones sobre temas tales como: las mujeres y las niñas en Viena, la igualdad, la promoción de la mujer en las empresas, los estereotipos, las diferencias de ingresos por razones de sexo, la potenciación de la mujer y los procedimientos de licitación pública. En 2005, en la Dirección Municipal se creó la unidad de proyectos </w:t>
      </w:r>
      <w:r w:rsidR="00C70626">
        <w:rPr>
          <w:szCs w:val="24"/>
          <w:lang w:val="es-ES_tradnl"/>
        </w:rPr>
        <w:t>"</w:t>
      </w:r>
      <w:r w:rsidRPr="00CB6BB3">
        <w:rPr>
          <w:szCs w:val="24"/>
          <w:lang w:val="es-ES_tradnl"/>
        </w:rPr>
        <w:t>Incorporación de la perspectiva de género</w:t>
      </w:r>
      <w:r w:rsidR="00C70626">
        <w:rPr>
          <w:szCs w:val="24"/>
          <w:lang w:val="es-ES_tradnl"/>
        </w:rPr>
        <w:t>"</w:t>
      </w:r>
      <w:r w:rsidRPr="00CB6BB3">
        <w:rPr>
          <w:szCs w:val="24"/>
          <w:lang w:val="es-ES_tradnl"/>
        </w:rPr>
        <w:t xml:space="preserve">, desde la que el personal recibe formación en incorporación de la perspectiva de género. Se redactó el plan de acción para la aplicación de la </w:t>
      </w:r>
      <w:r w:rsidR="00C70626">
        <w:rPr>
          <w:szCs w:val="24"/>
          <w:lang w:val="es-ES_tradnl"/>
        </w:rPr>
        <w:t>"</w:t>
      </w:r>
      <w:r w:rsidRPr="00CB6BB3">
        <w:rPr>
          <w:szCs w:val="24"/>
          <w:lang w:val="es-ES_tradnl"/>
        </w:rPr>
        <w:t>Carta europea para la igualdad de hombres y mujeres en la vida local</w:t>
      </w:r>
      <w:r w:rsidR="00C70626">
        <w:rPr>
          <w:szCs w:val="24"/>
          <w:lang w:val="es-ES_tradnl"/>
        </w:rPr>
        <w:t>"</w:t>
      </w:r>
      <w:r w:rsidR="006740CB" w:rsidRPr="00CB6BB3">
        <w:rPr>
          <w:lang w:val="es-ES_tradnl"/>
        </w:rPr>
        <w:t>.</w:t>
      </w:r>
    </w:p>
    <w:p w:rsidR="00927B6C" w:rsidRPr="00CB6BB3" w:rsidRDefault="00F82234" w:rsidP="00927B6C">
      <w:pPr>
        <w:pStyle w:val="SingleTxtG"/>
        <w:rPr>
          <w:lang w:val="es-ES_tradnl"/>
        </w:rPr>
      </w:pPr>
      <w:r w:rsidRPr="00CB6BB3">
        <w:rPr>
          <w:lang w:val="es-ES_tradnl"/>
        </w:rPr>
        <w:t>121.</w:t>
      </w:r>
      <w:r w:rsidRPr="00CB6BB3">
        <w:rPr>
          <w:lang w:val="es-ES_tradnl"/>
        </w:rPr>
        <w:tab/>
        <w:t>Desde 2006, todos los distritos de Burgenland cuentan con centros de orientación para la mujer que prestan servicios gratuitos de consultoría letrada dos veces al mes.</w:t>
      </w:r>
      <w:r w:rsidR="00927B6C" w:rsidRPr="00CB6BB3">
        <w:rPr>
          <w:lang w:val="es-ES_tradnl"/>
        </w:rPr>
        <w:t xml:space="preserve"> </w:t>
      </w:r>
    </w:p>
    <w:p w:rsidR="00927B6C" w:rsidRPr="00CB6BB3" w:rsidRDefault="00F82234" w:rsidP="00927B6C">
      <w:pPr>
        <w:pStyle w:val="SingleTxtG"/>
        <w:rPr>
          <w:lang w:val="es-ES_tradnl"/>
        </w:rPr>
      </w:pPr>
      <w:r w:rsidRPr="00CB6BB3">
        <w:rPr>
          <w:lang w:val="es-ES_tradnl"/>
        </w:rPr>
        <w:t>122.</w:t>
      </w:r>
      <w:r w:rsidRPr="00CB6BB3">
        <w:rPr>
          <w:lang w:val="es-ES_tradnl"/>
        </w:rPr>
        <w:tab/>
        <w:t>Alta Austria definió objetivos estratégicos para conseguir la igualdad entre hombres y mujeres. Veinticinco organizaciones de mujeres están emprendiendo iniciativas para el adelanto de la mujer a nivel de la región y de la provincia federal, a fin de conseguir esos objetivos. La gama de iniciativas varía desde la orientación personal y la habilitación de la mujer hasta programas educativos y de sensibilización sobre temas conexos de política de la mujer</w:t>
      </w:r>
      <w:r w:rsidR="006740CB" w:rsidRPr="00CB6BB3">
        <w:rPr>
          <w:lang w:val="es-ES_tradnl"/>
        </w:rPr>
        <w:t>.</w:t>
      </w:r>
      <w:r w:rsidR="00927B6C" w:rsidRPr="00CB6BB3">
        <w:rPr>
          <w:lang w:val="es-ES_tradnl"/>
        </w:rPr>
        <w:t xml:space="preserve"> </w:t>
      </w:r>
    </w:p>
    <w:p w:rsidR="00F82234" w:rsidRPr="00CB6BB3" w:rsidRDefault="00F82234" w:rsidP="00F47CB0">
      <w:pPr>
        <w:pStyle w:val="SingleTxtG"/>
        <w:rPr>
          <w:lang w:val="es-ES_tradnl"/>
        </w:rPr>
      </w:pPr>
      <w:r w:rsidRPr="00CB6BB3">
        <w:rPr>
          <w:lang w:val="es-ES_tradnl"/>
        </w:rPr>
        <w:t>123.</w:t>
      </w:r>
      <w:r w:rsidRPr="00CB6BB3">
        <w:rPr>
          <w:lang w:val="es-ES_tradnl"/>
        </w:rPr>
        <w:tab/>
        <w:t>En Vorarlberg, el centro de información a la mujer FEMAIL actúa como centro de servicios y de coordinación. El centro de niñas Amazone funciona como un punto de con</w:t>
      </w:r>
      <w:r w:rsidR="00927B6C" w:rsidRPr="00CB6BB3">
        <w:rPr>
          <w:lang w:val="es-ES_tradnl"/>
        </w:rPr>
        <w:t>tacto para niñas y de promoción</w:t>
      </w:r>
      <w:r w:rsidRPr="00CB6BB3">
        <w:rPr>
          <w:lang w:val="es-ES_tradnl"/>
        </w:rPr>
        <w:t xml:space="preserve"> de la labor en materia de género. El único museo de la mujer de Austria, </w:t>
      </w:r>
      <w:r w:rsidR="00927B6C" w:rsidRPr="00CB6BB3">
        <w:rPr>
          <w:lang w:val="es-ES_tradnl"/>
        </w:rPr>
        <w:t xml:space="preserve">ubicado </w:t>
      </w:r>
      <w:r w:rsidRPr="00CB6BB3">
        <w:rPr>
          <w:lang w:val="es-ES_tradnl"/>
        </w:rPr>
        <w:t>en Hittisau, Bregenzerwald, está dedicado a temas relativos a la historia social y cultural de la mujer.</w:t>
      </w:r>
    </w:p>
    <w:p w:rsidR="00F82234" w:rsidRPr="00CB6BB3" w:rsidRDefault="00F82234" w:rsidP="00045553">
      <w:pPr>
        <w:pStyle w:val="H1G"/>
        <w:rPr>
          <w:lang w:val="es-ES_tradnl"/>
        </w:rPr>
      </w:pPr>
      <w:r w:rsidRPr="00CB6BB3">
        <w:rPr>
          <w:lang w:val="es-ES_tradnl"/>
        </w:rPr>
        <w:tab/>
      </w:r>
      <w:r w:rsidRPr="00CB6BB3">
        <w:rPr>
          <w:lang w:val="es-ES_tradnl"/>
        </w:rPr>
        <w:tab/>
        <w:t>Artículo 4</w:t>
      </w:r>
      <w:r w:rsidRPr="00CB6BB3">
        <w:rPr>
          <w:lang w:val="es-ES_tradnl"/>
        </w:rPr>
        <w:br/>
        <w:t xml:space="preserve">Medidas específicas para el adelanto de la mujer y la igualdad </w:t>
      </w:r>
      <w:r w:rsidR="00F47CB0">
        <w:rPr>
          <w:lang w:val="es-ES_tradnl"/>
        </w:rPr>
        <w:br/>
      </w:r>
      <w:r w:rsidRPr="00CB6BB3">
        <w:rPr>
          <w:lang w:val="es-ES_tradnl"/>
        </w:rPr>
        <w:t>efectiva</w:t>
      </w:r>
    </w:p>
    <w:p w:rsidR="00F82234" w:rsidRPr="00CB6BB3" w:rsidRDefault="00F82234" w:rsidP="00F47CB0">
      <w:pPr>
        <w:pStyle w:val="SingleTxtG"/>
        <w:rPr>
          <w:lang w:val="es-ES_tradnl"/>
        </w:rPr>
      </w:pPr>
      <w:r w:rsidRPr="00CB6BB3">
        <w:rPr>
          <w:lang w:val="es-ES_tradnl"/>
        </w:rPr>
        <w:t>124.</w:t>
      </w:r>
      <w:r w:rsidRPr="00CB6BB3">
        <w:rPr>
          <w:lang w:val="es-ES_tradnl"/>
        </w:rPr>
        <w:tab/>
        <w:t>En 2006 se encomendó a la Federación de Instituciones de Seguridad Social de Austria que tomara medidas concretas para promover el adelanto de la mujer; ideara planes de promoción de la mujer conforme a la Ley federal de igualdad de trato; y respetara la exigencia del cupo de mujeres al nombrar los funcionarios de los órganos de autogobierno</w:t>
      </w:r>
      <w:r w:rsidRPr="00CB6BB3">
        <w:rPr>
          <w:rStyle w:val="FootnoteReference"/>
          <w:szCs w:val="24"/>
          <w:lang w:val="es-ES_tradnl"/>
        </w:rPr>
        <w:footnoteReference w:id="68"/>
      </w:r>
      <w:r w:rsidRPr="00CB6BB3">
        <w:rPr>
          <w:lang w:val="es-ES_tradnl"/>
        </w:rPr>
        <w:t>. Las medidas específicas para el adelanto de la mujer comprenden, entre otras cosas, las siguientes obligaciones:</w:t>
      </w:r>
    </w:p>
    <w:p w:rsidR="00F82234" w:rsidRPr="00CB6BB3" w:rsidRDefault="00F82234" w:rsidP="00F47CB0">
      <w:pPr>
        <w:pStyle w:val="SingleTxtG"/>
        <w:rPr>
          <w:lang w:val="es-ES_tradnl"/>
        </w:rPr>
      </w:pPr>
      <w:r w:rsidRPr="00CB6BB3">
        <w:rPr>
          <w:lang w:val="es-ES_tradnl"/>
        </w:rPr>
        <w:tab/>
        <w:t>a)</w:t>
      </w:r>
      <w:r w:rsidRPr="00CB6BB3">
        <w:rPr>
          <w:lang w:val="es-ES_tradnl"/>
        </w:rPr>
        <w:tab/>
      </w:r>
      <w:r w:rsidR="00F47CB0" w:rsidRPr="00CB6BB3">
        <w:rPr>
          <w:lang w:val="es-ES_tradnl"/>
        </w:rPr>
        <w:t xml:space="preserve">Observancia </w:t>
      </w:r>
      <w:r w:rsidRPr="00CB6BB3">
        <w:rPr>
          <w:lang w:val="es-ES_tradnl"/>
        </w:rPr>
        <w:t>del precepto del adelanto de la mujer, y obligación de solucionar la insuficiente representación de las mujeres existente;</w:t>
      </w:r>
    </w:p>
    <w:p w:rsidR="00F82234" w:rsidRPr="00CB6BB3" w:rsidRDefault="00F82234" w:rsidP="00F47CB0">
      <w:pPr>
        <w:pStyle w:val="SingleTxtG"/>
        <w:rPr>
          <w:lang w:val="es-ES_tradnl"/>
        </w:rPr>
      </w:pPr>
      <w:r w:rsidRPr="00CB6BB3">
        <w:rPr>
          <w:lang w:val="es-ES_tradnl"/>
        </w:rPr>
        <w:tab/>
        <w:t>b)</w:t>
      </w:r>
      <w:r w:rsidRPr="00CB6BB3">
        <w:rPr>
          <w:lang w:val="es-ES_tradnl"/>
        </w:rPr>
        <w:tab/>
      </w:r>
      <w:r w:rsidR="00F47CB0" w:rsidRPr="00CB6BB3">
        <w:rPr>
          <w:lang w:val="es-ES_tradnl"/>
        </w:rPr>
        <w:t xml:space="preserve">Elaboración </w:t>
      </w:r>
      <w:r w:rsidRPr="00CB6BB3">
        <w:rPr>
          <w:lang w:val="es-ES_tradnl"/>
        </w:rPr>
        <w:t>de planes para el adelanto de la mujer que incluyan plazos y medidas, así como objetivos vinculantes para incrementar el cupo de mujeres;</w:t>
      </w:r>
    </w:p>
    <w:p w:rsidR="00F82234" w:rsidRPr="00CB6BB3" w:rsidRDefault="00F82234" w:rsidP="00F47CB0">
      <w:pPr>
        <w:pStyle w:val="SingleTxtG"/>
        <w:rPr>
          <w:lang w:val="es-ES_tradnl"/>
        </w:rPr>
      </w:pPr>
      <w:r w:rsidRPr="00CB6BB3">
        <w:rPr>
          <w:lang w:val="es-ES_tradnl"/>
        </w:rPr>
        <w:tab/>
        <w:t>c)</w:t>
      </w:r>
      <w:r w:rsidRPr="00CB6BB3">
        <w:rPr>
          <w:lang w:val="es-ES_tradnl"/>
        </w:rPr>
        <w:tab/>
      </w:r>
      <w:r w:rsidR="00F47CB0" w:rsidRPr="00CB6BB3">
        <w:rPr>
          <w:lang w:val="es-ES_tradnl"/>
        </w:rPr>
        <w:t xml:space="preserve">Preferencia </w:t>
      </w:r>
      <w:r w:rsidRPr="00CB6BB3">
        <w:rPr>
          <w:lang w:val="es-ES_tradnl"/>
        </w:rPr>
        <w:t>a una mujer, toda vez que tenga las mismas calificaciones que el candidato hombre mejor calificado;</w:t>
      </w:r>
    </w:p>
    <w:p w:rsidR="00F82234" w:rsidRPr="00CB6BB3" w:rsidRDefault="00F82234" w:rsidP="00F47CB0">
      <w:pPr>
        <w:pStyle w:val="SingleTxtG"/>
        <w:rPr>
          <w:lang w:val="es-ES_tradnl"/>
        </w:rPr>
      </w:pPr>
      <w:r w:rsidRPr="00CB6BB3">
        <w:rPr>
          <w:lang w:val="es-ES_tradnl"/>
        </w:rPr>
        <w:tab/>
        <w:t>d)</w:t>
      </w:r>
      <w:r w:rsidRPr="00CB6BB3">
        <w:rPr>
          <w:lang w:val="es-ES_tradnl"/>
        </w:rPr>
        <w:tab/>
      </w:r>
      <w:r w:rsidR="00F47CB0" w:rsidRPr="00CB6BB3">
        <w:rPr>
          <w:lang w:val="es-ES_tradnl"/>
        </w:rPr>
        <w:t xml:space="preserve">Nombramiento </w:t>
      </w:r>
      <w:r w:rsidRPr="00CB6BB3">
        <w:rPr>
          <w:lang w:val="es-ES_tradnl"/>
        </w:rPr>
        <w:t>de mujeres para cubrir cargos de alto nivel, siempre que tengan las mismas calificaciones que los postulantes hombres, hasta cubrir el cupo del 40</w:t>
      </w:r>
      <w:r w:rsidR="00B34FFF">
        <w:rPr>
          <w:lang w:val="es-ES_tradnl"/>
        </w:rPr>
        <w:t>%</w:t>
      </w:r>
      <w:r w:rsidRPr="00CB6BB3">
        <w:rPr>
          <w:lang w:val="es-ES_tradnl"/>
        </w:rPr>
        <w:t xml:space="preserve"> en el ámbito pertinente;</w:t>
      </w:r>
    </w:p>
    <w:p w:rsidR="00F82234" w:rsidRPr="00CB6BB3" w:rsidRDefault="00F82234" w:rsidP="00F47CB0">
      <w:pPr>
        <w:pStyle w:val="SingleTxtG"/>
        <w:rPr>
          <w:lang w:val="es-ES_tradnl"/>
        </w:rPr>
      </w:pPr>
      <w:r w:rsidRPr="00CB6BB3">
        <w:rPr>
          <w:lang w:val="es-ES_tradnl"/>
        </w:rPr>
        <w:tab/>
        <w:t>e)</w:t>
      </w:r>
      <w:r w:rsidRPr="00CB6BB3">
        <w:rPr>
          <w:lang w:val="es-ES_tradnl"/>
        </w:rPr>
        <w:tab/>
      </w:r>
      <w:r w:rsidR="00F47CB0" w:rsidRPr="00CB6BB3">
        <w:rPr>
          <w:lang w:val="es-ES_tradnl"/>
        </w:rPr>
        <w:t xml:space="preserve">Prioridad </w:t>
      </w:r>
      <w:r w:rsidRPr="00CB6BB3">
        <w:rPr>
          <w:lang w:val="es-ES_tradnl"/>
        </w:rPr>
        <w:t>a la admisión de mujeres en programas de formación básicos y avanzados que les permitan obtener calificaciones para acceder a cargos de alto nivel;</w:t>
      </w:r>
    </w:p>
    <w:p w:rsidR="006740CB" w:rsidRPr="00CB6BB3" w:rsidRDefault="00F47CB0" w:rsidP="00F47CB0">
      <w:pPr>
        <w:pStyle w:val="SingleTxtG"/>
        <w:rPr>
          <w:lang w:val="es-ES_tradnl"/>
        </w:rPr>
      </w:pPr>
      <w:r>
        <w:rPr>
          <w:lang w:val="es-ES_tradnl"/>
        </w:rPr>
        <w:tab/>
      </w:r>
      <w:r w:rsidR="00F82234" w:rsidRPr="00CB6BB3">
        <w:rPr>
          <w:lang w:val="es-ES_tradnl"/>
        </w:rPr>
        <w:t>f)</w:t>
      </w:r>
      <w:r w:rsidR="00F82234" w:rsidRPr="00CB6BB3">
        <w:rPr>
          <w:lang w:val="es-ES_tradnl"/>
        </w:rPr>
        <w:tab/>
      </w:r>
      <w:r w:rsidRPr="00CB6BB3">
        <w:rPr>
          <w:lang w:val="es-ES_tradnl"/>
        </w:rPr>
        <w:t xml:space="preserve">Rendición </w:t>
      </w:r>
      <w:r w:rsidR="00F82234" w:rsidRPr="00CB6BB3">
        <w:rPr>
          <w:lang w:val="es-ES_tradnl"/>
        </w:rPr>
        <w:t>de cuentas obligatoria al Ministerio de Salud</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125.</w:t>
      </w:r>
      <w:r w:rsidRPr="00CB6BB3">
        <w:rPr>
          <w:szCs w:val="24"/>
          <w:lang w:val="es-ES_tradnl"/>
        </w:rPr>
        <w:tab/>
        <w:t>Las instituciones de seguridad social deben presentar informes ante la Federación de Instituciones de Seguridad Social y la Ministra Federal de Asuntos de la Mujer sobre los avances registrados en materia de igualdad de trato y adelanto de la mujer</w:t>
      </w:r>
      <w:r w:rsidRPr="00CB6BB3">
        <w:rPr>
          <w:rStyle w:val="FootnoteReference"/>
          <w:szCs w:val="24"/>
          <w:lang w:val="es-ES_tradnl"/>
        </w:rPr>
        <w:footnoteReference w:id="69"/>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126.</w:t>
      </w:r>
      <w:r w:rsidRPr="00CB6BB3">
        <w:rPr>
          <w:szCs w:val="24"/>
          <w:lang w:val="es-ES_tradnl"/>
        </w:rPr>
        <w:tab/>
        <w:t>La supervisión de las cuestiones de género en las universidades austríacas se basa en un sistema de indicadores que vigila permanentemente la aplicación de las medidas para el adelanto de la mujer, la igualdad de género y la incorporación de la perspectiva de género en este ámbito. El público en general puede acceder a todos los resultados a través de su sitio web</w:t>
      </w:r>
      <w:r w:rsidRPr="00CB6BB3">
        <w:rPr>
          <w:rStyle w:val="FootnoteReference"/>
          <w:szCs w:val="24"/>
          <w:lang w:val="es-ES_tradnl"/>
        </w:rPr>
        <w:footnoteReference w:id="70"/>
      </w:r>
      <w:r w:rsidRPr="00CB6BB3">
        <w:rPr>
          <w:szCs w:val="24"/>
          <w:lang w:val="es-ES_tradnl"/>
        </w:rPr>
        <w:t>. El reglamento relativo a la igualdad o el adelanto de la mujer en las universidades (aprobado en 1993) ha incremen</w:t>
      </w:r>
      <w:r w:rsidR="00927B6C" w:rsidRPr="00CB6BB3">
        <w:rPr>
          <w:szCs w:val="24"/>
          <w:lang w:val="es-ES_tradnl"/>
        </w:rPr>
        <w:t>tado la</w:t>
      </w:r>
      <w:r w:rsidRPr="00CB6BB3">
        <w:rPr>
          <w:szCs w:val="24"/>
          <w:lang w:val="es-ES_tradnl"/>
        </w:rPr>
        <w:t xml:space="preserve"> participación </w:t>
      </w:r>
      <w:r w:rsidR="00927B6C" w:rsidRPr="00CB6BB3">
        <w:rPr>
          <w:szCs w:val="24"/>
          <w:lang w:val="es-ES_tradnl"/>
        </w:rPr>
        <w:t xml:space="preserve">femenina </w:t>
      </w:r>
      <w:r w:rsidRPr="00CB6BB3">
        <w:rPr>
          <w:szCs w:val="24"/>
          <w:lang w:val="es-ES_tradnl"/>
        </w:rPr>
        <w:t xml:space="preserve">en la vida académica, aunque las mujeres siguen encontrando un </w:t>
      </w:r>
      <w:r w:rsidR="00C70626">
        <w:rPr>
          <w:szCs w:val="24"/>
          <w:lang w:val="es-ES_tradnl"/>
        </w:rPr>
        <w:t>"</w:t>
      </w:r>
      <w:r w:rsidRPr="00CB6BB3">
        <w:rPr>
          <w:szCs w:val="24"/>
          <w:lang w:val="es-ES_tradnl"/>
        </w:rPr>
        <w:t>techo de cristal</w:t>
      </w:r>
      <w:r w:rsidR="00C70626">
        <w:rPr>
          <w:szCs w:val="24"/>
          <w:lang w:val="es-ES_tradnl"/>
        </w:rPr>
        <w:t>"</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127.</w:t>
      </w:r>
      <w:r w:rsidRPr="00CB6BB3">
        <w:rPr>
          <w:szCs w:val="24"/>
          <w:lang w:val="es-ES_tradnl"/>
        </w:rPr>
        <w:tab/>
        <w:t>Por esta razón, la Ley de enmienda de la ley universitaria de 2009 estableció medidas obligatorias claras, que promueven el adelanto y el trato igualitario hacia las mujeres en las universidades. Una de las principales obligaciones de las universidades es la observancia del cupo del 40</w:t>
      </w:r>
      <w:r w:rsidR="00B34FFF">
        <w:rPr>
          <w:szCs w:val="24"/>
          <w:lang w:val="es-ES_tradnl"/>
        </w:rPr>
        <w:t>%</w:t>
      </w:r>
      <w:r w:rsidRPr="00CB6BB3">
        <w:rPr>
          <w:szCs w:val="24"/>
          <w:lang w:val="es-ES_tradnl"/>
        </w:rPr>
        <w:t xml:space="preserve"> de mujeres en la composición de todos los órganos universitarios, como la Oficina del Vicepresidente, el Consejo Universitario, la Junta y las Comisiones de Nombramiento y Habilitación</w:t>
      </w:r>
      <w:r w:rsidRPr="00CB6BB3">
        <w:rPr>
          <w:rStyle w:val="FootnoteReference"/>
          <w:szCs w:val="24"/>
          <w:lang w:val="es-ES_tradnl"/>
        </w:rPr>
        <w:footnoteReference w:id="71"/>
      </w:r>
      <w:r w:rsidRPr="00CB6BB3">
        <w:rPr>
          <w:szCs w:val="24"/>
          <w:lang w:val="es-ES_tradnl"/>
        </w:rPr>
        <w:t xml:space="preserve">. Si no se alcanza ese porcentaje, se considera que las mujeres están insuficientemente representadas, lo cual desencadena un proceso de sanción, en el que el Grupo de </w:t>
      </w:r>
      <w:r w:rsidR="00361DF4" w:rsidRPr="00CB6BB3">
        <w:rPr>
          <w:szCs w:val="24"/>
          <w:lang w:val="es-ES_tradnl"/>
        </w:rPr>
        <w:t xml:space="preserve">Trabajo </w:t>
      </w:r>
      <w:r w:rsidRPr="00CB6BB3">
        <w:rPr>
          <w:szCs w:val="24"/>
          <w:lang w:val="es-ES_tradnl"/>
        </w:rPr>
        <w:t xml:space="preserve">sobre igualdad de trato desempeña un papel fundamental. Si durante un determinado período de tiempo, la composición de un órgano es inadecuada, el Grupo de </w:t>
      </w:r>
      <w:r w:rsidR="00361DF4" w:rsidRPr="00CB6BB3">
        <w:rPr>
          <w:szCs w:val="24"/>
          <w:lang w:val="es-ES_tradnl"/>
        </w:rPr>
        <w:t xml:space="preserve">Trabajo </w:t>
      </w:r>
      <w:r w:rsidRPr="00CB6BB3">
        <w:rPr>
          <w:szCs w:val="24"/>
          <w:lang w:val="es-ES_tradnl"/>
        </w:rPr>
        <w:t xml:space="preserve">puede oponer un recurso ante la Comisión de </w:t>
      </w:r>
      <w:r w:rsidR="002771CD" w:rsidRPr="00CB6BB3">
        <w:rPr>
          <w:szCs w:val="24"/>
          <w:lang w:val="es-ES_tradnl"/>
        </w:rPr>
        <w:t>Arbitraje</w:t>
      </w:r>
      <w:r w:rsidRPr="00CB6BB3">
        <w:rPr>
          <w:szCs w:val="24"/>
          <w:lang w:val="es-ES_tradnl"/>
        </w:rPr>
        <w:t xml:space="preserve">, que deberá pronunciarse en un plazo de cuatro semanas. El órgano en cuestión queda inhabilitado si el </w:t>
      </w:r>
      <w:r w:rsidR="00361DF4" w:rsidRPr="00CB6BB3">
        <w:rPr>
          <w:szCs w:val="24"/>
          <w:lang w:val="es-ES_tradnl"/>
        </w:rPr>
        <w:t xml:space="preserve">Grupo </w:t>
      </w:r>
      <w:r w:rsidRPr="00CB6BB3">
        <w:rPr>
          <w:szCs w:val="24"/>
          <w:lang w:val="es-ES_tradnl"/>
        </w:rPr>
        <w:t xml:space="preserve">de </w:t>
      </w:r>
      <w:r w:rsidR="00361DF4" w:rsidRPr="00CB6BB3">
        <w:rPr>
          <w:szCs w:val="24"/>
          <w:lang w:val="es-ES_tradnl"/>
        </w:rPr>
        <w:t xml:space="preserve">Trabajo </w:t>
      </w:r>
      <w:r w:rsidRPr="00CB6BB3">
        <w:rPr>
          <w:szCs w:val="24"/>
          <w:lang w:val="es-ES_tradnl"/>
        </w:rPr>
        <w:t>presenta un recurso en su contra. Así pues, el Grupo cuenta con una herramienta muy eficaz de promoción de la mujer. Si no es posible alcanzar un número suficiente de mujeres calificadas porque lisa y llanamente no hay un número suficiente de mujeres calificadas, el recurso de composición inadecuada podrá desestimarse. La experiencia adquirida hasta la fecha ha demostrado que los grupos de trabajo han ejercido sus facultades de manera responsable. También ha demostrado que los recursos presentados ante los órganos pertinentes han permitido la efectividad del cupo mínimo de un 40</w:t>
      </w:r>
      <w:r w:rsidR="00B34FFF">
        <w:rPr>
          <w:szCs w:val="24"/>
          <w:lang w:val="es-ES_tradnl"/>
        </w:rPr>
        <w:t>%</w:t>
      </w:r>
      <w:r w:rsidRPr="00CB6BB3">
        <w:rPr>
          <w:szCs w:val="24"/>
          <w:lang w:val="es-ES_tradnl"/>
        </w:rPr>
        <w:t xml:space="preserve"> de miembros mujeres. Junto con la Ley de enmienda de la ley universitaria de 2009, se crearon indicadores de género que deberán tenerse en cuenta para los informes anuales de las universidades, denominados </w:t>
      </w:r>
      <w:r w:rsidR="00C70626">
        <w:rPr>
          <w:szCs w:val="24"/>
          <w:lang w:val="es-ES_tradnl"/>
        </w:rPr>
        <w:t>"</w:t>
      </w:r>
      <w:r w:rsidRPr="00CB6BB3">
        <w:rPr>
          <w:szCs w:val="24"/>
          <w:lang w:val="es-ES_tradnl"/>
        </w:rPr>
        <w:t>evaluaciones de los conocimientos</w:t>
      </w:r>
      <w:r w:rsidR="00C70626">
        <w:rPr>
          <w:szCs w:val="24"/>
          <w:lang w:val="es-ES_tradnl"/>
        </w:rPr>
        <w:t>"</w:t>
      </w:r>
      <w:r w:rsidRPr="00CB6BB3">
        <w:rPr>
          <w:szCs w:val="24"/>
          <w:lang w:val="es-ES_tradnl"/>
        </w:rPr>
        <w:t>. Asimismo, la protección contra la discriminación por razones de origen étnico, ideología o religión, edad u orientación sexual ha quedado consagrada en la Ley universitaria</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128.</w:t>
      </w:r>
      <w:r w:rsidRPr="00CB6BB3">
        <w:rPr>
          <w:szCs w:val="24"/>
          <w:lang w:val="es-ES_tradnl"/>
        </w:rPr>
        <w:tab/>
        <w:t>La enmienda de la Ley</w:t>
      </w:r>
      <w:r w:rsidR="00927B6C" w:rsidRPr="00CB6BB3">
        <w:rPr>
          <w:szCs w:val="24"/>
          <w:lang w:val="es-ES_tradnl"/>
        </w:rPr>
        <w:t xml:space="preserve"> federal d</w:t>
      </w:r>
      <w:r w:rsidRPr="00CB6BB3">
        <w:rPr>
          <w:szCs w:val="24"/>
          <w:lang w:val="es-ES_tradnl"/>
        </w:rPr>
        <w:t>e regulación de la radio</w:t>
      </w:r>
      <w:r w:rsidR="00F47CB0">
        <w:rPr>
          <w:szCs w:val="24"/>
          <w:lang w:val="es-ES_tradnl"/>
        </w:rPr>
        <w:t xml:space="preserve"> y la televisión austríacas (la </w:t>
      </w:r>
      <w:r w:rsidRPr="00CB6BB3">
        <w:rPr>
          <w:szCs w:val="24"/>
          <w:lang w:val="es-ES_tradnl"/>
        </w:rPr>
        <w:t>Ley ORF) obligó a la Corporación de Radio y Televisión, en virtud del Plan de equidad, a dar preferencia a las mujeres que tuvieran las mismas calificaciones que los postulantes de sexo masculino hasta que se lograra una proporción del 45</w:t>
      </w:r>
      <w:r w:rsidR="00B34FFF">
        <w:rPr>
          <w:szCs w:val="24"/>
          <w:lang w:val="es-ES_tradnl"/>
        </w:rPr>
        <w:t>%</w:t>
      </w:r>
      <w:r w:rsidRPr="00CB6BB3">
        <w:rPr>
          <w:szCs w:val="24"/>
          <w:lang w:val="es-ES_tradnl"/>
        </w:rPr>
        <w:t xml:space="preserve"> de mujeres en todas las funciones. Esta obligación concierne a la contratación, la promoción, la capacitación y la formación permanente. Se encuentra en proceso de formación una Comisión de </w:t>
      </w:r>
      <w:r w:rsidR="002771CD" w:rsidRPr="00CB6BB3">
        <w:rPr>
          <w:szCs w:val="24"/>
          <w:lang w:val="es-ES_tradnl"/>
        </w:rPr>
        <w:t xml:space="preserve">Igualdad </w:t>
      </w:r>
      <w:r w:rsidRPr="00CB6BB3">
        <w:rPr>
          <w:szCs w:val="24"/>
          <w:lang w:val="es-ES_tradnl"/>
        </w:rPr>
        <w:t xml:space="preserve">de </w:t>
      </w:r>
      <w:r w:rsidR="002771CD" w:rsidRPr="00CB6BB3">
        <w:rPr>
          <w:szCs w:val="24"/>
          <w:lang w:val="es-ES_tradnl"/>
        </w:rPr>
        <w:t>Trato</w:t>
      </w:r>
      <w:r w:rsidRPr="00CB6BB3">
        <w:rPr>
          <w:szCs w:val="24"/>
          <w:lang w:val="es-ES_tradnl"/>
        </w:rPr>
        <w:t>, para la que designarán funcionarios de igualdad</w:t>
      </w:r>
      <w:r w:rsidRPr="00CB6BB3">
        <w:rPr>
          <w:rStyle w:val="FootnoteReference"/>
          <w:szCs w:val="24"/>
          <w:lang w:val="es-ES_tradnl"/>
        </w:rPr>
        <w:footnoteReference w:id="72"/>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129.</w:t>
      </w:r>
      <w:r w:rsidRPr="00CB6BB3">
        <w:rPr>
          <w:szCs w:val="24"/>
          <w:lang w:val="es-ES_tradnl"/>
        </w:rPr>
        <w:tab/>
        <w:t>Ejemplos de las provincias federales. En Baja Austria, los programas para el adelanto de la mujer del Gobierno de la provincia federal y las comunidades locales se revisan cada dos años, a fin de mejorar su eficacia. El primer informe de evaluación de enero de 2009 reveló un leve incremento general del porcentaje de mujeres</w:t>
      </w:r>
      <w:r w:rsidR="006740CB" w:rsidRPr="00CB6BB3">
        <w:rPr>
          <w:lang w:val="es-ES_tradnl"/>
        </w:rPr>
        <w:t>.</w:t>
      </w:r>
    </w:p>
    <w:p w:rsidR="00F82234" w:rsidRPr="00CB6BB3" w:rsidRDefault="00F82234" w:rsidP="00C21E04">
      <w:pPr>
        <w:pStyle w:val="SingleTxtG"/>
        <w:rPr>
          <w:lang w:val="es-ES_tradnl"/>
        </w:rPr>
      </w:pPr>
      <w:r w:rsidRPr="00CB6BB3">
        <w:rPr>
          <w:lang w:val="es-ES_tradnl"/>
        </w:rPr>
        <w:t>130.</w:t>
      </w:r>
      <w:r w:rsidRPr="00CB6BB3">
        <w:rPr>
          <w:lang w:val="es-ES_tradnl"/>
        </w:rPr>
        <w:tab/>
        <w:t>En Vorarlberg, el plan marco para el período 2009-2014 constituye la base para la adopción de medidas encaminadas a lograr la igualdad de oportunidades en la administración pública de esta provincia federal. En 2009, el Gobierno adoptó el Plan de acción regional para la igualdad entre hombres y mujeres en Vorarlberg (2010 a 2013): llegó a un acuerdo con 24 instituciones (interlocutores sociales, instituciones educativas, la junta de educación de la provincia federal, etc.) sobre una serie de medidas para promover la igualdad en cuatro ámbitos (1. la educación, 2. el empleo remunerado, los ingresos y la situación social, 3. la participación política, 4. el trabajo doméstico y el cuidado de niños), que están siendo aplicadas en la actualidad.</w:t>
      </w:r>
    </w:p>
    <w:p w:rsidR="00F82234" w:rsidRPr="00CB6BB3" w:rsidRDefault="00F82234" w:rsidP="00C21E04">
      <w:pPr>
        <w:pStyle w:val="H1G"/>
        <w:rPr>
          <w:lang w:val="es-ES_tradnl"/>
        </w:rPr>
      </w:pPr>
      <w:r w:rsidRPr="00CB6BB3">
        <w:rPr>
          <w:lang w:val="es-ES_tradnl"/>
        </w:rPr>
        <w:tab/>
      </w:r>
      <w:r w:rsidRPr="00CB6BB3">
        <w:rPr>
          <w:lang w:val="es-ES_tradnl"/>
        </w:rPr>
        <w:tab/>
        <w:t>Artículo 5</w:t>
      </w:r>
    </w:p>
    <w:p w:rsidR="006740CB" w:rsidRPr="00CB6BB3" w:rsidRDefault="00F82234" w:rsidP="006740CB">
      <w:pPr>
        <w:pStyle w:val="SingleTxtG"/>
        <w:rPr>
          <w:lang w:val="es-ES_tradnl"/>
        </w:rPr>
      </w:pPr>
      <w:r w:rsidRPr="00CB6BB3">
        <w:rPr>
          <w:szCs w:val="24"/>
          <w:lang w:val="es-ES_tradnl"/>
        </w:rPr>
        <w:t>131.</w:t>
      </w:r>
      <w:r w:rsidRPr="00CB6BB3">
        <w:rPr>
          <w:szCs w:val="24"/>
          <w:lang w:val="es-ES_tradnl"/>
        </w:rPr>
        <w:tab/>
        <w:t>En lo atinente al cambio de los patrones de comportamiento, cabe remitirse a la respuesta</w:t>
      </w:r>
      <w:r w:rsidR="00927B6C" w:rsidRPr="00CB6BB3">
        <w:rPr>
          <w:szCs w:val="24"/>
          <w:lang w:val="es-ES_tradnl"/>
        </w:rPr>
        <w:t xml:space="preserve"> a las recomendaciones</w:t>
      </w:r>
      <w:r w:rsidRPr="00CB6BB3">
        <w:rPr>
          <w:szCs w:val="24"/>
          <w:lang w:val="es-ES_tradnl"/>
        </w:rPr>
        <w:t xml:space="preserve"> de los párrafos 17 y 18, así como a la sección referente al </w:t>
      </w:r>
      <w:r w:rsidR="00045553" w:rsidRPr="00CB6BB3">
        <w:rPr>
          <w:szCs w:val="24"/>
          <w:lang w:val="es-ES_tradnl"/>
        </w:rPr>
        <w:t xml:space="preserve">artículo </w:t>
      </w:r>
      <w:r w:rsidRPr="00CB6BB3">
        <w:rPr>
          <w:szCs w:val="24"/>
          <w:lang w:val="es-ES_tradnl"/>
        </w:rPr>
        <w:t xml:space="preserve">10. Se introdujo un nuevo modelo de subsidios para gastos de guardería, </w:t>
      </w:r>
      <w:r w:rsidR="00C70626">
        <w:rPr>
          <w:szCs w:val="24"/>
          <w:lang w:val="es-ES_tradnl"/>
        </w:rPr>
        <w:t>"</w:t>
      </w:r>
      <w:r w:rsidRPr="00CB6BB3">
        <w:rPr>
          <w:szCs w:val="24"/>
          <w:lang w:val="es-ES_tradnl"/>
        </w:rPr>
        <w:t>12+2</w:t>
      </w:r>
      <w:r w:rsidR="00C70626">
        <w:rPr>
          <w:szCs w:val="24"/>
          <w:lang w:val="es-ES_tradnl"/>
        </w:rPr>
        <w:t>"</w:t>
      </w:r>
      <w:r w:rsidRPr="00CB6BB3">
        <w:rPr>
          <w:szCs w:val="24"/>
          <w:lang w:val="es-ES_tradnl"/>
        </w:rPr>
        <w:t>, con objeto de dejar atrás los estereotipos de género. Al mismo tiempo, se redujo la duración mínima de la licencia parental y del trabajo a tiempo parcial de los padres de tres a dos meses (véase la respuesta a las recomendaciones que figuran en los párrafos 21 y 22)</w:t>
      </w:r>
      <w:r w:rsidR="006740CB" w:rsidRPr="00CB6BB3">
        <w:rPr>
          <w:lang w:val="es-ES_tradnl"/>
        </w:rPr>
        <w:t>.</w:t>
      </w:r>
    </w:p>
    <w:p w:rsidR="00F82234" w:rsidRPr="00CB6BB3" w:rsidRDefault="00F82234" w:rsidP="00C21E04">
      <w:pPr>
        <w:pStyle w:val="SingleTxtG"/>
        <w:rPr>
          <w:lang w:val="es-ES_tradnl"/>
        </w:rPr>
      </w:pPr>
      <w:r w:rsidRPr="00CB6BB3">
        <w:rPr>
          <w:lang w:val="es-ES_tradnl"/>
        </w:rPr>
        <w:t>132.</w:t>
      </w:r>
      <w:r w:rsidRPr="00CB6BB3">
        <w:rPr>
          <w:lang w:val="es-ES_tradnl"/>
        </w:rPr>
        <w:tab/>
        <w:t>A modo de ejemplo de las provincias federales, cabe citar el Plan de educación de Viena (2006), primer plan educativo y concepto de trabajo pedagógico aplicado a las guarderías públicas y privadas de Europa. Este plan contempla la educación sexual y de género. Se lanzaron campañas para superar los estereotipos tradicionales de género.</w:t>
      </w:r>
    </w:p>
    <w:p w:rsidR="00F82234" w:rsidRPr="00CB6BB3" w:rsidRDefault="00F82234" w:rsidP="00C21E04">
      <w:pPr>
        <w:pStyle w:val="H1G"/>
        <w:rPr>
          <w:lang w:val="es-ES_tradnl"/>
        </w:rPr>
      </w:pPr>
      <w:r w:rsidRPr="00CB6BB3">
        <w:rPr>
          <w:lang w:val="es-ES_tradnl"/>
        </w:rPr>
        <w:tab/>
      </w:r>
      <w:r w:rsidRPr="00CB6BB3">
        <w:rPr>
          <w:lang w:val="es-ES_tradnl"/>
        </w:rPr>
        <w:tab/>
        <w:t>Artículo 6</w:t>
      </w:r>
      <w:r w:rsidRPr="00CB6BB3">
        <w:rPr>
          <w:lang w:val="es-ES_tradnl"/>
        </w:rPr>
        <w:br/>
        <w:t xml:space="preserve">Suprimir todas las formas de trata de mujeres y explotación de </w:t>
      </w:r>
      <w:r w:rsidR="00C21E04">
        <w:rPr>
          <w:lang w:val="es-ES_tradnl"/>
        </w:rPr>
        <w:br/>
      </w:r>
      <w:r w:rsidRPr="00CB6BB3">
        <w:rPr>
          <w:lang w:val="es-ES_tradnl"/>
        </w:rPr>
        <w:t>la prostitución de la mujer</w:t>
      </w:r>
    </w:p>
    <w:p w:rsidR="00F82234" w:rsidRPr="00CB6BB3" w:rsidRDefault="00F82234" w:rsidP="00C21E04">
      <w:pPr>
        <w:pStyle w:val="SingleTxtG"/>
        <w:rPr>
          <w:lang w:val="es-ES_tradnl"/>
        </w:rPr>
      </w:pPr>
      <w:r w:rsidRPr="00CB6BB3">
        <w:rPr>
          <w:lang w:val="es-ES_tradnl"/>
        </w:rPr>
        <w:t>133.</w:t>
      </w:r>
      <w:r w:rsidRPr="00CB6BB3">
        <w:rPr>
          <w:lang w:val="es-ES_tradnl"/>
        </w:rPr>
        <w:tab/>
        <w:t>Véase la respuesta a las recomendaciones en los párrafos 25 y 26.</w:t>
      </w:r>
    </w:p>
    <w:p w:rsidR="00F82234" w:rsidRPr="00CB6BB3" w:rsidRDefault="00F82234" w:rsidP="00C21E04">
      <w:pPr>
        <w:pStyle w:val="H1G"/>
        <w:rPr>
          <w:lang w:val="es-ES_tradnl"/>
        </w:rPr>
      </w:pPr>
      <w:r w:rsidRPr="00CB6BB3">
        <w:rPr>
          <w:lang w:val="es-ES_tradnl"/>
        </w:rPr>
        <w:tab/>
      </w:r>
      <w:r w:rsidRPr="00CB6BB3">
        <w:rPr>
          <w:lang w:val="es-ES_tradnl"/>
        </w:rPr>
        <w:tab/>
        <w:t>Artículo 7</w:t>
      </w:r>
      <w:r w:rsidRPr="00CB6BB3">
        <w:rPr>
          <w:lang w:val="es-ES_tradnl"/>
        </w:rPr>
        <w:br/>
        <w:t xml:space="preserve">La mujer en la vida política y pública </w:t>
      </w:r>
      <w:r w:rsidRPr="00C21E04">
        <w:rPr>
          <w:b w:val="0"/>
          <w:sz w:val="20"/>
          <w:lang w:val="es-ES_tradnl"/>
        </w:rPr>
        <w:t xml:space="preserve">(véase la respuesta a las </w:t>
      </w:r>
      <w:r w:rsidR="00C21E04">
        <w:rPr>
          <w:b w:val="0"/>
          <w:sz w:val="20"/>
          <w:lang w:val="es-ES_tradnl"/>
        </w:rPr>
        <w:br/>
      </w:r>
      <w:r w:rsidRPr="00C21E04">
        <w:rPr>
          <w:b w:val="0"/>
          <w:sz w:val="20"/>
          <w:lang w:val="es-ES_tradnl"/>
        </w:rPr>
        <w:t>recomenda</w:t>
      </w:r>
      <w:r w:rsidR="00C21E04" w:rsidRPr="00C21E04">
        <w:rPr>
          <w:b w:val="0"/>
          <w:sz w:val="20"/>
          <w:lang w:val="es-ES_tradnl"/>
        </w:rPr>
        <w:t>ciones en los párrafos 27 y 28)</w:t>
      </w:r>
    </w:p>
    <w:p w:rsidR="00F82234" w:rsidRPr="00CB6BB3" w:rsidRDefault="00F82234" w:rsidP="00C21E04">
      <w:pPr>
        <w:pStyle w:val="SingleTxtG"/>
        <w:rPr>
          <w:lang w:val="es-ES_tradnl"/>
        </w:rPr>
      </w:pPr>
      <w:r w:rsidRPr="00CB6BB3">
        <w:rPr>
          <w:lang w:val="es-ES_tradnl"/>
        </w:rPr>
        <w:t>134.</w:t>
      </w:r>
      <w:r w:rsidRPr="00CB6BB3">
        <w:rPr>
          <w:lang w:val="es-ES_tradnl"/>
        </w:rPr>
        <w:tab/>
        <w:t>Provincias federales. Con respecto a la proporción de mujeres en el cargo público de alcalde, se han registrado muy pocos cambios. De las 2.357 comunidades locales, a mayo de 2010, sólo 120 tenían una alcaldesa. Así pues, el porcentaje de mujeres sólo registró un leve aumento, alcanzando el 5,1</w:t>
      </w:r>
      <w:r w:rsidR="00B34FFF">
        <w:rPr>
          <w:lang w:val="es-ES_tradnl"/>
        </w:rPr>
        <w:t>%</w:t>
      </w:r>
      <w:r w:rsidRPr="00CB6BB3">
        <w:rPr>
          <w:lang w:val="es-ES_tradnl"/>
        </w:rPr>
        <w:t>. Baja Austria cuenta con el número más elevado de mujeres en cargos directivos en comunidades locales: 43 alcaldesas en funciones, lo cual representa un 7,5</w:t>
      </w:r>
      <w:r w:rsidR="00B34FFF">
        <w:rPr>
          <w:lang w:val="es-ES_tradnl"/>
        </w:rPr>
        <w:t>%</w:t>
      </w:r>
      <w:r w:rsidRPr="00CB6BB3">
        <w:rPr>
          <w:lang w:val="es-ES_tradnl"/>
        </w:rPr>
        <w:t xml:space="preserve"> del total de alcaldes. Alta Austria está en segundo lugar con un 6,3</w:t>
      </w:r>
      <w:r w:rsidR="00B34FFF">
        <w:rPr>
          <w:lang w:val="es-ES_tradnl"/>
        </w:rPr>
        <w:t>%</w:t>
      </w:r>
      <w:r w:rsidRPr="00CB6BB3">
        <w:rPr>
          <w:lang w:val="es-ES_tradnl"/>
        </w:rPr>
        <w:t xml:space="preserve"> de alcaldesas.</w:t>
      </w:r>
    </w:p>
    <w:p w:rsidR="00F82234" w:rsidRPr="00CB6BB3" w:rsidRDefault="00F82234" w:rsidP="00C21E04">
      <w:pPr>
        <w:pStyle w:val="H1G"/>
        <w:rPr>
          <w:lang w:val="es-ES_tradnl"/>
        </w:rPr>
      </w:pPr>
      <w:r w:rsidRPr="00CB6BB3">
        <w:rPr>
          <w:lang w:val="es-ES_tradnl"/>
        </w:rPr>
        <w:tab/>
      </w:r>
      <w:r w:rsidRPr="00CB6BB3">
        <w:rPr>
          <w:lang w:val="es-ES_tradnl"/>
        </w:rPr>
        <w:tab/>
        <w:t>Artículo 8</w:t>
      </w:r>
      <w:r w:rsidRPr="00CB6BB3">
        <w:rPr>
          <w:lang w:val="es-ES_tradnl"/>
        </w:rPr>
        <w:br/>
        <w:t>La mujer en el ámbito internacional</w:t>
      </w:r>
    </w:p>
    <w:p w:rsidR="006740CB" w:rsidRPr="00CB6BB3" w:rsidRDefault="00F82234" w:rsidP="00C21E04">
      <w:pPr>
        <w:pStyle w:val="SingleTxtG"/>
        <w:rPr>
          <w:lang w:val="es-ES_tradnl"/>
        </w:rPr>
      </w:pPr>
      <w:r w:rsidRPr="00CB6BB3">
        <w:rPr>
          <w:lang w:val="es-ES_tradnl"/>
        </w:rPr>
        <w:t>135.</w:t>
      </w:r>
      <w:r w:rsidRPr="00CB6BB3">
        <w:rPr>
          <w:lang w:val="es-ES_tradnl"/>
        </w:rPr>
        <w:tab/>
        <w:t>Las mujeres continúan estando infrarrepresentadas en cargos del servicio exterior a nivel internacional. Al 31 de diciembre de 2010, de los 242 cargos de liderazgo en el servicio exterior austríaco en el país y en el extranjero, sólo 64 (26,4</w:t>
      </w:r>
      <w:r w:rsidR="00B34FFF">
        <w:rPr>
          <w:lang w:val="es-ES_tradnl"/>
        </w:rPr>
        <w:t>%</w:t>
      </w:r>
      <w:r w:rsidRPr="00CB6BB3">
        <w:rPr>
          <w:lang w:val="es-ES_tradnl"/>
        </w:rPr>
        <w:t>) estaban ocupados por mujeres. En todas las categorías de servicio, las mujeres representaban una proporción equivalente al 48,5</w:t>
      </w:r>
      <w:r w:rsidR="00B34FFF">
        <w:rPr>
          <w:lang w:val="es-ES_tradnl"/>
        </w:rPr>
        <w:t>%</w:t>
      </w:r>
      <w:r w:rsidRPr="00CB6BB3">
        <w:rPr>
          <w:lang w:val="es-ES_tradnl"/>
        </w:rPr>
        <w:t>, por lo que se superaba el cupo del 45</w:t>
      </w:r>
      <w:r w:rsidR="00B34FFF">
        <w:rPr>
          <w:lang w:val="es-ES_tradnl"/>
        </w:rPr>
        <w:t>%</w:t>
      </w:r>
      <w:r w:rsidRPr="00CB6BB3">
        <w:rPr>
          <w:lang w:val="es-ES_tradnl"/>
        </w:rPr>
        <w:t>. Las mujeres ocupaban un 33,3</w:t>
      </w:r>
      <w:r w:rsidR="00B34FFF">
        <w:rPr>
          <w:lang w:val="es-ES_tradnl"/>
        </w:rPr>
        <w:t>%</w:t>
      </w:r>
      <w:r w:rsidRPr="00CB6BB3">
        <w:rPr>
          <w:lang w:val="es-ES_tradnl"/>
        </w:rPr>
        <w:t xml:space="preserve"> de los cargos de nivel superior. Se está haciendo especial hincapié en animar a las mujeres a presentarse a cargos de liderazgo. Se están tomando medidas especiales para aumentar el porcentaje de mujeres (tomando en consideración la situación familiar, cuestiones relativas a la asistencia de los hijos a la escuela, oportunidades de trabajo para el cónyuge o la pareja en caso de ser trasladadas a otras localidades, etc.). El Plan de acción nacional adoptado en respuesta a la </w:t>
      </w:r>
      <w:r w:rsidR="00C21E04" w:rsidRPr="00CB6BB3">
        <w:rPr>
          <w:lang w:val="es-ES_tradnl"/>
        </w:rPr>
        <w:t xml:space="preserve">resolución </w:t>
      </w:r>
      <w:r w:rsidRPr="00CB6BB3">
        <w:rPr>
          <w:lang w:val="es-ES_tradnl"/>
        </w:rPr>
        <w:t xml:space="preserve">1325 del Consejo de Seguridad de las Naciones Unidas tiene por objeto, entre otras cosas, elevar el porcentaje de mujeres en los procesos de resolución de conflictos y de consolidación de la paz (véanse los comentarios al </w:t>
      </w:r>
      <w:r w:rsidR="00045553" w:rsidRPr="00CB6BB3">
        <w:rPr>
          <w:lang w:val="es-ES_tradnl"/>
        </w:rPr>
        <w:t>artículo</w:t>
      </w:r>
      <w:r w:rsidRPr="00CB6BB3">
        <w:rPr>
          <w:lang w:val="es-ES_tradnl"/>
        </w:rPr>
        <w:t xml:space="preserve"> 3)</w:t>
      </w:r>
      <w:r w:rsidR="006740CB" w:rsidRPr="00CB6BB3">
        <w:rPr>
          <w:lang w:val="es-ES_tradnl"/>
        </w:rPr>
        <w:t>.</w:t>
      </w:r>
    </w:p>
    <w:p w:rsidR="00F82234" w:rsidRPr="00CB6BB3" w:rsidRDefault="00F82234" w:rsidP="00C21E04">
      <w:pPr>
        <w:pStyle w:val="SingleTxtG"/>
        <w:rPr>
          <w:lang w:val="es-ES_tradnl"/>
        </w:rPr>
      </w:pPr>
      <w:r w:rsidRPr="00CB6BB3">
        <w:rPr>
          <w:lang w:val="es-ES_tradnl"/>
        </w:rPr>
        <w:t>136.</w:t>
      </w:r>
      <w:r w:rsidRPr="00CB6BB3">
        <w:rPr>
          <w:lang w:val="es-ES_tradnl"/>
        </w:rPr>
        <w:tab/>
        <w:t>Deportes internacionales. Austria auspició la Séptima Conferencia Europea sobre Mujer y Deporte, celebrada en Viena, Hofburg (castillo imperial) los días 24 y 25 de marzo de 2006. La fecha coincidió con el final de la presidencia austríaca del grupo de trabajo internacional Red europea sobre la mujer y el deporte. Para que la conferencia tuviera un efecto sostenible, las federaciones nacionales definieron áreas prioritarias específicas.</w:t>
      </w:r>
    </w:p>
    <w:p w:rsidR="00F82234" w:rsidRPr="00CB6BB3" w:rsidRDefault="00F82234" w:rsidP="00C21E04">
      <w:pPr>
        <w:pStyle w:val="H1G"/>
        <w:rPr>
          <w:lang w:val="es-ES_tradnl"/>
        </w:rPr>
      </w:pPr>
      <w:r w:rsidRPr="00CB6BB3">
        <w:rPr>
          <w:lang w:val="es-ES_tradnl"/>
        </w:rPr>
        <w:tab/>
      </w:r>
      <w:r w:rsidRPr="00CB6BB3">
        <w:rPr>
          <w:lang w:val="es-ES_tradnl"/>
        </w:rPr>
        <w:tab/>
        <w:t>Artículo 10</w:t>
      </w:r>
      <w:r w:rsidRPr="00CB6BB3">
        <w:rPr>
          <w:lang w:val="es-ES_tradnl"/>
        </w:rPr>
        <w:br/>
        <w:t>Política educativa e igualdad entre hombres y mujeres</w:t>
      </w:r>
    </w:p>
    <w:p w:rsidR="006740CB" w:rsidRPr="00CB6BB3" w:rsidRDefault="00F82234" w:rsidP="006740CB">
      <w:pPr>
        <w:pStyle w:val="SingleTxtG"/>
        <w:rPr>
          <w:lang w:val="es-ES_tradnl"/>
        </w:rPr>
      </w:pPr>
      <w:r w:rsidRPr="00CB6BB3">
        <w:rPr>
          <w:szCs w:val="24"/>
          <w:lang w:val="es-ES_tradnl"/>
        </w:rPr>
        <w:t>137.</w:t>
      </w:r>
      <w:r w:rsidRPr="00CB6BB3">
        <w:rPr>
          <w:szCs w:val="24"/>
          <w:lang w:val="es-ES_tradnl"/>
        </w:rPr>
        <w:tab/>
        <w:t>Véase también la respuesta a las recomendaciones de los párrafos 17 a 20, en particular el Plan de Acción Nacional por la Igualdad de Género en el Mercado de Trabajo</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138.</w:t>
      </w:r>
      <w:r w:rsidRPr="00CB6BB3">
        <w:rPr>
          <w:szCs w:val="24"/>
          <w:lang w:val="es-ES_tradnl"/>
        </w:rPr>
        <w:tab/>
        <w:t>El nivel educativo de la población de un país es un indicador de su estructura de calificaciones, y demuestra, en particular, la medida en que el objetivo de igualdad de oportunidades para hombres y mujeres ha sido alcanzado en el ámbito de la educación. Tal como revela el informe nacional sobre educación (2009)</w:t>
      </w:r>
      <w:r w:rsidRPr="00CB6BB3">
        <w:rPr>
          <w:rStyle w:val="FootnoteReference"/>
          <w:szCs w:val="24"/>
          <w:lang w:val="es-ES_tradnl"/>
        </w:rPr>
        <w:footnoteReference w:id="73"/>
      </w:r>
      <w:r w:rsidRPr="00CB6BB3">
        <w:rPr>
          <w:szCs w:val="24"/>
          <w:lang w:val="es-ES_tradnl"/>
        </w:rPr>
        <w:t>, y como se confirma en el actual informe sobre la situación de la mujer (2010)</w:t>
      </w:r>
      <w:r w:rsidRPr="00CB6BB3">
        <w:rPr>
          <w:rStyle w:val="FootnoteReference"/>
          <w:szCs w:val="24"/>
          <w:lang w:val="es-ES_tradnl"/>
        </w:rPr>
        <w:footnoteReference w:id="74"/>
      </w:r>
      <w:r w:rsidRPr="00CB6BB3">
        <w:rPr>
          <w:szCs w:val="24"/>
          <w:lang w:val="es-ES_tradnl"/>
        </w:rPr>
        <w:t>, las mujeres fueron las principales beneficiarias de la expansión de la oferta educativa durante las últimas décadas. Sin embargo, la proporción de personas que completaron su educación obligatoria pero que no siguieron estudios superiores sigue siendo más elevada para las mujeres (22,3</w:t>
      </w:r>
      <w:r w:rsidR="00B34FFF">
        <w:rPr>
          <w:szCs w:val="24"/>
          <w:lang w:val="es-ES_tradnl"/>
        </w:rPr>
        <w:t>%</w:t>
      </w:r>
      <w:r w:rsidRPr="00CB6BB3">
        <w:rPr>
          <w:szCs w:val="24"/>
          <w:lang w:val="es-ES_tradnl"/>
        </w:rPr>
        <w:t>) que para los hombres (12,5</w:t>
      </w:r>
      <w:r w:rsidR="00C21E04">
        <w:rPr>
          <w:szCs w:val="24"/>
          <w:lang w:val="es-ES_tradnl"/>
        </w:rPr>
        <w:t>%</w:t>
      </w:r>
      <w:r w:rsidRPr="00CB6BB3">
        <w:rPr>
          <w:szCs w:val="24"/>
          <w:lang w:val="es-ES_tradnl"/>
        </w:rPr>
        <w:t>). No obstante, este porcentaje es inferior en mujeres jóvenes que en mujeres de más edad. En el grupo de edad de 25 a 34 años, el 24,3</w:t>
      </w:r>
      <w:r w:rsidR="00B34FFF">
        <w:rPr>
          <w:szCs w:val="24"/>
          <w:lang w:val="es-ES_tradnl"/>
        </w:rPr>
        <w:t>%</w:t>
      </w:r>
      <w:r w:rsidRPr="00CB6BB3">
        <w:rPr>
          <w:szCs w:val="24"/>
          <w:lang w:val="es-ES_tradnl"/>
        </w:rPr>
        <w:t xml:space="preserve"> de las mujeres aprobaron el examen de fin de estudios de nivel secundario (calificación que habilita al ingreso a la universidad), en comparación con apenas un 20,4</w:t>
      </w:r>
      <w:r w:rsidR="00B34FFF">
        <w:rPr>
          <w:szCs w:val="24"/>
          <w:lang w:val="es-ES_tradnl"/>
        </w:rPr>
        <w:t>%</w:t>
      </w:r>
      <w:r w:rsidRPr="00CB6BB3">
        <w:rPr>
          <w:szCs w:val="24"/>
          <w:lang w:val="es-ES_tradnl"/>
        </w:rPr>
        <w:t xml:space="preserve"> de hombres. Un 18,5</w:t>
      </w:r>
      <w:r w:rsidR="00B34FFF">
        <w:rPr>
          <w:szCs w:val="24"/>
          <w:lang w:val="es-ES_tradnl"/>
        </w:rPr>
        <w:t>%</w:t>
      </w:r>
      <w:r w:rsidRPr="00CB6BB3">
        <w:rPr>
          <w:szCs w:val="24"/>
          <w:lang w:val="es-ES_tradnl"/>
        </w:rPr>
        <w:t xml:space="preserve"> de mujeres obtuvieron un título universitario, mientras que la pr</w:t>
      </w:r>
      <w:r w:rsidR="00927B6C" w:rsidRPr="00CB6BB3">
        <w:rPr>
          <w:szCs w:val="24"/>
          <w:lang w:val="es-ES_tradnl"/>
        </w:rPr>
        <w:t>oporción de hombres sólo alcanzó</w:t>
      </w:r>
      <w:r w:rsidRPr="00CB6BB3">
        <w:rPr>
          <w:szCs w:val="24"/>
          <w:lang w:val="es-ES_tradnl"/>
        </w:rPr>
        <w:t xml:space="preserve"> un 13,8</w:t>
      </w:r>
      <w:r w:rsidR="00B34FFF">
        <w:rPr>
          <w:szCs w:val="24"/>
          <w:lang w:val="es-ES_tradnl"/>
        </w:rPr>
        <w:t>%</w:t>
      </w:r>
      <w:r w:rsidRPr="00CB6BB3">
        <w:rPr>
          <w:szCs w:val="24"/>
          <w:lang w:val="es-ES_tradnl"/>
        </w:rPr>
        <w:t>. Los antecedentes educativos de las personas de origen inmigrante son sumamente heterogéneos. Casi un 50</w:t>
      </w:r>
      <w:r w:rsidR="00B34FFF">
        <w:rPr>
          <w:szCs w:val="24"/>
          <w:lang w:val="es-ES_tradnl"/>
        </w:rPr>
        <w:t>%</w:t>
      </w:r>
      <w:r w:rsidRPr="00CB6BB3">
        <w:rPr>
          <w:szCs w:val="24"/>
          <w:lang w:val="es-ES_tradnl"/>
        </w:rPr>
        <w:t xml:space="preserve"> de los inmigrantes de países de origen tradicionales no han cursado más estudios tras la escolarización obligatoria</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139.</w:t>
      </w:r>
      <w:r w:rsidRPr="00CB6BB3">
        <w:rPr>
          <w:szCs w:val="24"/>
          <w:lang w:val="es-ES_tradnl"/>
        </w:rPr>
        <w:tab/>
        <w:t xml:space="preserve">La mayoría de los estudiantes de escuelas secundarias son niñas. Los varones están excesivamente representados en escuelas para niños con necesidades especiales, cursos de enseñanza preprofesional, y escuelas secundarias de primer ciclo. La formación de aprendices siempre ha estado orientada a los varones, y continúa estándolo. Sólo alrededor de un tercio del número total de aprendices son de sexo femenino, y se concentran fundamentalmente en unos pocos oficios. Esta concentración es aún más pronunciada en </w:t>
      </w:r>
      <w:r w:rsidR="00B56C5E" w:rsidRPr="00CB6BB3">
        <w:rPr>
          <w:szCs w:val="24"/>
          <w:lang w:val="es-ES_tradnl"/>
        </w:rPr>
        <w:t>jovencitas</w:t>
      </w:r>
      <w:r w:rsidRPr="00CB6BB3">
        <w:rPr>
          <w:szCs w:val="24"/>
          <w:lang w:val="es-ES_tradnl"/>
        </w:rPr>
        <w:t xml:space="preserve"> de otras nacionalidades. Con respecto a la formación profesional superior, tres cuartos de las estudiantes asisten a escuelas de comercio o escuelas que preparan para el trabajo en el sector comercial, y un 70</w:t>
      </w:r>
      <w:r w:rsidR="00B34FFF">
        <w:rPr>
          <w:szCs w:val="24"/>
          <w:lang w:val="es-ES_tradnl"/>
        </w:rPr>
        <w:t>%</w:t>
      </w:r>
      <w:r w:rsidRPr="00CB6BB3">
        <w:rPr>
          <w:szCs w:val="24"/>
          <w:lang w:val="es-ES_tradnl"/>
        </w:rPr>
        <w:t xml:space="preserve"> de los alumnos hombres están inscriptos en institutos superiores de comercio o ingeniería. Son pocos los varones que se capacitan como maestros de jardín de infantes. Este enfoque sesgado con respecto a la elección de una ocupación o profesión se observa principalmente en las mujeres jóvenes, aunque también, en menor medida, en los hombres jóvenes</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140.</w:t>
      </w:r>
      <w:r w:rsidRPr="00CB6BB3">
        <w:rPr>
          <w:szCs w:val="24"/>
          <w:lang w:val="es-ES_tradnl"/>
        </w:rPr>
        <w:tab/>
        <w:t>En promedio, las niñas obtienen mejores resultados académicos que los varones, incluso en las escuelas donde son minoría (por ejemplo, en los institutos técnicos superiores). La tasa de abandono escolar es más alta en las niñas que en los niños de origen inmigrante. El 68,7</w:t>
      </w:r>
      <w:r w:rsidR="00B34FFF">
        <w:rPr>
          <w:szCs w:val="24"/>
          <w:lang w:val="es-ES_tradnl"/>
        </w:rPr>
        <w:t>%</w:t>
      </w:r>
      <w:r w:rsidRPr="00CB6BB3">
        <w:rPr>
          <w:szCs w:val="24"/>
          <w:lang w:val="es-ES_tradnl"/>
        </w:rPr>
        <w:t xml:space="preserve"> de los profesores son mujeres. En el año lectivo 2008/2009, un 25,1</w:t>
      </w:r>
      <w:r w:rsidR="00B34FFF">
        <w:rPr>
          <w:szCs w:val="24"/>
          <w:lang w:val="es-ES_tradnl"/>
        </w:rPr>
        <w:t>%</w:t>
      </w:r>
      <w:r w:rsidRPr="00CB6BB3">
        <w:rPr>
          <w:szCs w:val="24"/>
          <w:lang w:val="es-ES_tradnl"/>
        </w:rPr>
        <w:t xml:space="preserve"> de los directores de escuelas secundarias eran mujeres, en comparación con un 31,4</w:t>
      </w:r>
      <w:r w:rsidR="00B34FFF">
        <w:rPr>
          <w:szCs w:val="24"/>
          <w:lang w:val="es-ES_tradnl"/>
        </w:rPr>
        <w:t>%</w:t>
      </w:r>
      <w:r w:rsidRPr="00CB6BB3">
        <w:rPr>
          <w:szCs w:val="24"/>
          <w:lang w:val="es-ES_tradnl"/>
        </w:rPr>
        <w:t xml:space="preserve"> en escuelas profesionales medias y superiores. Estas cifras reflejan un leve ascenso con respecto a los porcentajes registrados entre 2000 y 2001</w:t>
      </w:r>
      <w:r w:rsidR="006740CB" w:rsidRPr="00CB6BB3">
        <w:rPr>
          <w:lang w:val="es-ES_tradnl"/>
        </w:rPr>
        <w:t>.</w:t>
      </w:r>
    </w:p>
    <w:p w:rsidR="006740CB" w:rsidRPr="00CB6BB3" w:rsidRDefault="00F82234" w:rsidP="006740CB">
      <w:pPr>
        <w:pStyle w:val="SingleTxtG"/>
        <w:rPr>
          <w:lang w:val="es-ES_tradnl"/>
        </w:rPr>
      </w:pPr>
      <w:r w:rsidRPr="00CB6BB3">
        <w:rPr>
          <w:szCs w:val="24"/>
          <w:lang w:val="es-ES_tradnl"/>
        </w:rPr>
        <w:t>141.</w:t>
      </w:r>
      <w:r w:rsidRPr="00CB6BB3">
        <w:rPr>
          <w:szCs w:val="24"/>
          <w:lang w:val="es-ES_tradnl"/>
        </w:rPr>
        <w:tab/>
      </w:r>
      <w:r w:rsidR="008D6416" w:rsidRPr="00CB6BB3">
        <w:rPr>
          <w:szCs w:val="24"/>
          <w:lang w:val="es-ES_tradnl"/>
        </w:rPr>
        <w:t>Se estima</w:t>
      </w:r>
      <w:r w:rsidR="00927B6C" w:rsidRPr="00CB6BB3">
        <w:rPr>
          <w:szCs w:val="24"/>
          <w:lang w:val="es-ES_tradnl"/>
        </w:rPr>
        <w:t xml:space="preserve"> que</w:t>
      </w:r>
      <w:r w:rsidRPr="00CB6BB3">
        <w:rPr>
          <w:szCs w:val="24"/>
          <w:lang w:val="es-ES_tradnl"/>
        </w:rPr>
        <w:t xml:space="preserve"> </w:t>
      </w:r>
      <w:r w:rsidR="008D6416" w:rsidRPr="00CB6BB3">
        <w:rPr>
          <w:szCs w:val="24"/>
          <w:lang w:val="es-ES_tradnl"/>
        </w:rPr>
        <w:t>los principales desafíos son las políticas educativas, l</w:t>
      </w:r>
      <w:r w:rsidRPr="00CB6BB3">
        <w:rPr>
          <w:szCs w:val="24"/>
          <w:lang w:val="es-ES_tradnl"/>
        </w:rPr>
        <w:t xml:space="preserve">a orientación sistemática hacia la igualdad (incorporación de la perspectiva de género) y el desarrollo de competencias en materia de género en todos los niveles del sistema educativo. Los docentes, los directores, los profesores de centros de formación docente y de instituciones de educación superior, así como los supervisores y administradores de escuelas deben adquirir y promover esta </w:t>
      </w:r>
      <w:r w:rsidR="00C70626">
        <w:rPr>
          <w:szCs w:val="24"/>
          <w:lang w:val="es-ES_tradnl"/>
        </w:rPr>
        <w:t>"</w:t>
      </w:r>
      <w:r w:rsidRPr="00CB6BB3">
        <w:rPr>
          <w:szCs w:val="24"/>
          <w:lang w:val="es-ES_tradnl"/>
        </w:rPr>
        <w:t>competencia en materia de género</w:t>
      </w:r>
      <w:r w:rsidR="00C70626">
        <w:rPr>
          <w:szCs w:val="24"/>
          <w:lang w:val="es-ES_tradnl"/>
        </w:rPr>
        <w:t>"</w:t>
      </w:r>
      <w:r w:rsidRPr="00CB6BB3">
        <w:rPr>
          <w:szCs w:val="24"/>
          <w:lang w:val="es-ES_tradnl"/>
        </w:rPr>
        <w:t xml:space="preserve">, a fin de no perpetuar (inconscientemente) estereotipos de género y restricciones en el sistema educativo. </w:t>
      </w:r>
      <w:r w:rsidR="000F3376" w:rsidRPr="00CB6BB3">
        <w:rPr>
          <w:szCs w:val="24"/>
          <w:lang w:val="es-ES_tradnl"/>
        </w:rPr>
        <w:t>A tal</w:t>
      </w:r>
      <w:r w:rsidR="00C425BE">
        <w:rPr>
          <w:szCs w:val="24"/>
          <w:lang w:val="es-ES_tradnl"/>
        </w:rPr>
        <w:t xml:space="preserve"> </w:t>
      </w:r>
      <w:r w:rsidR="000F3376" w:rsidRPr="00CB6BB3">
        <w:rPr>
          <w:szCs w:val="24"/>
          <w:lang w:val="es-ES_tradnl"/>
        </w:rPr>
        <w:t>fin, en lo</w:t>
      </w:r>
      <w:r w:rsidR="008D6416" w:rsidRPr="00CB6BB3">
        <w:rPr>
          <w:szCs w:val="24"/>
          <w:lang w:val="es-ES_tradnl"/>
        </w:rPr>
        <w:t xml:space="preserve">s últimos años se ha recurrido a </w:t>
      </w:r>
      <w:r w:rsidR="000F3376" w:rsidRPr="00CB6BB3">
        <w:rPr>
          <w:szCs w:val="24"/>
          <w:lang w:val="es-ES_tradnl"/>
        </w:rPr>
        <w:t>estrategias</w:t>
      </w:r>
      <w:r w:rsidRPr="00CB6BB3">
        <w:rPr>
          <w:szCs w:val="24"/>
          <w:lang w:val="es-ES_tradnl"/>
        </w:rPr>
        <w:t xml:space="preserve"> especiales</w:t>
      </w:r>
      <w:r w:rsidR="008D6416" w:rsidRPr="00CB6BB3">
        <w:rPr>
          <w:szCs w:val="24"/>
          <w:lang w:val="es-ES_tradnl"/>
        </w:rPr>
        <w:t>,</w:t>
      </w:r>
      <w:r w:rsidRPr="00CB6BB3">
        <w:rPr>
          <w:szCs w:val="24"/>
          <w:lang w:val="es-ES_tradnl"/>
        </w:rPr>
        <w:t xml:space="preserve"> como el nombramiento de funcionarios encargados de incorporar la perspectiva de género en la oficina central, y en las juntas escolares, </w:t>
      </w:r>
      <w:r w:rsidR="008D6416" w:rsidRPr="00CB6BB3">
        <w:rPr>
          <w:szCs w:val="24"/>
          <w:lang w:val="es-ES_tradnl"/>
        </w:rPr>
        <w:t xml:space="preserve">las </w:t>
      </w:r>
      <w:r w:rsidRPr="00CB6BB3">
        <w:rPr>
          <w:szCs w:val="24"/>
          <w:lang w:val="es-ES_tradnl"/>
        </w:rPr>
        <w:t>instituciones de formación docente, y otro tipo de escuelas de las provincias federales. Además, se han organizado talleres para el personal ejecutivo a fin de redactar planes de acción y estrategias vinculantes para la incorporación de la perspectiva de género a nivel regional</w:t>
      </w:r>
      <w:r w:rsidR="006740CB" w:rsidRPr="00CB6BB3">
        <w:rPr>
          <w:lang w:val="es-ES_tradnl"/>
        </w:rPr>
        <w:t>.</w:t>
      </w:r>
    </w:p>
    <w:p w:rsidR="00F82234" w:rsidRPr="00CB6BB3" w:rsidRDefault="00F82234" w:rsidP="00C21E04">
      <w:pPr>
        <w:pStyle w:val="SingleTxtG"/>
        <w:rPr>
          <w:lang w:val="es-ES_tradnl"/>
        </w:rPr>
      </w:pPr>
      <w:r w:rsidRPr="00CB6BB3">
        <w:rPr>
          <w:lang w:val="es-ES_tradnl"/>
        </w:rPr>
        <w:t>142.</w:t>
      </w:r>
      <w:r w:rsidRPr="00CB6BB3">
        <w:rPr>
          <w:lang w:val="es-ES_tradnl"/>
        </w:rPr>
        <w:tab/>
        <w:t xml:space="preserve">Se definió la igualdad de trato y la igualdad entre hombres y mujeres como principios fundamentales en la capacitación docente austríaca a través de la adopción de la Ley que gobierna las universidades y los institutos universitarios de 2005, así como la creación de Institutos superiores de capacitación docente (PH). La incorporación de la perspectiva de género también está consagrada en la reglamentación de 2006 por la que se rigen los programas de estudio de las universidades y los institutos universitarios. Conforme a la enmienda de la </w:t>
      </w:r>
      <w:r w:rsidR="00B34FFF" w:rsidRPr="00CB6BB3">
        <w:rPr>
          <w:lang w:val="es-ES_tradnl"/>
        </w:rPr>
        <w:t>ley</w:t>
      </w:r>
      <w:r w:rsidRPr="00CB6BB3">
        <w:rPr>
          <w:lang w:val="es-ES_tradnl"/>
        </w:rPr>
        <w:t>, de 2010, los institutos de capacitación docente tienen la obligación de adoptar estrategias de incorporación de la perspectiva de género, y de tener en cuenta los resultados de los estudios de género y la didáctica con enfoque de género en el desempeño de sus funciones. En estos institutos se han creado grupos de trabajo para asuntos de igualdad de trato, y se han nombrado funcionarios encargados de la incorporación de la perspectiva de género. En 2008, se introdujo la competencia en materia de género como materia prioritaria en los programas de formación permanente para docentes; durante el período 2010-2013, se aplicará como principio innovador y universal. En todos los avisos de vacante correspondientes a puestos directivos en escuelas federales publicados en 2009, se incluyó la gestión del género y la diversidad como requisito de calificación.</w:t>
      </w:r>
    </w:p>
    <w:p w:rsidR="00604EE2" w:rsidRPr="00CB6BB3" w:rsidRDefault="006740CB" w:rsidP="00C21E04">
      <w:pPr>
        <w:pStyle w:val="SingleTxtG"/>
        <w:rPr>
          <w:lang w:val="es-ES_tradnl"/>
        </w:rPr>
      </w:pPr>
      <w:r w:rsidRPr="00CB6BB3">
        <w:rPr>
          <w:lang w:val="es-ES_tradnl"/>
        </w:rPr>
        <w:t>143.</w:t>
      </w:r>
      <w:r w:rsidRPr="00CB6BB3">
        <w:rPr>
          <w:lang w:val="es-ES_tradnl"/>
        </w:rPr>
        <w:tab/>
        <w:t xml:space="preserve">Las iniciativas y los proyectos clave en curso sobre el fomento de la calidad, la mejora de la enseñanza de materias de ciencias, la prevención de la violencia, el nuevo tipo de escuelas </w:t>
      </w:r>
      <w:r w:rsidR="00C70626">
        <w:rPr>
          <w:lang w:val="es-ES_tradnl"/>
        </w:rPr>
        <w:t>"</w:t>
      </w:r>
      <w:r w:rsidRPr="00CB6BB3">
        <w:rPr>
          <w:lang w:val="es-ES_tradnl"/>
        </w:rPr>
        <w:t>Neue Mittelschule</w:t>
      </w:r>
      <w:r w:rsidR="00C70626">
        <w:rPr>
          <w:lang w:val="es-ES_tradnl"/>
        </w:rPr>
        <w:t>"</w:t>
      </w:r>
      <w:r w:rsidRPr="00CB6BB3">
        <w:rPr>
          <w:lang w:val="es-ES_tradnl"/>
        </w:rPr>
        <w:t xml:space="preserve"> y la orientación profesional adhieren al principio de igualdad de género. Según el proyecto GeKoS (Escuelas de competencia en materia de género), se llevó a cabo la aplicación de la incorporación de la perspectiva de género y la competencia de género en las escuelas</w:t>
      </w:r>
      <w:r w:rsidRPr="00CB6BB3">
        <w:rPr>
          <w:rStyle w:val="FootnoteReference"/>
          <w:szCs w:val="24"/>
          <w:lang w:val="es-ES_tradnl"/>
        </w:rPr>
        <w:footnoteReference w:id="75"/>
      </w:r>
      <w:r w:rsidR="00604EE2" w:rsidRPr="00CB6BB3">
        <w:rPr>
          <w:lang w:val="es-ES_tradnl"/>
        </w:rPr>
        <w:t>.</w:t>
      </w:r>
    </w:p>
    <w:p w:rsidR="00604EE2" w:rsidRPr="00CB6BB3" w:rsidRDefault="006740CB" w:rsidP="00604EE2">
      <w:pPr>
        <w:pStyle w:val="SingleTxtG"/>
        <w:rPr>
          <w:lang w:val="es-ES_tradnl"/>
        </w:rPr>
      </w:pPr>
      <w:r w:rsidRPr="00CB6BB3">
        <w:rPr>
          <w:szCs w:val="24"/>
          <w:lang w:val="es-ES_tradnl"/>
        </w:rPr>
        <w:t>144.</w:t>
      </w:r>
      <w:r w:rsidRPr="00CB6BB3">
        <w:rPr>
          <w:szCs w:val="24"/>
          <w:lang w:val="es-ES_tradnl"/>
        </w:rPr>
        <w:tab/>
        <w:t xml:space="preserve">La orientación profesional con enfoque de género y la promoción de los </w:t>
      </w:r>
      <w:r w:rsidR="00B56C5E" w:rsidRPr="00CB6BB3">
        <w:rPr>
          <w:szCs w:val="24"/>
          <w:lang w:val="es-ES_tradnl"/>
        </w:rPr>
        <w:t>estudios de ingeniería para jovencit</w:t>
      </w:r>
      <w:r w:rsidRPr="00CB6BB3">
        <w:rPr>
          <w:szCs w:val="24"/>
          <w:lang w:val="es-ES_tradnl"/>
        </w:rPr>
        <w:t xml:space="preserve">as constituyen una parte integral de los esfuerzos en curso para mejorar la orientación profesional y educativa que ofrecen las escuelas. El proyecto FIT (Mujeres en la tecnología) consistió en visitas a escuelas y jornadas de información en universidades y escuelas de ciencias aplicadas. Finalizado en 2009, los resultados del proyecto </w:t>
      </w:r>
      <w:r w:rsidR="00C70626">
        <w:rPr>
          <w:szCs w:val="24"/>
          <w:lang w:val="es-ES_tradnl"/>
        </w:rPr>
        <w:t>"</w:t>
      </w:r>
      <w:r w:rsidRPr="00CB6BB3">
        <w:rPr>
          <w:szCs w:val="24"/>
          <w:lang w:val="es-ES_tradnl"/>
        </w:rPr>
        <w:t>mut!</w:t>
      </w:r>
      <w:r w:rsidR="00C70626">
        <w:rPr>
          <w:szCs w:val="24"/>
          <w:lang w:val="es-ES_tradnl"/>
        </w:rPr>
        <w:t>"</w:t>
      </w:r>
      <w:r w:rsidRPr="00CB6BB3">
        <w:rPr>
          <w:szCs w:val="24"/>
          <w:lang w:val="es-ES_tradnl"/>
        </w:rPr>
        <w:t xml:space="preserve"> (¡Ánimo! </w:t>
      </w:r>
      <w:r w:rsidR="002879BD">
        <w:rPr>
          <w:szCs w:val="24"/>
          <w:lang w:val="es-ES_tradnl"/>
        </w:rPr>
        <w:t>–</w:t>
      </w:r>
      <w:r w:rsidRPr="00CB6BB3">
        <w:rPr>
          <w:szCs w:val="24"/>
          <w:lang w:val="es-ES_tradnl"/>
        </w:rPr>
        <w:t xml:space="preserve"> Las </w:t>
      </w:r>
      <w:r w:rsidR="00B56C5E" w:rsidRPr="00CB6BB3">
        <w:rPr>
          <w:szCs w:val="24"/>
          <w:lang w:val="es-ES_tradnl"/>
        </w:rPr>
        <w:t>jóvenes</w:t>
      </w:r>
      <w:r w:rsidRPr="00CB6BB3">
        <w:rPr>
          <w:szCs w:val="24"/>
          <w:lang w:val="es-ES_tradnl"/>
        </w:rPr>
        <w:t xml:space="preserve"> y la tecnología</w:t>
      </w:r>
      <w:r w:rsidR="00F766AA" w:rsidRPr="00CB6BB3">
        <w:rPr>
          <w:szCs w:val="24"/>
          <w:lang w:val="es-ES_tradnl"/>
        </w:rPr>
        <w:t xml:space="preserve">) </w:t>
      </w:r>
      <w:r w:rsidRPr="00CB6BB3">
        <w:rPr>
          <w:szCs w:val="24"/>
          <w:lang w:val="es-ES_tradnl"/>
        </w:rPr>
        <w:t xml:space="preserve">actualmente </w:t>
      </w:r>
      <w:r w:rsidR="00F766AA" w:rsidRPr="00CB6BB3">
        <w:rPr>
          <w:szCs w:val="24"/>
          <w:lang w:val="es-ES_tradnl"/>
        </w:rPr>
        <w:t xml:space="preserve">se están integrando </w:t>
      </w:r>
      <w:r w:rsidRPr="00CB6BB3">
        <w:rPr>
          <w:szCs w:val="24"/>
          <w:lang w:val="es-ES_tradnl"/>
        </w:rPr>
        <w:t>al sistema educativo y de o</w:t>
      </w:r>
      <w:r w:rsidR="00F766AA" w:rsidRPr="00CB6BB3">
        <w:rPr>
          <w:szCs w:val="24"/>
          <w:lang w:val="es-ES_tradnl"/>
        </w:rPr>
        <w:t>rientación profesional. Con e</w:t>
      </w:r>
      <w:r w:rsidRPr="00CB6BB3">
        <w:rPr>
          <w:szCs w:val="24"/>
          <w:lang w:val="es-ES_tradnl"/>
        </w:rPr>
        <w:t xml:space="preserve">l proyecto IMST (Escuelas líderes a través de la innovación) </w:t>
      </w:r>
      <w:r w:rsidR="00F766AA" w:rsidRPr="00CB6BB3">
        <w:rPr>
          <w:szCs w:val="24"/>
          <w:lang w:val="es-ES_tradnl"/>
        </w:rPr>
        <w:t>se procura</w:t>
      </w:r>
      <w:r w:rsidRPr="00CB6BB3">
        <w:rPr>
          <w:szCs w:val="24"/>
          <w:lang w:val="es-ES_tradnl"/>
        </w:rPr>
        <w:t xml:space="preserve"> mejorar la enseñanza de las matemáticas, las ciencias y la informática. Los proyectos antes mencionados forman parte de una iniciativa interministerial denominada FORTE (Mujeres en la investigación y la tecnología). En 2008, se estableció un grupo de trabajo de alcance nacional para las escuelas </w:t>
      </w:r>
      <w:r w:rsidR="00F766AA" w:rsidRPr="00CB6BB3">
        <w:rPr>
          <w:szCs w:val="24"/>
          <w:lang w:val="es-ES_tradnl"/>
        </w:rPr>
        <w:t>técnicas superiores</w:t>
      </w:r>
      <w:r w:rsidRPr="00CB6BB3">
        <w:rPr>
          <w:szCs w:val="24"/>
          <w:lang w:val="es-ES_tradnl"/>
        </w:rPr>
        <w:t>, se formuló una estrategia de incorporación de la perspectiva de género y se definieron una serie de medidas</w:t>
      </w:r>
      <w:r w:rsidRPr="00CB6BB3">
        <w:rPr>
          <w:rStyle w:val="FootnoteReference"/>
          <w:szCs w:val="24"/>
          <w:lang w:val="es-ES_tradnl"/>
        </w:rPr>
        <w:footnoteReference w:id="76"/>
      </w:r>
      <w:r w:rsidR="00604EE2" w:rsidRPr="00CB6BB3">
        <w:rPr>
          <w:lang w:val="es-ES_tradnl"/>
        </w:rPr>
        <w:t>.</w:t>
      </w:r>
    </w:p>
    <w:p w:rsidR="00604EE2" w:rsidRPr="00CB6BB3" w:rsidRDefault="006740CB" w:rsidP="00604EE2">
      <w:pPr>
        <w:pStyle w:val="SingleTxtG"/>
        <w:rPr>
          <w:lang w:val="es-ES_tradnl"/>
        </w:rPr>
      </w:pPr>
      <w:r w:rsidRPr="00CB6BB3">
        <w:rPr>
          <w:szCs w:val="24"/>
          <w:lang w:val="es-ES_tradnl"/>
        </w:rPr>
        <w:t>145.</w:t>
      </w:r>
      <w:r w:rsidRPr="00CB6BB3">
        <w:rPr>
          <w:szCs w:val="24"/>
          <w:lang w:val="es-ES_tradnl"/>
        </w:rPr>
        <w:tab/>
        <w:t xml:space="preserve">Tanto en las publicaciones sobre historia del arte como en los espacios públicos (a saber, monumentos, exposiciones, etc.), la mujer carece totalmente de visibilidad o </w:t>
      </w:r>
      <w:r w:rsidR="008D6416" w:rsidRPr="00CB6BB3">
        <w:rPr>
          <w:szCs w:val="24"/>
          <w:lang w:val="es-ES_tradnl"/>
        </w:rPr>
        <w:t xml:space="preserve">no tiene </w:t>
      </w:r>
      <w:r w:rsidR="00F766AA" w:rsidRPr="00CB6BB3">
        <w:rPr>
          <w:szCs w:val="24"/>
          <w:lang w:val="es-ES_tradnl"/>
        </w:rPr>
        <w:t>suficiente visibilidad</w:t>
      </w:r>
      <w:r w:rsidRPr="00CB6BB3">
        <w:rPr>
          <w:szCs w:val="24"/>
          <w:lang w:val="es-ES_tradnl"/>
        </w:rPr>
        <w:t xml:space="preserve">. </w:t>
      </w:r>
      <w:r w:rsidR="00F766AA" w:rsidRPr="00CB6BB3">
        <w:rPr>
          <w:szCs w:val="24"/>
          <w:lang w:val="es-ES_tradnl"/>
        </w:rPr>
        <w:t>Ello dio lugar a la publicación de</w:t>
      </w:r>
      <w:r w:rsidRPr="00CB6BB3">
        <w:rPr>
          <w:szCs w:val="24"/>
          <w:lang w:val="es-ES_tradnl"/>
        </w:rPr>
        <w:t xml:space="preserve"> un manual titulado </w:t>
      </w:r>
      <w:r w:rsidR="00C70626">
        <w:rPr>
          <w:szCs w:val="24"/>
          <w:lang w:val="es-ES_tradnl"/>
        </w:rPr>
        <w:t>"</w:t>
      </w:r>
      <w:r w:rsidRPr="00CB6BB3">
        <w:rPr>
          <w:szCs w:val="24"/>
          <w:lang w:val="es-ES_tradnl"/>
        </w:rPr>
        <w:t>El género en perspectiva</w:t>
      </w:r>
      <w:r w:rsidR="00C70626">
        <w:rPr>
          <w:szCs w:val="24"/>
          <w:lang w:val="es-ES_tradnl"/>
        </w:rPr>
        <w:t>"</w:t>
      </w:r>
      <w:r w:rsidRPr="00CB6BB3">
        <w:rPr>
          <w:szCs w:val="24"/>
          <w:lang w:val="es-ES_tradnl"/>
        </w:rPr>
        <w:t xml:space="preserve"> </w:t>
      </w:r>
      <w:r w:rsidR="00F766AA" w:rsidRPr="00CB6BB3">
        <w:rPr>
          <w:szCs w:val="24"/>
          <w:lang w:val="es-ES_tradnl"/>
        </w:rPr>
        <w:t>destinado a</w:t>
      </w:r>
      <w:r w:rsidRPr="00CB6BB3">
        <w:rPr>
          <w:szCs w:val="24"/>
          <w:lang w:val="es-ES_tradnl"/>
        </w:rPr>
        <w:t xml:space="preserve"> sensibilizar a</w:t>
      </w:r>
      <w:r w:rsidR="00F766AA" w:rsidRPr="00CB6BB3">
        <w:rPr>
          <w:szCs w:val="24"/>
          <w:lang w:val="es-ES_tradnl"/>
        </w:rPr>
        <w:t xml:space="preserve">l personal docente </w:t>
      </w:r>
      <w:r w:rsidRPr="00CB6BB3">
        <w:rPr>
          <w:szCs w:val="24"/>
          <w:lang w:val="es-ES_tradnl"/>
        </w:rPr>
        <w:t xml:space="preserve">y a los educadores de arte y de </w:t>
      </w:r>
      <w:r w:rsidR="008D6416" w:rsidRPr="00CB6BB3">
        <w:rPr>
          <w:szCs w:val="24"/>
          <w:lang w:val="es-ES_tradnl"/>
        </w:rPr>
        <w:t>museos sobre esa falta de visibilidad</w:t>
      </w:r>
      <w:r w:rsidRPr="00CB6BB3">
        <w:rPr>
          <w:szCs w:val="24"/>
          <w:lang w:val="es-ES_tradnl"/>
        </w:rPr>
        <w:t xml:space="preserve">. </w:t>
      </w:r>
      <w:r w:rsidR="008D6416" w:rsidRPr="00CB6BB3">
        <w:rPr>
          <w:szCs w:val="24"/>
          <w:lang w:val="es-ES_tradnl"/>
        </w:rPr>
        <w:t xml:space="preserve">Este manual </w:t>
      </w:r>
      <w:r w:rsidR="000F3376" w:rsidRPr="00CB6BB3">
        <w:rPr>
          <w:szCs w:val="24"/>
          <w:lang w:val="es-ES_tradnl"/>
        </w:rPr>
        <w:t>incluye</w:t>
      </w:r>
      <w:r w:rsidR="008D6416" w:rsidRPr="00CB6BB3">
        <w:rPr>
          <w:szCs w:val="24"/>
          <w:lang w:val="es-ES_tradnl"/>
        </w:rPr>
        <w:t xml:space="preserve"> material par</w:t>
      </w:r>
      <w:r w:rsidRPr="00CB6BB3">
        <w:rPr>
          <w:szCs w:val="24"/>
          <w:lang w:val="es-ES_tradnl"/>
        </w:rPr>
        <w:t>a una enseñanza más creativa y apropiada desde el punto de vista del género</w:t>
      </w:r>
      <w:r w:rsidRPr="00CB6BB3">
        <w:rPr>
          <w:rStyle w:val="FootnoteReference"/>
          <w:szCs w:val="24"/>
          <w:lang w:val="es-ES_tradnl"/>
        </w:rPr>
        <w:footnoteReference w:id="77"/>
      </w:r>
      <w:r w:rsidR="00604EE2" w:rsidRPr="00CB6BB3">
        <w:rPr>
          <w:lang w:val="es-ES_tradnl"/>
        </w:rPr>
        <w:t>.</w:t>
      </w:r>
    </w:p>
    <w:p w:rsidR="00604EE2" w:rsidRPr="00CB6BB3" w:rsidRDefault="006740CB" w:rsidP="00604EE2">
      <w:pPr>
        <w:pStyle w:val="SingleTxtG"/>
        <w:rPr>
          <w:lang w:val="es-ES_tradnl"/>
        </w:rPr>
      </w:pPr>
      <w:r w:rsidRPr="00CB6BB3">
        <w:rPr>
          <w:szCs w:val="24"/>
          <w:lang w:val="es-ES_tradnl"/>
        </w:rPr>
        <w:t>146.</w:t>
      </w:r>
      <w:r w:rsidRPr="00CB6BB3">
        <w:rPr>
          <w:szCs w:val="24"/>
          <w:lang w:val="es-ES_tradnl"/>
        </w:rPr>
        <w:tab/>
        <w:t xml:space="preserve">En octubre de 2010, </w:t>
      </w:r>
      <w:r w:rsidR="00F766AA" w:rsidRPr="00CB6BB3">
        <w:rPr>
          <w:szCs w:val="24"/>
          <w:lang w:val="es-ES_tradnl"/>
        </w:rPr>
        <w:t>e</w:t>
      </w:r>
      <w:r w:rsidRPr="00CB6BB3">
        <w:rPr>
          <w:szCs w:val="24"/>
          <w:lang w:val="es-ES_tradnl"/>
        </w:rPr>
        <w:t>l</w:t>
      </w:r>
      <w:r w:rsidR="00F766AA" w:rsidRPr="00CB6BB3">
        <w:rPr>
          <w:szCs w:val="24"/>
          <w:lang w:val="es-ES_tradnl"/>
        </w:rPr>
        <w:t xml:space="preserve"> Organismo Austríaco</w:t>
      </w:r>
      <w:r w:rsidRPr="00CB6BB3">
        <w:rPr>
          <w:szCs w:val="24"/>
          <w:lang w:val="es-ES_tradnl"/>
        </w:rPr>
        <w:t xml:space="preserve"> para la Promoción de la Investigación (FFG) incluyó aspectos de género en los criterios de evaluación de las solicitudes. A partir de 2011, se aplicarán criterios relativos al género en otras áreas de actividad de la FFG</w:t>
      </w:r>
      <w:r w:rsidR="00604EE2" w:rsidRPr="00CB6BB3">
        <w:rPr>
          <w:lang w:val="es-ES_tradnl"/>
        </w:rPr>
        <w:t>.</w:t>
      </w:r>
    </w:p>
    <w:p w:rsidR="00604EE2" w:rsidRPr="00CB6BB3" w:rsidRDefault="006740CB" w:rsidP="00604EE2">
      <w:pPr>
        <w:pStyle w:val="SingleTxtG"/>
        <w:rPr>
          <w:lang w:val="es-ES_tradnl"/>
        </w:rPr>
      </w:pPr>
      <w:r w:rsidRPr="00CB6BB3">
        <w:rPr>
          <w:szCs w:val="24"/>
          <w:lang w:val="es-ES_tradnl"/>
        </w:rPr>
        <w:t>147.</w:t>
      </w:r>
      <w:r w:rsidRPr="00CB6BB3">
        <w:rPr>
          <w:szCs w:val="24"/>
          <w:lang w:val="es-ES_tradnl"/>
        </w:rPr>
        <w:tab/>
        <w:t>Con respecto a la educación de adultos, la incorporación de la perspectiva de género y la competencia de género se introdujeron a nivel organizacional, metodológico-didáctico y de recursos humanos, y actualmente constituyen una parte integral de los planes de control de calidad, los programas de formación de formadores, la metodología y la didáctica con enfoque de género en el trabajo educativo, los programas de promoción, las estrategias y las iniciativas de política educativa nacionales, los a</w:t>
      </w:r>
      <w:r w:rsidR="00F766AA" w:rsidRPr="00CB6BB3">
        <w:rPr>
          <w:szCs w:val="24"/>
          <w:lang w:val="es-ES_tradnl"/>
        </w:rPr>
        <w:t>nunci</w:t>
      </w:r>
      <w:r w:rsidRPr="00CB6BB3">
        <w:rPr>
          <w:szCs w:val="24"/>
          <w:lang w:val="es-ES_tradnl"/>
        </w:rPr>
        <w:t>os de vacantes</w:t>
      </w:r>
      <w:r w:rsidR="008D6416" w:rsidRPr="00CB6BB3">
        <w:rPr>
          <w:szCs w:val="24"/>
          <w:lang w:val="es-ES_tradnl"/>
        </w:rPr>
        <w:t>,</w:t>
      </w:r>
      <w:r w:rsidRPr="00CB6BB3">
        <w:rPr>
          <w:szCs w:val="24"/>
          <w:lang w:val="es-ES_tradnl"/>
        </w:rPr>
        <w:t xml:space="preserve"> los procedimientos de licitación, etc. Se han adoptado medidas destinadas a apoyar a los grupos desfavorecidos</w:t>
      </w:r>
      <w:r w:rsidR="008D6416" w:rsidRPr="00CB6BB3">
        <w:rPr>
          <w:szCs w:val="24"/>
          <w:lang w:val="es-ES_tradnl"/>
        </w:rPr>
        <w:t>;</w:t>
      </w:r>
      <w:r w:rsidRPr="00CB6BB3">
        <w:rPr>
          <w:szCs w:val="24"/>
          <w:lang w:val="es-ES_tradnl"/>
        </w:rPr>
        <w:t xml:space="preserve"> todos los programas persiguen objetivos de política de igualdad</w:t>
      </w:r>
      <w:r w:rsidR="00604EE2" w:rsidRPr="00CB6BB3">
        <w:rPr>
          <w:lang w:val="es-ES_tradnl"/>
        </w:rPr>
        <w:t>.</w:t>
      </w:r>
    </w:p>
    <w:p w:rsidR="00604EE2" w:rsidRPr="00CB6BB3" w:rsidRDefault="006740CB" w:rsidP="00604EE2">
      <w:pPr>
        <w:pStyle w:val="SingleTxtG"/>
        <w:rPr>
          <w:lang w:val="es-ES_tradnl"/>
        </w:rPr>
      </w:pPr>
      <w:r w:rsidRPr="00CB6BB3">
        <w:rPr>
          <w:szCs w:val="24"/>
          <w:lang w:val="es-ES_tradnl"/>
        </w:rPr>
        <w:t>148.</w:t>
      </w:r>
      <w:r w:rsidRPr="00CB6BB3">
        <w:rPr>
          <w:szCs w:val="24"/>
          <w:lang w:val="es-ES_tradnl"/>
        </w:rPr>
        <w:tab/>
        <w:t>Existen programas específicos centrados en la educación básica y la alfabetización</w:t>
      </w:r>
      <w:r w:rsidRPr="00CB6BB3">
        <w:rPr>
          <w:rStyle w:val="FootnoteReference"/>
          <w:szCs w:val="24"/>
          <w:lang w:val="es-ES_tradnl"/>
        </w:rPr>
        <w:footnoteReference w:id="78"/>
      </w:r>
      <w:r w:rsidRPr="00CB6BB3">
        <w:rPr>
          <w:szCs w:val="24"/>
          <w:lang w:val="es-ES_tradnl"/>
        </w:rPr>
        <w:t xml:space="preserve"> así como en una adecuada asistencia a cursos y a la escuela en etapas posteriores de la vida. Programas especiales como los </w:t>
      </w:r>
      <w:r w:rsidR="00C70626">
        <w:rPr>
          <w:szCs w:val="24"/>
          <w:lang w:val="es-ES_tradnl"/>
        </w:rPr>
        <w:t>"</w:t>
      </w:r>
      <w:r w:rsidRPr="00CB6BB3">
        <w:rPr>
          <w:szCs w:val="24"/>
          <w:lang w:val="es-ES_tradnl"/>
        </w:rPr>
        <w:t>Talleres de aprendizaje</w:t>
      </w:r>
      <w:r w:rsidR="00C70626">
        <w:rPr>
          <w:szCs w:val="24"/>
          <w:lang w:val="es-ES_tradnl"/>
        </w:rPr>
        <w:t>"</w:t>
      </w:r>
      <w:r w:rsidRPr="00CB6BB3">
        <w:rPr>
          <w:szCs w:val="24"/>
          <w:lang w:val="es-ES_tradnl"/>
        </w:rPr>
        <w:t xml:space="preserve"> móviles sobre tecnología de la información y la comunicación o el modelo educativo </w:t>
      </w:r>
      <w:r w:rsidR="00C70626">
        <w:rPr>
          <w:szCs w:val="24"/>
          <w:lang w:val="es-ES_tradnl"/>
        </w:rPr>
        <w:t>"</w:t>
      </w:r>
      <w:r w:rsidRPr="00CB6BB3">
        <w:rPr>
          <w:szCs w:val="24"/>
          <w:lang w:val="es-ES_tradnl"/>
        </w:rPr>
        <w:t>Ajustes en el aprendizaje</w:t>
      </w:r>
      <w:r w:rsidR="00C70626">
        <w:rPr>
          <w:szCs w:val="24"/>
          <w:lang w:val="es-ES_tradnl"/>
        </w:rPr>
        <w:t>"</w:t>
      </w:r>
      <w:r w:rsidRPr="00CB6BB3">
        <w:rPr>
          <w:szCs w:val="24"/>
          <w:lang w:val="es-ES_tradnl"/>
        </w:rPr>
        <w:t xml:space="preserve"> se dirigen a mujeres muy desfavorecidas de medios rurales</w:t>
      </w:r>
      <w:r w:rsidRPr="00CB6BB3">
        <w:rPr>
          <w:rStyle w:val="FootnoteReference"/>
          <w:szCs w:val="24"/>
          <w:lang w:val="es-ES_tradnl"/>
        </w:rPr>
        <w:footnoteReference w:id="79"/>
      </w:r>
      <w:r w:rsidR="008D6416" w:rsidRPr="00CB6BB3">
        <w:rPr>
          <w:szCs w:val="24"/>
          <w:lang w:val="es-ES_tradnl"/>
        </w:rPr>
        <w:t>. Las iniciativ</w:t>
      </w:r>
      <w:r w:rsidRPr="00CB6BB3">
        <w:rPr>
          <w:szCs w:val="24"/>
          <w:lang w:val="es-ES_tradnl"/>
        </w:rPr>
        <w:t xml:space="preserve">as destinadas específicamente a las necesidades de educación básica de los </w:t>
      </w:r>
      <w:r w:rsidR="008D6416" w:rsidRPr="00CB6BB3">
        <w:rPr>
          <w:szCs w:val="24"/>
          <w:lang w:val="es-ES_tradnl"/>
        </w:rPr>
        <w:t>in</w:t>
      </w:r>
      <w:r w:rsidRPr="00CB6BB3">
        <w:rPr>
          <w:szCs w:val="24"/>
          <w:lang w:val="es-ES_tradnl"/>
        </w:rPr>
        <w:t xml:space="preserve">migrantes reciben subvenciones (centros de aprendizaje para mujeres </w:t>
      </w:r>
      <w:r w:rsidR="000C1FB3" w:rsidRPr="00CB6BB3">
        <w:rPr>
          <w:szCs w:val="24"/>
          <w:lang w:val="es-ES_tradnl"/>
        </w:rPr>
        <w:t>in</w:t>
      </w:r>
      <w:r w:rsidRPr="00CB6BB3">
        <w:rPr>
          <w:szCs w:val="24"/>
          <w:lang w:val="es-ES_tradnl"/>
        </w:rPr>
        <w:t>migrantes</w:t>
      </w:r>
      <w:r w:rsidRPr="00CB6BB3">
        <w:rPr>
          <w:rStyle w:val="FootnoteReference"/>
          <w:szCs w:val="24"/>
          <w:lang w:val="es-ES_tradnl"/>
        </w:rPr>
        <w:footnoteReference w:id="80"/>
      </w:r>
      <w:r w:rsidRPr="00CB6BB3">
        <w:rPr>
          <w:szCs w:val="24"/>
          <w:lang w:val="es-ES_tradnl"/>
        </w:rPr>
        <w:t xml:space="preserve">, de la red </w:t>
      </w:r>
      <w:r w:rsidR="00C70626">
        <w:rPr>
          <w:szCs w:val="24"/>
          <w:lang w:val="es-ES_tradnl"/>
        </w:rPr>
        <w:t>"</w:t>
      </w:r>
      <w:r w:rsidRPr="00CB6BB3">
        <w:rPr>
          <w:szCs w:val="24"/>
          <w:lang w:val="es-ES_tradnl"/>
        </w:rPr>
        <w:t>Migración</w:t>
      </w:r>
      <w:r w:rsidR="002879BD">
        <w:rPr>
          <w:szCs w:val="24"/>
          <w:lang w:val="es-ES_tradnl"/>
        </w:rPr>
        <w:noBreakHyphen/>
      </w:r>
      <w:r w:rsidRPr="00CB6BB3">
        <w:rPr>
          <w:szCs w:val="24"/>
          <w:lang w:val="es-ES_tradnl"/>
        </w:rPr>
        <w:t>Competencias-Alfabetización</w:t>
      </w:r>
      <w:r w:rsidR="00C70626">
        <w:rPr>
          <w:szCs w:val="24"/>
          <w:lang w:val="es-ES_tradnl"/>
        </w:rPr>
        <w:t>"</w:t>
      </w:r>
      <w:r w:rsidRPr="00CB6BB3">
        <w:rPr>
          <w:szCs w:val="24"/>
          <w:lang w:val="es-ES_tradnl"/>
        </w:rPr>
        <w:t xml:space="preserve"> del proyecto MIKA). </w:t>
      </w:r>
      <w:r w:rsidR="000C1FB3" w:rsidRPr="00CB6BB3">
        <w:rPr>
          <w:szCs w:val="24"/>
          <w:lang w:val="es-ES_tradnl"/>
        </w:rPr>
        <w:t>Al</w:t>
      </w:r>
      <w:r w:rsidRPr="00CB6BB3">
        <w:rPr>
          <w:szCs w:val="24"/>
          <w:lang w:val="es-ES_tradnl"/>
        </w:rPr>
        <w:t xml:space="preserve"> evalua</w:t>
      </w:r>
      <w:r w:rsidR="000C1FB3" w:rsidRPr="00CB6BB3">
        <w:rPr>
          <w:szCs w:val="24"/>
          <w:lang w:val="es-ES_tradnl"/>
        </w:rPr>
        <w:t>r</w:t>
      </w:r>
      <w:r w:rsidRPr="00CB6BB3">
        <w:rPr>
          <w:szCs w:val="24"/>
          <w:lang w:val="es-ES_tradnl"/>
        </w:rPr>
        <w:t xml:space="preserve"> estos sistemas se </w:t>
      </w:r>
      <w:r w:rsidR="000C1FB3" w:rsidRPr="00CB6BB3">
        <w:rPr>
          <w:szCs w:val="24"/>
          <w:lang w:val="es-ES_tradnl"/>
        </w:rPr>
        <w:t>ha observado que la participación femenina se sitúa en</w:t>
      </w:r>
      <w:r w:rsidRPr="00CB6BB3">
        <w:rPr>
          <w:szCs w:val="24"/>
          <w:lang w:val="es-ES_tradnl"/>
        </w:rPr>
        <w:t xml:space="preserve"> </w:t>
      </w:r>
      <w:r w:rsidR="008D6416" w:rsidRPr="00CB6BB3">
        <w:rPr>
          <w:szCs w:val="24"/>
          <w:lang w:val="es-ES_tradnl"/>
        </w:rPr>
        <w:t xml:space="preserve">el </w:t>
      </w:r>
      <w:r w:rsidRPr="00CB6BB3">
        <w:rPr>
          <w:szCs w:val="24"/>
          <w:lang w:val="es-ES_tradnl"/>
        </w:rPr>
        <w:t>58,6</w:t>
      </w:r>
      <w:r w:rsidR="00B34FFF">
        <w:rPr>
          <w:szCs w:val="24"/>
          <w:lang w:val="es-ES_tradnl"/>
        </w:rPr>
        <w:t>%</w:t>
      </w:r>
      <w:r w:rsidRPr="00CB6BB3">
        <w:rPr>
          <w:szCs w:val="24"/>
          <w:lang w:val="es-ES_tradnl"/>
        </w:rPr>
        <w:t xml:space="preserve">, mientras que la de los </w:t>
      </w:r>
      <w:r w:rsidR="000C1FB3" w:rsidRPr="00CB6BB3">
        <w:rPr>
          <w:szCs w:val="24"/>
          <w:lang w:val="es-ES_tradnl"/>
        </w:rPr>
        <w:t>in</w:t>
      </w:r>
      <w:r w:rsidRPr="00CB6BB3">
        <w:rPr>
          <w:szCs w:val="24"/>
          <w:lang w:val="es-ES_tradnl"/>
        </w:rPr>
        <w:t xml:space="preserve">migrantes </w:t>
      </w:r>
      <w:r w:rsidR="000C1FB3" w:rsidRPr="00CB6BB3">
        <w:rPr>
          <w:szCs w:val="24"/>
          <w:lang w:val="es-ES_tradnl"/>
        </w:rPr>
        <w:t>rond</w:t>
      </w:r>
      <w:r w:rsidRPr="00CB6BB3">
        <w:rPr>
          <w:szCs w:val="24"/>
          <w:lang w:val="es-ES_tradnl"/>
        </w:rPr>
        <w:t>a un 65</w:t>
      </w:r>
      <w:r w:rsidR="00B34FFF">
        <w:rPr>
          <w:szCs w:val="24"/>
          <w:lang w:val="es-ES_tradnl"/>
        </w:rPr>
        <w:t>%</w:t>
      </w:r>
      <w:r w:rsidR="00604EE2" w:rsidRPr="00CB6BB3">
        <w:rPr>
          <w:lang w:val="es-ES_tradnl"/>
        </w:rPr>
        <w:t>.</w:t>
      </w:r>
    </w:p>
    <w:p w:rsidR="00604EE2" w:rsidRPr="00CB6BB3" w:rsidRDefault="006740CB" w:rsidP="00604EE2">
      <w:pPr>
        <w:pStyle w:val="SingleTxtG"/>
        <w:rPr>
          <w:lang w:val="es-ES_tradnl"/>
        </w:rPr>
      </w:pPr>
      <w:r w:rsidRPr="00CB6BB3">
        <w:rPr>
          <w:szCs w:val="24"/>
          <w:lang w:val="es-ES_tradnl"/>
        </w:rPr>
        <w:t>149.</w:t>
      </w:r>
      <w:r w:rsidRPr="00CB6BB3">
        <w:rPr>
          <w:szCs w:val="24"/>
          <w:lang w:val="es-ES_tradnl"/>
        </w:rPr>
        <w:tab/>
      </w:r>
      <w:r w:rsidR="000C1FB3" w:rsidRPr="00CB6BB3">
        <w:rPr>
          <w:szCs w:val="24"/>
          <w:lang w:val="es-ES_tradnl"/>
        </w:rPr>
        <w:t xml:space="preserve">A largo plazo, se pretende que </w:t>
      </w:r>
      <w:r w:rsidR="00C7696C" w:rsidRPr="00CB6BB3">
        <w:rPr>
          <w:szCs w:val="24"/>
          <w:lang w:val="es-ES_tradnl"/>
        </w:rPr>
        <w:t>en toda Austria haya</w:t>
      </w:r>
      <w:r w:rsidRPr="00CB6BB3">
        <w:rPr>
          <w:szCs w:val="24"/>
          <w:lang w:val="es-ES_tradnl"/>
        </w:rPr>
        <w:t xml:space="preserve"> acceso generalizado a los programas educativos para que las personas no escolarizadas reciban capacitación, a través de ofertas educativas </w:t>
      </w:r>
      <w:r w:rsidR="00C7696C" w:rsidRPr="00CB6BB3">
        <w:rPr>
          <w:szCs w:val="24"/>
          <w:lang w:val="es-ES_tradnl"/>
        </w:rPr>
        <w:t xml:space="preserve">gratuitas </w:t>
      </w:r>
      <w:r w:rsidRPr="00CB6BB3">
        <w:rPr>
          <w:szCs w:val="24"/>
          <w:lang w:val="es-ES_tradnl"/>
        </w:rPr>
        <w:t xml:space="preserve">que vayan desde la educación básica a la finalización de la educación secundaria (2º nivel), junto con una política de subsidios coherente. Un grupo de expertos diseñó nuevos modelos de financiación para estos planes, basados en un programa de estudios uniforme y normas de calidad, </w:t>
      </w:r>
      <w:r w:rsidR="00C7696C" w:rsidRPr="00CB6BB3">
        <w:rPr>
          <w:szCs w:val="24"/>
          <w:lang w:val="es-ES_tradnl"/>
        </w:rPr>
        <w:t>en el que se invertiría el</w:t>
      </w:r>
      <w:r w:rsidRPr="00CB6BB3">
        <w:rPr>
          <w:szCs w:val="24"/>
          <w:lang w:val="es-ES_tradnl"/>
        </w:rPr>
        <w:t xml:space="preserve"> 50</w:t>
      </w:r>
      <w:r w:rsidR="00B34FFF">
        <w:rPr>
          <w:szCs w:val="24"/>
          <w:lang w:val="es-ES_tradnl"/>
        </w:rPr>
        <w:t>%</w:t>
      </w:r>
      <w:r w:rsidRPr="00CB6BB3">
        <w:rPr>
          <w:szCs w:val="24"/>
          <w:lang w:val="es-ES_tradnl"/>
        </w:rPr>
        <w:t xml:space="preserve"> de los fondos presupuestados para la mujer</w:t>
      </w:r>
      <w:r w:rsidR="00604EE2" w:rsidRPr="00CB6BB3">
        <w:rPr>
          <w:lang w:val="es-ES_tradnl"/>
        </w:rPr>
        <w:t>.</w:t>
      </w:r>
    </w:p>
    <w:p w:rsidR="00604EE2" w:rsidRPr="00CB6BB3" w:rsidRDefault="006740CB" w:rsidP="00604EE2">
      <w:pPr>
        <w:pStyle w:val="SingleTxtG"/>
        <w:rPr>
          <w:lang w:val="es-ES_tradnl"/>
        </w:rPr>
      </w:pPr>
      <w:r w:rsidRPr="00CB6BB3">
        <w:rPr>
          <w:szCs w:val="24"/>
          <w:lang w:val="es-ES_tradnl"/>
        </w:rPr>
        <w:t>150.</w:t>
      </w:r>
      <w:r w:rsidRPr="00CB6BB3">
        <w:rPr>
          <w:szCs w:val="24"/>
          <w:lang w:val="es-ES_tradnl"/>
        </w:rPr>
        <w:tab/>
        <w:t xml:space="preserve">En las profesiones de la salud, se han mejorado notablemente las oportunidades de promoción profesional de las mujeres. Se crearon títulos universitarios y cursos de estudio para parteras, tecnólogos médicos de nivel superior, personal de </w:t>
      </w:r>
      <w:r w:rsidR="00C7696C" w:rsidRPr="00CB6BB3">
        <w:rPr>
          <w:szCs w:val="24"/>
          <w:lang w:val="es-ES_tradnl"/>
        </w:rPr>
        <w:t xml:space="preserve">atención </w:t>
      </w:r>
      <w:r w:rsidRPr="00CB6BB3">
        <w:rPr>
          <w:szCs w:val="24"/>
          <w:lang w:val="es-ES_tradnl"/>
        </w:rPr>
        <w:t>de salud y enfermeras tituladas. Actualmente, estos cursos se imparten en escuelas de formación profesional superior, donde se facilita la transición desde estas ocupaciones de gran responsabilidad, donde la mayoría del personal es femenino, hacia estudios de posgrado</w:t>
      </w:r>
      <w:r w:rsidR="00604EE2" w:rsidRPr="00CB6BB3">
        <w:rPr>
          <w:lang w:val="es-ES_tradnl"/>
        </w:rPr>
        <w:t>.</w:t>
      </w:r>
    </w:p>
    <w:p w:rsidR="00604EE2" w:rsidRPr="00CB6BB3" w:rsidRDefault="006740CB" w:rsidP="00604EE2">
      <w:pPr>
        <w:pStyle w:val="SingleTxtG"/>
        <w:rPr>
          <w:lang w:val="es-ES_tradnl"/>
        </w:rPr>
      </w:pPr>
      <w:r w:rsidRPr="00CB6BB3">
        <w:rPr>
          <w:szCs w:val="24"/>
          <w:lang w:val="es-ES_tradnl"/>
        </w:rPr>
        <w:t>151.</w:t>
      </w:r>
      <w:r w:rsidRPr="00CB6BB3">
        <w:rPr>
          <w:szCs w:val="24"/>
          <w:lang w:val="es-ES_tradnl"/>
        </w:rPr>
        <w:tab/>
        <w:t xml:space="preserve">Con respecto a las licencias pagadas de estudios, la duración mínima del empleo ininterrumpido se redujo a seis meses para las personas que deseaban pedir una licencia, y el período mínimo de ésta se redujo de tres a dos </w:t>
      </w:r>
      <w:r w:rsidR="00C7696C" w:rsidRPr="00CB6BB3">
        <w:rPr>
          <w:szCs w:val="24"/>
          <w:lang w:val="es-ES_tradnl"/>
        </w:rPr>
        <w:t xml:space="preserve">meses (2009). Los trabajadores </w:t>
      </w:r>
      <w:r w:rsidRPr="00CB6BB3">
        <w:rPr>
          <w:szCs w:val="24"/>
          <w:lang w:val="es-ES_tradnl"/>
        </w:rPr>
        <w:t>e</w:t>
      </w:r>
      <w:r w:rsidR="00C7696C" w:rsidRPr="00CB6BB3">
        <w:rPr>
          <w:szCs w:val="24"/>
          <w:lang w:val="es-ES_tradnl"/>
        </w:rPr>
        <w:t>stacionales</w:t>
      </w:r>
      <w:r w:rsidRPr="00CB6BB3">
        <w:rPr>
          <w:szCs w:val="24"/>
          <w:lang w:val="es-ES_tradnl"/>
        </w:rPr>
        <w:t xml:space="preserve"> empleados por un período de tres meses ahora también pueden solicitar a sus empleadores una licencia pagada de estudios (siempre y cuando se cumplan ciertas condiciones)</w:t>
      </w:r>
      <w:r w:rsidRPr="00CB6BB3">
        <w:rPr>
          <w:rStyle w:val="FootnoteReference"/>
          <w:szCs w:val="24"/>
          <w:lang w:val="es-ES_tradnl"/>
        </w:rPr>
        <w:footnoteReference w:id="81"/>
      </w:r>
      <w:r w:rsidR="00604EE2" w:rsidRPr="00CB6BB3">
        <w:rPr>
          <w:lang w:val="es-ES_tradnl"/>
        </w:rPr>
        <w:t>.</w:t>
      </w:r>
    </w:p>
    <w:p w:rsidR="00604EE2" w:rsidRPr="00CB6BB3" w:rsidRDefault="006740CB" w:rsidP="00604EE2">
      <w:pPr>
        <w:pStyle w:val="SingleTxtG"/>
        <w:rPr>
          <w:lang w:val="es-ES_tradnl"/>
        </w:rPr>
      </w:pPr>
      <w:r w:rsidRPr="00CB6BB3">
        <w:rPr>
          <w:szCs w:val="24"/>
          <w:lang w:val="es-ES_tradnl"/>
        </w:rPr>
        <w:t>152.</w:t>
      </w:r>
      <w:r w:rsidRPr="00CB6BB3">
        <w:rPr>
          <w:szCs w:val="24"/>
          <w:lang w:val="es-ES_tradnl"/>
        </w:rPr>
        <w:tab/>
        <w:t xml:space="preserve">Ejemplos de las provincias federales. Todas las provincias federales y el </w:t>
      </w:r>
      <w:r w:rsidR="00792D71" w:rsidRPr="00CB6BB3">
        <w:rPr>
          <w:szCs w:val="24"/>
          <w:lang w:val="es-ES_tradnl"/>
        </w:rPr>
        <w:t xml:space="preserve">Gobierno Federal </w:t>
      </w:r>
      <w:r w:rsidRPr="00CB6BB3">
        <w:rPr>
          <w:szCs w:val="24"/>
          <w:lang w:val="es-ES_tradnl"/>
        </w:rPr>
        <w:t xml:space="preserve">participan en </w:t>
      </w:r>
      <w:r w:rsidR="00C70626">
        <w:rPr>
          <w:szCs w:val="24"/>
          <w:lang w:val="es-ES_tradnl"/>
        </w:rPr>
        <w:t>"</w:t>
      </w:r>
      <w:r w:rsidRPr="00CB6BB3">
        <w:rPr>
          <w:szCs w:val="24"/>
          <w:lang w:val="es-ES_tradnl"/>
        </w:rPr>
        <w:t>mut!</w:t>
      </w:r>
      <w:r w:rsidR="00C70626">
        <w:rPr>
          <w:szCs w:val="24"/>
          <w:lang w:val="es-ES_tradnl"/>
        </w:rPr>
        <w:t>"</w:t>
      </w:r>
      <w:r w:rsidRPr="00CB6BB3">
        <w:rPr>
          <w:szCs w:val="24"/>
          <w:lang w:val="es-ES_tradnl"/>
        </w:rPr>
        <w:t xml:space="preserve">, el proyecto para la orientación profesional con enfoque de género dedicado especialmente a las </w:t>
      </w:r>
      <w:r w:rsidR="00B56C5E" w:rsidRPr="00CB6BB3">
        <w:rPr>
          <w:szCs w:val="24"/>
          <w:lang w:val="es-ES_tradnl"/>
        </w:rPr>
        <w:t>jovencitas</w:t>
      </w:r>
      <w:r w:rsidRPr="00CB6BB3">
        <w:rPr>
          <w:szCs w:val="24"/>
          <w:lang w:val="es-ES_tradnl"/>
        </w:rPr>
        <w:t xml:space="preserve"> y la tecnología. Se han adoptado una serie de medidas para ampliar la gama de ocupaciones y profesiones disponibles para las mujeres. Se sensibilizó y capacitó a las personas encargadas de asesorar a las </w:t>
      </w:r>
      <w:r w:rsidR="00B56C5E" w:rsidRPr="00CB6BB3">
        <w:rPr>
          <w:szCs w:val="24"/>
          <w:lang w:val="es-ES_tradnl"/>
        </w:rPr>
        <w:t>jovencitas</w:t>
      </w:r>
      <w:r w:rsidRPr="00CB6BB3">
        <w:rPr>
          <w:szCs w:val="24"/>
          <w:lang w:val="es-ES_tradnl"/>
        </w:rPr>
        <w:t xml:space="preserve"> en la elección de una profesión (especialmente en </w:t>
      </w:r>
      <w:r w:rsidR="008D6416" w:rsidRPr="00CB6BB3">
        <w:rPr>
          <w:szCs w:val="24"/>
          <w:lang w:val="es-ES_tradnl"/>
        </w:rPr>
        <w:t xml:space="preserve">las </w:t>
      </w:r>
      <w:r w:rsidRPr="00CB6BB3">
        <w:rPr>
          <w:szCs w:val="24"/>
          <w:lang w:val="es-ES_tradnl"/>
        </w:rPr>
        <w:t xml:space="preserve">escuelas y en las familias). La meta es </w:t>
      </w:r>
      <w:r w:rsidR="008D6416" w:rsidRPr="00CB6BB3">
        <w:rPr>
          <w:szCs w:val="24"/>
          <w:lang w:val="es-ES_tradnl"/>
        </w:rPr>
        <w:t>robustec</w:t>
      </w:r>
      <w:r w:rsidRPr="00CB6BB3">
        <w:rPr>
          <w:szCs w:val="24"/>
          <w:lang w:val="es-ES_tradnl"/>
        </w:rPr>
        <w:t xml:space="preserve">er las medidas pedagógicas </w:t>
      </w:r>
      <w:r w:rsidR="008D6416" w:rsidRPr="00CB6BB3">
        <w:rPr>
          <w:szCs w:val="24"/>
          <w:lang w:val="es-ES_tradnl"/>
        </w:rPr>
        <w:t xml:space="preserve">atentas a </w:t>
      </w:r>
      <w:r w:rsidRPr="00CB6BB3">
        <w:rPr>
          <w:szCs w:val="24"/>
          <w:lang w:val="es-ES_tradnl"/>
        </w:rPr>
        <w:t>las cuestiones de género en todo el ámbito de la orientación profesional. En cada provincia federal, se ordenó la ejecución operativa del proyecto a diversas institucion</w:t>
      </w:r>
      <w:r w:rsidR="00C7696C" w:rsidRPr="00CB6BB3">
        <w:rPr>
          <w:szCs w:val="24"/>
          <w:lang w:val="es-ES_tradnl"/>
        </w:rPr>
        <w:t xml:space="preserve">es, como centros de </w:t>
      </w:r>
      <w:r w:rsidRPr="00CB6BB3">
        <w:rPr>
          <w:szCs w:val="24"/>
          <w:lang w:val="es-ES_tradnl"/>
        </w:rPr>
        <w:t>o</w:t>
      </w:r>
      <w:r w:rsidR="00C7696C" w:rsidRPr="00CB6BB3">
        <w:rPr>
          <w:szCs w:val="24"/>
          <w:lang w:val="es-ES_tradnl"/>
        </w:rPr>
        <w:t>rientación</w:t>
      </w:r>
      <w:r w:rsidRPr="00CB6BB3">
        <w:rPr>
          <w:szCs w:val="24"/>
          <w:lang w:val="es-ES_tradnl"/>
        </w:rPr>
        <w:t xml:space="preserve"> </w:t>
      </w:r>
      <w:r w:rsidR="00C7696C" w:rsidRPr="00CB6BB3">
        <w:rPr>
          <w:szCs w:val="24"/>
          <w:lang w:val="es-ES_tradnl"/>
        </w:rPr>
        <w:t>de</w:t>
      </w:r>
      <w:r w:rsidRPr="00CB6BB3">
        <w:rPr>
          <w:szCs w:val="24"/>
          <w:lang w:val="es-ES_tradnl"/>
        </w:rPr>
        <w:t xml:space="preserve"> la mujer, organizaciones de promoción del empleo, etc. El proyecto </w:t>
      </w:r>
      <w:r w:rsidR="00C70626">
        <w:rPr>
          <w:szCs w:val="24"/>
          <w:lang w:val="es-ES_tradnl"/>
        </w:rPr>
        <w:t>"</w:t>
      </w:r>
      <w:r w:rsidRPr="00CB6BB3">
        <w:rPr>
          <w:szCs w:val="24"/>
          <w:lang w:val="es-ES_tradnl"/>
        </w:rPr>
        <w:t>mut!</w:t>
      </w:r>
      <w:r w:rsidR="00C70626">
        <w:rPr>
          <w:szCs w:val="24"/>
          <w:lang w:val="es-ES_tradnl"/>
        </w:rPr>
        <w:t>"</w:t>
      </w:r>
      <w:r w:rsidRPr="00CB6BB3">
        <w:rPr>
          <w:szCs w:val="24"/>
          <w:lang w:val="es-ES_tradnl"/>
        </w:rPr>
        <w:t xml:space="preserve"> contribuyó a crear una amplia y fuerte conexión entre todos los agentes que trabajaban dentro y fuera de las escuelas</w:t>
      </w:r>
      <w:r w:rsidR="00604EE2" w:rsidRPr="00CB6BB3">
        <w:rPr>
          <w:lang w:val="es-ES_tradnl"/>
        </w:rPr>
        <w:t>.</w:t>
      </w:r>
    </w:p>
    <w:p w:rsidR="00604EE2" w:rsidRPr="00CB6BB3" w:rsidRDefault="00C7696C" w:rsidP="00604EE2">
      <w:pPr>
        <w:pStyle w:val="SingleTxtG"/>
        <w:rPr>
          <w:lang w:val="es-ES_tradnl"/>
        </w:rPr>
      </w:pPr>
      <w:r w:rsidRPr="00CB6BB3">
        <w:rPr>
          <w:szCs w:val="24"/>
          <w:lang w:val="es-ES_tradnl"/>
        </w:rPr>
        <w:t>153.</w:t>
      </w:r>
      <w:r w:rsidRPr="00CB6BB3">
        <w:rPr>
          <w:szCs w:val="24"/>
          <w:lang w:val="es-ES_tradnl"/>
        </w:rPr>
        <w:tab/>
        <w:t>En Vorarlberg, se cre</w:t>
      </w:r>
      <w:r w:rsidR="006740CB" w:rsidRPr="00CB6BB3">
        <w:rPr>
          <w:szCs w:val="24"/>
          <w:lang w:val="es-ES_tradnl"/>
        </w:rPr>
        <w:t xml:space="preserve">ó una plataforma de educación sexual. En un sitio de Internet se ofrece información sobre la </w:t>
      </w:r>
      <w:r w:rsidRPr="00CB6BB3">
        <w:rPr>
          <w:szCs w:val="24"/>
          <w:lang w:val="es-ES_tradnl"/>
        </w:rPr>
        <w:t xml:space="preserve">educación sexual de los jóvenes. </w:t>
      </w:r>
      <w:r w:rsidR="00BF3169" w:rsidRPr="00CB6BB3">
        <w:rPr>
          <w:szCs w:val="24"/>
          <w:lang w:val="es-ES_tradnl"/>
        </w:rPr>
        <w:t>Además</w:t>
      </w:r>
      <w:r w:rsidRPr="00CB6BB3">
        <w:rPr>
          <w:szCs w:val="24"/>
          <w:lang w:val="es-ES_tradnl"/>
        </w:rPr>
        <w:t>,</w:t>
      </w:r>
      <w:r w:rsidR="006740CB" w:rsidRPr="00CB6BB3">
        <w:rPr>
          <w:szCs w:val="24"/>
          <w:lang w:val="es-ES_tradnl"/>
        </w:rPr>
        <w:t xml:space="preserve"> se están otorgando subvenciones para impartir cursos complementarios y de nivel avanzado sobre esta materia</w:t>
      </w:r>
      <w:r w:rsidR="00604EE2" w:rsidRPr="00CB6BB3">
        <w:rPr>
          <w:lang w:val="es-ES_tradnl"/>
        </w:rPr>
        <w:t>.</w:t>
      </w:r>
    </w:p>
    <w:p w:rsidR="006740CB" w:rsidRPr="00CB6BB3" w:rsidRDefault="006740CB" w:rsidP="00C21E04">
      <w:pPr>
        <w:pStyle w:val="SingleTxtG"/>
        <w:rPr>
          <w:lang w:val="es-ES_tradnl"/>
        </w:rPr>
      </w:pPr>
      <w:r w:rsidRPr="00CB6BB3">
        <w:rPr>
          <w:lang w:val="es-ES_tradnl"/>
        </w:rPr>
        <w:t>154.</w:t>
      </w:r>
      <w:r w:rsidRPr="00CB6BB3">
        <w:rPr>
          <w:lang w:val="es-ES_tradnl"/>
        </w:rPr>
        <w:tab/>
        <w:t xml:space="preserve">En Burgenland, </w:t>
      </w:r>
      <w:r w:rsidR="008D6416" w:rsidRPr="00CB6BB3">
        <w:rPr>
          <w:lang w:val="es-ES_tradnl"/>
        </w:rPr>
        <w:t xml:space="preserve">desde 2008, </w:t>
      </w:r>
      <w:r w:rsidRPr="00CB6BB3">
        <w:rPr>
          <w:lang w:val="es-ES_tradnl"/>
        </w:rPr>
        <w:t xml:space="preserve">los estudiantes de educación inicial </w:t>
      </w:r>
      <w:r w:rsidR="008D6416" w:rsidRPr="00CB6BB3">
        <w:rPr>
          <w:lang w:val="es-ES_tradnl"/>
        </w:rPr>
        <w:t>reciben</w:t>
      </w:r>
      <w:r w:rsidRPr="00CB6BB3">
        <w:rPr>
          <w:lang w:val="es-ES_tradnl"/>
        </w:rPr>
        <w:t xml:space="preserve"> capacitación en pedagogía adaptada a las cuestiones de género.</w:t>
      </w:r>
    </w:p>
    <w:p w:rsidR="006740CB" w:rsidRPr="00CB6BB3" w:rsidRDefault="006740CB" w:rsidP="00C21E04">
      <w:pPr>
        <w:pStyle w:val="H1G"/>
        <w:rPr>
          <w:lang w:val="es-ES_tradnl"/>
        </w:rPr>
      </w:pPr>
      <w:r w:rsidRPr="00CB6BB3">
        <w:rPr>
          <w:lang w:val="es-ES_tradnl"/>
        </w:rPr>
        <w:tab/>
      </w:r>
      <w:r w:rsidRPr="00CB6BB3">
        <w:rPr>
          <w:lang w:val="es-ES_tradnl"/>
        </w:rPr>
        <w:tab/>
        <w:t>Artículo 11</w:t>
      </w:r>
      <w:r w:rsidRPr="00CB6BB3">
        <w:rPr>
          <w:lang w:val="es-ES_tradnl"/>
        </w:rPr>
        <w:br/>
        <w:t xml:space="preserve">Eliminación de la discriminación en el ámbito del empleo </w:t>
      </w:r>
      <w:r w:rsidRPr="00C21E04">
        <w:rPr>
          <w:b w:val="0"/>
          <w:sz w:val="20"/>
          <w:lang w:val="es-ES_tradnl"/>
        </w:rPr>
        <w:t xml:space="preserve">(véanse las recomendaciones </w:t>
      </w:r>
      <w:r w:rsidR="00906C06">
        <w:rPr>
          <w:b w:val="0"/>
          <w:sz w:val="20"/>
          <w:lang w:val="es-ES_tradnl"/>
        </w:rPr>
        <w:t xml:space="preserve">Nos. </w:t>
      </w:r>
      <w:r w:rsidRPr="00C21E04">
        <w:rPr>
          <w:b w:val="0"/>
          <w:sz w:val="20"/>
          <w:lang w:val="es-ES_tradnl"/>
        </w:rPr>
        <w:t xml:space="preserve">11 a 14, 17 a 22 y 27 a 30, en particular, el Plan de Acción </w:t>
      </w:r>
      <w:r w:rsidR="0075613F">
        <w:rPr>
          <w:b w:val="0"/>
          <w:sz w:val="20"/>
          <w:lang w:val="es-ES_tradnl"/>
        </w:rPr>
        <w:br/>
      </w:r>
      <w:r w:rsidRPr="00C21E04">
        <w:rPr>
          <w:b w:val="0"/>
          <w:sz w:val="20"/>
          <w:lang w:val="es-ES_tradnl"/>
        </w:rPr>
        <w:t>Nacional por la Igualdad de Género en el Mercado de Trabajo)</w:t>
      </w:r>
    </w:p>
    <w:p w:rsidR="00604EE2" w:rsidRPr="00CB6BB3" w:rsidRDefault="006740CB" w:rsidP="00604EE2">
      <w:pPr>
        <w:pStyle w:val="SingleTxtG"/>
        <w:rPr>
          <w:lang w:val="es-ES_tradnl"/>
        </w:rPr>
      </w:pPr>
      <w:r w:rsidRPr="00CB6BB3">
        <w:rPr>
          <w:szCs w:val="24"/>
          <w:lang w:val="es-ES_tradnl"/>
        </w:rPr>
        <w:t>155.</w:t>
      </w:r>
      <w:r w:rsidRPr="00CB6BB3">
        <w:rPr>
          <w:szCs w:val="24"/>
          <w:lang w:val="es-ES_tradnl"/>
        </w:rPr>
        <w:tab/>
      </w:r>
      <w:r w:rsidR="00C7696C" w:rsidRPr="00CB6BB3">
        <w:rPr>
          <w:szCs w:val="24"/>
          <w:lang w:val="es-ES_tradnl"/>
        </w:rPr>
        <w:t>De conformidad</w:t>
      </w:r>
      <w:r w:rsidRPr="00CB6BB3">
        <w:rPr>
          <w:szCs w:val="24"/>
          <w:lang w:val="es-ES_tradnl"/>
        </w:rPr>
        <w:t xml:space="preserve"> co</w:t>
      </w:r>
      <w:r w:rsidR="008D6416" w:rsidRPr="00CB6BB3">
        <w:rPr>
          <w:szCs w:val="24"/>
          <w:lang w:val="es-ES_tradnl"/>
        </w:rPr>
        <w:t xml:space="preserve">n la </w:t>
      </w:r>
      <w:r w:rsidR="00C70626">
        <w:rPr>
          <w:szCs w:val="24"/>
          <w:lang w:val="es-ES_tradnl"/>
        </w:rPr>
        <w:t>"</w:t>
      </w:r>
      <w:r w:rsidR="008D6416" w:rsidRPr="00CB6BB3">
        <w:rPr>
          <w:szCs w:val="24"/>
          <w:lang w:val="es-ES_tradnl"/>
        </w:rPr>
        <w:t>Iniciativa de empleo para</w:t>
      </w:r>
      <w:r w:rsidRPr="00CB6BB3">
        <w:rPr>
          <w:szCs w:val="24"/>
          <w:lang w:val="es-ES_tradnl"/>
        </w:rPr>
        <w:t xml:space="preserve"> personas con discapacidad</w:t>
      </w:r>
      <w:r w:rsidR="00C70626">
        <w:rPr>
          <w:szCs w:val="24"/>
          <w:lang w:val="es-ES_tradnl"/>
        </w:rPr>
        <w:t>"</w:t>
      </w:r>
      <w:r w:rsidRPr="00CB6BB3">
        <w:rPr>
          <w:szCs w:val="24"/>
          <w:lang w:val="es-ES_tradnl"/>
        </w:rPr>
        <w:t>,</w:t>
      </w:r>
      <w:r w:rsidR="00C7696C" w:rsidRPr="00CB6BB3">
        <w:rPr>
          <w:szCs w:val="24"/>
          <w:lang w:val="es-ES_tradnl"/>
        </w:rPr>
        <w:t xml:space="preserve"> en los últimos años se han subvencionado y ejecutado numerosos proyectos</w:t>
      </w:r>
      <w:r w:rsidRPr="00CB6BB3">
        <w:rPr>
          <w:szCs w:val="24"/>
          <w:lang w:val="es-ES_tradnl"/>
        </w:rPr>
        <w:t xml:space="preserve">. También </w:t>
      </w:r>
      <w:r w:rsidR="00850B6B" w:rsidRPr="00CB6BB3">
        <w:rPr>
          <w:szCs w:val="24"/>
          <w:lang w:val="es-ES_tradnl"/>
        </w:rPr>
        <w:t xml:space="preserve">se </w:t>
      </w:r>
      <w:r w:rsidR="00C7696C" w:rsidRPr="00CB6BB3">
        <w:rPr>
          <w:szCs w:val="24"/>
          <w:lang w:val="es-ES_tradnl"/>
        </w:rPr>
        <w:t xml:space="preserve">puso en marcha </w:t>
      </w:r>
      <w:r w:rsidRPr="00CB6BB3">
        <w:rPr>
          <w:szCs w:val="24"/>
          <w:lang w:val="es-ES_tradnl"/>
        </w:rPr>
        <w:t xml:space="preserve">un proyecto piloto sobre igualdad </w:t>
      </w:r>
      <w:r w:rsidR="00C7696C" w:rsidRPr="00CB6BB3">
        <w:rPr>
          <w:szCs w:val="24"/>
          <w:lang w:val="es-ES_tradnl"/>
        </w:rPr>
        <w:t xml:space="preserve">en </w:t>
      </w:r>
      <w:r w:rsidRPr="00CB6BB3">
        <w:rPr>
          <w:szCs w:val="24"/>
          <w:lang w:val="es-ES_tradnl"/>
        </w:rPr>
        <w:t xml:space="preserve">el proyecto </w:t>
      </w:r>
      <w:r w:rsidR="00C70626">
        <w:rPr>
          <w:szCs w:val="24"/>
          <w:lang w:val="es-ES_tradnl"/>
        </w:rPr>
        <w:t>"</w:t>
      </w:r>
      <w:r w:rsidR="00C7696C" w:rsidRPr="00CB6BB3">
        <w:rPr>
          <w:szCs w:val="24"/>
          <w:lang w:val="es-ES_tradnl"/>
        </w:rPr>
        <w:t>Abrir paso</w:t>
      </w:r>
      <w:r w:rsidR="00C70626">
        <w:rPr>
          <w:szCs w:val="24"/>
          <w:lang w:val="es-ES_tradnl"/>
        </w:rPr>
        <w:t>"</w:t>
      </w:r>
      <w:r w:rsidRPr="00CB6BB3">
        <w:rPr>
          <w:szCs w:val="24"/>
          <w:lang w:val="es-ES_tradnl"/>
        </w:rPr>
        <w:t xml:space="preserve">. </w:t>
      </w:r>
      <w:r w:rsidR="00C7696C" w:rsidRPr="00CB6BB3">
        <w:rPr>
          <w:szCs w:val="24"/>
          <w:lang w:val="es-ES_tradnl"/>
        </w:rPr>
        <w:t>Este proyecto tiene por objeto</w:t>
      </w:r>
      <w:r w:rsidRPr="00CB6BB3">
        <w:rPr>
          <w:szCs w:val="24"/>
          <w:lang w:val="es-ES_tradnl"/>
        </w:rPr>
        <w:t xml:space="preserve"> contrarrestar la dificultad </w:t>
      </w:r>
      <w:r w:rsidR="00C7696C" w:rsidRPr="00CB6BB3">
        <w:rPr>
          <w:szCs w:val="24"/>
          <w:lang w:val="es-ES_tradnl"/>
        </w:rPr>
        <w:t>de encontrar un puesto</w:t>
      </w:r>
      <w:r w:rsidRPr="00CB6BB3">
        <w:rPr>
          <w:szCs w:val="24"/>
          <w:lang w:val="es-ES_tradnl"/>
        </w:rPr>
        <w:t xml:space="preserve"> de trabajo </w:t>
      </w:r>
      <w:r w:rsidR="00C7696C" w:rsidRPr="00CB6BB3">
        <w:rPr>
          <w:szCs w:val="24"/>
          <w:lang w:val="es-ES_tradnl"/>
        </w:rPr>
        <w:t>par</w:t>
      </w:r>
      <w:r w:rsidRPr="00CB6BB3">
        <w:rPr>
          <w:szCs w:val="24"/>
          <w:lang w:val="es-ES_tradnl"/>
        </w:rPr>
        <w:t>a</w:t>
      </w:r>
      <w:r w:rsidR="00C7696C" w:rsidRPr="00CB6BB3">
        <w:rPr>
          <w:szCs w:val="24"/>
          <w:lang w:val="es-ES_tradnl"/>
        </w:rPr>
        <w:t xml:space="preserve"> las</w:t>
      </w:r>
      <w:r w:rsidRPr="00CB6BB3">
        <w:rPr>
          <w:szCs w:val="24"/>
          <w:lang w:val="es-ES_tradnl"/>
        </w:rPr>
        <w:t xml:space="preserve"> personas con discapacidad. Con ayuda de </w:t>
      </w:r>
      <w:r w:rsidR="00C7696C" w:rsidRPr="00CB6BB3">
        <w:rPr>
          <w:szCs w:val="24"/>
          <w:lang w:val="es-ES_tradnl"/>
        </w:rPr>
        <w:t xml:space="preserve">conjuntos de medidas para el </w:t>
      </w:r>
      <w:r w:rsidRPr="00CB6BB3">
        <w:rPr>
          <w:szCs w:val="24"/>
          <w:lang w:val="es-ES_tradnl"/>
        </w:rPr>
        <w:t>adelanto de las personas</w:t>
      </w:r>
      <w:r w:rsidR="00C7696C" w:rsidRPr="00CB6BB3">
        <w:rPr>
          <w:szCs w:val="24"/>
          <w:lang w:val="es-ES_tradnl"/>
        </w:rPr>
        <w:t>,</w:t>
      </w:r>
      <w:r w:rsidRPr="00CB6BB3">
        <w:rPr>
          <w:szCs w:val="24"/>
          <w:lang w:val="es-ES_tradnl"/>
        </w:rPr>
        <w:t xml:space="preserve"> basados en planes de desarrollo, se ofrece a los jóvenes de </w:t>
      </w:r>
      <w:r w:rsidR="00C7696C" w:rsidRPr="00CB6BB3">
        <w:rPr>
          <w:szCs w:val="24"/>
          <w:lang w:val="es-ES_tradnl"/>
        </w:rPr>
        <w:t>uno y otro sexo</w:t>
      </w:r>
      <w:r w:rsidRPr="00CB6BB3">
        <w:rPr>
          <w:szCs w:val="24"/>
          <w:lang w:val="es-ES_tradnl"/>
        </w:rPr>
        <w:t xml:space="preserve"> las soluciones más adecuadas antes de que dejen la escuela e ingresen al mercado de trabajo. Actualmente, las directrices que promueven la integración de las </w:t>
      </w:r>
      <w:r w:rsidR="00C7696C" w:rsidRPr="00CB6BB3">
        <w:rPr>
          <w:szCs w:val="24"/>
          <w:lang w:val="es-ES_tradnl"/>
        </w:rPr>
        <w:t>personas</w:t>
      </w:r>
      <w:r w:rsidRPr="00CB6BB3">
        <w:rPr>
          <w:szCs w:val="24"/>
          <w:lang w:val="es-ES_tradnl"/>
        </w:rPr>
        <w:t xml:space="preserve"> con discapacidad en el mundo del trabajo están siendo </w:t>
      </w:r>
      <w:r w:rsidR="00C7696C" w:rsidRPr="00CB6BB3">
        <w:rPr>
          <w:szCs w:val="24"/>
          <w:lang w:val="es-ES_tradnl"/>
        </w:rPr>
        <w:t>revisada</w:t>
      </w:r>
      <w:r w:rsidRPr="00CB6BB3">
        <w:rPr>
          <w:szCs w:val="24"/>
          <w:lang w:val="es-ES_tradnl"/>
        </w:rPr>
        <w:t>s a fin de incorporar la perspectiva de género. En el Servicio Público de Empleo, en promedio, un 40</w:t>
      </w:r>
      <w:r w:rsidR="00B34FFF">
        <w:rPr>
          <w:szCs w:val="24"/>
          <w:lang w:val="es-ES_tradnl"/>
        </w:rPr>
        <w:t>%</w:t>
      </w:r>
      <w:r w:rsidRPr="00CB6BB3">
        <w:rPr>
          <w:szCs w:val="24"/>
          <w:lang w:val="es-ES_tradnl"/>
        </w:rPr>
        <w:t xml:space="preserve"> de todas las medidas de apoyo para personas con discapacidad se </w:t>
      </w:r>
      <w:r w:rsidR="00C7696C" w:rsidRPr="00CB6BB3">
        <w:rPr>
          <w:szCs w:val="24"/>
          <w:lang w:val="es-ES_tradnl"/>
        </w:rPr>
        <w:t>destinaron a</w:t>
      </w:r>
      <w:r w:rsidRPr="00CB6BB3">
        <w:rPr>
          <w:szCs w:val="24"/>
          <w:lang w:val="es-ES_tradnl"/>
        </w:rPr>
        <w:t xml:space="preserve"> mujeres, una cifra </w:t>
      </w:r>
      <w:r w:rsidR="00C7696C" w:rsidRPr="00CB6BB3">
        <w:rPr>
          <w:szCs w:val="24"/>
          <w:lang w:val="es-ES_tradnl"/>
        </w:rPr>
        <w:t>excesivamente elevada</w:t>
      </w:r>
      <w:r w:rsidRPr="00CB6BB3">
        <w:rPr>
          <w:szCs w:val="24"/>
          <w:lang w:val="es-ES_tradnl"/>
        </w:rPr>
        <w:t xml:space="preserve"> en comparación con el porcentaje de mujeres registradas</w:t>
      </w:r>
      <w:r w:rsidR="00604EE2" w:rsidRPr="00CB6BB3">
        <w:rPr>
          <w:lang w:val="es-ES_tradnl"/>
        </w:rPr>
        <w:t>.</w:t>
      </w:r>
    </w:p>
    <w:p w:rsidR="006740CB" w:rsidRPr="00CB6BB3" w:rsidRDefault="006740CB" w:rsidP="00C21E04">
      <w:pPr>
        <w:pStyle w:val="SingleTxtG"/>
        <w:rPr>
          <w:lang w:val="es-ES_tradnl"/>
        </w:rPr>
      </w:pPr>
      <w:r w:rsidRPr="00CB6BB3">
        <w:rPr>
          <w:lang w:val="es-ES_tradnl"/>
        </w:rPr>
        <w:t>156.</w:t>
      </w:r>
      <w:r w:rsidRPr="00CB6BB3">
        <w:rPr>
          <w:lang w:val="es-ES_tradnl"/>
        </w:rPr>
        <w:tab/>
        <w:t xml:space="preserve">En el Ejército Federal, </w:t>
      </w:r>
      <w:r w:rsidR="00C7696C" w:rsidRPr="00CB6BB3">
        <w:rPr>
          <w:lang w:val="es-ES_tradnl"/>
        </w:rPr>
        <w:t>desde el 1</w:t>
      </w:r>
      <w:r w:rsidR="00C21E04">
        <w:rPr>
          <w:lang w:val="es-ES_tradnl"/>
        </w:rPr>
        <w:t>º</w:t>
      </w:r>
      <w:r w:rsidR="00C7696C" w:rsidRPr="00CB6BB3">
        <w:rPr>
          <w:lang w:val="es-ES_tradnl"/>
        </w:rPr>
        <w:t xml:space="preserve"> de julio de 2005 entraron en vigor l</w:t>
      </w:r>
      <w:r w:rsidRPr="00CB6BB3">
        <w:rPr>
          <w:lang w:val="es-ES_tradnl"/>
        </w:rPr>
        <w:t xml:space="preserve">os </w:t>
      </w:r>
      <w:r w:rsidR="00C7696C" w:rsidRPr="00CB6BB3">
        <w:rPr>
          <w:lang w:val="es-ES_tradnl"/>
        </w:rPr>
        <w:t>cambios detallados a continuación</w:t>
      </w:r>
      <w:r w:rsidRPr="00CB6BB3">
        <w:rPr>
          <w:lang w:val="es-ES_tradnl"/>
        </w:rPr>
        <w:t>. Con respecto a la remuneración, las mujeres mejoraron significativamente sus condiciones</w:t>
      </w:r>
      <w:r w:rsidRPr="00CB6BB3">
        <w:rPr>
          <w:rStyle w:val="FootnoteReference"/>
          <w:szCs w:val="24"/>
          <w:lang w:val="es-ES_tradnl"/>
        </w:rPr>
        <w:footnoteReference w:id="82"/>
      </w:r>
      <w:r w:rsidRPr="00CB6BB3">
        <w:rPr>
          <w:lang w:val="es-ES_tradnl"/>
        </w:rPr>
        <w:t xml:space="preserve">. Al habilitar el acceso de reclutas hombres a la </w:t>
      </w:r>
      <w:r w:rsidR="00C70626">
        <w:rPr>
          <w:lang w:val="es-ES_tradnl"/>
        </w:rPr>
        <w:t>"</w:t>
      </w:r>
      <w:r w:rsidRPr="00CB6BB3">
        <w:rPr>
          <w:lang w:val="es-ES_tradnl"/>
        </w:rPr>
        <w:t>formación en el servicio militar</w:t>
      </w:r>
      <w:r w:rsidR="00C70626">
        <w:rPr>
          <w:lang w:val="es-ES_tradnl"/>
        </w:rPr>
        <w:t>"</w:t>
      </w:r>
      <w:r w:rsidRPr="00CB6BB3">
        <w:rPr>
          <w:lang w:val="es-ES_tradnl"/>
        </w:rPr>
        <w:t xml:space="preserve">, un servicio especial del ejército hasta entonces reservado a las mujeres, la remuneración </w:t>
      </w:r>
      <w:r w:rsidR="00C906B9" w:rsidRPr="00CB6BB3">
        <w:rPr>
          <w:lang w:val="es-ES_tradnl"/>
        </w:rPr>
        <w:t xml:space="preserve">en este servicio fue incrementada </w:t>
      </w:r>
      <w:r w:rsidRPr="00CB6BB3">
        <w:rPr>
          <w:lang w:val="es-ES_tradnl"/>
        </w:rPr>
        <w:t>desde el primer mes</w:t>
      </w:r>
      <w:r w:rsidR="00C906B9" w:rsidRPr="00CB6BB3">
        <w:rPr>
          <w:lang w:val="es-ES_tradnl"/>
        </w:rPr>
        <w:t xml:space="preserve"> de servicio en adelante</w:t>
      </w:r>
      <w:r w:rsidRPr="00CB6BB3">
        <w:rPr>
          <w:lang w:val="es-ES_tradnl"/>
        </w:rPr>
        <w:t>, de acuerdo con el principi</w:t>
      </w:r>
      <w:r w:rsidR="00C906B9" w:rsidRPr="00CB6BB3">
        <w:rPr>
          <w:lang w:val="es-ES_tradnl"/>
        </w:rPr>
        <w:t>o de igualdad consagrado en la C</w:t>
      </w:r>
      <w:r w:rsidRPr="00CB6BB3">
        <w:rPr>
          <w:lang w:val="es-ES_tradnl"/>
        </w:rPr>
        <w:t>onstitución</w:t>
      </w:r>
      <w:r w:rsidRPr="00CB6BB3">
        <w:rPr>
          <w:rStyle w:val="FootnoteReference"/>
          <w:szCs w:val="24"/>
          <w:lang w:val="es-ES_tradnl"/>
        </w:rPr>
        <w:footnoteReference w:id="83"/>
      </w:r>
      <w:r w:rsidRPr="00CB6BB3">
        <w:rPr>
          <w:lang w:val="es-ES_tradnl"/>
        </w:rPr>
        <w:t xml:space="preserve">. </w:t>
      </w:r>
      <w:r w:rsidR="00C906B9" w:rsidRPr="00CB6BB3">
        <w:rPr>
          <w:lang w:val="es-ES_tradnl"/>
        </w:rPr>
        <w:t>El límite de tiempo de</w:t>
      </w:r>
      <w:r w:rsidRPr="00CB6BB3">
        <w:rPr>
          <w:lang w:val="es-ES_tradnl"/>
        </w:rPr>
        <w:t>l servicio militar</w:t>
      </w:r>
      <w:r w:rsidR="00C906B9" w:rsidRPr="00CB6BB3">
        <w:rPr>
          <w:lang w:val="es-ES_tradnl"/>
        </w:rPr>
        <w:t xml:space="preserve"> fue suprimido</w:t>
      </w:r>
      <w:r w:rsidRPr="00CB6BB3">
        <w:rPr>
          <w:lang w:val="es-ES_tradnl"/>
        </w:rPr>
        <w:t xml:space="preserve">: las mujeres podrán prestar servicios hasta los 50 años o hasta el final del año en que cumplan 65 años, siempre y cuando sean oficiales, suboficiales o especialistas en el área de la tecnología, la salud, la capellanía o las lenguas extranjeras. </w:t>
      </w:r>
      <w:r w:rsidR="00BF3169" w:rsidRPr="00CB6BB3">
        <w:rPr>
          <w:lang w:val="es-ES_tradnl"/>
        </w:rPr>
        <w:t>La prueba de aptitud física para este servicio m</w:t>
      </w:r>
      <w:r w:rsidR="00850B6B" w:rsidRPr="00CB6BB3">
        <w:rPr>
          <w:lang w:val="es-ES_tradnl"/>
        </w:rPr>
        <w:t>ilitar fue totalmente modificada</w:t>
      </w:r>
      <w:r w:rsidR="00BF3169" w:rsidRPr="00CB6BB3">
        <w:rPr>
          <w:lang w:val="es-ES_tradnl"/>
        </w:rPr>
        <w:t>: los resultados insuficientes en un área (por ejemplo, correr) pueden compensarse con resultados sobresalientes en otra (por ejemplo, flexiones), siempre que se cumplan un mínimo de condiciones en todas las subáreas examinadas.</w:t>
      </w:r>
    </w:p>
    <w:p w:rsidR="006740CB" w:rsidRPr="00CB6BB3" w:rsidRDefault="006740CB" w:rsidP="00C21E04">
      <w:pPr>
        <w:pStyle w:val="H1G"/>
        <w:rPr>
          <w:lang w:val="es-ES_tradnl"/>
        </w:rPr>
      </w:pPr>
      <w:r w:rsidRPr="00CB6BB3">
        <w:rPr>
          <w:lang w:val="es-ES_tradnl"/>
        </w:rPr>
        <w:tab/>
      </w:r>
      <w:r w:rsidRPr="00CB6BB3">
        <w:rPr>
          <w:lang w:val="es-ES_tradnl"/>
        </w:rPr>
        <w:tab/>
        <w:t>Artículo 12</w:t>
      </w:r>
      <w:r w:rsidRPr="00CB6BB3">
        <w:rPr>
          <w:lang w:val="es-ES_tradnl"/>
        </w:rPr>
        <w:br/>
        <w:t xml:space="preserve">Igualdad en el cuidado de la salud y promoción de la salud </w:t>
      </w:r>
      <w:r w:rsidR="00C21E04">
        <w:rPr>
          <w:lang w:val="es-ES_tradnl"/>
        </w:rPr>
        <w:br/>
      </w:r>
      <w:r w:rsidRPr="00CB6BB3">
        <w:rPr>
          <w:lang w:val="es-ES_tradnl"/>
        </w:rPr>
        <w:t>femenina</w:t>
      </w:r>
    </w:p>
    <w:p w:rsidR="00604EE2" w:rsidRPr="00CB6BB3" w:rsidRDefault="006740CB" w:rsidP="00604EE2">
      <w:pPr>
        <w:pStyle w:val="SingleTxtG"/>
        <w:rPr>
          <w:lang w:val="es-ES_tradnl"/>
        </w:rPr>
      </w:pPr>
      <w:r w:rsidRPr="00CB6BB3">
        <w:rPr>
          <w:szCs w:val="24"/>
          <w:lang w:val="es-ES_tradnl"/>
        </w:rPr>
        <w:t>157.</w:t>
      </w:r>
      <w:r w:rsidRPr="00CB6BB3">
        <w:rPr>
          <w:szCs w:val="24"/>
          <w:lang w:val="es-ES_tradnl"/>
        </w:rPr>
        <w:tab/>
        <w:t>En el ámbito del cuidado de la salud, se estableció un</w:t>
      </w:r>
      <w:r w:rsidR="00C906B9" w:rsidRPr="00CB6BB3">
        <w:rPr>
          <w:szCs w:val="24"/>
          <w:lang w:val="es-ES_tradnl"/>
        </w:rPr>
        <w:t xml:space="preserve"> cupo de</w:t>
      </w:r>
      <w:r w:rsidRPr="00CB6BB3">
        <w:rPr>
          <w:szCs w:val="24"/>
          <w:lang w:val="es-ES_tradnl"/>
        </w:rPr>
        <w:t>l 50</w:t>
      </w:r>
      <w:r w:rsidR="00B34FFF">
        <w:rPr>
          <w:szCs w:val="24"/>
          <w:lang w:val="es-ES_tradnl"/>
        </w:rPr>
        <w:t>%</w:t>
      </w:r>
      <w:r w:rsidRPr="00CB6BB3">
        <w:rPr>
          <w:szCs w:val="24"/>
          <w:lang w:val="es-ES_tradnl"/>
        </w:rPr>
        <w:t xml:space="preserve"> </w:t>
      </w:r>
      <w:r w:rsidR="00C906B9" w:rsidRPr="00CB6BB3">
        <w:rPr>
          <w:szCs w:val="24"/>
          <w:lang w:val="es-ES_tradnl"/>
        </w:rPr>
        <w:t xml:space="preserve">de mujeres en la plantilla de </w:t>
      </w:r>
      <w:r w:rsidRPr="00CB6BB3">
        <w:rPr>
          <w:szCs w:val="24"/>
          <w:lang w:val="es-ES_tradnl"/>
        </w:rPr>
        <w:t xml:space="preserve">los médicos locales que integran las juntas </w:t>
      </w:r>
      <w:r w:rsidR="00C906B9" w:rsidRPr="00CB6BB3">
        <w:rPr>
          <w:szCs w:val="24"/>
          <w:lang w:val="es-ES_tradnl"/>
        </w:rPr>
        <w:t>regionales de seguro de salud</w:t>
      </w:r>
      <w:r w:rsidRPr="00CB6BB3">
        <w:rPr>
          <w:szCs w:val="24"/>
          <w:lang w:val="es-ES_tradnl"/>
        </w:rPr>
        <w:t xml:space="preserve">. </w:t>
      </w:r>
      <w:r w:rsidR="008D6416" w:rsidRPr="00CB6BB3">
        <w:rPr>
          <w:szCs w:val="24"/>
          <w:lang w:val="es-ES_tradnl"/>
        </w:rPr>
        <w:t>A tal fin</w:t>
      </w:r>
      <w:r w:rsidR="00C906B9" w:rsidRPr="00CB6BB3">
        <w:rPr>
          <w:szCs w:val="24"/>
          <w:lang w:val="es-ES_tradnl"/>
        </w:rPr>
        <w:t>, se introdujeron modificaciones en e</w:t>
      </w:r>
      <w:r w:rsidRPr="00CB6BB3">
        <w:rPr>
          <w:szCs w:val="24"/>
          <w:lang w:val="es-ES_tradnl"/>
        </w:rPr>
        <w:t>l Reglamento sobre criterios de clasificación</w:t>
      </w:r>
      <w:r w:rsidR="00C906B9" w:rsidRPr="00CB6BB3">
        <w:rPr>
          <w:szCs w:val="24"/>
          <w:lang w:val="es-ES_tradnl"/>
        </w:rPr>
        <w:t>;</w:t>
      </w:r>
      <w:r w:rsidRPr="00CB6BB3">
        <w:rPr>
          <w:szCs w:val="24"/>
          <w:lang w:val="es-ES_tradnl"/>
        </w:rPr>
        <w:t xml:space="preserve"> se definieron </w:t>
      </w:r>
      <w:r w:rsidR="00C906B9" w:rsidRPr="00CB6BB3">
        <w:rPr>
          <w:szCs w:val="24"/>
          <w:lang w:val="es-ES_tradnl"/>
        </w:rPr>
        <w:t xml:space="preserve">niveles </w:t>
      </w:r>
      <w:r w:rsidRPr="00CB6BB3">
        <w:rPr>
          <w:szCs w:val="24"/>
          <w:lang w:val="es-ES_tradnl"/>
        </w:rPr>
        <w:t xml:space="preserve">objetivos para clasificar a los postulantes a contratos particulares con las juntas </w:t>
      </w:r>
      <w:r w:rsidR="00C906B9" w:rsidRPr="00CB6BB3">
        <w:rPr>
          <w:szCs w:val="24"/>
          <w:lang w:val="es-ES_tradnl"/>
        </w:rPr>
        <w:t xml:space="preserve">regionales </w:t>
      </w:r>
      <w:r w:rsidRPr="00CB6BB3">
        <w:rPr>
          <w:szCs w:val="24"/>
          <w:lang w:val="es-ES_tradnl"/>
        </w:rPr>
        <w:t>de seguro de salud regionales. Gracias a la primera enmienda a este reglamento</w:t>
      </w:r>
      <w:r w:rsidR="008D6416" w:rsidRPr="00CB6BB3">
        <w:rPr>
          <w:szCs w:val="24"/>
          <w:lang w:val="es-ES_tradnl"/>
        </w:rPr>
        <w:t>, introducida</w:t>
      </w:r>
      <w:r w:rsidRPr="00CB6BB3">
        <w:rPr>
          <w:szCs w:val="24"/>
          <w:lang w:val="es-ES_tradnl"/>
        </w:rPr>
        <w:t xml:space="preserve"> en 2004, se </w:t>
      </w:r>
      <w:r w:rsidR="008D6416" w:rsidRPr="00CB6BB3">
        <w:rPr>
          <w:szCs w:val="24"/>
          <w:lang w:val="es-ES_tradnl"/>
        </w:rPr>
        <w:t>amplia</w:t>
      </w:r>
      <w:r w:rsidRPr="00CB6BB3">
        <w:rPr>
          <w:szCs w:val="24"/>
          <w:lang w:val="es-ES_tradnl"/>
        </w:rPr>
        <w:t xml:space="preserve">ron los períodos de tiempo. Además, las postulantes mujeres </w:t>
      </w:r>
      <w:r w:rsidR="00C906B9" w:rsidRPr="00CB6BB3">
        <w:rPr>
          <w:szCs w:val="24"/>
          <w:lang w:val="es-ES_tradnl"/>
        </w:rPr>
        <w:t>dotadas de las mismas</w:t>
      </w:r>
      <w:r w:rsidRPr="00CB6BB3">
        <w:rPr>
          <w:szCs w:val="24"/>
          <w:lang w:val="es-ES_tradnl"/>
        </w:rPr>
        <w:t xml:space="preserve"> calificaciones técnicas</w:t>
      </w:r>
      <w:r w:rsidR="00C906B9" w:rsidRPr="00CB6BB3">
        <w:rPr>
          <w:szCs w:val="24"/>
          <w:lang w:val="es-ES_tradnl"/>
        </w:rPr>
        <w:t>,</w:t>
      </w:r>
      <w:r w:rsidRPr="00CB6BB3">
        <w:rPr>
          <w:szCs w:val="24"/>
          <w:lang w:val="es-ES_tradnl"/>
        </w:rPr>
        <w:t xml:space="preserve"> pero que no est</w:t>
      </w:r>
      <w:r w:rsidR="00C906B9" w:rsidRPr="00CB6BB3">
        <w:rPr>
          <w:szCs w:val="24"/>
          <w:lang w:val="es-ES_tradnl"/>
        </w:rPr>
        <w:t xml:space="preserve">án </w:t>
      </w:r>
      <w:r w:rsidRPr="00CB6BB3">
        <w:rPr>
          <w:szCs w:val="24"/>
          <w:lang w:val="es-ES_tradnl"/>
        </w:rPr>
        <w:t>en los primeros puestos de la clasificación</w:t>
      </w:r>
      <w:r w:rsidR="00C906B9" w:rsidRPr="00CB6BB3">
        <w:rPr>
          <w:szCs w:val="24"/>
          <w:lang w:val="es-ES_tradnl"/>
        </w:rPr>
        <w:t>,</w:t>
      </w:r>
      <w:r w:rsidRPr="00CB6BB3">
        <w:rPr>
          <w:szCs w:val="24"/>
          <w:lang w:val="es-ES_tradnl"/>
        </w:rPr>
        <w:t xml:space="preserve"> pueden, </w:t>
      </w:r>
      <w:r w:rsidR="00C906B9" w:rsidRPr="00CB6BB3">
        <w:rPr>
          <w:szCs w:val="24"/>
          <w:lang w:val="es-ES_tradnl"/>
        </w:rPr>
        <w:t>en determinadas circunstancias</w:t>
      </w:r>
      <w:r w:rsidRPr="00CB6BB3">
        <w:rPr>
          <w:szCs w:val="24"/>
          <w:lang w:val="es-ES_tradnl"/>
        </w:rPr>
        <w:t xml:space="preserve">, acceder a </w:t>
      </w:r>
      <w:r w:rsidR="006545C2" w:rsidRPr="00CB6BB3">
        <w:rPr>
          <w:szCs w:val="24"/>
          <w:lang w:val="es-ES_tradnl"/>
        </w:rPr>
        <w:t>los exámene</w:t>
      </w:r>
      <w:r w:rsidRPr="00CB6BB3">
        <w:rPr>
          <w:szCs w:val="24"/>
          <w:lang w:val="es-ES_tradnl"/>
        </w:rPr>
        <w:t xml:space="preserve">s </w:t>
      </w:r>
      <w:r w:rsidR="006545C2" w:rsidRPr="00CB6BB3">
        <w:rPr>
          <w:szCs w:val="24"/>
          <w:lang w:val="es-ES_tradnl"/>
        </w:rPr>
        <w:t>en los que se fundó la decisión de contratar</w:t>
      </w:r>
      <w:r w:rsidRPr="00CB6BB3">
        <w:rPr>
          <w:szCs w:val="24"/>
          <w:lang w:val="es-ES_tradnl"/>
        </w:rPr>
        <w:t xml:space="preserve"> a un postulante en particular. Entre diciembre de 1980 y abril de 2009, la proporción de médicas pertenecientes a juntas </w:t>
      </w:r>
      <w:r w:rsidR="00C906B9" w:rsidRPr="00CB6BB3">
        <w:rPr>
          <w:szCs w:val="24"/>
          <w:lang w:val="es-ES_tradnl"/>
        </w:rPr>
        <w:t xml:space="preserve">regionales </w:t>
      </w:r>
      <w:r w:rsidRPr="00CB6BB3">
        <w:rPr>
          <w:szCs w:val="24"/>
          <w:lang w:val="es-ES_tradnl"/>
        </w:rPr>
        <w:t>de seguro de salud ha aumentado de manera constante, observándose un incremento del número de mujeres de un 10,9</w:t>
      </w:r>
      <w:r w:rsidR="00B34FFF">
        <w:rPr>
          <w:szCs w:val="24"/>
          <w:lang w:val="es-ES_tradnl"/>
        </w:rPr>
        <w:t>%</w:t>
      </w:r>
      <w:r w:rsidRPr="00CB6BB3">
        <w:rPr>
          <w:szCs w:val="24"/>
          <w:lang w:val="es-ES_tradnl"/>
        </w:rPr>
        <w:t xml:space="preserve">. Es posible que </w:t>
      </w:r>
      <w:r w:rsidR="006545C2" w:rsidRPr="00CB6BB3">
        <w:rPr>
          <w:szCs w:val="24"/>
          <w:lang w:val="es-ES_tradnl"/>
        </w:rPr>
        <w:t>ello también se deba a</w:t>
      </w:r>
      <w:r w:rsidRPr="00CB6BB3">
        <w:rPr>
          <w:szCs w:val="24"/>
          <w:lang w:val="es-ES_tradnl"/>
        </w:rPr>
        <w:t>l aumento</w:t>
      </w:r>
      <w:r w:rsidR="000F3376" w:rsidRPr="00CB6BB3">
        <w:rPr>
          <w:szCs w:val="24"/>
          <w:lang w:val="es-ES_tradnl"/>
        </w:rPr>
        <w:t xml:space="preserve"> de la cantidad de</w:t>
      </w:r>
      <w:r w:rsidRPr="00CB6BB3">
        <w:rPr>
          <w:szCs w:val="24"/>
          <w:lang w:val="es-ES_tradnl"/>
        </w:rPr>
        <w:t xml:space="preserve"> grad</w:t>
      </w:r>
      <w:r w:rsidR="007A39FB" w:rsidRPr="00CB6BB3">
        <w:rPr>
          <w:szCs w:val="24"/>
          <w:lang w:val="es-ES_tradnl"/>
        </w:rPr>
        <w:t>uadas de facultades de medicina</w:t>
      </w:r>
      <w:r w:rsidR="00604EE2" w:rsidRPr="00CB6BB3">
        <w:rPr>
          <w:lang w:val="es-ES_tradnl"/>
        </w:rPr>
        <w:t>.</w:t>
      </w:r>
    </w:p>
    <w:p w:rsidR="00604EE2" w:rsidRPr="00CB6BB3" w:rsidRDefault="006740CB" w:rsidP="00604EE2">
      <w:pPr>
        <w:pStyle w:val="SingleTxtG"/>
        <w:rPr>
          <w:lang w:val="es-ES_tradnl"/>
        </w:rPr>
      </w:pPr>
      <w:r w:rsidRPr="00CB6BB3">
        <w:rPr>
          <w:szCs w:val="24"/>
          <w:lang w:val="es-ES_tradnl"/>
        </w:rPr>
        <w:t>158.</w:t>
      </w:r>
      <w:r w:rsidRPr="00CB6BB3">
        <w:rPr>
          <w:szCs w:val="24"/>
          <w:lang w:val="es-ES_tradnl"/>
        </w:rPr>
        <w:tab/>
        <w:t xml:space="preserve">En la tercera enmienda del Reglamento sobre criterios de clasificación de 2009 se estipuló que </w:t>
      </w:r>
      <w:r w:rsidR="00C906B9" w:rsidRPr="00CB6BB3">
        <w:rPr>
          <w:szCs w:val="24"/>
          <w:lang w:val="es-ES_tradnl"/>
        </w:rPr>
        <w:t xml:space="preserve">al estudiar </w:t>
      </w:r>
      <w:r w:rsidRPr="00CB6BB3">
        <w:rPr>
          <w:szCs w:val="24"/>
          <w:lang w:val="es-ES_tradnl"/>
        </w:rPr>
        <w:t xml:space="preserve">anuncios de vacantes para contratos individuales de </w:t>
      </w:r>
      <w:r w:rsidR="00C70626">
        <w:rPr>
          <w:szCs w:val="24"/>
          <w:lang w:val="es-ES_tradnl"/>
        </w:rPr>
        <w:t>"</w:t>
      </w:r>
      <w:r w:rsidRPr="00CB6BB3">
        <w:rPr>
          <w:szCs w:val="24"/>
          <w:lang w:val="es-ES_tradnl"/>
        </w:rPr>
        <w:t>ginecología y obstetricia</w:t>
      </w:r>
      <w:r w:rsidR="00C70626">
        <w:rPr>
          <w:szCs w:val="24"/>
          <w:lang w:val="es-ES_tradnl"/>
        </w:rPr>
        <w:t>"</w:t>
      </w:r>
      <w:r w:rsidRPr="00CB6BB3">
        <w:rPr>
          <w:szCs w:val="24"/>
          <w:lang w:val="es-ES_tradnl"/>
        </w:rPr>
        <w:t xml:space="preserve"> deb</w:t>
      </w:r>
      <w:r w:rsidR="00C906B9" w:rsidRPr="00CB6BB3">
        <w:rPr>
          <w:szCs w:val="24"/>
          <w:lang w:val="es-ES_tradnl"/>
        </w:rPr>
        <w:t>ía</w:t>
      </w:r>
      <w:r w:rsidRPr="00CB6BB3">
        <w:rPr>
          <w:szCs w:val="24"/>
          <w:lang w:val="es-ES_tradnl"/>
        </w:rPr>
        <w:t xml:space="preserve"> evaluar</w:t>
      </w:r>
      <w:r w:rsidR="00C906B9" w:rsidRPr="00CB6BB3">
        <w:rPr>
          <w:szCs w:val="24"/>
          <w:lang w:val="es-ES_tradnl"/>
        </w:rPr>
        <w:t>se</w:t>
      </w:r>
      <w:r w:rsidRPr="00CB6BB3">
        <w:rPr>
          <w:szCs w:val="24"/>
          <w:lang w:val="es-ES_tradnl"/>
        </w:rPr>
        <w:t xml:space="preserve"> la fiabilidad especial de las médicas</w:t>
      </w:r>
      <w:r w:rsidR="00C906B9" w:rsidRPr="00CB6BB3">
        <w:rPr>
          <w:szCs w:val="24"/>
          <w:lang w:val="es-ES_tradnl"/>
        </w:rPr>
        <w:t>,</w:t>
      </w:r>
      <w:r w:rsidR="00CC17D2" w:rsidRPr="00CB6BB3">
        <w:rPr>
          <w:szCs w:val="24"/>
          <w:lang w:val="es-ES_tradnl"/>
        </w:rPr>
        <w:t xml:space="preserve"> como nuevo criterio</w:t>
      </w:r>
      <w:r w:rsidRPr="00CB6BB3">
        <w:rPr>
          <w:szCs w:val="24"/>
          <w:lang w:val="es-ES_tradnl"/>
        </w:rPr>
        <w:t xml:space="preserve"> de clasificación de </w:t>
      </w:r>
      <w:r w:rsidR="00CC17D2" w:rsidRPr="00CB6BB3">
        <w:rPr>
          <w:szCs w:val="24"/>
          <w:lang w:val="es-ES_tradnl"/>
        </w:rPr>
        <w:t xml:space="preserve">los </w:t>
      </w:r>
      <w:r w:rsidRPr="00CB6BB3">
        <w:rPr>
          <w:szCs w:val="24"/>
          <w:lang w:val="es-ES_tradnl"/>
        </w:rPr>
        <w:t>postulantes. El objetivo es incrementar la proporción de médicas locales especializadas en ginecología y obstetricia</w:t>
      </w:r>
      <w:r w:rsidR="00C906B9" w:rsidRPr="00CB6BB3">
        <w:rPr>
          <w:szCs w:val="24"/>
          <w:lang w:val="es-ES_tradnl"/>
        </w:rPr>
        <w:t>,</w:t>
      </w:r>
      <w:r w:rsidRPr="00CB6BB3">
        <w:rPr>
          <w:szCs w:val="24"/>
          <w:lang w:val="es-ES_tradnl"/>
        </w:rPr>
        <w:t xml:space="preserve"> y dar a las pacientes la posibilidad de elegir un médico de un sexo</w:t>
      </w:r>
      <w:r w:rsidR="00C906B9" w:rsidRPr="00CB6BB3">
        <w:rPr>
          <w:szCs w:val="24"/>
          <w:lang w:val="es-ES_tradnl"/>
        </w:rPr>
        <w:t xml:space="preserve"> o del otro</w:t>
      </w:r>
      <w:r w:rsidRPr="00CB6BB3">
        <w:rPr>
          <w:rStyle w:val="FootnoteReference"/>
          <w:szCs w:val="24"/>
          <w:lang w:val="es-ES_tradnl"/>
        </w:rPr>
        <w:footnoteReference w:id="84"/>
      </w:r>
      <w:r w:rsidR="00604EE2" w:rsidRPr="00CB6BB3">
        <w:rPr>
          <w:lang w:val="es-ES_tradnl"/>
        </w:rPr>
        <w:t>.</w:t>
      </w:r>
    </w:p>
    <w:p w:rsidR="00604EE2" w:rsidRPr="00CB6BB3" w:rsidRDefault="006740CB" w:rsidP="00604EE2">
      <w:pPr>
        <w:pStyle w:val="SingleTxtG"/>
        <w:rPr>
          <w:lang w:val="es-ES_tradnl"/>
        </w:rPr>
      </w:pPr>
      <w:r w:rsidRPr="00CB6BB3">
        <w:rPr>
          <w:szCs w:val="24"/>
          <w:lang w:val="es-ES_tradnl"/>
        </w:rPr>
        <w:t>159.</w:t>
      </w:r>
      <w:r w:rsidRPr="00CB6BB3">
        <w:rPr>
          <w:szCs w:val="24"/>
          <w:lang w:val="es-ES_tradnl"/>
        </w:rPr>
        <w:tab/>
        <w:t>Se ha recopilado material de información para la promoción de la salud de las mujeres expuestas a la violencia</w:t>
      </w:r>
      <w:r w:rsidR="00CC17D2" w:rsidRPr="00CB6BB3">
        <w:rPr>
          <w:szCs w:val="24"/>
          <w:lang w:val="es-ES_tradnl"/>
        </w:rPr>
        <w:t>,</w:t>
      </w:r>
      <w:r w:rsidRPr="00CB6BB3">
        <w:rPr>
          <w:szCs w:val="24"/>
          <w:lang w:val="es-ES_tradnl"/>
        </w:rPr>
        <w:t xml:space="preserve"> y para combatir la violenc</w:t>
      </w:r>
      <w:r w:rsidR="00C906B9" w:rsidRPr="00CB6BB3">
        <w:rPr>
          <w:szCs w:val="24"/>
          <w:lang w:val="es-ES_tradnl"/>
        </w:rPr>
        <w:t>ia doméstica. Entre 2008 y</w:t>
      </w:r>
      <w:r w:rsidRPr="00CB6BB3">
        <w:rPr>
          <w:szCs w:val="24"/>
          <w:lang w:val="es-ES_tradnl"/>
        </w:rPr>
        <w:t xml:space="preserve"> 2010, se </w:t>
      </w:r>
      <w:r w:rsidR="00C906B9" w:rsidRPr="00CB6BB3">
        <w:rPr>
          <w:szCs w:val="24"/>
          <w:lang w:val="es-ES_tradnl"/>
        </w:rPr>
        <w:t>publicaron</w:t>
      </w:r>
      <w:r w:rsidRPr="00CB6BB3">
        <w:rPr>
          <w:szCs w:val="24"/>
          <w:lang w:val="es-ES_tradnl"/>
        </w:rPr>
        <w:t xml:space="preserve"> tres manuales dirigidos al personal de hospitales y consultas médicas. En Austria, se han </w:t>
      </w:r>
      <w:r w:rsidR="00C906B9" w:rsidRPr="00CB6BB3">
        <w:rPr>
          <w:szCs w:val="24"/>
          <w:lang w:val="es-ES_tradnl"/>
        </w:rPr>
        <w:t>crea</w:t>
      </w:r>
      <w:r w:rsidRPr="00CB6BB3">
        <w:rPr>
          <w:szCs w:val="24"/>
          <w:lang w:val="es-ES_tradnl"/>
        </w:rPr>
        <w:t>do siete centros de salud para la mujer</w:t>
      </w:r>
      <w:r w:rsidRPr="00CB6BB3">
        <w:rPr>
          <w:rStyle w:val="FootnoteReference"/>
          <w:szCs w:val="24"/>
          <w:lang w:val="es-ES_tradnl"/>
        </w:rPr>
        <w:footnoteReference w:id="85"/>
      </w:r>
      <w:r w:rsidR="00CC17D2" w:rsidRPr="00CB6BB3">
        <w:rPr>
          <w:szCs w:val="24"/>
          <w:lang w:val="es-ES_tradnl"/>
        </w:rPr>
        <w:t>;</w:t>
      </w:r>
      <w:r w:rsidRPr="00CB6BB3">
        <w:rPr>
          <w:szCs w:val="24"/>
          <w:lang w:val="es-ES_tradnl"/>
        </w:rPr>
        <w:t xml:space="preserve"> </w:t>
      </w:r>
      <w:r w:rsidR="00CC17D2" w:rsidRPr="00CB6BB3">
        <w:rPr>
          <w:szCs w:val="24"/>
          <w:lang w:val="es-ES_tradnl"/>
        </w:rPr>
        <w:t>se trata</w:t>
      </w:r>
      <w:r w:rsidRPr="00CB6BB3">
        <w:rPr>
          <w:szCs w:val="24"/>
          <w:lang w:val="es-ES_tradnl"/>
        </w:rPr>
        <w:t xml:space="preserve"> un</w:t>
      </w:r>
      <w:r w:rsidR="00CC17D2" w:rsidRPr="00CB6BB3">
        <w:rPr>
          <w:szCs w:val="24"/>
          <w:lang w:val="es-ES_tradnl"/>
        </w:rPr>
        <w:t>a aportación</w:t>
      </w:r>
      <w:r w:rsidRPr="00CB6BB3">
        <w:rPr>
          <w:szCs w:val="24"/>
          <w:lang w:val="es-ES_tradnl"/>
        </w:rPr>
        <w:t xml:space="preserve"> esencial a</w:t>
      </w:r>
      <w:r w:rsidR="00CC17D2" w:rsidRPr="00CB6BB3">
        <w:rPr>
          <w:szCs w:val="24"/>
          <w:lang w:val="es-ES_tradnl"/>
        </w:rPr>
        <w:t xml:space="preserve"> </w:t>
      </w:r>
      <w:r w:rsidRPr="00CB6BB3">
        <w:rPr>
          <w:szCs w:val="24"/>
          <w:lang w:val="es-ES_tradnl"/>
        </w:rPr>
        <w:t>l</w:t>
      </w:r>
      <w:r w:rsidR="00CC17D2" w:rsidRPr="00CB6BB3">
        <w:rPr>
          <w:szCs w:val="24"/>
          <w:lang w:val="es-ES_tradnl"/>
        </w:rPr>
        <w:t>a atención de s</w:t>
      </w:r>
      <w:r w:rsidRPr="00CB6BB3">
        <w:rPr>
          <w:szCs w:val="24"/>
          <w:lang w:val="es-ES_tradnl"/>
        </w:rPr>
        <w:t xml:space="preserve">alud femenina en el sistema público de salud. En 2007, </w:t>
      </w:r>
      <w:r w:rsidR="00CC17D2" w:rsidRPr="00CB6BB3">
        <w:rPr>
          <w:szCs w:val="24"/>
          <w:lang w:val="es-ES_tradnl"/>
        </w:rPr>
        <w:t>en estos centros se crearon</w:t>
      </w:r>
      <w:r w:rsidRPr="00CB6BB3">
        <w:rPr>
          <w:szCs w:val="24"/>
          <w:lang w:val="es-ES_tradnl"/>
        </w:rPr>
        <w:t xml:space="preserve"> grupo</w:t>
      </w:r>
      <w:r w:rsidR="00CC17D2" w:rsidRPr="00CB6BB3">
        <w:rPr>
          <w:szCs w:val="24"/>
          <w:lang w:val="es-ES_tradnl"/>
        </w:rPr>
        <w:t>s</w:t>
      </w:r>
      <w:r w:rsidRPr="00CB6BB3">
        <w:rPr>
          <w:szCs w:val="24"/>
          <w:lang w:val="es-ES_tradnl"/>
        </w:rPr>
        <w:t xml:space="preserve"> de trabajo para promover el adelanto de la salud de la mujer en toda Austria, de acuerdo con criterios uniformes. Desde 2008, el grupo de trabajo ha recibido subsidios por un total de 103.500 euros</w:t>
      </w:r>
      <w:r w:rsidR="00604EE2" w:rsidRPr="00CB6BB3">
        <w:rPr>
          <w:lang w:val="es-ES_tradnl"/>
        </w:rPr>
        <w:t>.</w:t>
      </w:r>
    </w:p>
    <w:p w:rsidR="00604EE2" w:rsidRPr="00CB6BB3" w:rsidRDefault="00CC17D2" w:rsidP="00604EE2">
      <w:pPr>
        <w:pStyle w:val="SingleTxtG"/>
        <w:rPr>
          <w:lang w:val="es-ES_tradnl"/>
        </w:rPr>
      </w:pPr>
      <w:r w:rsidRPr="00CB6BB3">
        <w:rPr>
          <w:szCs w:val="24"/>
          <w:lang w:val="es-ES_tradnl"/>
        </w:rPr>
        <w:t>160.</w:t>
      </w:r>
      <w:r w:rsidRPr="00CB6BB3">
        <w:rPr>
          <w:szCs w:val="24"/>
          <w:lang w:val="es-ES_tradnl"/>
        </w:rPr>
        <w:tab/>
        <w:t>El último</w:t>
      </w:r>
      <w:r w:rsidR="006740CB" w:rsidRPr="00CB6BB3">
        <w:rPr>
          <w:szCs w:val="24"/>
          <w:lang w:val="es-ES_tradnl"/>
        </w:rPr>
        <w:t xml:space="preserve"> Informe sobre la salud de la mujer</w:t>
      </w:r>
      <w:r w:rsidR="006740CB" w:rsidRPr="00CB6BB3">
        <w:rPr>
          <w:rStyle w:val="FootnoteReference"/>
          <w:szCs w:val="24"/>
          <w:lang w:val="es-ES_tradnl"/>
        </w:rPr>
        <w:footnoteReference w:id="86"/>
      </w:r>
      <w:r w:rsidR="006740CB" w:rsidRPr="00CB6BB3">
        <w:rPr>
          <w:szCs w:val="24"/>
          <w:lang w:val="es-ES_tradnl"/>
        </w:rPr>
        <w:t>, publicado en 2010, incluye datos específicos sobre la salud femeni</w:t>
      </w:r>
      <w:r w:rsidRPr="00CB6BB3">
        <w:rPr>
          <w:szCs w:val="24"/>
          <w:lang w:val="es-ES_tradnl"/>
        </w:rPr>
        <w:t>na, así como estadísticas socio</w:t>
      </w:r>
      <w:r w:rsidR="006740CB" w:rsidRPr="00CB6BB3">
        <w:rPr>
          <w:szCs w:val="24"/>
          <w:lang w:val="es-ES_tradnl"/>
        </w:rPr>
        <w:t>demográficas, información sobre las diferentes etapas de la vida de la mu</w:t>
      </w:r>
      <w:r w:rsidR="003232DD" w:rsidRPr="00CB6BB3">
        <w:rPr>
          <w:szCs w:val="24"/>
          <w:lang w:val="es-ES_tradnl"/>
        </w:rPr>
        <w:t>jer, datos sobre su</w:t>
      </w:r>
      <w:r w:rsidR="006740CB" w:rsidRPr="00CB6BB3">
        <w:rPr>
          <w:szCs w:val="24"/>
          <w:lang w:val="es-ES_tradnl"/>
        </w:rPr>
        <w:t xml:space="preserve"> </w:t>
      </w:r>
      <w:r w:rsidR="003232DD" w:rsidRPr="00CB6BB3">
        <w:rPr>
          <w:szCs w:val="24"/>
          <w:lang w:val="es-ES_tradnl"/>
        </w:rPr>
        <w:t>situación social</w:t>
      </w:r>
      <w:r w:rsidR="006740CB" w:rsidRPr="00CB6BB3">
        <w:rPr>
          <w:szCs w:val="24"/>
          <w:lang w:val="es-ES_tradnl"/>
        </w:rPr>
        <w:t xml:space="preserve"> y de salud, así como enfoques de género a la promoción de su salud. Los informes periódicos sobre salud con enfoque de género sirven para determinar las condiciones de desigualdad a las que las mujeres se ven expuestas en el sector de la salud</w:t>
      </w:r>
      <w:r w:rsidR="00C906B9" w:rsidRPr="00CB6BB3">
        <w:rPr>
          <w:szCs w:val="24"/>
          <w:lang w:val="es-ES_tradnl"/>
        </w:rPr>
        <w:t>,</w:t>
      </w:r>
      <w:r w:rsidR="006740CB" w:rsidRPr="00CB6BB3">
        <w:rPr>
          <w:szCs w:val="24"/>
          <w:lang w:val="es-ES_tradnl"/>
        </w:rPr>
        <w:t xml:space="preserve"> y para definir medidas correctivas</w:t>
      </w:r>
      <w:r w:rsidR="00604EE2" w:rsidRPr="00CB6BB3">
        <w:rPr>
          <w:lang w:val="es-ES_tradnl"/>
        </w:rPr>
        <w:t>.</w:t>
      </w:r>
    </w:p>
    <w:p w:rsidR="006740CB" w:rsidRPr="00CB6BB3" w:rsidRDefault="006740CB" w:rsidP="00C21E04">
      <w:pPr>
        <w:pStyle w:val="SingleTxtG"/>
        <w:rPr>
          <w:lang w:val="es-ES_tradnl"/>
        </w:rPr>
      </w:pPr>
      <w:r w:rsidRPr="00CB6BB3">
        <w:rPr>
          <w:lang w:val="es-ES_tradnl"/>
        </w:rPr>
        <w:t>161.</w:t>
      </w:r>
      <w:r w:rsidRPr="00CB6BB3">
        <w:rPr>
          <w:lang w:val="es-ES_tradnl"/>
        </w:rPr>
        <w:tab/>
        <w:t xml:space="preserve">Gracias al </w:t>
      </w:r>
      <w:r w:rsidR="00CC17D2" w:rsidRPr="00CB6BB3">
        <w:rPr>
          <w:lang w:val="es-ES_tradnl"/>
        </w:rPr>
        <w:t>sistema de exámenes médicos de la madre y el hijo,</w:t>
      </w:r>
      <w:r w:rsidRPr="00CB6BB3">
        <w:rPr>
          <w:lang w:val="es-ES_tradnl"/>
        </w:rPr>
        <w:t xml:space="preserve"> se garantiza </w:t>
      </w:r>
      <w:r w:rsidR="00CC17D2" w:rsidRPr="00CB6BB3">
        <w:rPr>
          <w:lang w:val="es-ES_tradnl"/>
        </w:rPr>
        <w:t>atención de</w:t>
      </w:r>
      <w:r w:rsidR="00C2396E" w:rsidRPr="00CB6BB3">
        <w:rPr>
          <w:lang w:val="es-ES_tradnl"/>
        </w:rPr>
        <w:t xml:space="preserve"> salud </w:t>
      </w:r>
      <w:r w:rsidRPr="00CB6BB3">
        <w:rPr>
          <w:lang w:val="es-ES_tradnl"/>
        </w:rPr>
        <w:t xml:space="preserve">a todas las mujeres embarazadas y </w:t>
      </w:r>
      <w:r w:rsidR="00CC17D2" w:rsidRPr="00CB6BB3">
        <w:rPr>
          <w:lang w:val="es-ES_tradnl"/>
        </w:rPr>
        <w:t xml:space="preserve">los </w:t>
      </w:r>
      <w:r w:rsidRPr="00CB6BB3">
        <w:rPr>
          <w:lang w:val="es-ES_tradnl"/>
        </w:rPr>
        <w:t xml:space="preserve">niños menores de </w:t>
      </w:r>
      <w:r w:rsidR="00792D71">
        <w:rPr>
          <w:lang w:val="es-ES_tradnl"/>
        </w:rPr>
        <w:t xml:space="preserve">5 </w:t>
      </w:r>
      <w:r w:rsidRPr="00CB6BB3">
        <w:rPr>
          <w:lang w:val="es-ES_tradnl"/>
        </w:rPr>
        <w:t>años. Este plan es gratuito para este grupo beneficiario si se consulta a un médico local de las instituciones de seguro social. Para las personas que no tienen esta cobertura, los costos de las consultas médicas se financian con el presupuesto federal.</w:t>
      </w:r>
    </w:p>
    <w:p w:rsidR="006740CB" w:rsidRPr="00CB6BB3" w:rsidRDefault="006740CB" w:rsidP="00C21E04">
      <w:pPr>
        <w:pStyle w:val="H1G"/>
        <w:rPr>
          <w:lang w:val="es-ES_tradnl"/>
        </w:rPr>
      </w:pPr>
      <w:r w:rsidRPr="00CB6BB3">
        <w:rPr>
          <w:lang w:val="es-ES_tradnl"/>
        </w:rPr>
        <w:tab/>
      </w:r>
      <w:r w:rsidRPr="00CB6BB3">
        <w:rPr>
          <w:lang w:val="es-ES_tradnl"/>
        </w:rPr>
        <w:tab/>
        <w:t>Artículo 13</w:t>
      </w:r>
      <w:r w:rsidRPr="00CB6BB3">
        <w:rPr>
          <w:lang w:val="es-ES_tradnl"/>
        </w:rPr>
        <w:br/>
        <w:t xml:space="preserve">Garantizar la igualdad de derechos en otras áreas de la vida </w:t>
      </w:r>
      <w:r w:rsidR="00B34FFF">
        <w:rPr>
          <w:lang w:val="es-ES_tradnl"/>
        </w:rPr>
        <w:br/>
      </w:r>
      <w:r w:rsidRPr="00CB6BB3">
        <w:rPr>
          <w:lang w:val="es-ES_tradnl"/>
        </w:rPr>
        <w:t xml:space="preserve">económica y social </w:t>
      </w:r>
      <w:r w:rsidRPr="00C21E04">
        <w:rPr>
          <w:b w:val="0"/>
          <w:sz w:val="20"/>
          <w:lang w:val="es-ES_tradnl"/>
        </w:rPr>
        <w:t xml:space="preserve">(véase también la respuesta a las recomendaciones incluidas </w:t>
      </w:r>
      <w:r w:rsidR="00C21E04">
        <w:rPr>
          <w:b w:val="0"/>
          <w:sz w:val="20"/>
          <w:lang w:val="es-ES_tradnl"/>
        </w:rPr>
        <w:br/>
      </w:r>
      <w:r w:rsidRPr="00C21E04">
        <w:rPr>
          <w:b w:val="0"/>
          <w:sz w:val="20"/>
          <w:lang w:val="es-ES_tradnl"/>
        </w:rPr>
        <w:t xml:space="preserve">en los párrafos 11 y 12; </w:t>
      </w:r>
      <w:r w:rsidR="00B34FFF" w:rsidRPr="00C21E04">
        <w:rPr>
          <w:b w:val="0"/>
          <w:sz w:val="20"/>
          <w:lang w:val="es-ES_tradnl"/>
        </w:rPr>
        <w:t xml:space="preserve">leyes </w:t>
      </w:r>
      <w:r w:rsidRPr="00C21E04">
        <w:rPr>
          <w:b w:val="0"/>
          <w:sz w:val="20"/>
          <w:lang w:val="es-ES_tradnl"/>
        </w:rPr>
        <w:t>de igualdad de trato)</w:t>
      </w:r>
    </w:p>
    <w:p w:rsidR="00604EE2" w:rsidRPr="00CB6BB3" w:rsidRDefault="006740CB" w:rsidP="00604EE2">
      <w:pPr>
        <w:pStyle w:val="SingleTxtG"/>
        <w:rPr>
          <w:lang w:val="es-ES_tradnl"/>
        </w:rPr>
      </w:pPr>
      <w:r w:rsidRPr="00CB6BB3">
        <w:rPr>
          <w:szCs w:val="24"/>
          <w:lang w:val="es-ES_tradnl"/>
        </w:rPr>
        <w:t>162.</w:t>
      </w:r>
      <w:r w:rsidRPr="00CB6BB3">
        <w:rPr>
          <w:szCs w:val="24"/>
          <w:lang w:val="es-ES_tradnl"/>
        </w:rPr>
        <w:tab/>
        <w:t xml:space="preserve">Deportes. Desde mediados de los </w:t>
      </w:r>
      <w:r w:rsidR="00C906B9" w:rsidRPr="00CB6BB3">
        <w:rPr>
          <w:szCs w:val="24"/>
          <w:lang w:val="es-ES_tradnl"/>
        </w:rPr>
        <w:t xml:space="preserve">años </w:t>
      </w:r>
      <w:r w:rsidRPr="00CB6BB3">
        <w:rPr>
          <w:szCs w:val="24"/>
          <w:lang w:val="es-ES_tradnl"/>
        </w:rPr>
        <w:t xml:space="preserve">noventa, </w:t>
      </w:r>
      <w:r w:rsidR="00A14A32" w:rsidRPr="00CB6BB3">
        <w:rPr>
          <w:szCs w:val="24"/>
          <w:lang w:val="es-ES_tradnl"/>
        </w:rPr>
        <w:t xml:space="preserve">en </w:t>
      </w:r>
      <w:r w:rsidRPr="00CB6BB3">
        <w:rPr>
          <w:szCs w:val="24"/>
          <w:lang w:val="es-ES_tradnl"/>
        </w:rPr>
        <w:t xml:space="preserve">el presupuesto de deportes </w:t>
      </w:r>
      <w:r w:rsidR="00A14A32" w:rsidRPr="00CB6BB3">
        <w:rPr>
          <w:szCs w:val="24"/>
          <w:lang w:val="es-ES_tradnl"/>
        </w:rPr>
        <w:t>hay</w:t>
      </w:r>
      <w:r w:rsidRPr="00CB6BB3">
        <w:rPr>
          <w:szCs w:val="24"/>
          <w:lang w:val="es-ES_tradnl"/>
        </w:rPr>
        <w:t xml:space="preserve"> una partida especial titulada </w:t>
      </w:r>
      <w:r w:rsidR="00C70626">
        <w:rPr>
          <w:szCs w:val="24"/>
          <w:lang w:val="es-ES_tradnl"/>
        </w:rPr>
        <w:t>"</w:t>
      </w:r>
      <w:r w:rsidRPr="00CB6BB3">
        <w:rPr>
          <w:szCs w:val="24"/>
          <w:lang w:val="es-ES_tradnl"/>
        </w:rPr>
        <w:t>Adelanto de la mujer</w:t>
      </w:r>
      <w:r w:rsidR="00C70626">
        <w:rPr>
          <w:szCs w:val="24"/>
          <w:lang w:val="es-ES_tradnl"/>
        </w:rPr>
        <w:t>"</w:t>
      </w:r>
      <w:r w:rsidR="00A974C1" w:rsidRPr="00CB6BB3">
        <w:rPr>
          <w:szCs w:val="24"/>
          <w:lang w:val="es-ES_tradnl"/>
        </w:rPr>
        <w:t>;</w:t>
      </w:r>
      <w:r w:rsidRPr="00CB6BB3">
        <w:rPr>
          <w:szCs w:val="24"/>
          <w:lang w:val="es-ES_tradnl"/>
        </w:rPr>
        <w:t xml:space="preserve"> cada año </w:t>
      </w:r>
      <w:r w:rsidR="00A14A32" w:rsidRPr="00CB6BB3">
        <w:rPr>
          <w:szCs w:val="24"/>
          <w:lang w:val="es-ES_tradnl"/>
        </w:rPr>
        <w:t>se donan</w:t>
      </w:r>
      <w:r w:rsidR="00434064" w:rsidRPr="00CB6BB3">
        <w:rPr>
          <w:szCs w:val="24"/>
          <w:lang w:val="es-ES_tradnl"/>
        </w:rPr>
        <w:t xml:space="preserve"> alrededor de </w:t>
      </w:r>
      <w:r w:rsidRPr="00CB6BB3">
        <w:rPr>
          <w:szCs w:val="24"/>
          <w:lang w:val="es-ES_tradnl"/>
        </w:rPr>
        <w:t>210.000 euros</w:t>
      </w:r>
      <w:r w:rsidR="00434064" w:rsidRPr="00CB6BB3">
        <w:rPr>
          <w:szCs w:val="24"/>
          <w:lang w:val="es-ES_tradnl"/>
        </w:rPr>
        <w:t xml:space="preserve"> (</w:t>
      </w:r>
      <w:r w:rsidRPr="00CB6BB3">
        <w:rPr>
          <w:szCs w:val="24"/>
          <w:lang w:val="es-ES_tradnl"/>
        </w:rPr>
        <w:t>desde 2008</w:t>
      </w:r>
      <w:r w:rsidR="00434064" w:rsidRPr="00CB6BB3">
        <w:rPr>
          <w:szCs w:val="24"/>
          <w:lang w:val="es-ES_tradnl"/>
        </w:rPr>
        <w:t xml:space="preserve">, esta cifra </w:t>
      </w:r>
      <w:r w:rsidR="00A14A32" w:rsidRPr="00CB6BB3">
        <w:rPr>
          <w:szCs w:val="24"/>
          <w:lang w:val="es-ES_tradnl"/>
        </w:rPr>
        <w:t xml:space="preserve">ronda los </w:t>
      </w:r>
      <w:r w:rsidRPr="00CB6BB3">
        <w:rPr>
          <w:szCs w:val="24"/>
          <w:lang w:val="es-ES_tradnl"/>
        </w:rPr>
        <w:t>300.000 euros</w:t>
      </w:r>
      <w:r w:rsidR="00434064" w:rsidRPr="00CB6BB3">
        <w:rPr>
          <w:szCs w:val="24"/>
          <w:lang w:val="es-ES_tradnl"/>
        </w:rPr>
        <w:t>)</w:t>
      </w:r>
      <w:r w:rsidR="00A14A32" w:rsidRPr="00CB6BB3">
        <w:rPr>
          <w:szCs w:val="24"/>
          <w:lang w:val="es-ES_tradnl"/>
        </w:rPr>
        <w:t xml:space="preserve"> a unas 100</w:t>
      </w:r>
      <w:r w:rsidRPr="00CB6BB3">
        <w:rPr>
          <w:szCs w:val="24"/>
          <w:lang w:val="es-ES_tradnl"/>
        </w:rPr>
        <w:t xml:space="preserve"> </w:t>
      </w:r>
      <w:r w:rsidR="00A14A32" w:rsidRPr="00CB6BB3">
        <w:rPr>
          <w:szCs w:val="24"/>
          <w:lang w:val="es-ES_tradnl"/>
        </w:rPr>
        <w:t>de las mejores mujeres atletas</w:t>
      </w:r>
      <w:r w:rsidRPr="00CB6BB3">
        <w:rPr>
          <w:szCs w:val="24"/>
          <w:lang w:val="es-ES_tradnl"/>
        </w:rPr>
        <w:t xml:space="preserve"> de diversas disciplinas deportivas. Además, la Sociedad Austríaca para el Adelanto de los Atletas, presidida por</w:t>
      </w:r>
      <w:r w:rsidR="00A14A32" w:rsidRPr="00CB6BB3">
        <w:rPr>
          <w:szCs w:val="24"/>
          <w:lang w:val="es-ES_tradnl"/>
        </w:rPr>
        <w:t xml:space="preserve"> el Ministro de Deportes, concede</w:t>
      </w:r>
      <w:r w:rsidRPr="00CB6BB3">
        <w:rPr>
          <w:szCs w:val="24"/>
          <w:lang w:val="es-ES_tradnl"/>
        </w:rPr>
        <w:t xml:space="preserve"> donaciones especiales a mujeres atletas. Las mujeres </w:t>
      </w:r>
      <w:r w:rsidR="00A14A32" w:rsidRPr="00CB6BB3">
        <w:rPr>
          <w:szCs w:val="24"/>
          <w:lang w:val="es-ES_tradnl"/>
        </w:rPr>
        <w:t xml:space="preserve">no </w:t>
      </w:r>
      <w:r w:rsidRPr="00CB6BB3">
        <w:rPr>
          <w:szCs w:val="24"/>
          <w:lang w:val="es-ES_tradnl"/>
        </w:rPr>
        <w:t xml:space="preserve">están </w:t>
      </w:r>
      <w:r w:rsidR="00A14A32" w:rsidRPr="00CB6BB3">
        <w:rPr>
          <w:szCs w:val="24"/>
          <w:lang w:val="es-ES_tradnl"/>
        </w:rPr>
        <w:t>suficiente</w:t>
      </w:r>
      <w:r w:rsidR="00CC17D2" w:rsidRPr="00CB6BB3">
        <w:rPr>
          <w:szCs w:val="24"/>
          <w:lang w:val="es-ES_tradnl"/>
        </w:rPr>
        <w:t xml:space="preserve">mente representadas </w:t>
      </w:r>
      <w:r w:rsidR="00C2396E" w:rsidRPr="00CB6BB3">
        <w:rPr>
          <w:szCs w:val="24"/>
          <w:lang w:val="es-ES_tradnl"/>
        </w:rPr>
        <w:t xml:space="preserve">en </w:t>
      </w:r>
      <w:r w:rsidR="00CC17D2" w:rsidRPr="00CB6BB3">
        <w:rPr>
          <w:szCs w:val="24"/>
          <w:lang w:val="es-ES_tradnl"/>
        </w:rPr>
        <w:t>el deporte</w:t>
      </w:r>
      <w:r w:rsidR="00A14A32" w:rsidRPr="00CB6BB3">
        <w:rPr>
          <w:szCs w:val="24"/>
          <w:lang w:val="es-ES_tradnl"/>
        </w:rPr>
        <w:t>;</w:t>
      </w:r>
      <w:r w:rsidRPr="00CB6BB3">
        <w:rPr>
          <w:szCs w:val="24"/>
          <w:lang w:val="es-ES_tradnl"/>
        </w:rPr>
        <w:t xml:space="preserve"> </w:t>
      </w:r>
      <w:r w:rsidR="00A14A32" w:rsidRPr="00CB6BB3">
        <w:rPr>
          <w:szCs w:val="24"/>
          <w:lang w:val="es-ES_tradnl"/>
        </w:rPr>
        <w:t xml:space="preserve">tampoco </w:t>
      </w:r>
      <w:r w:rsidRPr="00CB6BB3">
        <w:rPr>
          <w:szCs w:val="24"/>
          <w:lang w:val="es-ES_tradnl"/>
        </w:rPr>
        <w:t>en las juntas ejecutivas de las federaciones deportivas austríacas. Además de las difíciles condiciones de entrenamiento, esto se explica por la ausencia de</w:t>
      </w:r>
      <w:r w:rsidR="00A14A32" w:rsidRPr="00CB6BB3">
        <w:rPr>
          <w:szCs w:val="24"/>
          <w:lang w:val="es-ES_tradnl"/>
        </w:rPr>
        <w:t xml:space="preserve"> la debida</w:t>
      </w:r>
      <w:r w:rsidR="00CC17D2" w:rsidRPr="00CB6BB3">
        <w:rPr>
          <w:szCs w:val="24"/>
          <w:lang w:val="es-ES_tradnl"/>
        </w:rPr>
        <w:t xml:space="preserve"> cobertura de seguro social, l</w:t>
      </w:r>
      <w:r w:rsidRPr="00CB6BB3">
        <w:rPr>
          <w:szCs w:val="24"/>
          <w:lang w:val="es-ES_tradnl"/>
        </w:rPr>
        <w:t xml:space="preserve">a </w:t>
      </w:r>
      <w:r w:rsidR="00A14A32" w:rsidRPr="00CB6BB3">
        <w:rPr>
          <w:szCs w:val="24"/>
          <w:lang w:val="es-ES_tradnl"/>
        </w:rPr>
        <w:t>menor</w:t>
      </w:r>
      <w:r w:rsidRPr="00CB6BB3">
        <w:rPr>
          <w:szCs w:val="24"/>
          <w:lang w:val="es-ES_tradnl"/>
        </w:rPr>
        <w:t xml:space="preserve"> visibilidad en l</w:t>
      </w:r>
      <w:r w:rsidR="00A14A32" w:rsidRPr="00CB6BB3">
        <w:rPr>
          <w:szCs w:val="24"/>
          <w:lang w:val="es-ES_tradnl"/>
        </w:rPr>
        <w:t>os medios de comunicación y el escaso</w:t>
      </w:r>
      <w:r w:rsidRPr="00CB6BB3">
        <w:rPr>
          <w:szCs w:val="24"/>
          <w:lang w:val="es-ES_tradnl"/>
        </w:rPr>
        <w:t xml:space="preserve"> reconocimiento del público, así como </w:t>
      </w:r>
      <w:r w:rsidR="00CC17D2" w:rsidRPr="00CB6BB3">
        <w:rPr>
          <w:szCs w:val="24"/>
          <w:lang w:val="es-ES_tradnl"/>
        </w:rPr>
        <w:t>a los</w:t>
      </w:r>
      <w:r w:rsidR="00A14A32" w:rsidRPr="00CB6BB3">
        <w:rPr>
          <w:szCs w:val="24"/>
          <w:lang w:val="es-ES_tradnl"/>
        </w:rPr>
        <w:t xml:space="preserve"> obstáculos</w:t>
      </w:r>
      <w:r w:rsidRPr="00CB6BB3">
        <w:rPr>
          <w:szCs w:val="24"/>
          <w:lang w:val="es-ES_tradnl"/>
        </w:rPr>
        <w:t xml:space="preserve"> estructurales que persisten en muchas áreas. En abril de 2008, la Organización Federal de Deportes reorganizó su Comisión </w:t>
      </w:r>
      <w:r w:rsidR="00C70626">
        <w:rPr>
          <w:szCs w:val="24"/>
          <w:lang w:val="es-ES_tradnl"/>
        </w:rPr>
        <w:t>"</w:t>
      </w:r>
      <w:r w:rsidRPr="00CB6BB3">
        <w:rPr>
          <w:szCs w:val="24"/>
          <w:lang w:val="es-ES_tradnl"/>
        </w:rPr>
        <w:t>Mujeres en el deporte</w:t>
      </w:r>
      <w:r w:rsidR="00C70626">
        <w:rPr>
          <w:szCs w:val="24"/>
          <w:lang w:val="es-ES_tradnl"/>
        </w:rPr>
        <w:t>"</w:t>
      </w:r>
      <w:r w:rsidRPr="00CB6BB3">
        <w:rPr>
          <w:szCs w:val="24"/>
          <w:lang w:val="es-ES_tradnl"/>
        </w:rPr>
        <w:t xml:space="preserve"> a fin de conseguir la igualdad para las mujeres en todas las estructuras de todos los niveles de los deportes más importantes, compet</w:t>
      </w:r>
      <w:r w:rsidR="00CC17D2" w:rsidRPr="00CB6BB3">
        <w:rPr>
          <w:szCs w:val="24"/>
          <w:lang w:val="es-ES_tradnl"/>
        </w:rPr>
        <w:t>itivos y de masas, y crea</w:t>
      </w:r>
      <w:r w:rsidRPr="00CB6BB3">
        <w:rPr>
          <w:szCs w:val="24"/>
          <w:lang w:val="es-ES_tradnl"/>
        </w:rPr>
        <w:t xml:space="preserve">r </w:t>
      </w:r>
      <w:r w:rsidR="00CC17D2" w:rsidRPr="00CB6BB3">
        <w:rPr>
          <w:szCs w:val="24"/>
          <w:lang w:val="es-ES_tradnl"/>
        </w:rPr>
        <w:t xml:space="preserve">conciencia </w:t>
      </w:r>
      <w:r w:rsidRPr="00CB6BB3">
        <w:rPr>
          <w:szCs w:val="24"/>
          <w:lang w:val="es-ES_tradnl"/>
        </w:rPr>
        <w:t>sobre las preocupaciones de las mujeres en el deporte (y también en el periodismo deportivo)</w:t>
      </w:r>
      <w:r w:rsidR="00604EE2" w:rsidRPr="00CB6BB3">
        <w:rPr>
          <w:lang w:val="es-ES_tradnl"/>
        </w:rPr>
        <w:t>.</w:t>
      </w:r>
    </w:p>
    <w:p w:rsidR="00604EE2" w:rsidRPr="00CB6BB3" w:rsidRDefault="006740CB" w:rsidP="00604EE2">
      <w:pPr>
        <w:pStyle w:val="SingleTxtG"/>
        <w:rPr>
          <w:lang w:val="es-ES_tradnl"/>
        </w:rPr>
      </w:pPr>
      <w:r w:rsidRPr="00CB6BB3">
        <w:rPr>
          <w:szCs w:val="24"/>
          <w:lang w:val="es-ES_tradnl"/>
        </w:rPr>
        <w:t>163.</w:t>
      </w:r>
      <w:r w:rsidRPr="00CB6BB3">
        <w:rPr>
          <w:szCs w:val="24"/>
          <w:lang w:val="es-ES_tradnl"/>
        </w:rPr>
        <w:tab/>
        <w:t>Ejemplo de las provincias fede</w:t>
      </w:r>
      <w:r w:rsidR="00A14A32" w:rsidRPr="00CB6BB3">
        <w:rPr>
          <w:szCs w:val="24"/>
          <w:lang w:val="es-ES_tradnl"/>
        </w:rPr>
        <w:t>rales. La ciudad de Viena emit</w:t>
      </w:r>
      <w:r w:rsidRPr="00CB6BB3">
        <w:rPr>
          <w:szCs w:val="24"/>
          <w:lang w:val="es-ES_tradnl"/>
        </w:rPr>
        <w:t xml:space="preserve">ió recomendaciones </w:t>
      </w:r>
      <w:r w:rsidR="00A14A32" w:rsidRPr="00CB6BB3">
        <w:rPr>
          <w:szCs w:val="24"/>
          <w:lang w:val="es-ES_tradnl"/>
        </w:rPr>
        <w:t xml:space="preserve">en materia </w:t>
      </w:r>
      <w:r w:rsidRPr="00CB6BB3">
        <w:rPr>
          <w:szCs w:val="24"/>
          <w:lang w:val="es-ES_tradnl"/>
        </w:rPr>
        <w:t>de planificación para que el diseño de los parques públicos tuviera en cuenta las cuestiones de género</w:t>
      </w:r>
      <w:r w:rsidR="00604EE2" w:rsidRPr="00CB6BB3">
        <w:rPr>
          <w:lang w:val="es-ES_tradnl"/>
        </w:rPr>
        <w:t>.</w:t>
      </w:r>
    </w:p>
    <w:p w:rsidR="006740CB" w:rsidRPr="00CB6BB3" w:rsidRDefault="006740CB" w:rsidP="00C21E04">
      <w:pPr>
        <w:pStyle w:val="H1G"/>
        <w:rPr>
          <w:lang w:val="es-ES_tradnl"/>
        </w:rPr>
      </w:pPr>
      <w:r w:rsidRPr="00CB6BB3">
        <w:rPr>
          <w:lang w:val="es-ES_tradnl"/>
        </w:rPr>
        <w:tab/>
      </w:r>
      <w:r w:rsidRPr="00CB6BB3">
        <w:rPr>
          <w:lang w:val="es-ES_tradnl"/>
        </w:rPr>
        <w:tab/>
        <w:t>Artículo 14</w:t>
      </w:r>
      <w:r w:rsidRPr="00CB6BB3">
        <w:rPr>
          <w:lang w:val="es-ES_tradnl"/>
        </w:rPr>
        <w:br/>
        <w:t xml:space="preserve">La situación de la mujer en la agricultura y </w:t>
      </w:r>
      <w:r w:rsidR="00A14A32" w:rsidRPr="00CB6BB3">
        <w:rPr>
          <w:lang w:val="es-ES_tradnl"/>
        </w:rPr>
        <w:t>la silvicultura</w:t>
      </w:r>
    </w:p>
    <w:p w:rsidR="00604EE2" w:rsidRPr="00CB6BB3" w:rsidRDefault="00BF3169" w:rsidP="00FB242B">
      <w:pPr>
        <w:pStyle w:val="SingleTxtG"/>
        <w:rPr>
          <w:szCs w:val="24"/>
          <w:lang w:val="es-ES_tradnl"/>
        </w:rPr>
      </w:pPr>
      <w:r w:rsidRPr="00CB6BB3">
        <w:rPr>
          <w:szCs w:val="24"/>
          <w:lang w:val="es-ES_tradnl"/>
        </w:rPr>
        <w:t>164.</w:t>
      </w:r>
      <w:r w:rsidRPr="00CB6BB3">
        <w:rPr>
          <w:szCs w:val="24"/>
          <w:lang w:val="es-ES_tradnl"/>
        </w:rPr>
        <w:tab/>
        <w:t>En las últimas décadas, las condicione</w:t>
      </w:r>
      <w:r w:rsidR="00CC17D2" w:rsidRPr="00CB6BB3">
        <w:rPr>
          <w:szCs w:val="24"/>
          <w:lang w:val="es-ES_tradnl"/>
        </w:rPr>
        <w:t>s de vida y el papel de la mujer</w:t>
      </w:r>
      <w:r w:rsidRPr="00CB6BB3">
        <w:rPr>
          <w:szCs w:val="24"/>
          <w:lang w:val="es-ES_tradnl"/>
        </w:rPr>
        <w:t xml:space="preserve"> en </w:t>
      </w:r>
      <w:r w:rsidR="00850B6B" w:rsidRPr="00CB6BB3">
        <w:rPr>
          <w:szCs w:val="24"/>
          <w:lang w:val="es-ES_tradnl"/>
        </w:rPr>
        <w:t>la agricultura y la silvicultura</w:t>
      </w:r>
      <w:r w:rsidRPr="00CB6BB3">
        <w:rPr>
          <w:szCs w:val="24"/>
          <w:lang w:val="es-ES_tradnl"/>
        </w:rPr>
        <w:t xml:space="preserve"> han </w:t>
      </w:r>
      <w:r w:rsidR="00CC17D2" w:rsidRPr="00CB6BB3">
        <w:rPr>
          <w:szCs w:val="24"/>
          <w:lang w:val="es-ES_tradnl"/>
        </w:rPr>
        <w:t>cambiad</w:t>
      </w:r>
      <w:r w:rsidRPr="00CB6BB3">
        <w:rPr>
          <w:szCs w:val="24"/>
          <w:lang w:val="es-ES_tradnl"/>
        </w:rPr>
        <w:t xml:space="preserve">o </w:t>
      </w:r>
      <w:r w:rsidR="00CC17D2" w:rsidRPr="00CB6BB3">
        <w:rPr>
          <w:szCs w:val="24"/>
          <w:lang w:val="es-ES_tradnl"/>
        </w:rPr>
        <w:t xml:space="preserve">mucho gracias a </w:t>
      </w:r>
      <w:r w:rsidRPr="00CB6BB3">
        <w:rPr>
          <w:szCs w:val="24"/>
          <w:lang w:val="es-ES_tradnl"/>
        </w:rPr>
        <w:t>la transformación del sector agrícola y la reestru</w:t>
      </w:r>
      <w:r w:rsidR="00CC17D2" w:rsidRPr="00CB6BB3">
        <w:rPr>
          <w:szCs w:val="24"/>
          <w:lang w:val="es-ES_tradnl"/>
        </w:rPr>
        <w:t>cturación de la</w:t>
      </w:r>
      <w:r w:rsidRPr="00CB6BB3">
        <w:rPr>
          <w:szCs w:val="24"/>
          <w:lang w:val="es-ES_tradnl"/>
        </w:rPr>
        <w:t>s</w:t>
      </w:r>
      <w:r w:rsidR="00CC17D2" w:rsidRPr="00CB6BB3">
        <w:rPr>
          <w:szCs w:val="24"/>
          <w:lang w:val="es-ES_tradnl"/>
        </w:rPr>
        <w:t xml:space="preserve"> explotaciones</w:t>
      </w:r>
      <w:r w:rsidRPr="00CB6BB3">
        <w:rPr>
          <w:szCs w:val="24"/>
          <w:lang w:val="es-ES_tradnl"/>
        </w:rPr>
        <w:t xml:space="preserve"> rurales, así como </w:t>
      </w:r>
      <w:r w:rsidR="00CC17D2" w:rsidRPr="00CB6BB3">
        <w:rPr>
          <w:szCs w:val="24"/>
          <w:lang w:val="es-ES_tradnl"/>
        </w:rPr>
        <w:t xml:space="preserve">a </w:t>
      </w:r>
      <w:r w:rsidRPr="00CB6BB3">
        <w:rPr>
          <w:szCs w:val="24"/>
          <w:lang w:val="es-ES_tradnl"/>
        </w:rPr>
        <w:t xml:space="preserve">las medidas sociopolíticas específicas dirigidas a </w:t>
      </w:r>
      <w:r w:rsidR="00CC17D2" w:rsidRPr="00CB6BB3">
        <w:rPr>
          <w:szCs w:val="24"/>
          <w:lang w:val="es-ES_tradnl"/>
        </w:rPr>
        <w:t xml:space="preserve">las </w:t>
      </w:r>
      <w:r w:rsidRPr="00CB6BB3">
        <w:rPr>
          <w:szCs w:val="24"/>
          <w:lang w:val="es-ES_tradnl"/>
        </w:rPr>
        <w:t xml:space="preserve">agricultoras y </w:t>
      </w:r>
      <w:r w:rsidR="00CC17D2" w:rsidRPr="00CB6BB3">
        <w:rPr>
          <w:szCs w:val="24"/>
          <w:lang w:val="es-ES_tradnl"/>
        </w:rPr>
        <w:t>las cónyuges</w:t>
      </w:r>
      <w:r w:rsidRPr="00CB6BB3">
        <w:rPr>
          <w:szCs w:val="24"/>
          <w:lang w:val="es-ES_tradnl"/>
        </w:rPr>
        <w:t xml:space="preserve"> de </w:t>
      </w:r>
      <w:r w:rsidR="00C2396E" w:rsidRPr="00CB6BB3">
        <w:rPr>
          <w:szCs w:val="24"/>
          <w:lang w:val="es-ES_tradnl"/>
        </w:rPr>
        <w:t xml:space="preserve">los </w:t>
      </w:r>
      <w:r w:rsidRPr="00CB6BB3">
        <w:rPr>
          <w:szCs w:val="24"/>
          <w:lang w:val="es-ES_tradnl"/>
        </w:rPr>
        <w:t xml:space="preserve">agricultores. </w:t>
      </w:r>
      <w:r w:rsidR="006740CB" w:rsidRPr="00CB6BB3">
        <w:rPr>
          <w:szCs w:val="24"/>
          <w:lang w:val="es-ES_tradnl"/>
        </w:rPr>
        <w:t>El Informe sobre el estado de la agricultura (el Informe Verde), que se presenta cada año al Parlamento, contiene un capítulo dedicado a la mujer en la agricultura. Actualmente, la</w:t>
      </w:r>
      <w:r w:rsidR="00A02B6E" w:rsidRPr="00CB6BB3">
        <w:rPr>
          <w:szCs w:val="24"/>
          <w:lang w:val="es-ES_tradnl"/>
        </w:rPr>
        <w:t xml:space="preserve">s mujeres representan aproximadamente </w:t>
      </w:r>
      <w:r w:rsidR="006740CB" w:rsidRPr="00CB6BB3">
        <w:rPr>
          <w:szCs w:val="24"/>
          <w:lang w:val="es-ES_tradnl"/>
        </w:rPr>
        <w:t>un 41</w:t>
      </w:r>
      <w:r w:rsidR="00B34FFF">
        <w:rPr>
          <w:szCs w:val="24"/>
          <w:lang w:val="es-ES_tradnl"/>
        </w:rPr>
        <w:t>%</w:t>
      </w:r>
      <w:r w:rsidR="006740CB" w:rsidRPr="00CB6BB3">
        <w:rPr>
          <w:rStyle w:val="FootnoteReference"/>
          <w:szCs w:val="24"/>
          <w:lang w:val="es-ES_tradnl"/>
        </w:rPr>
        <w:footnoteReference w:id="87"/>
      </w:r>
      <w:r w:rsidR="006740CB" w:rsidRPr="00CB6BB3">
        <w:rPr>
          <w:szCs w:val="24"/>
          <w:lang w:val="es-ES_tradnl"/>
        </w:rPr>
        <w:t xml:space="preserve"> del total de </w:t>
      </w:r>
      <w:r w:rsidR="00FB242B" w:rsidRPr="00CB6BB3">
        <w:rPr>
          <w:szCs w:val="24"/>
          <w:lang w:val="es-ES_tradnl"/>
        </w:rPr>
        <w:t xml:space="preserve">las </w:t>
      </w:r>
      <w:r w:rsidR="006740CB" w:rsidRPr="00CB6BB3">
        <w:rPr>
          <w:szCs w:val="24"/>
          <w:lang w:val="es-ES_tradnl"/>
        </w:rPr>
        <w:t xml:space="preserve">personas que trabajan en la agricultura y la </w:t>
      </w:r>
      <w:r w:rsidR="00FB242B" w:rsidRPr="00CB6BB3">
        <w:rPr>
          <w:szCs w:val="24"/>
          <w:lang w:val="es-ES_tradnl"/>
        </w:rPr>
        <w:t>silvicultura. En promedio, el 38</w:t>
      </w:r>
      <w:r w:rsidR="00B34FFF">
        <w:rPr>
          <w:szCs w:val="24"/>
          <w:lang w:val="es-ES_tradnl"/>
        </w:rPr>
        <w:t>%</w:t>
      </w:r>
      <w:r w:rsidR="00FB242B" w:rsidRPr="00CB6BB3">
        <w:rPr>
          <w:szCs w:val="24"/>
          <w:lang w:val="es-ES_tradnl"/>
        </w:rPr>
        <w:t xml:space="preserve"> de la</w:t>
      </w:r>
      <w:r w:rsidR="006740CB" w:rsidRPr="00CB6BB3">
        <w:rPr>
          <w:szCs w:val="24"/>
          <w:lang w:val="es-ES_tradnl"/>
        </w:rPr>
        <w:t>s e</w:t>
      </w:r>
      <w:r w:rsidR="00FB242B" w:rsidRPr="00CB6BB3">
        <w:rPr>
          <w:szCs w:val="24"/>
          <w:lang w:val="es-ES_tradnl"/>
        </w:rPr>
        <w:t>xplotaciones</w:t>
      </w:r>
      <w:r w:rsidR="006740CB" w:rsidRPr="00CB6BB3">
        <w:rPr>
          <w:szCs w:val="24"/>
          <w:lang w:val="es-ES_tradnl"/>
        </w:rPr>
        <w:t xml:space="preserve"> agrícolas, </w:t>
      </w:r>
      <w:r w:rsidR="00FB242B" w:rsidRPr="00CB6BB3">
        <w:rPr>
          <w:szCs w:val="24"/>
          <w:lang w:val="es-ES_tradnl"/>
        </w:rPr>
        <w:t xml:space="preserve">en </w:t>
      </w:r>
      <w:r w:rsidR="006740CB" w:rsidRPr="00CB6BB3">
        <w:rPr>
          <w:szCs w:val="24"/>
          <w:lang w:val="es-ES_tradnl"/>
        </w:rPr>
        <w:t>especial l</w:t>
      </w:r>
      <w:r w:rsidR="00FB242B" w:rsidRPr="00CB6BB3">
        <w:rPr>
          <w:szCs w:val="24"/>
          <w:lang w:val="es-ES_tradnl"/>
        </w:rPr>
        <w:t>as más pequeñas, son gestionadas por mujeres (2009). En el caso de la</w:t>
      </w:r>
      <w:r w:rsidR="006740CB" w:rsidRPr="00CB6BB3">
        <w:rPr>
          <w:szCs w:val="24"/>
          <w:lang w:val="es-ES_tradnl"/>
        </w:rPr>
        <w:t>s e</w:t>
      </w:r>
      <w:r w:rsidR="00FB242B" w:rsidRPr="00CB6BB3">
        <w:rPr>
          <w:szCs w:val="24"/>
          <w:lang w:val="es-ES_tradnl"/>
        </w:rPr>
        <w:t>xplotaciones</w:t>
      </w:r>
      <w:r w:rsidR="006740CB" w:rsidRPr="00CB6BB3">
        <w:rPr>
          <w:szCs w:val="24"/>
          <w:lang w:val="es-ES_tradnl"/>
        </w:rPr>
        <w:t xml:space="preserve"> de hasta 20 </w:t>
      </w:r>
      <w:r w:rsidR="00C21E04">
        <w:rPr>
          <w:szCs w:val="24"/>
          <w:lang w:val="es-ES_tradnl"/>
        </w:rPr>
        <w:t>h</w:t>
      </w:r>
      <w:r w:rsidR="007A42EC">
        <w:rPr>
          <w:szCs w:val="24"/>
          <w:lang w:val="es-ES_tradnl"/>
        </w:rPr>
        <w:t>a</w:t>
      </w:r>
      <w:r w:rsidR="006740CB" w:rsidRPr="00CB6BB3">
        <w:rPr>
          <w:szCs w:val="24"/>
          <w:lang w:val="es-ES_tradnl"/>
        </w:rPr>
        <w:t>, la proporción de mujeres es del 42</w:t>
      </w:r>
      <w:r w:rsidR="00B34FFF">
        <w:rPr>
          <w:szCs w:val="24"/>
          <w:lang w:val="es-ES_tradnl"/>
        </w:rPr>
        <w:t>%</w:t>
      </w:r>
      <w:r w:rsidR="006740CB" w:rsidRPr="00CB6BB3">
        <w:rPr>
          <w:szCs w:val="24"/>
          <w:lang w:val="es-ES_tradnl"/>
        </w:rPr>
        <w:t xml:space="preserve">. De los establecimientos con un área superior a las 100 </w:t>
      </w:r>
      <w:r w:rsidR="00237056">
        <w:rPr>
          <w:szCs w:val="24"/>
          <w:lang w:val="es-ES_tradnl"/>
        </w:rPr>
        <w:t>ha</w:t>
      </w:r>
      <w:r w:rsidR="006740CB" w:rsidRPr="00CB6BB3">
        <w:rPr>
          <w:szCs w:val="24"/>
          <w:lang w:val="es-ES_tradnl"/>
        </w:rPr>
        <w:t>, sólo un 17</w:t>
      </w:r>
      <w:r w:rsidR="00B34FFF">
        <w:rPr>
          <w:szCs w:val="24"/>
          <w:lang w:val="es-ES_tradnl"/>
        </w:rPr>
        <w:t>%</w:t>
      </w:r>
      <w:r w:rsidR="006740CB" w:rsidRPr="00CB6BB3">
        <w:rPr>
          <w:szCs w:val="24"/>
          <w:lang w:val="es-ES_tradnl"/>
        </w:rPr>
        <w:t xml:space="preserve"> son gestionados por agricultoras, y a partir de las 200 </w:t>
      </w:r>
      <w:r w:rsidR="00237056">
        <w:rPr>
          <w:szCs w:val="24"/>
          <w:lang w:val="es-ES_tradnl"/>
        </w:rPr>
        <w:t xml:space="preserve">ha </w:t>
      </w:r>
      <w:r w:rsidR="006740CB" w:rsidRPr="00CB6BB3">
        <w:rPr>
          <w:szCs w:val="24"/>
          <w:lang w:val="es-ES_tradnl"/>
        </w:rPr>
        <w:t>en adelante, las mujeres sólo representan un 16</w:t>
      </w:r>
      <w:r w:rsidR="00B34FFF">
        <w:rPr>
          <w:szCs w:val="24"/>
          <w:lang w:val="es-ES_tradnl"/>
        </w:rPr>
        <w:t>%</w:t>
      </w:r>
      <w:r w:rsidR="006740CB" w:rsidRPr="00CB6BB3">
        <w:rPr>
          <w:szCs w:val="24"/>
          <w:lang w:val="es-ES_tradnl"/>
        </w:rPr>
        <w:t xml:space="preserve">. Las mujeres </w:t>
      </w:r>
      <w:r w:rsidR="00FB242B" w:rsidRPr="00CB6BB3">
        <w:rPr>
          <w:szCs w:val="24"/>
          <w:lang w:val="es-ES_tradnl"/>
        </w:rPr>
        <w:t>gestionan el 36</w:t>
      </w:r>
      <w:r w:rsidR="00B34FFF">
        <w:rPr>
          <w:szCs w:val="24"/>
          <w:lang w:val="es-ES_tradnl"/>
        </w:rPr>
        <w:t>%</w:t>
      </w:r>
      <w:r w:rsidR="00FB242B" w:rsidRPr="00CB6BB3">
        <w:rPr>
          <w:szCs w:val="24"/>
          <w:lang w:val="es-ES_tradnl"/>
        </w:rPr>
        <w:t xml:space="preserve"> de la</w:t>
      </w:r>
      <w:r w:rsidR="006740CB" w:rsidRPr="00CB6BB3">
        <w:rPr>
          <w:szCs w:val="24"/>
          <w:lang w:val="es-ES_tradnl"/>
        </w:rPr>
        <w:t>s e</w:t>
      </w:r>
      <w:r w:rsidR="00FB242B" w:rsidRPr="00CB6BB3">
        <w:rPr>
          <w:szCs w:val="24"/>
          <w:lang w:val="es-ES_tradnl"/>
        </w:rPr>
        <w:t>xplotaciones</w:t>
      </w:r>
      <w:r w:rsidR="006740CB" w:rsidRPr="00CB6BB3">
        <w:rPr>
          <w:szCs w:val="24"/>
          <w:lang w:val="es-ES_tradnl"/>
        </w:rPr>
        <w:t xml:space="preserve"> de montaña y un 37</w:t>
      </w:r>
      <w:r w:rsidR="00B34FFF">
        <w:rPr>
          <w:szCs w:val="24"/>
          <w:lang w:val="es-ES_tradnl"/>
        </w:rPr>
        <w:t>%</w:t>
      </w:r>
      <w:r w:rsidR="006740CB" w:rsidRPr="00CB6BB3">
        <w:rPr>
          <w:szCs w:val="24"/>
          <w:lang w:val="es-ES_tradnl"/>
        </w:rPr>
        <w:t xml:space="preserve"> de las granjas orgánicas</w:t>
      </w:r>
      <w:r w:rsidR="00604EE2" w:rsidRPr="00CB6BB3">
        <w:rPr>
          <w:lang w:val="es-ES_tradnl"/>
        </w:rPr>
        <w:t>.</w:t>
      </w:r>
    </w:p>
    <w:p w:rsidR="00FB242B" w:rsidRPr="00CB6BB3" w:rsidRDefault="006740CB" w:rsidP="00FB242B">
      <w:pPr>
        <w:pStyle w:val="SingleTxtG"/>
        <w:rPr>
          <w:szCs w:val="24"/>
          <w:lang w:val="es-ES_tradnl"/>
        </w:rPr>
      </w:pPr>
      <w:r w:rsidRPr="00CB6BB3">
        <w:rPr>
          <w:lang w:val="es-ES_tradnl"/>
        </w:rPr>
        <w:t>165.</w:t>
      </w:r>
      <w:r w:rsidRPr="00CB6BB3">
        <w:rPr>
          <w:lang w:val="es-ES_tradnl"/>
        </w:rPr>
        <w:tab/>
      </w:r>
      <w:r w:rsidR="00FB242B" w:rsidRPr="00CB6BB3">
        <w:rPr>
          <w:lang w:val="es-ES_tradnl"/>
        </w:rPr>
        <w:t>Artí</w:t>
      </w:r>
      <w:r w:rsidRPr="00CB6BB3">
        <w:rPr>
          <w:lang w:val="es-ES_tradnl"/>
        </w:rPr>
        <w:t xml:space="preserve">culo 14, </w:t>
      </w:r>
      <w:r w:rsidR="00FB242B" w:rsidRPr="00CB6BB3">
        <w:rPr>
          <w:lang w:val="es-ES_tradnl"/>
        </w:rPr>
        <w:t>párrafo</w:t>
      </w:r>
      <w:r w:rsidRPr="00CB6BB3">
        <w:rPr>
          <w:lang w:val="es-ES_tradnl"/>
        </w:rPr>
        <w:t xml:space="preserve"> 2, </w:t>
      </w:r>
      <w:r w:rsidR="00FB242B" w:rsidRPr="00CB6BB3">
        <w:rPr>
          <w:lang w:val="es-ES_tradnl"/>
        </w:rPr>
        <w:t>apartado a).</w:t>
      </w:r>
      <w:r w:rsidR="00C425BE">
        <w:rPr>
          <w:lang w:val="es-ES_tradnl"/>
        </w:rPr>
        <w:t xml:space="preserve"> </w:t>
      </w:r>
      <w:r w:rsidR="00FB242B" w:rsidRPr="00CB6BB3">
        <w:rPr>
          <w:lang w:val="es-ES_tradnl"/>
        </w:rPr>
        <w:t>E</w:t>
      </w:r>
      <w:r w:rsidRPr="00CB6BB3">
        <w:rPr>
          <w:lang w:val="es-ES_tradnl"/>
        </w:rPr>
        <w:t>n el bienio 2008-2009, más de un tercio (35</w:t>
      </w:r>
      <w:r w:rsidR="00B34FFF">
        <w:rPr>
          <w:lang w:val="es-ES_tradnl"/>
        </w:rPr>
        <w:t>%</w:t>
      </w:r>
      <w:r w:rsidRPr="00CB6BB3">
        <w:rPr>
          <w:lang w:val="es-ES_tradnl"/>
        </w:rPr>
        <w:t>) de todos los subsidios de inversión se asignaron a establecimientos dirigidos por mujeres, y aproximadamente un 24</w:t>
      </w:r>
      <w:r w:rsidR="00B34FFF">
        <w:rPr>
          <w:lang w:val="es-ES_tradnl"/>
        </w:rPr>
        <w:t>%</w:t>
      </w:r>
      <w:r w:rsidRPr="00CB6BB3">
        <w:rPr>
          <w:lang w:val="es-ES_tradnl"/>
        </w:rPr>
        <w:t xml:space="preserve"> del total de premios otorgados a establecimientos recayeron en agricultoras</w:t>
      </w:r>
      <w:r w:rsidR="00850B6B" w:rsidRPr="00CB6BB3">
        <w:rPr>
          <w:lang w:val="es-ES_tradnl"/>
        </w:rPr>
        <w:t>.</w:t>
      </w:r>
    </w:p>
    <w:p w:rsidR="00B4473B" w:rsidRPr="00CB6BB3" w:rsidRDefault="006740CB" w:rsidP="00B4473B">
      <w:pPr>
        <w:pStyle w:val="SingleTxtG"/>
        <w:rPr>
          <w:szCs w:val="24"/>
          <w:lang w:val="es-ES_tradnl"/>
        </w:rPr>
      </w:pPr>
      <w:r w:rsidRPr="00CB6BB3">
        <w:rPr>
          <w:lang w:val="es-ES_tradnl"/>
        </w:rPr>
        <w:t>166.</w:t>
      </w:r>
      <w:r w:rsidRPr="00CB6BB3">
        <w:rPr>
          <w:lang w:val="es-ES_tradnl"/>
        </w:rPr>
        <w:tab/>
        <w:t xml:space="preserve">El Programa de desarrollo rural para el período 2007 a 2013 (Programa RD 07-13), </w:t>
      </w:r>
      <w:r w:rsidR="00FB242B" w:rsidRPr="00CB6BB3">
        <w:rPr>
          <w:lang w:val="es-ES_tradnl"/>
        </w:rPr>
        <w:t>cofinanciado por</w:t>
      </w:r>
      <w:r w:rsidRPr="00CB6BB3">
        <w:rPr>
          <w:lang w:val="es-ES_tradnl"/>
        </w:rPr>
        <w:t xml:space="preserve"> la UE, incluye un capítulo </w:t>
      </w:r>
      <w:r w:rsidR="00A02B6E" w:rsidRPr="00CB6BB3">
        <w:rPr>
          <w:lang w:val="es-ES_tradnl"/>
        </w:rPr>
        <w:t>dedicado a</w:t>
      </w:r>
      <w:r w:rsidRPr="00CB6BB3">
        <w:rPr>
          <w:lang w:val="es-ES_tradnl"/>
        </w:rPr>
        <w:t xml:space="preserve"> la igualdad entre hombres y mujeres y la no discriminación. </w:t>
      </w:r>
      <w:r w:rsidR="00A02B6E" w:rsidRPr="00CB6BB3">
        <w:rPr>
          <w:lang w:val="es-ES_tradnl"/>
        </w:rPr>
        <w:t>Con miras al logro de</w:t>
      </w:r>
      <w:r w:rsidRPr="00CB6BB3">
        <w:rPr>
          <w:lang w:val="es-ES_tradnl"/>
        </w:rPr>
        <w:t xml:space="preserve">l objetivo de la igualdad, </w:t>
      </w:r>
      <w:r w:rsidR="00A02B6E" w:rsidRPr="00CB6BB3">
        <w:rPr>
          <w:lang w:val="es-ES_tradnl"/>
        </w:rPr>
        <w:t xml:space="preserve">en el Comité de vigilancia de este Programa, </w:t>
      </w:r>
      <w:r w:rsidRPr="00CB6BB3">
        <w:rPr>
          <w:lang w:val="es-ES_tradnl"/>
        </w:rPr>
        <w:t xml:space="preserve">un representante de una autoridad federal competente para la igualdad de trato y un delegado de una ONG </w:t>
      </w:r>
      <w:r w:rsidR="00A02B6E" w:rsidRPr="00CB6BB3">
        <w:rPr>
          <w:lang w:val="es-ES_tradnl"/>
        </w:rPr>
        <w:t>son miembros</w:t>
      </w:r>
      <w:r w:rsidR="00FB242B" w:rsidRPr="00CB6BB3">
        <w:rPr>
          <w:lang w:val="es-ES_tradnl"/>
        </w:rPr>
        <w:t xml:space="preserve"> con derecho a</w:t>
      </w:r>
      <w:r w:rsidRPr="00CB6BB3">
        <w:rPr>
          <w:lang w:val="es-ES_tradnl"/>
        </w:rPr>
        <w:t xml:space="preserve"> </w:t>
      </w:r>
      <w:r w:rsidR="00850B6B" w:rsidRPr="00CB6BB3">
        <w:rPr>
          <w:lang w:val="es-ES_tradnl"/>
        </w:rPr>
        <w:t>voto</w:t>
      </w:r>
      <w:r w:rsidR="00FB242B" w:rsidRPr="00CB6BB3">
        <w:rPr>
          <w:lang w:val="es-ES_tradnl"/>
        </w:rPr>
        <w:t>. Al redactar l</w:t>
      </w:r>
      <w:r w:rsidRPr="00CB6BB3">
        <w:rPr>
          <w:lang w:val="es-ES_tradnl"/>
        </w:rPr>
        <w:t xml:space="preserve">as medidas de promoción </w:t>
      </w:r>
      <w:r w:rsidR="00FB242B" w:rsidRPr="00CB6BB3">
        <w:rPr>
          <w:lang w:val="es-ES_tradnl"/>
        </w:rPr>
        <w:t>d</w:t>
      </w:r>
      <w:r w:rsidRPr="00CB6BB3">
        <w:rPr>
          <w:lang w:val="es-ES_tradnl"/>
        </w:rPr>
        <w:t xml:space="preserve">el Plan Estratégico Nacional para el Desarrollo Rural de Austria </w:t>
      </w:r>
      <w:r w:rsidR="00FB242B" w:rsidRPr="00CB6BB3">
        <w:rPr>
          <w:lang w:val="es-ES_tradnl"/>
        </w:rPr>
        <w:t>se hace</w:t>
      </w:r>
      <w:r w:rsidRPr="00CB6BB3">
        <w:rPr>
          <w:lang w:val="es-ES_tradnl"/>
        </w:rPr>
        <w:t xml:space="preserve"> especial hincapié en la no discriminación por razones de sexo. En re</w:t>
      </w:r>
      <w:r w:rsidR="00FB242B" w:rsidRPr="00CB6BB3">
        <w:rPr>
          <w:lang w:val="es-ES_tradnl"/>
        </w:rPr>
        <w:t>spuesta a la propuesta d</w:t>
      </w:r>
      <w:r w:rsidRPr="00CB6BB3">
        <w:rPr>
          <w:lang w:val="es-ES_tradnl"/>
        </w:rPr>
        <w:t xml:space="preserve">el representante de la ONG Red de centros de </w:t>
      </w:r>
      <w:r w:rsidR="00FB242B" w:rsidRPr="00CB6BB3">
        <w:rPr>
          <w:lang w:val="es-ES_tradnl"/>
        </w:rPr>
        <w:t>orientación</w:t>
      </w:r>
      <w:r w:rsidRPr="00CB6BB3">
        <w:rPr>
          <w:lang w:val="es-ES_tradnl"/>
        </w:rPr>
        <w:t xml:space="preserve"> austríacos para mujeres y niñas, el Comité </w:t>
      </w:r>
      <w:r w:rsidR="00FB242B" w:rsidRPr="00CB6BB3">
        <w:rPr>
          <w:lang w:val="es-ES_tradnl"/>
        </w:rPr>
        <w:t>cre</w:t>
      </w:r>
      <w:r w:rsidRPr="00CB6BB3">
        <w:rPr>
          <w:lang w:val="es-ES_tradnl"/>
        </w:rPr>
        <w:t xml:space="preserve">ó un grupo de trabajo para la igualdad de trato entre mujeres y hombres en las zonas rurales. </w:t>
      </w:r>
      <w:r w:rsidR="003232DD" w:rsidRPr="00CB6BB3">
        <w:rPr>
          <w:lang w:val="es-ES_tradnl"/>
        </w:rPr>
        <w:t>Este</w:t>
      </w:r>
      <w:r w:rsidR="00C2396E" w:rsidRPr="00CB6BB3">
        <w:rPr>
          <w:lang w:val="es-ES_tradnl"/>
        </w:rPr>
        <w:t xml:space="preserve"> grupo</w:t>
      </w:r>
      <w:r w:rsidRPr="00CB6BB3">
        <w:rPr>
          <w:lang w:val="es-ES_tradnl"/>
        </w:rPr>
        <w:t xml:space="preserve"> ha ideado una serie de medidas prácticas cuya </w:t>
      </w:r>
      <w:r w:rsidR="00B4473B" w:rsidRPr="00CB6BB3">
        <w:rPr>
          <w:lang w:val="es-ES_tradnl"/>
        </w:rPr>
        <w:t>aplicación</w:t>
      </w:r>
      <w:r w:rsidRPr="00CB6BB3">
        <w:rPr>
          <w:lang w:val="es-ES_tradnl"/>
        </w:rPr>
        <w:t xml:space="preserve"> comenzará en 2011. A instancia</w:t>
      </w:r>
      <w:r w:rsidR="00B4473B" w:rsidRPr="00CB6BB3">
        <w:rPr>
          <w:lang w:val="es-ES_tradnl"/>
        </w:rPr>
        <w:t>s</w:t>
      </w:r>
      <w:r w:rsidRPr="00CB6BB3">
        <w:rPr>
          <w:lang w:val="es-ES_tradnl"/>
        </w:rPr>
        <w:t xml:space="preserve"> del Programa RD 07-13 y su enfoque </w:t>
      </w:r>
      <w:r w:rsidR="00C70626">
        <w:rPr>
          <w:lang w:val="es-ES_tradnl"/>
        </w:rPr>
        <w:t>"</w:t>
      </w:r>
      <w:r w:rsidRPr="00CB6BB3">
        <w:rPr>
          <w:lang w:val="es-ES_tradnl"/>
        </w:rPr>
        <w:t>LEADER</w:t>
      </w:r>
      <w:r w:rsidR="00C70626">
        <w:rPr>
          <w:lang w:val="es-ES_tradnl"/>
        </w:rPr>
        <w:t>"</w:t>
      </w:r>
      <w:r w:rsidRPr="00CB6BB3">
        <w:rPr>
          <w:rStyle w:val="FootnoteReference"/>
          <w:szCs w:val="24"/>
          <w:lang w:val="es-ES_tradnl"/>
        </w:rPr>
        <w:footnoteReference w:id="88"/>
      </w:r>
      <w:r w:rsidRPr="00CB6BB3">
        <w:rPr>
          <w:lang w:val="es-ES_tradnl"/>
        </w:rPr>
        <w:t>, las distintas regiones elaboraron planes de desarrollo que cumplen con los principios de incorporación de la perspectiva de género. En total, 86 regiones de Aust</w:t>
      </w:r>
      <w:r w:rsidR="00A02B6E" w:rsidRPr="00CB6BB3">
        <w:rPr>
          <w:lang w:val="es-ES_tradnl"/>
        </w:rPr>
        <w:t>ria cumplieron con este requisito.</w:t>
      </w:r>
    </w:p>
    <w:p w:rsidR="00B4473B" w:rsidRPr="00CB6BB3" w:rsidRDefault="006740CB" w:rsidP="00B4473B">
      <w:pPr>
        <w:pStyle w:val="SingleTxtG"/>
        <w:rPr>
          <w:szCs w:val="24"/>
          <w:lang w:val="es-ES_tradnl"/>
        </w:rPr>
      </w:pPr>
      <w:r w:rsidRPr="00CB6BB3">
        <w:rPr>
          <w:lang w:val="es-ES_tradnl"/>
        </w:rPr>
        <w:t>167.</w:t>
      </w:r>
      <w:r w:rsidRPr="00CB6BB3">
        <w:rPr>
          <w:lang w:val="es-ES_tradnl"/>
        </w:rPr>
        <w:tab/>
        <w:t xml:space="preserve">Artículo 14, </w:t>
      </w:r>
      <w:r w:rsidR="00B4473B" w:rsidRPr="00CB6BB3">
        <w:rPr>
          <w:lang w:val="es-ES_tradnl"/>
        </w:rPr>
        <w:t>párrafo</w:t>
      </w:r>
      <w:r w:rsidRPr="00CB6BB3">
        <w:rPr>
          <w:lang w:val="es-ES_tradnl"/>
        </w:rPr>
        <w:t xml:space="preserve"> 2, </w:t>
      </w:r>
      <w:r w:rsidR="00B4473B" w:rsidRPr="00CB6BB3">
        <w:rPr>
          <w:lang w:val="es-ES_tradnl"/>
        </w:rPr>
        <w:t>apartado d). L</w:t>
      </w:r>
      <w:r w:rsidRPr="00CB6BB3">
        <w:rPr>
          <w:lang w:val="es-ES_tradnl"/>
        </w:rPr>
        <w:t>a participación de las agricultoras y las esposas de agricultores en programas educativos ha aumentado considerablemente; según los resultados de una encuesta realizada en 2006, hoy en día casi no hay agricultoras o esposas de agricultores que no hayan finalizado su escolarización. E</w:t>
      </w:r>
      <w:r w:rsidR="00850B6B" w:rsidRPr="00CB6BB3">
        <w:rPr>
          <w:lang w:val="es-ES_tradnl"/>
        </w:rPr>
        <w:t>n e</w:t>
      </w:r>
      <w:r w:rsidRPr="00CB6BB3">
        <w:rPr>
          <w:lang w:val="es-ES_tradnl"/>
        </w:rPr>
        <w:t xml:space="preserve">l estudio titulado </w:t>
      </w:r>
      <w:r w:rsidR="00C70626">
        <w:rPr>
          <w:lang w:val="es-ES_tradnl"/>
        </w:rPr>
        <w:t>"</w:t>
      </w:r>
      <w:r w:rsidRPr="00CB6BB3">
        <w:rPr>
          <w:lang w:val="es-ES_tradnl"/>
        </w:rPr>
        <w:t>Responsables de establecimientos agrícolas en Austria</w:t>
      </w:r>
      <w:r w:rsidR="00C70626">
        <w:rPr>
          <w:lang w:val="es-ES_tradnl"/>
        </w:rPr>
        <w:t>"</w:t>
      </w:r>
      <w:r w:rsidR="00B4473B" w:rsidRPr="00CB6BB3">
        <w:rPr>
          <w:lang w:val="es-ES_tradnl"/>
        </w:rPr>
        <w:t>,</w:t>
      </w:r>
      <w:r w:rsidRPr="00CB6BB3">
        <w:rPr>
          <w:lang w:val="es-ES_tradnl"/>
        </w:rPr>
        <w:t xml:space="preserve"> de 2010</w:t>
      </w:r>
      <w:r w:rsidR="00B4473B" w:rsidRPr="00CB6BB3">
        <w:rPr>
          <w:lang w:val="es-ES_tradnl"/>
        </w:rPr>
        <w:t>,</w:t>
      </w:r>
      <w:r w:rsidRPr="00CB6BB3">
        <w:rPr>
          <w:lang w:val="es-ES_tradnl"/>
        </w:rPr>
        <w:t xml:space="preserve"> </w:t>
      </w:r>
      <w:r w:rsidR="00B4473B" w:rsidRPr="00CB6BB3">
        <w:rPr>
          <w:lang w:val="es-ES_tradnl"/>
        </w:rPr>
        <w:t xml:space="preserve">se </w:t>
      </w:r>
      <w:r w:rsidRPr="00CB6BB3">
        <w:rPr>
          <w:lang w:val="es-ES_tradnl"/>
        </w:rPr>
        <w:t>analiza</w:t>
      </w:r>
      <w:r w:rsidR="00B4473B" w:rsidRPr="00CB6BB3">
        <w:rPr>
          <w:lang w:val="es-ES_tradnl"/>
        </w:rPr>
        <w:t>n</w:t>
      </w:r>
      <w:r w:rsidRPr="00CB6BB3">
        <w:rPr>
          <w:lang w:val="es-ES_tradnl"/>
        </w:rPr>
        <w:t xml:space="preserve"> las razones de la</w:t>
      </w:r>
      <w:r w:rsidR="00B4473B" w:rsidRPr="00CB6BB3">
        <w:rPr>
          <w:lang w:val="es-ES_tradnl"/>
        </w:rPr>
        <w:t xml:space="preserve"> proporción</w:t>
      </w:r>
      <w:r w:rsidRPr="00CB6BB3">
        <w:rPr>
          <w:lang w:val="es-ES_tradnl"/>
        </w:rPr>
        <w:t xml:space="preserve"> relativamente </w:t>
      </w:r>
      <w:r w:rsidR="00B4473B" w:rsidRPr="00CB6BB3">
        <w:rPr>
          <w:lang w:val="es-ES_tradnl"/>
        </w:rPr>
        <w:t>elevad</w:t>
      </w:r>
      <w:r w:rsidRPr="00CB6BB3">
        <w:rPr>
          <w:lang w:val="es-ES_tradnl"/>
        </w:rPr>
        <w:t xml:space="preserve">a de mujeres </w:t>
      </w:r>
      <w:r w:rsidR="00B4473B" w:rsidRPr="00CB6BB3">
        <w:rPr>
          <w:lang w:val="es-ES_tradnl"/>
        </w:rPr>
        <w:t>en la gestión de explotacione</w:t>
      </w:r>
      <w:r w:rsidRPr="00CB6BB3">
        <w:rPr>
          <w:lang w:val="es-ES_tradnl"/>
        </w:rPr>
        <w:t>s agrícolas en el país, en comparación con otros Estados Miembros de la UE, y demuestra que estas mujeres construyeron su perfil como gerentes de establecimientos agrícolas. En este proceso, la formación y la educación desempeñaron un papel fundamental. Se llevaron a cabo una serie de programas de formación permanente</w:t>
      </w:r>
    </w:p>
    <w:p w:rsidR="00B4473B" w:rsidRPr="00CB6BB3" w:rsidRDefault="00B4473B" w:rsidP="00B4473B">
      <w:pPr>
        <w:pStyle w:val="SingleTxtG"/>
        <w:rPr>
          <w:szCs w:val="24"/>
          <w:lang w:val="es-ES_tradnl"/>
        </w:rPr>
      </w:pPr>
      <w:r w:rsidRPr="00CB6BB3">
        <w:rPr>
          <w:lang w:val="es-ES_tradnl"/>
        </w:rPr>
        <w:t>168.</w:t>
      </w:r>
      <w:r w:rsidR="006740CB" w:rsidRPr="00CB6BB3">
        <w:rPr>
          <w:lang w:val="es-ES_tradnl"/>
        </w:rPr>
        <w:tab/>
        <w:t xml:space="preserve">Artículo 14, </w:t>
      </w:r>
      <w:r w:rsidRPr="00CB6BB3">
        <w:rPr>
          <w:lang w:val="es-ES_tradnl"/>
        </w:rPr>
        <w:t>párrafo</w:t>
      </w:r>
      <w:r w:rsidR="006740CB" w:rsidRPr="00CB6BB3">
        <w:rPr>
          <w:lang w:val="es-ES_tradnl"/>
        </w:rPr>
        <w:t xml:space="preserve"> 2, </w:t>
      </w:r>
      <w:r w:rsidRPr="00CB6BB3">
        <w:rPr>
          <w:lang w:val="es-ES_tradnl"/>
        </w:rPr>
        <w:t>apartados e) y f). En e</w:t>
      </w:r>
      <w:r w:rsidR="006740CB" w:rsidRPr="00CB6BB3">
        <w:rPr>
          <w:lang w:val="es-ES_tradnl"/>
        </w:rPr>
        <w:t xml:space="preserve">l estudio </w:t>
      </w:r>
      <w:r w:rsidR="00C70626">
        <w:rPr>
          <w:lang w:val="es-ES_tradnl"/>
        </w:rPr>
        <w:t>"</w:t>
      </w:r>
      <w:r w:rsidR="006740CB" w:rsidRPr="00CB6BB3">
        <w:rPr>
          <w:lang w:val="es-ES_tradnl"/>
        </w:rPr>
        <w:t>Las mujeres en la política en zonas rurales</w:t>
      </w:r>
      <w:r w:rsidR="00C70626">
        <w:rPr>
          <w:lang w:val="es-ES_tradnl"/>
        </w:rPr>
        <w:t>"</w:t>
      </w:r>
      <w:r w:rsidRPr="00CB6BB3">
        <w:rPr>
          <w:lang w:val="es-ES_tradnl"/>
        </w:rPr>
        <w:t xml:space="preserve"> se confirmó</w:t>
      </w:r>
      <w:r w:rsidR="006740CB" w:rsidRPr="00CB6BB3">
        <w:rPr>
          <w:lang w:val="es-ES_tradnl"/>
        </w:rPr>
        <w:t xml:space="preserve"> que </w:t>
      </w:r>
      <w:r w:rsidRPr="00CB6BB3">
        <w:rPr>
          <w:lang w:val="es-ES_tradnl"/>
        </w:rPr>
        <w:t>es notoria la baja representación de las mujeres en los</w:t>
      </w:r>
      <w:r w:rsidR="006740CB" w:rsidRPr="00CB6BB3">
        <w:rPr>
          <w:lang w:val="es-ES_tradnl"/>
        </w:rPr>
        <w:t xml:space="preserve"> cargos ejecutivos y de liderazgo </w:t>
      </w:r>
      <w:r w:rsidRPr="00CB6BB3">
        <w:rPr>
          <w:lang w:val="es-ES_tradnl"/>
        </w:rPr>
        <w:t>en la política (agrícola): sin excepción</w:t>
      </w:r>
      <w:r w:rsidR="006740CB" w:rsidRPr="00CB6BB3">
        <w:rPr>
          <w:lang w:val="es-ES_tradnl"/>
        </w:rPr>
        <w:t>, todos los presidentes de las Cámaras de Agricultura son hombres</w:t>
      </w:r>
      <w:r w:rsidRPr="00CB6BB3">
        <w:rPr>
          <w:lang w:val="es-ES_tradnl"/>
        </w:rPr>
        <w:t>,</w:t>
      </w:r>
      <w:r w:rsidR="006740CB" w:rsidRPr="00CB6BB3">
        <w:rPr>
          <w:lang w:val="es-ES_tradnl"/>
        </w:rPr>
        <w:t xml:space="preserve"> y la proporción de mujeres en las cámaras regionales es de sólo un 15</w:t>
      </w:r>
      <w:r w:rsidR="00B34FFF">
        <w:rPr>
          <w:lang w:val="es-ES_tradnl"/>
        </w:rPr>
        <w:t>%</w:t>
      </w:r>
      <w:r w:rsidR="006740CB" w:rsidRPr="00CB6BB3">
        <w:rPr>
          <w:lang w:val="es-ES_tradnl"/>
        </w:rPr>
        <w:t xml:space="preserve">. El Programa RD 07-13 promueve la formación de grupos de autoayuda y la creación de redes. Desde hace algunas décadas, </w:t>
      </w:r>
      <w:r w:rsidRPr="00CB6BB3">
        <w:rPr>
          <w:lang w:val="es-ES_tradnl"/>
        </w:rPr>
        <w:t xml:space="preserve">se están creando redes de </w:t>
      </w:r>
      <w:r w:rsidR="006740CB" w:rsidRPr="00CB6BB3">
        <w:rPr>
          <w:lang w:val="es-ES_tradnl"/>
        </w:rPr>
        <w:t>diversos grupos de agricultoras y esposas de agricultores</w:t>
      </w:r>
    </w:p>
    <w:p w:rsidR="00B4473B" w:rsidRPr="00CB6BB3" w:rsidRDefault="006740CB" w:rsidP="00B4473B">
      <w:pPr>
        <w:pStyle w:val="SingleTxtG"/>
        <w:rPr>
          <w:szCs w:val="24"/>
          <w:lang w:val="es-ES_tradnl"/>
        </w:rPr>
      </w:pPr>
      <w:r w:rsidRPr="00CB6BB3">
        <w:rPr>
          <w:lang w:val="es-ES_tradnl"/>
        </w:rPr>
        <w:t>169.</w:t>
      </w:r>
      <w:r w:rsidRPr="00CB6BB3">
        <w:rPr>
          <w:lang w:val="es-ES_tradnl"/>
        </w:rPr>
        <w:tab/>
        <w:t>La Asociación</w:t>
      </w:r>
      <w:r w:rsidR="00B4473B" w:rsidRPr="00CB6BB3">
        <w:rPr>
          <w:lang w:val="es-ES_tradnl"/>
        </w:rPr>
        <w:t xml:space="preserve"> de Mujeres en la Forestería</w:t>
      </w:r>
      <w:r w:rsidRPr="00CB6BB3">
        <w:rPr>
          <w:lang w:val="es-ES_tradnl"/>
        </w:rPr>
        <w:t xml:space="preserve"> es una red de apoyo mutuo para mujeres que trabajan en este ámbito y en la industria de la madera. Proyectos tales como </w:t>
      </w:r>
      <w:r w:rsidR="00C70626">
        <w:rPr>
          <w:lang w:val="es-ES_tradnl"/>
        </w:rPr>
        <w:t>"</w:t>
      </w:r>
      <w:r w:rsidRPr="00CB6BB3">
        <w:rPr>
          <w:lang w:val="es-ES_tradnl"/>
        </w:rPr>
        <w:t>Vacaciones en la granja</w:t>
      </w:r>
      <w:r w:rsidR="00C70626">
        <w:rPr>
          <w:lang w:val="es-ES_tradnl"/>
        </w:rPr>
        <w:t>"</w:t>
      </w:r>
      <w:r w:rsidRPr="00CB6BB3">
        <w:rPr>
          <w:lang w:val="es-ES_tradnl"/>
        </w:rPr>
        <w:t xml:space="preserve"> y otros programas </w:t>
      </w:r>
      <w:r w:rsidR="00B4473B" w:rsidRPr="00CB6BB3">
        <w:rPr>
          <w:lang w:val="es-ES_tradnl"/>
        </w:rPr>
        <w:t xml:space="preserve">de </w:t>
      </w:r>
      <w:r w:rsidRPr="00CB6BB3">
        <w:rPr>
          <w:lang w:val="es-ES_tradnl"/>
        </w:rPr>
        <w:t>diversifica</w:t>
      </w:r>
      <w:r w:rsidR="00B4473B" w:rsidRPr="00CB6BB3">
        <w:rPr>
          <w:lang w:val="es-ES_tradnl"/>
        </w:rPr>
        <w:t>ción</w:t>
      </w:r>
      <w:r w:rsidRPr="00CB6BB3">
        <w:rPr>
          <w:lang w:val="es-ES_tradnl"/>
        </w:rPr>
        <w:t xml:space="preserve"> de empresas agrícolas </w:t>
      </w:r>
      <w:r w:rsidR="00B4473B" w:rsidRPr="00CB6BB3">
        <w:rPr>
          <w:lang w:val="es-ES_tradnl"/>
        </w:rPr>
        <w:t xml:space="preserve">siguen fundamentalmente bajo la dirección de </w:t>
      </w:r>
      <w:r w:rsidRPr="00CB6BB3">
        <w:rPr>
          <w:lang w:val="es-ES_tradnl"/>
        </w:rPr>
        <w:t>mujeres. En 2009 dio comienzo la compet</w:t>
      </w:r>
      <w:r w:rsidR="00B4473B" w:rsidRPr="00CB6BB3">
        <w:rPr>
          <w:lang w:val="es-ES_tradnl"/>
        </w:rPr>
        <w:t>ición</w:t>
      </w:r>
      <w:r w:rsidRPr="00CB6BB3">
        <w:rPr>
          <w:lang w:val="es-ES_tradnl"/>
        </w:rPr>
        <w:t xml:space="preserve"> </w:t>
      </w:r>
      <w:r w:rsidR="00C70626">
        <w:rPr>
          <w:lang w:val="es-ES_tradnl"/>
        </w:rPr>
        <w:t>"</w:t>
      </w:r>
      <w:r w:rsidRPr="00CB6BB3">
        <w:rPr>
          <w:lang w:val="es-ES_tradnl"/>
        </w:rPr>
        <w:t>LEA</w:t>
      </w:r>
      <w:r w:rsidR="00C70626">
        <w:rPr>
          <w:lang w:val="es-ES_tradnl"/>
        </w:rPr>
        <w:t>"</w:t>
      </w:r>
      <w:r w:rsidRPr="00CB6BB3">
        <w:rPr>
          <w:lang w:val="es-ES_tradnl"/>
        </w:rPr>
        <w:t xml:space="preserve"> (Rurales-Comprometidas-Extraordinarias), </w:t>
      </w:r>
      <w:r w:rsidR="00B4473B" w:rsidRPr="00CB6BB3">
        <w:rPr>
          <w:lang w:val="es-ES_tradnl"/>
        </w:rPr>
        <w:t xml:space="preserve">en el marco de la cual se conceden </w:t>
      </w:r>
      <w:r w:rsidRPr="00CB6BB3">
        <w:rPr>
          <w:lang w:val="es-ES_tradnl"/>
        </w:rPr>
        <w:t xml:space="preserve">premios a proyectos </w:t>
      </w:r>
      <w:r w:rsidR="00B4473B" w:rsidRPr="00CB6BB3">
        <w:rPr>
          <w:lang w:val="es-ES_tradnl"/>
        </w:rPr>
        <w:t>de mujeres especialmente innovadores; esta competición ya se celebra de forma sistemática.</w:t>
      </w:r>
    </w:p>
    <w:p w:rsidR="00946D6D" w:rsidRPr="00CB6BB3" w:rsidRDefault="006740CB" w:rsidP="00946D6D">
      <w:pPr>
        <w:pStyle w:val="SingleTxtG"/>
        <w:rPr>
          <w:szCs w:val="24"/>
          <w:lang w:val="es-ES_tradnl"/>
        </w:rPr>
      </w:pPr>
      <w:r w:rsidRPr="00CB6BB3">
        <w:rPr>
          <w:szCs w:val="24"/>
          <w:lang w:val="es-ES_tradnl"/>
        </w:rPr>
        <w:t>170.</w:t>
      </w:r>
      <w:r w:rsidRPr="00CB6BB3">
        <w:rPr>
          <w:szCs w:val="24"/>
          <w:lang w:val="es-ES_tradnl"/>
        </w:rPr>
        <w:tab/>
        <w:t>Ejemplos de las provincias federales.</w:t>
      </w:r>
      <w:r w:rsidR="00946D6D" w:rsidRPr="00CB6BB3">
        <w:rPr>
          <w:szCs w:val="24"/>
          <w:lang w:val="es-ES_tradnl"/>
        </w:rPr>
        <w:t xml:space="preserve"> Entre otras acciones, l</w:t>
      </w:r>
      <w:r w:rsidRPr="00CB6BB3">
        <w:rPr>
          <w:szCs w:val="24"/>
          <w:lang w:val="es-ES_tradnl"/>
        </w:rPr>
        <w:t xml:space="preserve">a Red de Mujeres de Vorarlberg inicia y apoya </w:t>
      </w:r>
      <w:r w:rsidR="00946D6D" w:rsidRPr="00CB6BB3">
        <w:rPr>
          <w:szCs w:val="24"/>
          <w:lang w:val="es-ES_tradnl"/>
        </w:rPr>
        <w:t>iniciativas seleccionadas</w:t>
      </w:r>
      <w:r w:rsidRPr="00CB6BB3">
        <w:rPr>
          <w:szCs w:val="24"/>
          <w:lang w:val="es-ES_tradnl"/>
        </w:rPr>
        <w:t xml:space="preserve"> en las regiones</w:t>
      </w:r>
      <w:r w:rsidR="00A02B6E" w:rsidRPr="00CB6BB3">
        <w:rPr>
          <w:szCs w:val="24"/>
          <w:lang w:val="es-ES_tradnl"/>
        </w:rPr>
        <w:t>.</w:t>
      </w:r>
    </w:p>
    <w:p w:rsidR="006740CB" w:rsidRPr="00CB6BB3" w:rsidRDefault="006740CB" w:rsidP="009C7971">
      <w:pPr>
        <w:pStyle w:val="SingleTxtG"/>
        <w:rPr>
          <w:lang w:val="es-ES_tradnl"/>
        </w:rPr>
      </w:pPr>
      <w:r w:rsidRPr="00CB6BB3">
        <w:rPr>
          <w:lang w:val="es-ES_tradnl"/>
        </w:rPr>
        <w:t>171.</w:t>
      </w:r>
      <w:r w:rsidRPr="00CB6BB3">
        <w:rPr>
          <w:lang w:val="es-ES_tradnl"/>
        </w:rPr>
        <w:tab/>
        <w:t xml:space="preserve">En Burgenland, </w:t>
      </w:r>
      <w:r w:rsidR="00946D6D" w:rsidRPr="00CB6BB3">
        <w:rPr>
          <w:lang w:val="es-ES_tradnl"/>
        </w:rPr>
        <w:t>en el marco de los programas ESF</w:t>
      </w:r>
      <w:r w:rsidR="00946D6D" w:rsidRPr="00CB6BB3">
        <w:rPr>
          <w:rStyle w:val="FootnoteReference"/>
          <w:szCs w:val="24"/>
          <w:lang w:val="es-ES_tradnl"/>
        </w:rPr>
        <w:footnoteReference w:id="89"/>
      </w:r>
      <w:r w:rsidR="00946D6D" w:rsidRPr="00CB6BB3">
        <w:rPr>
          <w:lang w:val="es-ES_tradnl"/>
        </w:rPr>
        <w:t xml:space="preserve">, </w:t>
      </w:r>
      <w:r w:rsidRPr="00CB6BB3">
        <w:rPr>
          <w:lang w:val="es-ES_tradnl"/>
        </w:rPr>
        <w:t xml:space="preserve">se </w:t>
      </w:r>
      <w:r w:rsidR="00946D6D" w:rsidRPr="00CB6BB3">
        <w:rPr>
          <w:lang w:val="es-ES_tradnl"/>
        </w:rPr>
        <w:t xml:space="preserve">emprenden </w:t>
      </w:r>
      <w:r w:rsidRPr="00CB6BB3">
        <w:rPr>
          <w:lang w:val="es-ES_tradnl"/>
        </w:rPr>
        <w:t xml:space="preserve">diversas </w:t>
      </w:r>
      <w:r w:rsidR="00946D6D" w:rsidRPr="00CB6BB3">
        <w:rPr>
          <w:lang w:val="es-ES_tradnl"/>
        </w:rPr>
        <w:t>iniciativas</w:t>
      </w:r>
      <w:r w:rsidRPr="00CB6BB3">
        <w:rPr>
          <w:lang w:val="es-ES_tradnl"/>
        </w:rPr>
        <w:t xml:space="preserve"> para aumentar la participación de las mujeres </w:t>
      </w:r>
      <w:r w:rsidR="00946D6D" w:rsidRPr="00CB6BB3">
        <w:rPr>
          <w:lang w:val="es-ES_tradnl"/>
        </w:rPr>
        <w:t>en la fuerza de trabajo</w:t>
      </w:r>
      <w:r w:rsidRPr="00CB6BB3">
        <w:rPr>
          <w:lang w:val="es-ES_tradnl"/>
        </w:rPr>
        <w:t xml:space="preserve">. Entre ellas, </w:t>
      </w:r>
      <w:r w:rsidR="00946D6D" w:rsidRPr="00CB6BB3">
        <w:rPr>
          <w:lang w:val="es-ES_tradnl"/>
        </w:rPr>
        <w:t>cabe mencionar</w:t>
      </w:r>
      <w:r w:rsidRPr="00CB6BB3">
        <w:rPr>
          <w:lang w:val="es-ES_tradnl"/>
        </w:rPr>
        <w:t xml:space="preserve"> </w:t>
      </w:r>
      <w:r w:rsidR="00946D6D" w:rsidRPr="00CB6BB3">
        <w:rPr>
          <w:lang w:val="es-ES_tradnl"/>
        </w:rPr>
        <w:t xml:space="preserve">los </w:t>
      </w:r>
      <w:r w:rsidRPr="00CB6BB3">
        <w:rPr>
          <w:lang w:val="es-ES_tradnl"/>
        </w:rPr>
        <w:t>análisis de las necesidades sobre el marco de condiciones requeridas; la c</w:t>
      </w:r>
      <w:r w:rsidR="00946D6D" w:rsidRPr="00CB6BB3">
        <w:rPr>
          <w:lang w:val="es-ES_tradnl"/>
        </w:rPr>
        <w:t>reación de nuevos servicios</w:t>
      </w:r>
      <w:r w:rsidR="00850B6B" w:rsidRPr="00CB6BB3">
        <w:rPr>
          <w:lang w:val="es-ES_tradnl"/>
        </w:rPr>
        <w:t xml:space="preserve"> de</w:t>
      </w:r>
      <w:r w:rsidR="00946D6D" w:rsidRPr="00CB6BB3">
        <w:rPr>
          <w:lang w:val="es-ES_tradnl"/>
        </w:rPr>
        <w:t xml:space="preserve"> atención</w:t>
      </w:r>
      <w:r w:rsidRPr="00CB6BB3">
        <w:rPr>
          <w:lang w:val="es-ES_tradnl"/>
        </w:rPr>
        <w:t xml:space="preserve"> flexibles (para niños y personas mayores); y medidas destinadas a reducir los obstáculos de la movilidad. En el período del</w:t>
      </w:r>
      <w:r w:rsidR="00946D6D" w:rsidRPr="00CB6BB3">
        <w:rPr>
          <w:lang w:val="es-ES_tradnl"/>
        </w:rPr>
        <w:t xml:space="preserve"> que se ocupa el presente</w:t>
      </w:r>
      <w:r w:rsidRPr="00CB6BB3">
        <w:rPr>
          <w:lang w:val="es-ES_tradnl"/>
        </w:rPr>
        <w:t xml:space="preserve"> informe, se ordenó la puesta en marcha de 12 proyectos de este tipo, en los que participaron 221 mujeres.</w:t>
      </w:r>
    </w:p>
    <w:p w:rsidR="006740CB" w:rsidRPr="00CB6BB3" w:rsidRDefault="006740CB" w:rsidP="009C7971">
      <w:pPr>
        <w:pStyle w:val="H1G"/>
        <w:rPr>
          <w:lang w:val="es-ES_tradnl"/>
        </w:rPr>
      </w:pPr>
      <w:r w:rsidRPr="00CB6BB3">
        <w:rPr>
          <w:lang w:val="es-ES_tradnl"/>
        </w:rPr>
        <w:tab/>
      </w:r>
      <w:r w:rsidRPr="00CB6BB3">
        <w:rPr>
          <w:lang w:val="es-ES_tradnl"/>
        </w:rPr>
        <w:tab/>
      </w:r>
      <w:r w:rsidRPr="001B363F">
        <w:t>Artículo</w:t>
      </w:r>
      <w:r w:rsidRPr="00CB6BB3">
        <w:rPr>
          <w:lang w:val="es-ES_tradnl"/>
        </w:rPr>
        <w:t xml:space="preserve"> 16</w:t>
      </w:r>
      <w:r w:rsidRPr="00CB6BB3">
        <w:rPr>
          <w:lang w:val="es-ES_tradnl"/>
        </w:rPr>
        <w:br/>
        <w:t xml:space="preserve">Asuntos relacionados con el matrimonio y las relaciones familiares </w:t>
      </w:r>
      <w:r w:rsidR="001B363F">
        <w:rPr>
          <w:lang w:val="es-ES_tradnl"/>
        </w:rPr>
        <w:br/>
      </w:r>
      <w:r w:rsidRPr="00CB6BB3">
        <w:rPr>
          <w:lang w:val="es-ES_tradnl"/>
        </w:rPr>
        <w:t>de las mujeres</w:t>
      </w:r>
    </w:p>
    <w:p w:rsidR="00604EE2" w:rsidRPr="00CB6BB3" w:rsidRDefault="006740CB" w:rsidP="00604EE2">
      <w:pPr>
        <w:pStyle w:val="SingleTxtG"/>
        <w:rPr>
          <w:lang w:val="es-ES_tradnl"/>
        </w:rPr>
      </w:pPr>
      <w:r w:rsidRPr="00CB6BB3">
        <w:rPr>
          <w:szCs w:val="24"/>
          <w:lang w:val="es-ES_tradnl"/>
        </w:rPr>
        <w:t>172.</w:t>
      </w:r>
      <w:r w:rsidRPr="00CB6BB3">
        <w:rPr>
          <w:szCs w:val="24"/>
          <w:lang w:val="es-ES_tradnl"/>
        </w:rPr>
        <w:tab/>
        <w:t xml:space="preserve">La Ley que regula las parejas </w:t>
      </w:r>
      <w:r w:rsidR="00946D6D" w:rsidRPr="00CB6BB3">
        <w:rPr>
          <w:szCs w:val="24"/>
          <w:lang w:val="es-ES_tradnl"/>
        </w:rPr>
        <w:t>registradas</w:t>
      </w:r>
      <w:r w:rsidRPr="00CB6BB3">
        <w:rPr>
          <w:rStyle w:val="FootnoteReference"/>
          <w:szCs w:val="24"/>
          <w:lang w:val="es-ES_tradnl"/>
        </w:rPr>
        <w:footnoteReference w:id="90"/>
      </w:r>
      <w:r w:rsidR="00946D6D" w:rsidRPr="00CB6BB3">
        <w:rPr>
          <w:szCs w:val="24"/>
          <w:lang w:val="es-ES_tradnl"/>
        </w:rPr>
        <w:t>,</w:t>
      </w:r>
      <w:r w:rsidRPr="00CB6BB3">
        <w:rPr>
          <w:szCs w:val="24"/>
          <w:lang w:val="es-ES_tradnl"/>
        </w:rPr>
        <w:t xml:space="preserve"> que entró en vigor el 1</w:t>
      </w:r>
      <w:r w:rsidR="00946D6D" w:rsidRPr="00CB6BB3">
        <w:rPr>
          <w:szCs w:val="24"/>
          <w:lang w:val="es-ES_tradnl"/>
        </w:rPr>
        <w:t xml:space="preserve">º </w:t>
      </w:r>
      <w:r w:rsidRPr="00CB6BB3">
        <w:rPr>
          <w:szCs w:val="24"/>
          <w:lang w:val="es-ES_tradnl"/>
        </w:rPr>
        <w:t xml:space="preserve">de enero de 2010 ofrece por primera vez un marco jurídico integral para las parejas del mismo sexo que viven en concubinato. A partir de esta ley, se adoptaron varias </w:t>
      </w:r>
      <w:r w:rsidR="00946D6D" w:rsidRPr="00CB6BB3">
        <w:rPr>
          <w:szCs w:val="24"/>
          <w:lang w:val="es-ES_tradnl"/>
        </w:rPr>
        <w:t>disposiciones</w:t>
      </w:r>
      <w:r w:rsidRPr="00CB6BB3">
        <w:rPr>
          <w:szCs w:val="24"/>
          <w:lang w:val="es-ES_tradnl"/>
        </w:rPr>
        <w:t xml:space="preserve"> que mejoran la situación jurídica de las parejas </w:t>
      </w:r>
      <w:r w:rsidR="00946D6D" w:rsidRPr="00CB6BB3">
        <w:rPr>
          <w:szCs w:val="24"/>
          <w:lang w:val="es-ES_tradnl"/>
        </w:rPr>
        <w:t>del mismo sexo</w:t>
      </w:r>
      <w:r w:rsidRPr="00CB6BB3">
        <w:rPr>
          <w:szCs w:val="24"/>
          <w:lang w:val="es-ES_tradnl"/>
        </w:rPr>
        <w:t xml:space="preserve"> en la práctica, puesto que en muchos aspectos</w:t>
      </w:r>
      <w:r w:rsidR="00946D6D" w:rsidRPr="00CB6BB3">
        <w:rPr>
          <w:szCs w:val="24"/>
          <w:lang w:val="es-ES_tradnl"/>
        </w:rPr>
        <w:t>, ahora</w:t>
      </w:r>
      <w:r w:rsidRPr="00CB6BB3">
        <w:rPr>
          <w:szCs w:val="24"/>
          <w:lang w:val="es-ES_tradnl"/>
        </w:rPr>
        <w:t xml:space="preserve"> gozan de la misma situación ante la ley que la prevista por el matrimonio. Sin embargo, </w:t>
      </w:r>
      <w:r w:rsidR="00946D6D" w:rsidRPr="00CB6BB3">
        <w:rPr>
          <w:szCs w:val="24"/>
          <w:lang w:val="es-ES_tradnl"/>
        </w:rPr>
        <w:t>sigue excluyé</w:t>
      </w:r>
      <w:r w:rsidRPr="00CB6BB3">
        <w:rPr>
          <w:szCs w:val="24"/>
          <w:lang w:val="es-ES_tradnl"/>
        </w:rPr>
        <w:t>ndo</w:t>
      </w:r>
      <w:r w:rsidR="00946D6D" w:rsidRPr="00CB6BB3">
        <w:rPr>
          <w:szCs w:val="24"/>
          <w:lang w:val="es-ES_tradnl"/>
        </w:rPr>
        <w:t>se</w:t>
      </w:r>
      <w:r w:rsidRPr="00CB6BB3">
        <w:rPr>
          <w:szCs w:val="24"/>
          <w:lang w:val="es-ES_tradnl"/>
        </w:rPr>
        <w:t xml:space="preserve"> el acceso a la medicina reproductiva y a la adopción</w:t>
      </w:r>
      <w:r w:rsidR="00604EE2" w:rsidRPr="00CB6BB3">
        <w:rPr>
          <w:lang w:val="es-ES_tradnl"/>
        </w:rPr>
        <w:t>.</w:t>
      </w:r>
    </w:p>
    <w:p w:rsidR="00604EE2" w:rsidRPr="00CB6BB3" w:rsidRDefault="006740CB" w:rsidP="0075613F">
      <w:pPr>
        <w:pStyle w:val="SingleTxtG"/>
        <w:keepLines/>
        <w:rPr>
          <w:lang w:val="es-ES_tradnl"/>
        </w:rPr>
      </w:pPr>
      <w:r w:rsidRPr="00CB6BB3">
        <w:rPr>
          <w:szCs w:val="24"/>
          <w:lang w:val="es-ES_tradnl"/>
        </w:rPr>
        <w:t>173.</w:t>
      </w:r>
      <w:r w:rsidRPr="00CB6BB3">
        <w:rPr>
          <w:szCs w:val="24"/>
          <w:lang w:val="es-ES_tradnl"/>
        </w:rPr>
        <w:tab/>
        <w:t xml:space="preserve">Ejemplos de las provincias federales. En la </w:t>
      </w:r>
      <w:r w:rsidR="0075613F" w:rsidRPr="00CB6BB3">
        <w:rPr>
          <w:szCs w:val="24"/>
          <w:lang w:val="es-ES_tradnl"/>
        </w:rPr>
        <w:t xml:space="preserve">ciudad </w:t>
      </w:r>
      <w:r w:rsidRPr="00CB6BB3">
        <w:rPr>
          <w:szCs w:val="24"/>
          <w:lang w:val="es-ES_tradnl"/>
        </w:rPr>
        <w:t xml:space="preserve">de Viena existe una línea </w:t>
      </w:r>
      <w:r w:rsidR="00F43184" w:rsidRPr="00CB6BB3">
        <w:rPr>
          <w:szCs w:val="24"/>
          <w:lang w:val="es-ES_tradnl"/>
        </w:rPr>
        <w:t>telefónica de emergencia</w:t>
      </w:r>
      <w:r w:rsidR="00946D6D" w:rsidRPr="00CB6BB3">
        <w:rPr>
          <w:szCs w:val="24"/>
          <w:lang w:val="es-ES_tradnl"/>
        </w:rPr>
        <w:t xml:space="preserve"> de orientación </w:t>
      </w:r>
      <w:r w:rsidRPr="00CB6BB3">
        <w:rPr>
          <w:szCs w:val="24"/>
          <w:lang w:val="es-ES_tradnl"/>
        </w:rPr>
        <w:t>para mujeres</w:t>
      </w:r>
      <w:r w:rsidR="00946D6D" w:rsidRPr="00CB6BB3">
        <w:rPr>
          <w:szCs w:val="24"/>
          <w:lang w:val="es-ES_tradnl"/>
        </w:rPr>
        <w:t>, desde la que se</w:t>
      </w:r>
      <w:r w:rsidRPr="00CB6BB3">
        <w:rPr>
          <w:szCs w:val="24"/>
          <w:lang w:val="es-ES_tradnl"/>
        </w:rPr>
        <w:t xml:space="preserve"> brinda información sobre la</w:t>
      </w:r>
      <w:r w:rsidR="00946D6D" w:rsidRPr="00CB6BB3">
        <w:rPr>
          <w:szCs w:val="24"/>
          <w:lang w:val="es-ES_tradnl"/>
        </w:rPr>
        <w:t xml:space="preserve"> legislación relativa a la</w:t>
      </w:r>
      <w:r w:rsidRPr="00CB6BB3">
        <w:rPr>
          <w:szCs w:val="24"/>
          <w:lang w:val="es-ES_tradnl"/>
        </w:rPr>
        <w:t xml:space="preserve"> familia y </w:t>
      </w:r>
      <w:r w:rsidR="00946D6D" w:rsidRPr="00CB6BB3">
        <w:rPr>
          <w:szCs w:val="24"/>
          <w:lang w:val="es-ES_tradnl"/>
        </w:rPr>
        <w:t>el</w:t>
      </w:r>
      <w:r w:rsidRPr="00CB6BB3">
        <w:rPr>
          <w:szCs w:val="24"/>
          <w:lang w:val="es-ES_tradnl"/>
        </w:rPr>
        <w:t xml:space="preserve"> matrimonio. En la administración, se estableció un grupo de trabajo sobre matrimonios forzosos</w:t>
      </w:r>
      <w:r w:rsidR="00604EE2" w:rsidRPr="00CB6BB3">
        <w:rPr>
          <w:lang w:val="es-ES_tradnl"/>
        </w:rPr>
        <w:t>.</w:t>
      </w:r>
    </w:p>
    <w:p w:rsidR="006740CB" w:rsidRPr="00CB6BB3" w:rsidRDefault="006740CB" w:rsidP="009C7971">
      <w:pPr>
        <w:pStyle w:val="SingleTxtG"/>
        <w:rPr>
          <w:lang w:val="es-ES_tradnl"/>
        </w:rPr>
      </w:pPr>
      <w:r w:rsidRPr="00CB6BB3">
        <w:rPr>
          <w:lang w:val="es-ES_tradnl"/>
        </w:rPr>
        <w:t>174.</w:t>
      </w:r>
      <w:r w:rsidRPr="00CB6BB3">
        <w:rPr>
          <w:lang w:val="es-ES_tradnl"/>
        </w:rPr>
        <w:tab/>
        <w:t xml:space="preserve">En Vorarlberg, se crearon centros de </w:t>
      </w:r>
      <w:r w:rsidR="00946D6D" w:rsidRPr="00CB6BB3">
        <w:rPr>
          <w:lang w:val="es-ES_tradnl"/>
        </w:rPr>
        <w:t>asesoramiento sobre la enmienda de la legislación relativa al</w:t>
      </w:r>
      <w:r w:rsidRPr="00CB6BB3">
        <w:rPr>
          <w:lang w:val="es-ES_tradnl"/>
        </w:rPr>
        <w:t xml:space="preserve"> matrimonio y </w:t>
      </w:r>
      <w:r w:rsidR="00A02B6E" w:rsidRPr="00CB6BB3">
        <w:rPr>
          <w:lang w:val="es-ES_tradnl"/>
        </w:rPr>
        <w:t xml:space="preserve">el </w:t>
      </w:r>
      <w:r w:rsidRPr="00CB6BB3">
        <w:rPr>
          <w:lang w:val="es-ES_tradnl"/>
        </w:rPr>
        <w:t xml:space="preserve">divorcio, </w:t>
      </w:r>
      <w:r w:rsidR="007570EC" w:rsidRPr="00CB6BB3">
        <w:rPr>
          <w:lang w:val="es-ES_tradnl"/>
        </w:rPr>
        <w:t>y para</w:t>
      </w:r>
      <w:r w:rsidRPr="00CB6BB3">
        <w:rPr>
          <w:lang w:val="es-ES_tradnl"/>
        </w:rPr>
        <w:t xml:space="preserve"> asesorar a las personas durante</w:t>
      </w:r>
      <w:r w:rsidR="007570EC" w:rsidRPr="00CB6BB3">
        <w:rPr>
          <w:lang w:val="es-ES_tradnl"/>
        </w:rPr>
        <w:t xml:space="preserve"> un juicio de divorcio, prestar orientación familiar y sobre</w:t>
      </w:r>
      <w:r w:rsidRPr="00CB6BB3">
        <w:rPr>
          <w:lang w:val="es-ES_tradnl"/>
        </w:rPr>
        <w:t xml:space="preserve"> protección </w:t>
      </w:r>
      <w:r w:rsidR="007570EC" w:rsidRPr="00CB6BB3">
        <w:rPr>
          <w:lang w:val="es-ES_tradnl"/>
        </w:rPr>
        <w:t>infantil</w:t>
      </w:r>
      <w:r w:rsidRPr="00CB6BB3">
        <w:rPr>
          <w:lang w:val="es-ES_tradnl"/>
        </w:rPr>
        <w:t xml:space="preserve">. En 2010, se publicó y distribuyó el folleto informativo </w:t>
      </w:r>
      <w:r w:rsidR="00C70626">
        <w:rPr>
          <w:lang w:val="es-ES_tradnl"/>
        </w:rPr>
        <w:t>"</w:t>
      </w:r>
      <w:r w:rsidRPr="00CB6BB3">
        <w:rPr>
          <w:lang w:val="es-ES_tradnl"/>
        </w:rPr>
        <w:t>Los mismos derechos para ambos</w:t>
      </w:r>
      <w:r w:rsidR="00C70626">
        <w:rPr>
          <w:lang w:val="es-ES_tradnl"/>
        </w:rPr>
        <w:t>"</w:t>
      </w:r>
      <w:r w:rsidRPr="00CB6BB3">
        <w:rPr>
          <w:lang w:val="es-ES_tradnl"/>
        </w:rPr>
        <w:t>.</w:t>
      </w:r>
    </w:p>
    <w:p w:rsidR="00DE2DBE" w:rsidRPr="009C7971" w:rsidRDefault="009C7971" w:rsidP="009C7971">
      <w:pPr>
        <w:spacing w:before="240"/>
        <w:jc w:val="center"/>
        <w:rPr>
          <w:u w:val="single"/>
          <w:lang w:val="es-ES_tradnl"/>
        </w:rPr>
      </w:pPr>
      <w:r>
        <w:rPr>
          <w:u w:val="single"/>
          <w:lang w:val="es-ES_tradnl"/>
        </w:rPr>
        <w:tab/>
      </w:r>
      <w:r>
        <w:rPr>
          <w:u w:val="single"/>
          <w:lang w:val="es-ES_tradnl"/>
        </w:rPr>
        <w:tab/>
      </w:r>
      <w:r>
        <w:rPr>
          <w:u w:val="single"/>
          <w:lang w:val="es-ES_tradnl"/>
        </w:rPr>
        <w:tab/>
      </w:r>
    </w:p>
    <w:sectPr w:rsidR="00DE2DBE" w:rsidRPr="009C7971">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A2" w:rsidRDefault="005842A2">
      <w:r>
        <w:separator/>
      </w:r>
    </w:p>
  </w:endnote>
  <w:endnote w:type="continuationSeparator" w:id="0">
    <w:p w:rsidR="005842A2" w:rsidRDefault="0058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NDNA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4" w:rsidRDefault="00C21E04">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B31366">
      <w:rPr>
        <w:b/>
        <w:noProof/>
        <w:sz w:val="18"/>
      </w:rPr>
      <w:t>36</w:t>
    </w:r>
    <w:r>
      <w:rPr>
        <w:b/>
        <w:sz w:val="18"/>
      </w:rPr>
      <w:fldChar w:fldCharType="end"/>
    </w:r>
    <w:r>
      <w:rPr>
        <w:b/>
        <w:sz w:val="18"/>
      </w:rPr>
      <w:tab/>
    </w:r>
    <w:r>
      <w:t>GE.11-43489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4" w:rsidRDefault="00C21E04">
    <w:pPr>
      <w:pStyle w:val="Footer"/>
      <w:tabs>
        <w:tab w:val="right" w:pos="9598"/>
      </w:tabs>
      <w:rPr>
        <w:b/>
        <w:sz w:val="18"/>
      </w:rPr>
    </w:pPr>
    <w:r>
      <w:t>GE.11-43489  (EXT)</w:t>
    </w:r>
    <w:r>
      <w:tab/>
    </w:r>
    <w:r>
      <w:rPr>
        <w:b/>
        <w:sz w:val="18"/>
      </w:rPr>
      <w:fldChar w:fldCharType="begin"/>
    </w:r>
    <w:r>
      <w:rPr>
        <w:b/>
        <w:sz w:val="18"/>
      </w:rPr>
      <w:instrText xml:space="preserve"> PAGE  \* MERGEFORMAT </w:instrText>
    </w:r>
    <w:r>
      <w:rPr>
        <w:b/>
        <w:sz w:val="18"/>
      </w:rPr>
      <w:fldChar w:fldCharType="separate"/>
    </w:r>
    <w:r w:rsidR="00B31366">
      <w:rPr>
        <w:b/>
        <w:noProof/>
        <w:sz w:val="18"/>
      </w:rPr>
      <w:t>35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4" w:rsidRPr="00D77D36" w:rsidRDefault="00C21E04" w:rsidP="00D77D36">
    <w:pPr>
      <w:pStyle w:val="Footer"/>
      <w:rPr>
        <w:sz w:val="20"/>
      </w:rPr>
    </w:pPr>
    <w:r w:rsidRPr="00D77D36">
      <w:rPr>
        <w:sz w:val="20"/>
      </w:rPr>
      <w:t>GE.11-4348</w:t>
    </w:r>
    <w:r w:rsidR="008A385C">
      <w:rPr>
        <w:sz w:val="20"/>
      </w:rPr>
      <w:t>9</w:t>
    </w:r>
    <w:r w:rsidRPr="00D77D36">
      <w:rPr>
        <w:sz w:val="20"/>
      </w:rPr>
      <w:t xml:space="preserve">  (</w:t>
    </w:r>
    <w:r>
      <w:rPr>
        <w:sz w:val="20"/>
      </w:rPr>
      <w:t>EXT</w:t>
    </w:r>
    <w:r w:rsidRPr="00D77D36">
      <w:rPr>
        <w:sz w:val="20"/>
      </w:rPr>
      <w:t>)</w:t>
    </w:r>
    <w:r w:rsidRPr="00D77D3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A2" w:rsidRDefault="005842A2">
      <w:pPr>
        <w:tabs>
          <w:tab w:val="right" w:pos="2155"/>
        </w:tabs>
        <w:spacing w:after="80" w:line="240" w:lineRule="auto"/>
        <w:ind w:left="680"/>
        <w:rPr>
          <w:u w:val="single"/>
        </w:rPr>
      </w:pPr>
      <w:r>
        <w:rPr>
          <w:u w:val="single"/>
        </w:rPr>
        <w:tab/>
      </w:r>
    </w:p>
  </w:footnote>
  <w:footnote w:type="continuationSeparator" w:id="0">
    <w:p w:rsidR="005842A2" w:rsidRDefault="005842A2">
      <w:pPr>
        <w:tabs>
          <w:tab w:val="right" w:pos="2155"/>
        </w:tabs>
        <w:spacing w:after="80" w:line="240" w:lineRule="auto"/>
        <w:ind w:left="680"/>
        <w:rPr>
          <w:u w:val="single"/>
        </w:rPr>
      </w:pPr>
      <w:r>
        <w:rPr>
          <w:u w:val="single"/>
        </w:rPr>
        <w:tab/>
      </w:r>
    </w:p>
  </w:footnote>
  <w:footnote w:id="1">
    <w:p w:rsidR="00C21E04" w:rsidRPr="00CB6BB3" w:rsidRDefault="00C21E04">
      <w:pPr>
        <w:pStyle w:val="FootnoteText"/>
        <w:rPr>
          <w:sz w:val="20"/>
          <w:lang w:val="es-ES_tradnl"/>
        </w:rPr>
      </w:pPr>
      <w:r w:rsidRPr="00CB6BB3">
        <w:rPr>
          <w:lang w:val="es-ES_tradnl"/>
        </w:rPr>
        <w:tab/>
      </w:r>
      <w:r w:rsidRPr="00CB6BB3">
        <w:rPr>
          <w:rStyle w:val="FootnoteReference"/>
          <w:sz w:val="20"/>
          <w:vertAlign w:val="baseline"/>
          <w:lang w:val="es-ES_tradnl"/>
        </w:rPr>
        <w:t>*</w:t>
      </w:r>
      <w:r w:rsidRPr="00CB6BB3">
        <w:rPr>
          <w:lang w:val="es-ES_tradnl"/>
        </w:rPr>
        <w:tab/>
        <w:t>Con arreglo a la información transmitida a los Estados partes acerca de la publicación de sus informes, el presente documento no fue objeto de revisión editorial antes de ser enviado a los servicios de traducción de las Naciones Unidas.</w:t>
      </w:r>
    </w:p>
  </w:footnote>
  <w:footnote w:id="2">
    <w:p w:rsidR="00C21E04" w:rsidRPr="00CB6BB3" w:rsidRDefault="00C21E04" w:rsidP="00C70626">
      <w:pPr>
        <w:pStyle w:val="FootnoteText"/>
        <w:tabs>
          <w:tab w:val="right" w:pos="1020"/>
        </w:tabs>
        <w:rPr>
          <w:lang w:val="es-ES_tradnl"/>
        </w:rPr>
      </w:pPr>
      <w:r>
        <w:rPr>
          <w:lang w:val="es-ES_tradnl"/>
        </w:rPr>
        <w:tab/>
      </w:r>
      <w:r w:rsidRPr="00CB6BB3">
        <w:rPr>
          <w:rStyle w:val="FootnoteReference"/>
          <w:lang w:val="es-ES_tradnl"/>
        </w:rPr>
        <w:footnoteRef/>
      </w:r>
      <w:r>
        <w:rPr>
          <w:lang w:val="es-ES_tradnl"/>
        </w:rPr>
        <w:tab/>
      </w:r>
      <w:r w:rsidRPr="00CB6BB3">
        <w:rPr>
          <w:lang w:val="es-ES_tradnl"/>
        </w:rPr>
        <w:t>HRI/GEN/</w:t>
      </w:r>
      <w:r w:rsidR="00D57B13">
        <w:rPr>
          <w:lang w:val="es-ES_tradnl"/>
        </w:rPr>
        <w:t>2</w:t>
      </w:r>
      <w:r w:rsidRPr="00CB6BB3">
        <w:rPr>
          <w:lang w:val="es-ES_tradnl"/>
        </w:rPr>
        <w:t>/Rev.5, 29 de mayo de 2008.</w:t>
      </w:r>
    </w:p>
  </w:footnote>
  <w:footnote w:id="3">
    <w:p w:rsidR="00C21E04" w:rsidRPr="00CB6BB3" w:rsidRDefault="00C21E04" w:rsidP="005E49B6">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792D71">
        <w:rPr>
          <w:i/>
          <w:lang w:val="es-ES_tradnl"/>
        </w:rPr>
        <w:t>Gaceta Jurídica Federal I</w:t>
      </w:r>
      <w:r w:rsidRPr="00CB6BB3">
        <w:rPr>
          <w:lang w:val="es-ES_tradnl"/>
        </w:rPr>
        <w:t xml:space="preserve"> </w:t>
      </w:r>
      <w:r>
        <w:rPr>
          <w:lang w:val="es-ES_tradnl"/>
        </w:rPr>
        <w:t xml:space="preserve">Nº </w:t>
      </w:r>
      <w:r w:rsidRPr="00CB6BB3">
        <w:rPr>
          <w:lang w:val="es-ES_tradnl"/>
        </w:rPr>
        <w:t>98/2008.</w:t>
      </w:r>
    </w:p>
  </w:footnote>
  <w:footnote w:id="4">
    <w:p w:rsidR="00C21E04" w:rsidRPr="00CB6BB3" w:rsidRDefault="00C21E04" w:rsidP="0006432B">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792D71">
        <w:rPr>
          <w:i/>
          <w:lang w:val="es-ES_tradnl"/>
        </w:rPr>
        <w:t>Gaceta Jurídica Federal I</w:t>
      </w:r>
      <w:r w:rsidRPr="00CB6BB3">
        <w:rPr>
          <w:lang w:val="es-ES_tradnl"/>
        </w:rPr>
        <w:t xml:space="preserve"> </w:t>
      </w:r>
      <w:r>
        <w:rPr>
          <w:lang w:val="es-ES_tradnl"/>
        </w:rPr>
        <w:t xml:space="preserve">Nº </w:t>
      </w:r>
      <w:r w:rsidRPr="00CB6BB3">
        <w:rPr>
          <w:lang w:val="es-ES_tradnl"/>
        </w:rPr>
        <w:t>95/2006.</w:t>
      </w:r>
    </w:p>
  </w:footnote>
  <w:footnote w:id="5">
    <w:p w:rsidR="00C21E04" w:rsidRPr="00CB6BB3" w:rsidRDefault="00C21E04" w:rsidP="005E49B6">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792D71">
        <w:rPr>
          <w:i/>
          <w:lang w:val="es-ES_tradnl"/>
        </w:rPr>
        <w:t>Gaceta Jurídica Federal I</w:t>
      </w:r>
      <w:r w:rsidRPr="00CB6BB3">
        <w:rPr>
          <w:lang w:val="es-ES_tradnl"/>
        </w:rPr>
        <w:t xml:space="preserve"> </w:t>
      </w:r>
      <w:r>
        <w:rPr>
          <w:lang w:val="es-ES_tradnl"/>
        </w:rPr>
        <w:t xml:space="preserve">Nº </w:t>
      </w:r>
      <w:r w:rsidRPr="00CB6BB3">
        <w:rPr>
          <w:lang w:val="es-ES_tradnl"/>
        </w:rPr>
        <w:t>7/2011.</w:t>
      </w:r>
    </w:p>
  </w:footnote>
  <w:footnote w:id="6">
    <w:p w:rsidR="00C21E04" w:rsidRPr="00CB6BB3" w:rsidRDefault="00C21E04" w:rsidP="005E49B6">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r>
      <w:r w:rsidRPr="00792D71">
        <w:rPr>
          <w:i/>
          <w:lang w:val="es-ES_tradnl"/>
        </w:rPr>
        <w:t>Gaceta Jurídica Federal I</w:t>
      </w:r>
      <w:r w:rsidRPr="00CB6BB3">
        <w:rPr>
          <w:lang w:val="es-ES_tradnl"/>
        </w:rPr>
        <w:t xml:space="preserve"> </w:t>
      </w:r>
      <w:r>
        <w:rPr>
          <w:lang w:val="es-ES_tradnl"/>
        </w:rPr>
        <w:t xml:space="preserve">Nº </w:t>
      </w:r>
      <w:r w:rsidRPr="00CB6BB3">
        <w:rPr>
          <w:lang w:val="es-ES_tradnl"/>
        </w:rPr>
        <w:t>6/2011.</w:t>
      </w:r>
    </w:p>
  </w:footnote>
  <w:footnote w:id="7">
    <w:p w:rsidR="00C21E04" w:rsidRPr="00CB6BB3" w:rsidRDefault="00C21E04" w:rsidP="00BC54AD">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C70626">
        <w:rPr>
          <w:lang w:val="es-ES_tradnl"/>
        </w:rPr>
        <w:t>www.frauen.bka.gv.at/DocView.axd?CobId=41942</w:t>
      </w:r>
      <w:r w:rsidRPr="00CB6BB3">
        <w:rPr>
          <w:lang w:val="es-ES_tradnl"/>
        </w:rPr>
        <w:t xml:space="preserve">; </w:t>
      </w:r>
      <w:r w:rsidR="00BC54AD">
        <w:rPr>
          <w:lang w:val="es-ES_tradnl"/>
        </w:rPr>
        <w:t>w</w:t>
      </w:r>
      <w:r w:rsidR="00BC54AD" w:rsidRPr="00C70626">
        <w:rPr>
          <w:lang w:val="es-ES_tradnl"/>
        </w:rPr>
        <w:t>ww.frauen.bka.gv.at/DocView.axd?CobId=41943</w:t>
      </w:r>
      <w:r w:rsidR="00BC54AD" w:rsidRPr="00CB6BB3">
        <w:rPr>
          <w:lang w:val="es-ES_tradnl"/>
        </w:rPr>
        <w:t>.</w:t>
      </w:r>
    </w:p>
  </w:footnote>
  <w:footnote w:id="8">
    <w:p w:rsidR="00C21E04" w:rsidRPr="00CB6BB3" w:rsidRDefault="00C21E04" w:rsidP="005E49B6">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r>
      <w:r w:rsidRPr="00C70626">
        <w:rPr>
          <w:lang w:val="es-ES_tradnl"/>
        </w:rPr>
        <w:t>www.frauen.bka.gv.</w:t>
      </w:r>
      <w:r w:rsidRPr="00C70626">
        <w:rPr>
          <w:lang w:val="es-ES_tradnl"/>
        </w:rPr>
        <w:t>a</w:t>
      </w:r>
      <w:r w:rsidRPr="00C70626">
        <w:rPr>
          <w:lang w:val="es-ES_tradnl"/>
        </w:rPr>
        <w:t>t/DocView.axd?Co</w:t>
      </w:r>
      <w:r w:rsidRPr="00C70626">
        <w:rPr>
          <w:lang w:val="es-ES_tradnl"/>
        </w:rPr>
        <w:t>b</w:t>
      </w:r>
      <w:r w:rsidRPr="00C70626">
        <w:rPr>
          <w:lang w:val="es-ES_tradnl"/>
        </w:rPr>
        <w:t>Id=41829</w:t>
      </w:r>
      <w:r w:rsidRPr="00CB6BB3">
        <w:rPr>
          <w:lang w:val="es-ES_tradnl"/>
        </w:rPr>
        <w:t>.</w:t>
      </w:r>
    </w:p>
  </w:footnote>
  <w:footnote w:id="9">
    <w:p w:rsidR="00C21E04" w:rsidRPr="00CB6BB3" w:rsidRDefault="00C21E04" w:rsidP="005E49B6">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C70626">
        <w:rPr>
          <w:lang w:val="es-ES_tradnl"/>
        </w:rPr>
        <w:t>www.frauen.</w:t>
      </w:r>
      <w:r w:rsidRPr="00C70626">
        <w:rPr>
          <w:lang w:val="es-ES_tradnl"/>
        </w:rPr>
        <w:t>b</w:t>
      </w:r>
      <w:r w:rsidRPr="00C70626">
        <w:rPr>
          <w:lang w:val="es-ES_tradnl"/>
        </w:rPr>
        <w:t>ka.gv.at/site/7207/default.aspx</w:t>
      </w:r>
      <w:r w:rsidRPr="00CB6BB3">
        <w:rPr>
          <w:lang w:val="es-ES_tradnl"/>
        </w:rPr>
        <w:t>.</w:t>
      </w:r>
    </w:p>
  </w:footnote>
  <w:footnote w:id="10">
    <w:p w:rsidR="00C21E04" w:rsidRPr="00CB6BB3" w:rsidRDefault="00C21E04" w:rsidP="005E49B6">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C70626">
        <w:rPr>
          <w:lang w:val="es-ES_tradnl"/>
        </w:rPr>
        <w:t>www.gende</w:t>
      </w:r>
      <w:r w:rsidRPr="00C70626">
        <w:rPr>
          <w:lang w:val="es-ES_tradnl"/>
        </w:rPr>
        <w:t>r</w:t>
      </w:r>
      <w:r w:rsidRPr="00C70626">
        <w:rPr>
          <w:lang w:val="es-ES_tradnl"/>
        </w:rPr>
        <w:t>.schule.at</w:t>
      </w:r>
      <w:r w:rsidRPr="00CB6BB3">
        <w:rPr>
          <w:lang w:val="es-ES_tradnl"/>
        </w:rPr>
        <w:t>.</w:t>
      </w:r>
    </w:p>
  </w:footnote>
  <w:footnote w:id="11">
    <w:p w:rsidR="00C21E04" w:rsidRPr="00CB6BB3" w:rsidRDefault="00C21E04" w:rsidP="00B27140">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C70626">
        <w:rPr>
          <w:lang w:val="es-ES_tradnl"/>
        </w:rPr>
        <w:t>www.bmukk.gv.at/schulen/unterricht/ba/schug_newsletter.xml</w:t>
      </w:r>
      <w:r w:rsidRPr="00CB6BB3">
        <w:rPr>
          <w:lang w:val="es-ES_tradnl"/>
        </w:rPr>
        <w:t>.</w:t>
      </w:r>
    </w:p>
  </w:footnote>
  <w:footnote w:id="12">
    <w:p w:rsidR="00C21E04" w:rsidRPr="00CB6BB3" w:rsidRDefault="00C21E04" w:rsidP="005E49B6">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C70626">
        <w:rPr>
          <w:lang w:val="es-ES_tradnl"/>
        </w:rPr>
        <w:t>www.frauen.bka.gv.at/site/5561/default.aspx</w:t>
      </w:r>
      <w:r w:rsidRPr="00CB6BB3">
        <w:rPr>
          <w:lang w:val="es-ES_tradnl"/>
        </w:rPr>
        <w:t>.</w:t>
      </w:r>
    </w:p>
  </w:footnote>
  <w:footnote w:id="13">
    <w:p w:rsidR="00C21E04" w:rsidRPr="00CB6BB3" w:rsidRDefault="00C21E04" w:rsidP="005E49B6">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r>
      <w:r w:rsidRPr="00C70626">
        <w:rPr>
          <w:lang w:val="es-ES_tradnl"/>
        </w:rPr>
        <w:t>www.frauen.bka.gv.at/DocView.axd?CobId=25685</w:t>
      </w:r>
      <w:r w:rsidRPr="00CB6BB3">
        <w:rPr>
          <w:lang w:val="es-ES_tradnl"/>
        </w:rPr>
        <w:t>.</w:t>
      </w:r>
    </w:p>
  </w:footnote>
  <w:footnote w:id="14">
    <w:p w:rsidR="00C21E04" w:rsidRPr="00CB6BB3" w:rsidRDefault="00C21E04" w:rsidP="005E49B6">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C70626">
        <w:rPr>
          <w:lang w:val="es-ES_tradnl"/>
        </w:rPr>
        <w:t>www.bka.gv.at/site/5558/default.aspx</w:t>
      </w:r>
      <w:r w:rsidRPr="00CB6BB3">
        <w:rPr>
          <w:lang w:val="es-ES_tradnl"/>
        </w:rPr>
        <w:t>.</w:t>
      </w:r>
    </w:p>
  </w:footnote>
  <w:footnote w:id="15">
    <w:p w:rsidR="00C21E04" w:rsidRPr="00CB6BB3" w:rsidRDefault="00C21E04" w:rsidP="005E49B6">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t>Empleados con pleno derecho a las contribuciones al seguro social, sin contar a las personas que perciben una prestación para el cuidado de los hijos, ni las personas que realizan el servicio militar.</w:t>
      </w:r>
    </w:p>
  </w:footnote>
  <w:footnote w:id="16">
    <w:p w:rsidR="00C21E04" w:rsidRPr="00CB6BB3" w:rsidRDefault="00C21E04" w:rsidP="005E49B6">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 xml:space="preserve">Indicador estructural de la UE </w:t>
      </w:r>
      <w:r>
        <w:rPr>
          <w:lang w:val="es-ES_tradnl"/>
        </w:rPr>
        <w:t>"</w:t>
      </w:r>
      <w:r w:rsidRPr="00CB6BB3">
        <w:rPr>
          <w:lang w:val="es-ES_tradnl"/>
        </w:rPr>
        <w:t>brechas salariales entre mujeres y hombres</w:t>
      </w:r>
      <w:r>
        <w:rPr>
          <w:lang w:val="es-ES_tradnl"/>
        </w:rPr>
        <w:t>"</w:t>
      </w:r>
      <w:r w:rsidRPr="00CB6BB3">
        <w:rPr>
          <w:lang w:val="es-ES_tradnl"/>
        </w:rPr>
        <w:t>. Eurostat.</w:t>
      </w:r>
    </w:p>
  </w:footnote>
  <w:footnote w:id="17">
    <w:p w:rsidR="00C21E04" w:rsidRPr="00CB6BB3" w:rsidRDefault="00C21E04" w:rsidP="005E49B6">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t xml:space="preserve">Alemán: </w:t>
      </w:r>
      <w:r w:rsidRPr="00C70626">
        <w:rPr>
          <w:lang w:val="es-ES_tradnl"/>
        </w:rPr>
        <w:t>www.frauen.bka.</w:t>
      </w:r>
      <w:r w:rsidRPr="00C70626">
        <w:rPr>
          <w:lang w:val="es-ES_tradnl"/>
        </w:rPr>
        <w:t>g</w:t>
      </w:r>
      <w:r w:rsidRPr="00C70626">
        <w:rPr>
          <w:lang w:val="es-ES_tradnl"/>
        </w:rPr>
        <w:t>v.at/DocView.axd?CobId=40025</w:t>
      </w:r>
      <w:r>
        <w:rPr>
          <w:lang w:val="es-ES_tradnl"/>
        </w:rPr>
        <w:t>;</w:t>
      </w:r>
      <w:r w:rsidRPr="00CB6BB3">
        <w:rPr>
          <w:lang w:val="es-ES_tradnl"/>
        </w:rPr>
        <w:t xml:space="preserve"> inglés: </w:t>
      </w:r>
      <w:r w:rsidRPr="00C70626">
        <w:rPr>
          <w:lang w:val="es-ES_tradnl"/>
        </w:rPr>
        <w:t>www.bka.gv.at/</w:t>
      </w:r>
      <w:r>
        <w:rPr>
          <w:lang w:val="es-ES_tradnl"/>
        </w:rPr>
        <w:br/>
      </w:r>
      <w:r w:rsidRPr="00C70626">
        <w:rPr>
          <w:lang w:val="es-ES_tradnl"/>
        </w:rPr>
        <w:t>DocView.axd?CobId=42528</w:t>
      </w:r>
      <w:r w:rsidRPr="00CB6BB3">
        <w:rPr>
          <w:lang w:val="es-ES_tradnl"/>
        </w:rPr>
        <w:t>.</w:t>
      </w:r>
    </w:p>
  </w:footnote>
  <w:footnote w:id="18">
    <w:p w:rsidR="00C21E04" w:rsidRPr="00CB6BB3" w:rsidRDefault="00C21E04" w:rsidP="005E49B6">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Ley de enmienda del seguro social de 2007.</w:t>
      </w:r>
    </w:p>
  </w:footnote>
  <w:footnote w:id="19">
    <w:p w:rsidR="00C21E04" w:rsidRPr="00CB6BB3" w:rsidRDefault="00C21E04" w:rsidP="005E49B6">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Segunda Ley de enmienda del seguro social de 2009.</w:t>
      </w:r>
    </w:p>
  </w:footnote>
  <w:footnote w:id="20">
    <w:p w:rsidR="00C21E04" w:rsidRPr="00CB6BB3" w:rsidRDefault="00C21E04" w:rsidP="005E49B6">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792D71">
        <w:rPr>
          <w:i/>
          <w:lang w:val="es-ES_tradnl"/>
        </w:rPr>
        <w:t>Gaceta Jurídica Federal II</w:t>
      </w:r>
      <w:r w:rsidRPr="00CB6BB3">
        <w:rPr>
          <w:lang w:val="es-ES_tradnl"/>
        </w:rPr>
        <w:t xml:space="preserve"> </w:t>
      </w:r>
      <w:r>
        <w:rPr>
          <w:lang w:val="es-ES_tradnl"/>
        </w:rPr>
        <w:t xml:space="preserve">Nº </w:t>
      </w:r>
      <w:r w:rsidRPr="00CB6BB3">
        <w:rPr>
          <w:lang w:val="es-ES_tradnl"/>
        </w:rPr>
        <w:t>262/2010.</w:t>
      </w:r>
    </w:p>
  </w:footnote>
  <w:footnote w:id="21">
    <w:p w:rsidR="00C21E04" w:rsidRPr="00CB6BB3" w:rsidRDefault="00C21E04" w:rsidP="005E49B6">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t>Período máximo de percepción de la prestación: hasta el 12</w:t>
      </w:r>
      <w:r>
        <w:rPr>
          <w:lang w:val="es-ES_tradnl"/>
        </w:rPr>
        <w:t>º</w:t>
      </w:r>
      <w:r w:rsidRPr="00CB6BB3">
        <w:rPr>
          <w:lang w:val="es-ES_tradnl"/>
        </w:rPr>
        <w:t xml:space="preserve"> mes, si ambos progenitores trabajan a tiempo parcial hasta la finalización del 14</w:t>
      </w:r>
      <w:r>
        <w:rPr>
          <w:lang w:val="es-ES_tradnl"/>
        </w:rPr>
        <w:t>º</w:t>
      </w:r>
      <w:r w:rsidRPr="00CB6BB3">
        <w:rPr>
          <w:lang w:val="es-ES_tradnl"/>
        </w:rPr>
        <w:t xml:space="preserve"> mes del hijo.</w:t>
      </w:r>
    </w:p>
  </w:footnote>
  <w:footnote w:id="22">
    <w:p w:rsidR="00C21E04" w:rsidRPr="00CB6BB3" w:rsidRDefault="00C21E04" w:rsidP="005E49B6">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9B623C">
        <w:rPr>
          <w:lang w:val="es-ES_tradnl"/>
        </w:rPr>
        <w:t>www.bmukk.gv.at/medienpool/1</w:t>
      </w:r>
      <w:r w:rsidRPr="009B623C">
        <w:rPr>
          <w:lang w:val="es-ES_tradnl"/>
        </w:rPr>
        <w:t>8</w:t>
      </w:r>
      <w:r w:rsidRPr="009B623C">
        <w:rPr>
          <w:lang w:val="es-ES_tradnl"/>
        </w:rPr>
        <w:t>698/bildungsrahmenplan.pdf</w:t>
      </w:r>
      <w:r w:rsidRPr="00CB6BB3">
        <w:rPr>
          <w:lang w:val="es-ES_tradnl"/>
        </w:rPr>
        <w:t>.</w:t>
      </w:r>
    </w:p>
  </w:footnote>
  <w:footnote w:id="23">
    <w:p w:rsidR="00C21E04" w:rsidRPr="00CB6BB3" w:rsidRDefault="00C21E04" w:rsidP="005E49B6">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r>
      <w:r w:rsidRPr="009B623C">
        <w:rPr>
          <w:lang w:val="es-ES_tradnl"/>
        </w:rPr>
        <w:t>www.noe.gv.at/Gesellschaft/Soziales/Frauen/Vereinbarkeit/Vereinbarkeit.html</w:t>
      </w:r>
      <w:r w:rsidRPr="00CB6BB3">
        <w:rPr>
          <w:lang w:val="es-ES_tradnl"/>
        </w:rPr>
        <w:t>.</w:t>
      </w:r>
    </w:p>
  </w:footnote>
  <w:footnote w:id="24">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r>
      <w:r w:rsidRPr="00792D71">
        <w:rPr>
          <w:i/>
          <w:lang w:val="es-ES_tradnl"/>
        </w:rPr>
        <w:t>Gaceta Jurídica Federal I</w:t>
      </w:r>
      <w:r w:rsidRPr="00CB6BB3">
        <w:rPr>
          <w:lang w:val="es-ES_tradnl"/>
        </w:rPr>
        <w:t xml:space="preserve"> </w:t>
      </w:r>
      <w:r>
        <w:rPr>
          <w:lang w:val="es-ES_tradnl"/>
        </w:rPr>
        <w:t xml:space="preserve">Nº </w:t>
      </w:r>
      <w:r w:rsidRPr="00CB6BB3">
        <w:rPr>
          <w:lang w:val="es-ES_tradnl"/>
        </w:rPr>
        <w:t>2009/40.</w:t>
      </w:r>
    </w:p>
  </w:footnote>
  <w:footnote w:id="25">
    <w:p w:rsidR="00C21E04" w:rsidRPr="00CB6BB3" w:rsidRDefault="00C21E04" w:rsidP="009C3DBC">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Sección 107 b) del Código Penal.</w:t>
      </w:r>
    </w:p>
  </w:footnote>
  <w:footnote w:id="26">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t>Sección 202,</w:t>
      </w:r>
      <w:r>
        <w:rPr>
          <w:lang w:val="es-ES_tradnl"/>
        </w:rPr>
        <w:t xml:space="preserve"> párr. 1; sección 205, párr. 1; </w:t>
      </w:r>
      <w:r w:rsidRPr="00CB6BB3">
        <w:rPr>
          <w:lang w:val="es-ES_tradnl"/>
        </w:rPr>
        <w:t xml:space="preserve">y sección 214, párr. </w:t>
      </w:r>
      <w:r>
        <w:rPr>
          <w:lang w:val="es-ES_tradnl"/>
        </w:rPr>
        <w:t xml:space="preserve">2, </w:t>
      </w:r>
      <w:r w:rsidRPr="00CB6BB3">
        <w:rPr>
          <w:lang w:val="es-ES_tradnl"/>
        </w:rPr>
        <w:t>del Código Penal.</w:t>
      </w:r>
    </w:p>
  </w:footnote>
  <w:footnote w:id="27">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Sección 207</w:t>
      </w:r>
      <w:r>
        <w:rPr>
          <w:lang w:val="es-ES_tradnl"/>
        </w:rPr>
        <w:t xml:space="preserve"> </w:t>
      </w:r>
      <w:r w:rsidRPr="00CB6BB3">
        <w:rPr>
          <w:lang w:val="es-ES_tradnl"/>
        </w:rPr>
        <w:t>a</w:t>
      </w:r>
      <w:r>
        <w:rPr>
          <w:lang w:val="es-ES_tradnl"/>
        </w:rPr>
        <w:t>)</w:t>
      </w:r>
      <w:r w:rsidRPr="00CB6BB3">
        <w:rPr>
          <w:lang w:val="es-ES_tradnl"/>
        </w:rPr>
        <w:t>, párr. 3</w:t>
      </w:r>
      <w:r>
        <w:rPr>
          <w:lang w:val="es-ES_tradnl"/>
        </w:rPr>
        <w:t>ª,</w:t>
      </w:r>
      <w:r w:rsidRPr="00CB6BB3">
        <w:rPr>
          <w:lang w:val="es-ES_tradnl"/>
        </w:rPr>
        <w:t xml:space="preserve"> del Código Penal.</w:t>
      </w:r>
    </w:p>
  </w:footnote>
  <w:footnote w:id="28">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t>Sección 104 del Código Penal.</w:t>
      </w:r>
    </w:p>
  </w:footnote>
  <w:footnote w:id="29">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Sección 52 e) del Código Penal.</w:t>
      </w:r>
    </w:p>
  </w:footnote>
  <w:footnote w:id="30">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t>Sección 220 b</w:t>
      </w:r>
      <w:r>
        <w:rPr>
          <w:lang w:val="es-ES_tradnl"/>
        </w:rPr>
        <w:t>)</w:t>
      </w:r>
      <w:r w:rsidRPr="00CB6BB3">
        <w:rPr>
          <w:lang w:val="es-ES_tradnl"/>
        </w:rPr>
        <w:t xml:space="preserve"> del Código Penal.</w:t>
      </w:r>
    </w:p>
  </w:footnote>
  <w:footnote w:id="31">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t xml:space="preserve">Sección 50, párr. </w:t>
      </w:r>
      <w:r>
        <w:rPr>
          <w:lang w:val="es-ES_tradnl"/>
        </w:rPr>
        <w:t>2</w:t>
      </w:r>
      <w:r w:rsidRPr="00CB6BB3">
        <w:rPr>
          <w:lang w:val="es-ES_tradnl"/>
        </w:rPr>
        <w:t xml:space="preserve">, </w:t>
      </w:r>
      <w:r>
        <w:rPr>
          <w:lang w:val="es-ES_tradnl"/>
        </w:rPr>
        <w:t xml:space="preserve">Nº </w:t>
      </w:r>
      <w:r w:rsidRPr="00CB6BB3">
        <w:rPr>
          <w:lang w:val="es-ES_tradnl"/>
        </w:rPr>
        <w:t>2 a) del Código Penal.</w:t>
      </w:r>
    </w:p>
  </w:footnote>
  <w:footnote w:id="32">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t>Sección 48, pár</w:t>
      </w:r>
      <w:r>
        <w:rPr>
          <w:lang w:val="es-ES_tradnl"/>
        </w:rPr>
        <w:t>r</w:t>
      </w:r>
      <w:r w:rsidRPr="00CB6BB3">
        <w:rPr>
          <w:lang w:val="es-ES_tradnl"/>
        </w:rPr>
        <w:t xml:space="preserve">. </w:t>
      </w:r>
      <w:r>
        <w:rPr>
          <w:lang w:val="es-ES_tradnl"/>
        </w:rPr>
        <w:t xml:space="preserve">1, </w:t>
      </w:r>
      <w:r w:rsidRPr="00CB6BB3">
        <w:rPr>
          <w:lang w:val="es-ES_tradnl"/>
        </w:rPr>
        <w:t>del Código Penal.</w:t>
      </w:r>
    </w:p>
  </w:footnote>
  <w:footnote w:id="33">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 xml:space="preserve">Sección 152, párr. </w:t>
      </w:r>
      <w:r>
        <w:rPr>
          <w:lang w:val="es-ES_tradnl"/>
        </w:rPr>
        <w:t>2</w:t>
      </w:r>
      <w:r w:rsidRPr="00CB6BB3">
        <w:rPr>
          <w:lang w:val="es-ES_tradnl"/>
        </w:rPr>
        <w:t>, Ley de tratamiento del delincuente.</w:t>
      </w:r>
    </w:p>
  </w:footnote>
  <w:footnote w:id="34">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Sección 107 a) del Código Penal.</w:t>
      </w:r>
    </w:p>
  </w:footnote>
  <w:footnote w:id="35">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792D71">
        <w:rPr>
          <w:i/>
          <w:lang w:val="es-ES_tradnl"/>
        </w:rPr>
        <w:t>Gaceta Jurídica Federal I</w:t>
      </w:r>
      <w:r w:rsidRPr="00CB6BB3">
        <w:rPr>
          <w:lang w:val="es-ES_tradnl"/>
        </w:rPr>
        <w:t xml:space="preserve"> </w:t>
      </w:r>
      <w:r>
        <w:rPr>
          <w:lang w:val="es-ES_tradnl"/>
        </w:rPr>
        <w:t xml:space="preserve">Nº </w:t>
      </w:r>
      <w:r w:rsidRPr="00CB6BB3">
        <w:rPr>
          <w:lang w:val="es-ES_tradnl"/>
        </w:rPr>
        <w:t>119/2005.</w:t>
      </w:r>
    </w:p>
  </w:footnote>
  <w:footnote w:id="36">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t>Sección 6 b) del Código de Procedimiento Penal.</w:t>
      </w:r>
    </w:p>
  </w:footnote>
  <w:footnote w:id="37">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00792D71">
        <w:rPr>
          <w:lang w:val="es-ES_tradnl"/>
        </w:rPr>
        <w:t xml:space="preserve">Sección </w:t>
      </w:r>
      <w:r w:rsidRPr="00CB6BB3">
        <w:rPr>
          <w:lang w:val="es-ES_tradnl"/>
        </w:rPr>
        <w:t>73 b) del Código de Procedimiento Civil.</w:t>
      </w:r>
    </w:p>
  </w:footnote>
  <w:footnote w:id="38">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 xml:space="preserve">Sección 250, párr. </w:t>
      </w:r>
      <w:r>
        <w:rPr>
          <w:lang w:val="es-ES_tradnl"/>
        </w:rPr>
        <w:t xml:space="preserve">3, </w:t>
      </w:r>
      <w:r w:rsidRPr="00CB6BB3">
        <w:rPr>
          <w:lang w:val="es-ES_tradnl"/>
        </w:rPr>
        <w:t>del Código de Procedimiento Penal.</w:t>
      </w:r>
    </w:p>
  </w:footnote>
  <w:footnote w:id="39">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Sección 195 del Código de Procedimiento Penal.</w:t>
      </w:r>
    </w:p>
  </w:footnote>
  <w:footnote w:id="40">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Sección 177, p</w:t>
      </w:r>
      <w:r w:rsidR="00D13245">
        <w:rPr>
          <w:lang w:val="es-ES_tradnl"/>
        </w:rPr>
        <w:t>á</w:t>
      </w:r>
      <w:r w:rsidRPr="00CB6BB3">
        <w:rPr>
          <w:lang w:val="es-ES_tradnl"/>
        </w:rPr>
        <w:t>rr. 5 del Código de Procedimiento Penal.</w:t>
      </w:r>
    </w:p>
  </w:footnote>
  <w:footnote w:id="41">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 xml:space="preserve">Sección 149, párr. 5, versión enmendada, </w:t>
      </w:r>
      <w:r w:rsidRPr="00792D71">
        <w:rPr>
          <w:i/>
          <w:lang w:val="es-ES_tradnl"/>
        </w:rPr>
        <w:t>Gaceta Jurídica Federal I</w:t>
      </w:r>
      <w:r w:rsidRPr="00CB6BB3">
        <w:rPr>
          <w:lang w:val="es-ES_tradnl"/>
        </w:rPr>
        <w:t xml:space="preserve"> </w:t>
      </w:r>
      <w:r>
        <w:rPr>
          <w:lang w:val="es-ES_tradnl"/>
        </w:rPr>
        <w:t xml:space="preserve">Nº </w:t>
      </w:r>
      <w:r w:rsidRPr="00CB6BB3">
        <w:rPr>
          <w:lang w:val="es-ES_tradnl"/>
        </w:rPr>
        <w:t>2009/142.</w:t>
      </w:r>
    </w:p>
  </w:footnote>
  <w:footnote w:id="42">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 xml:space="preserve">Sección 173, párr. 5, </w:t>
      </w:r>
      <w:r>
        <w:rPr>
          <w:lang w:val="es-ES_tradnl"/>
        </w:rPr>
        <w:t xml:space="preserve">Nº </w:t>
      </w:r>
      <w:r w:rsidRPr="00CB6BB3">
        <w:rPr>
          <w:lang w:val="es-ES_tradnl"/>
        </w:rPr>
        <w:t>3 del C</w:t>
      </w:r>
      <w:r w:rsidR="00D13245">
        <w:rPr>
          <w:lang w:val="es-ES_tradnl"/>
        </w:rPr>
        <w:t>ó</w:t>
      </w:r>
      <w:r w:rsidRPr="00CB6BB3">
        <w:rPr>
          <w:lang w:val="es-ES_tradnl"/>
        </w:rPr>
        <w:t>digo de Procedimiento Criminal.</w:t>
      </w:r>
    </w:p>
  </w:footnote>
  <w:footnote w:id="43">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Sección 75 a) del Código de Procedimiento Civil.</w:t>
      </w:r>
    </w:p>
  </w:footnote>
  <w:footnote w:id="44">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Estadísticas sobre los centros de protección contra la violencia doméstica.</w:t>
      </w:r>
    </w:p>
  </w:footnote>
  <w:footnote w:id="45">
    <w:p w:rsidR="00C21E04" w:rsidRPr="00CB6BB3" w:rsidRDefault="00C21E04" w:rsidP="009533A8">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r>
      <w:r w:rsidRPr="008F0FAF">
        <w:rPr>
          <w:lang w:val="es-ES_tradnl"/>
        </w:rPr>
        <w:t>www.african-women.org/documents/FGM_NAP_DE.pdf</w:t>
      </w:r>
      <w:r w:rsidRPr="00CB6BB3">
        <w:rPr>
          <w:lang w:val="es-ES_tradnl"/>
        </w:rPr>
        <w:t>.</w:t>
      </w:r>
    </w:p>
  </w:footnote>
  <w:footnote w:id="46">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8F0FAF">
        <w:rPr>
          <w:lang w:val="es-ES_tradnl"/>
        </w:rPr>
        <w:t>www.plattformgegendiegewalt.at</w:t>
      </w:r>
      <w:r w:rsidRPr="00CB6BB3">
        <w:rPr>
          <w:lang w:val="es-ES_tradnl"/>
        </w:rPr>
        <w:t>.</w:t>
      </w:r>
    </w:p>
  </w:footnote>
  <w:footnote w:id="47">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De conformidad con la sección 38 a), párr. 6</w:t>
      </w:r>
      <w:r>
        <w:rPr>
          <w:lang w:val="es-ES_tradnl"/>
        </w:rPr>
        <w:t>,</w:t>
      </w:r>
      <w:r w:rsidRPr="00CB6BB3">
        <w:rPr>
          <w:lang w:val="es-ES_tradnl"/>
        </w:rPr>
        <w:t xml:space="preserve"> de la Ley de aplicación de la ley.</w:t>
      </w:r>
    </w:p>
  </w:footnote>
  <w:footnote w:id="48">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Sección 9 a) de la Ley relativa a los antecedentes penales.</w:t>
      </w:r>
    </w:p>
  </w:footnote>
  <w:footnote w:id="49">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r>
      <w:r w:rsidRPr="008F0FAF">
        <w:rPr>
          <w:lang w:val="es-ES_tradnl"/>
        </w:rPr>
        <w:t>www.bmeia.g</w:t>
      </w:r>
      <w:r w:rsidRPr="008F0FAF">
        <w:rPr>
          <w:lang w:val="es-ES_tradnl"/>
        </w:rPr>
        <w:t>v</w:t>
      </w:r>
      <w:r w:rsidRPr="008F0FAF">
        <w:rPr>
          <w:lang w:val="es-ES_tradnl"/>
        </w:rPr>
        <w:t>.at/fileadmin/user_upload/bmeia/media/2-Aussenpolitik_Zentrale/Menschenrechte/</w:t>
      </w:r>
      <w:r>
        <w:rPr>
          <w:lang w:val="es-ES_tradnl"/>
        </w:rPr>
        <w:br/>
      </w:r>
      <w:r w:rsidRPr="008F0FAF">
        <w:rPr>
          <w:lang w:val="es-ES_tradnl"/>
        </w:rPr>
        <w:t>TFM_Aktionsplan_V20090929_LAYOUT_FINAL.pdf</w:t>
      </w:r>
      <w:r w:rsidRPr="00CB6BB3">
        <w:rPr>
          <w:lang w:val="es-ES_tradnl"/>
        </w:rPr>
        <w:t>.</w:t>
      </w:r>
    </w:p>
  </w:footnote>
  <w:footnote w:id="50">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t>Sección 69 a), párr. 1</w:t>
      </w:r>
      <w:r>
        <w:rPr>
          <w:lang w:val="es-ES_tradnl"/>
        </w:rPr>
        <w:t>,</w:t>
      </w:r>
      <w:r w:rsidRPr="00CB6BB3">
        <w:rPr>
          <w:lang w:val="es-ES_tradnl"/>
        </w:rPr>
        <w:t xml:space="preserve"> </w:t>
      </w:r>
      <w:r>
        <w:rPr>
          <w:lang w:val="es-ES_tradnl"/>
        </w:rPr>
        <w:t xml:space="preserve">Nº </w:t>
      </w:r>
      <w:r w:rsidRPr="00CB6BB3">
        <w:rPr>
          <w:lang w:val="es-ES_tradnl"/>
        </w:rPr>
        <w:t>2 de la Ley de residencia (NAG).</w:t>
      </w:r>
    </w:p>
  </w:footnote>
  <w:footnote w:id="51">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t xml:space="preserve">Véase el Informe sobre </w:t>
      </w:r>
      <w:r w:rsidR="008025E6" w:rsidRPr="00CB6BB3">
        <w:rPr>
          <w:lang w:val="es-ES_tradnl"/>
        </w:rPr>
        <w:t xml:space="preserve">igualdad de trato en la administración pública federal </w:t>
      </w:r>
      <w:r w:rsidRPr="00CB6BB3">
        <w:rPr>
          <w:lang w:val="es-ES_tradnl"/>
        </w:rPr>
        <w:t xml:space="preserve">(2010), </w:t>
      </w:r>
      <w:r w:rsidRPr="008F0FAF">
        <w:rPr>
          <w:lang w:val="es-ES_tradnl"/>
        </w:rPr>
        <w:t>www.frauen.bka.gv.at/DocView.axd?CobId=41829</w:t>
      </w:r>
      <w:r w:rsidRPr="00CB6BB3">
        <w:rPr>
          <w:lang w:val="es-ES_tradnl"/>
        </w:rPr>
        <w:t>.</w:t>
      </w:r>
    </w:p>
  </w:footnote>
  <w:footnote w:id="52">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 xml:space="preserve">Moción aprobada por el Consejo de Ministros el 15 de marzo de 2011: </w:t>
      </w:r>
      <w:r>
        <w:rPr>
          <w:lang w:val="es-ES_tradnl"/>
        </w:rPr>
        <w:t>"</w:t>
      </w:r>
      <w:r w:rsidRPr="00CB6BB3">
        <w:rPr>
          <w:lang w:val="es-ES_tradnl"/>
        </w:rPr>
        <w:t>Aumentar el porcentaje de</w:t>
      </w:r>
      <w:r>
        <w:rPr>
          <w:lang w:val="es-ES_tradnl"/>
        </w:rPr>
        <w:t> </w:t>
      </w:r>
      <w:r w:rsidRPr="00CB6BB3">
        <w:rPr>
          <w:lang w:val="es-ES_tradnl"/>
        </w:rPr>
        <w:t>mujeres en las juntas de supervisión de las empresas con una participación del Estado del 50</w:t>
      </w:r>
      <w:r>
        <w:rPr>
          <w:lang w:val="es-ES_tradnl"/>
        </w:rPr>
        <w:t>% o </w:t>
      </w:r>
      <w:r w:rsidRPr="00CB6BB3">
        <w:rPr>
          <w:lang w:val="es-ES_tradnl"/>
        </w:rPr>
        <w:t>más</w:t>
      </w:r>
      <w:r>
        <w:rPr>
          <w:lang w:val="es-ES_tradnl"/>
        </w:rPr>
        <w:t>"</w:t>
      </w:r>
      <w:r w:rsidRPr="00CB6BB3">
        <w:rPr>
          <w:lang w:val="es-ES_tradnl"/>
        </w:rPr>
        <w:t>.</w:t>
      </w:r>
    </w:p>
  </w:footnote>
  <w:footnote w:id="53">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r>
      <w:r w:rsidRPr="008F0FAF">
        <w:rPr>
          <w:szCs w:val="18"/>
          <w:lang w:val="es-ES_tradnl"/>
        </w:rPr>
        <w:t>www.frauen.bka.gv.at/site/6108/default.aspx</w:t>
      </w:r>
      <w:r w:rsidRPr="00CB6BB3">
        <w:rPr>
          <w:szCs w:val="18"/>
          <w:lang w:val="es-ES_tradnl"/>
        </w:rPr>
        <w:t>.</w:t>
      </w:r>
    </w:p>
  </w:footnote>
  <w:footnote w:id="54">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r>
      <w:r w:rsidRPr="008F0FAF">
        <w:rPr>
          <w:lang w:val="es-ES_tradnl"/>
        </w:rPr>
        <w:t>www.sektioniii.</w:t>
      </w:r>
      <w:r w:rsidRPr="008F0FAF">
        <w:rPr>
          <w:lang w:val="es-ES_tradnl"/>
        </w:rPr>
        <w:t>b</w:t>
      </w:r>
      <w:r w:rsidRPr="008F0FAF">
        <w:rPr>
          <w:lang w:val="es-ES_tradnl"/>
        </w:rPr>
        <w:t>ka.gv.at/crossmentoring/cm_start.php</w:t>
      </w:r>
      <w:r w:rsidRPr="00CB6BB3">
        <w:rPr>
          <w:lang w:val="es-ES_tradnl"/>
        </w:rPr>
        <w:t>.</w:t>
      </w:r>
    </w:p>
  </w:footnote>
  <w:footnote w:id="55">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En Viena, por ejemplo, en cooperación con el Centro de orientación de inmigrantes.</w:t>
      </w:r>
    </w:p>
  </w:footnote>
  <w:footnote w:id="56">
    <w:p w:rsidR="00C21E04" w:rsidRPr="00CB6BB3" w:rsidRDefault="00C21E04" w:rsidP="0092702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Sección 68 de la Ley de asilo de 2005, en su versión enmendada.</w:t>
      </w:r>
    </w:p>
  </w:footnote>
  <w:footnote w:id="57">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t>En seguimiento al Acuerdo sobre apoyo básico, de conformidad con el Artículo</w:t>
      </w:r>
      <w:r w:rsidRPr="00CB6BB3">
        <w:rPr>
          <w:szCs w:val="18"/>
          <w:lang w:val="es-ES_tradnl"/>
        </w:rPr>
        <w:t xml:space="preserve"> 15 a) de la Constitu</w:t>
      </w:r>
      <w:r>
        <w:rPr>
          <w:szCs w:val="18"/>
          <w:lang w:val="es-ES_tradnl"/>
        </w:rPr>
        <w:t>c</w:t>
      </w:r>
      <w:r w:rsidRPr="00CB6BB3">
        <w:rPr>
          <w:szCs w:val="18"/>
          <w:lang w:val="es-ES_tradnl"/>
        </w:rPr>
        <w:t>ión Federal, así como a las disposiciones de la sección 2 de la Ley</w:t>
      </w:r>
      <w:r>
        <w:rPr>
          <w:szCs w:val="18"/>
          <w:lang w:val="es-ES_tradnl"/>
        </w:rPr>
        <w:t xml:space="preserve"> sobre apoyo básico (GVG</w:t>
      </w:r>
      <w:r>
        <w:rPr>
          <w:szCs w:val="18"/>
          <w:lang w:val="es-ES_tradnl"/>
        </w:rPr>
        <w:noBreakHyphen/>
      </w:r>
      <w:r w:rsidRPr="00CB6BB3">
        <w:rPr>
          <w:szCs w:val="18"/>
          <w:lang w:val="es-ES_tradnl"/>
        </w:rPr>
        <w:t>B 2005).</w:t>
      </w:r>
    </w:p>
  </w:footnote>
  <w:footnote w:id="58">
    <w:p w:rsidR="00C21E04" w:rsidRPr="00CB6BB3" w:rsidRDefault="00C21E04" w:rsidP="00474643">
      <w:pPr>
        <w:pStyle w:val="FootnoteText"/>
        <w:rPr>
          <w:lang w:val="es-ES_tradnl"/>
        </w:rPr>
      </w:pPr>
      <w:r w:rsidRPr="00CB6BB3">
        <w:rPr>
          <w:lang w:val="es-ES_tradnl"/>
        </w:rPr>
        <w:tab/>
      </w:r>
      <w:r w:rsidRPr="00CB6BB3">
        <w:rPr>
          <w:rStyle w:val="FootnoteReference"/>
          <w:lang w:val="es-ES_tradnl"/>
        </w:rPr>
        <w:footnoteRef/>
      </w:r>
      <w:r w:rsidRPr="00CB6BB3">
        <w:rPr>
          <w:lang w:val="es-ES_tradnl"/>
        </w:rPr>
        <w:tab/>
        <w:t xml:space="preserve">www.bmi.gv.at/cms/cs03documentsbmi/809.pdf; </w:t>
      </w:r>
      <w:r w:rsidRPr="004A5545">
        <w:rPr>
          <w:lang w:val="es-ES_tradnl"/>
        </w:rPr>
        <w:t>www.bmi.gv.at/cms/cs03documentsbmi/817.pdf</w:t>
      </w:r>
      <w:r w:rsidRPr="00CB6BB3">
        <w:rPr>
          <w:lang w:val="es-ES_tradnl"/>
        </w:rPr>
        <w:t>.</w:t>
      </w:r>
    </w:p>
  </w:footnote>
  <w:footnote w:id="59">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t>Ley de cooperación para el desarrollo 2002.</w:t>
      </w:r>
    </w:p>
  </w:footnote>
  <w:footnote w:id="60">
    <w:p w:rsidR="00C21E04" w:rsidRPr="00CB6BB3" w:rsidRDefault="00C21E04" w:rsidP="00927023">
      <w:pPr>
        <w:pStyle w:val="FootnoteText"/>
        <w:tabs>
          <w:tab w:val="right" w:pos="1020"/>
        </w:tabs>
        <w:rPr>
          <w:lang w:val="es-ES_tradnl"/>
        </w:rPr>
      </w:pPr>
      <w:r w:rsidRPr="00CB6BB3">
        <w:rPr>
          <w:lang w:val="es-ES_tradnl"/>
        </w:rPr>
        <w:tab/>
      </w:r>
      <w:r w:rsidRPr="00CB6BB3">
        <w:rPr>
          <w:rStyle w:val="FootnoteReference"/>
          <w:lang w:val="es-ES_tradnl"/>
        </w:rPr>
        <w:footnoteRef/>
      </w:r>
      <w:r w:rsidRPr="00CB6BB3">
        <w:rPr>
          <w:lang w:val="es-ES_tradnl"/>
        </w:rPr>
        <w:tab/>
      </w:r>
      <w:r w:rsidRPr="004A5545">
        <w:rPr>
          <w:lang w:val="es-ES_tradnl"/>
        </w:rPr>
        <w:t>www.gender.schule.at/index.php?artikel=1&amp;kthid=10581</w:t>
      </w:r>
      <w:r w:rsidRPr="00CB6BB3">
        <w:rPr>
          <w:lang w:val="es-ES_tradnl"/>
        </w:rPr>
        <w:t>.</w:t>
      </w:r>
    </w:p>
  </w:footnote>
  <w:footnote w:id="61">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792D71">
        <w:rPr>
          <w:i/>
          <w:szCs w:val="24"/>
          <w:lang w:val="es-ES_tradnl"/>
        </w:rPr>
        <w:t>Gaceta Jurídica Federal I</w:t>
      </w:r>
      <w:r w:rsidRPr="00CB6BB3">
        <w:rPr>
          <w:szCs w:val="24"/>
          <w:lang w:val="es-ES_tradnl"/>
        </w:rPr>
        <w:t xml:space="preserve"> </w:t>
      </w:r>
      <w:r>
        <w:rPr>
          <w:szCs w:val="24"/>
          <w:lang w:val="es-ES_tradnl"/>
        </w:rPr>
        <w:t xml:space="preserve">Nº </w:t>
      </w:r>
      <w:r w:rsidRPr="00CB6BB3">
        <w:rPr>
          <w:szCs w:val="24"/>
          <w:lang w:val="es-ES_tradnl"/>
        </w:rPr>
        <w:t>1/2008.</w:t>
      </w:r>
    </w:p>
  </w:footnote>
  <w:footnote w:id="62">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 xml:space="preserve">Ley de Presupuesto Federal, </w:t>
      </w:r>
      <w:r w:rsidRPr="00792D71">
        <w:rPr>
          <w:i/>
          <w:szCs w:val="24"/>
          <w:lang w:val="es-ES_tradnl"/>
        </w:rPr>
        <w:t>Gaceta Jurídica Federal I</w:t>
      </w:r>
      <w:r w:rsidRPr="00CB6BB3">
        <w:rPr>
          <w:szCs w:val="24"/>
          <w:lang w:val="es-ES_tradnl"/>
        </w:rPr>
        <w:t xml:space="preserve"> </w:t>
      </w:r>
      <w:r>
        <w:rPr>
          <w:szCs w:val="24"/>
          <w:lang w:val="es-ES_tradnl"/>
        </w:rPr>
        <w:t xml:space="preserve">Nº </w:t>
      </w:r>
      <w:r w:rsidRPr="00CB6BB3">
        <w:rPr>
          <w:szCs w:val="24"/>
          <w:lang w:val="es-ES_tradnl"/>
        </w:rPr>
        <w:t>139/2009.</w:t>
      </w:r>
    </w:p>
  </w:footnote>
  <w:footnote w:id="63">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4A5545">
        <w:rPr>
          <w:szCs w:val="24"/>
          <w:lang w:val="es-ES_tradnl"/>
        </w:rPr>
        <w:t>www.imag-gmb.at/</w:t>
      </w:r>
      <w:r w:rsidRPr="00CB6BB3">
        <w:rPr>
          <w:szCs w:val="24"/>
          <w:lang w:val="es-ES_tradnl"/>
        </w:rPr>
        <w:t>.</w:t>
      </w:r>
    </w:p>
  </w:footnote>
  <w:footnote w:id="64">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4A5545">
        <w:rPr>
          <w:szCs w:val="24"/>
          <w:lang w:val="es-ES_tradnl"/>
        </w:rPr>
        <w:t>www.entwicklung.at/uploads/media/PD_Gender_Equality_19032010_Web.pdf</w:t>
      </w:r>
      <w:r w:rsidRPr="00CB6BB3">
        <w:rPr>
          <w:szCs w:val="24"/>
          <w:lang w:val="es-ES_tradnl"/>
        </w:rPr>
        <w:t>.</w:t>
      </w:r>
    </w:p>
  </w:footnote>
  <w:footnote w:id="65">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4A5545">
        <w:rPr>
          <w:szCs w:val="24"/>
          <w:lang w:val="es-ES_tradnl"/>
        </w:rPr>
        <w:t>www.entwicklung.at/uploads/media/CHECKLIST_12032009_barriere_02.pdf</w:t>
      </w:r>
      <w:r w:rsidRPr="00CB6BB3">
        <w:rPr>
          <w:szCs w:val="24"/>
          <w:lang w:val="es-ES_tradnl"/>
        </w:rPr>
        <w:t>.</w:t>
      </w:r>
    </w:p>
  </w:footnote>
  <w:footnote w:id="66">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4A5545">
        <w:rPr>
          <w:szCs w:val="24"/>
          <w:lang w:val="es-ES_tradnl"/>
        </w:rPr>
        <w:t>www.politik-lernen.at/goto/polis/details/menschenrechtsbildung_basisinformationen/</w:t>
      </w:r>
      <w:r w:rsidRPr="00CB6BB3">
        <w:rPr>
          <w:szCs w:val="24"/>
          <w:lang w:val="es-ES_tradnl"/>
        </w:rPr>
        <w:t>.</w:t>
      </w:r>
    </w:p>
  </w:footnote>
  <w:footnote w:id="67">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4A5545">
        <w:rPr>
          <w:szCs w:val="24"/>
          <w:lang w:val="es-ES_tradnl"/>
        </w:rPr>
        <w:t>www.politischebildung.at</w:t>
      </w:r>
      <w:r w:rsidRPr="00CB6BB3">
        <w:rPr>
          <w:szCs w:val="24"/>
          <w:lang w:val="es-ES_tradnl"/>
        </w:rPr>
        <w:t>.</w:t>
      </w:r>
    </w:p>
  </w:footnote>
  <w:footnote w:id="68">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 xml:space="preserve">Ley de enmienda del seguro social de 2006, </w:t>
      </w:r>
      <w:r w:rsidRPr="00792D71">
        <w:rPr>
          <w:i/>
          <w:szCs w:val="24"/>
          <w:lang w:val="es-ES_tradnl"/>
        </w:rPr>
        <w:t>Gaceta Jurídica Federal</w:t>
      </w:r>
      <w:r w:rsidRPr="00CB6BB3">
        <w:rPr>
          <w:szCs w:val="24"/>
          <w:lang w:val="es-ES_tradnl"/>
        </w:rPr>
        <w:t xml:space="preserve"> </w:t>
      </w:r>
      <w:r>
        <w:rPr>
          <w:szCs w:val="24"/>
          <w:lang w:val="es-ES_tradnl"/>
        </w:rPr>
        <w:t xml:space="preserve">Nº </w:t>
      </w:r>
      <w:r w:rsidRPr="00CB6BB3">
        <w:rPr>
          <w:szCs w:val="24"/>
          <w:lang w:val="es-ES_tradnl"/>
        </w:rPr>
        <w:t>131/2006.</w:t>
      </w:r>
    </w:p>
  </w:footnote>
  <w:footnote w:id="69">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 xml:space="preserve">Sección 7 y </w:t>
      </w:r>
      <w:r w:rsidR="00792D71" w:rsidRPr="00CB6BB3">
        <w:rPr>
          <w:szCs w:val="24"/>
          <w:lang w:val="es-ES_tradnl"/>
        </w:rPr>
        <w:t>sección</w:t>
      </w:r>
      <w:r w:rsidRPr="00CB6BB3">
        <w:rPr>
          <w:szCs w:val="24"/>
          <w:lang w:val="es-ES_tradnl"/>
        </w:rPr>
        <w:t xml:space="preserve"> 8 de las Directrices encaminadas a la igualdad de trato de los empleados de las instituciones de seguridad social (Federación de Instituciones de Seguridad Social de Austria) – RGB.</w:t>
      </w:r>
    </w:p>
  </w:footnote>
  <w:footnote w:id="70">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4A5545">
        <w:rPr>
          <w:szCs w:val="24"/>
          <w:lang w:val="es-ES_tradnl"/>
        </w:rPr>
        <w:t>www.bmwf.gv.at/unidata/auswertungen/gendermonitoring</w:t>
      </w:r>
      <w:r w:rsidRPr="00CB6BB3">
        <w:rPr>
          <w:szCs w:val="24"/>
          <w:lang w:val="es-ES_tradnl"/>
        </w:rPr>
        <w:t>.</w:t>
      </w:r>
    </w:p>
  </w:footnote>
  <w:footnote w:id="71">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 xml:space="preserve">Se aplicarán </w:t>
      </w:r>
      <w:r w:rsidRPr="00CB6BB3">
        <w:rPr>
          <w:i/>
          <w:szCs w:val="24"/>
          <w:lang w:val="es-ES_tradnl"/>
        </w:rPr>
        <w:t>mutatis mutandis</w:t>
      </w:r>
      <w:r w:rsidRPr="00CB6BB3">
        <w:rPr>
          <w:szCs w:val="24"/>
          <w:lang w:val="es-ES_tradnl"/>
        </w:rPr>
        <w:t xml:space="preserve"> a la sección 11</w:t>
      </w:r>
      <w:r>
        <w:rPr>
          <w:szCs w:val="24"/>
          <w:lang w:val="es-ES_tradnl"/>
        </w:rPr>
        <w:t>,</w:t>
      </w:r>
      <w:r w:rsidRPr="00CB6BB3">
        <w:rPr>
          <w:szCs w:val="24"/>
          <w:lang w:val="es-ES_tradnl"/>
        </w:rPr>
        <w:t xml:space="preserve"> párr. 2</w:t>
      </w:r>
      <w:r>
        <w:rPr>
          <w:szCs w:val="24"/>
          <w:lang w:val="es-ES_tradnl"/>
        </w:rPr>
        <w:t>,</w:t>
      </w:r>
      <w:r w:rsidRPr="00CB6BB3">
        <w:rPr>
          <w:szCs w:val="24"/>
          <w:lang w:val="es-ES_tradnl"/>
        </w:rPr>
        <w:t xml:space="preserve"> </w:t>
      </w:r>
      <w:r>
        <w:rPr>
          <w:szCs w:val="24"/>
          <w:lang w:val="es-ES_tradnl"/>
        </w:rPr>
        <w:t xml:space="preserve">Nº </w:t>
      </w:r>
      <w:r w:rsidRPr="00CB6BB3">
        <w:rPr>
          <w:szCs w:val="24"/>
          <w:lang w:val="es-ES_tradnl"/>
        </w:rPr>
        <w:t>3 del BGlBG.</w:t>
      </w:r>
    </w:p>
  </w:footnote>
  <w:footnote w:id="72">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792D71">
        <w:rPr>
          <w:i/>
          <w:szCs w:val="24"/>
          <w:lang w:val="es-ES_tradnl"/>
        </w:rPr>
        <w:t>Gaceta Jurídica Federal I</w:t>
      </w:r>
      <w:r w:rsidRPr="00CB6BB3">
        <w:rPr>
          <w:szCs w:val="24"/>
          <w:lang w:val="es-ES_tradnl"/>
        </w:rPr>
        <w:t xml:space="preserve"> </w:t>
      </w:r>
      <w:r>
        <w:rPr>
          <w:szCs w:val="24"/>
          <w:lang w:val="es-ES_tradnl"/>
        </w:rPr>
        <w:t xml:space="preserve">Nº </w:t>
      </w:r>
      <w:r w:rsidRPr="00CB6BB3">
        <w:rPr>
          <w:szCs w:val="24"/>
          <w:lang w:val="es-ES_tradnl"/>
        </w:rPr>
        <w:t>50/2010.</w:t>
      </w:r>
    </w:p>
  </w:footnote>
  <w:footnote w:id="73">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4A5545">
        <w:rPr>
          <w:szCs w:val="24"/>
          <w:lang w:val="es-ES_tradnl"/>
        </w:rPr>
        <w:t>www.bmukk.gv.at/schulen/sb/nbb.xml</w:t>
      </w:r>
      <w:r w:rsidRPr="00CB6BB3">
        <w:rPr>
          <w:szCs w:val="24"/>
          <w:lang w:val="es-ES_tradnl"/>
        </w:rPr>
        <w:t>.</w:t>
      </w:r>
    </w:p>
  </w:footnote>
  <w:footnote w:id="74">
    <w:p w:rsidR="00C21E04" w:rsidRPr="00CB6BB3" w:rsidRDefault="00C21E04" w:rsidP="00F82234">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4A5545">
        <w:rPr>
          <w:szCs w:val="24"/>
          <w:lang w:val="es-ES_tradnl"/>
        </w:rPr>
        <w:t>www.frauen.bka.gv.at/studien/frauenbericht2010/Frauenbericht_Teil1_2Bildung.pdf</w:t>
      </w:r>
      <w:r w:rsidRPr="00CB6BB3">
        <w:rPr>
          <w:szCs w:val="24"/>
          <w:lang w:val="es-ES_tradnl"/>
        </w:rPr>
        <w:t>.</w:t>
      </w:r>
    </w:p>
  </w:footnote>
  <w:footnote w:id="75">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4A5545">
        <w:rPr>
          <w:szCs w:val="24"/>
          <w:lang w:val="es-ES_tradnl"/>
        </w:rPr>
        <w:t>www.bmukk.gv.at/schulen/unterricht/ba/gekos_neu.xml</w:t>
      </w:r>
      <w:r w:rsidRPr="00CB6BB3">
        <w:rPr>
          <w:szCs w:val="24"/>
          <w:lang w:val="es-ES_tradnl"/>
        </w:rPr>
        <w:t>.</w:t>
      </w:r>
    </w:p>
  </w:footnote>
  <w:footnote w:id="76">
    <w:p w:rsidR="00C21E04" w:rsidRPr="00CB6BB3" w:rsidRDefault="00C21E04" w:rsidP="00604EE2">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4A5545">
        <w:rPr>
          <w:szCs w:val="24"/>
          <w:lang w:val="es-ES_tradnl"/>
        </w:rPr>
        <w:t>www.htl.at/de/home/schwerpunktportale/maedchen_und_frauen_in_die_technik/</w:t>
      </w:r>
      <w:r>
        <w:rPr>
          <w:szCs w:val="24"/>
          <w:lang w:val="es-ES_tradnl"/>
        </w:rPr>
        <w:br/>
      </w:r>
      <w:r w:rsidRPr="004A5545">
        <w:rPr>
          <w:szCs w:val="24"/>
          <w:lang w:val="es-ES_tradnl"/>
        </w:rPr>
        <w:t>maedchenarbeit_an_ der_schule/ag_schuelerinnen_an_htls.html.</w:t>
      </w:r>
    </w:p>
  </w:footnote>
  <w:footnote w:id="77">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4A5545">
        <w:rPr>
          <w:szCs w:val="24"/>
          <w:lang w:val="es-ES_tradnl"/>
        </w:rPr>
        <w:t>www.kulturkontakt.or.at/upload/medialibrary/Leitfaden_Gender_im_Blick.pdf</w:t>
      </w:r>
      <w:r w:rsidRPr="00CB6BB3">
        <w:rPr>
          <w:szCs w:val="24"/>
          <w:lang w:val="es-ES_tradnl"/>
        </w:rPr>
        <w:t>.</w:t>
      </w:r>
    </w:p>
  </w:footnote>
  <w:footnote w:id="78">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www.alphabetisierung.at</w:t>
      </w:r>
      <w:r w:rsidRPr="004A5545">
        <w:rPr>
          <w:szCs w:val="24"/>
          <w:lang w:val="es-ES_tradnl"/>
        </w:rPr>
        <w:t>/</w:t>
      </w:r>
      <w:r w:rsidRPr="00CB6BB3">
        <w:rPr>
          <w:szCs w:val="24"/>
          <w:lang w:val="es-ES_tradnl"/>
        </w:rPr>
        <w:t>.</w:t>
      </w:r>
    </w:p>
  </w:footnote>
  <w:footnote w:id="79">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www.learnforever.at.</w:t>
      </w:r>
    </w:p>
  </w:footnote>
  <w:footnote w:id="80">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erwachsenenbildung.at/magazin/archiv_artikel.php?mid=412&amp;aid=389.</w:t>
      </w:r>
    </w:p>
  </w:footnote>
  <w:footnote w:id="81">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792D71">
        <w:rPr>
          <w:i/>
          <w:szCs w:val="24"/>
          <w:lang w:val="es-ES_tradnl"/>
        </w:rPr>
        <w:t>Gaceta Jurídica Federal I</w:t>
      </w:r>
      <w:r w:rsidRPr="00CB6BB3">
        <w:rPr>
          <w:szCs w:val="24"/>
          <w:lang w:val="es-ES_tradnl"/>
        </w:rPr>
        <w:t xml:space="preserve"> </w:t>
      </w:r>
      <w:r>
        <w:rPr>
          <w:szCs w:val="24"/>
          <w:lang w:val="es-ES_tradnl"/>
        </w:rPr>
        <w:t xml:space="preserve">Nº </w:t>
      </w:r>
      <w:r w:rsidRPr="00CB6BB3">
        <w:rPr>
          <w:szCs w:val="24"/>
          <w:lang w:val="es-ES_tradnl"/>
        </w:rPr>
        <w:t>90/2009.</w:t>
      </w:r>
    </w:p>
  </w:footnote>
  <w:footnote w:id="82">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 xml:space="preserve">Ley de enmienda del seguro social de 2005, </w:t>
      </w:r>
      <w:r w:rsidRPr="00792D71">
        <w:rPr>
          <w:i/>
          <w:szCs w:val="24"/>
          <w:lang w:val="es-ES_tradnl"/>
        </w:rPr>
        <w:t>Gaceta Jurídica Federal</w:t>
      </w:r>
      <w:r w:rsidRPr="00CB6BB3">
        <w:rPr>
          <w:szCs w:val="24"/>
          <w:lang w:val="es-ES_tradnl"/>
        </w:rPr>
        <w:t xml:space="preserve"> </w:t>
      </w:r>
      <w:r>
        <w:rPr>
          <w:szCs w:val="24"/>
          <w:lang w:val="es-ES_tradnl"/>
        </w:rPr>
        <w:t xml:space="preserve">Nº </w:t>
      </w:r>
      <w:r w:rsidRPr="00CB6BB3">
        <w:rPr>
          <w:szCs w:val="24"/>
          <w:lang w:val="es-ES_tradnl"/>
        </w:rPr>
        <w:t>58/2005.</w:t>
      </w:r>
    </w:p>
  </w:footnote>
  <w:footnote w:id="83">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Art. 7</w:t>
      </w:r>
      <w:r>
        <w:rPr>
          <w:szCs w:val="24"/>
          <w:lang w:val="es-ES_tradnl"/>
        </w:rPr>
        <w:t>, párr.</w:t>
      </w:r>
      <w:r w:rsidRPr="00CB6BB3">
        <w:rPr>
          <w:szCs w:val="24"/>
          <w:lang w:val="es-ES_tradnl"/>
        </w:rPr>
        <w:t xml:space="preserve"> 1, Constitución Federal, B-VG.</w:t>
      </w:r>
    </w:p>
  </w:footnote>
  <w:footnote w:id="84">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En la actualidad, el Tribunal Constitucional está revisando esta tercera enmienda.</w:t>
      </w:r>
    </w:p>
  </w:footnote>
  <w:footnote w:id="85">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FEM Wien, FEM Wien Süd, FGZ Graz, FGZ Kärnten GmbH, FGZ ISIS Salzburg, FGZ Linz, FGZ Wels, FGZ Femail Feldkirch.</w:t>
      </w:r>
    </w:p>
  </w:footnote>
  <w:footnote w:id="86">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bmg.gv.at/cms/home//attachments/0/1/3/CH1004/CMS1299496168458/frauengesundheitsbericht.pdf.</w:t>
      </w:r>
    </w:p>
  </w:footnote>
  <w:footnote w:id="87">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r>
      <w:r w:rsidRPr="00CB6BB3">
        <w:rPr>
          <w:i/>
          <w:szCs w:val="24"/>
          <w:lang w:val="es-ES_tradnl"/>
        </w:rPr>
        <w:t>Fuente</w:t>
      </w:r>
      <w:r w:rsidRPr="008D34BE">
        <w:rPr>
          <w:i/>
          <w:szCs w:val="24"/>
          <w:lang w:val="es-ES_tradnl"/>
        </w:rPr>
        <w:t>:</w:t>
      </w:r>
      <w:r w:rsidRPr="00CB6BB3">
        <w:rPr>
          <w:szCs w:val="24"/>
          <w:lang w:val="es-ES_tradnl"/>
        </w:rPr>
        <w:t xml:space="preserve"> Encuesta de la estructura agrícola de 2007.</w:t>
      </w:r>
    </w:p>
  </w:footnote>
  <w:footnote w:id="88">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Liason entre Actions de Développement de l</w:t>
      </w:r>
      <w:r>
        <w:rPr>
          <w:szCs w:val="24"/>
          <w:lang w:val="es-ES_tradnl"/>
        </w:rPr>
        <w:t>'</w:t>
      </w:r>
      <w:r w:rsidRPr="00CB6BB3">
        <w:rPr>
          <w:szCs w:val="24"/>
          <w:lang w:val="es-ES_tradnl"/>
        </w:rPr>
        <w:t>Économie Rurale.</w:t>
      </w:r>
    </w:p>
  </w:footnote>
  <w:footnote w:id="89">
    <w:p w:rsidR="00C21E04" w:rsidRPr="00CB6BB3" w:rsidRDefault="00C21E04" w:rsidP="00946D6D">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Supresión gradual del Programa Operativo de Burgenland para 2007</w:t>
      </w:r>
      <w:r>
        <w:rPr>
          <w:szCs w:val="24"/>
          <w:lang w:val="es-ES_tradnl"/>
        </w:rPr>
        <w:t>-</w:t>
      </w:r>
      <w:r w:rsidRPr="00CB6BB3">
        <w:rPr>
          <w:szCs w:val="24"/>
          <w:lang w:val="es-ES_tradnl"/>
        </w:rPr>
        <w:t>2013.</w:t>
      </w:r>
    </w:p>
  </w:footnote>
  <w:footnote w:id="90">
    <w:p w:rsidR="00C21E04" w:rsidRPr="00CB6BB3" w:rsidRDefault="00C21E04" w:rsidP="006740CB">
      <w:pPr>
        <w:pStyle w:val="FootnoteText"/>
        <w:rPr>
          <w:szCs w:val="24"/>
          <w:lang w:val="es-ES_tradnl"/>
        </w:rPr>
      </w:pPr>
      <w:r w:rsidRPr="00CB6BB3">
        <w:rPr>
          <w:szCs w:val="24"/>
          <w:lang w:val="es-ES_tradnl"/>
        </w:rPr>
        <w:tab/>
      </w:r>
      <w:r w:rsidRPr="00CB6BB3">
        <w:rPr>
          <w:rStyle w:val="FootnoteReference"/>
          <w:szCs w:val="24"/>
          <w:lang w:val="es-ES_tradnl"/>
        </w:rPr>
        <w:footnoteRef/>
      </w:r>
      <w:r w:rsidRPr="00CB6BB3">
        <w:rPr>
          <w:szCs w:val="24"/>
          <w:lang w:val="es-ES_tradnl"/>
        </w:rPr>
        <w:tab/>
        <w:t xml:space="preserve">Ley que rige las parejas inscritas (EPG), </w:t>
      </w:r>
      <w:r w:rsidRPr="00792D71">
        <w:rPr>
          <w:i/>
          <w:szCs w:val="24"/>
          <w:lang w:val="es-ES_tradnl"/>
        </w:rPr>
        <w:t>Gaceta Jurídica Federal I</w:t>
      </w:r>
      <w:r w:rsidRPr="00CB6BB3">
        <w:rPr>
          <w:szCs w:val="24"/>
          <w:lang w:val="es-ES_tradnl"/>
        </w:rPr>
        <w:t xml:space="preserve"> </w:t>
      </w:r>
      <w:r>
        <w:rPr>
          <w:szCs w:val="24"/>
          <w:lang w:val="es-ES_tradnl"/>
        </w:rPr>
        <w:t xml:space="preserve">Nº </w:t>
      </w:r>
      <w:r w:rsidRPr="00CB6BB3">
        <w:rPr>
          <w:szCs w:val="24"/>
          <w:lang w:val="es-ES_tradnl"/>
        </w:rPr>
        <w:t>135/2009.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4" w:rsidRDefault="00C21E04">
    <w:pPr>
      <w:pStyle w:val="Header"/>
    </w:pPr>
    <w:r w:rsidRPr="00FE62AA">
      <w:t>CEDAW/C/AUT/7-8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4" w:rsidRDefault="00C21E04">
    <w:pPr>
      <w:pStyle w:val="Header"/>
      <w:jc w:val="right"/>
    </w:pPr>
    <w:r w:rsidRPr="00FE62AA">
      <w:t>CEDAW/C/AUT/7-8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8215C"/>
    <w:multiLevelType w:val="hybridMultilevel"/>
    <w:tmpl w:val="3F4A7354"/>
    <w:lvl w:ilvl="0" w:tplc="EA926132">
      <w:start w:val="41"/>
      <w:numFmt w:val="decimal"/>
      <w:lvlText w:val="%1."/>
      <w:lvlJc w:val="left"/>
      <w:pPr>
        <w:tabs>
          <w:tab w:val="num" w:pos="1095"/>
        </w:tabs>
        <w:ind w:left="1095" w:hanging="495"/>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11">
    <w:nsid w:val="1CC86C3D"/>
    <w:multiLevelType w:val="hybridMultilevel"/>
    <w:tmpl w:val="FA80AAA2"/>
    <w:lvl w:ilvl="0" w:tplc="5F8A90B6">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8C0E9A"/>
    <w:multiLevelType w:val="hybridMultilevel"/>
    <w:tmpl w:val="D408E37C"/>
    <w:lvl w:ilvl="0" w:tplc="26944A46">
      <w:start w:val="1"/>
      <w:numFmt w:val="lowerLetter"/>
      <w:lvlText w:val="%1)"/>
      <w:lvlJc w:val="left"/>
      <w:pPr>
        <w:tabs>
          <w:tab w:val="num" w:pos="1418"/>
        </w:tabs>
        <w:ind w:left="1418" w:hanging="284"/>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0A5575"/>
    <w:multiLevelType w:val="hybridMultilevel"/>
    <w:tmpl w:val="41640B16"/>
    <w:lvl w:ilvl="0" w:tplc="03ECE7CA">
      <w:start w:val="1"/>
      <w:numFmt w:val="bullet"/>
      <w:lvlText w:val=""/>
      <w:lvlJc w:val="left"/>
      <w:pPr>
        <w:tabs>
          <w:tab w:val="num" w:pos="2552"/>
        </w:tabs>
        <w:ind w:left="2552"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848FA86">
      <w:start w:val="1"/>
      <w:numFmt w:val="bullet"/>
      <w:lvlText w:val=""/>
      <w:lvlJc w:val="left"/>
      <w:pPr>
        <w:tabs>
          <w:tab w:val="num" w:pos="1418"/>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3F49C6"/>
    <w:multiLevelType w:val="singleLevel"/>
    <w:tmpl w:val="720CB540"/>
    <w:lvl w:ilvl="0">
      <w:start w:val="1"/>
      <w:numFmt w:val="lowerRoman"/>
      <w:lvlText w:val="(%1)"/>
      <w:lvlJc w:val="right"/>
      <w:pPr>
        <w:tabs>
          <w:tab w:val="num" w:pos="2160"/>
        </w:tabs>
        <w:ind w:left="2160" w:hanging="516"/>
      </w:pPr>
    </w:lvl>
  </w:abstractNum>
  <w:abstractNum w:abstractNumId="15">
    <w:nsid w:val="2D111A56"/>
    <w:multiLevelType w:val="hybridMultilevel"/>
    <w:tmpl w:val="EB76D6AE"/>
    <w:lvl w:ilvl="0" w:tplc="9008FA9E">
      <w:start w:val="56"/>
      <w:numFmt w:val="decimal"/>
      <w:lvlText w:val="%1."/>
      <w:lvlJc w:val="left"/>
      <w:pPr>
        <w:tabs>
          <w:tab w:val="num" w:pos="1095"/>
        </w:tabs>
        <w:ind w:left="1095" w:hanging="495"/>
      </w:pPr>
      <w:rPr>
        <w:rFonts w:hint="default"/>
      </w:rPr>
    </w:lvl>
    <w:lvl w:ilvl="1" w:tplc="040C0003" w:tentative="1">
      <w:start w:val="1"/>
      <w:numFmt w:val="lowerLetter"/>
      <w:lvlText w:val="%2."/>
      <w:lvlJc w:val="left"/>
      <w:pPr>
        <w:tabs>
          <w:tab w:val="num" w:pos="1680"/>
        </w:tabs>
        <w:ind w:left="1680" w:hanging="360"/>
      </w:pPr>
    </w:lvl>
    <w:lvl w:ilvl="2" w:tplc="040C0005" w:tentative="1">
      <w:start w:val="1"/>
      <w:numFmt w:val="lowerRoman"/>
      <w:lvlText w:val="%3."/>
      <w:lvlJc w:val="right"/>
      <w:pPr>
        <w:tabs>
          <w:tab w:val="num" w:pos="2400"/>
        </w:tabs>
        <w:ind w:left="2400" w:hanging="180"/>
      </w:pPr>
    </w:lvl>
    <w:lvl w:ilvl="3" w:tplc="040C0001" w:tentative="1">
      <w:start w:val="1"/>
      <w:numFmt w:val="decimal"/>
      <w:lvlText w:val="%4."/>
      <w:lvlJc w:val="left"/>
      <w:pPr>
        <w:tabs>
          <w:tab w:val="num" w:pos="3120"/>
        </w:tabs>
        <w:ind w:left="3120" w:hanging="360"/>
      </w:pPr>
    </w:lvl>
    <w:lvl w:ilvl="4" w:tplc="040C0003" w:tentative="1">
      <w:start w:val="1"/>
      <w:numFmt w:val="lowerLetter"/>
      <w:lvlText w:val="%5."/>
      <w:lvlJc w:val="left"/>
      <w:pPr>
        <w:tabs>
          <w:tab w:val="num" w:pos="3840"/>
        </w:tabs>
        <w:ind w:left="3840" w:hanging="360"/>
      </w:pPr>
    </w:lvl>
    <w:lvl w:ilvl="5" w:tplc="040C0005" w:tentative="1">
      <w:start w:val="1"/>
      <w:numFmt w:val="lowerRoman"/>
      <w:lvlText w:val="%6."/>
      <w:lvlJc w:val="right"/>
      <w:pPr>
        <w:tabs>
          <w:tab w:val="num" w:pos="4560"/>
        </w:tabs>
        <w:ind w:left="4560" w:hanging="180"/>
      </w:pPr>
    </w:lvl>
    <w:lvl w:ilvl="6" w:tplc="040C0001" w:tentative="1">
      <w:start w:val="1"/>
      <w:numFmt w:val="decimal"/>
      <w:lvlText w:val="%7."/>
      <w:lvlJc w:val="left"/>
      <w:pPr>
        <w:tabs>
          <w:tab w:val="num" w:pos="5280"/>
        </w:tabs>
        <w:ind w:left="5280" w:hanging="360"/>
      </w:pPr>
    </w:lvl>
    <w:lvl w:ilvl="7" w:tplc="040C0003" w:tentative="1">
      <w:start w:val="1"/>
      <w:numFmt w:val="lowerLetter"/>
      <w:lvlText w:val="%8."/>
      <w:lvlJc w:val="left"/>
      <w:pPr>
        <w:tabs>
          <w:tab w:val="num" w:pos="6000"/>
        </w:tabs>
        <w:ind w:left="6000" w:hanging="360"/>
      </w:pPr>
    </w:lvl>
    <w:lvl w:ilvl="8" w:tplc="040C0005" w:tentative="1">
      <w:start w:val="1"/>
      <w:numFmt w:val="lowerRoman"/>
      <w:lvlText w:val="%9."/>
      <w:lvlJc w:val="right"/>
      <w:pPr>
        <w:tabs>
          <w:tab w:val="num" w:pos="6720"/>
        </w:tabs>
        <w:ind w:left="6720" w:hanging="180"/>
      </w:pPr>
    </w:lvl>
  </w:abstractNum>
  <w:abstractNum w:abstractNumId="16">
    <w:nsid w:val="308216CA"/>
    <w:multiLevelType w:val="hybridMultilevel"/>
    <w:tmpl w:val="97926284"/>
    <w:lvl w:ilvl="0" w:tplc="7F044E56">
      <w:start w:val="1"/>
      <w:numFmt w:val="lowerLetter"/>
      <w:lvlText w:val="(%1)"/>
      <w:lvlJc w:val="left"/>
      <w:pPr>
        <w:tabs>
          <w:tab w:val="num" w:pos="1760"/>
        </w:tabs>
        <w:ind w:left="1760" w:hanging="360"/>
      </w:pPr>
      <w:rPr>
        <w:rFonts w:cs="Times New Roman" w:hint="default"/>
      </w:rPr>
    </w:lvl>
    <w:lvl w:ilvl="1" w:tplc="08090019" w:tentative="1">
      <w:start w:val="1"/>
      <w:numFmt w:val="lowerLetter"/>
      <w:lvlText w:val="%2."/>
      <w:lvlJc w:val="left"/>
      <w:pPr>
        <w:tabs>
          <w:tab w:val="num" w:pos="2480"/>
        </w:tabs>
        <w:ind w:left="2480" w:hanging="360"/>
      </w:pPr>
      <w:rPr>
        <w:rFonts w:cs="Times New Roman"/>
      </w:rPr>
    </w:lvl>
    <w:lvl w:ilvl="2" w:tplc="0809001B" w:tentative="1">
      <w:start w:val="1"/>
      <w:numFmt w:val="lowerRoman"/>
      <w:lvlText w:val="%3."/>
      <w:lvlJc w:val="right"/>
      <w:pPr>
        <w:tabs>
          <w:tab w:val="num" w:pos="3200"/>
        </w:tabs>
        <w:ind w:left="3200" w:hanging="180"/>
      </w:pPr>
      <w:rPr>
        <w:rFonts w:cs="Times New Roman"/>
      </w:rPr>
    </w:lvl>
    <w:lvl w:ilvl="3" w:tplc="0809000F" w:tentative="1">
      <w:start w:val="1"/>
      <w:numFmt w:val="decimal"/>
      <w:lvlText w:val="%4."/>
      <w:lvlJc w:val="left"/>
      <w:pPr>
        <w:tabs>
          <w:tab w:val="num" w:pos="3920"/>
        </w:tabs>
        <w:ind w:left="3920" w:hanging="360"/>
      </w:pPr>
      <w:rPr>
        <w:rFonts w:cs="Times New Roman"/>
      </w:rPr>
    </w:lvl>
    <w:lvl w:ilvl="4" w:tplc="08090019" w:tentative="1">
      <w:start w:val="1"/>
      <w:numFmt w:val="lowerLetter"/>
      <w:lvlText w:val="%5."/>
      <w:lvlJc w:val="left"/>
      <w:pPr>
        <w:tabs>
          <w:tab w:val="num" w:pos="4640"/>
        </w:tabs>
        <w:ind w:left="4640" w:hanging="360"/>
      </w:pPr>
      <w:rPr>
        <w:rFonts w:cs="Times New Roman"/>
      </w:rPr>
    </w:lvl>
    <w:lvl w:ilvl="5" w:tplc="0809001B" w:tentative="1">
      <w:start w:val="1"/>
      <w:numFmt w:val="lowerRoman"/>
      <w:lvlText w:val="%6."/>
      <w:lvlJc w:val="right"/>
      <w:pPr>
        <w:tabs>
          <w:tab w:val="num" w:pos="5360"/>
        </w:tabs>
        <w:ind w:left="5360" w:hanging="180"/>
      </w:pPr>
      <w:rPr>
        <w:rFonts w:cs="Times New Roman"/>
      </w:rPr>
    </w:lvl>
    <w:lvl w:ilvl="6" w:tplc="0809000F" w:tentative="1">
      <w:start w:val="1"/>
      <w:numFmt w:val="decimal"/>
      <w:lvlText w:val="%7."/>
      <w:lvlJc w:val="left"/>
      <w:pPr>
        <w:tabs>
          <w:tab w:val="num" w:pos="6080"/>
        </w:tabs>
        <w:ind w:left="6080" w:hanging="360"/>
      </w:pPr>
      <w:rPr>
        <w:rFonts w:cs="Times New Roman"/>
      </w:rPr>
    </w:lvl>
    <w:lvl w:ilvl="7" w:tplc="08090019" w:tentative="1">
      <w:start w:val="1"/>
      <w:numFmt w:val="lowerLetter"/>
      <w:lvlText w:val="%8."/>
      <w:lvlJc w:val="left"/>
      <w:pPr>
        <w:tabs>
          <w:tab w:val="num" w:pos="6800"/>
        </w:tabs>
        <w:ind w:left="6800" w:hanging="360"/>
      </w:pPr>
      <w:rPr>
        <w:rFonts w:cs="Times New Roman"/>
      </w:rPr>
    </w:lvl>
    <w:lvl w:ilvl="8" w:tplc="0809001B" w:tentative="1">
      <w:start w:val="1"/>
      <w:numFmt w:val="lowerRoman"/>
      <w:lvlText w:val="%9."/>
      <w:lvlJc w:val="right"/>
      <w:pPr>
        <w:tabs>
          <w:tab w:val="num" w:pos="7520"/>
        </w:tabs>
        <w:ind w:left="7520" w:hanging="180"/>
      </w:pPr>
      <w:rPr>
        <w:rFonts w:cs="Times New Roman"/>
      </w:rPr>
    </w:lvl>
  </w:abstractNum>
  <w:abstractNum w:abstractNumId="17">
    <w:nsid w:val="31316046"/>
    <w:multiLevelType w:val="hybridMultilevel"/>
    <w:tmpl w:val="358E0650"/>
    <w:lvl w:ilvl="0" w:tplc="83BC506E">
      <w:start w:val="1"/>
      <w:numFmt w:val="bullet"/>
      <w:lvlText w:val=""/>
      <w:lvlJc w:val="left"/>
      <w:pPr>
        <w:tabs>
          <w:tab w:val="num" w:pos="2552"/>
        </w:tabs>
        <w:ind w:left="2552"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194251F6">
      <w:start w:val="1"/>
      <w:numFmt w:val="bullet"/>
      <w:lvlText w:val=""/>
      <w:lvlJc w:val="left"/>
      <w:pPr>
        <w:tabs>
          <w:tab w:val="num" w:pos="1418"/>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F7143D"/>
    <w:multiLevelType w:val="hybridMultilevel"/>
    <w:tmpl w:val="2DDE27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6A7743B"/>
    <w:multiLevelType w:val="hybridMultilevel"/>
    <w:tmpl w:val="165289D8"/>
    <w:lvl w:ilvl="0" w:tplc="D70C73E0">
      <w:start w:val="1"/>
      <w:numFmt w:val="bullet"/>
      <w:pStyle w:val="Bullet2G"/>
      <w:lvlText w:val="•"/>
      <w:lvlJc w:val="left"/>
      <w:pPr>
        <w:tabs>
          <w:tab w:val="num" w:pos="2268"/>
        </w:tabs>
        <w:ind w:left="2268" w:hanging="170"/>
      </w:pPr>
      <w:rPr>
        <w:rFonts w:ascii="Times New Roman" w:hAnsi="Times New Roman" w:cs="Times New Roman"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0">
    <w:nsid w:val="3A365CC2"/>
    <w:multiLevelType w:val="hybridMultilevel"/>
    <w:tmpl w:val="F77E1DAC"/>
    <w:lvl w:ilvl="0" w:tplc="14C64E84">
      <w:start w:val="1"/>
      <w:numFmt w:val="decimal"/>
      <w:lvlText w:val="%1."/>
      <w:lvlJc w:val="left"/>
      <w:pPr>
        <w:tabs>
          <w:tab w:val="num" w:pos="1689"/>
        </w:tabs>
        <w:ind w:left="1689" w:hanging="555"/>
      </w:pPr>
      <w:rPr>
        <w:rFonts w:hint="default"/>
      </w:rPr>
    </w:lvl>
    <w:lvl w:ilvl="1" w:tplc="0C0A0003">
      <w:start w:val="1"/>
      <w:numFmt w:val="bullet"/>
      <w:lvlText w:val="-"/>
      <w:lvlJc w:val="left"/>
      <w:pPr>
        <w:tabs>
          <w:tab w:val="num" w:pos="2364"/>
        </w:tabs>
        <w:ind w:left="2364" w:hanging="510"/>
      </w:pPr>
      <w:rPr>
        <w:rFonts w:ascii="Times New Roman" w:eastAsia="Times New Roman" w:hAnsi="Times New Roman" w:cs="Times New Roman" w:hint="default"/>
      </w:rPr>
    </w:lvl>
    <w:lvl w:ilvl="2" w:tplc="0C0A0005">
      <w:start w:val="1"/>
      <w:numFmt w:val="lowerRoman"/>
      <w:lvlText w:val="%3."/>
      <w:lvlJc w:val="right"/>
      <w:pPr>
        <w:tabs>
          <w:tab w:val="num" w:pos="2934"/>
        </w:tabs>
        <w:ind w:left="2934" w:hanging="180"/>
      </w:pPr>
    </w:lvl>
    <w:lvl w:ilvl="3" w:tplc="0C0A0001" w:tentative="1">
      <w:start w:val="1"/>
      <w:numFmt w:val="decimal"/>
      <w:lvlText w:val="%4."/>
      <w:lvlJc w:val="left"/>
      <w:pPr>
        <w:tabs>
          <w:tab w:val="num" w:pos="3654"/>
        </w:tabs>
        <w:ind w:left="3654" w:hanging="360"/>
      </w:pPr>
    </w:lvl>
    <w:lvl w:ilvl="4" w:tplc="0C0A0003" w:tentative="1">
      <w:start w:val="1"/>
      <w:numFmt w:val="lowerLetter"/>
      <w:lvlText w:val="%5."/>
      <w:lvlJc w:val="left"/>
      <w:pPr>
        <w:tabs>
          <w:tab w:val="num" w:pos="4374"/>
        </w:tabs>
        <w:ind w:left="4374" w:hanging="360"/>
      </w:pPr>
    </w:lvl>
    <w:lvl w:ilvl="5" w:tplc="0C0A0005" w:tentative="1">
      <w:start w:val="1"/>
      <w:numFmt w:val="lowerRoman"/>
      <w:lvlText w:val="%6."/>
      <w:lvlJc w:val="right"/>
      <w:pPr>
        <w:tabs>
          <w:tab w:val="num" w:pos="5094"/>
        </w:tabs>
        <w:ind w:left="5094" w:hanging="180"/>
      </w:pPr>
    </w:lvl>
    <w:lvl w:ilvl="6" w:tplc="0C0A0001" w:tentative="1">
      <w:start w:val="1"/>
      <w:numFmt w:val="decimal"/>
      <w:lvlText w:val="%7."/>
      <w:lvlJc w:val="left"/>
      <w:pPr>
        <w:tabs>
          <w:tab w:val="num" w:pos="5814"/>
        </w:tabs>
        <w:ind w:left="5814" w:hanging="360"/>
      </w:pPr>
    </w:lvl>
    <w:lvl w:ilvl="7" w:tplc="0C0A0003" w:tentative="1">
      <w:start w:val="1"/>
      <w:numFmt w:val="lowerLetter"/>
      <w:lvlText w:val="%8."/>
      <w:lvlJc w:val="left"/>
      <w:pPr>
        <w:tabs>
          <w:tab w:val="num" w:pos="6534"/>
        </w:tabs>
        <w:ind w:left="6534" w:hanging="360"/>
      </w:pPr>
    </w:lvl>
    <w:lvl w:ilvl="8" w:tplc="0C0A0005" w:tentative="1">
      <w:start w:val="1"/>
      <w:numFmt w:val="lowerRoman"/>
      <w:lvlText w:val="%9."/>
      <w:lvlJc w:val="right"/>
      <w:pPr>
        <w:tabs>
          <w:tab w:val="num" w:pos="7254"/>
        </w:tabs>
        <w:ind w:left="7254" w:hanging="180"/>
      </w:pPr>
    </w:lvl>
  </w:abstractNum>
  <w:abstractNum w:abstractNumId="21">
    <w:nsid w:val="42E76350"/>
    <w:multiLevelType w:val="hybridMultilevel"/>
    <w:tmpl w:val="653ABC6C"/>
    <w:lvl w:ilvl="0" w:tplc="58DC69DA">
      <w:start w:val="1"/>
      <w:numFmt w:val="bullet"/>
      <w:lvlText w:val=""/>
      <w:lvlJc w:val="left"/>
      <w:pPr>
        <w:tabs>
          <w:tab w:val="num" w:pos="1418"/>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6EAAF6A">
      <w:start w:val="1"/>
      <w:numFmt w:val="bullet"/>
      <w:lvlText w:val=""/>
      <w:lvlJc w:val="left"/>
      <w:pPr>
        <w:tabs>
          <w:tab w:val="num" w:pos="1418"/>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C60A38"/>
    <w:multiLevelType w:val="hybridMultilevel"/>
    <w:tmpl w:val="8E0CF0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7E0266A"/>
    <w:multiLevelType w:val="hybridMultilevel"/>
    <w:tmpl w:val="F2DA1CBE"/>
    <w:lvl w:ilvl="0" w:tplc="EA7C2BE6">
      <w:start w:val="73"/>
      <w:numFmt w:val="decimal"/>
      <w:lvlText w:val="%1."/>
      <w:lvlJc w:val="left"/>
      <w:pPr>
        <w:tabs>
          <w:tab w:val="num" w:pos="960"/>
        </w:tabs>
        <w:ind w:left="960" w:hanging="360"/>
      </w:pPr>
      <w:rPr>
        <w:rFonts w:hint="default"/>
      </w:rPr>
    </w:lvl>
    <w:lvl w:ilvl="1" w:tplc="BCBAD9F8">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2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02825CC"/>
    <w:multiLevelType w:val="hybridMultilevel"/>
    <w:tmpl w:val="DE9ED350"/>
    <w:lvl w:ilvl="0">
      <w:start w:val="61"/>
      <w:numFmt w:val="decimal"/>
      <w:lvlText w:val="%1."/>
      <w:lvlJc w:val="left"/>
      <w:pPr>
        <w:tabs>
          <w:tab w:val="num" w:pos="1140"/>
        </w:tabs>
        <w:ind w:left="1140" w:hanging="540"/>
      </w:pPr>
      <w:rPr>
        <w:rFonts w:hint="default"/>
      </w:rPr>
    </w:lvl>
    <w:lvl w:ilvl="1">
      <w:start w:val="1"/>
      <w:numFmt w:val="lowerRoman"/>
      <w:lvlText w:val="%2)"/>
      <w:lvlJc w:val="left"/>
      <w:pPr>
        <w:tabs>
          <w:tab w:val="num" w:pos="2040"/>
        </w:tabs>
        <w:ind w:left="2040" w:hanging="720"/>
      </w:pPr>
      <w:rPr>
        <w:rFonts w:hint="default"/>
      </w:rPr>
    </w:lvl>
    <w:lvl w:ilvl="2">
      <w:start w:val="1"/>
      <w:numFmt w:val="lowerLetter"/>
      <w:lvlText w:val="%3)"/>
      <w:lvlJc w:val="left"/>
      <w:pPr>
        <w:tabs>
          <w:tab w:val="num" w:pos="2580"/>
        </w:tabs>
        <w:ind w:left="2580" w:hanging="360"/>
      </w:pPr>
      <w:rPr>
        <w:rFonts w:hint="default"/>
      </w:r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6">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7C2A387D"/>
    <w:multiLevelType w:val="hybridMultilevel"/>
    <w:tmpl w:val="EF229E86"/>
    <w:lvl w:ilvl="0">
      <w:start w:val="1"/>
      <w:numFmt w:val="lowerLetter"/>
      <w:lvlText w:val="%1)"/>
      <w:lvlJc w:val="left"/>
      <w:pPr>
        <w:tabs>
          <w:tab w:val="num" w:pos="1095"/>
        </w:tabs>
        <w:ind w:left="1095" w:hanging="495"/>
      </w:pPr>
      <w:rPr>
        <w:rFonts w:hint="default"/>
      </w:rPr>
    </w:lvl>
    <w:lvl w:ilvl="1">
      <w:start w:val="43"/>
      <w:numFmt w:val="decimal"/>
      <w:lvlText w:val="%2."/>
      <w:lvlJc w:val="left"/>
      <w:pPr>
        <w:tabs>
          <w:tab w:val="num" w:pos="1680"/>
        </w:tabs>
        <w:ind w:left="1680" w:hanging="360"/>
      </w:pPr>
      <w:rPr>
        <w:rFonts w:hint="default"/>
      </w:r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30">
    <w:nsid w:val="7D0D2CBE"/>
    <w:multiLevelType w:val="hybridMultilevel"/>
    <w:tmpl w:val="28F2382C"/>
    <w:lvl w:ilvl="0">
      <w:start w:val="3"/>
      <w:numFmt w:val="decimal"/>
      <w:lvlText w:val="%1."/>
      <w:lvlJc w:val="left"/>
      <w:pPr>
        <w:tabs>
          <w:tab w:val="num" w:pos="1500"/>
        </w:tabs>
        <w:ind w:left="1500" w:hanging="360"/>
      </w:pPr>
      <w:rPr>
        <w:rFonts w:hint="default"/>
      </w:rPr>
    </w:lvl>
    <w:lvl w:ilvl="1">
      <w:start w:val="1"/>
      <w:numFmt w:val="upperRoman"/>
      <w:lvlText w:val="%2."/>
      <w:lvlJc w:val="left"/>
      <w:pPr>
        <w:tabs>
          <w:tab w:val="num" w:pos="2580"/>
        </w:tabs>
        <w:ind w:left="2580" w:hanging="720"/>
      </w:pPr>
      <w:rPr>
        <w:rFonts w:hint="default"/>
      </w:rPr>
    </w:lvl>
    <w:lvl w:ilvl="2">
      <w:start w:val="1"/>
      <w:numFmt w:val="lowerRoman"/>
      <w:lvlText w:val="%3."/>
      <w:lvlJc w:val="right"/>
      <w:pPr>
        <w:tabs>
          <w:tab w:val="num" w:pos="2940"/>
        </w:tabs>
        <w:ind w:left="2940" w:hanging="180"/>
      </w:pPr>
    </w:lvl>
    <w:lvl w:ilvl="3" w:tentative="1">
      <w:start w:val="1"/>
      <w:numFmt w:val="decimal"/>
      <w:lvlText w:val="%4."/>
      <w:lvlJc w:val="left"/>
      <w:pPr>
        <w:tabs>
          <w:tab w:val="num" w:pos="3660"/>
        </w:tabs>
        <w:ind w:left="3660" w:hanging="360"/>
      </w:pPr>
    </w:lvl>
    <w:lvl w:ilvl="4" w:tentative="1">
      <w:start w:val="1"/>
      <w:numFmt w:val="lowerLetter"/>
      <w:lvlText w:val="%5."/>
      <w:lvlJc w:val="left"/>
      <w:pPr>
        <w:tabs>
          <w:tab w:val="num" w:pos="4380"/>
        </w:tabs>
        <w:ind w:left="4380" w:hanging="360"/>
      </w:pPr>
    </w:lvl>
    <w:lvl w:ilvl="5" w:tentative="1">
      <w:start w:val="1"/>
      <w:numFmt w:val="lowerRoman"/>
      <w:lvlText w:val="%6."/>
      <w:lvlJc w:val="right"/>
      <w:pPr>
        <w:tabs>
          <w:tab w:val="num" w:pos="5100"/>
        </w:tabs>
        <w:ind w:left="5100" w:hanging="180"/>
      </w:pPr>
    </w:lvl>
    <w:lvl w:ilvl="6" w:tentative="1">
      <w:start w:val="1"/>
      <w:numFmt w:val="decimal"/>
      <w:lvlText w:val="%7."/>
      <w:lvlJc w:val="left"/>
      <w:pPr>
        <w:tabs>
          <w:tab w:val="num" w:pos="5820"/>
        </w:tabs>
        <w:ind w:left="5820" w:hanging="360"/>
      </w:pPr>
    </w:lvl>
    <w:lvl w:ilvl="7" w:tentative="1">
      <w:start w:val="1"/>
      <w:numFmt w:val="lowerLetter"/>
      <w:lvlText w:val="%8."/>
      <w:lvlJc w:val="left"/>
      <w:pPr>
        <w:tabs>
          <w:tab w:val="num" w:pos="6540"/>
        </w:tabs>
        <w:ind w:left="6540" w:hanging="360"/>
      </w:pPr>
    </w:lvl>
    <w:lvl w:ilvl="8" w:tentative="1">
      <w:start w:val="1"/>
      <w:numFmt w:val="lowerRoman"/>
      <w:lvlText w:val="%9."/>
      <w:lvlJc w:val="right"/>
      <w:pPr>
        <w:tabs>
          <w:tab w:val="num" w:pos="7260"/>
        </w:tabs>
        <w:ind w:left="7260" w:hanging="180"/>
      </w:pPr>
    </w:lvl>
  </w:abstractNum>
  <w:num w:numId="1">
    <w:abstractNumId w:val="26"/>
  </w:num>
  <w:num w:numId="2">
    <w:abstractNumId w:val="19"/>
  </w:num>
  <w:num w:numId="3">
    <w:abstractNumId w:val="28"/>
  </w:num>
  <w:num w:numId="4">
    <w:abstractNumId w:val="27"/>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20"/>
  </w:num>
  <w:num w:numId="18">
    <w:abstractNumId w:val="10"/>
  </w:num>
  <w:num w:numId="19">
    <w:abstractNumId w:val="25"/>
  </w:num>
  <w:num w:numId="20">
    <w:abstractNumId w:val="23"/>
  </w:num>
  <w:num w:numId="21">
    <w:abstractNumId w:val="29"/>
  </w:num>
  <w:num w:numId="22">
    <w:abstractNumId w:val="15"/>
  </w:num>
  <w:num w:numId="23">
    <w:abstractNumId w:val="16"/>
  </w:num>
  <w:num w:numId="24">
    <w:abstractNumId w:val="21"/>
  </w:num>
  <w:num w:numId="25">
    <w:abstractNumId w:val="12"/>
  </w:num>
  <w:num w:numId="26">
    <w:abstractNumId w:val="13"/>
  </w:num>
  <w:num w:numId="27">
    <w:abstractNumId w:val="17"/>
  </w:num>
  <w:num w:numId="28">
    <w:abstractNumId w:val="11"/>
  </w:num>
  <w:num w:numId="29">
    <w:abstractNumId w:val="22"/>
  </w:num>
  <w:num w:numId="30">
    <w:abstractNumId w:val="18"/>
  </w:num>
  <w:num w:numId="31">
    <w:abstractNumId w:val="26"/>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E08"/>
    <w:rsid w:val="00000B61"/>
    <w:rsid w:val="000057DE"/>
    <w:rsid w:val="00016296"/>
    <w:rsid w:val="00016FCF"/>
    <w:rsid w:val="000203DC"/>
    <w:rsid w:val="00044F9E"/>
    <w:rsid w:val="00045553"/>
    <w:rsid w:val="00045903"/>
    <w:rsid w:val="0005731B"/>
    <w:rsid w:val="00057CDB"/>
    <w:rsid w:val="0006432B"/>
    <w:rsid w:val="00066A27"/>
    <w:rsid w:val="00067221"/>
    <w:rsid w:val="000738DF"/>
    <w:rsid w:val="000909D7"/>
    <w:rsid w:val="00090CBC"/>
    <w:rsid w:val="00091E9E"/>
    <w:rsid w:val="000A1102"/>
    <w:rsid w:val="000A2E19"/>
    <w:rsid w:val="000A6005"/>
    <w:rsid w:val="000A7171"/>
    <w:rsid w:val="000B3E5C"/>
    <w:rsid w:val="000C1FB3"/>
    <w:rsid w:val="000C75B1"/>
    <w:rsid w:val="000D3A18"/>
    <w:rsid w:val="000D61D9"/>
    <w:rsid w:val="000E1B4F"/>
    <w:rsid w:val="000E272E"/>
    <w:rsid w:val="000E6B15"/>
    <w:rsid w:val="000F074B"/>
    <w:rsid w:val="000F3376"/>
    <w:rsid w:val="000F501F"/>
    <w:rsid w:val="0010627E"/>
    <w:rsid w:val="00135EE8"/>
    <w:rsid w:val="00145BA8"/>
    <w:rsid w:val="00170697"/>
    <w:rsid w:val="00177980"/>
    <w:rsid w:val="00182B72"/>
    <w:rsid w:val="001833E0"/>
    <w:rsid w:val="001852A1"/>
    <w:rsid w:val="00185D2E"/>
    <w:rsid w:val="00193D27"/>
    <w:rsid w:val="001A696C"/>
    <w:rsid w:val="001B363F"/>
    <w:rsid w:val="001C2976"/>
    <w:rsid w:val="001C6482"/>
    <w:rsid w:val="001C677A"/>
    <w:rsid w:val="001D4A4D"/>
    <w:rsid w:val="001D720F"/>
    <w:rsid w:val="001E217D"/>
    <w:rsid w:val="001F2E6B"/>
    <w:rsid w:val="00202E66"/>
    <w:rsid w:val="00211483"/>
    <w:rsid w:val="0021194C"/>
    <w:rsid w:val="00213B26"/>
    <w:rsid w:val="00223F5C"/>
    <w:rsid w:val="00223F9B"/>
    <w:rsid w:val="0022415F"/>
    <w:rsid w:val="00226261"/>
    <w:rsid w:val="00237056"/>
    <w:rsid w:val="00241F60"/>
    <w:rsid w:val="00244AB8"/>
    <w:rsid w:val="002517FA"/>
    <w:rsid w:val="002522CD"/>
    <w:rsid w:val="00255EA5"/>
    <w:rsid w:val="002577FE"/>
    <w:rsid w:val="002740FC"/>
    <w:rsid w:val="00275DF5"/>
    <w:rsid w:val="002771CD"/>
    <w:rsid w:val="00284F88"/>
    <w:rsid w:val="002879BD"/>
    <w:rsid w:val="00292F6E"/>
    <w:rsid w:val="002B0B4B"/>
    <w:rsid w:val="002B22BF"/>
    <w:rsid w:val="002C0AD3"/>
    <w:rsid w:val="002E3B4C"/>
    <w:rsid w:val="002E5E36"/>
    <w:rsid w:val="00321648"/>
    <w:rsid w:val="0032235D"/>
    <w:rsid w:val="003232DD"/>
    <w:rsid w:val="00330A0F"/>
    <w:rsid w:val="00333746"/>
    <w:rsid w:val="00342454"/>
    <w:rsid w:val="00343C30"/>
    <w:rsid w:val="00353247"/>
    <w:rsid w:val="00353DA4"/>
    <w:rsid w:val="00360398"/>
    <w:rsid w:val="00361330"/>
    <w:rsid w:val="00361DF4"/>
    <w:rsid w:val="003637E2"/>
    <w:rsid w:val="0036797C"/>
    <w:rsid w:val="00376930"/>
    <w:rsid w:val="003779F2"/>
    <w:rsid w:val="00391C7E"/>
    <w:rsid w:val="00397D1F"/>
    <w:rsid w:val="003A05BB"/>
    <w:rsid w:val="003C2218"/>
    <w:rsid w:val="003C5030"/>
    <w:rsid w:val="003E192C"/>
    <w:rsid w:val="003F6B99"/>
    <w:rsid w:val="004012D0"/>
    <w:rsid w:val="00412151"/>
    <w:rsid w:val="004147ED"/>
    <w:rsid w:val="004257AD"/>
    <w:rsid w:val="004322DB"/>
    <w:rsid w:val="00434064"/>
    <w:rsid w:val="0043725A"/>
    <w:rsid w:val="004403E4"/>
    <w:rsid w:val="00443140"/>
    <w:rsid w:val="00455345"/>
    <w:rsid w:val="00456E3E"/>
    <w:rsid w:val="00472670"/>
    <w:rsid w:val="00474643"/>
    <w:rsid w:val="00475EB0"/>
    <w:rsid w:val="00476095"/>
    <w:rsid w:val="004765D0"/>
    <w:rsid w:val="0048447C"/>
    <w:rsid w:val="004A5545"/>
    <w:rsid w:val="004B25AA"/>
    <w:rsid w:val="004D3D66"/>
    <w:rsid w:val="004D5C68"/>
    <w:rsid w:val="004E1189"/>
    <w:rsid w:val="004F5188"/>
    <w:rsid w:val="004F7546"/>
    <w:rsid w:val="005073C8"/>
    <w:rsid w:val="00512AB4"/>
    <w:rsid w:val="00525E2B"/>
    <w:rsid w:val="00530810"/>
    <w:rsid w:val="00535E52"/>
    <w:rsid w:val="00551AD4"/>
    <w:rsid w:val="00561073"/>
    <w:rsid w:val="005617A8"/>
    <w:rsid w:val="00562ECE"/>
    <w:rsid w:val="0056570F"/>
    <w:rsid w:val="005836A6"/>
    <w:rsid w:val="005842A2"/>
    <w:rsid w:val="005929EC"/>
    <w:rsid w:val="005A5626"/>
    <w:rsid w:val="005B09F3"/>
    <w:rsid w:val="005B1961"/>
    <w:rsid w:val="005B1DE1"/>
    <w:rsid w:val="005B20CD"/>
    <w:rsid w:val="005C668E"/>
    <w:rsid w:val="005D2647"/>
    <w:rsid w:val="005D55DD"/>
    <w:rsid w:val="005D5B71"/>
    <w:rsid w:val="005D65A0"/>
    <w:rsid w:val="005D741D"/>
    <w:rsid w:val="005E49B6"/>
    <w:rsid w:val="005F1507"/>
    <w:rsid w:val="005F29E3"/>
    <w:rsid w:val="0060028E"/>
    <w:rsid w:val="00603CD1"/>
    <w:rsid w:val="00604EE2"/>
    <w:rsid w:val="0060781D"/>
    <w:rsid w:val="00615737"/>
    <w:rsid w:val="0061604E"/>
    <w:rsid w:val="00621AA2"/>
    <w:rsid w:val="00624B45"/>
    <w:rsid w:val="00625B0E"/>
    <w:rsid w:val="006354A8"/>
    <w:rsid w:val="0063746F"/>
    <w:rsid w:val="0064003A"/>
    <w:rsid w:val="006545C2"/>
    <w:rsid w:val="00660AFB"/>
    <w:rsid w:val="006740CB"/>
    <w:rsid w:val="006A5335"/>
    <w:rsid w:val="006B77AE"/>
    <w:rsid w:val="006C31C7"/>
    <w:rsid w:val="006D1407"/>
    <w:rsid w:val="006D5AF3"/>
    <w:rsid w:val="006D7866"/>
    <w:rsid w:val="006E0AB9"/>
    <w:rsid w:val="006E37A1"/>
    <w:rsid w:val="006E4CD4"/>
    <w:rsid w:val="006E4D94"/>
    <w:rsid w:val="006E58AD"/>
    <w:rsid w:val="006F0F98"/>
    <w:rsid w:val="006F66A7"/>
    <w:rsid w:val="006F74E7"/>
    <w:rsid w:val="00701B30"/>
    <w:rsid w:val="00702FCC"/>
    <w:rsid w:val="007045AB"/>
    <w:rsid w:val="00705CD0"/>
    <w:rsid w:val="007372E1"/>
    <w:rsid w:val="0075613F"/>
    <w:rsid w:val="007570EC"/>
    <w:rsid w:val="00757726"/>
    <w:rsid w:val="00761952"/>
    <w:rsid w:val="00767EAF"/>
    <w:rsid w:val="007764B1"/>
    <w:rsid w:val="007835F3"/>
    <w:rsid w:val="007925E4"/>
    <w:rsid w:val="00792D71"/>
    <w:rsid w:val="007A3135"/>
    <w:rsid w:val="007A39FB"/>
    <w:rsid w:val="007A42EC"/>
    <w:rsid w:val="007A7A75"/>
    <w:rsid w:val="007B15B0"/>
    <w:rsid w:val="007B637B"/>
    <w:rsid w:val="007D21B7"/>
    <w:rsid w:val="007D5CF3"/>
    <w:rsid w:val="007E003C"/>
    <w:rsid w:val="007E0F29"/>
    <w:rsid w:val="007E1282"/>
    <w:rsid w:val="007E17F9"/>
    <w:rsid w:val="007E1F95"/>
    <w:rsid w:val="007E73B8"/>
    <w:rsid w:val="007F393B"/>
    <w:rsid w:val="007F545B"/>
    <w:rsid w:val="008025E6"/>
    <w:rsid w:val="00803BD6"/>
    <w:rsid w:val="008043EB"/>
    <w:rsid w:val="00830A6F"/>
    <w:rsid w:val="00850B6B"/>
    <w:rsid w:val="0085125D"/>
    <w:rsid w:val="008537FC"/>
    <w:rsid w:val="008554AC"/>
    <w:rsid w:val="00875C3A"/>
    <w:rsid w:val="00881500"/>
    <w:rsid w:val="00886771"/>
    <w:rsid w:val="0089176C"/>
    <w:rsid w:val="00893231"/>
    <w:rsid w:val="00895540"/>
    <w:rsid w:val="00896E32"/>
    <w:rsid w:val="00897EF7"/>
    <w:rsid w:val="008A0CFE"/>
    <w:rsid w:val="008A2F8C"/>
    <w:rsid w:val="008A385C"/>
    <w:rsid w:val="008A419C"/>
    <w:rsid w:val="008A73BE"/>
    <w:rsid w:val="008A7F11"/>
    <w:rsid w:val="008B58B2"/>
    <w:rsid w:val="008B7049"/>
    <w:rsid w:val="008C42E4"/>
    <w:rsid w:val="008C5641"/>
    <w:rsid w:val="008D0723"/>
    <w:rsid w:val="008D34BE"/>
    <w:rsid w:val="008D6416"/>
    <w:rsid w:val="008D7158"/>
    <w:rsid w:val="008E3A55"/>
    <w:rsid w:val="008F0FAF"/>
    <w:rsid w:val="008F1D03"/>
    <w:rsid w:val="008F7843"/>
    <w:rsid w:val="00902D3F"/>
    <w:rsid w:val="009051E9"/>
    <w:rsid w:val="0090628B"/>
    <w:rsid w:val="00906C06"/>
    <w:rsid w:val="00913C8C"/>
    <w:rsid w:val="009140BB"/>
    <w:rsid w:val="00914F2D"/>
    <w:rsid w:val="00916932"/>
    <w:rsid w:val="00920EF6"/>
    <w:rsid w:val="009223A2"/>
    <w:rsid w:val="00927023"/>
    <w:rsid w:val="00927B6C"/>
    <w:rsid w:val="009420FF"/>
    <w:rsid w:val="00943056"/>
    <w:rsid w:val="00943D68"/>
    <w:rsid w:val="00946D6D"/>
    <w:rsid w:val="00946F59"/>
    <w:rsid w:val="009533A8"/>
    <w:rsid w:val="00954189"/>
    <w:rsid w:val="00955F59"/>
    <w:rsid w:val="00961CF1"/>
    <w:rsid w:val="00970701"/>
    <w:rsid w:val="00972124"/>
    <w:rsid w:val="00982575"/>
    <w:rsid w:val="00991429"/>
    <w:rsid w:val="009A4E08"/>
    <w:rsid w:val="009B24E8"/>
    <w:rsid w:val="009B2CE6"/>
    <w:rsid w:val="009B623C"/>
    <w:rsid w:val="009C3DBC"/>
    <w:rsid w:val="009C7971"/>
    <w:rsid w:val="009D25A7"/>
    <w:rsid w:val="009D5695"/>
    <w:rsid w:val="009D7223"/>
    <w:rsid w:val="00A02024"/>
    <w:rsid w:val="00A02B6E"/>
    <w:rsid w:val="00A03497"/>
    <w:rsid w:val="00A11B3E"/>
    <w:rsid w:val="00A14A32"/>
    <w:rsid w:val="00A21D99"/>
    <w:rsid w:val="00A23648"/>
    <w:rsid w:val="00A27279"/>
    <w:rsid w:val="00A3499C"/>
    <w:rsid w:val="00A35D61"/>
    <w:rsid w:val="00A426D2"/>
    <w:rsid w:val="00A70C5C"/>
    <w:rsid w:val="00A82219"/>
    <w:rsid w:val="00A96FB2"/>
    <w:rsid w:val="00A974C1"/>
    <w:rsid w:val="00AA0318"/>
    <w:rsid w:val="00AA5D77"/>
    <w:rsid w:val="00AB38FC"/>
    <w:rsid w:val="00AB5E73"/>
    <w:rsid w:val="00AB7CE3"/>
    <w:rsid w:val="00AC1243"/>
    <w:rsid w:val="00AC51A2"/>
    <w:rsid w:val="00AD3A47"/>
    <w:rsid w:val="00AF3566"/>
    <w:rsid w:val="00AF691B"/>
    <w:rsid w:val="00B00A21"/>
    <w:rsid w:val="00B06557"/>
    <w:rsid w:val="00B0711D"/>
    <w:rsid w:val="00B20F9E"/>
    <w:rsid w:val="00B227C6"/>
    <w:rsid w:val="00B27140"/>
    <w:rsid w:val="00B31366"/>
    <w:rsid w:val="00B34FFF"/>
    <w:rsid w:val="00B36A7E"/>
    <w:rsid w:val="00B40F5F"/>
    <w:rsid w:val="00B44082"/>
    <w:rsid w:val="00B4473B"/>
    <w:rsid w:val="00B56C5E"/>
    <w:rsid w:val="00B62D5A"/>
    <w:rsid w:val="00B63151"/>
    <w:rsid w:val="00B76931"/>
    <w:rsid w:val="00B77879"/>
    <w:rsid w:val="00B80EE9"/>
    <w:rsid w:val="00BA63BB"/>
    <w:rsid w:val="00BB2D2E"/>
    <w:rsid w:val="00BB38CA"/>
    <w:rsid w:val="00BB6C77"/>
    <w:rsid w:val="00BC54AD"/>
    <w:rsid w:val="00BE2369"/>
    <w:rsid w:val="00BF197C"/>
    <w:rsid w:val="00BF29DC"/>
    <w:rsid w:val="00BF3169"/>
    <w:rsid w:val="00BF5850"/>
    <w:rsid w:val="00C01B54"/>
    <w:rsid w:val="00C032B5"/>
    <w:rsid w:val="00C125B4"/>
    <w:rsid w:val="00C12E13"/>
    <w:rsid w:val="00C15CAA"/>
    <w:rsid w:val="00C20650"/>
    <w:rsid w:val="00C21E04"/>
    <w:rsid w:val="00C2396E"/>
    <w:rsid w:val="00C372D5"/>
    <w:rsid w:val="00C37C7B"/>
    <w:rsid w:val="00C37C8E"/>
    <w:rsid w:val="00C41F60"/>
    <w:rsid w:val="00C425BE"/>
    <w:rsid w:val="00C44571"/>
    <w:rsid w:val="00C5746D"/>
    <w:rsid w:val="00C70626"/>
    <w:rsid w:val="00C7696C"/>
    <w:rsid w:val="00C906B9"/>
    <w:rsid w:val="00C91A0E"/>
    <w:rsid w:val="00C94437"/>
    <w:rsid w:val="00C97B76"/>
    <w:rsid w:val="00CA17E7"/>
    <w:rsid w:val="00CB0FBA"/>
    <w:rsid w:val="00CB462B"/>
    <w:rsid w:val="00CB6BB3"/>
    <w:rsid w:val="00CC17D2"/>
    <w:rsid w:val="00CD1F43"/>
    <w:rsid w:val="00CE3F8B"/>
    <w:rsid w:val="00CE49BC"/>
    <w:rsid w:val="00CE5B6C"/>
    <w:rsid w:val="00CF706E"/>
    <w:rsid w:val="00CF72D2"/>
    <w:rsid w:val="00D03177"/>
    <w:rsid w:val="00D066B1"/>
    <w:rsid w:val="00D11A3A"/>
    <w:rsid w:val="00D12055"/>
    <w:rsid w:val="00D12AEF"/>
    <w:rsid w:val="00D13245"/>
    <w:rsid w:val="00D25E17"/>
    <w:rsid w:val="00D336E4"/>
    <w:rsid w:val="00D52FDB"/>
    <w:rsid w:val="00D56427"/>
    <w:rsid w:val="00D57B13"/>
    <w:rsid w:val="00D65868"/>
    <w:rsid w:val="00D66EAE"/>
    <w:rsid w:val="00D77D36"/>
    <w:rsid w:val="00D77D67"/>
    <w:rsid w:val="00D77D70"/>
    <w:rsid w:val="00D845CB"/>
    <w:rsid w:val="00D9700D"/>
    <w:rsid w:val="00D97577"/>
    <w:rsid w:val="00DB524D"/>
    <w:rsid w:val="00DB6A6A"/>
    <w:rsid w:val="00DC5744"/>
    <w:rsid w:val="00DC5ACB"/>
    <w:rsid w:val="00DD13D1"/>
    <w:rsid w:val="00DD3D70"/>
    <w:rsid w:val="00DD72B5"/>
    <w:rsid w:val="00DE2DBE"/>
    <w:rsid w:val="00DE5359"/>
    <w:rsid w:val="00DF5906"/>
    <w:rsid w:val="00E1511C"/>
    <w:rsid w:val="00E20069"/>
    <w:rsid w:val="00E25E81"/>
    <w:rsid w:val="00E30CE1"/>
    <w:rsid w:val="00E32841"/>
    <w:rsid w:val="00E42E4A"/>
    <w:rsid w:val="00E4675F"/>
    <w:rsid w:val="00E5065C"/>
    <w:rsid w:val="00E53394"/>
    <w:rsid w:val="00E62BD6"/>
    <w:rsid w:val="00E654AC"/>
    <w:rsid w:val="00E71546"/>
    <w:rsid w:val="00E71F52"/>
    <w:rsid w:val="00E730B0"/>
    <w:rsid w:val="00E73310"/>
    <w:rsid w:val="00E735BA"/>
    <w:rsid w:val="00E749D5"/>
    <w:rsid w:val="00E85A12"/>
    <w:rsid w:val="00EA1CEF"/>
    <w:rsid w:val="00EA3B9D"/>
    <w:rsid w:val="00EA7DF0"/>
    <w:rsid w:val="00EB182D"/>
    <w:rsid w:val="00EC2CA3"/>
    <w:rsid w:val="00EE2DB9"/>
    <w:rsid w:val="00EE3120"/>
    <w:rsid w:val="00EF10B3"/>
    <w:rsid w:val="00EF5546"/>
    <w:rsid w:val="00F004B9"/>
    <w:rsid w:val="00F150B1"/>
    <w:rsid w:val="00F24AA1"/>
    <w:rsid w:val="00F26739"/>
    <w:rsid w:val="00F3188C"/>
    <w:rsid w:val="00F43184"/>
    <w:rsid w:val="00F47A61"/>
    <w:rsid w:val="00F47CB0"/>
    <w:rsid w:val="00F53132"/>
    <w:rsid w:val="00F62C6A"/>
    <w:rsid w:val="00F65BDD"/>
    <w:rsid w:val="00F6678A"/>
    <w:rsid w:val="00F72E59"/>
    <w:rsid w:val="00F766AA"/>
    <w:rsid w:val="00F76BBF"/>
    <w:rsid w:val="00F82234"/>
    <w:rsid w:val="00F83899"/>
    <w:rsid w:val="00F95B99"/>
    <w:rsid w:val="00FB242B"/>
    <w:rsid w:val="00FB2C48"/>
    <w:rsid w:val="00FD1A85"/>
    <w:rsid w:val="00FD2EB6"/>
    <w:rsid w:val="00FE0EF6"/>
    <w:rsid w:val="00FE328A"/>
    <w:rsid w:val="00FE37CC"/>
    <w:rsid w:val="00FF0028"/>
    <w:rsid w:val="00FF63B3"/>
    <w:rsid w:val="00FF682B"/>
    <w:rsid w:val="00FF6D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link w:val="SingleTxtGChar"/>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paragraph" w:styleId="Header">
    <w:name w:val="header"/>
    <w:aliases w:val="6_G"/>
    <w:basedOn w:val="Normal"/>
    <w:next w:val="Normal"/>
    <w:link w:val="HeaderChar"/>
    <w:pPr>
      <w:pBdr>
        <w:bottom w:val="single" w:sz="4" w:space="4" w:color="auto"/>
      </w:pBdr>
      <w:spacing w:line="240" w:lineRule="auto"/>
    </w:pPr>
    <w:rPr>
      <w:b/>
      <w:sz w:val="18"/>
    </w:rPr>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paragraph" w:styleId="Footer">
    <w:name w:val="footer"/>
    <w:aliases w:val="3_G"/>
    <w:basedOn w:val="Normal"/>
    <w:next w:val="Normal"/>
    <w:link w:val="FooterChar"/>
    <w:rPr>
      <w:sz w:val="16"/>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FootnoteText">
    <w:name w:val="footnote text"/>
    <w:aliases w:val="5_G"/>
    <w:basedOn w:val="Normal"/>
    <w:link w:val="FootnoteTextChar"/>
    <w:pPr>
      <w:widowControl w:val="0"/>
      <w:tabs>
        <w:tab w:val="right" w:pos="1020"/>
      </w:tabs>
      <w:suppressAutoHyphens/>
      <w:spacing w:line="220" w:lineRule="exact"/>
      <w:ind w:left="1134" w:right="1134" w:hanging="1134"/>
    </w:pPr>
    <w:rPr>
      <w:sz w:val="18"/>
    </w:rPr>
  </w:style>
  <w:style w:type="paragraph" w:styleId="EndnoteText">
    <w:name w:val="endnote text"/>
    <w:aliases w:val="2_G"/>
    <w:basedOn w:val="FootnoteText"/>
    <w:link w:val="EndnoteTextChar"/>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lang w:val="en-GB" w:eastAsia="en-US"/>
    </w:rPr>
  </w:style>
  <w:style w:type="character" w:styleId="CommentReference">
    <w:name w:val="annotation reference"/>
    <w:semiHidden/>
    <w:rPr>
      <w:sz w:val="6"/>
    </w:rPr>
  </w:style>
  <w:style w:type="paragraph" w:styleId="CommentText">
    <w:name w:val="annotation text"/>
    <w:basedOn w:val="Normal"/>
    <w:link w:val="CommentTextChar"/>
    <w:semiHidden/>
    <w:pPr>
      <w:suppressAutoHyphens/>
    </w:pPr>
    <w:rPr>
      <w:lang w:val="en-GB" w:eastAsia="en-US"/>
    </w:rPr>
  </w:style>
  <w:style w:type="character" w:customStyle="1" w:styleId="FootnoteTextChar">
    <w:name w:val="Footnote Text Char"/>
    <w:aliases w:val="5_G Char"/>
    <w:link w:val="FootnoteText"/>
    <w:semiHidden/>
    <w:locked/>
    <w:rPr>
      <w:sz w:val="18"/>
      <w:lang w:val="es-ES" w:eastAsia="es-ES" w:bidi="ar-SA"/>
    </w:rPr>
  </w:style>
  <w:style w:type="character" w:customStyle="1" w:styleId="FooterChar">
    <w:name w:val="Footer Char"/>
    <w:aliases w:val="3_G Char"/>
    <w:link w:val="Footer"/>
    <w:semiHidden/>
    <w:locked/>
    <w:rPr>
      <w:sz w:val="16"/>
      <w:lang w:val="es-ES" w:eastAsia="es-ES" w:bidi="ar-SA"/>
    </w:rPr>
  </w:style>
  <w:style w:type="character" w:customStyle="1" w:styleId="EndnoteTextChar">
    <w:name w:val="Endnote Text Char"/>
    <w:aliases w:val="2_G Char"/>
    <w:link w:val="EndnoteText"/>
    <w:locked/>
    <w:rPr>
      <w:sz w:val="18"/>
      <w:lang w:val="es-ES" w:eastAsia="es-ES" w:bidi="ar-SA"/>
    </w:rPr>
  </w:style>
  <w:style w:type="character" w:customStyle="1" w:styleId="tw4winMark">
    <w:name w:val="tw4winMark"/>
    <w:rsid w:val="00F82234"/>
    <w:rPr>
      <w:rFonts w:ascii="Courier New" w:hAnsi="Courier New"/>
      <w:vanish/>
      <w:color w:val="800080"/>
      <w:sz w:val="24"/>
      <w:vertAlign w:val="subscript"/>
    </w:rPr>
  </w:style>
  <w:style w:type="character" w:customStyle="1" w:styleId="CommentTextChar">
    <w:name w:val="Comment Text Char"/>
    <w:link w:val="CommentText"/>
    <w:locked/>
    <w:rPr>
      <w:lang w:val="en-GB" w:eastAsia="en-US" w:bidi="ar-SA"/>
    </w:rPr>
  </w:style>
  <w:style w:type="paragraph" w:customStyle="1" w:styleId="SingleTxt">
    <w:name w:val="__Single Txt"/>
    <w:basedOn w:val="Normal"/>
    <w:next w:val="Normal"/>
    <w:pPr>
      <w:autoSpaceDE w:val="0"/>
      <w:autoSpaceDN w:val="0"/>
      <w:adjustRightInd w:val="0"/>
      <w:spacing w:line="240" w:lineRule="auto"/>
    </w:pPr>
    <w:rPr>
      <w:rFonts w:ascii="ENDNAF+TimesNewRoman" w:hAnsi="ENDNAF+TimesNewRoman"/>
      <w:sz w:val="24"/>
      <w:szCs w:val="24"/>
      <w:lang w:val="en-US" w:eastAsia="en-US"/>
    </w:rPr>
  </w:style>
  <w:style w:type="character" w:customStyle="1" w:styleId="BodyTextIndent2Char">
    <w:name w:val="Body Text Indent 2 Char"/>
    <w:link w:val="BodyTextIndent2"/>
    <w:locked/>
    <w:rPr>
      <w:lang w:val="es-ES" w:eastAsia="es-ES" w:bidi="ar-SA"/>
    </w:rPr>
  </w:style>
  <w:style w:type="character" w:customStyle="1" w:styleId="HeaderChar">
    <w:name w:val="Header Char"/>
    <w:aliases w:val="6_G Char"/>
    <w:link w:val="Header"/>
    <w:semiHidden/>
    <w:locked/>
    <w:rPr>
      <w:b/>
      <w:sz w:val="18"/>
      <w:lang w:val="es-ES" w:eastAsia="es-ES" w:bidi="ar-SA"/>
    </w:rPr>
  </w:style>
  <w:style w:type="character" w:customStyle="1" w:styleId="5GCar">
    <w:name w:val="5_G Car"/>
    <w:aliases w:val="Footnote reference Car,FA Fu Car,Footnote Text Char Char Char Char Char Car,Footnote Text Char Char Char Char Car,Footnote Text Char1 Car,Footnote Text Char Char Car,Footnote Text Char Car Car"/>
    <w:semiHidden/>
    <w:rPr>
      <w:sz w:val="24"/>
      <w:lang w:val="es-ES" w:eastAsia="es-ES" w:bidi="ar-SA"/>
    </w:rPr>
  </w:style>
  <w:style w:type="character" w:customStyle="1" w:styleId="SingleTxtGChar">
    <w:name w:val="_ Single Txt_G Char"/>
    <w:link w:val="SingleTxtG"/>
    <w:rPr>
      <w:lang w:val="es-ES" w:eastAsia="es-ES" w:bidi="ar-SA"/>
    </w:rPr>
  </w:style>
  <w:style w:type="character" w:customStyle="1" w:styleId="CarCar2">
    <w:name w:val=" Car Car2"/>
    <w:semiHidden/>
    <w:rPr>
      <w:lang w:val="es-ES" w:eastAsia="es-ES"/>
    </w:rPr>
  </w:style>
  <w:style w:type="paragraph" w:styleId="CommentSubject">
    <w:name w:val="annotation subject"/>
    <w:basedOn w:val="CommentText"/>
    <w:next w:val="CommentText"/>
    <w:semiHidden/>
    <w:unhideWhenUsed/>
    <w:pPr>
      <w:suppressAutoHyphens w:val="0"/>
      <w:spacing w:line="240" w:lineRule="auto"/>
    </w:pPr>
    <w:rPr>
      <w:b/>
      <w:bCs/>
      <w:lang w:val="es-ES" w:eastAsia="es-ES"/>
    </w:rPr>
  </w:style>
  <w:style w:type="paragraph" w:styleId="BalloonText">
    <w:name w:val="Balloon Text"/>
    <w:basedOn w:val="Normal"/>
    <w:semiHidden/>
    <w:unhideWhenUsed/>
    <w:pPr>
      <w:spacing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Pages>
  <Words>18300</Words>
  <Characters>104316</Characters>
  <Application>Microsoft Office Word</Application>
  <DocSecurity>4</DocSecurity>
  <Lines>869</Lines>
  <Paragraphs>244</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dc:description/>
  <cp:lastModifiedBy>DCM</cp:lastModifiedBy>
  <cp:revision>2</cp:revision>
  <cp:lastPrinted>2011-08-16T16:22:00Z</cp:lastPrinted>
  <dcterms:created xsi:type="dcterms:W3CDTF">2011-09-13T08:32:00Z</dcterms:created>
  <dcterms:modified xsi:type="dcterms:W3CDTF">2011-09-13T08:32:00Z</dcterms:modified>
</cp:coreProperties>
</file>