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bookmarkStart w:id="0" w:name="_GoBack"/>
            <w:bookmarkEnd w:id="0"/>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023FA7" w:rsidP="003455B1">
            <w:pPr>
              <w:bidi w:val="0"/>
              <w:spacing w:after="20"/>
              <w:jc w:val="left"/>
              <w:rPr>
                <w:szCs w:val="20"/>
              </w:rPr>
            </w:pPr>
            <w:r w:rsidRPr="00023FA7">
              <w:rPr>
                <w:sz w:val="40"/>
                <w:szCs w:val="20"/>
              </w:rPr>
              <w:t>CAT</w:t>
            </w:r>
            <w:r>
              <w:rPr>
                <w:szCs w:val="20"/>
              </w:rPr>
              <w:t>/C/60/D/602/2014</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lang w:bidi="ar-DZ"/>
              </w:rPr>
            </w:pPr>
          </w:p>
        </w:tc>
        <w:tc>
          <w:tcPr>
            <w:tcW w:w="3598" w:type="dxa"/>
            <w:tcBorders>
              <w:top w:val="single" w:sz="4" w:space="0" w:color="auto"/>
              <w:bottom w:val="nil"/>
            </w:tcBorders>
            <w:vAlign w:val="bottom"/>
          </w:tcPr>
          <w:p w:rsidR="003455B1" w:rsidRPr="00243C8A" w:rsidRDefault="003455B1" w:rsidP="003455B1">
            <w:pPr>
              <w:bidi w:val="0"/>
              <w:jc w:val="left"/>
              <w:rPr>
                <w:szCs w:val="20"/>
              </w:rPr>
            </w:pPr>
          </w:p>
        </w:tc>
      </w:tr>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C85943" w:rsidRDefault="00C85943" w:rsidP="0084782D">
            <w:pPr>
              <w:bidi w:val="0"/>
              <w:spacing w:before="240" w:after="20"/>
              <w:jc w:val="left"/>
              <w:rPr>
                <w:szCs w:val="20"/>
              </w:rPr>
            </w:pPr>
            <w:r>
              <w:rPr>
                <w:szCs w:val="20"/>
              </w:rPr>
              <w:t>Distr.: General</w:t>
            </w:r>
          </w:p>
          <w:p w:rsidR="00C85943" w:rsidRDefault="00C85943" w:rsidP="00C85943">
            <w:pPr>
              <w:bidi w:val="0"/>
              <w:jc w:val="left"/>
              <w:rPr>
                <w:szCs w:val="20"/>
              </w:rPr>
            </w:pPr>
            <w:r>
              <w:rPr>
                <w:szCs w:val="20"/>
              </w:rPr>
              <w:t>7 July 2017</w:t>
            </w:r>
          </w:p>
          <w:p w:rsidR="00C85943" w:rsidRDefault="00C85943" w:rsidP="00C85943">
            <w:pPr>
              <w:bidi w:val="0"/>
              <w:jc w:val="left"/>
              <w:rPr>
                <w:szCs w:val="20"/>
              </w:rPr>
            </w:pPr>
            <w:r>
              <w:rPr>
                <w:szCs w:val="20"/>
              </w:rPr>
              <w:t>Arabic</w:t>
            </w:r>
          </w:p>
          <w:p w:rsidR="006B3E27" w:rsidRPr="008B4BC6" w:rsidRDefault="00C85943" w:rsidP="0084782D">
            <w:pPr>
              <w:bidi w:val="0"/>
              <w:jc w:val="left"/>
            </w:pPr>
            <w:r>
              <w:rPr>
                <w:szCs w:val="20"/>
              </w:rPr>
              <w:t>Original: English</w:t>
            </w:r>
            <w:r>
              <w:t xml:space="preserve"> </w:t>
            </w:r>
            <w:r w:rsidR="006B3E27">
              <w:t xml:space="preserve"> </w:t>
            </w:r>
          </w:p>
        </w:tc>
      </w:tr>
    </w:tbl>
    <w:p w:rsidR="000F05C8" w:rsidRPr="00121EA5" w:rsidRDefault="000F05C8" w:rsidP="0084782D">
      <w:pPr>
        <w:pStyle w:val="SingleTxtGA"/>
        <w:spacing w:before="120" w:after="0" w:line="380" w:lineRule="exact"/>
        <w:ind w:left="0" w:right="4253"/>
        <w:jc w:val="left"/>
        <w:rPr>
          <w:rFonts w:eastAsia="Traditional Arabic"/>
          <w:b/>
          <w:bCs/>
          <w:sz w:val="26"/>
          <w:szCs w:val="36"/>
          <w:rtl/>
          <w:lang w:bidi="ar-DZ"/>
        </w:rPr>
      </w:pPr>
      <w:r w:rsidRPr="00121EA5">
        <w:rPr>
          <w:rFonts w:eastAsia="Arial Unicode MS" w:hint="cs"/>
          <w:b/>
          <w:bCs/>
          <w:sz w:val="26"/>
          <w:szCs w:val="36"/>
          <w:rtl/>
          <w:lang w:val="ar-SA"/>
        </w:rPr>
        <w:t>لجنة مناهضة التعذيب</w:t>
      </w:r>
    </w:p>
    <w:p w:rsidR="000F05C8" w:rsidRPr="00121EA5" w:rsidRDefault="000F05C8" w:rsidP="000F05C8">
      <w:pPr>
        <w:pStyle w:val="HChGA"/>
        <w:rPr>
          <w:rFonts w:eastAsia="Traditional Arabic"/>
          <w:rtl/>
          <w:lang w:val="ar-SA" w:bidi="ar-DZ"/>
        </w:rPr>
      </w:pPr>
      <w:r w:rsidRPr="00121EA5">
        <w:rPr>
          <w:rtl/>
        </w:rPr>
        <w:tab/>
      </w:r>
      <w:r w:rsidRPr="00121EA5">
        <w:rPr>
          <w:rtl/>
        </w:rPr>
        <w:tab/>
      </w:r>
      <w:r w:rsidRPr="00121EA5">
        <w:rPr>
          <w:rtl/>
          <w:lang w:val="ar-SA"/>
        </w:rPr>
        <w:t>قرار اعتمدته اللجنة بموجب المادة 22 من الاتفاقية، بشأن البلاغ رقم 602/2014</w:t>
      </w:r>
      <w:r w:rsidRPr="00121EA5">
        <w:rPr>
          <w:rStyle w:val="FootnoteReference"/>
          <w:rFonts w:eastAsia="Traditional Arabic"/>
          <w:sz w:val="20"/>
          <w:vertAlign w:val="baseline"/>
          <w:rtl/>
          <w:lang w:val="ar-SA"/>
        </w:rPr>
        <w:footnoteReference w:customMarkFollows="1" w:id="1"/>
        <w:t>*</w:t>
      </w:r>
      <w:r w:rsidRPr="00121EA5">
        <w:rPr>
          <w:rFonts w:eastAsia="Traditional Arabic" w:hint="cs"/>
          <w:rtl/>
          <w:lang w:val="ar-SA"/>
        </w:rPr>
        <w:t xml:space="preserve"> </w:t>
      </w:r>
      <w:r w:rsidRPr="00121EA5">
        <w:rPr>
          <w:rStyle w:val="FootnoteReference"/>
          <w:rFonts w:eastAsia="Traditional Arabic"/>
          <w:sz w:val="20"/>
          <w:vertAlign w:val="baseline"/>
          <w:rtl/>
          <w:lang w:val="ar-SA"/>
        </w:rPr>
        <w:footnoteReference w:customMarkFollows="1" w:id="2"/>
        <w:t>**</w:t>
      </w:r>
    </w:p>
    <w:p w:rsidR="000F05C8" w:rsidRPr="00121EA5" w:rsidRDefault="000F05C8" w:rsidP="000F05C8">
      <w:pPr>
        <w:pStyle w:val="SingleTxtGA"/>
        <w:tabs>
          <w:tab w:val="clear" w:pos="3289"/>
          <w:tab w:val="clear" w:pos="3969"/>
          <w:tab w:val="clear" w:pos="4649"/>
          <w:tab w:val="clear" w:pos="5330"/>
          <w:tab w:val="left" w:pos="4501"/>
        </w:tabs>
        <w:ind w:left="4501" w:hanging="2573"/>
        <w:rPr>
          <w:rFonts w:eastAsia="Traditional Arabic"/>
          <w:rtl/>
          <w:lang w:val="ar-SA"/>
        </w:rPr>
      </w:pPr>
      <w:r w:rsidRPr="00121EA5">
        <w:rPr>
          <w:i/>
          <w:iCs/>
          <w:rtl/>
          <w:lang w:val="ar-SA"/>
        </w:rPr>
        <w:t>البلاغ المقدم من:</w:t>
      </w:r>
      <w:r w:rsidRPr="00121EA5">
        <w:rPr>
          <w:rtl/>
          <w:lang w:val="ar-SA"/>
        </w:rPr>
        <w:tab/>
        <w:t>س.</w:t>
      </w:r>
      <w:r w:rsidRPr="00121EA5">
        <w:rPr>
          <w:rFonts w:hint="cs"/>
          <w:rtl/>
          <w:lang w:val="ar-SA"/>
        </w:rPr>
        <w:t xml:space="preserve"> </w:t>
      </w:r>
      <w:r w:rsidRPr="00121EA5">
        <w:rPr>
          <w:rtl/>
          <w:lang w:val="ar-SA"/>
        </w:rPr>
        <w:t>س.</w:t>
      </w:r>
      <w:r w:rsidRPr="00121EA5">
        <w:rPr>
          <w:rFonts w:hint="cs"/>
          <w:rtl/>
          <w:lang w:val="ar-SA"/>
        </w:rPr>
        <w:t xml:space="preserve"> </w:t>
      </w:r>
      <w:r w:rsidRPr="00121EA5">
        <w:rPr>
          <w:rtl/>
          <w:lang w:val="ar-SA"/>
        </w:rPr>
        <w:t xml:space="preserve">ب. (ويمثله المحامي </w:t>
      </w:r>
      <w:proofErr w:type="spellStart"/>
      <w:r w:rsidRPr="00121EA5">
        <w:rPr>
          <w:rtl/>
          <w:lang w:val="ar-SA"/>
        </w:rPr>
        <w:t>نيلز</w:t>
      </w:r>
      <w:proofErr w:type="spellEnd"/>
      <w:r w:rsidRPr="00121EA5">
        <w:rPr>
          <w:rtl/>
          <w:lang w:val="ar-SA"/>
        </w:rPr>
        <w:t xml:space="preserve"> - إيريك هانسن)</w:t>
      </w:r>
    </w:p>
    <w:p w:rsidR="000F05C8" w:rsidRPr="00121EA5" w:rsidRDefault="000F05C8" w:rsidP="000F05C8">
      <w:pPr>
        <w:pStyle w:val="SingleTxtGA"/>
        <w:tabs>
          <w:tab w:val="clear" w:pos="3289"/>
          <w:tab w:val="clear" w:pos="3969"/>
          <w:tab w:val="clear" w:pos="4649"/>
          <w:tab w:val="clear" w:pos="5330"/>
          <w:tab w:val="left" w:pos="4501"/>
        </w:tabs>
        <w:ind w:left="4501" w:hanging="2573"/>
        <w:rPr>
          <w:rFonts w:eastAsia="Traditional Arabic"/>
          <w:rtl/>
          <w:lang w:val="ar-SA"/>
        </w:rPr>
      </w:pPr>
      <w:r w:rsidRPr="00121EA5">
        <w:rPr>
          <w:i/>
          <w:iCs/>
          <w:rtl/>
          <w:lang w:val="ar-SA"/>
        </w:rPr>
        <w:t>الشخص المدّعي أنه ضحية:</w:t>
      </w:r>
      <w:r w:rsidRPr="00121EA5">
        <w:rPr>
          <w:rtl/>
          <w:lang w:val="ar-SA"/>
        </w:rPr>
        <w:tab/>
        <w:t>صاحب الشكوى</w:t>
      </w:r>
    </w:p>
    <w:p w:rsidR="000F05C8" w:rsidRPr="00121EA5" w:rsidRDefault="000F05C8" w:rsidP="000F05C8">
      <w:pPr>
        <w:pStyle w:val="SingleTxtGA"/>
        <w:tabs>
          <w:tab w:val="clear" w:pos="3289"/>
          <w:tab w:val="clear" w:pos="3969"/>
          <w:tab w:val="clear" w:pos="4649"/>
          <w:tab w:val="clear" w:pos="5330"/>
          <w:tab w:val="left" w:pos="4501"/>
        </w:tabs>
        <w:ind w:left="4501" w:hanging="2573"/>
        <w:rPr>
          <w:rFonts w:eastAsia="Traditional Arabic"/>
          <w:rtl/>
          <w:lang w:val="ar-SA" w:bidi="ar-DZ"/>
        </w:rPr>
      </w:pPr>
      <w:r w:rsidRPr="00121EA5">
        <w:rPr>
          <w:i/>
          <w:iCs/>
          <w:rtl/>
          <w:lang w:val="ar-SA"/>
        </w:rPr>
        <w:t>الدولة الطرف:</w:t>
      </w:r>
      <w:r w:rsidRPr="00121EA5">
        <w:rPr>
          <w:rtl/>
          <w:lang w:val="ar-SA"/>
        </w:rPr>
        <w:tab/>
        <w:t>الدانمرك</w:t>
      </w:r>
    </w:p>
    <w:p w:rsidR="000F05C8" w:rsidRPr="00121EA5" w:rsidRDefault="000F05C8" w:rsidP="000F05C8">
      <w:pPr>
        <w:pStyle w:val="SingleTxtGA"/>
        <w:tabs>
          <w:tab w:val="clear" w:pos="3289"/>
          <w:tab w:val="clear" w:pos="3969"/>
          <w:tab w:val="clear" w:pos="4649"/>
          <w:tab w:val="clear" w:pos="5330"/>
          <w:tab w:val="left" w:pos="4501"/>
        </w:tabs>
        <w:ind w:left="4501" w:hanging="2573"/>
        <w:rPr>
          <w:rFonts w:eastAsia="Traditional Arabic"/>
          <w:rtl/>
          <w:lang w:val="ar-SA"/>
        </w:rPr>
      </w:pPr>
      <w:r w:rsidRPr="00121EA5">
        <w:rPr>
          <w:i/>
          <w:iCs/>
          <w:rtl/>
          <w:lang w:val="ar-SA"/>
        </w:rPr>
        <w:t>تاريخ تقديم الشكوى:</w:t>
      </w:r>
      <w:r w:rsidRPr="00121EA5">
        <w:rPr>
          <w:rtl/>
          <w:lang w:val="ar-SA"/>
        </w:rPr>
        <w:tab/>
        <w:t>9 أيار/مايو 2014 (تاريخ تقديم البلاغ الأول)</w:t>
      </w:r>
    </w:p>
    <w:p w:rsidR="000F05C8" w:rsidRPr="00121EA5" w:rsidRDefault="000F05C8" w:rsidP="000F05C8">
      <w:pPr>
        <w:pStyle w:val="SingleTxtGA"/>
        <w:tabs>
          <w:tab w:val="clear" w:pos="3289"/>
          <w:tab w:val="clear" w:pos="3969"/>
          <w:tab w:val="clear" w:pos="4649"/>
          <w:tab w:val="clear" w:pos="5330"/>
          <w:tab w:val="left" w:pos="4501"/>
        </w:tabs>
        <w:ind w:left="4501" w:hanging="2573"/>
        <w:rPr>
          <w:rFonts w:eastAsia="Traditional Arabic"/>
          <w:rtl/>
          <w:lang w:val="ar-SA"/>
        </w:rPr>
      </w:pPr>
      <w:r w:rsidRPr="00121EA5">
        <w:rPr>
          <w:i/>
          <w:iCs/>
          <w:rtl/>
          <w:lang w:val="ar-SA"/>
        </w:rPr>
        <w:t>تاريخ اتخاذ هذا القرار:</w:t>
      </w:r>
      <w:r w:rsidRPr="00121EA5">
        <w:rPr>
          <w:rtl/>
          <w:lang w:val="ar-SA"/>
        </w:rPr>
        <w:tab/>
        <w:t>28 نيسان/أبريل 2017</w:t>
      </w:r>
    </w:p>
    <w:p w:rsidR="000F05C8" w:rsidRPr="00121EA5" w:rsidRDefault="000F05C8" w:rsidP="000F05C8">
      <w:pPr>
        <w:pStyle w:val="SingleTxtGA"/>
        <w:tabs>
          <w:tab w:val="clear" w:pos="3289"/>
          <w:tab w:val="clear" w:pos="3969"/>
          <w:tab w:val="clear" w:pos="4649"/>
          <w:tab w:val="clear" w:pos="5330"/>
          <w:tab w:val="left" w:pos="4501"/>
        </w:tabs>
        <w:ind w:left="4501" w:hanging="2573"/>
        <w:rPr>
          <w:rFonts w:eastAsia="Traditional Arabic"/>
          <w:rtl/>
          <w:lang w:val="ar-SA"/>
        </w:rPr>
      </w:pPr>
      <w:r w:rsidRPr="00121EA5">
        <w:rPr>
          <w:i/>
          <w:iCs/>
          <w:rtl/>
          <w:lang w:val="ar-SA"/>
        </w:rPr>
        <w:t>الموضوع:</w:t>
      </w:r>
      <w:r w:rsidRPr="00121EA5">
        <w:rPr>
          <w:rtl/>
          <w:lang w:val="ar-SA"/>
        </w:rPr>
        <w:tab/>
      </w:r>
      <w:r w:rsidRPr="00121EA5">
        <w:rPr>
          <w:rtl/>
          <w:lang w:val="ar-SA"/>
        </w:rPr>
        <w:tab/>
        <w:t>الإبعاد؛ خطر التعرض للتعذيب</w:t>
      </w:r>
    </w:p>
    <w:p w:rsidR="000F05C8" w:rsidRPr="00121EA5" w:rsidRDefault="000F05C8" w:rsidP="000F05C8">
      <w:pPr>
        <w:pStyle w:val="SingleTxtGA"/>
        <w:tabs>
          <w:tab w:val="clear" w:pos="3289"/>
          <w:tab w:val="clear" w:pos="3969"/>
          <w:tab w:val="clear" w:pos="4649"/>
          <w:tab w:val="clear" w:pos="5330"/>
          <w:tab w:val="left" w:pos="4501"/>
        </w:tabs>
        <w:ind w:left="4501" w:hanging="2573"/>
        <w:rPr>
          <w:rFonts w:eastAsia="Traditional Arabic"/>
          <w:rtl/>
          <w:lang w:val="ar-SA"/>
        </w:rPr>
      </w:pPr>
      <w:r w:rsidRPr="00121EA5">
        <w:rPr>
          <w:i/>
          <w:iCs/>
          <w:rtl/>
          <w:lang w:val="ar-SA"/>
        </w:rPr>
        <w:t>المسائل الإجرائية:</w:t>
      </w:r>
      <w:r w:rsidRPr="00121EA5">
        <w:rPr>
          <w:rtl/>
          <w:lang w:val="ar-SA"/>
        </w:rPr>
        <w:tab/>
        <w:t xml:space="preserve">المقبولية </w:t>
      </w:r>
      <w:r w:rsidRPr="00121EA5">
        <w:rPr>
          <w:rFonts w:hint="cs"/>
          <w:rtl/>
          <w:lang w:val="ar-SA"/>
        </w:rPr>
        <w:t>-</w:t>
      </w:r>
      <w:r w:rsidRPr="00121EA5">
        <w:rPr>
          <w:rtl/>
          <w:lang w:val="ar-SA"/>
        </w:rPr>
        <w:t xml:space="preserve"> من الواضح أنها لا تستند إلى أساس سليم</w:t>
      </w:r>
    </w:p>
    <w:p w:rsidR="000F05C8" w:rsidRPr="00121EA5" w:rsidRDefault="000F05C8" w:rsidP="000F05C8">
      <w:pPr>
        <w:pStyle w:val="SingleTxtGA"/>
        <w:tabs>
          <w:tab w:val="clear" w:pos="3289"/>
          <w:tab w:val="clear" w:pos="3969"/>
          <w:tab w:val="clear" w:pos="4649"/>
          <w:tab w:val="clear" w:pos="5330"/>
          <w:tab w:val="left" w:pos="4501"/>
        </w:tabs>
        <w:ind w:left="4501" w:hanging="2573"/>
        <w:rPr>
          <w:rFonts w:eastAsia="Traditional Arabic"/>
          <w:rtl/>
          <w:lang w:val="ar-SA"/>
        </w:rPr>
      </w:pPr>
      <w:r w:rsidRPr="00121EA5">
        <w:rPr>
          <w:i/>
          <w:iCs/>
          <w:rtl/>
          <w:lang w:val="ar-SA"/>
        </w:rPr>
        <w:t>المسائل الموضوعية:</w:t>
      </w:r>
      <w:r w:rsidRPr="00121EA5">
        <w:rPr>
          <w:rtl/>
          <w:lang w:val="ar-SA"/>
        </w:rPr>
        <w:tab/>
        <w:t>عدم الإعادة القسرية</w:t>
      </w:r>
    </w:p>
    <w:p w:rsidR="000F05C8" w:rsidRPr="00121EA5" w:rsidRDefault="000F05C8" w:rsidP="000F05C8">
      <w:pPr>
        <w:pStyle w:val="SingleTxtGA"/>
        <w:tabs>
          <w:tab w:val="clear" w:pos="3289"/>
          <w:tab w:val="clear" w:pos="3969"/>
          <w:tab w:val="clear" w:pos="4649"/>
          <w:tab w:val="clear" w:pos="5330"/>
          <w:tab w:val="left" w:pos="4501"/>
        </w:tabs>
        <w:ind w:left="4501" w:hanging="2573"/>
        <w:rPr>
          <w:rFonts w:eastAsia="Traditional Arabic"/>
          <w:rtl/>
          <w:lang w:val="ar-SA"/>
        </w:rPr>
      </w:pPr>
      <w:r w:rsidRPr="00121EA5">
        <w:rPr>
          <w:i/>
          <w:iCs/>
          <w:rtl/>
          <w:lang w:val="ar-SA"/>
        </w:rPr>
        <w:t>مواد الاتفاقية:</w:t>
      </w:r>
      <w:r w:rsidRPr="00121EA5">
        <w:rPr>
          <w:rtl/>
          <w:lang w:val="ar-SA"/>
        </w:rPr>
        <w:tab/>
        <w:t>المادتان 3 و22</w:t>
      </w:r>
    </w:p>
    <w:p w:rsidR="000F05C8" w:rsidRPr="00121EA5" w:rsidRDefault="000F05C8" w:rsidP="000F05C8">
      <w:pPr>
        <w:pStyle w:val="SingleTxtGA"/>
        <w:spacing w:before="240"/>
        <w:rPr>
          <w:rFonts w:eastAsia="Traditional Arabic"/>
          <w:sz w:val="30"/>
          <w:rtl/>
          <w:lang w:val="ar-SA"/>
        </w:rPr>
      </w:pPr>
      <w:r w:rsidRPr="00121EA5">
        <w:rPr>
          <w:sz w:val="30"/>
          <w:rtl/>
          <w:lang w:val="ar-SA"/>
        </w:rPr>
        <w:t>1-1</w:t>
      </w:r>
      <w:r w:rsidRPr="00121EA5">
        <w:rPr>
          <w:sz w:val="30"/>
          <w:rtl/>
          <w:lang w:val="ar-SA"/>
        </w:rPr>
        <w:tab/>
        <w:t>هو س. س. ب.، وهو مواطن سوداني، ولد في 24 حزيران/</w:t>
      </w:r>
      <w:proofErr w:type="gramStart"/>
      <w:r w:rsidRPr="00121EA5">
        <w:rPr>
          <w:sz w:val="30"/>
          <w:rtl/>
          <w:lang w:val="ar-SA"/>
        </w:rPr>
        <w:t>يونيه</w:t>
      </w:r>
      <w:proofErr w:type="gramEnd"/>
      <w:r w:rsidRPr="00121EA5">
        <w:rPr>
          <w:sz w:val="30"/>
          <w:rtl/>
          <w:lang w:val="ar-SA"/>
        </w:rPr>
        <w:t xml:space="preserve"> 1974. والتمس اللجوء في الدانمرك، ولكن طلبه قوبل بالرفض. وبعد صدور قرار، مؤرخ 23 نيسان/أبريل</w:t>
      </w:r>
      <w:r w:rsidRPr="00121EA5">
        <w:rPr>
          <w:rFonts w:hint="cs"/>
          <w:sz w:val="30"/>
          <w:rtl/>
          <w:lang w:val="ar-SA"/>
        </w:rPr>
        <w:t> </w:t>
      </w:r>
      <w:r w:rsidRPr="00121EA5">
        <w:rPr>
          <w:sz w:val="30"/>
          <w:rtl/>
          <w:lang w:val="ar-SA"/>
        </w:rPr>
        <w:t xml:space="preserve">2014، من مجلس طعون اللاجئين </w:t>
      </w:r>
      <w:proofErr w:type="spellStart"/>
      <w:r w:rsidRPr="00121EA5">
        <w:rPr>
          <w:sz w:val="30"/>
          <w:rtl/>
          <w:lang w:val="ar-SA"/>
        </w:rPr>
        <w:t>الدانمركي</w:t>
      </w:r>
      <w:proofErr w:type="spellEnd"/>
      <w:r w:rsidRPr="00121EA5">
        <w:rPr>
          <w:sz w:val="30"/>
          <w:rtl/>
          <w:lang w:val="ar-SA"/>
        </w:rPr>
        <w:t xml:space="preserve"> دُعي صاحب الشكوى إلى مغادرة الدانمرك طوعاً في غضون 15 يوماً. وفي وقت تقديم البلاغ، لم يكن قد غادر الدانمرك وكان </w:t>
      </w:r>
      <w:r w:rsidRPr="00121EA5">
        <w:rPr>
          <w:sz w:val="30"/>
          <w:rtl/>
          <w:lang w:val="ar-SA"/>
        </w:rPr>
        <w:lastRenderedPageBreak/>
        <w:t>عرضة للإبعاد. وهو يَدَّعي أن إبعاده إلى السودان من جانب الدانمرك من شأنه أن ينتهك حقوقه المكفولة بموجب المادة 3 من الاتفاقية. ويمثل صاحب الشكوى محام</w:t>
      </w:r>
      <w:r w:rsidRPr="00121EA5">
        <w:rPr>
          <w:rFonts w:eastAsia="Traditional Arabic"/>
          <w:vertAlign w:val="superscript"/>
          <w:rtl/>
          <w:lang w:val="ar-SA"/>
        </w:rPr>
        <w:t>(</w:t>
      </w:r>
      <w:r w:rsidRPr="00121EA5">
        <w:rPr>
          <w:rFonts w:eastAsia="Traditional Arabic"/>
          <w:vertAlign w:val="superscript"/>
          <w:rtl/>
          <w:lang w:val="ar-SA"/>
        </w:rPr>
        <w:footnoteReference w:id="3"/>
      </w:r>
      <w:r w:rsidRPr="00121EA5">
        <w:rPr>
          <w:rFonts w:eastAsia="Traditional Arabic"/>
          <w:vertAlign w:val="superscript"/>
          <w:rtl/>
          <w:lang w:val="ar-SA"/>
        </w:rPr>
        <w:t>)</w:t>
      </w:r>
      <w:r w:rsidRPr="00121EA5">
        <w:rPr>
          <w:sz w:val="30"/>
          <w:rtl/>
          <w:lang w:val="ar-SA"/>
        </w:rPr>
        <w:t>.</w:t>
      </w:r>
    </w:p>
    <w:p w:rsidR="000F05C8" w:rsidRPr="00121EA5" w:rsidRDefault="000F05C8" w:rsidP="000F05C8">
      <w:pPr>
        <w:pStyle w:val="SingleTxtGA"/>
        <w:rPr>
          <w:rFonts w:eastAsia="Traditional Arabic"/>
          <w:sz w:val="30"/>
          <w:rtl/>
          <w:lang w:val="ar-SA"/>
        </w:rPr>
      </w:pPr>
      <w:r w:rsidRPr="00121EA5">
        <w:rPr>
          <w:sz w:val="30"/>
          <w:rtl/>
          <w:lang w:val="ar-SA"/>
        </w:rPr>
        <w:t>1-2</w:t>
      </w:r>
      <w:r w:rsidRPr="00121EA5">
        <w:rPr>
          <w:sz w:val="30"/>
          <w:rtl/>
          <w:lang w:val="ar-SA"/>
        </w:rPr>
        <w:tab/>
        <w:t>وفي 16 أيار/مايو 2014، طلبت اللجنة، عن طريق مقررها المعني بالشكاوى الجديدة والتدابير المؤقتة، من الدولة الطرف عدم طرد صاحب البلاغ خلال النظر في الشكوى. وفي 27 أيار/مايو 2014، أوقف مجلس طعون اللاجئين المهلة المحددة لمغادرة صاحب الشكوى حتى إشعار آخر وفقاً لطلب اللجنة. وفي 16 شباط/فبراير 2016، عقب طلب من الدولة الطرف مؤرخ 17 تشرين الثاني/نوفمبر 2014، قررت اللجنة، عن طريق المقرر نفسه، رفض طلب الدولة الطرف رفع التدابير المؤقتة.</w:t>
      </w:r>
    </w:p>
    <w:p w:rsidR="000F05C8" w:rsidRPr="00121EA5" w:rsidRDefault="000F05C8" w:rsidP="000F05C8">
      <w:pPr>
        <w:pStyle w:val="H23GA"/>
        <w:rPr>
          <w:rFonts w:eastAsia="Traditional Arabic"/>
          <w:rtl/>
          <w:lang w:val="ar-SA"/>
        </w:rPr>
      </w:pPr>
      <w:r w:rsidRPr="00121EA5">
        <w:rPr>
          <w:rFonts w:eastAsia="Traditional Arabic"/>
          <w:rtl/>
          <w:lang w:val="ar-SA"/>
        </w:rPr>
        <w:tab/>
      </w:r>
      <w:r w:rsidRPr="00121EA5">
        <w:rPr>
          <w:rFonts w:eastAsia="Traditional Arabic"/>
          <w:rtl/>
          <w:lang w:val="ar-SA"/>
        </w:rPr>
        <w:tab/>
      </w:r>
      <w:r w:rsidRPr="00121EA5">
        <w:rPr>
          <w:rFonts w:eastAsia="Arial Unicode MS" w:hint="cs"/>
          <w:rtl/>
          <w:lang w:val="ar-SA"/>
        </w:rPr>
        <w:t>الوقائع كما عرضها صاحب الشكوى</w:t>
      </w:r>
    </w:p>
    <w:p w:rsidR="000F05C8" w:rsidRPr="00121EA5" w:rsidRDefault="000F05C8" w:rsidP="00540F4C">
      <w:pPr>
        <w:pStyle w:val="SingleTxtGA"/>
        <w:rPr>
          <w:rFonts w:eastAsia="Traditional Arabic"/>
          <w:sz w:val="30"/>
          <w:rtl/>
          <w:lang w:val="ar-SA"/>
        </w:rPr>
      </w:pPr>
      <w:r w:rsidRPr="00121EA5">
        <w:rPr>
          <w:sz w:val="30"/>
          <w:rtl/>
          <w:lang w:val="ar-SA"/>
        </w:rPr>
        <w:t>2-1</w:t>
      </w:r>
      <w:r w:rsidRPr="00121EA5">
        <w:rPr>
          <w:sz w:val="30"/>
          <w:rtl/>
          <w:lang w:val="ar-SA"/>
        </w:rPr>
        <w:tab/>
        <w:t>صاحب الشكوى أصلاً من دارفور. وفي عام 2004 انتقل إلى الخرطوم وعمل في متجر حتى عام 2007. وفي تاريخ غير محدد في عام 2007، دخل ثلاثة رجال من قوة الأمن الوطني المتجر وأخضعوا صاحب الشكوى للإيذاء البدني. وكان شقيقه ينتمي إلى جماعة معارضة، هي حركة العدل والمساواة، وأراد الرجال الثلاثة الحصول على معلومات من صاحب الشكوى عن مكان وجود أخيه. وطعنوه بسكين عدة مرات، ومن ثم اقتيد إلى مستشفى عسكري. وأُبلغ بأنه مقبوض عليه.</w:t>
      </w:r>
    </w:p>
    <w:p w:rsidR="000F05C8" w:rsidRPr="00121EA5" w:rsidRDefault="000F05C8" w:rsidP="000F05C8">
      <w:pPr>
        <w:pStyle w:val="SingleTxtGA"/>
        <w:rPr>
          <w:rFonts w:eastAsia="Traditional Arabic"/>
          <w:sz w:val="30"/>
          <w:rtl/>
          <w:lang w:val="ar-SA"/>
        </w:rPr>
      </w:pPr>
      <w:r w:rsidRPr="00121EA5">
        <w:rPr>
          <w:sz w:val="30"/>
          <w:rtl/>
          <w:lang w:val="ar-SA"/>
        </w:rPr>
        <w:t>2-2</w:t>
      </w:r>
      <w:r w:rsidRPr="00121EA5">
        <w:rPr>
          <w:sz w:val="30"/>
          <w:rtl/>
          <w:lang w:val="ar-SA"/>
        </w:rPr>
        <w:tab/>
        <w:t>وخلال وجود صاحب الشكوى في المستشفى، وفي 24 نيسان/أبريل 2007، جرى استجوابه من جانب ضباط الشرطة، الذين هددوه بالضرب حتى الموت إذا رفض إبلاغهم بمكان شقيقه وتزويدهم بمعلومات عن مشاركة أخيه في حركة العدل والمساواة. واتهموه كذلك بأنه ليس مسلماً حقيقياً، لأن له صديقة مسيحية. وبعد الاستجواب بساعة واحدة، قدَّم أحد عمال النظافة في المستشفى، وكان قد شهد الاستجواب، النصح لصاحب الشكوى بالهرب في أقرب وقت ممكن، وإلا فإن الشرطة ستقتله. وفي وقت لاحق، هرب صاحب الشكوى من المستشفى وتمكن من الفرار من السودان بمساعدة "واسطة".</w:t>
      </w:r>
    </w:p>
    <w:p w:rsidR="000F05C8" w:rsidRPr="00121EA5" w:rsidRDefault="000F05C8" w:rsidP="000F05C8">
      <w:pPr>
        <w:pStyle w:val="SingleTxtGA"/>
        <w:rPr>
          <w:rFonts w:eastAsia="Traditional Arabic"/>
          <w:sz w:val="30"/>
          <w:rtl/>
          <w:lang w:val="ar-SA"/>
        </w:rPr>
      </w:pPr>
      <w:r w:rsidRPr="00121EA5">
        <w:rPr>
          <w:sz w:val="30"/>
          <w:rtl/>
          <w:lang w:val="ar-SA"/>
        </w:rPr>
        <w:t>2-3</w:t>
      </w:r>
      <w:r w:rsidRPr="00121EA5">
        <w:rPr>
          <w:sz w:val="30"/>
          <w:rtl/>
          <w:lang w:val="ar-SA"/>
        </w:rPr>
        <w:tab/>
        <w:t>وفي الفترة من عام 2007 حتى عام 2013، كان صاحب الشكوى يعيش كطالب لجوء في اليونان. وفي 25 نيسان/أبريل 2012، مُنحت شريكته، التي التقى بها في السودان في عام 2006، وهي مواطنة إريترية، وطفلاهما، تصريح إقامة في الدانمرك. ودخل صاحب الشكوى الدانمرك وقدم طلباً للجوء في 25 آب/أغسطس 2013.</w:t>
      </w:r>
      <w:r w:rsidRPr="00121EA5">
        <w:rPr>
          <w:rFonts w:hint="cs"/>
          <w:sz w:val="30"/>
          <w:rtl/>
          <w:lang w:val="ar-SA"/>
        </w:rPr>
        <w:t xml:space="preserve"> </w:t>
      </w:r>
    </w:p>
    <w:p w:rsidR="000F05C8" w:rsidRPr="00121EA5" w:rsidRDefault="000F05C8" w:rsidP="000F05C8">
      <w:pPr>
        <w:pStyle w:val="SingleTxtGA"/>
        <w:rPr>
          <w:rFonts w:eastAsia="Traditional Arabic"/>
          <w:sz w:val="30"/>
          <w:rtl/>
          <w:lang w:val="ar-SA"/>
        </w:rPr>
      </w:pPr>
      <w:r w:rsidRPr="00121EA5">
        <w:rPr>
          <w:sz w:val="30"/>
          <w:rtl/>
          <w:lang w:val="ar-SA"/>
        </w:rPr>
        <w:t>2-4</w:t>
      </w:r>
      <w:r w:rsidRPr="00121EA5">
        <w:rPr>
          <w:sz w:val="30"/>
          <w:rtl/>
          <w:lang w:val="ar-SA"/>
        </w:rPr>
        <w:tab/>
        <w:t xml:space="preserve">وفي 29 كانون الثاني/يناير 2014، رفضت دائرة الهجرة </w:t>
      </w:r>
      <w:proofErr w:type="spellStart"/>
      <w:r w:rsidRPr="00121EA5">
        <w:rPr>
          <w:sz w:val="30"/>
          <w:rtl/>
          <w:lang w:val="ar-SA"/>
        </w:rPr>
        <w:t>الدانمركية</w:t>
      </w:r>
      <w:proofErr w:type="spellEnd"/>
      <w:r w:rsidRPr="00121EA5">
        <w:rPr>
          <w:sz w:val="30"/>
          <w:rtl/>
          <w:lang w:val="ar-SA"/>
        </w:rPr>
        <w:t xml:space="preserve"> طلب اللجوء الذي قدمه صاحب الشكوى. وفي تاريخ غير محدد، استأنف القرار أمام مجلس طعون اللاجئين. وفي 23 نيسان/أبريل 2014، أيَّد المجلس قرار دائرة الهجرة </w:t>
      </w:r>
      <w:proofErr w:type="spellStart"/>
      <w:r w:rsidRPr="00121EA5">
        <w:rPr>
          <w:sz w:val="30"/>
          <w:rtl/>
          <w:lang w:val="ar-SA"/>
        </w:rPr>
        <w:t>الدانمركية</w:t>
      </w:r>
      <w:proofErr w:type="spellEnd"/>
      <w:r w:rsidRPr="00121EA5">
        <w:rPr>
          <w:sz w:val="30"/>
          <w:rtl/>
          <w:lang w:val="ar-SA"/>
        </w:rPr>
        <w:t xml:space="preserve"> على أساس أنها وجدت أقوال صاحب الشكوى متضاربة. ولم يجد المجلس أن أقواله ذات مصداقية فيما يتعلق بإساءة معاملته، وإدخاله المستشفى في وقت لاحق، وهروبه من المستشفى العسكري. ووفقاً لهذا القرار، كان من المفترض أن يغادر صاحب الشكوى الدانمرك طوعاً في غضون 15 يوماً.</w:t>
      </w:r>
    </w:p>
    <w:p w:rsidR="000F05C8" w:rsidRPr="00121EA5" w:rsidRDefault="000F05C8" w:rsidP="000F05C8">
      <w:pPr>
        <w:pStyle w:val="SingleTxtGA"/>
        <w:rPr>
          <w:rFonts w:eastAsia="Traditional Arabic"/>
          <w:sz w:val="30"/>
          <w:rtl/>
          <w:lang w:val="ar-SA"/>
        </w:rPr>
      </w:pPr>
      <w:r w:rsidRPr="00121EA5">
        <w:rPr>
          <w:sz w:val="30"/>
          <w:rtl/>
          <w:lang w:val="ar-SA"/>
        </w:rPr>
        <w:t>2-5</w:t>
      </w:r>
      <w:r w:rsidRPr="00121EA5">
        <w:rPr>
          <w:sz w:val="30"/>
          <w:rtl/>
          <w:lang w:val="ar-SA"/>
        </w:rPr>
        <w:tab/>
        <w:t xml:space="preserve">وبالنظر إلى أن قرار المجلس، وفقاً لقانون الأجانب </w:t>
      </w:r>
      <w:proofErr w:type="spellStart"/>
      <w:r w:rsidRPr="00121EA5">
        <w:rPr>
          <w:sz w:val="30"/>
          <w:rtl/>
          <w:lang w:val="ar-SA"/>
        </w:rPr>
        <w:t>الدانمركي</w:t>
      </w:r>
      <w:proofErr w:type="spellEnd"/>
      <w:r w:rsidRPr="00121EA5">
        <w:rPr>
          <w:sz w:val="30"/>
          <w:rtl/>
          <w:lang w:val="ar-SA"/>
        </w:rPr>
        <w:t xml:space="preserve">، لا يمكن الطعن فيه أمام المحاكم </w:t>
      </w:r>
      <w:proofErr w:type="spellStart"/>
      <w:r w:rsidRPr="00121EA5">
        <w:rPr>
          <w:sz w:val="30"/>
          <w:rtl/>
          <w:lang w:val="ar-SA"/>
        </w:rPr>
        <w:t>الدانمركية</w:t>
      </w:r>
      <w:proofErr w:type="spellEnd"/>
      <w:r w:rsidRPr="00121EA5">
        <w:rPr>
          <w:sz w:val="30"/>
          <w:rtl/>
          <w:lang w:val="ar-SA"/>
        </w:rPr>
        <w:t xml:space="preserve">، يدفع صاحب الشكوى بأنه قد استنفد جميع سبل الانتصاف المحلية المتاحة </w:t>
      </w:r>
      <w:r w:rsidRPr="00121EA5">
        <w:rPr>
          <w:sz w:val="30"/>
          <w:rtl/>
          <w:lang w:val="ar-SA"/>
        </w:rPr>
        <w:lastRenderedPageBreak/>
        <w:t>والفعالة. ويدفع كذلك بأن هذا البلاغ ليس محل دراسة بالفعل من قبل هيئة أخرى من هيئات التحقيق الدولي أو التسوية الدولية.</w:t>
      </w:r>
    </w:p>
    <w:p w:rsidR="000F05C8" w:rsidRPr="00121EA5" w:rsidRDefault="000F05C8" w:rsidP="000F05C8">
      <w:pPr>
        <w:pStyle w:val="H23GA"/>
        <w:rPr>
          <w:rFonts w:eastAsia="Traditional Arabic"/>
          <w:rtl/>
          <w:lang w:val="ar-SA"/>
        </w:rPr>
      </w:pPr>
      <w:r w:rsidRPr="00121EA5">
        <w:rPr>
          <w:rFonts w:eastAsia="Traditional Arabic"/>
          <w:rtl/>
          <w:lang w:val="ar-SA"/>
        </w:rPr>
        <w:tab/>
      </w:r>
      <w:r w:rsidRPr="00121EA5">
        <w:rPr>
          <w:rFonts w:eastAsia="Traditional Arabic"/>
          <w:rtl/>
          <w:lang w:val="ar-SA"/>
        </w:rPr>
        <w:tab/>
      </w:r>
      <w:r w:rsidRPr="00121EA5">
        <w:rPr>
          <w:rFonts w:eastAsia="Arial Unicode MS" w:hint="cs"/>
          <w:rtl/>
          <w:lang w:val="ar-SA"/>
        </w:rPr>
        <w:t>الشكوى</w:t>
      </w:r>
    </w:p>
    <w:p w:rsidR="000F05C8" w:rsidRPr="00121EA5" w:rsidRDefault="000F05C8" w:rsidP="000F05C8">
      <w:pPr>
        <w:pStyle w:val="SingleTxtGA"/>
        <w:rPr>
          <w:rFonts w:eastAsia="Traditional Arabic"/>
          <w:sz w:val="30"/>
          <w:rtl/>
          <w:lang w:val="ar-SA"/>
        </w:rPr>
      </w:pPr>
      <w:r w:rsidRPr="00121EA5">
        <w:rPr>
          <w:sz w:val="30"/>
          <w:rtl/>
          <w:lang w:val="ar-SA"/>
        </w:rPr>
        <w:t>3-1</w:t>
      </w:r>
      <w:r w:rsidRPr="00121EA5">
        <w:rPr>
          <w:sz w:val="30"/>
          <w:rtl/>
          <w:lang w:val="ar-SA"/>
        </w:rPr>
        <w:tab/>
        <w:t>يدَّعي صاحب الشكوى أن ترحيله إلى السودان سيشكل انتهاكاً لحقوقه المكفولة بموجب المادة 3 من الاتفاقية لأنه سيواجه شخصياً خطر التعرض للاضطهاد والتعذيب لدى عودته. وهو يخشى أنه لدى عودته إلى السودان، يمكن محاكمته بل وقتله بسبب أنشطة شقيقه المتسمة بالتشدُّد، ولأن له صديقة مسيحية.</w:t>
      </w:r>
    </w:p>
    <w:p w:rsidR="000F05C8" w:rsidRPr="00121EA5" w:rsidRDefault="000F05C8" w:rsidP="000F05C8">
      <w:pPr>
        <w:pStyle w:val="SingleTxtGA"/>
        <w:rPr>
          <w:rFonts w:eastAsia="Traditional Arabic"/>
          <w:sz w:val="30"/>
          <w:rtl/>
          <w:lang w:val="ar-SA"/>
        </w:rPr>
      </w:pPr>
      <w:r w:rsidRPr="00121EA5">
        <w:rPr>
          <w:sz w:val="30"/>
          <w:rtl/>
          <w:lang w:val="ar-SA"/>
        </w:rPr>
        <w:t>3-2</w:t>
      </w:r>
      <w:r w:rsidRPr="00121EA5">
        <w:rPr>
          <w:sz w:val="30"/>
          <w:rtl/>
          <w:lang w:val="ar-SA"/>
        </w:rPr>
        <w:tab/>
        <w:t xml:space="preserve">ويدَّعي صاحب الشكوى كذلك أن قرار مجلس طعون اللاجئين رفض منحه اللجوء يفتقر إلى التحقيق والمنطق السليمين، وهو ما يتعارض مع المادة 3(2) من الاتفاقية. وعلاوة على ذلك، لم تُجر السلطات </w:t>
      </w:r>
      <w:proofErr w:type="spellStart"/>
      <w:r w:rsidRPr="00121EA5">
        <w:rPr>
          <w:sz w:val="30"/>
          <w:rtl/>
          <w:lang w:val="ar-SA"/>
        </w:rPr>
        <w:t>الدانمركية</w:t>
      </w:r>
      <w:proofErr w:type="spellEnd"/>
      <w:r w:rsidRPr="00121EA5">
        <w:rPr>
          <w:sz w:val="30"/>
          <w:rtl/>
          <w:lang w:val="ar-SA"/>
        </w:rPr>
        <w:t xml:space="preserve"> أي فحص طبي لتأكيد أو نفي ادعاءات صاحب الشكوى بتعرُّضه لإساءة المعاملة البدنية.</w:t>
      </w:r>
    </w:p>
    <w:p w:rsidR="000F05C8" w:rsidRPr="00121EA5" w:rsidRDefault="000F05C8" w:rsidP="000F05C8">
      <w:pPr>
        <w:pStyle w:val="H23GA"/>
        <w:rPr>
          <w:rFonts w:eastAsia="Traditional Arabic"/>
          <w:rtl/>
          <w:lang w:val="ar-SA"/>
        </w:rPr>
      </w:pPr>
      <w:r w:rsidRPr="00121EA5">
        <w:rPr>
          <w:rFonts w:eastAsia="Traditional Arabic"/>
          <w:rtl/>
          <w:lang w:val="ar-SA"/>
        </w:rPr>
        <w:tab/>
      </w:r>
      <w:r w:rsidRPr="00121EA5">
        <w:rPr>
          <w:rFonts w:eastAsia="Traditional Arabic"/>
          <w:rtl/>
          <w:lang w:val="ar-SA"/>
        </w:rPr>
        <w:tab/>
      </w:r>
      <w:r w:rsidRPr="00121EA5">
        <w:rPr>
          <w:rFonts w:eastAsia="Arial Unicode MS" w:hint="cs"/>
          <w:rtl/>
          <w:lang w:val="ar-SA"/>
        </w:rPr>
        <w:t>ملاحظات الدولة الطرف بشأن المقبولية والأسس الموضوعية</w:t>
      </w:r>
    </w:p>
    <w:p w:rsidR="000F05C8" w:rsidRPr="00121EA5" w:rsidRDefault="000F05C8" w:rsidP="000F05C8">
      <w:pPr>
        <w:pStyle w:val="SingleTxtGA"/>
        <w:rPr>
          <w:rFonts w:eastAsia="Traditional Arabic"/>
          <w:sz w:val="30"/>
          <w:rtl/>
          <w:lang w:val="ar-SA"/>
        </w:rPr>
      </w:pPr>
      <w:r w:rsidRPr="00121EA5">
        <w:rPr>
          <w:sz w:val="30"/>
          <w:rtl/>
          <w:lang w:val="ar-SA"/>
        </w:rPr>
        <w:t>4-1</w:t>
      </w:r>
      <w:r w:rsidRPr="00121EA5">
        <w:rPr>
          <w:rFonts w:cs="Arial Unicode MS"/>
          <w:sz w:val="30"/>
          <w:rtl/>
          <w:lang w:val="ar-SA"/>
        </w:rPr>
        <w:tab/>
      </w:r>
      <w:r w:rsidRPr="00121EA5">
        <w:rPr>
          <w:sz w:val="30"/>
          <w:rtl/>
          <w:lang w:val="ar-SA"/>
        </w:rPr>
        <w:t xml:space="preserve">في 17 تشرين الثاني/نوفمبر 2014، أفادت الدولة الطرف بأن صاحب الشكوى قد دخل الدانمرك في 25 آب/أغسطس 2013 دون وثائق سفر صالحة وطلب اللجوء في اليوم نفسه. وفي 29 كانون الثاني/يناير 2014، رفضت دائرة الهجرة </w:t>
      </w:r>
      <w:proofErr w:type="spellStart"/>
      <w:r w:rsidRPr="00121EA5">
        <w:rPr>
          <w:sz w:val="30"/>
          <w:rtl/>
          <w:lang w:val="ar-SA"/>
        </w:rPr>
        <w:t>الدانمركية</w:t>
      </w:r>
      <w:proofErr w:type="spellEnd"/>
      <w:r w:rsidRPr="00121EA5">
        <w:rPr>
          <w:sz w:val="30"/>
          <w:rtl/>
          <w:lang w:val="ar-SA"/>
        </w:rPr>
        <w:t xml:space="preserve"> منحه اللجوء. وفي 23 نيسان/أبريل 2014، أيَّد مجلس طعون اللاجئين رفض دائرة الهجرة </w:t>
      </w:r>
      <w:proofErr w:type="spellStart"/>
      <w:r w:rsidRPr="00121EA5">
        <w:rPr>
          <w:sz w:val="30"/>
          <w:rtl/>
          <w:lang w:val="ar-SA"/>
        </w:rPr>
        <w:t>الدانمركية</w:t>
      </w:r>
      <w:proofErr w:type="spellEnd"/>
      <w:r w:rsidRPr="00121EA5">
        <w:rPr>
          <w:sz w:val="30"/>
          <w:rtl/>
          <w:lang w:val="ar-SA"/>
        </w:rPr>
        <w:t xml:space="preserve"> طلب اللجوء الذي قدمه صاحب الشكوى.</w:t>
      </w:r>
    </w:p>
    <w:p w:rsidR="000F05C8" w:rsidRPr="00121EA5" w:rsidRDefault="000F05C8" w:rsidP="000F05C8">
      <w:pPr>
        <w:pStyle w:val="SingleTxtGA"/>
        <w:rPr>
          <w:rFonts w:eastAsia="Traditional Arabic"/>
          <w:sz w:val="30"/>
          <w:rtl/>
          <w:lang w:val="ar-SA"/>
        </w:rPr>
      </w:pPr>
      <w:r w:rsidRPr="00121EA5">
        <w:rPr>
          <w:sz w:val="30"/>
          <w:rtl/>
          <w:lang w:val="ar-SA"/>
        </w:rPr>
        <w:t>4-2</w:t>
      </w:r>
      <w:r w:rsidRPr="00121EA5">
        <w:rPr>
          <w:sz w:val="30"/>
          <w:rtl/>
          <w:lang w:val="ar-SA"/>
        </w:rPr>
        <w:tab/>
        <w:t xml:space="preserve">وذكر المجلس، في قراره المؤرخ 23 نيسان/أبريل 2014، في جملة أمور، أن صاحب الشكوى ينتمي إلى عشيرة </w:t>
      </w:r>
      <w:proofErr w:type="spellStart"/>
      <w:r w:rsidRPr="00121EA5">
        <w:rPr>
          <w:sz w:val="30"/>
          <w:rtl/>
          <w:lang w:val="ar-SA"/>
        </w:rPr>
        <w:t>البرتي</w:t>
      </w:r>
      <w:proofErr w:type="spellEnd"/>
      <w:r w:rsidRPr="00121EA5">
        <w:rPr>
          <w:sz w:val="30"/>
          <w:rtl/>
          <w:lang w:val="ar-SA"/>
        </w:rPr>
        <w:t>، وأنه يدين بالإسلام، ووُلد في مليت في دارفور بالسودان. ولم يكن صاحب الشكوى عضواً في أي جمعيات أو منظمات سياسية أو دينية، ولكنه سبق أن شارك في مظاهرة واحدة في مليت لأن الحكومة هاجمت منطقته. ويبدو أيضاً من القرار أن صاحب الشكوى أشار إلى خوفه من القبض عليه وقتله من قِبل جهاز المخابرات إذا أعيد إلى السودان بسبب ارتباط أخيه بحركة العدل والمساواة. وقد أشار صاحب الشكوى أيضاً إلى خوفه من الانتقام أو القتل على أيدي الأفراد والسلطات على حد سواء لأنه على علاقة بامرأة مسيحية التقى بها في عام 2006. ودعماً للأسس التي يستند إليها في التماس اللجوء، دفع بأنه سبق أن تعرض للاحتجاز والتعذيب في 12 نيسان/أبريل 2007. وقد أُدخِل بعد ذلك إلى مستشفى عسكري لأنه كان فاقداً للوعي، وفر من هناك بمساعدة موظف في المستشفى.</w:t>
      </w:r>
    </w:p>
    <w:p w:rsidR="000F05C8" w:rsidRPr="000F05C8" w:rsidRDefault="000F05C8" w:rsidP="000F05C8">
      <w:pPr>
        <w:pStyle w:val="SingleTxtGA"/>
        <w:rPr>
          <w:rFonts w:eastAsia="Traditional Arabic"/>
          <w:spacing w:val="-4"/>
          <w:sz w:val="30"/>
          <w:rtl/>
          <w:lang w:val="ar-SA"/>
        </w:rPr>
      </w:pPr>
      <w:r w:rsidRPr="000F05C8">
        <w:rPr>
          <w:spacing w:val="-4"/>
          <w:sz w:val="30"/>
          <w:rtl/>
          <w:lang w:val="ar-SA"/>
        </w:rPr>
        <w:t>4-3</w:t>
      </w:r>
      <w:r w:rsidRPr="000F05C8">
        <w:rPr>
          <w:spacing w:val="-4"/>
          <w:sz w:val="30"/>
          <w:rtl/>
          <w:lang w:val="ar-SA"/>
        </w:rPr>
        <w:tab/>
        <w:t xml:space="preserve">ولم تتمكن غالبية أعضاء مجلس طعون اللاجئين من اعتبار الأقوال التي أدلى بها صاحب الشكوى بشأن احتجازه، وإدخاله المستشفى بعد ذلك، ومن ثم هروبه من مستشفى عسكري وقائع ذات مصداقية. وأكَّد المجلس، في تقييمه، أن صاحب الشكوى أدلى بأقوال متضاربة وتنزع للمبالغة، فيما يتعلق بالنقاط الأساسية، وأنه وشريكته أدليا بأقوال متضاربة بشأن سبب مغادرتهما السودان. ففي أثناء مقابلة أجرتها معه دائرة الهجرة </w:t>
      </w:r>
      <w:proofErr w:type="spellStart"/>
      <w:r w:rsidRPr="000F05C8">
        <w:rPr>
          <w:spacing w:val="-4"/>
          <w:sz w:val="30"/>
          <w:rtl/>
          <w:lang w:val="ar-SA"/>
        </w:rPr>
        <w:t>الدانمركية</w:t>
      </w:r>
      <w:proofErr w:type="spellEnd"/>
      <w:r w:rsidRPr="000F05C8">
        <w:rPr>
          <w:spacing w:val="-4"/>
          <w:sz w:val="30"/>
          <w:rtl/>
          <w:lang w:val="ar-SA"/>
        </w:rPr>
        <w:t xml:space="preserve">، ذكر أنه شارك في مظاهرة في عام 2003، ولكنها لم تتسبب في أي مشاكل، وأنه انتقل إلى الخرطوم في عام 2005 لأنه لم يكن يريد العيش في نفس البلدة التي يقيم بها شقيقه. أما في جلسة الاستماع التي عقدها المجلس، فقد ذكر صاحب الشكوى أنه انتقل إلى الخرطوم في عام 2003 لأن الحيوانات التي كان يرعاها قد قُتلت. وفي وقت لاحق من جلسة الاستماع، غيَّر أقواله وقال إنه كان قد شرع في السفر ذهاباً وإياباً إلى الخرطوم في </w:t>
      </w:r>
      <w:r w:rsidRPr="000F05C8">
        <w:rPr>
          <w:spacing w:val="-4"/>
          <w:sz w:val="30"/>
          <w:rtl/>
          <w:lang w:val="ar-SA"/>
        </w:rPr>
        <w:lastRenderedPageBreak/>
        <w:t xml:space="preserve">عام 2003، ولكنه لم ينتقل إلى هناك حتى عام 2005. وكان مقدم الطلب قد ذكر، في مقابلة أجريت له مع دائرة الهجرة </w:t>
      </w:r>
      <w:proofErr w:type="spellStart"/>
      <w:r w:rsidRPr="000F05C8">
        <w:rPr>
          <w:spacing w:val="-4"/>
          <w:sz w:val="30"/>
          <w:rtl/>
          <w:lang w:val="ar-SA"/>
        </w:rPr>
        <w:t>الدانمركية</w:t>
      </w:r>
      <w:proofErr w:type="spellEnd"/>
      <w:r w:rsidRPr="000F05C8">
        <w:rPr>
          <w:spacing w:val="-4"/>
          <w:sz w:val="30"/>
          <w:rtl/>
          <w:lang w:val="ar-SA"/>
        </w:rPr>
        <w:t xml:space="preserve"> في 20 تشرين الثاني/نوفمبر 2013، أن ثلاثة رجال اقتربوا منه في مكان عمله، وأنهم ضربوه وعذبوه، وطعنوه بسكين في جميع أنحاء جسمه حتى فقد الوعي، وبعد ذلك نقلوه إلى مستشفى عسكري. وفي المقابلة التي أجريت مع مقدم الطلب في 17 كانون الثاني/يناير 2014، ذكر أن ثلاثة أو أربعة أشخاص بحثوا عنه واقتادوه إلى مخفر الشرطة حيث تعرض للضرب والجلد عبر الفخذين، وأنه فقد وعيه في اليوم التالي ولذلك تم نقله إلى المستشفى. وكانت شريكة صاحب الشكوى قد ذكرت لدائرة الهجرة </w:t>
      </w:r>
      <w:proofErr w:type="spellStart"/>
      <w:r w:rsidRPr="000F05C8">
        <w:rPr>
          <w:spacing w:val="-4"/>
          <w:sz w:val="30"/>
          <w:rtl/>
          <w:lang w:val="ar-SA"/>
        </w:rPr>
        <w:t>الدانمركية</w:t>
      </w:r>
      <w:proofErr w:type="spellEnd"/>
      <w:r w:rsidRPr="000F05C8">
        <w:rPr>
          <w:spacing w:val="-4"/>
          <w:sz w:val="30"/>
          <w:rtl/>
          <w:lang w:val="ar-SA"/>
        </w:rPr>
        <w:t xml:space="preserve"> في 14 أيلول/سبتمبر 2009 أن القبض عليه تم في أثناء زيارة قام بها إلى والديه. وفي جلسة الاستماع أمام مجلس طعون اللاجئين، كان صاحب الشكوى قد أفاد بأن جسمه قد مُزّق بقطع من المعدن.</w:t>
      </w:r>
    </w:p>
    <w:p w:rsidR="000F05C8" w:rsidRPr="00121EA5" w:rsidRDefault="000F05C8" w:rsidP="000F05C8">
      <w:pPr>
        <w:pStyle w:val="SingleTxtGA"/>
        <w:rPr>
          <w:rFonts w:eastAsia="Traditional Arabic"/>
          <w:sz w:val="30"/>
          <w:rtl/>
          <w:lang w:val="ar-SA"/>
        </w:rPr>
      </w:pPr>
      <w:r w:rsidRPr="00121EA5">
        <w:rPr>
          <w:sz w:val="30"/>
          <w:rtl/>
          <w:lang w:val="ar-SA"/>
        </w:rPr>
        <w:t>4-4</w:t>
      </w:r>
      <w:r w:rsidRPr="00121EA5">
        <w:rPr>
          <w:sz w:val="30"/>
          <w:rtl/>
          <w:lang w:val="ar-SA"/>
        </w:rPr>
        <w:tab/>
        <w:t xml:space="preserve">وكذلك أدلى صاحب الشكوى وشريكته بأقوال متضاربة عن سبب مغادرته للسودان. فقد ذكرت شريكة صاحب الشكوى في أثناء إجراءات اللجوء الخاصة بها أنه كان يواجه مشاكل مع السلطات لأنه مستنكف </w:t>
      </w:r>
      <w:proofErr w:type="spellStart"/>
      <w:r w:rsidRPr="00121EA5">
        <w:rPr>
          <w:sz w:val="30"/>
          <w:rtl/>
          <w:lang w:val="ar-SA"/>
        </w:rPr>
        <w:t>ضميرياً</w:t>
      </w:r>
      <w:proofErr w:type="spellEnd"/>
      <w:r w:rsidRPr="00121EA5">
        <w:rPr>
          <w:sz w:val="30"/>
          <w:rtl/>
          <w:lang w:val="ar-SA"/>
        </w:rPr>
        <w:t>، في حين ذكر صاحب الشكوى أن ارتباط شقيقه بحركة العدل والمساواة هو الذي أدَّى إلى مشاكله مع السلطات. وأخيراً، يتبين من قرار مجلس طعون اللاجئين أن غالبية الأعضاء قد أكَّدوا أن أقوال مقدم الطلب بشأن هروبه من المستشفى العسكري تبدو بعيدة الاحتمال. وقد خلص المجلس أيضاً إلى أن علاقة صاحب الشكوى بامرأة مسيحية لا يمكن أن تبرّر اللجوء. وقد شدَّد المجلس على المعلومات الأساسية المتاحة، التي يبدو منها أنه يُسمح للرجال المسلمين بالزواج من النساء المسيحيات في السودان، وأنه ليس هناك ما يدعو إلى الاعتقاد بأن السلطات سيكون لها رد فعل لهذه الزيجات، وأن من المستبعد للغاية أن يتم إبلاغ الشرطة بهذه العلاقات، لأنها ليست مخالفة للقانون. ولم تجد غالبية أعضاء المجلس أي أساس لتأجيل الإجراءات ريثما يُجرى فحص لعلامات التعذيب.</w:t>
      </w:r>
    </w:p>
    <w:p w:rsidR="000F05C8" w:rsidRPr="00121EA5" w:rsidRDefault="000F05C8" w:rsidP="000F05C8">
      <w:pPr>
        <w:pStyle w:val="SingleTxtGA"/>
        <w:rPr>
          <w:rFonts w:eastAsia="Traditional Arabic"/>
          <w:sz w:val="30"/>
          <w:rtl/>
          <w:lang w:val="ar-SA"/>
        </w:rPr>
      </w:pPr>
      <w:r w:rsidRPr="00121EA5">
        <w:rPr>
          <w:sz w:val="30"/>
          <w:rtl/>
          <w:lang w:val="ar-SA"/>
        </w:rPr>
        <w:t>4-5</w:t>
      </w:r>
      <w:r w:rsidRPr="00121EA5">
        <w:rPr>
          <w:sz w:val="30"/>
          <w:rtl/>
          <w:lang w:val="ar-SA"/>
        </w:rPr>
        <w:tab/>
        <w:t>وعليه فقد رأت غالبية الأعضاء أن صاحب الشكوى لم يتعرض للاضطهاد قبل رحيله ولن يتعرض، في حال إعادته، لخطر الاضطهاد الذي يبرّر الإقامة في الدانمرك بموجب المادة 7 من قانون الأجانب.</w:t>
      </w:r>
    </w:p>
    <w:p w:rsidR="000F05C8" w:rsidRPr="00121EA5" w:rsidRDefault="000F05C8" w:rsidP="000F05C8">
      <w:pPr>
        <w:pStyle w:val="SingleTxtGA"/>
        <w:rPr>
          <w:rFonts w:eastAsia="Traditional Arabic"/>
          <w:sz w:val="30"/>
          <w:rtl/>
          <w:lang w:val="ar-SA"/>
        </w:rPr>
      </w:pPr>
      <w:r w:rsidRPr="00121EA5">
        <w:rPr>
          <w:sz w:val="30"/>
          <w:rtl/>
          <w:lang w:val="ar-SA"/>
        </w:rPr>
        <w:t>4-6</w:t>
      </w:r>
      <w:r w:rsidRPr="00121EA5">
        <w:rPr>
          <w:sz w:val="30"/>
          <w:rtl/>
          <w:lang w:val="ar-SA"/>
        </w:rPr>
        <w:tab/>
        <w:t>وتقدم الدولة الطرف كذلك وصفاً تفصيلياً للأساس القانوني لعمل المجلس وأساليب عمله</w:t>
      </w:r>
      <w:r w:rsidRPr="00121EA5">
        <w:rPr>
          <w:rFonts w:eastAsia="Traditional Arabic"/>
          <w:vertAlign w:val="superscript"/>
          <w:rtl/>
          <w:lang w:val="ar-SA"/>
        </w:rPr>
        <w:t>(</w:t>
      </w:r>
      <w:r w:rsidRPr="00121EA5">
        <w:rPr>
          <w:rFonts w:eastAsia="Traditional Arabic"/>
          <w:vertAlign w:val="superscript"/>
          <w:rtl/>
          <w:lang w:val="ar-SA"/>
        </w:rPr>
        <w:footnoteReference w:id="4"/>
      </w:r>
      <w:r w:rsidRPr="00121EA5">
        <w:rPr>
          <w:rFonts w:eastAsia="Traditional Arabic"/>
          <w:vertAlign w:val="superscript"/>
          <w:rtl/>
          <w:lang w:val="ar-SA"/>
        </w:rPr>
        <w:t>)</w:t>
      </w:r>
      <w:r w:rsidRPr="00121EA5">
        <w:rPr>
          <w:sz w:val="30"/>
          <w:rtl/>
          <w:lang w:val="ar-SA"/>
        </w:rPr>
        <w:t>.</w:t>
      </w:r>
    </w:p>
    <w:p w:rsidR="000F05C8" w:rsidRPr="00121EA5" w:rsidRDefault="000F05C8" w:rsidP="000F05C8">
      <w:pPr>
        <w:pStyle w:val="SingleTxtGA"/>
        <w:rPr>
          <w:rFonts w:eastAsia="Traditional Arabic"/>
          <w:sz w:val="30"/>
          <w:rtl/>
          <w:lang w:val="ar-SA"/>
        </w:rPr>
      </w:pPr>
      <w:r w:rsidRPr="00121EA5">
        <w:rPr>
          <w:sz w:val="30"/>
          <w:rtl/>
          <w:lang w:val="ar-SA"/>
        </w:rPr>
        <w:t>4-7</w:t>
      </w:r>
      <w:r w:rsidRPr="00121EA5">
        <w:rPr>
          <w:sz w:val="30"/>
          <w:rtl/>
          <w:lang w:val="ar-SA"/>
        </w:rPr>
        <w:tab/>
        <w:t xml:space="preserve">وفيما يتعلق بأهمية مصداقية طالب اللجوء بالنسبة لأهمية المعلومات الطبية، تشير الدولة الطرف إلى قرار اللجنة في حالة </w:t>
      </w:r>
      <w:proofErr w:type="spellStart"/>
      <w:r w:rsidRPr="00121EA5">
        <w:rPr>
          <w:i/>
          <w:iCs/>
          <w:sz w:val="30"/>
          <w:rtl/>
          <w:lang w:val="ar-SA"/>
        </w:rPr>
        <w:t>أوتمان</w:t>
      </w:r>
      <w:proofErr w:type="spellEnd"/>
      <w:r w:rsidRPr="00121EA5">
        <w:rPr>
          <w:sz w:val="30"/>
          <w:rtl/>
          <w:lang w:val="ar-SA"/>
        </w:rPr>
        <w:t xml:space="preserve"> ضد </w:t>
      </w:r>
      <w:r w:rsidRPr="00121EA5">
        <w:rPr>
          <w:i/>
          <w:iCs/>
          <w:sz w:val="30"/>
          <w:rtl/>
          <w:lang w:val="ar-SA"/>
        </w:rPr>
        <w:t>الدانمرك</w:t>
      </w:r>
      <w:r w:rsidRPr="00121EA5">
        <w:rPr>
          <w:rFonts w:eastAsia="Traditional Arabic"/>
          <w:vertAlign w:val="superscript"/>
          <w:rtl/>
          <w:lang w:val="ar-SA"/>
        </w:rPr>
        <w:t>(</w:t>
      </w:r>
      <w:r w:rsidRPr="00121EA5">
        <w:rPr>
          <w:rFonts w:eastAsia="Traditional Arabic"/>
          <w:vertAlign w:val="superscript"/>
          <w:rtl/>
          <w:lang w:val="ar-SA"/>
        </w:rPr>
        <w:footnoteReference w:id="5"/>
      </w:r>
      <w:r w:rsidRPr="00121EA5">
        <w:rPr>
          <w:rFonts w:eastAsia="Traditional Arabic"/>
          <w:vertAlign w:val="superscript"/>
          <w:rtl/>
          <w:lang w:val="ar-SA"/>
        </w:rPr>
        <w:t>)</w:t>
      </w:r>
      <w:r w:rsidRPr="00121EA5">
        <w:rPr>
          <w:sz w:val="30"/>
          <w:rtl/>
          <w:lang w:val="ar-SA"/>
        </w:rPr>
        <w:t>، الذي نحَّت فيه جانباً أقوال صاحب الشكوى عن التعذيب والمعلومات الطبية المقدمة في هذا الشأن، بسبب افتقاره العام للمصداقية. وفي هذا القرار، أشارت اللجنة إلى الفقرة 8 من تعليقها العام رقم 1(1997) بشأن تنفيذ المادة</w:t>
      </w:r>
      <w:r w:rsidRPr="00121EA5">
        <w:rPr>
          <w:rFonts w:hint="cs"/>
          <w:sz w:val="30"/>
          <w:rtl/>
          <w:lang w:val="ar-SA"/>
        </w:rPr>
        <w:t> </w:t>
      </w:r>
      <w:r w:rsidRPr="00121EA5">
        <w:rPr>
          <w:sz w:val="30"/>
          <w:rtl/>
          <w:lang w:val="ar-SA"/>
        </w:rPr>
        <w:t xml:space="preserve">3، التي تنص على أن التساؤلات المتعلقة بمصداقية صاحب الشكوى، ووجود أوجه تضارب </w:t>
      </w:r>
      <w:proofErr w:type="spellStart"/>
      <w:r w:rsidRPr="00121EA5">
        <w:rPr>
          <w:sz w:val="30"/>
          <w:rtl/>
          <w:lang w:val="ar-SA"/>
        </w:rPr>
        <w:t>وقائعية</w:t>
      </w:r>
      <w:proofErr w:type="spellEnd"/>
      <w:r w:rsidRPr="00121EA5">
        <w:rPr>
          <w:sz w:val="30"/>
          <w:rtl/>
          <w:lang w:val="ar-SA"/>
        </w:rPr>
        <w:t xml:space="preserve"> ذات صلة في دعواه، أمور لها صلة بمداولات اللجنة المتعلقة بما إذا كان صاحب الشكوى سيتعرض لخطر التعذيب عند عودته. وأشارت الدولة الطرف أيضاً إلى قرار </w:t>
      </w:r>
      <w:r w:rsidRPr="00121EA5">
        <w:rPr>
          <w:sz w:val="30"/>
          <w:rtl/>
          <w:lang w:val="ar-SA"/>
        </w:rPr>
        <w:lastRenderedPageBreak/>
        <w:t xml:space="preserve">اللجنة في حالة </w:t>
      </w:r>
      <w:r w:rsidRPr="00121EA5">
        <w:rPr>
          <w:i/>
          <w:iCs/>
          <w:sz w:val="30"/>
          <w:rtl/>
          <w:lang w:val="ar-SA"/>
        </w:rPr>
        <w:t>ألب ضد الدانمرك</w:t>
      </w:r>
      <w:r w:rsidRPr="00121EA5">
        <w:rPr>
          <w:rFonts w:eastAsia="Traditional Arabic"/>
          <w:vertAlign w:val="superscript"/>
          <w:rtl/>
          <w:lang w:val="ar-SA"/>
        </w:rPr>
        <w:t>(</w:t>
      </w:r>
      <w:r w:rsidRPr="00121EA5">
        <w:rPr>
          <w:rFonts w:eastAsia="Traditional Arabic"/>
          <w:vertAlign w:val="superscript"/>
          <w:rtl/>
          <w:lang w:val="ar-SA"/>
        </w:rPr>
        <w:footnoteReference w:id="6"/>
      </w:r>
      <w:r w:rsidRPr="00121EA5">
        <w:rPr>
          <w:rFonts w:eastAsia="Traditional Arabic"/>
          <w:vertAlign w:val="superscript"/>
          <w:rtl/>
          <w:lang w:val="ar-SA"/>
        </w:rPr>
        <w:t>)</w:t>
      </w:r>
      <w:r w:rsidRPr="00121EA5">
        <w:rPr>
          <w:sz w:val="30"/>
          <w:rtl/>
          <w:lang w:val="ar-SA"/>
        </w:rPr>
        <w:t>، الذي خلصت فيه إلى أن سلطات الدولة الطرف قد أجرت تقييماً شاملاً لجميع الأدلة التي قدمها صاحب الشكوى، وانتهت إلى أنه يفتقر إلى المصداقية، وأنها لا ترى من الضروري أن تأمر بإجراء فحص طبي.</w:t>
      </w:r>
    </w:p>
    <w:p w:rsidR="000F05C8" w:rsidRPr="000F05C8" w:rsidRDefault="000F05C8" w:rsidP="000F05C8">
      <w:pPr>
        <w:pStyle w:val="SingleTxtGA"/>
        <w:rPr>
          <w:rFonts w:eastAsia="Traditional Arabic"/>
          <w:spacing w:val="-2"/>
          <w:sz w:val="30"/>
          <w:rtl/>
          <w:lang w:val="ar-SA"/>
        </w:rPr>
      </w:pPr>
      <w:r w:rsidRPr="000F05C8">
        <w:rPr>
          <w:spacing w:val="-2"/>
          <w:sz w:val="30"/>
          <w:rtl/>
          <w:lang w:val="ar-SA"/>
        </w:rPr>
        <w:t>4-8</w:t>
      </w:r>
      <w:r w:rsidRPr="000F05C8">
        <w:rPr>
          <w:spacing w:val="-2"/>
          <w:sz w:val="30"/>
          <w:rtl/>
          <w:lang w:val="ar-SA"/>
        </w:rPr>
        <w:tab/>
        <w:t xml:space="preserve">وتشير الدولة الطرف إلى آراء اللجنة في حالة </w:t>
      </w:r>
      <w:r w:rsidRPr="000F05C8">
        <w:rPr>
          <w:i/>
          <w:iCs/>
          <w:spacing w:val="-2"/>
          <w:sz w:val="30"/>
          <w:rtl/>
          <w:lang w:val="ar-SA"/>
        </w:rPr>
        <w:t xml:space="preserve">س. </w:t>
      </w:r>
      <w:proofErr w:type="spellStart"/>
      <w:r w:rsidRPr="000F05C8">
        <w:rPr>
          <w:i/>
          <w:iCs/>
          <w:spacing w:val="-2"/>
          <w:sz w:val="30"/>
          <w:rtl/>
          <w:lang w:val="ar-SA"/>
        </w:rPr>
        <w:t>وص</w:t>
      </w:r>
      <w:proofErr w:type="spellEnd"/>
      <w:r w:rsidRPr="000F05C8">
        <w:rPr>
          <w:i/>
          <w:iCs/>
          <w:spacing w:val="-2"/>
          <w:sz w:val="30"/>
          <w:rtl/>
          <w:lang w:val="ar-SA"/>
        </w:rPr>
        <w:t>. وع. ضد السويد</w:t>
      </w:r>
      <w:r w:rsidRPr="000F05C8">
        <w:rPr>
          <w:rFonts w:eastAsia="Traditional Arabic"/>
          <w:spacing w:val="-2"/>
          <w:vertAlign w:val="superscript"/>
          <w:rtl/>
          <w:lang w:val="ar-SA"/>
        </w:rPr>
        <w:t>(</w:t>
      </w:r>
      <w:r w:rsidRPr="000F05C8">
        <w:rPr>
          <w:rFonts w:eastAsia="Traditional Arabic"/>
          <w:spacing w:val="-2"/>
          <w:vertAlign w:val="superscript"/>
          <w:rtl/>
          <w:lang w:val="ar-SA"/>
        </w:rPr>
        <w:footnoteReference w:id="7"/>
      </w:r>
      <w:r w:rsidRPr="000F05C8">
        <w:rPr>
          <w:rFonts w:eastAsia="Traditional Arabic"/>
          <w:spacing w:val="-2"/>
          <w:vertAlign w:val="superscript"/>
          <w:rtl/>
          <w:lang w:val="ar-SA"/>
        </w:rPr>
        <w:t>)</w:t>
      </w:r>
      <w:r w:rsidRPr="000F05C8">
        <w:rPr>
          <w:spacing w:val="-2"/>
          <w:sz w:val="30"/>
          <w:rtl/>
          <w:lang w:val="ar-SA"/>
        </w:rPr>
        <w:t xml:space="preserve">، وإلى قرار اللجنة في حالة </w:t>
      </w:r>
      <w:r w:rsidRPr="000F05C8">
        <w:rPr>
          <w:i/>
          <w:iCs/>
          <w:spacing w:val="-2"/>
          <w:sz w:val="30"/>
          <w:rtl/>
          <w:lang w:val="ar-SA"/>
        </w:rPr>
        <w:t>م.</w:t>
      </w:r>
      <w:r w:rsidRPr="000F05C8">
        <w:rPr>
          <w:rFonts w:hint="cs"/>
          <w:i/>
          <w:iCs/>
          <w:spacing w:val="-2"/>
          <w:sz w:val="30"/>
          <w:rtl/>
          <w:lang w:val="ar-SA"/>
        </w:rPr>
        <w:t xml:space="preserve"> </w:t>
      </w:r>
      <w:r w:rsidRPr="000F05C8">
        <w:rPr>
          <w:i/>
          <w:iCs/>
          <w:spacing w:val="-2"/>
          <w:sz w:val="30"/>
          <w:rtl/>
          <w:lang w:val="ar-SA"/>
        </w:rPr>
        <w:t>س.</w:t>
      </w:r>
      <w:r w:rsidRPr="000F05C8">
        <w:rPr>
          <w:rFonts w:hint="cs"/>
          <w:i/>
          <w:iCs/>
          <w:spacing w:val="-2"/>
          <w:sz w:val="30"/>
          <w:rtl/>
          <w:lang w:val="ar-SA"/>
        </w:rPr>
        <w:t xml:space="preserve"> </w:t>
      </w:r>
      <w:r w:rsidRPr="000F05C8">
        <w:rPr>
          <w:i/>
          <w:iCs/>
          <w:spacing w:val="-2"/>
          <w:sz w:val="30"/>
          <w:rtl/>
          <w:lang w:val="ar-SA"/>
        </w:rPr>
        <w:t>م.</w:t>
      </w:r>
      <w:r w:rsidRPr="000F05C8">
        <w:rPr>
          <w:rFonts w:hint="cs"/>
          <w:i/>
          <w:iCs/>
          <w:spacing w:val="-2"/>
          <w:sz w:val="30"/>
          <w:rtl/>
          <w:lang w:val="ar-SA"/>
        </w:rPr>
        <w:t xml:space="preserve"> </w:t>
      </w:r>
      <w:r w:rsidRPr="000F05C8">
        <w:rPr>
          <w:i/>
          <w:iCs/>
          <w:spacing w:val="-2"/>
          <w:sz w:val="30"/>
          <w:rtl/>
          <w:lang w:val="ar-SA"/>
        </w:rPr>
        <w:t>ف.</w:t>
      </w:r>
      <w:r w:rsidRPr="000F05C8">
        <w:rPr>
          <w:rFonts w:hint="cs"/>
          <w:i/>
          <w:iCs/>
          <w:spacing w:val="-2"/>
          <w:sz w:val="30"/>
          <w:rtl/>
          <w:lang w:val="ar-SA"/>
        </w:rPr>
        <w:t xml:space="preserve"> </w:t>
      </w:r>
      <w:r w:rsidRPr="000F05C8">
        <w:rPr>
          <w:i/>
          <w:iCs/>
          <w:spacing w:val="-2"/>
          <w:sz w:val="30"/>
          <w:rtl/>
          <w:lang w:val="ar-SA"/>
        </w:rPr>
        <w:t>ف. ضد السويد</w:t>
      </w:r>
      <w:r w:rsidRPr="000F05C8">
        <w:rPr>
          <w:rFonts w:eastAsia="Traditional Arabic"/>
          <w:spacing w:val="-2"/>
          <w:vertAlign w:val="superscript"/>
          <w:rtl/>
          <w:lang w:val="ar-SA"/>
        </w:rPr>
        <w:t>(</w:t>
      </w:r>
      <w:r w:rsidRPr="000F05C8">
        <w:rPr>
          <w:rFonts w:eastAsia="Traditional Arabic"/>
          <w:spacing w:val="-2"/>
          <w:vertAlign w:val="superscript"/>
          <w:rtl/>
          <w:lang w:val="ar-SA"/>
        </w:rPr>
        <w:footnoteReference w:id="8"/>
      </w:r>
      <w:r w:rsidRPr="000F05C8">
        <w:rPr>
          <w:rFonts w:eastAsia="Traditional Arabic"/>
          <w:spacing w:val="-2"/>
          <w:vertAlign w:val="superscript"/>
          <w:rtl/>
          <w:lang w:val="ar-SA"/>
        </w:rPr>
        <w:t>)</w:t>
      </w:r>
      <w:r w:rsidRPr="000F05C8">
        <w:rPr>
          <w:spacing w:val="-2"/>
          <w:sz w:val="30"/>
          <w:rtl/>
          <w:lang w:val="ar-SA"/>
        </w:rPr>
        <w:t>، وتؤكد أن النقطة الحاسمة هي الحالة السائدة في البلد الأصلي للشخص الأجنبي وقت عودته المحتملة إلى ذلك البلد.</w:t>
      </w:r>
    </w:p>
    <w:p w:rsidR="00C215E1" w:rsidRPr="000F05C8" w:rsidRDefault="000F05C8" w:rsidP="000F05C8">
      <w:pPr>
        <w:pStyle w:val="SingleTxtGA"/>
        <w:rPr>
          <w:rFonts w:eastAsia="Traditional Arabic"/>
          <w:spacing w:val="-2"/>
          <w:sz w:val="30"/>
          <w:rtl/>
          <w:lang w:val="ar-SA"/>
        </w:rPr>
      </w:pPr>
      <w:r w:rsidRPr="000F05C8">
        <w:rPr>
          <w:spacing w:val="-2"/>
          <w:sz w:val="30"/>
          <w:rtl/>
          <w:lang w:val="ar-SA"/>
        </w:rPr>
        <w:t>4-9</w:t>
      </w:r>
      <w:r w:rsidRPr="000F05C8">
        <w:rPr>
          <w:spacing w:val="-2"/>
          <w:sz w:val="30"/>
          <w:rtl/>
          <w:lang w:val="ar-SA"/>
        </w:rPr>
        <w:tab/>
        <w:t>وتدفع الدولة الطرف بأن صاحب الشكوى لم يثبت وجود دعوى ظاهرة الوجاهة تجيز قبول شكواه بموجب المادة 3 من الاتفاقية، وتشير إلى المادة 113 من النظام الداخلي للجنة. فلم يثبت وجود أسباب وجيهة تدعو إلى الاعتقاد بأن صاحب الشكوى يواجه خطر التعرض للتعذيب إذا أعيد إلى السودان. ومن ثم فمن الواضح أن الشكوى لا تستند إلى أساس سليم وينبغي إعلان عدم مقبوليتها. وإن رأت اللجنة أن الشكوى مقبولة، فإن الدولة الطرف تدفع بأن صاحبها لم يثبت بما فيه الكفاية أن إعادته إلى السودان تشكل انتهاكاً للمادة 3.</w:t>
      </w:r>
      <w:r w:rsidRPr="000F05C8">
        <w:rPr>
          <w:rFonts w:hint="cs"/>
          <w:spacing w:val="-2"/>
          <w:sz w:val="30"/>
          <w:rtl/>
          <w:lang w:val="ar-SA"/>
        </w:rPr>
        <w:t xml:space="preserve"> </w:t>
      </w:r>
    </w:p>
    <w:p w:rsidR="00C215E1" w:rsidRPr="000F05C8" w:rsidRDefault="00C215E1" w:rsidP="000F05C8">
      <w:pPr>
        <w:pStyle w:val="SingleTxtGA"/>
        <w:rPr>
          <w:rFonts w:eastAsia="Traditional Arabic"/>
          <w:spacing w:val="-2"/>
          <w:sz w:val="30"/>
          <w:rtl/>
          <w:lang w:val="ar-SA"/>
        </w:rPr>
      </w:pPr>
      <w:r w:rsidRPr="000F05C8">
        <w:rPr>
          <w:spacing w:val="-2"/>
          <w:sz w:val="30"/>
          <w:rtl/>
          <w:lang w:val="ar-SA"/>
        </w:rPr>
        <w:t>4-10</w:t>
      </w:r>
      <w:r>
        <w:rPr>
          <w:rFonts w:eastAsia="Traditional Arabic"/>
          <w:spacing w:val="-2"/>
          <w:sz w:val="30"/>
          <w:rtl/>
          <w:lang w:val="ar-SA"/>
        </w:rPr>
        <w:tab/>
      </w:r>
      <w:r w:rsidR="000F05C8" w:rsidRPr="000F05C8">
        <w:rPr>
          <w:spacing w:val="-2"/>
          <w:sz w:val="30"/>
          <w:rtl/>
          <w:lang w:val="ar-SA"/>
        </w:rPr>
        <w:t>وكما يتبين من القرار الذي اتخذه مجلس طعون اللاجئين، فإن المجلس لم يعتبر أقوال صاحب الشكوى بشأن أسباب طلبه اللجوء وقائع ذات مصداقية، لأن غالبية أعضاء المجلس شدَّدوا على أن مقدم الطلب، فيما يتعلق بالنقاط الأساسية، قد أدلى بأقوال متضاربة وتنزع إلى المبالغة، وأنه هو وشريكته أدليا ببيانات متضاربة فيما يتعلق بالسبب في مغادرتهما للسودان (انظر الفقرتين 4-3 و4-4 أعلاه). وعليه، فقد خلص المجلس إلى أن صاحب الشكوى لم يقدم أدلة تثبت ادعاءه أنه قد تعرض للتعذيب.</w:t>
      </w:r>
    </w:p>
    <w:p w:rsidR="00C215E1" w:rsidRPr="000F05C8" w:rsidRDefault="00C215E1" w:rsidP="000F05C8">
      <w:pPr>
        <w:pStyle w:val="SingleTxtGA"/>
        <w:rPr>
          <w:spacing w:val="-2"/>
          <w:sz w:val="30"/>
          <w:rtl/>
          <w:lang w:val="ar-SA"/>
        </w:rPr>
      </w:pPr>
      <w:r w:rsidRPr="000F05C8">
        <w:rPr>
          <w:spacing w:val="-2"/>
          <w:sz w:val="30"/>
          <w:rtl/>
          <w:lang w:val="ar-SA"/>
        </w:rPr>
        <w:t>4-11</w:t>
      </w:r>
      <w:r>
        <w:rPr>
          <w:rFonts w:eastAsia="Traditional Arabic"/>
          <w:spacing w:val="-2"/>
          <w:sz w:val="30"/>
          <w:rtl/>
          <w:lang w:val="ar-SA"/>
        </w:rPr>
        <w:tab/>
      </w:r>
      <w:r w:rsidR="000F05C8" w:rsidRPr="000F05C8">
        <w:rPr>
          <w:spacing w:val="-2"/>
          <w:sz w:val="30"/>
          <w:rtl/>
          <w:lang w:val="ar-SA"/>
        </w:rPr>
        <w:t xml:space="preserve">وفيما يتعلق بملاحظات صاحب الشكوى أن سلطات الهجرة </w:t>
      </w:r>
      <w:proofErr w:type="spellStart"/>
      <w:r w:rsidR="000F05C8" w:rsidRPr="000F05C8">
        <w:rPr>
          <w:spacing w:val="-2"/>
          <w:sz w:val="30"/>
          <w:rtl/>
          <w:lang w:val="ar-SA"/>
        </w:rPr>
        <w:t>الدانمركية</w:t>
      </w:r>
      <w:proofErr w:type="spellEnd"/>
      <w:r w:rsidR="000F05C8" w:rsidRPr="000F05C8">
        <w:rPr>
          <w:spacing w:val="-2"/>
          <w:sz w:val="30"/>
          <w:rtl/>
          <w:lang w:val="ar-SA"/>
        </w:rPr>
        <w:t xml:space="preserve"> بتّت في طلب اللجوء الذي قدمه دون إجراء فحص للكشف عن علامات التعذيب على الرغم من أنه قد ارتضى الخضوع لهذا الفحص، تلاحظ الدولة الطرف أن مجلس طعون اللاجئين في الأحوال العادية لا يأمر بإجراء فحص للكشف عن علامات التعذيب حين يبدو أن طالب اللجوء غير ذي مصداقية طوال الإجراءات، ولذلك يتعين على المجلس أن يرفض بيان طالب اللجوء عن التعذيب بأكمله. وتدفع الدولة الطرف بأن القضية التي نظرت فيها اللجنة في حالة </w:t>
      </w:r>
      <w:r w:rsidR="000F05C8" w:rsidRPr="000F05C8">
        <w:rPr>
          <w:i/>
          <w:iCs/>
          <w:spacing w:val="-2"/>
          <w:sz w:val="30"/>
          <w:rtl/>
          <w:lang w:val="ar-SA"/>
        </w:rPr>
        <w:t>ك. ﻫ. ضد الدانمرك</w:t>
      </w:r>
      <w:r w:rsidR="000F05C8" w:rsidRPr="000F05C8">
        <w:rPr>
          <w:rFonts w:eastAsia="Traditional Arabic"/>
          <w:spacing w:val="-2"/>
          <w:vertAlign w:val="superscript"/>
          <w:rtl/>
          <w:lang w:val="ar-SA"/>
        </w:rPr>
        <w:t>(</w:t>
      </w:r>
      <w:r w:rsidR="000F05C8" w:rsidRPr="000F05C8">
        <w:rPr>
          <w:rFonts w:eastAsia="Traditional Arabic"/>
          <w:spacing w:val="-2"/>
          <w:vertAlign w:val="superscript"/>
          <w:rtl/>
          <w:lang w:val="ar-SA"/>
        </w:rPr>
        <w:footnoteReference w:id="9"/>
      </w:r>
      <w:r w:rsidR="000F05C8" w:rsidRPr="000F05C8">
        <w:rPr>
          <w:rFonts w:eastAsia="Traditional Arabic"/>
          <w:spacing w:val="-2"/>
          <w:vertAlign w:val="superscript"/>
          <w:rtl/>
          <w:lang w:val="ar-SA"/>
        </w:rPr>
        <w:t>)</w:t>
      </w:r>
      <w:r w:rsidR="000F05C8" w:rsidRPr="000F05C8">
        <w:rPr>
          <w:rFonts w:eastAsia="Traditional Arabic"/>
          <w:spacing w:val="-2"/>
          <w:sz w:val="30"/>
          <w:vertAlign w:val="superscript"/>
          <w:rtl/>
          <w:lang w:val="ar-SA"/>
        </w:rPr>
        <w:t xml:space="preserve"> </w:t>
      </w:r>
      <w:r w:rsidR="000F05C8" w:rsidRPr="000F05C8">
        <w:rPr>
          <w:spacing w:val="-2"/>
          <w:sz w:val="30"/>
          <w:rtl/>
          <w:lang w:val="ar-SA"/>
        </w:rPr>
        <w:t xml:space="preserve">تختلف اختلافاً كبيراً عن قضية صاحب الشكوى من حيث كونها تتعلق بمواطن أفغاني كانت أسباب طلبه اللجوء لها علاقة </w:t>
      </w:r>
      <w:proofErr w:type="spellStart"/>
      <w:r w:rsidR="000F05C8" w:rsidRPr="000F05C8">
        <w:rPr>
          <w:spacing w:val="-2"/>
          <w:sz w:val="30"/>
          <w:rtl/>
          <w:lang w:val="ar-SA"/>
        </w:rPr>
        <w:t>بالطالبان</w:t>
      </w:r>
      <w:proofErr w:type="spellEnd"/>
      <w:r w:rsidR="000F05C8" w:rsidRPr="000F05C8">
        <w:rPr>
          <w:spacing w:val="-2"/>
          <w:sz w:val="30"/>
          <w:rtl/>
          <w:lang w:val="ar-SA"/>
        </w:rPr>
        <w:t>، وأن المجلس "أمكنه أن يعتبر أقوال صاحب الشكوى بشأن نزاعاته مع الطالبان حقيقة واقعة".</w:t>
      </w:r>
    </w:p>
    <w:p w:rsidR="00C215E1" w:rsidRPr="000F05C8" w:rsidRDefault="00C215E1" w:rsidP="000F05C8">
      <w:pPr>
        <w:pStyle w:val="SingleTxtGA"/>
        <w:rPr>
          <w:rFonts w:eastAsia="Traditional Arabic"/>
          <w:spacing w:val="-2"/>
          <w:sz w:val="30"/>
          <w:rtl/>
          <w:lang w:val="ar-SA"/>
        </w:rPr>
      </w:pPr>
      <w:r w:rsidRPr="000F05C8">
        <w:rPr>
          <w:spacing w:val="-2"/>
          <w:sz w:val="30"/>
          <w:rtl/>
          <w:lang w:val="ar-SA"/>
        </w:rPr>
        <w:t>4-12</w:t>
      </w:r>
      <w:r>
        <w:rPr>
          <w:spacing w:val="-2"/>
          <w:sz w:val="30"/>
          <w:rtl/>
          <w:lang w:val="ar-SA"/>
        </w:rPr>
        <w:tab/>
      </w:r>
      <w:r w:rsidR="000F05C8" w:rsidRPr="000F05C8">
        <w:rPr>
          <w:spacing w:val="-2"/>
          <w:sz w:val="30"/>
          <w:rtl/>
          <w:lang w:val="ar-SA"/>
        </w:rPr>
        <w:t xml:space="preserve">وخلص مجلس طعون اللاجئين أيضاً إلى أن علاقة صاحب الشكوى بامرأة مسيحية لا تبرر اللجوء (انظر الفقرة 4-4 أعلاه). وفي هذا الصدد، تشير الدولة الطرف إلى </w:t>
      </w:r>
      <w:proofErr w:type="spellStart"/>
      <w:r w:rsidR="000F05C8" w:rsidRPr="000F05C8">
        <w:rPr>
          <w:rFonts w:cs="Times New Roman"/>
          <w:i/>
          <w:iCs/>
          <w:spacing w:val="-2"/>
          <w:szCs w:val="20"/>
          <w:rtl/>
          <w:lang w:val="ar-SA"/>
        </w:rPr>
        <w:t>International</w:t>
      </w:r>
      <w:proofErr w:type="spellEnd"/>
      <w:r w:rsidR="000F05C8" w:rsidRPr="000F05C8">
        <w:rPr>
          <w:rFonts w:cs="Times New Roman"/>
          <w:i/>
          <w:iCs/>
          <w:spacing w:val="-2"/>
          <w:szCs w:val="20"/>
          <w:rtl/>
          <w:lang w:val="ar-SA"/>
        </w:rPr>
        <w:t xml:space="preserve"> </w:t>
      </w:r>
      <w:proofErr w:type="spellStart"/>
      <w:r w:rsidR="000F05C8" w:rsidRPr="000F05C8">
        <w:rPr>
          <w:rFonts w:cs="Times New Roman"/>
          <w:i/>
          <w:iCs/>
          <w:spacing w:val="-2"/>
          <w:szCs w:val="20"/>
          <w:rtl/>
          <w:lang w:val="ar-SA"/>
        </w:rPr>
        <w:lastRenderedPageBreak/>
        <w:t>Religious</w:t>
      </w:r>
      <w:proofErr w:type="spellEnd"/>
      <w:r w:rsidR="000F05C8" w:rsidRPr="000F05C8">
        <w:rPr>
          <w:rFonts w:cs="Times New Roman"/>
          <w:i/>
          <w:iCs/>
          <w:spacing w:val="-2"/>
          <w:szCs w:val="20"/>
          <w:rtl/>
          <w:lang w:val="ar-SA"/>
        </w:rPr>
        <w:t xml:space="preserve"> </w:t>
      </w:r>
      <w:proofErr w:type="spellStart"/>
      <w:r w:rsidR="000F05C8" w:rsidRPr="000F05C8">
        <w:rPr>
          <w:rFonts w:cs="Times New Roman"/>
          <w:i/>
          <w:iCs/>
          <w:spacing w:val="-2"/>
          <w:szCs w:val="20"/>
          <w:rtl/>
          <w:lang w:val="ar-SA"/>
        </w:rPr>
        <w:t>Freedom</w:t>
      </w:r>
      <w:proofErr w:type="spellEnd"/>
      <w:r w:rsidR="000F05C8" w:rsidRPr="000F05C8">
        <w:rPr>
          <w:rFonts w:cs="Times New Roman"/>
          <w:i/>
          <w:iCs/>
          <w:spacing w:val="-2"/>
          <w:szCs w:val="20"/>
          <w:rtl/>
          <w:lang w:val="ar-SA"/>
        </w:rPr>
        <w:t xml:space="preserve"> </w:t>
      </w:r>
      <w:proofErr w:type="spellStart"/>
      <w:r w:rsidR="000F05C8" w:rsidRPr="000F05C8">
        <w:rPr>
          <w:rFonts w:cs="Times New Roman"/>
          <w:i/>
          <w:iCs/>
          <w:spacing w:val="-2"/>
          <w:szCs w:val="20"/>
          <w:rtl/>
          <w:lang w:val="ar-SA"/>
        </w:rPr>
        <w:t>Report</w:t>
      </w:r>
      <w:proofErr w:type="spellEnd"/>
      <w:r w:rsidR="000F05C8" w:rsidRPr="000F05C8">
        <w:rPr>
          <w:rFonts w:cs="Times New Roman"/>
          <w:i/>
          <w:iCs/>
          <w:spacing w:val="-2"/>
          <w:szCs w:val="20"/>
          <w:rtl/>
          <w:lang w:val="ar-SA"/>
        </w:rPr>
        <w:t xml:space="preserve"> </w:t>
      </w:r>
      <w:proofErr w:type="spellStart"/>
      <w:r w:rsidR="000F05C8" w:rsidRPr="000F05C8">
        <w:rPr>
          <w:rFonts w:cs="Times New Roman"/>
          <w:i/>
          <w:iCs/>
          <w:spacing w:val="-2"/>
          <w:szCs w:val="20"/>
          <w:rtl/>
          <w:lang w:val="ar-SA"/>
        </w:rPr>
        <w:t>for</w:t>
      </w:r>
      <w:proofErr w:type="spellEnd"/>
      <w:r w:rsidR="000F05C8" w:rsidRPr="000F05C8">
        <w:rPr>
          <w:rFonts w:cs="Times New Roman"/>
          <w:i/>
          <w:iCs/>
          <w:spacing w:val="-2"/>
          <w:szCs w:val="20"/>
          <w:rtl/>
          <w:lang w:val="ar-SA"/>
        </w:rPr>
        <w:t xml:space="preserve"> 2012 — </w:t>
      </w:r>
      <w:proofErr w:type="spellStart"/>
      <w:r w:rsidR="000F05C8" w:rsidRPr="000F05C8">
        <w:rPr>
          <w:rFonts w:cs="Times New Roman"/>
          <w:i/>
          <w:iCs/>
          <w:spacing w:val="-2"/>
          <w:szCs w:val="20"/>
          <w:rtl/>
          <w:lang w:val="ar-SA"/>
        </w:rPr>
        <w:t>Sudan</w:t>
      </w:r>
      <w:proofErr w:type="spellEnd"/>
      <w:r w:rsidR="000F05C8" w:rsidRPr="000F05C8">
        <w:rPr>
          <w:rStyle w:val="FootnoteReference"/>
          <w:spacing w:val="-2"/>
          <w:sz w:val="20"/>
          <w:szCs w:val="30"/>
          <w:rtl/>
          <w:lang w:val="ar-SA"/>
        </w:rPr>
        <w:t>(</w:t>
      </w:r>
      <w:r w:rsidR="000F05C8" w:rsidRPr="000F05C8">
        <w:rPr>
          <w:rStyle w:val="FootnoteReference"/>
          <w:spacing w:val="-2"/>
          <w:sz w:val="20"/>
          <w:szCs w:val="30"/>
          <w:rtl/>
          <w:lang w:val="ar-SA"/>
        </w:rPr>
        <w:footnoteReference w:id="10"/>
      </w:r>
      <w:r w:rsidR="000F05C8" w:rsidRPr="000F05C8">
        <w:rPr>
          <w:rStyle w:val="FootnoteReference"/>
          <w:spacing w:val="-2"/>
          <w:sz w:val="20"/>
          <w:szCs w:val="30"/>
          <w:rtl/>
          <w:lang w:val="ar-SA"/>
        </w:rPr>
        <w:t>)</w:t>
      </w:r>
      <w:r w:rsidR="000F05C8" w:rsidRPr="000F05C8">
        <w:rPr>
          <w:rStyle w:val="FootnoteReference"/>
          <w:spacing w:val="-2"/>
          <w:sz w:val="30"/>
          <w:rtl/>
          <w:lang w:val="ar-SA"/>
        </w:rPr>
        <w:t xml:space="preserve"> </w:t>
      </w:r>
      <w:r w:rsidR="000F05C8" w:rsidRPr="000F05C8">
        <w:rPr>
          <w:spacing w:val="-2"/>
          <w:sz w:val="30"/>
          <w:rtl/>
          <w:lang w:val="ar-SA"/>
        </w:rPr>
        <w:t>[تقرير الحرية الدينية الدولية لعام 2012</w:t>
      </w:r>
      <w:r w:rsidR="000F05C8" w:rsidRPr="000F05C8">
        <w:rPr>
          <w:rFonts w:hint="cs"/>
          <w:spacing w:val="-2"/>
          <w:sz w:val="30"/>
          <w:rtl/>
          <w:lang w:val="ar-SA"/>
        </w:rPr>
        <w:t xml:space="preserve"> </w:t>
      </w:r>
      <w:r w:rsidR="000F05C8" w:rsidRPr="000F05C8">
        <w:rPr>
          <w:spacing w:val="-2"/>
          <w:sz w:val="30"/>
          <w:rtl/>
          <w:lang w:val="ar-SA"/>
        </w:rPr>
        <w:t>-</w:t>
      </w:r>
      <w:r w:rsidR="000F05C8" w:rsidRPr="000F05C8">
        <w:rPr>
          <w:rFonts w:hint="cs"/>
          <w:spacing w:val="-2"/>
          <w:sz w:val="30"/>
          <w:rtl/>
          <w:lang w:val="ar-SA"/>
        </w:rPr>
        <w:t xml:space="preserve"> </w:t>
      </w:r>
      <w:r w:rsidR="000F05C8" w:rsidRPr="000F05C8">
        <w:rPr>
          <w:spacing w:val="-2"/>
          <w:sz w:val="30"/>
          <w:rtl/>
          <w:lang w:val="ar-SA"/>
        </w:rPr>
        <w:t>السودان]، الذي نشرته وزارة خارجية الولايات المتحدة الأمريكية في 30 تموز/يوليه 2012، والذي أُدرج أيضاً ضمن المواد الأساسية التي أوردها المجلس في تقييمه حالة صاحب الشكوى. وبعد إجراء تقييم شامل للمعلومات التي قدمها صاحب الشكوى في الدعوى، بالاقتران مع البيانات الأخرى المقدمة، بما في ذلك المعلومات التي قدمتها شريكته والمعلومات الأساسية المتاحة عن الحالة في المنطقة التي ينتمي لها صاحب الشكوى، لم يتمكن غالبية أعضاء المجلس من القبول بمصداقية أقواله بشأن النزاعات مع السلطات أو غيرها في السودان قبل مغادرته على أنها وقائع. وتؤكد الدولة الطرف علاوة على ذلك أنه لا القرار الذي اتخذه المجلس بقرار الأغلبية ولا انتماء صاحب الشكوى لبلد من البلدان التي تحدث فيها انتهاكات جسيمة لحقوق الإنسان يمكن أن يؤدي إلى تقييم مختلف للحالة.</w:t>
      </w:r>
    </w:p>
    <w:p w:rsidR="00C215E1" w:rsidRPr="000F05C8" w:rsidRDefault="00C215E1" w:rsidP="000F05C8">
      <w:pPr>
        <w:pStyle w:val="SingleTxtGA"/>
        <w:rPr>
          <w:rFonts w:eastAsia="Traditional Arabic"/>
          <w:spacing w:val="-2"/>
          <w:sz w:val="30"/>
          <w:rtl/>
          <w:lang w:val="ar-SA"/>
        </w:rPr>
      </w:pPr>
      <w:r w:rsidRPr="000F05C8">
        <w:rPr>
          <w:spacing w:val="-2"/>
          <w:sz w:val="30"/>
          <w:rtl/>
          <w:lang w:val="ar-SA"/>
        </w:rPr>
        <w:t>4-13</w:t>
      </w:r>
      <w:r>
        <w:rPr>
          <w:rFonts w:eastAsia="Traditional Arabic"/>
          <w:spacing w:val="-2"/>
          <w:sz w:val="30"/>
          <w:rtl/>
          <w:lang w:val="ar-SA"/>
        </w:rPr>
        <w:tab/>
      </w:r>
      <w:r w:rsidR="000F05C8" w:rsidRPr="000F05C8">
        <w:rPr>
          <w:spacing w:val="-2"/>
          <w:sz w:val="30"/>
          <w:rtl/>
          <w:lang w:val="ar-SA"/>
        </w:rPr>
        <w:t xml:space="preserve">وتدفع الدولة الطرف بأنه لم تقدم أي معلومات جديدة في الشكوى المقدمة إلى اللجنة من صاحب الشكوى بشأن تعرضه لسوء المعاملة في بلده الأصلي، مقارنة بالمعلومات المتاحة عندما اتخذ المجلس قراراً بشأن الاستئناف، التي تشكل بالتالي جزءاً من الأساس الذي بنت عليه قرارها. وكذلك لم تقدم أي معلومات أخرى يمكن أن تفضي إلى تقييم مختلف لمصداقية المعلومات المقدمة منه عن أسباب طلبه اللجوء. وتشير الدولة الطرف أيضاً إلى الاستنتاجات التي خلصت إليها المحكمة الأوروبية لحقوق الإنسان في عدة قضايا تتعلق بتقييم المصداقية في حالات اللجوء، ومنها الحكم الذي أصدرته في قضية </w:t>
      </w:r>
      <w:r w:rsidR="000F05C8" w:rsidRPr="000F05C8">
        <w:rPr>
          <w:i/>
          <w:iCs/>
          <w:spacing w:val="-2"/>
          <w:sz w:val="30"/>
          <w:rtl/>
          <w:lang w:val="ar-SA"/>
        </w:rPr>
        <w:t>ر. س. ضد السويد</w:t>
      </w:r>
      <w:r w:rsidR="000F05C8" w:rsidRPr="000F05C8">
        <w:rPr>
          <w:spacing w:val="-2"/>
          <w:sz w:val="30"/>
          <w:rtl/>
          <w:lang w:val="ar-SA"/>
        </w:rPr>
        <w:t>: "تلاحظ المحكمة، من البداية، أن هناك نزاعاً بين الطرفين بشأن وقائع هذه القضية، وأن الحكومة قد شككت في مصداقية مقدم الطلب، وأشارت إلى بعض أوجه عدم الاتساق في روايته. وتقرّ المحكمة بأنه كثيراً ما يصعب تحديد الوقائع ذات الصلة بدقة في حالات مثل الحالة الراهنة. وتقبل، كمبدأ عام، أن السلطات الوطنية هي الأقدر ليس على تقييم الوقائع فحسب، بل وعلى الأخص، تقييم مصداقية الشهود، لأن تلك السلطات هي التي أتيحت لها فرصة لرؤية سلوك الفرد المعني وسماعه وتقييمه</w:t>
      </w:r>
      <w:r w:rsidR="000F05C8" w:rsidRPr="000F05C8">
        <w:rPr>
          <w:rFonts w:eastAsia="Traditional Arabic"/>
          <w:spacing w:val="-2"/>
          <w:vertAlign w:val="superscript"/>
          <w:rtl/>
          <w:lang w:val="ar-SA"/>
        </w:rPr>
        <w:t>(</w:t>
      </w:r>
      <w:r w:rsidR="000F05C8" w:rsidRPr="000F05C8">
        <w:rPr>
          <w:rFonts w:eastAsia="Traditional Arabic"/>
          <w:spacing w:val="-2"/>
          <w:vertAlign w:val="superscript"/>
          <w:rtl/>
          <w:lang w:val="ar-SA"/>
        </w:rPr>
        <w:footnoteReference w:id="11"/>
      </w:r>
      <w:r w:rsidR="000F05C8" w:rsidRPr="000F05C8">
        <w:rPr>
          <w:rFonts w:eastAsia="Traditional Arabic"/>
          <w:spacing w:val="-2"/>
          <w:vertAlign w:val="superscript"/>
          <w:rtl/>
          <w:lang w:val="ar-SA"/>
        </w:rPr>
        <w:t>)</w:t>
      </w:r>
      <w:r w:rsidR="000F05C8" w:rsidRPr="000F05C8">
        <w:rPr>
          <w:spacing w:val="-2"/>
          <w:sz w:val="30"/>
          <w:rtl/>
          <w:lang w:val="ar-SA"/>
        </w:rPr>
        <w:t>"</w:t>
      </w:r>
      <w:r w:rsidR="000F05C8" w:rsidRPr="000F05C8">
        <w:rPr>
          <w:rFonts w:hint="cs"/>
          <w:spacing w:val="-2"/>
          <w:sz w:val="30"/>
          <w:rtl/>
          <w:lang w:val="ar-SA"/>
        </w:rPr>
        <w:t>.</w:t>
      </w:r>
    </w:p>
    <w:p w:rsidR="000F05C8" w:rsidRPr="000F05C8" w:rsidRDefault="00C215E1" w:rsidP="000F05C8">
      <w:pPr>
        <w:pStyle w:val="SingleTxtGA"/>
        <w:rPr>
          <w:rFonts w:eastAsia="Traditional Arabic"/>
          <w:spacing w:val="-2"/>
          <w:sz w:val="30"/>
          <w:rtl/>
          <w:lang w:val="ar-SA"/>
        </w:rPr>
      </w:pPr>
      <w:r w:rsidRPr="000F05C8">
        <w:rPr>
          <w:rFonts w:eastAsia="Traditional Arabic"/>
          <w:spacing w:val="-2"/>
          <w:sz w:val="30"/>
          <w:rtl/>
          <w:lang w:val="ar-SA"/>
        </w:rPr>
        <w:t>4-14</w:t>
      </w:r>
      <w:r>
        <w:rPr>
          <w:rFonts w:eastAsia="Traditional Arabic"/>
          <w:spacing w:val="-2"/>
          <w:sz w:val="30"/>
          <w:rtl/>
          <w:lang w:val="ar-SA"/>
        </w:rPr>
        <w:tab/>
      </w:r>
      <w:r w:rsidR="000F05C8" w:rsidRPr="000F05C8">
        <w:rPr>
          <w:spacing w:val="-2"/>
          <w:sz w:val="30"/>
          <w:rtl/>
          <w:lang w:val="ar-SA"/>
        </w:rPr>
        <w:t>وتدفع الدولة الطرف كذلك بأنه يترتب أيضاً على السوابق القضائية للجنة أنه ينبغي إيلاء الاعتبار الواجب للنتائج التي تتوصل إليها السلطات الحكومية على أساس الوقائع</w:t>
      </w:r>
      <w:r w:rsidR="000F05C8" w:rsidRPr="000F05C8">
        <w:rPr>
          <w:rFonts w:eastAsia="Traditional Arabic"/>
          <w:spacing w:val="-2"/>
          <w:vertAlign w:val="superscript"/>
          <w:rtl/>
          <w:lang w:val="ar-SA"/>
        </w:rPr>
        <w:t>(</w:t>
      </w:r>
      <w:r w:rsidR="000F05C8" w:rsidRPr="000F05C8">
        <w:rPr>
          <w:rFonts w:eastAsia="Traditional Arabic"/>
          <w:spacing w:val="-2"/>
          <w:vertAlign w:val="superscript"/>
          <w:rtl/>
          <w:lang w:val="ar-SA"/>
        </w:rPr>
        <w:footnoteReference w:id="12"/>
      </w:r>
      <w:r w:rsidR="000F05C8" w:rsidRPr="000F05C8">
        <w:rPr>
          <w:rFonts w:eastAsia="Traditional Arabic"/>
          <w:spacing w:val="-2"/>
          <w:vertAlign w:val="superscript"/>
          <w:rtl/>
          <w:lang w:val="ar-SA"/>
        </w:rPr>
        <w:t>)</w:t>
      </w:r>
      <w:r w:rsidR="000F05C8" w:rsidRPr="000F05C8">
        <w:rPr>
          <w:rFonts w:eastAsia="Traditional Arabic"/>
          <w:spacing w:val="-2"/>
          <w:sz w:val="30"/>
          <w:vertAlign w:val="superscript"/>
          <w:rtl/>
          <w:lang w:val="ar-SA"/>
        </w:rPr>
        <w:t xml:space="preserve"> </w:t>
      </w:r>
      <w:r w:rsidR="000F05C8" w:rsidRPr="000F05C8">
        <w:rPr>
          <w:spacing w:val="-2"/>
          <w:sz w:val="30"/>
          <w:rtl/>
          <w:lang w:val="ar-SA"/>
        </w:rPr>
        <w:t xml:space="preserve">. فقد اتخذ مجلس طعون اللاجئين قراره على أساس إجراء أتيحت خلاله لصاحب الشكوى فرصة تقديم آرائه خطياً وشفوياً، بمساعدة محام. ومن ثمَّ فإن القرار الذي اتخذه المجلس يستند إلى دراسة شاملة ودقيقة لجميع الأدلة في هذه القضية. ولدى تقييم مصداقية صاحب الشكوى، أجرى المجلس تقييماً شاملاً، تضمَّن أقواله وسلوكه في جلسة الاستماع التي عقدها المجلس، بالاقتران مع المعلومات الأخرى المتاحة في القضية. ووفقاً لما تقضي به الاجتهادات السابقة للجنة، شدَّد المجلس في هذا الصدد على ما إذا كانت الإفادات متماسكة ومحتملة ومتسقة. ولم يقدم صاحب الشكوى في شكواه إلى اللجنة أي تفاصيل جديدة ومحددة عن حالته، وبالتالي، فهو، في واقع </w:t>
      </w:r>
      <w:r w:rsidR="000F05C8" w:rsidRPr="000F05C8">
        <w:rPr>
          <w:spacing w:val="-2"/>
          <w:sz w:val="30"/>
          <w:rtl/>
          <w:lang w:val="ar-SA"/>
        </w:rPr>
        <w:lastRenderedPageBreak/>
        <w:t xml:space="preserve">الأمر، يحاول أن يستخدم اللجنة بمثابة هيئة استئنافية، وأن تعيد اللجنة تقييم الظروف </w:t>
      </w:r>
      <w:proofErr w:type="spellStart"/>
      <w:r w:rsidR="000F05C8" w:rsidRPr="000F05C8">
        <w:rPr>
          <w:spacing w:val="-2"/>
          <w:sz w:val="30"/>
          <w:rtl/>
          <w:lang w:val="ar-SA"/>
        </w:rPr>
        <w:t>الوقائعية</w:t>
      </w:r>
      <w:proofErr w:type="spellEnd"/>
      <w:r w:rsidR="000F05C8" w:rsidRPr="000F05C8">
        <w:rPr>
          <w:spacing w:val="-2"/>
          <w:sz w:val="30"/>
          <w:rtl/>
          <w:lang w:val="ar-SA"/>
        </w:rPr>
        <w:t xml:space="preserve"> التي يستند إليها لدعم طلبه اللجوء</w:t>
      </w:r>
      <w:r w:rsidR="000F05C8" w:rsidRPr="000F05C8">
        <w:rPr>
          <w:rFonts w:hint="cs"/>
          <w:spacing w:val="-2"/>
          <w:sz w:val="30"/>
          <w:rtl/>
          <w:lang w:val="ar-SA"/>
        </w:rPr>
        <w:t>.</w:t>
      </w:r>
      <w:r w:rsidR="000F05C8" w:rsidRPr="000F05C8">
        <w:rPr>
          <w:spacing w:val="-2"/>
          <w:sz w:val="30"/>
          <w:rtl/>
          <w:lang w:val="ar-SA"/>
        </w:rPr>
        <w:t xml:space="preserve"> وتؤكد الدولة الطرف أن اللجنة يجب أن تولي وزناً كبيراً لاستنتاجات المجلس </w:t>
      </w:r>
      <w:proofErr w:type="spellStart"/>
      <w:r w:rsidR="000F05C8" w:rsidRPr="000F05C8">
        <w:rPr>
          <w:spacing w:val="-2"/>
          <w:sz w:val="30"/>
          <w:rtl/>
          <w:lang w:val="ar-SA"/>
        </w:rPr>
        <w:t>الوقائعية</w:t>
      </w:r>
      <w:proofErr w:type="spellEnd"/>
      <w:r w:rsidR="000F05C8" w:rsidRPr="000F05C8">
        <w:rPr>
          <w:spacing w:val="-2"/>
          <w:sz w:val="30"/>
          <w:rtl/>
          <w:lang w:val="ar-SA"/>
        </w:rPr>
        <w:t>، باعتباره أقدر على تقييم الوقائع في قضية صاحب الشكوى.</w:t>
      </w:r>
    </w:p>
    <w:p w:rsidR="00C215E1" w:rsidRPr="00121EA5" w:rsidRDefault="000F05C8" w:rsidP="000F05C8">
      <w:pPr>
        <w:pStyle w:val="H23GA"/>
        <w:rPr>
          <w:rFonts w:eastAsia="Traditional Arabic"/>
          <w:rtl/>
          <w:lang w:val="ar-SA"/>
        </w:rPr>
      </w:pPr>
      <w:r w:rsidRPr="00121EA5">
        <w:rPr>
          <w:rFonts w:eastAsia="Traditional Arabic"/>
          <w:rtl/>
          <w:lang w:val="ar-SA"/>
        </w:rPr>
        <w:tab/>
      </w:r>
      <w:r w:rsidRPr="00121EA5">
        <w:rPr>
          <w:rFonts w:eastAsia="Traditional Arabic"/>
          <w:rtl/>
          <w:lang w:val="ar-SA"/>
        </w:rPr>
        <w:tab/>
      </w:r>
      <w:r w:rsidRPr="00121EA5">
        <w:rPr>
          <w:rFonts w:eastAsia="Arial Unicode MS" w:hint="cs"/>
          <w:rtl/>
          <w:lang w:val="ar-SA"/>
        </w:rPr>
        <w:t>تعليقات صاحب الشكوى على ملاحظات الدولة الطرف</w:t>
      </w:r>
    </w:p>
    <w:p w:rsidR="00C215E1" w:rsidRPr="00121EA5" w:rsidRDefault="00C215E1" w:rsidP="000F05C8">
      <w:pPr>
        <w:pStyle w:val="SingleTxtGA"/>
        <w:rPr>
          <w:rFonts w:eastAsia="Traditional Arabic"/>
          <w:sz w:val="30"/>
          <w:rtl/>
          <w:lang w:val="ar-SA"/>
        </w:rPr>
      </w:pPr>
      <w:r w:rsidRPr="00121EA5">
        <w:rPr>
          <w:sz w:val="30"/>
          <w:rtl/>
          <w:lang w:val="ar-SA"/>
        </w:rPr>
        <w:t>5-1</w:t>
      </w:r>
      <w:r>
        <w:rPr>
          <w:rFonts w:eastAsia="Traditional Arabic"/>
          <w:rtl/>
          <w:lang w:val="ar-SA"/>
        </w:rPr>
        <w:tab/>
      </w:r>
      <w:r w:rsidR="000F05C8" w:rsidRPr="00121EA5">
        <w:rPr>
          <w:sz w:val="30"/>
          <w:rtl/>
          <w:lang w:val="ar-SA"/>
        </w:rPr>
        <w:t xml:space="preserve">يدفع صاحب الشكوى، في مذكرتين مؤرختين 21 كانون الثاني/يناير 2016 و2 شباط/فبراير 2016، بأن دائرة الهجرة </w:t>
      </w:r>
      <w:proofErr w:type="spellStart"/>
      <w:r w:rsidR="000F05C8" w:rsidRPr="00121EA5">
        <w:rPr>
          <w:sz w:val="30"/>
          <w:rtl/>
          <w:lang w:val="ar-SA"/>
        </w:rPr>
        <w:t>الدانمركية</w:t>
      </w:r>
      <w:proofErr w:type="spellEnd"/>
      <w:r w:rsidR="000F05C8" w:rsidRPr="00121EA5">
        <w:rPr>
          <w:sz w:val="30"/>
          <w:rtl/>
          <w:lang w:val="ar-SA"/>
        </w:rPr>
        <w:t xml:space="preserve"> ومجلس طعون اللاجئين على ما يبدو لم يفهما ضرورة إجراء فحوصات طبية في حالات التعذيب. وعندما وصل إلى الدانمرك، لم يتمكن هو وشريكته من تحقيق إعادة لم شمل الأسرة بموجب القواعد القائمة. وبوصفه ضحية للتعذيب في بلده الأصلي، قدم في الدانمرك طلباً للحماية من الإبعاد إلى السودان.</w:t>
      </w:r>
    </w:p>
    <w:p w:rsidR="000F05C8" w:rsidRPr="00121EA5" w:rsidRDefault="00C215E1" w:rsidP="000F05C8">
      <w:pPr>
        <w:pStyle w:val="SingleTxtGA"/>
        <w:rPr>
          <w:rFonts w:eastAsia="Traditional Arabic"/>
          <w:sz w:val="30"/>
          <w:rtl/>
          <w:lang w:val="ar-SA"/>
        </w:rPr>
      </w:pPr>
      <w:r w:rsidRPr="00121EA5">
        <w:rPr>
          <w:sz w:val="30"/>
          <w:rtl/>
          <w:lang w:val="ar-SA"/>
        </w:rPr>
        <w:t>5-2</w:t>
      </w:r>
      <w:r>
        <w:rPr>
          <w:rFonts w:eastAsia="Traditional Arabic"/>
          <w:sz w:val="30"/>
          <w:rtl/>
          <w:lang w:val="ar-SA"/>
        </w:rPr>
        <w:tab/>
      </w:r>
      <w:r w:rsidR="000F05C8" w:rsidRPr="00121EA5">
        <w:rPr>
          <w:sz w:val="30"/>
          <w:rtl/>
          <w:lang w:val="ar-SA"/>
        </w:rPr>
        <w:t>ويدفع صاحب الشكوى بأن الدولة الطرف، في جميع المراسلات المتعلقة بالإبعاد، تدَّعي أن صاحبي الشكوى لم يثبتا وجود دعوى ظاهرة الوجاهة، كسبب لإعلان أن بلاغيهما يستندان إلى أسس واهية، إلا أنها لا تقدم سوى مبررات منطقية ضئيلة للغاية للدلالة على السبب في أن البلاغين يستندان إلى أسس واهية. ويشير كذلك إلى أنه يتفق مع الدولة الطرف في أنه يحاول استخدام اللجنة كهيئة استئناف، لأنه "بحاجة ماسة إلى مساعدة" اللجنة. فالقانون المحلي لا يجيز الطعن في قرارات مجلس طعون اللاجئين حتى في حالات مثل حالته، التي انقسم فيها المجلس عند البت في القضية. وأرادت أقلية من أعضاء المجلس منح صاحب الشكوى حق اللجوء أو السماح بإجراء فحص طبي قبل اتخاذ القرار النهائي. غير أن غالبية الأعضاء رفضت ذلك، وأصدرت قراراً سلبياً</w:t>
      </w:r>
      <w:r w:rsidR="000F05C8" w:rsidRPr="00121EA5">
        <w:rPr>
          <w:rFonts w:hint="cs"/>
          <w:sz w:val="30"/>
          <w:rtl/>
          <w:lang w:val="ar-SA"/>
        </w:rPr>
        <w:t>.</w:t>
      </w:r>
      <w:r w:rsidR="000F05C8" w:rsidRPr="00121EA5">
        <w:rPr>
          <w:sz w:val="30"/>
          <w:rtl/>
          <w:lang w:val="ar-SA"/>
        </w:rPr>
        <w:t xml:space="preserve"> ويؤكد صاحب الشكوى أنه، من باب المحاكمة العادلة، ينبغي السماح بأن يُبحَث هذا القرار على مستوى أعلى، ولكن ذلك غير مسموح به في الدولة الطرف. وبالتالي، فهو يتفق مع الدولة الطرف على أن اللجنة تُستخدم في الواقع كهيئة استئنافية، ولكنه يعترض على مقولة أن اللجنة ينبغي أن تعطي أي ثِقل للنتائج التي توصلت</w:t>
      </w:r>
      <w:r w:rsidR="000F05C8" w:rsidRPr="00121EA5">
        <w:rPr>
          <w:rFonts w:hint="cs"/>
          <w:sz w:val="30"/>
          <w:rtl/>
          <w:lang w:val="ar-SA"/>
        </w:rPr>
        <w:t> </w:t>
      </w:r>
      <w:r w:rsidR="000F05C8" w:rsidRPr="00121EA5">
        <w:rPr>
          <w:sz w:val="30"/>
          <w:rtl/>
          <w:lang w:val="ar-SA"/>
        </w:rPr>
        <w:t>إليها أغلبية أعضاء المجلس، حيث تم التوصل إلى تلك النتائج دون استناد إلى "الأساس السليم" - الذي يتمثل، في حالته، في إجراء فحص طبي لأمارات التعذيب.</w:t>
      </w:r>
    </w:p>
    <w:p w:rsidR="000F05C8" w:rsidRPr="00121EA5" w:rsidRDefault="000F05C8" w:rsidP="000F05C8">
      <w:pPr>
        <w:pStyle w:val="SingleTxtGA"/>
        <w:rPr>
          <w:rFonts w:eastAsia="Traditional Arabic"/>
          <w:sz w:val="30"/>
          <w:rtl/>
          <w:lang w:val="ar-SA"/>
        </w:rPr>
      </w:pPr>
      <w:r w:rsidRPr="00121EA5">
        <w:rPr>
          <w:sz w:val="30"/>
          <w:rtl/>
          <w:lang w:val="ar-SA"/>
        </w:rPr>
        <w:t>5-3</w:t>
      </w:r>
      <w:r w:rsidRPr="00121EA5">
        <w:rPr>
          <w:sz w:val="30"/>
          <w:rtl/>
          <w:lang w:val="ar-SA"/>
        </w:rPr>
        <w:tab/>
        <w:t>ويؤكد صاحب الشكوى أن اللجنة ينبغي أن تعتبر بلاغه مقبولاً، كما يرفض الحجة القائلة بأنه لم يثبت وجود دعوى ظاهرة الوجاهة.</w:t>
      </w:r>
    </w:p>
    <w:p w:rsidR="000F05C8" w:rsidRPr="000F05C8" w:rsidRDefault="000F05C8" w:rsidP="000F05C8">
      <w:pPr>
        <w:pStyle w:val="SingleTxtGA"/>
        <w:spacing w:after="100"/>
        <w:rPr>
          <w:rFonts w:eastAsia="Traditional Arabic"/>
          <w:spacing w:val="-2"/>
          <w:sz w:val="30"/>
          <w:rtl/>
          <w:lang w:val="ar-SA"/>
        </w:rPr>
      </w:pPr>
      <w:r w:rsidRPr="000F05C8">
        <w:rPr>
          <w:spacing w:val="-2"/>
          <w:sz w:val="30"/>
          <w:rtl/>
          <w:lang w:val="ar-SA"/>
        </w:rPr>
        <w:t>5-4</w:t>
      </w:r>
      <w:r w:rsidRPr="000F05C8">
        <w:rPr>
          <w:spacing w:val="-2"/>
          <w:sz w:val="30"/>
          <w:rtl/>
          <w:lang w:val="ar-SA"/>
        </w:rPr>
        <w:tab/>
        <w:t xml:space="preserve">ويشير صاحب الشكوى إلى قرار اللجنة في حالة </w:t>
      </w:r>
      <w:r w:rsidRPr="000F05C8">
        <w:rPr>
          <w:i/>
          <w:iCs/>
          <w:spacing w:val="-2"/>
          <w:sz w:val="30"/>
          <w:rtl/>
          <w:lang w:val="ar-SA"/>
        </w:rPr>
        <w:t>أميني ضد الدانمرك</w:t>
      </w:r>
      <w:r w:rsidRPr="000F05C8">
        <w:rPr>
          <w:rFonts w:eastAsia="Traditional Arabic"/>
          <w:spacing w:val="-2"/>
          <w:vertAlign w:val="superscript"/>
          <w:rtl/>
          <w:lang w:val="ar-SA"/>
        </w:rPr>
        <w:t>(</w:t>
      </w:r>
      <w:r w:rsidRPr="000F05C8">
        <w:rPr>
          <w:rFonts w:eastAsia="Traditional Arabic"/>
          <w:spacing w:val="-2"/>
          <w:vertAlign w:val="superscript"/>
          <w:rtl/>
          <w:lang w:val="ar-SA"/>
        </w:rPr>
        <w:footnoteReference w:id="13"/>
      </w:r>
      <w:r w:rsidRPr="000F05C8">
        <w:rPr>
          <w:rFonts w:eastAsia="Traditional Arabic"/>
          <w:spacing w:val="-2"/>
          <w:vertAlign w:val="superscript"/>
          <w:rtl/>
          <w:lang w:val="ar-SA"/>
        </w:rPr>
        <w:t>)</w:t>
      </w:r>
      <w:r w:rsidRPr="000F05C8">
        <w:rPr>
          <w:spacing w:val="-2"/>
          <w:sz w:val="30"/>
          <w:rtl/>
          <w:lang w:val="ar-SA"/>
        </w:rPr>
        <w:t xml:space="preserve">، وفي حالة </w:t>
      </w:r>
      <w:r w:rsidRPr="000F05C8">
        <w:rPr>
          <w:i/>
          <w:iCs/>
          <w:spacing w:val="-2"/>
          <w:sz w:val="30"/>
          <w:rtl/>
          <w:lang w:val="ar-SA"/>
        </w:rPr>
        <w:t>ك.</w:t>
      </w:r>
      <w:r w:rsidRPr="000F05C8">
        <w:rPr>
          <w:rFonts w:hint="cs"/>
          <w:i/>
          <w:iCs/>
          <w:spacing w:val="-2"/>
          <w:sz w:val="30"/>
          <w:rtl/>
          <w:lang w:val="ar-SA"/>
        </w:rPr>
        <w:t> </w:t>
      </w:r>
      <w:r w:rsidRPr="000F05C8">
        <w:rPr>
          <w:i/>
          <w:iCs/>
          <w:spacing w:val="-2"/>
          <w:sz w:val="30"/>
          <w:rtl/>
          <w:lang w:val="ar-SA"/>
        </w:rPr>
        <w:t>ﻫ. ضد الدانمرك</w:t>
      </w:r>
      <w:r w:rsidRPr="000F05C8">
        <w:rPr>
          <w:spacing w:val="-2"/>
          <w:sz w:val="30"/>
          <w:rtl/>
          <w:lang w:val="ar-SA"/>
        </w:rPr>
        <w:t xml:space="preserve"> (الفقرة 4-5)، ويلاحظ أن مجلس طعون اللاجئين، في كلتا الحالتين، رأى أن صاحبي الشكوى قد كذبا بشأن التعذيب الذي تعرضا له، ولم يسمح بإجراء أي فحص طبي، لكن كلا الشاكيين تمكنا من إجراء فحص مجاني لآثار التعذيب، قام به الأطباء في الفريق الطبي لفرع منظمة العفو الدولية بالدانمرك. فنظراً لأن ملتمسي اللجوء في الدانمرك لا يُسمح لهم بالعمل، لا يكون لهم دخل يتيح لهم دفع تكاليف هذا الفحص الطبي بأنفسهم. ونتيجة لذلك فإن العديد من طالبي اللجوء الذين لم يُسمح لهم بإجراء فحص طبي من قبل السلطات </w:t>
      </w:r>
      <w:proofErr w:type="spellStart"/>
      <w:r w:rsidRPr="000F05C8">
        <w:rPr>
          <w:spacing w:val="-2"/>
          <w:sz w:val="30"/>
          <w:rtl/>
          <w:lang w:val="ar-SA"/>
        </w:rPr>
        <w:t>الدانمركية</w:t>
      </w:r>
      <w:proofErr w:type="spellEnd"/>
      <w:r w:rsidRPr="000F05C8">
        <w:rPr>
          <w:spacing w:val="-2"/>
          <w:sz w:val="30"/>
          <w:rtl/>
          <w:lang w:val="ar-SA"/>
        </w:rPr>
        <w:t xml:space="preserve"> يطلبون الفحص المجاني من قبل منظمة العفو الدولية. ولا يمكن للمنظمة أن تعالج سوى عدد محدود من الحالات، وحتى الآن لم تكن حالة صاحب الشكوى من بينها، رغم أنه قدم طلباً بذلك. ويؤكد </w:t>
      </w:r>
      <w:r w:rsidRPr="000F05C8">
        <w:rPr>
          <w:spacing w:val="-2"/>
          <w:sz w:val="30"/>
          <w:rtl/>
          <w:lang w:val="ar-SA"/>
        </w:rPr>
        <w:lastRenderedPageBreak/>
        <w:t>صاحب البلاغ أن الدولة الطرف في الاتفاقية هي التي ينبغي أن تكون مسؤولة عن السماح بإجراء تلك الفحوص الطبية الخاصة بالتعذيب، وليس صاحب الشكوى، الذي لا يملك الوسائل المالية، أو المنظمات غير الحكومية ذات الموارد المحدودة التي تعتمد على المتطوعين.</w:t>
      </w:r>
    </w:p>
    <w:p w:rsidR="000F05C8" w:rsidRPr="00121EA5" w:rsidRDefault="000F05C8" w:rsidP="000F05C8">
      <w:pPr>
        <w:pStyle w:val="SingleTxtGA"/>
        <w:spacing w:after="100"/>
        <w:rPr>
          <w:rFonts w:eastAsia="Traditional Arabic"/>
          <w:sz w:val="30"/>
          <w:rtl/>
          <w:lang w:val="ar-SA"/>
        </w:rPr>
      </w:pPr>
      <w:r w:rsidRPr="00121EA5">
        <w:rPr>
          <w:sz w:val="30"/>
          <w:rtl/>
          <w:lang w:val="ar-SA"/>
        </w:rPr>
        <w:t>5-5</w:t>
      </w:r>
      <w:r>
        <w:rPr>
          <w:sz w:val="30"/>
          <w:rtl/>
          <w:lang w:val="ar-SA"/>
        </w:rPr>
        <w:tab/>
      </w:r>
      <w:r w:rsidRPr="00121EA5">
        <w:rPr>
          <w:sz w:val="30"/>
          <w:rtl/>
          <w:lang w:val="ar-SA"/>
        </w:rPr>
        <w:t>ويشير صاحب الشكوى إلى حالة مواطن تركي من أصل كردي كان يطالب باللجوء بسبب التعذيب الذي تعرض له قبل فراره، التي أمر فيها مجلس طعون اللاجئين بفحص لأمارات طبي التعذيب ومن ثم منحه اللجوء استناداً إلى النتائج. وقد أرجئ قرار المجلس إلى حين الحصول على نتائج هذا الفحص الطبي</w:t>
      </w:r>
      <w:r w:rsidRPr="00121EA5">
        <w:rPr>
          <w:rFonts w:eastAsia="Traditional Arabic"/>
          <w:vertAlign w:val="superscript"/>
          <w:rtl/>
          <w:lang w:val="ar-SA"/>
        </w:rPr>
        <w:t>(</w:t>
      </w:r>
      <w:r w:rsidRPr="00121EA5">
        <w:rPr>
          <w:rFonts w:eastAsia="Traditional Arabic"/>
          <w:vertAlign w:val="superscript"/>
          <w:rtl/>
          <w:lang w:val="ar-SA"/>
        </w:rPr>
        <w:footnoteReference w:id="14"/>
      </w:r>
      <w:r w:rsidRPr="00121EA5">
        <w:rPr>
          <w:rFonts w:eastAsia="Traditional Arabic"/>
          <w:vertAlign w:val="superscript"/>
          <w:rtl/>
          <w:lang w:val="ar-SA"/>
        </w:rPr>
        <w:t>)</w:t>
      </w:r>
      <w:r w:rsidRPr="00121EA5">
        <w:rPr>
          <w:sz w:val="30"/>
          <w:rtl/>
          <w:lang w:val="ar-SA"/>
        </w:rPr>
        <w:t xml:space="preserve">. ويؤكد صاحب الشكوى أن هذا هو "الإجراء الصحيح" الذي كان ينبغي أيضاً أن يُتَّبع في حالته، لأن من الأهمية بمكان تحديد ما إذا كان قد تعرض للتعذيب قبل الفرار، حتى يتسنى إجراء تقييم ما إذا كان سيتعرض للتعذيب (مرة أخرى) عند عودته. وتأييداً لذلك، أشار صاحب الشكوى إلى ما سبق أن قضت به اللجنة في بلاغات كل من </w:t>
      </w:r>
      <w:r w:rsidRPr="00121EA5">
        <w:rPr>
          <w:i/>
          <w:iCs/>
          <w:sz w:val="30"/>
          <w:rtl/>
          <w:lang w:val="ar-SA"/>
        </w:rPr>
        <w:t>أرانا ضد فرنسا</w:t>
      </w:r>
      <w:r w:rsidRPr="00121EA5">
        <w:rPr>
          <w:rFonts w:eastAsia="Traditional Arabic"/>
          <w:vertAlign w:val="superscript"/>
          <w:rtl/>
          <w:lang w:val="ar-SA"/>
        </w:rPr>
        <w:t>(</w:t>
      </w:r>
      <w:r w:rsidRPr="00121EA5">
        <w:rPr>
          <w:rFonts w:eastAsia="Traditional Arabic"/>
          <w:vertAlign w:val="superscript"/>
          <w:rtl/>
          <w:lang w:val="ar-SA"/>
        </w:rPr>
        <w:footnoteReference w:id="15"/>
      </w:r>
      <w:r w:rsidRPr="00121EA5">
        <w:rPr>
          <w:rFonts w:eastAsia="Traditional Arabic"/>
          <w:vertAlign w:val="superscript"/>
          <w:rtl/>
          <w:lang w:val="ar-SA"/>
        </w:rPr>
        <w:t>)</w:t>
      </w:r>
      <w:r w:rsidRPr="00121EA5">
        <w:rPr>
          <w:sz w:val="30"/>
          <w:rtl/>
          <w:lang w:val="ar-SA"/>
        </w:rPr>
        <w:t xml:space="preserve">، </w:t>
      </w:r>
      <w:proofErr w:type="spellStart"/>
      <w:r w:rsidRPr="00121EA5">
        <w:rPr>
          <w:sz w:val="30"/>
          <w:rtl/>
          <w:lang w:val="ar-SA"/>
        </w:rPr>
        <w:t>و</w:t>
      </w:r>
      <w:r w:rsidRPr="00121EA5">
        <w:rPr>
          <w:i/>
          <w:iCs/>
          <w:sz w:val="30"/>
          <w:rtl/>
          <w:lang w:val="ar-SA"/>
        </w:rPr>
        <w:t>أجيزة</w:t>
      </w:r>
      <w:proofErr w:type="spellEnd"/>
      <w:r w:rsidRPr="00121EA5">
        <w:rPr>
          <w:i/>
          <w:iCs/>
          <w:sz w:val="30"/>
          <w:rtl/>
          <w:lang w:val="ar-SA"/>
        </w:rPr>
        <w:t xml:space="preserve"> ضد السويد</w:t>
      </w:r>
      <w:r w:rsidRPr="00121EA5">
        <w:rPr>
          <w:rFonts w:eastAsia="Traditional Arabic"/>
          <w:vertAlign w:val="superscript"/>
          <w:rtl/>
          <w:lang w:val="ar-SA"/>
        </w:rPr>
        <w:t>(</w:t>
      </w:r>
      <w:r w:rsidRPr="00121EA5">
        <w:rPr>
          <w:rFonts w:eastAsia="Traditional Arabic"/>
          <w:vertAlign w:val="superscript"/>
          <w:rtl/>
          <w:lang w:val="ar-SA"/>
        </w:rPr>
        <w:footnoteReference w:id="16"/>
      </w:r>
      <w:r w:rsidRPr="00121EA5">
        <w:rPr>
          <w:rFonts w:eastAsia="Traditional Arabic"/>
          <w:vertAlign w:val="superscript"/>
          <w:rtl/>
          <w:lang w:val="ar-SA"/>
        </w:rPr>
        <w:t>)</w:t>
      </w:r>
      <w:r w:rsidRPr="00121EA5">
        <w:rPr>
          <w:sz w:val="30"/>
          <w:rtl/>
          <w:lang w:val="ar-SA"/>
        </w:rPr>
        <w:t>، و</w:t>
      </w:r>
      <w:r w:rsidRPr="00121EA5">
        <w:rPr>
          <w:i/>
          <w:iCs/>
          <w:sz w:val="30"/>
          <w:rtl/>
          <w:lang w:val="ar-SA"/>
        </w:rPr>
        <w:t xml:space="preserve">تشون </w:t>
      </w:r>
      <w:proofErr w:type="spellStart"/>
      <w:r w:rsidRPr="00121EA5">
        <w:rPr>
          <w:i/>
          <w:iCs/>
          <w:sz w:val="30"/>
          <w:rtl/>
          <w:lang w:val="ar-SA"/>
        </w:rPr>
        <w:t>رونغ</w:t>
      </w:r>
      <w:proofErr w:type="spellEnd"/>
      <w:r w:rsidRPr="00121EA5">
        <w:rPr>
          <w:i/>
          <w:iCs/>
          <w:sz w:val="30"/>
          <w:rtl/>
          <w:lang w:val="ar-SA"/>
        </w:rPr>
        <w:t xml:space="preserve"> ضد أستراليا</w:t>
      </w:r>
      <w:r w:rsidRPr="00121EA5">
        <w:rPr>
          <w:rFonts w:eastAsia="Traditional Arabic"/>
          <w:vertAlign w:val="superscript"/>
          <w:rtl/>
          <w:lang w:val="ar-SA"/>
        </w:rPr>
        <w:t>(</w:t>
      </w:r>
      <w:r w:rsidRPr="00121EA5">
        <w:rPr>
          <w:rFonts w:eastAsia="Traditional Arabic"/>
          <w:vertAlign w:val="superscript"/>
          <w:rtl/>
          <w:lang w:val="ar-SA"/>
        </w:rPr>
        <w:footnoteReference w:id="17"/>
      </w:r>
      <w:r w:rsidRPr="00121EA5">
        <w:rPr>
          <w:rFonts w:eastAsia="Traditional Arabic"/>
          <w:vertAlign w:val="superscript"/>
          <w:rtl/>
          <w:lang w:val="ar-SA"/>
        </w:rPr>
        <w:t>)</w:t>
      </w:r>
      <w:r w:rsidRPr="00121EA5">
        <w:rPr>
          <w:sz w:val="30"/>
          <w:rtl/>
          <w:lang w:val="ar-SA"/>
        </w:rPr>
        <w:t xml:space="preserve">. وأشار أيضاً إلى قرار اللجنة في حالة </w:t>
      </w:r>
      <w:r w:rsidRPr="00121EA5">
        <w:rPr>
          <w:i/>
          <w:iCs/>
          <w:sz w:val="30"/>
          <w:rtl/>
          <w:lang w:val="ar-SA"/>
        </w:rPr>
        <w:t>ك. ﻫ. ضد الدانمرك</w:t>
      </w:r>
      <w:r w:rsidRPr="00121EA5">
        <w:rPr>
          <w:sz w:val="30"/>
          <w:rtl/>
          <w:lang w:val="ar-SA"/>
        </w:rPr>
        <w:t xml:space="preserve"> (الفقرة 8-8)، حيث رأت اللجنة صراحة أن الدولة الطرف، برفضها طلب اللجوء الذي قدمه صاحب الشكوى دون أن تسعى إلى التحقيق بقدر أكبر في ادعاءاته أو تأمر بإجراء فحص طبي، لم تحدد ما إذا كانت هناك أسباب حقيقية تدعو إلى الاعتقاد بأن صاحب الشكوى سيواجه خطر التعرض للتعذيب في حال إعادته، وخلصت اللجنة إلى وجود انتهاك للمادة 3.</w:t>
      </w:r>
      <w:r w:rsidRPr="00121EA5">
        <w:rPr>
          <w:rFonts w:hint="cs"/>
          <w:sz w:val="30"/>
          <w:rtl/>
          <w:lang w:val="ar-SA"/>
        </w:rPr>
        <w:t xml:space="preserve"> </w:t>
      </w:r>
    </w:p>
    <w:p w:rsidR="000F05C8" w:rsidRPr="00121EA5" w:rsidRDefault="000F05C8" w:rsidP="000F05C8">
      <w:pPr>
        <w:pStyle w:val="SingleTxtGA"/>
        <w:spacing w:after="100"/>
        <w:rPr>
          <w:rFonts w:eastAsia="Traditional Arabic"/>
          <w:rtl/>
          <w:lang w:val="ar-SA"/>
        </w:rPr>
      </w:pPr>
      <w:r w:rsidRPr="00121EA5">
        <w:rPr>
          <w:rtl/>
          <w:lang w:val="ar-SA"/>
        </w:rPr>
        <w:t>5-6</w:t>
      </w:r>
      <w:r w:rsidRPr="00121EA5">
        <w:rPr>
          <w:rtl/>
          <w:lang w:val="ar-SA"/>
        </w:rPr>
        <w:tab/>
        <w:t xml:space="preserve">ويشير صاحب الشكوى كذلك إلى قرارين أصدرتهما المحكمة الأوروبية لحقوق الإنسان، </w:t>
      </w:r>
      <w:r w:rsidRPr="00121EA5">
        <w:rPr>
          <w:i/>
          <w:iCs/>
          <w:rtl/>
          <w:lang w:val="ar-SA"/>
        </w:rPr>
        <w:t>أ. أ. ضد فرنسا</w:t>
      </w:r>
      <w:r w:rsidRPr="00121EA5">
        <w:rPr>
          <w:rtl/>
          <w:lang w:val="ar-SA"/>
        </w:rPr>
        <w:t xml:space="preserve"> </w:t>
      </w:r>
      <w:proofErr w:type="spellStart"/>
      <w:r w:rsidRPr="00121EA5">
        <w:rPr>
          <w:rtl/>
          <w:lang w:val="ar-SA"/>
        </w:rPr>
        <w:t>و</w:t>
      </w:r>
      <w:r w:rsidRPr="00121EA5">
        <w:rPr>
          <w:i/>
          <w:iCs/>
          <w:rtl/>
          <w:lang w:val="ar-SA"/>
        </w:rPr>
        <w:t>أ</w:t>
      </w:r>
      <w:proofErr w:type="spellEnd"/>
      <w:r w:rsidRPr="00121EA5">
        <w:rPr>
          <w:i/>
          <w:iCs/>
          <w:rtl/>
          <w:lang w:val="ar-SA"/>
        </w:rPr>
        <w:t>. ف. ضد فرنسا</w:t>
      </w:r>
      <w:r w:rsidRPr="00121EA5">
        <w:rPr>
          <w:rtl/>
          <w:lang w:val="ar-SA"/>
        </w:rPr>
        <w:t>، وكان مقدما الطلبات فيهما ملتمسين اللجوء من السودان</w:t>
      </w:r>
      <w:r w:rsidRPr="00121EA5">
        <w:rPr>
          <w:rFonts w:eastAsia="Traditional Arabic"/>
          <w:vertAlign w:val="superscript"/>
          <w:rtl/>
          <w:lang w:val="ar-SA"/>
        </w:rPr>
        <w:t>(</w:t>
      </w:r>
      <w:r w:rsidRPr="00121EA5">
        <w:rPr>
          <w:rFonts w:eastAsia="Traditional Arabic"/>
          <w:vertAlign w:val="superscript"/>
          <w:rtl/>
          <w:lang w:val="ar-SA"/>
        </w:rPr>
        <w:footnoteReference w:id="18"/>
      </w:r>
      <w:r w:rsidRPr="00121EA5">
        <w:rPr>
          <w:rFonts w:eastAsia="Traditional Arabic"/>
          <w:vertAlign w:val="superscript"/>
          <w:rtl/>
          <w:lang w:val="ar-SA"/>
        </w:rPr>
        <w:t>)</w:t>
      </w:r>
      <w:r w:rsidRPr="00121EA5">
        <w:rPr>
          <w:rtl/>
          <w:lang w:val="ar-SA"/>
        </w:rPr>
        <w:t>. وفي كلتا الحالتين، رأت المحكمة أن فرنسا تنتهك المادة 3 من اتفاقية حماية حقوق الإنسان والحريات الأساسية، الأمر الذي استندت فيه، في جملة أمور، إلى دراسة دقيقة للغاية للمعلومات الأساسية عن حالة حقوق الإنسان في السودان. وفي القرار الثاني، ذكرت المحكمة أن من المرجح أن يحظى السيد أ. ف. لدى وصوله إلى مطار الخرطوم باهتمام غير مؤات من السلطات بسبب السنوات القليلة التي قضاها في الخارج</w:t>
      </w:r>
      <w:r w:rsidRPr="00121EA5">
        <w:rPr>
          <w:rFonts w:eastAsia="Traditional Arabic"/>
          <w:vertAlign w:val="superscript"/>
          <w:rtl/>
          <w:lang w:val="ar-SA"/>
        </w:rPr>
        <w:t>(</w:t>
      </w:r>
      <w:r w:rsidRPr="00121EA5">
        <w:rPr>
          <w:rFonts w:eastAsia="Traditional Arabic"/>
          <w:vertAlign w:val="superscript"/>
          <w:rtl/>
          <w:lang w:val="ar-SA"/>
        </w:rPr>
        <w:footnoteReference w:id="19"/>
      </w:r>
      <w:r w:rsidRPr="00121EA5">
        <w:rPr>
          <w:rFonts w:eastAsia="Traditional Arabic"/>
          <w:vertAlign w:val="superscript"/>
          <w:rtl/>
          <w:lang w:val="ar-SA"/>
        </w:rPr>
        <w:t>)</w:t>
      </w:r>
      <w:r w:rsidRPr="00121EA5">
        <w:rPr>
          <w:rtl/>
          <w:lang w:val="ar-SA"/>
        </w:rPr>
        <w:t xml:space="preserve">. ويؤكد صاحب الشكوى أنه قضى أيضاً وقتاً طويلاً في الخارج ومن شأنه أن يجتذب الانتباه إذا عاد، الأمر الذي سيكشف على الفور عن الندوب الناتجة عن التعذيب الذي تعرض له. ومن شأن ما سبق أن يتيح للشرطة وأجهزة الأمن السودانية أن تفهم أنه كان أحد "زبائنها" السابقين. وبناء على </w:t>
      </w:r>
      <w:r w:rsidRPr="00121EA5">
        <w:rPr>
          <w:rtl/>
          <w:lang w:val="ar-SA"/>
        </w:rPr>
        <w:lastRenderedPageBreak/>
        <w:t>ذلك، فإنه سيخضع للاستجواب وعلى الأرجح للتعذيب. ويقدم صاحب الشكوى صورة فوتوغرافية لندباته تأييداً لذلك.</w:t>
      </w:r>
    </w:p>
    <w:p w:rsidR="000F05C8" w:rsidRPr="00121EA5" w:rsidRDefault="000F05C8" w:rsidP="000F05C8">
      <w:pPr>
        <w:pStyle w:val="SingleTxtGA"/>
        <w:spacing w:after="100"/>
        <w:rPr>
          <w:rFonts w:eastAsia="Traditional Arabic"/>
          <w:sz w:val="30"/>
          <w:rtl/>
          <w:lang w:val="ar-SA"/>
        </w:rPr>
      </w:pPr>
      <w:r w:rsidRPr="00121EA5">
        <w:rPr>
          <w:sz w:val="30"/>
          <w:rtl/>
          <w:lang w:val="ar-SA"/>
        </w:rPr>
        <w:t>5-7</w:t>
      </w:r>
      <w:r w:rsidRPr="00121EA5">
        <w:rPr>
          <w:sz w:val="30"/>
          <w:rtl/>
          <w:lang w:val="ar-SA"/>
        </w:rPr>
        <w:tab/>
        <w:t>ويؤكد صاحب الشكوى أن التعليق العام رقم 1 للجنة يشير بوضوح إلى أنه يجب على الدولة الطرف، التي تدرك وقوع انتهاكات جسيمة لحقوق الإنسان في البلد الأصلي، أن تحدد ما إذا كان طالب اللجوء قد تعرض للتعذيب قبل فراره. وهذا يشكل عنصراً حاسماً في تقييم ما إذا كان صاحب الشكوى سيواجه التعذيب عند عودته. ويبدو أن الدولة الطرف قد اتخذت الموقف (غير الصائب) بأنه لا يلزم إثبات ما إذا كان صاحب الشكوى قد تعرض في الواقع للتعذيب قبل الفرار، من أجل تقييم خطر التعرض للتعذيب في المستقبل عند عودته. وبناء على ذلك، يدفع صاحب الشكوى بأنه، فيما يتعلق بالأسس الموضوعية للقضية، فإن غالبية أعضاء مجلس طعون اللاجئين الذين رفضوا إمكانية إجراء فحص طبي قبل رفض طلب اللجوء الذي قدمه قد انتهكوا "الجوانب الإجرائية" للمادة 3.</w:t>
      </w:r>
      <w:r w:rsidRPr="00121EA5">
        <w:rPr>
          <w:rFonts w:hint="cs"/>
          <w:sz w:val="30"/>
          <w:rtl/>
          <w:lang w:val="ar-SA"/>
        </w:rPr>
        <w:t xml:space="preserve"> </w:t>
      </w:r>
    </w:p>
    <w:p w:rsidR="000F05C8" w:rsidRPr="00121EA5" w:rsidRDefault="000F05C8" w:rsidP="000F05C8">
      <w:pPr>
        <w:pStyle w:val="H23GA"/>
        <w:spacing w:after="100"/>
        <w:rPr>
          <w:rFonts w:eastAsia="Traditional Arabic"/>
          <w:rtl/>
          <w:lang w:val="ar-SA"/>
        </w:rPr>
      </w:pPr>
      <w:r w:rsidRPr="00121EA5">
        <w:rPr>
          <w:rFonts w:eastAsia="Traditional Arabic"/>
          <w:rtl/>
          <w:lang w:val="ar-SA"/>
        </w:rPr>
        <w:tab/>
      </w:r>
      <w:r w:rsidRPr="00121EA5">
        <w:rPr>
          <w:rFonts w:eastAsia="Traditional Arabic"/>
          <w:rtl/>
          <w:lang w:val="ar-SA"/>
        </w:rPr>
        <w:tab/>
      </w:r>
      <w:r w:rsidRPr="00121EA5">
        <w:rPr>
          <w:rFonts w:eastAsia="Arial Unicode MS" w:hint="cs"/>
          <w:rtl/>
          <w:lang w:val="ar-SA"/>
        </w:rPr>
        <w:t>الملاحظات الإضافية للدولة الطرف</w:t>
      </w:r>
    </w:p>
    <w:p w:rsidR="000F05C8" w:rsidRPr="00121EA5" w:rsidRDefault="000F05C8" w:rsidP="000F05C8">
      <w:pPr>
        <w:pStyle w:val="SingleTxtGA"/>
        <w:spacing w:after="100"/>
        <w:rPr>
          <w:rFonts w:eastAsia="Traditional Arabic"/>
          <w:sz w:val="30"/>
          <w:rtl/>
          <w:lang w:val="ar-SA"/>
        </w:rPr>
      </w:pPr>
      <w:r w:rsidRPr="00121EA5">
        <w:rPr>
          <w:sz w:val="30"/>
          <w:rtl/>
          <w:lang w:val="ar-SA"/>
        </w:rPr>
        <w:t>6-1</w:t>
      </w:r>
      <w:r w:rsidRPr="00121EA5">
        <w:rPr>
          <w:sz w:val="30"/>
          <w:rtl/>
          <w:lang w:val="ar-SA"/>
        </w:rPr>
        <w:tab/>
        <w:t>في مذكرة مؤرخة 10 حزيران/</w:t>
      </w:r>
      <w:proofErr w:type="gramStart"/>
      <w:r w:rsidRPr="00121EA5">
        <w:rPr>
          <w:sz w:val="30"/>
          <w:rtl/>
          <w:lang w:val="ar-SA"/>
        </w:rPr>
        <w:t>يونيه</w:t>
      </w:r>
      <w:proofErr w:type="gramEnd"/>
      <w:r w:rsidRPr="00121EA5">
        <w:rPr>
          <w:sz w:val="30"/>
          <w:rtl/>
          <w:lang w:val="ar-SA"/>
        </w:rPr>
        <w:t xml:space="preserve"> 2016، تدفع الدولة الطرف رداً على تعليقات صاحب البلاغ المؤرخة 21 كانون الثاني/يناير 2016 بأنها تتمسك بما جاء في ملاحظاتها المؤرخة 17 تشرين الثاني/نوفمبر 2014. وتفيد كذلك بأنه، كما يتضح من القرار الذي اتخذه مجلس طعون اللاجئين، فإن غالبية أعضائه "لم يتمكنوا من تصديق إفادة صاحب الشكوى" بأنه احتُجز في نيسان/أبريل 2007 وتعرض للتعذيب على أيدي أشخاص لهم صلات مع السلطات السودانية بسبب تورط أخيه في حركة العدل والمساواة. وفي هذا الصدد، شددت غالبية أعضاء المجلس على أن صاحب الشكوى قد أدلى بأقوال تنزع للمبالغة وغير متسقة فيما يتعلق بالعناصر الأساسية للأسس التي يستند إليها في طلب اللجوء، وأنه وشريكته قد أدليا بأقوال متناقضة عن سبب خروجهما من السودان (انظر الفقرتين 4-3 و4-4 أعلاه).</w:t>
      </w:r>
    </w:p>
    <w:p w:rsidR="000F05C8" w:rsidRPr="00121EA5" w:rsidRDefault="000F05C8" w:rsidP="000F05C8">
      <w:pPr>
        <w:pStyle w:val="SingleTxtGA"/>
        <w:spacing w:after="100"/>
        <w:rPr>
          <w:rFonts w:eastAsia="Traditional Arabic"/>
          <w:sz w:val="30"/>
          <w:rtl/>
          <w:lang w:val="ar-SA"/>
        </w:rPr>
      </w:pPr>
      <w:r w:rsidRPr="00121EA5">
        <w:rPr>
          <w:sz w:val="30"/>
          <w:rtl/>
          <w:lang w:val="ar-SA"/>
        </w:rPr>
        <w:t>6-2</w:t>
      </w:r>
      <w:r w:rsidRPr="00121EA5">
        <w:rPr>
          <w:sz w:val="30"/>
          <w:rtl/>
          <w:lang w:val="ar-SA"/>
        </w:rPr>
        <w:tab/>
        <w:t xml:space="preserve">وتدفع الدولة الطرف بأن ملف الحالة المتعلقة بشريكة صاحب الشكوى، التي التقى بها صاحب الشكوى </w:t>
      </w:r>
      <w:r w:rsidRPr="00121EA5">
        <w:rPr>
          <w:rFonts w:eastAsia="Traditional Arabic"/>
          <w:sz w:val="30"/>
          <w:rtl/>
          <w:lang w:val="ar-SA"/>
        </w:rPr>
        <w:t>في عام 2006 في</w:t>
      </w:r>
      <w:r w:rsidRPr="00121EA5">
        <w:rPr>
          <w:sz w:val="30"/>
          <w:rtl/>
          <w:lang w:val="ar-SA"/>
        </w:rPr>
        <w:t xml:space="preserve"> السودان وكان يعاشرها وقت مغادرتهما السودان </w:t>
      </w:r>
      <w:r w:rsidRPr="00121EA5">
        <w:rPr>
          <w:rFonts w:eastAsia="Traditional Arabic"/>
          <w:sz w:val="30"/>
          <w:rtl/>
          <w:lang w:val="ar-SA"/>
        </w:rPr>
        <w:t xml:space="preserve">في عام 2007، </w:t>
      </w:r>
      <w:r w:rsidRPr="00121EA5">
        <w:rPr>
          <w:sz w:val="30"/>
          <w:rtl/>
          <w:lang w:val="ar-SA"/>
        </w:rPr>
        <w:t xml:space="preserve">قد أُخذ في الاعتبار لدى فحص طلب اللجوء المقدم منه، وبناء على ذلك أدرج في أساس القرارات التي اتخذتها دائرة </w:t>
      </w:r>
      <w:proofErr w:type="spellStart"/>
      <w:r w:rsidRPr="00121EA5">
        <w:rPr>
          <w:sz w:val="30"/>
          <w:rtl/>
          <w:lang w:val="ar-SA"/>
        </w:rPr>
        <w:t>الدانمركية</w:t>
      </w:r>
      <w:proofErr w:type="spellEnd"/>
      <w:r w:rsidRPr="00121EA5">
        <w:rPr>
          <w:sz w:val="30"/>
          <w:rtl/>
          <w:lang w:val="ar-SA"/>
        </w:rPr>
        <w:t xml:space="preserve"> للهجرة ومجلس طعون اللاجئين. وتؤكد الدولة الطرف ما جاء في مذكرة صاحب الشكوى فيما يتعلق بإجراءات اللجوء الخاصة بشريكته، وأن مجلس طعون اللاجئين منحها الإقامة، في 25 نيسان/أبريل 2012، بموجب المادة 7(2) من قانون الأجانب، مراعياً في ذلك رحيلها غير المشروع من إريتريا، وإقامتها الطويلة الأجل في الخارج، وتهربها من الخدمة العسكرية. وقد تبيّن أيضاً من ملف الحالة المتعلقة بطلب اللجوء الذي قدمته شريكة صاحب الشكوى أنها ذكرت، في مقابلة أجريت لها مع دائرة الهجرة </w:t>
      </w:r>
      <w:proofErr w:type="spellStart"/>
      <w:r w:rsidRPr="00121EA5">
        <w:rPr>
          <w:sz w:val="30"/>
          <w:rtl/>
          <w:lang w:val="ar-SA"/>
        </w:rPr>
        <w:t>الدانمركية</w:t>
      </w:r>
      <w:proofErr w:type="spellEnd"/>
      <w:r w:rsidRPr="00121EA5">
        <w:rPr>
          <w:sz w:val="30"/>
          <w:rtl/>
          <w:lang w:val="ar-SA"/>
        </w:rPr>
        <w:t xml:space="preserve"> في</w:t>
      </w:r>
      <w:r w:rsidRPr="00121EA5">
        <w:rPr>
          <w:rFonts w:hint="cs"/>
          <w:sz w:val="30"/>
          <w:rtl/>
          <w:lang w:val="ar-SA"/>
        </w:rPr>
        <w:t> </w:t>
      </w:r>
      <w:r w:rsidRPr="00121EA5">
        <w:rPr>
          <w:sz w:val="30"/>
          <w:rtl/>
          <w:lang w:val="ar-SA"/>
        </w:rPr>
        <w:t xml:space="preserve">14 كانون الأول/ديسمبر 2009، أنه لم يكمل خدمته العسكرية الإلزامية، ولذلك فقد أُلقي القبض عليه في منزل والديه، وأنه قد فر بعد قضاء 14 يوماً في السجن وأن الاثنين غادرا السودان بعد ذلك. غير أنه يبدو من ملف الحالة المتعلق بطلب اللجوء الذي قدمه صاحب الشكوى أنه قد ذكر في مقابلة اللجوء في 17 كانون الثاني/يناير 2014 أنه أبلغ شريكته بأنه ألقي القبض عليه بسبب تورط أخيه في حركة العدل والمساواة وأنه يعتقد أن شريكته لم تخبر دائرة الهجرة </w:t>
      </w:r>
      <w:proofErr w:type="spellStart"/>
      <w:r w:rsidRPr="00121EA5">
        <w:rPr>
          <w:sz w:val="30"/>
          <w:rtl/>
          <w:lang w:val="ar-SA"/>
        </w:rPr>
        <w:t>الدانمركية</w:t>
      </w:r>
      <w:proofErr w:type="spellEnd"/>
      <w:r w:rsidRPr="00121EA5">
        <w:rPr>
          <w:sz w:val="30"/>
          <w:rtl/>
          <w:lang w:val="ar-SA"/>
        </w:rPr>
        <w:t xml:space="preserve"> بذلك لأنها ليست مشكلتها. وذكر صاحب الشكوى أيضاً أن شريكته قد تحتاج إلى أخصائي نفسي ولا تتكلم بوضوح شديد. وفي جلسة الاستماع التي عقدها المجلس في</w:t>
      </w:r>
      <w:r w:rsidRPr="00121EA5">
        <w:rPr>
          <w:rFonts w:hint="cs"/>
          <w:sz w:val="30"/>
          <w:rtl/>
          <w:lang w:val="ar-SA"/>
        </w:rPr>
        <w:t> </w:t>
      </w:r>
      <w:r w:rsidRPr="00121EA5">
        <w:rPr>
          <w:sz w:val="30"/>
          <w:rtl/>
          <w:lang w:val="ar-SA"/>
        </w:rPr>
        <w:t xml:space="preserve">23 نيسان/أبريل 2014، طُلب من صاحب الشكوى أن يوضح </w:t>
      </w:r>
      <w:r w:rsidRPr="00121EA5">
        <w:rPr>
          <w:sz w:val="30"/>
          <w:rtl/>
          <w:lang w:val="ar-SA"/>
        </w:rPr>
        <w:lastRenderedPageBreak/>
        <w:t>ما قالته شريكته في أثناء إجراءات اللجوء الخاصة بها من أنه قد اضطر إلى مغادرة بلده الأصلي بسبب خدمته العسكرية. وردَّ صاحب الشكوى بأن شريكته لا تتقن اللغة العربية وأنه لم يُرد أن تعرف الحقيقة الكاملة. وقد نظرت الدولة الطرف فيما إذا كانت أوجه التناقض المذكورة أعلاه بين روايتي صاحب الشكوى وشريكته عن الحادثة التي جعلتهما يغادران السودان في عام 2007 والأقوال المبالغ فيها وغير المتسقة التي أدلى بها صاحب الشكوى يمكن أن تعزى إلى التعذيب، كما يدعي صاحب الشكوى نفسه، ولكنها خلصت إلى أن الأمر ليس كذلك.</w:t>
      </w:r>
    </w:p>
    <w:p w:rsidR="000F05C8" w:rsidRPr="000F05C8" w:rsidRDefault="000F05C8" w:rsidP="000F05C8">
      <w:pPr>
        <w:pStyle w:val="SingleTxtGA"/>
        <w:spacing w:after="100"/>
        <w:rPr>
          <w:rFonts w:eastAsia="Traditional Arabic"/>
          <w:spacing w:val="-2"/>
          <w:sz w:val="30"/>
          <w:rtl/>
          <w:lang w:val="ar-SA"/>
        </w:rPr>
      </w:pPr>
      <w:r w:rsidRPr="000F05C8">
        <w:rPr>
          <w:spacing w:val="-2"/>
          <w:sz w:val="30"/>
          <w:rtl/>
          <w:lang w:val="ar-SA"/>
        </w:rPr>
        <w:t>6-3</w:t>
      </w:r>
      <w:r w:rsidRPr="000F05C8">
        <w:rPr>
          <w:spacing w:val="-2"/>
          <w:sz w:val="30"/>
          <w:rtl/>
          <w:lang w:val="ar-SA"/>
        </w:rPr>
        <w:tab/>
        <w:t>وفيما يتعلق بالصورة الفوتوغرافية للندوب الظاهرة على جسم صاحب الشكوى، تلاحظ الدولة الطرف أن وجود ندوب على جسمه لا يمكن اعتبار أنه يعني تعرضه للإيذاء البدني ك</w:t>
      </w:r>
      <w:r w:rsidR="00AE28CB">
        <w:rPr>
          <w:spacing w:val="-2"/>
          <w:sz w:val="30"/>
          <w:rtl/>
          <w:lang w:val="ar-SA"/>
        </w:rPr>
        <w:t>ما يدَّعي. وفي الحالات التي يدع</w:t>
      </w:r>
      <w:r w:rsidR="00AE28CB">
        <w:rPr>
          <w:rFonts w:hint="cs"/>
          <w:spacing w:val="-2"/>
          <w:sz w:val="30"/>
          <w:rtl/>
          <w:lang w:val="ar-SA"/>
        </w:rPr>
        <w:t>ي</w:t>
      </w:r>
      <w:r w:rsidRPr="000F05C8">
        <w:rPr>
          <w:spacing w:val="-2"/>
          <w:sz w:val="30"/>
          <w:rtl/>
          <w:lang w:val="ar-SA"/>
        </w:rPr>
        <w:t xml:space="preserve"> فيها طالب اللجوء أنه تعرض للتعذيب نتيجة لظروف لا تزال قائمة، ومن ثم هناك خطر بأن يتعرض للتعذيب مرة أخرى في حالة العودة إلى بلده الأصلي، لن يقوم مجلس طعون اللاجئين عادةً باتخاذ الترتيبات اللازمة لفحص علامات التعذيب إذا بدا أن طالب اللجوء المعني يفتقر إلى المصداقية طوال الإجراءات، كما هو الحال في القضية قيد النظر. ولذلك فإن المجلس يرفض تماماً بيان طالب اللجوء بشأن التعذيب المزعوم أو الظروف التي أدت إلى التعذيب. وإذا رُفض البيان الذي يشرح سبب تعرض طالب اللجوء للتعذيب باعتباره غير ذي مصداقية، وظلت الظروف التي تؤدي إلى خطر التعذيب في حالة عودة طالب اللجوء سائدة وفقاً لما يقوله، فإنه لا يمكن بالطبع أن يُعتبر حقيقياً، على هذا الأساس، أن طالب اللجوء قد يتعرض للتعذيب في حالة العودة إلى بلده الأصلي. وتشير الدولة الطرف إلى قرار اللجنة في حالة </w:t>
      </w:r>
      <w:r w:rsidRPr="000F05C8">
        <w:rPr>
          <w:i/>
          <w:iCs/>
          <w:spacing w:val="-2"/>
          <w:sz w:val="30"/>
          <w:rtl/>
          <w:lang w:val="ar-SA"/>
        </w:rPr>
        <w:t>س. أ. ب. ضد سويسرا</w:t>
      </w:r>
      <w:r w:rsidRPr="000F05C8">
        <w:rPr>
          <w:rFonts w:eastAsia="Traditional Arabic"/>
          <w:spacing w:val="-2"/>
          <w:vertAlign w:val="superscript"/>
          <w:rtl/>
          <w:lang w:val="ar-SA"/>
        </w:rPr>
        <w:t>(</w:t>
      </w:r>
      <w:r w:rsidRPr="000F05C8">
        <w:rPr>
          <w:rFonts w:eastAsia="Traditional Arabic"/>
          <w:spacing w:val="-2"/>
          <w:vertAlign w:val="superscript"/>
          <w:rtl/>
          <w:lang w:val="ar-SA"/>
        </w:rPr>
        <w:footnoteReference w:id="20"/>
      </w:r>
      <w:r w:rsidRPr="000F05C8">
        <w:rPr>
          <w:rFonts w:eastAsia="Traditional Arabic"/>
          <w:spacing w:val="-2"/>
          <w:vertAlign w:val="superscript"/>
          <w:rtl/>
          <w:lang w:val="ar-SA"/>
        </w:rPr>
        <w:t>)</w:t>
      </w:r>
      <w:r w:rsidRPr="000F05C8">
        <w:rPr>
          <w:spacing w:val="-2"/>
          <w:sz w:val="30"/>
          <w:rtl/>
          <w:lang w:val="ar-SA"/>
        </w:rPr>
        <w:t>، التي قدمت فيها صاحبة الشكوى شهادات طبية دعماً لطلبها للجوء، وذكرت اللجنة ما يلي: "تدَّعي س. أ. ب. أنها أصيبت، نتيجة لذلك، بإصابات بالغة الخطورة وتعاني من اضطرابات نفسية لاحقة للإصابة. غير أن اللجنة ترى أن صاحبي الشكوى لم يقدما أدلة كافية تسمح لها باستنتاج أن الإصابات الواردة بالشهادات كانت ناجمة عن أعمال الاضطهاد وسوء المعاملة المزعومة من جانب تلك السلطات</w:t>
      </w:r>
      <w:r w:rsidRPr="000F05C8">
        <w:rPr>
          <w:rFonts w:hint="cs"/>
          <w:spacing w:val="-2"/>
          <w:sz w:val="30"/>
          <w:rtl/>
          <w:lang w:val="ar-SA"/>
        </w:rPr>
        <w:t>".</w:t>
      </w:r>
    </w:p>
    <w:p w:rsidR="000F05C8" w:rsidRPr="00121EA5" w:rsidRDefault="000F05C8" w:rsidP="000F05C8">
      <w:pPr>
        <w:pStyle w:val="SingleTxtGA"/>
        <w:spacing w:after="100"/>
        <w:rPr>
          <w:rFonts w:eastAsia="Traditional Arabic"/>
          <w:sz w:val="30"/>
          <w:rtl/>
          <w:lang w:val="ar-SA"/>
        </w:rPr>
      </w:pPr>
      <w:r w:rsidRPr="00121EA5">
        <w:rPr>
          <w:sz w:val="30"/>
          <w:rtl/>
          <w:lang w:val="ar-SA"/>
        </w:rPr>
        <w:t>6-4</w:t>
      </w:r>
      <w:r w:rsidRPr="00121EA5">
        <w:rPr>
          <w:sz w:val="30"/>
          <w:rtl/>
          <w:lang w:val="ar-SA"/>
        </w:rPr>
        <w:tab/>
        <w:t xml:space="preserve">وتدفع الدولة الطرف بأنها على علم بالقرار الذي اتخذته اللجنة مؤخراً في حالة </w:t>
      </w:r>
      <w:r w:rsidRPr="00121EA5">
        <w:rPr>
          <w:i/>
          <w:iCs/>
          <w:sz w:val="30"/>
          <w:rtl/>
          <w:lang w:val="ar-SA"/>
        </w:rPr>
        <w:t>ف. ك. ضد الدانمرك</w:t>
      </w:r>
      <w:r w:rsidRPr="00121EA5">
        <w:rPr>
          <w:rFonts w:eastAsia="Traditional Arabic"/>
          <w:vertAlign w:val="superscript"/>
          <w:rtl/>
          <w:lang w:val="ar-SA"/>
        </w:rPr>
        <w:t>(</w:t>
      </w:r>
      <w:r w:rsidRPr="00121EA5">
        <w:rPr>
          <w:rFonts w:eastAsia="Traditional Arabic"/>
          <w:vertAlign w:val="superscript"/>
          <w:rtl/>
          <w:lang w:val="ar-SA"/>
        </w:rPr>
        <w:footnoteReference w:id="21"/>
      </w:r>
      <w:r w:rsidRPr="00121EA5">
        <w:rPr>
          <w:rFonts w:eastAsia="Traditional Arabic"/>
          <w:vertAlign w:val="superscript"/>
          <w:rtl/>
          <w:lang w:val="ar-SA"/>
        </w:rPr>
        <w:t>)</w:t>
      </w:r>
      <w:r w:rsidRPr="00121EA5">
        <w:rPr>
          <w:sz w:val="30"/>
          <w:rtl/>
          <w:lang w:val="ar-SA"/>
        </w:rPr>
        <w:t>، والذي ينص على ما يلي: "[...] ترى اللجنة أنه في حين أن الدولة الطرف أثارت شواغل خطيرة فيما يتعلق بالمصداقية، فإنها قد خلصت إلى استنتاج سلبي إزاء المصداقية دون أن تستكشف على النحو الملائم جانباً أساسياً من ادعاء صاحب الشكوى. ولذلك، ترى اللجنة أن الدولة الطرف، برفضها طلب اللجوء الذي قدمه صاحب الشكوى دون أن تطلب إجراء فحص طبي، لم تحقق بما فيه الكفاية فيما إذا كانت هناك أسباب حقيقية تدعو إلى الاعتقاد بأنه سيتعرض لخطر التعذيب إذا أعيد إلى تركيا"</w:t>
      </w:r>
      <w:r w:rsidRPr="00121EA5">
        <w:rPr>
          <w:rFonts w:hint="cs"/>
          <w:sz w:val="30"/>
          <w:rtl/>
          <w:lang w:val="ar-SA"/>
        </w:rPr>
        <w:t>.</w:t>
      </w:r>
      <w:r w:rsidRPr="00121EA5">
        <w:rPr>
          <w:sz w:val="30"/>
          <w:rtl/>
          <w:lang w:val="ar-SA"/>
        </w:rPr>
        <w:t xml:space="preserve"> وترى الدولة الطرف أنه لا يمكن الاستدلال من حالة </w:t>
      </w:r>
      <w:r w:rsidRPr="00121EA5">
        <w:rPr>
          <w:i/>
          <w:iCs/>
          <w:sz w:val="30"/>
          <w:rtl/>
          <w:lang w:val="ar-SA"/>
        </w:rPr>
        <w:t xml:space="preserve">ف. ك. ضد الدانمرك </w:t>
      </w:r>
      <w:r w:rsidRPr="00121EA5">
        <w:rPr>
          <w:sz w:val="30"/>
          <w:rtl/>
          <w:lang w:val="ar-SA"/>
        </w:rPr>
        <w:t xml:space="preserve">على أن ثمة التزاماً عاماً بإجراء فحص لأمارات التعذيب في الحالات التي لا يمكن فيها اعتبار بيان ملتمس اللجوء بشأن أسباب اللجوء حقيقياً لأن البيان يُعتبر مفتقراً إلى المصداقية. وبناء على ذلك، فإن المنطق الوارد في </w:t>
      </w:r>
      <w:r w:rsidRPr="00121EA5">
        <w:rPr>
          <w:i/>
          <w:iCs/>
          <w:sz w:val="30"/>
          <w:rtl/>
          <w:lang w:val="ar-SA"/>
        </w:rPr>
        <w:t>ف. ك. ضد الدانمرك</w:t>
      </w:r>
      <w:r w:rsidRPr="00121EA5">
        <w:rPr>
          <w:sz w:val="30"/>
          <w:rtl/>
          <w:lang w:val="ar-SA"/>
        </w:rPr>
        <w:t xml:space="preserve"> شديد الخصوصية.</w:t>
      </w:r>
    </w:p>
    <w:p w:rsidR="000F05C8" w:rsidRPr="00121EA5" w:rsidRDefault="000F05C8" w:rsidP="000F05C8">
      <w:pPr>
        <w:pStyle w:val="SingleTxtGA"/>
        <w:spacing w:after="100"/>
        <w:rPr>
          <w:rFonts w:eastAsia="Traditional Arabic"/>
          <w:sz w:val="30"/>
          <w:rtl/>
          <w:lang w:val="ar-SA"/>
        </w:rPr>
      </w:pPr>
      <w:r w:rsidRPr="00121EA5">
        <w:rPr>
          <w:sz w:val="30"/>
          <w:rtl/>
          <w:lang w:val="ar-SA"/>
        </w:rPr>
        <w:lastRenderedPageBreak/>
        <w:t>6-5</w:t>
      </w:r>
      <w:r w:rsidRPr="00121EA5">
        <w:rPr>
          <w:sz w:val="30"/>
          <w:rtl/>
          <w:lang w:val="ar-SA"/>
        </w:rPr>
        <w:tab/>
        <w:t xml:space="preserve">وتدفع الدولة الطرف بأنها، بغضّ النظر عما إذا كان يمكن اعتبار وجود نمط ثابت من الانتهاكات الجسيمة أو الصارخة أو الجماعية لحقوق الإنسان في السودان واقعاً فعلياً، ترى أن صاحب الشكوى لن يواجه خطر التعرض لاعتداء محدد وفردي يندرج في إطار المادة 3 عند عودته. وأشارت إلى قرارات اللجنة في حالتي </w:t>
      </w:r>
      <w:r w:rsidRPr="00121EA5">
        <w:rPr>
          <w:i/>
          <w:iCs/>
          <w:sz w:val="30"/>
          <w:rtl/>
          <w:lang w:val="ar-SA"/>
        </w:rPr>
        <w:t>ز. ضد الدانمرك</w:t>
      </w:r>
      <w:r w:rsidRPr="00121EA5">
        <w:rPr>
          <w:rFonts w:eastAsia="Traditional Arabic"/>
          <w:vertAlign w:val="superscript"/>
          <w:rtl/>
          <w:lang w:val="ar-SA"/>
        </w:rPr>
        <w:t>(</w:t>
      </w:r>
      <w:r w:rsidRPr="00121EA5">
        <w:rPr>
          <w:rFonts w:eastAsia="Traditional Arabic"/>
          <w:vertAlign w:val="superscript"/>
          <w:rtl/>
          <w:lang w:val="ar-SA"/>
        </w:rPr>
        <w:footnoteReference w:id="22"/>
      </w:r>
      <w:r w:rsidRPr="00121EA5">
        <w:rPr>
          <w:rFonts w:eastAsia="Traditional Arabic"/>
          <w:vertAlign w:val="superscript"/>
          <w:rtl/>
          <w:lang w:val="ar-SA"/>
        </w:rPr>
        <w:t>)</w:t>
      </w:r>
      <w:r w:rsidRPr="00121EA5">
        <w:rPr>
          <w:sz w:val="30"/>
          <w:rtl/>
          <w:lang w:val="ar-SA"/>
        </w:rPr>
        <w:t xml:space="preserve"> </w:t>
      </w:r>
      <w:proofErr w:type="spellStart"/>
      <w:r w:rsidRPr="00121EA5">
        <w:rPr>
          <w:sz w:val="30"/>
          <w:rtl/>
          <w:lang w:val="ar-SA"/>
        </w:rPr>
        <w:t>و</w:t>
      </w:r>
      <w:r w:rsidRPr="00121EA5">
        <w:rPr>
          <w:i/>
          <w:iCs/>
          <w:sz w:val="30"/>
          <w:rtl/>
          <w:lang w:val="ar-SA"/>
        </w:rPr>
        <w:t>م</w:t>
      </w:r>
      <w:proofErr w:type="spellEnd"/>
      <w:r w:rsidRPr="00121EA5">
        <w:rPr>
          <w:i/>
          <w:iCs/>
          <w:sz w:val="30"/>
          <w:rtl/>
          <w:lang w:val="ar-SA"/>
        </w:rPr>
        <w:t>. س. ضد الدانمرك</w:t>
      </w:r>
      <w:r w:rsidRPr="00121EA5">
        <w:rPr>
          <w:rFonts w:eastAsia="Traditional Arabic"/>
          <w:vertAlign w:val="superscript"/>
          <w:rtl/>
          <w:lang w:val="ar-SA"/>
        </w:rPr>
        <w:t>(</w:t>
      </w:r>
      <w:r w:rsidRPr="00121EA5">
        <w:rPr>
          <w:rFonts w:eastAsia="Traditional Arabic"/>
          <w:vertAlign w:val="superscript"/>
          <w:rtl/>
          <w:lang w:val="ar-SA"/>
        </w:rPr>
        <w:footnoteReference w:id="23"/>
      </w:r>
      <w:r w:rsidRPr="00121EA5">
        <w:rPr>
          <w:rFonts w:eastAsia="Traditional Arabic"/>
          <w:vertAlign w:val="superscript"/>
          <w:rtl/>
          <w:lang w:val="ar-SA"/>
        </w:rPr>
        <w:t>)</w:t>
      </w:r>
      <w:r w:rsidRPr="00121EA5">
        <w:rPr>
          <w:sz w:val="30"/>
          <w:rtl/>
          <w:lang w:val="ar-SA"/>
        </w:rPr>
        <w:t xml:space="preserve">، اللتين تذكر فيهما اللجنة أن وجود نمط من الانتهاكات الجسيمة أو الصارخة أو الجماعية لحقوق الإنسان في بلد ما لا يشكل، في حد ذاته، سبباً كافياً لتقرير أن شخصاً بعينه سيواجه خطر التعرض للتعذيب عند عودته إلى ذلك البلد؛ ويجب تقديم أسباب إضافية تبين أن الفرد المعني سيتعرض شخصياً للخطر. وتؤكد الدولة الطرف كذلك أن إشارة صاحب الشكوى إلى الحكمين الصادرين عن المحكمة الأوروبية لحقوق الإنسان في قضيتي </w:t>
      </w:r>
      <w:r w:rsidRPr="00121EA5">
        <w:rPr>
          <w:i/>
          <w:iCs/>
          <w:sz w:val="30"/>
          <w:rtl/>
          <w:lang w:val="ar-SA"/>
        </w:rPr>
        <w:t>أ. أ. ضد فرنسا</w:t>
      </w:r>
      <w:r w:rsidRPr="00121EA5">
        <w:rPr>
          <w:sz w:val="30"/>
          <w:rtl/>
          <w:lang w:val="ar-SA"/>
        </w:rPr>
        <w:t xml:space="preserve"> </w:t>
      </w:r>
      <w:proofErr w:type="spellStart"/>
      <w:r w:rsidRPr="00121EA5">
        <w:rPr>
          <w:sz w:val="30"/>
          <w:rtl/>
          <w:lang w:val="ar-SA"/>
        </w:rPr>
        <w:t>و</w:t>
      </w:r>
      <w:r w:rsidRPr="00121EA5">
        <w:rPr>
          <w:i/>
          <w:iCs/>
          <w:sz w:val="30"/>
          <w:rtl/>
          <w:lang w:val="ar-SA"/>
        </w:rPr>
        <w:t>أ</w:t>
      </w:r>
      <w:proofErr w:type="spellEnd"/>
      <w:r w:rsidRPr="00121EA5">
        <w:rPr>
          <w:i/>
          <w:iCs/>
          <w:sz w:val="30"/>
          <w:rtl/>
          <w:lang w:val="ar-SA"/>
        </w:rPr>
        <w:t xml:space="preserve">. ف. ضد فرنسا </w:t>
      </w:r>
      <w:r w:rsidRPr="00121EA5">
        <w:rPr>
          <w:sz w:val="30"/>
          <w:rtl/>
          <w:lang w:val="ar-SA"/>
        </w:rPr>
        <w:t>(انظر الفقرة 5-6 أعلاه) لا يمكن أن تؤدي إلى تقييم مختلف لقضيته.</w:t>
      </w:r>
    </w:p>
    <w:p w:rsidR="000F05C8" w:rsidRPr="000F05C8" w:rsidRDefault="000F05C8" w:rsidP="000F05C8">
      <w:pPr>
        <w:pStyle w:val="SingleTxtGA"/>
        <w:spacing w:after="100"/>
        <w:rPr>
          <w:rFonts w:eastAsia="Traditional Arabic"/>
          <w:spacing w:val="-2"/>
          <w:sz w:val="30"/>
          <w:rtl/>
          <w:lang w:val="ar-SA"/>
        </w:rPr>
      </w:pPr>
      <w:r w:rsidRPr="000F05C8">
        <w:rPr>
          <w:spacing w:val="-2"/>
          <w:sz w:val="30"/>
          <w:rtl/>
          <w:lang w:val="ar-SA"/>
        </w:rPr>
        <w:t>6-6</w:t>
      </w:r>
      <w:r w:rsidRPr="000F05C8">
        <w:rPr>
          <w:spacing w:val="-2"/>
          <w:sz w:val="30"/>
          <w:rtl/>
          <w:lang w:val="ar-SA"/>
        </w:rPr>
        <w:tab/>
        <w:t>وتدفع الدولة الطرف بأنه، وفقاً للمعلومات التي قدمها صاحب الشكوى، فهو لم يكن عضواً في أي جمعيات أو منظمات سياسية، ولم تتصل به السلطات قبل وقوع الحادث الذي ادعى وقوعه في عام 2007، وهو الحادث الذي لم يتمكن غالبية أعضاء مجلس طعون اللاجئين من قبوله كحقيقة. ولا يمكن تبرير الإقامة بموجب المادة 7 من قانون الأجانب بالظروف المتمثلة في أن صاحب الشكوى من أصل أفريقي انحدر أصلاً من دارفور. ولم يثبت احتمال أن يجتذب صاحب الشكوى انتباه السلطات السودانية لمجرد إقامته في الخارج لفترة طويلة. وبناء على ذلك، ترى الدولة الطرف أن صاحب الشكوى يبدو فرداً ذا مواصفات بسيطة للغاية بالنسبة للسلطات السودانية، وأنه لن يتعرض لخطر الإيذاء عند دخوله السودان. وفيما يتعلق بإشاراته إلى عدد من البلاغات الأخرى، تدفع الدولة الطرف بأن تلك البلاغات تتعلق بطالبي اللجوء من بلدان أخرى، وأنه لم يتبين وجود أوجه تماثل بين الظروف في حالة صاحب الشكوى وظروف تلك الحالات. ومن ثم، فهي ترى أن تلك الإشارات لا يمكن أن تؤدي إلى تقييم مختلف لحالة صاحب الشكوى.</w:t>
      </w:r>
    </w:p>
    <w:p w:rsidR="000F05C8" w:rsidRPr="000F05C8" w:rsidRDefault="000F05C8" w:rsidP="000F05C8">
      <w:pPr>
        <w:pStyle w:val="SingleTxtGA"/>
        <w:spacing w:after="100"/>
        <w:rPr>
          <w:rFonts w:eastAsia="Traditional Arabic"/>
          <w:spacing w:val="-4"/>
          <w:sz w:val="30"/>
          <w:rtl/>
          <w:lang w:val="ar-SA"/>
        </w:rPr>
      </w:pPr>
      <w:r w:rsidRPr="000F05C8">
        <w:rPr>
          <w:spacing w:val="-4"/>
          <w:sz w:val="30"/>
          <w:rtl/>
          <w:lang w:val="ar-SA"/>
        </w:rPr>
        <w:t>6-7</w:t>
      </w:r>
      <w:r w:rsidRPr="000F05C8">
        <w:rPr>
          <w:spacing w:val="-4"/>
          <w:sz w:val="30"/>
          <w:rtl/>
          <w:lang w:val="ar-SA"/>
        </w:rPr>
        <w:tab/>
        <w:t xml:space="preserve">تشير الدولة الطرف إلى الآراء التي اعتمدتها اللجنة المعنية بحقوق الإنسان في حالات </w:t>
      </w:r>
      <w:r w:rsidRPr="000F05C8">
        <w:rPr>
          <w:i/>
          <w:iCs/>
          <w:spacing w:val="-4"/>
          <w:sz w:val="30"/>
          <w:rtl/>
          <w:lang w:val="ar-SA"/>
        </w:rPr>
        <w:t>ب.</w:t>
      </w:r>
      <w:r>
        <w:rPr>
          <w:rFonts w:hint="cs"/>
          <w:i/>
          <w:iCs/>
          <w:spacing w:val="-4"/>
          <w:sz w:val="30"/>
          <w:rtl/>
          <w:lang w:val="ar-SA"/>
        </w:rPr>
        <w:t> </w:t>
      </w:r>
      <w:r w:rsidRPr="000F05C8">
        <w:rPr>
          <w:i/>
          <w:iCs/>
          <w:spacing w:val="-4"/>
          <w:sz w:val="30"/>
          <w:rtl/>
          <w:lang w:val="ar-SA"/>
        </w:rPr>
        <w:t>ت. ضد الدانمرك</w:t>
      </w:r>
      <w:r w:rsidRPr="000F05C8">
        <w:rPr>
          <w:rFonts w:eastAsia="Traditional Arabic"/>
          <w:spacing w:val="-4"/>
          <w:vertAlign w:val="superscript"/>
          <w:rtl/>
          <w:lang w:val="ar-SA"/>
        </w:rPr>
        <w:t>(</w:t>
      </w:r>
      <w:r w:rsidRPr="000F05C8">
        <w:rPr>
          <w:rFonts w:eastAsia="Traditional Arabic"/>
          <w:spacing w:val="-4"/>
          <w:vertAlign w:val="superscript"/>
          <w:rtl/>
          <w:lang w:val="ar-SA"/>
        </w:rPr>
        <w:footnoteReference w:id="24"/>
      </w:r>
      <w:r w:rsidRPr="000F05C8">
        <w:rPr>
          <w:rFonts w:eastAsia="Traditional Arabic"/>
          <w:spacing w:val="-4"/>
          <w:vertAlign w:val="superscript"/>
          <w:rtl/>
          <w:lang w:val="ar-SA"/>
        </w:rPr>
        <w:t>)</w:t>
      </w:r>
      <w:r w:rsidRPr="000F05C8">
        <w:rPr>
          <w:spacing w:val="-4"/>
          <w:sz w:val="30"/>
          <w:rtl/>
          <w:lang w:val="ar-SA"/>
        </w:rPr>
        <w:t>، و</w:t>
      </w:r>
      <w:r w:rsidRPr="000F05C8">
        <w:rPr>
          <w:i/>
          <w:iCs/>
          <w:spacing w:val="-4"/>
          <w:sz w:val="30"/>
          <w:rtl/>
          <w:lang w:val="ar-SA"/>
        </w:rPr>
        <w:t>ك. ضد الدانمرك</w:t>
      </w:r>
      <w:r w:rsidRPr="000F05C8">
        <w:rPr>
          <w:rFonts w:eastAsia="Traditional Arabic"/>
          <w:spacing w:val="-4"/>
          <w:vertAlign w:val="superscript"/>
          <w:rtl/>
          <w:lang w:val="ar-SA"/>
        </w:rPr>
        <w:t>(</w:t>
      </w:r>
      <w:r w:rsidRPr="000F05C8">
        <w:rPr>
          <w:rFonts w:eastAsia="Traditional Arabic"/>
          <w:spacing w:val="-4"/>
          <w:vertAlign w:val="superscript"/>
          <w:rtl/>
          <w:lang w:val="ar-SA"/>
        </w:rPr>
        <w:footnoteReference w:id="25"/>
      </w:r>
      <w:r w:rsidRPr="000F05C8">
        <w:rPr>
          <w:rFonts w:eastAsia="Traditional Arabic"/>
          <w:spacing w:val="-4"/>
          <w:vertAlign w:val="superscript"/>
          <w:rtl/>
          <w:lang w:val="ar-SA"/>
        </w:rPr>
        <w:t>)</w:t>
      </w:r>
      <w:r w:rsidRPr="000F05C8">
        <w:rPr>
          <w:spacing w:val="-4"/>
          <w:sz w:val="30"/>
          <w:rtl/>
          <w:lang w:val="ar-SA"/>
        </w:rPr>
        <w:t xml:space="preserve">، </w:t>
      </w:r>
      <w:proofErr w:type="spellStart"/>
      <w:r w:rsidRPr="000F05C8">
        <w:rPr>
          <w:spacing w:val="-4"/>
          <w:sz w:val="30"/>
          <w:rtl/>
          <w:lang w:val="ar-SA"/>
        </w:rPr>
        <w:t>و</w:t>
      </w:r>
      <w:r w:rsidRPr="000F05C8">
        <w:rPr>
          <w:i/>
          <w:iCs/>
          <w:spacing w:val="-4"/>
          <w:sz w:val="30"/>
          <w:rtl/>
          <w:lang w:val="ar-SA"/>
        </w:rPr>
        <w:t>ن</w:t>
      </w:r>
      <w:proofErr w:type="spellEnd"/>
      <w:r w:rsidRPr="000F05C8">
        <w:rPr>
          <w:i/>
          <w:iCs/>
          <w:spacing w:val="-4"/>
          <w:sz w:val="30"/>
          <w:rtl/>
          <w:lang w:val="ar-SA"/>
        </w:rPr>
        <w:t>. ضد الدانمرك</w:t>
      </w:r>
      <w:r w:rsidRPr="000F05C8">
        <w:rPr>
          <w:rFonts w:eastAsia="Traditional Arabic"/>
          <w:spacing w:val="-4"/>
          <w:vertAlign w:val="superscript"/>
          <w:rtl/>
          <w:lang w:val="ar-SA"/>
        </w:rPr>
        <w:t>(</w:t>
      </w:r>
      <w:r w:rsidRPr="000F05C8">
        <w:rPr>
          <w:rFonts w:eastAsia="Traditional Arabic"/>
          <w:spacing w:val="-4"/>
          <w:vertAlign w:val="superscript"/>
          <w:rtl/>
          <w:lang w:val="ar-SA"/>
        </w:rPr>
        <w:footnoteReference w:id="26"/>
      </w:r>
      <w:r w:rsidRPr="000F05C8">
        <w:rPr>
          <w:rFonts w:eastAsia="Traditional Arabic"/>
          <w:spacing w:val="-4"/>
          <w:vertAlign w:val="superscript"/>
          <w:rtl/>
          <w:lang w:val="ar-SA"/>
        </w:rPr>
        <w:t>)</w:t>
      </w:r>
      <w:r w:rsidRPr="000F05C8">
        <w:rPr>
          <w:spacing w:val="-4"/>
          <w:sz w:val="30"/>
          <w:rtl/>
          <w:lang w:val="ar-SA"/>
        </w:rPr>
        <w:t xml:space="preserve">. وهي تؤكد أن بلاغ صاحب الشكوى لا يبيّن سوى عدم اتفاقه مع التقييم الذي أجراه مجلس طعون اللاجئين لظروفه الخاصة المحددة والمعلومات الأساسية في حالته. وكذلك لم يحدد صاحب الشكوى أي مخالفة في عملية اتخاذ القرار أو أي عوامل خطر لم يأخذها المجلس في الاعتبار على النحو الواجب. ولذلك، </w:t>
      </w:r>
      <w:r w:rsidRPr="000F05C8">
        <w:rPr>
          <w:spacing w:val="-4"/>
          <w:sz w:val="30"/>
          <w:rtl/>
          <w:lang w:val="ar-SA"/>
        </w:rPr>
        <w:lastRenderedPageBreak/>
        <w:t xml:space="preserve">تؤكد الدولة الطرف من جديد أن صاحب الشكوى يحاول في الواقع أن يستخدم اللجنة بمثابة هيئة استئنافية لكي تعيد اللجنة تقييم الظروف </w:t>
      </w:r>
      <w:proofErr w:type="spellStart"/>
      <w:r w:rsidRPr="000F05C8">
        <w:rPr>
          <w:spacing w:val="-4"/>
          <w:sz w:val="30"/>
          <w:rtl/>
          <w:lang w:val="ar-SA"/>
        </w:rPr>
        <w:t>الوقائعية</w:t>
      </w:r>
      <w:proofErr w:type="spellEnd"/>
      <w:r w:rsidRPr="000F05C8">
        <w:rPr>
          <w:spacing w:val="-4"/>
          <w:sz w:val="30"/>
          <w:rtl/>
          <w:lang w:val="ar-SA"/>
        </w:rPr>
        <w:t xml:space="preserve"> التي استند إليها لدعم مطالبته باللجوء. وتؤكد الدولة الطرف علاوة على ذلك أن اللجنة يجب أن تولي وزناً كبيراً لاستنتاجات المجلس </w:t>
      </w:r>
      <w:proofErr w:type="spellStart"/>
      <w:r w:rsidRPr="000F05C8">
        <w:rPr>
          <w:spacing w:val="-4"/>
          <w:sz w:val="30"/>
          <w:rtl/>
          <w:lang w:val="ar-SA"/>
        </w:rPr>
        <w:t>الوقائعية</w:t>
      </w:r>
      <w:proofErr w:type="spellEnd"/>
      <w:r w:rsidRPr="000F05C8">
        <w:rPr>
          <w:spacing w:val="-4"/>
          <w:sz w:val="30"/>
          <w:rtl/>
          <w:lang w:val="ar-SA"/>
        </w:rPr>
        <w:t xml:space="preserve">، باعتباره أقدر على تقييم الظروف </w:t>
      </w:r>
      <w:proofErr w:type="spellStart"/>
      <w:r w:rsidRPr="000F05C8">
        <w:rPr>
          <w:spacing w:val="-4"/>
          <w:sz w:val="30"/>
          <w:rtl/>
          <w:lang w:val="ar-SA"/>
        </w:rPr>
        <w:t>الوقائعية</w:t>
      </w:r>
      <w:proofErr w:type="spellEnd"/>
      <w:r w:rsidRPr="000F05C8">
        <w:rPr>
          <w:spacing w:val="-4"/>
          <w:sz w:val="30"/>
          <w:rtl/>
          <w:lang w:val="ar-SA"/>
        </w:rPr>
        <w:t xml:space="preserve"> لحالة صاحب الشكوى</w:t>
      </w:r>
      <w:r w:rsidRPr="000F05C8">
        <w:rPr>
          <w:rFonts w:eastAsia="Traditional Arabic"/>
          <w:spacing w:val="-4"/>
          <w:vertAlign w:val="superscript"/>
          <w:rtl/>
          <w:lang w:val="ar-SA"/>
        </w:rPr>
        <w:t>(</w:t>
      </w:r>
      <w:r w:rsidRPr="000F05C8">
        <w:rPr>
          <w:rFonts w:eastAsia="Traditional Arabic"/>
          <w:spacing w:val="-4"/>
          <w:vertAlign w:val="superscript"/>
          <w:rtl/>
          <w:lang w:val="ar-SA"/>
        </w:rPr>
        <w:footnoteReference w:id="27"/>
      </w:r>
      <w:r w:rsidRPr="000F05C8">
        <w:rPr>
          <w:rFonts w:eastAsia="Traditional Arabic"/>
          <w:spacing w:val="-4"/>
          <w:vertAlign w:val="superscript"/>
          <w:rtl/>
          <w:lang w:val="ar-SA"/>
        </w:rPr>
        <w:t>)</w:t>
      </w:r>
      <w:r w:rsidRPr="000F05C8">
        <w:rPr>
          <w:spacing w:val="-4"/>
          <w:sz w:val="30"/>
          <w:rtl/>
          <w:lang w:val="ar-SA"/>
        </w:rPr>
        <w:t>.</w:t>
      </w:r>
    </w:p>
    <w:p w:rsidR="000F05C8" w:rsidRPr="00121EA5" w:rsidRDefault="000F05C8" w:rsidP="000F05C8">
      <w:pPr>
        <w:pStyle w:val="H23GA"/>
        <w:rPr>
          <w:rFonts w:eastAsia="Traditional Arabic"/>
          <w:rtl/>
          <w:lang w:val="ar-SA"/>
        </w:rPr>
      </w:pPr>
      <w:r w:rsidRPr="00121EA5">
        <w:rPr>
          <w:rFonts w:eastAsia="Traditional Arabic"/>
          <w:rtl/>
          <w:lang w:val="ar-SA"/>
        </w:rPr>
        <w:tab/>
      </w:r>
      <w:r w:rsidRPr="00121EA5">
        <w:rPr>
          <w:rFonts w:eastAsia="Traditional Arabic"/>
          <w:rtl/>
          <w:lang w:val="ar-SA"/>
        </w:rPr>
        <w:tab/>
      </w:r>
      <w:r w:rsidRPr="00121EA5">
        <w:rPr>
          <w:rFonts w:eastAsia="Arial Unicode MS" w:hint="cs"/>
          <w:rtl/>
          <w:lang w:val="ar-SA"/>
        </w:rPr>
        <w:t>المسائل والإجراءات المعروضة على اللجنة</w:t>
      </w:r>
    </w:p>
    <w:p w:rsidR="000F05C8" w:rsidRPr="00121EA5" w:rsidRDefault="000F05C8" w:rsidP="000F05C8">
      <w:pPr>
        <w:pStyle w:val="H4GA"/>
        <w:rPr>
          <w:rFonts w:eastAsia="Traditional Arabic"/>
          <w:rtl/>
          <w:lang w:val="ar-SA"/>
        </w:rPr>
      </w:pPr>
      <w:r w:rsidRPr="00121EA5">
        <w:rPr>
          <w:rFonts w:eastAsia="Traditional Arabic"/>
          <w:rtl/>
          <w:lang w:val="ar-SA"/>
        </w:rPr>
        <w:tab/>
      </w:r>
      <w:r w:rsidRPr="00121EA5">
        <w:rPr>
          <w:rFonts w:eastAsia="Traditional Arabic"/>
          <w:rtl/>
          <w:lang w:val="ar-SA"/>
        </w:rPr>
        <w:tab/>
      </w:r>
      <w:r w:rsidRPr="00121EA5">
        <w:rPr>
          <w:rFonts w:eastAsia="Arial Unicode MS" w:hint="cs"/>
          <w:rtl/>
          <w:lang w:val="ar-SA"/>
        </w:rPr>
        <w:t>النظر في المقبولية</w:t>
      </w:r>
    </w:p>
    <w:p w:rsidR="000F05C8" w:rsidRPr="00121EA5" w:rsidRDefault="000F05C8" w:rsidP="000F05C8">
      <w:pPr>
        <w:pStyle w:val="SingleTxtGA"/>
        <w:rPr>
          <w:rFonts w:eastAsia="Traditional Arabic"/>
          <w:sz w:val="30"/>
          <w:rtl/>
          <w:lang w:val="ar-SA"/>
        </w:rPr>
      </w:pPr>
      <w:r w:rsidRPr="00121EA5">
        <w:rPr>
          <w:sz w:val="30"/>
          <w:rtl/>
          <w:lang w:val="ar-SA"/>
        </w:rPr>
        <w:t>7-1</w:t>
      </w:r>
      <w:r w:rsidRPr="00121EA5">
        <w:rPr>
          <w:sz w:val="30"/>
          <w:rtl/>
          <w:lang w:val="ar-SA"/>
        </w:rPr>
        <w:tab/>
        <w:t>قبل أن تنظر اللجنة في أي شكوى مقدمة في بلاغ ما، يجب أن تقرر ما إذا كان البلاغ مقبولاً بموجب المادة 22 من الاتفاقية. وقد تأكدت اللجنة، كما تقتضي منها المادة</w:t>
      </w:r>
      <w:r w:rsidRPr="00121EA5">
        <w:rPr>
          <w:rFonts w:hint="cs"/>
          <w:sz w:val="30"/>
          <w:rtl/>
          <w:lang w:val="ar-SA"/>
        </w:rPr>
        <w:t> </w:t>
      </w:r>
      <w:r w:rsidRPr="00121EA5">
        <w:rPr>
          <w:sz w:val="30"/>
          <w:rtl/>
          <w:lang w:val="ar-SA"/>
        </w:rPr>
        <w:t>22(5)(أ) من الاتفاقية، من أن المسألة نفسها لم تُبحث ولا يجري بحثها في إطار أي إجراء آخر من إجراءات التحقيق الدولي أو التسوية الدولية.</w:t>
      </w:r>
    </w:p>
    <w:p w:rsidR="000F05C8" w:rsidRPr="00121EA5" w:rsidRDefault="000F05C8" w:rsidP="000F05C8">
      <w:pPr>
        <w:pStyle w:val="SingleTxtGA"/>
        <w:rPr>
          <w:rFonts w:eastAsia="Traditional Arabic"/>
          <w:sz w:val="30"/>
          <w:rtl/>
          <w:lang w:val="ar-SA"/>
        </w:rPr>
      </w:pPr>
      <w:r w:rsidRPr="00121EA5">
        <w:rPr>
          <w:sz w:val="30"/>
          <w:rtl/>
          <w:lang w:val="ar-SA"/>
        </w:rPr>
        <w:t>7-2</w:t>
      </w:r>
      <w:r w:rsidRPr="00121EA5">
        <w:rPr>
          <w:sz w:val="30"/>
          <w:rtl/>
          <w:lang w:val="ar-SA"/>
        </w:rPr>
        <w:tab/>
        <w:t>وتذكّر اللجنة بأنها، وفقاً للمادة 22(5)(ب) من الاتفاقية، لا تنظر في أي بلاغ يرد من أي فرد ما لم تتحقق من أن هذا الفرد قد استنفد جميع سبل الانتصاف المحلية المتاحة. وتلاحظ اللجنة أن الدولة الطرف لا تعترض في هذه القضية على أن صاحب الشكوى قد استنفد جميع سبل الانتصاف المحلية المتاحة.</w:t>
      </w:r>
    </w:p>
    <w:p w:rsidR="000F05C8" w:rsidRPr="00121EA5" w:rsidRDefault="000F05C8" w:rsidP="000F05C8">
      <w:pPr>
        <w:pStyle w:val="SingleTxtGA"/>
        <w:rPr>
          <w:rFonts w:eastAsia="Traditional Arabic"/>
          <w:sz w:val="30"/>
          <w:rtl/>
          <w:lang w:val="ar-SA"/>
        </w:rPr>
      </w:pPr>
      <w:r w:rsidRPr="00121EA5">
        <w:rPr>
          <w:sz w:val="30"/>
          <w:rtl/>
          <w:lang w:val="ar-SA"/>
        </w:rPr>
        <w:t>7-3</w:t>
      </w:r>
      <w:r w:rsidRPr="00121EA5">
        <w:rPr>
          <w:sz w:val="30"/>
          <w:rtl/>
          <w:lang w:val="ar-SA"/>
        </w:rPr>
        <w:tab/>
        <w:t>وتذكرّ اللجنة بأن البلاغ، كي يكون مقبولاً بمقتضى المادة 22 من الاتفاقية والمادة</w:t>
      </w:r>
      <w:r w:rsidRPr="00121EA5">
        <w:rPr>
          <w:rFonts w:hint="cs"/>
          <w:sz w:val="30"/>
          <w:rtl/>
          <w:lang w:val="ar-SA"/>
        </w:rPr>
        <w:t> </w:t>
      </w:r>
      <w:r w:rsidRPr="00121EA5">
        <w:rPr>
          <w:sz w:val="30"/>
          <w:rtl/>
          <w:lang w:val="ar-SA"/>
        </w:rPr>
        <w:t>113(ب) من النظام الداخلي للجنة، يجب أن يرقى إلى المستوى الأساسي من الإثبات اللازم لأغراض المقبولية</w:t>
      </w:r>
      <w:r w:rsidRPr="00121EA5">
        <w:rPr>
          <w:rFonts w:eastAsia="Traditional Arabic"/>
          <w:vertAlign w:val="superscript"/>
          <w:rtl/>
          <w:lang w:val="ar-SA"/>
        </w:rPr>
        <w:t>(</w:t>
      </w:r>
      <w:r w:rsidRPr="00121EA5">
        <w:rPr>
          <w:rFonts w:eastAsia="Traditional Arabic"/>
          <w:vertAlign w:val="superscript"/>
          <w:rtl/>
          <w:lang w:val="ar-SA"/>
        </w:rPr>
        <w:footnoteReference w:id="28"/>
      </w:r>
      <w:r w:rsidRPr="00121EA5">
        <w:rPr>
          <w:rFonts w:eastAsia="Traditional Arabic"/>
          <w:vertAlign w:val="superscript"/>
          <w:rtl/>
          <w:lang w:val="ar-SA"/>
        </w:rPr>
        <w:t>)</w:t>
      </w:r>
      <w:r w:rsidRPr="00121EA5">
        <w:rPr>
          <w:sz w:val="30"/>
          <w:rtl/>
          <w:lang w:val="ar-SA"/>
        </w:rPr>
        <w:t>. وتحيط اللجنة علماً بحجة الدولة الطرف التي مؤدَّاها أن البلاغ لا يستند إلى أساس واضح بسبب عدم كفاية الأدلة. بيد أن اللجنة ترى أن الحجج التي قدمها صاحب الشكوى تثير مسائل موضوعية بموجب المادة 3 من الاتفاقية، وأن هذه الحجج ينبغي أن تعالَج من حيث الأسس الموضوعية. وبناء على ذلك، تخلص اللجنة إلى عدم وجود أي عوائق تحول دون قبول البلاغ وتعلن مقبوليته.</w:t>
      </w:r>
    </w:p>
    <w:p w:rsidR="000F05C8" w:rsidRPr="00121EA5" w:rsidRDefault="000F05C8" w:rsidP="000F05C8">
      <w:pPr>
        <w:pStyle w:val="H4GA"/>
        <w:rPr>
          <w:rFonts w:eastAsia="Traditional Arabic"/>
          <w:rtl/>
          <w:lang w:val="ar-SA"/>
        </w:rPr>
      </w:pPr>
      <w:r w:rsidRPr="00121EA5">
        <w:rPr>
          <w:rFonts w:eastAsia="Traditional Arabic"/>
          <w:rtl/>
          <w:lang w:val="ar-SA"/>
        </w:rPr>
        <w:tab/>
      </w:r>
      <w:r w:rsidRPr="00121EA5">
        <w:rPr>
          <w:rFonts w:eastAsia="Traditional Arabic"/>
          <w:rtl/>
          <w:lang w:val="ar-SA"/>
        </w:rPr>
        <w:tab/>
      </w:r>
      <w:r w:rsidRPr="00121EA5">
        <w:rPr>
          <w:rFonts w:eastAsia="Arial Unicode MS" w:hint="cs"/>
          <w:rtl/>
          <w:lang w:val="ar-SA"/>
        </w:rPr>
        <w:t>النظر في الأسس الموضوعية</w:t>
      </w:r>
    </w:p>
    <w:p w:rsidR="000F05C8" w:rsidRPr="00121EA5" w:rsidRDefault="000F05C8" w:rsidP="000F05C8">
      <w:pPr>
        <w:pStyle w:val="SingleTxtGA"/>
        <w:rPr>
          <w:rFonts w:eastAsia="Traditional Arabic"/>
          <w:sz w:val="30"/>
          <w:rtl/>
          <w:lang w:val="ar-SA"/>
        </w:rPr>
      </w:pPr>
      <w:r w:rsidRPr="00121EA5">
        <w:rPr>
          <w:sz w:val="30"/>
          <w:rtl/>
          <w:lang w:val="ar-SA"/>
        </w:rPr>
        <w:t>8-1</w:t>
      </w:r>
      <w:r w:rsidRPr="00121EA5">
        <w:rPr>
          <w:sz w:val="30"/>
          <w:rtl/>
          <w:lang w:val="ar-SA"/>
        </w:rPr>
        <w:tab/>
        <w:t>نظرت اللجنة في هذا البلاغ في ضوء جميع المعلومات التي أتاحها لها الطرفان، وفقاً للمادة 22(4) من الاتفاقية.</w:t>
      </w:r>
    </w:p>
    <w:p w:rsidR="000F05C8" w:rsidRPr="00121EA5" w:rsidRDefault="000F05C8" w:rsidP="000F05C8">
      <w:pPr>
        <w:pStyle w:val="SingleTxtGA"/>
        <w:rPr>
          <w:rFonts w:eastAsia="Traditional Arabic"/>
          <w:sz w:val="30"/>
          <w:rtl/>
          <w:lang w:val="ar-SA"/>
        </w:rPr>
      </w:pPr>
      <w:r w:rsidRPr="00121EA5">
        <w:rPr>
          <w:sz w:val="30"/>
          <w:rtl/>
          <w:lang w:val="ar-SA"/>
        </w:rPr>
        <w:t>8-2</w:t>
      </w:r>
      <w:r w:rsidRPr="00121EA5">
        <w:rPr>
          <w:sz w:val="30"/>
          <w:rtl/>
          <w:lang w:val="ar-SA"/>
        </w:rPr>
        <w:tab/>
        <w:t>والمسألة المعروضة على اللجنة هي ما إذا كانت إعادة صاحب الشكوى إلى السودان تشكل انتهاكاً لالتزام الدولة الطرف بموجب المادة 3 من الاتفاقية بعدم طرد شخص أو إعادته قسراً ("</w:t>
      </w:r>
      <w:proofErr w:type="spellStart"/>
      <w:r w:rsidRPr="00121EA5">
        <w:rPr>
          <w:rFonts w:cs="Times New Roman"/>
          <w:szCs w:val="20"/>
          <w:rtl/>
          <w:lang w:val="ar-SA"/>
        </w:rPr>
        <w:t>refouler</w:t>
      </w:r>
      <w:proofErr w:type="spellEnd"/>
      <w:r w:rsidRPr="00121EA5">
        <w:rPr>
          <w:sz w:val="30"/>
          <w:rtl/>
          <w:lang w:val="ar-SA"/>
        </w:rPr>
        <w:t>") إلى دولة أخرى إذا توافرت لديها أسباب حقيقية تدعو إلى الاعتقاد بأنه سيكون في خطر من التعرض للتعذيب.</w:t>
      </w:r>
    </w:p>
    <w:p w:rsidR="000F05C8" w:rsidRPr="00121EA5" w:rsidRDefault="000F05C8" w:rsidP="000F05C8">
      <w:pPr>
        <w:pStyle w:val="SingleTxtGA"/>
        <w:rPr>
          <w:rFonts w:eastAsia="Traditional Arabic"/>
          <w:sz w:val="30"/>
          <w:rtl/>
          <w:lang w:val="ar-SA"/>
        </w:rPr>
      </w:pPr>
      <w:r w:rsidRPr="00121EA5">
        <w:rPr>
          <w:sz w:val="30"/>
          <w:rtl/>
          <w:lang w:val="ar-SA"/>
        </w:rPr>
        <w:lastRenderedPageBreak/>
        <w:t>8-3</w:t>
      </w:r>
      <w:r w:rsidRPr="00121EA5">
        <w:rPr>
          <w:sz w:val="30"/>
          <w:rtl/>
          <w:lang w:val="ar-SA"/>
        </w:rPr>
        <w:tab/>
        <w:t>ويجب على اللجنة أن تقيّم ما إذا كانت هناك أسباب وجيهة تدعو إلى الاعتقاد بأن صاحب الشكوى سيتعرض شخصياً لخطر التعذيب لدى عودته إلى السودان. وعند تقييم هذا الخطر، يجب على اللجنة أن تراعي جميع الاعتبارات ذات الصلة، عملاً بالفقرة 3(2) من الاتفاقية، بما في ذلك وجود نمط ثابت من الانتهاكات الجسيمة أو الصارخة أو الجماعية لحقوق الإنسان. ولا تزال اللجنة تشعر بقلق بالغ إزاء استمرار الادعاءات المتطابقة بشيوع استخدام التعذيب وغيره من ضروب المعاملة القاسية أو اللاإنسانية أو المهينة التي ترتكبها الجهات الفاعلة التابعة للدولة، سواء في ذلك القوات العسكرية أو قوات الشرطة، والتي ما زالت تُرتكب في كثير من أنحاء السودان</w:t>
      </w:r>
      <w:r w:rsidRPr="00121EA5">
        <w:rPr>
          <w:rFonts w:eastAsia="Traditional Arabic"/>
          <w:vertAlign w:val="superscript"/>
          <w:rtl/>
          <w:lang w:val="ar-SA"/>
        </w:rPr>
        <w:t>(</w:t>
      </w:r>
      <w:r w:rsidRPr="00121EA5">
        <w:rPr>
          <w:rFonts w:eastAsia="Traditional Arabic"/>
          <w:vertAlign w:val="superscript"/>
          <w:rtl/>
          <w:lang w:val="ar-SA"/>
        </w:rPr>
        <w:footnoteReference w:id="29"/>
      </w:r>
      <w:r w:rsidRPr="00121EA5">
        <w:rPr>
          <w:rFonts w:eastAsia="Traditional Arabic"/>
          <w:vertAlign w:val="superscript"/>
          <w:rtl/>
          <w:lang w:val="ar-SA"/>
        </w:rPr>
        <w:t>)</w:t>
      </w:r>
      <w:r w:rsidRPr="00121EA5">
        <w:rPr>
          <w:sz w:val="30"/>
          <w:rtl/>
          <w:lang w:val="ar-SA"/>
        </w:rPr>
        <w:t>. بيد أن اللجنة تذكّر بأن الهدف من هذا التحديد هو إثبات ما إذا كان الفرد المعني سيواجه شخصياً خطراً متوقعاً وحقيقياً من التعرض للتعذيب في البلد الذي سيعود إليه؛ ولا بدّ من تقديم أسباب إضافية تبين أن الفرد المعني سيتعرض شخصياً للخطر</w:t>
      </w:r>
      <w:r w:rsidRPr="00121EA5">
        <w:rPr>
          <w:rFonts w:eastAsia="Traditional Arabic"/>
          <w:vertAlign w:val="superscript"/>
          <w:rtl/>
          <w:lang w:val="ar-SA"/>
        </w:rPr>
        <w:t>(</w:t>
      </w:r>
      <w:r w:rsidRPr="00121EA5">
        <w:rPr>
          <w:rFonts w:eastAsia="Traditional Arabic"/>
          <w:vertAlign w:val="superscript"/>
          <w:rtl/>
          <w:lang w:val="ar-SA"/>
        </w:rPr>
        <w:footnoteReference w:id="30"/>
      </w:r>
      <w:r w:rsidRPr="00121EA5">
        <w:rPr>
          <w:rFonts w:eastAsia="Traditional Arabic"/>
          <w:vertAlign w:val="superscript"/>
          <w:rtl/>
          <w:lang w:val="ar-SA"/>
        </w:rPr>
        <w:t>)</w:t>
      </w:r>
      <w:r w:rsidRPr="00121EA5">
        <w:rPr>
          <w:sz w:val="30"/>
          <w:rtl/>
          <w:lang w:val="ar-SA"/>
        </w:rPr>
        <w:t>.</w:t>
      </w:r>
    </w:p>
    <w:p w:rsidR="000F05C8" w:rsidRPr="00121EA5" w:rsidRDefault="000F05C8" w:rsidP="000F05C8">
      <w:pPr>
        <w:pStyle w:val="SingleTxtGA"/>
        <w:rPr>
          <w:rFonts w:eastAsia="Traditional Arabic"/>
          <w:sz w:val="30"/>
          <w:rtl/>
          <w:lang w:val="ar-SA"/>
        </w:rPr>
      </w:pPr>
      <w:r w:rsidRPr="00121EA5">
        <w:rPr>
          <w:sz w:val="30"/>
          <w:rtl/>
          <w:lang w:val="ar-SA"/>
        </w:rPr>
        <w:t>8-4</w:t>
      </w:r>
      <w:r w:rsidRPr="00121EA5">
        <w:rPr>
          <w:sz w:val="30"/>
          <w:rtl/>
          <w:lang w:val="ar-SA"/>
        </w:rPr>
        <w:tab/>
        <w:t xml:space="preserve">وتذكّر اللجنة بتعليقها العام رقم 1، الذي يقضي بأن خطر التعذيب يجب أن يُقيَّم على أسس تتجاوز مجرد الافتراض أو الشك. وليس من الضروري أن يفي هذا الخطر بمعيار رجحان وقوعه، وإنما يجب أن يكون شخصياً ومُحدِقا. وفي هذا الصدد، قررت اللجنة في قرارات سابقة أن خطر التعذيب يجب أن يكون متوقعاً وحقيقياً وشخصياً. وتشير اللجنة إلى أنها، بموجب أحكام التعليق العام رقم 1، تولي ثقلاً كبيراً للنتائج </w:t>
      </w:r>
      <w:proofErr w:type="spellStart"/>
      <w:r w:rsidRPr="00121EA5">
        <w:rPr>
          <w:sz w:val="30"/>
          <w:rtl/>
          <w:lang w:val="ar-SA"/>
        </w:rPr>
        <w:t>الوقائعية</w:t>
      </w:r>
      <w:proofErr w:type="spellEnd"/>
      <w:r w:rsidRPr="00121EA5">
        <w:rPr>
          <w:sz w:val="30"/>
          <w:rtl/>
          <w:lang w:val="ar-SA"/>
        </w:rPr>
        <w:t xml:space="preserve"> التي تخلص إليها سلطات الدولة الطرف المعنية، لكنها في الوقت نفسه غير ملزمة بالأخذ بهذه النتائج؛ بل إن من سلطتها بموجب المادة 22(4) من الاتفاقية، تقييم الوقائع بحرّية بناء على مجمل الظروف في كل حالة.</w:t>
      </w:r>
    </w:p>
    <w:p w:rsidR="000F05C8" w:rsidRPr="00121EA5" w:rsidRDefault="000F05C8" w:rsidP="000F05C8">
      <w:pPr>
        <w:pStyle w:val="SingleTxtGA"/>
        <w:rPr>
          <w:rFonts w:eastAsia="Traditional Arabic"/>
          <w:sz w:val="30"/>
          <w:rtl/>
          <w:lang w:val="ar-SA"/>
        </w:rPr>
      </w:pPr>
      <w:r w:rsidRPr="00121EA5">
        <w:rPr>
          <w:sz w:val="30"/>
          <w:rtl/>
          <w:lang w:val="ar-SA"/>
        </w:rPr>
        <w:t>8-5</w:t>
      </w:r>
      <w:r w:rsidRPr="00121EA5">
        <w:rPr>
          <w:sz w:val="30"/>
          <w:rtl/>
          <w:lang w:val="ar-SA"/>
        </w:rPr>
        <w:tab/>
        <w:t>وتحيط اللجنة علماً بادعاءات صاحب الشكوى أنه سيتعرض شخصياً لخطر تعذيب حقيقي في حال إعادته إلى السودان لأنه: جرى استجوابه بشأن تورط أخيه في حركة العدل والمساواة وعن مكان وجود أخيه من قبل ضباط الأمن والشرطة الوطنيين؛ وطُعِن بسكين عدة مرات من قِبل ضباط الأمن؛ وهدده ضباط الشرطة بالقتل؛ وهرب من مستشفى عسكري كان محتجزاً فيه، وبعد ذلك من البلد. وهو يخشى أيضاً العودة إلى السودان بسبب علاقته مع امرأة مسيحية، لأن ضباط الشرطة اتهموه بأنه ليس مسلماً حقيقياً بسبب تلك العلاقة. وتحيط اللجنة علماً كذلك بملاحظات الدولة الطرف أن سلطاتها المحلية خلصت إلى أن صاحب الشكوى يفتقر إلى المصداقية لأنه، في جملة أمور، أدلى ببيانات متناقضة وتنزع إلى المبالغة في أثناء المقابلات الشخصية، وأنه وشريكته أدليا بأقوال غير متسقة فيما يتعلق بسبب مغادرتهما السودان (انظر الفقرتين 4-3 و4-4، أعلاه).</w:t>
      </w:r>
    </w:p>
    <w:p w:rsidR="000F05C8" w:rsidRPr="000F05C8" w:rsidRDefault="000F05C8" w:rsidP="000F05C8">
      <w:pPr>
        <w:pStyle w:val="SingleTxtGA"/>
        <w:rPr>
          <w:rFonts w:eastAsia="Traditional Arabic"/>
          <w:spacing w:val="-2"/>
          <w:sz w:val="30"/>
          <w:rtl/>
          <w:lang w:val="ar-SA"/>
        </w:rPr>
      </w:pPr>
      <w:r w:rsidRPr="000F05C8">
        <w:rPr>
          <w:spacing w:val="-2"/>
          <w:sz w:val="30"/>
          <w:rtl/>
          <w:lang w:val="ar-SA"/>
        </w:rPr>
        <w:t>8-6</w:t>
      </w:r>
      <w:r w:rsidRPr="000F05C8">
        <w:rPr>
          <w:spacing w:val="-2"/>
          <w:sz w:val="30"/>
          <w:rtl/>
          <w:lang w:val="ar-SA"/>
        </w:rPr>
        <w:tab/>
        <w:t xml:space="preserve">وتلاحظ اللجنة، في هذه الحالة، أن ادعاءات صاحب الشكوى بأنه سيتعرض لخطر التعذيب إذا أعيد إلى السودان تعتمد على السجل العام لحقوق الإنسان في السودان وعلى ادعاء أنه طُعن بسكين، في عام 2007، وهدده أفراد الأمن والشرطة واعتقلوه لحمله على الكشف عن مكان وجود أخيه، وهو من أنصار حركة العدل والمساواة. وتحيط اللجنة علماً أيضاً بما ذكرته </w:t>
      </w:r>
      <w:r w:rsidRPr="000F05C8">
        <w:rPr>
          <w:spacing w:val="-2"/>
          <w:sz w:val="30"/>
          <w:rtl/>
          <w:lang w:val="ar-SA"/>
        </w:rPr>
        <w:lastRenderedPageBreak/>
        <w:t>الدولة الطرف من أن صاحب الشكوى نفسه لم يشارك قط في تلك الحركة، وأن نشاطه السياسي اقتصر على المشاركة في مظاهرة واحدة، وأنه قدم بيانات متناقضة فيما يتعلق بالأحداث المحيطة بتعرضه لسوء المعاملة والتوقيف. وتلاحظ اللجنة أن صاحب الشكوى، حتى لو غضَّت البصر عن التناقضات المذكورة أعلاه وقبلت بصحة هذه الادعاءات، لم يقدم أي دليل على أن السلطات في السودان كانت تبحث عنه في الماضي القريب أو كانت مهتمة بأمره على نحو آخر. وتحيط اللجنة علماً كذلك بموقف صاحب الشكوى المتمثل في أن السلطات كان ينبغي أن تأمر بإجراء فحص طبي، لإثبات ما إذا كان قد تعرض للتعذيب في الماضي أو نفيه.</w:t>
      </w:r>
    </w:p>
    <w:p w:rsidR="000F05C8" w:rsidRPr="00121EA5" w:rsidRDefault="000F05C8" w:rsidP="000F05C8">
      <w:pPr>
        <w:pStyle w:val="SingleTxtGA"/>
        <w:rPr>
          <w:rFonts w:eastAsia="Traditional Arabic"/>
          <w:sz w:val="30"/>
          <w:rtl/>
          <w:lang w:val="ar-SA"/>
        </w:rPr>
      </w:pPr>
      <w:r w:rsidRPr="00121EA5">
        <w:rPr>
          <w:sz w:val="30"/>
          <w:rtl/>
          <w:lang w:val="ar-SA"/>
        </w:rPr>
        <w:t>8-7</w:t>
      </w:r>
      <w:r w:rsidRPr="00121EA5">
        <w:rPr>
          <w:sz w:val="30"/>
          <w:rtl/>
          <w:lang w:val="ar-SA"/>
        </w:rPr>
        <w:tab/>
        <w:t>وتلاحظ اللجنة أنه ينبغي، من حيث المبدأ، إجراء الفحص الطبي الذي يطلبه صاحب الشكوى لإثبات أفعال التعذيب التي يزعم أنه تعرض لها، بغضّ النظر عن تقييم السلطات لمصداقية الادعاء، كيما يتسنى لسلطات اتخاذ القرار بشأن حالة معينة من حالات الإعادة القسرية إتمام عملية تقييم خطر التعذيب بموضوعية، دون أي شك معقول، على أساس نتائج ذلك الفحص الطبي. بيد أن اللجنة، في الظروف الخاصة بهذه الحالة، تلاحظ الفترة الزمنية التي انقضت منذ أحداث عام 2007، وتذكّر بأنه، على الرغم من أن أحداث الماضي قد تكون ذات صلة، فإن الهدف الرئيسي من تقييمها هو تحديد ما إذا كان صاحب الشكوى معرض حالياً لخطر التعذيب لدى عودته إلى السودان</w:t>
      </w:r>
      <w:r w:rsidRPr="00121EA5">
        <w:rPr>
          <w:rFonts w:eastAsia="Traditional Arabic"/>
          <w:vertAlign w:val="superscript"/>
          <w:rtl/>
          <w:lang w:val="ar-SA"/>
        </w:rPr>
        <w:t>(</w:t>
      </w:r>
      <w:r w:rsidRPr="00121EA5">
        <w:rPr>
          <w:rFonts w:eastAsia="Traditional Arabic"/>
          <w:vertAlign w:val="superscript"/>
          <w:rtl/>
          <w:lang w:val="ar-SA"/>
        </w:rPr>
        <w:footnoteReference w:id="31"/>
      </w:r>
      <w:r w:rsidRPr="00121EA5">
        <w:rPr>
          <w:rFonts w:eastAsia="Traditional Arabic"/>
          <w:vertAlign w:val="superscript"/>
          <w:rtl/>
          <w:lang w:val="ar-SA"/>
        </w:rPr>
        <w:t>)</w:t>
      </w:r>
      <w:r w:rsidRPr="00121EA5">
        <w:rPr>
          <w:sz w:val="30"/>
          <w:rtl/>
          <w:lang w:val="ar-SA"/>
        </w:rPr>
        <w:t>. وتشير اللجنة إلى أن سوء المعاملة الذي تعرض له في الماضي ليس سوى عنصر واحد من العناصر التي ينبغي أخذها في الحسبان، ذلك أن المسألة ذات الصلة المعروضة على اللجنة الآن هي ما إذا كان صاحب الشكوى معرضاً حالياً لخطر التعذيب إذا أعيد إلى السودان</w:t>
      </w:r>
      <w:r w:rsidRPr="00121EA5">
        <w:rPr>
          <w:rFonts w:eastAsia="Traditional Arabic"/>
          <w:vertAlign w:val="superscript"/>
          <w:rtl/>
          <w:lang w:val="ar-SA"/>
        </w:rPr>
        <w:t>(</w:t>
      </w:r>
      <w:r w:rsidRPr="00121EA5">
        <w:rPr>
          <w:rFonts w:eastAsia="Traditional Arabic"/>
          <w:vertAlign w:val="superscript"/>
          <w:rtl/>
          <w:lang w:val="ar-SA"/>
        </w:rPr>
        <w:footnoteReference w:id="32"/>
      </w:r>
      <w:r w:rsidRPr="00121EA5">
        <w:rPr>
          <w:rFonts w:eastAsia="Traditional Arabic"/>
          <w:vertAlign w:val="superscript"/>
          <w:rtl/>
          <w:lang w:val="ar-SA"/>
        </w:rPr>
        <w:t>)</w:t>
      </w:r>
      <w:r w:rsidRPr="00121EA5">
        <w:rPr>
          <w:sz w:val="30"/>
          <w:rtl/>
          <w:lang w:val="ar-SA"/>
        </w:rPr>
        <w:t>. وتخلص اللجنة إلى أنه، حتى على فرض أن صاحب الشكوى قد تعرض للتعذيب على أيدي السلطات السودانية في الماضي، فإن ذلك لا يستتبع تلقائياً أنه سيظل معرضاً لخطر التعرض التعذيب إذا أعيد إلى السودان، بعد مرور 10 سنوات على الأقل على وقوع الأحداث المدَّعى ارتكابها</w:t>
      </w:r>
      <w:r w:rsidRPr="00121EA5">
        <w:rPr>
          <w:rFonts w:eastAsia="Traditional Arabic"/>
          <w:vertAlign w:val="superscript"/>
          <w:rtl/>
          <w:lang w:val="ar-SA"/>
        </w:rPr>
        <w:t>(</w:t>
      </w:r>
      <w:r w:rsidRPr="00121EA5">
        <w:rPr>
          <w:rFonts w:eastAsia="Traditional Arabic"/>
          <w:vertAlign w:val="superscript"/>
          <w:rtl/>
          <w:lang w:val="ar-SA"/>
        </w:rPr>
        <w:footnoteReference w:id="33"/>
      </w:r>
      <w:r w:rsidRPr="00121EA5">
        <w:rPr>
          <w:rFonts w:eastAsia="Traditional Arabic"/>
          <w:vertAlign w:val="superscript"/>
          <w:rtl/>
          <w:lang w:val="ar-SA"/>
        </w:rPr>
        <w:t>)</w:t>
      </w:r>
      <w:r w:rsidRPr="00121EA5">
        <w:rPr>
          <w:sz w:val="30"/>
          <w:rtl/>
          <w:lang w:val="ar-SA"/>
        </w:rPr>
        <w:t>.</w:t>
      </w:r>
    </w:p>
    <w:p w:rsidR="000F05C8" w:rsidRPr="00121EA5" w:rsidRDefault="00FF7971" w:rsidP="000F05C8">
      <w:pPr>
        <w:pStyle w:val="SingleTxtGA"/>
        <w:rPr>
          <w:rFonts w:eastAsia="Traditional Arabic"/>
          <w:sz w:val="30"/>
          <w:rtl/>
          <w:lang w:val="ar-SA"/>
        </w:rPr>
      </w:pPr>
      <w:r>
        <w:rPr>
          <w:sz w:val="30"/>
          <w:rtl/>
          <w:lang w:val="ar-SA"/>
        </w:rPr>
        <w:br w:type="page"/>
      </w:r>
      <w:r w:rsidR="000F05C8" w:rsidRPr="00121EA5">
        <w:rPr>
          <w:sz w:val="30"/>
          <w:rtl/>
          <w:lang w:val="ar-SA"/>
        </w:rPr>
        <w:lastRenderedPageBreak/>
        <w:t>8-8</w:t>
      </w:r>
      <w:r w:rsidR="000F05C8" w:rsidRPr="00121EA5">
        <w:rPr>
          <w:sz w:val="30"/>
          <w:rtl/>
          <w:lang w:val="ar-SA"/>
        </w:rPr>
        <w:tab/>
        <w:t>وتذكّر اللجنة باجتهاداتها السابقة التي تقضي بتقييم خطر التعرض للتعذيب على أسس تتجاوز مجرد الافتراض، وتشير إلى أن على صاحب الشكوى عموماً أن يعرض قضية يمكن الدفاع عنها</w:t>
      </w:r>
      <w:r w:rsidR="000F05C8" w:rsidRPr="00121EA5">
        <w:rPr>
          <w:rFonts w:eastAsia="Traditional Arabic"/>
          <w:vertAlign w:val="superscript"/>
          <w:rtl/>
          <w:lang w:val="ar-SA"/>
        </w:rPr>
        <w:t>(</w:t>
      </w:r>
      <w:r w:rsidR="000F05C8" w:rsidRPr="00121EA5">
        <w:rPr>
          <w:rFonts w:eastAsia="Traditional Arabic"/>
          <w:vertAlign w:val="superscript"/>
          <w:rtl/>
          <w:lang w:val="ar-SA"/>
        </w:rPr>
        <w:footnoteReference w:id="34"/>
      </w:r>
      <w:r w:rsidR="000F05C8" w:rsidRPr="00121EA5">
        <w:rPr>
          <w:rFonts w:eastAsia="Traditional Arabic"/>
          <w:vertAlign w:val="superscript"/>
          <w:rtl/>
          <w:lang w:val="ar-SA"/>
        </w:rPr>
        <w:t>)</w:t>
      </w:r>
      <w:r w:rsidR="000F05C8" w:rsidRPr="00121EA5">
        <w:rPr>
          <w:sz w:val="30"/>
          <w:rtl/>
          <w:lang w:val="ar-SA"/>
        </w:rPr>
        <w:t xml:space="preserve">. وفي ضوء الاعتبارات الواردة أعلاه، وبالاستناد إلى جميع المعلومات التي قدمها صاحب الشكوى والدولة الطرف، بما في ذلك المعلومات المتعلقة بالحالة العامة لحقوق الإنسان في السودان، ترى اللجنة أن صاحب الشكوى لم يثبت بالقدر الكافي وجود أسباب وجيهة تدعو إلى الاعتقاد بأن عودته إلى السودان ستعرضه لخطر حقيقي ومحدد وشخصي من التعذيب، حسبما </w:t>
      </w:r>
      <w:proofErr w:type="spellStart"/>
      <w:r w:rsidR="000F05C8" w:rsidRPr="00121EA5">
        <w:rPr>
          <w:sz w:val="30"/>
          <w:rtl/>
          <w:lang w:val="ar-SA"/>
        </w:rPr>
        <w:t>تقتضيه</w:t>
      </w:r>
      <w:proofErr w:type="spellEnd"/>
      <w:r w:rsidR="000F05C8" w:rsidRPr="00121EA5">
        <w:rPr>
          <w:sz w:val="30"/>
          <w:rtl/>
          <w:lang w:val="ar-SA"/>
        </w:rPr>
        <w:t xml:space="preserve"> المادة 3 من الاتفاقية.</w:t>
      </w:r>
    </w:p>
    <w:p w:rsidR="00761849" w:rsidRDefault="000F05C8" w:rsidP="000F05C8">
      <w:pPr>
        <w:pStyle w:val="SingleTxtGA"/>
        <w:rPr>
          <w:rtl/>
          <w:lang w:val="ar-SA"/>
        </w:rPr>
      </w:pPr>
      <w:r w:rsidRPr="00121EA5">
        <w:rPr>
          <w:rtl/>
          <w:lang w:val="ar-SA"/>
        </w:rPr>
        <w:t>9-</w:t>
      </w:r>
      <w:r w:rsidRPr="00121EA5">
        <w:rPr>
          <w:rtl/>
          <w:lang w:val="ar-SA"/>
        </w:rPr>
        <w:tab/>
        <w:t>وبناء على ذلك، فإن اللجنة، إذ تتصرف بموجب المادة 22(7) من الاتفاقية، ترى أن إعادة صاحب الشكوى إلى السودان لن تشكل خرقا</w:t>
      </w:r>
      <w:r w:rsidR="00313445">
        <w:rPr>
          <w:rFonts w:hint="cs"/>
          <w:rtl/>
          <w:lang w:val="ar-SA"/>
        </w:rPr>
        <w:t>ً</w:t>
      </w:r>
      <w:r w:rsidRPr="00121EA5">
        <w:rPr>
          <w:rtl/>
          <w:lang w:val="ar-SA"/>
        </w:rPr>
        <w:t xml:space="preserve"> للمادة 3 من الاتفاقية.</w:t>
      </w:r>
    </w:p>
    <w:p w:rsidR="000F05C8" w:rsidRPr="000F05C8" w:rsidRDefault="000F05C8" w:rsidP="000F05C8">
      <w:pPr>
        <w:pStyle w:val="SingleTxtGA"/>
        <w:jc w:val="center"/>
        <w:rPr>
          <w:u w:val="single"/>
          <w:rtl/>
          <w:lang w:bidi="ar-DZ"/>
        </w:rPr>
      </w:pPr>
      <w:r>
        <w:rPr>
          <w:u w:val="single"/>
          <w:rtl/>
          <w:lang w:bidi="ar-DZ"/>
        </w:rPr>
        <w:tab/>
      </w:r>
      <w:r>
        <w:rPr>
          <w:u w:val="single"/>
          <w:rtl/>
          <w:lang w:bidi="ar-DZ"/>
        </w:rPr>
        <w:tab/>
      </w:r>
      <w:r>
        <w:rPr>
          <w:u w:val="single"/>
          <w:rtl/>
          <w:lang w:bidi="ar-DZ"/>
        </w:rPr>
        <w:tab/>
      </w:r>
    </w:p>
    <w:sectPr w:rsidR="000F05C8" w:rsidRPr="000F05C8" w:rsidSect="00023FA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F0B" w:rsidRPr="002901D9" w:rsidRDefault="00906F0B" w:rsidP="002901D9">
      <w:pPr>
        <w:spacing w:after="60" w:line="240" w:lineRule="auto"/>
        <w:rPr>
          <w:i/>
          <w:iCs/>
        </w:rPr>
      </w:pPr>
      <w:r>
        <w:rPr>
          <w:rFonts w:hint="cs"/>
          <w:i/>
          <w:iCs/>
          <w:rtl/>
        </w:rPr>
        <w:t>الحواشي</w:t>
      </w:r>
    </w:p>
  </w:endnote>
  <w:endnote w:type="continuationSeparator" w:id="0">
    <w:p w:rsidR="00906F0B" w:rsidRDefault="00906F0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FA7" w:rsidRPr="003455B1" w:rsidRDefault="003455B1" w:rsidP="003455B1">
    <w:pPr>
      <w:pStyle w:val="Footer"/>
      <w:tabs>
        <w:tab w:val="right" w:pos="9598"/>
      </w:tabs>
      <w:rPr>
        <w:sz w:val="17"/>
      </w:rPr>
    </w:pPr>
    <w:r>
      <w:rPr>
        <w:sz w:val="17"/>
      </w:rPr>
      <w:t>GE.17-11387</w:t>
    </w:r>
    <w:r>
      <w:rPr>
        <w:sz w:val="17"/>
      </w:rPr>
      <w:tab/>
    </w:r>
    <w:r w:rsidRPr="003455B1">
      <w:rPr>
        <w:b/>
        <w:sz w:val="18"/>
      </w:rPr>
      <w:fldChar w:fldCharType="begin"/>
    </w:r>
    <w:r w:rsidRPr="003455B1">
      <w:rPr>
        <w:b/>
        <w:sz w:val="18"/>
      </w:rPr>
      <w:instrText xml:space="preserve"> PAGE  \* MERGEFORMAT </w:instrText>
    </w:r>
    <w:r w:rsidRPr="003455B1">
      <w:rPr>
        <w:b/>
        <w:sz w:val="18"/>
      </w:rPr>
      <w:fldChar w:fldCharType="separate"/>
    </w:r>
    <w:r w:rsidR="00AC2C5E">
      <w:rPr>
        <w:b/>
        <w:noProof/>
        <w:sz w:val="18"/>
      </w:rPr>
      <w:t>14</w:t>
    </w:r>
    <w:r w:rsidRPr="003455B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3455B1" w:rsidRDefault="003455B1" w:rsidP="006959B0">
    <w:pPr>
      <w:pStyle w:val="Footer"/>
      <w:tabs>
        <w:tab w:val="right" w:pos="9599"/>
      </w:tabs>
      <w:jc w:val="left"/>
      <w:rPr>
        <w:b/>
        <w:sz w:val="18"/>
        <w:lang w:val="en-US"/>
      </w:rPr>
    </w:pPr>
    <w:r w:rsidRPr="003455B1">
      <w:rPr>
        <w:b/>
        <w:sz w:val="18"/>
        <w:lang w:val="en-US"/>
      </w:rPr>
      <w:fldChar w:fldCharType="begin"/>
    </w:r>
    <w:r w:rsidRPr="003455B1">
      <w:rPr>
        <w:b/>
        <w:sz w:val="18"/>
        <w:lang w:val="en-US"/>
      </w:rPr>
      <w:instrText xml:space="preserve"> PAGE  \* MERGEFORMAT </w:instrText>
    </w:r>
    <w:r w:rsidRPr="003455B1">
      <w:rPr>
        <w:b/>
        <w:sz w:val="18"/>
        <w:lang w:val="en-US"/>
      </w:rPr>
      <w:fldChar w:fldCharType="separate"/>
    </w:r>
    <w:r w:rsidR="00AC2C5E">
      <w:rPr>
        <w:b/>
        <w:noProof/>
        <w:sz w:val="18"/>
        <w:lang w:val="en-US"/>
      </w:rPr>
      <w:t>15</w:t>
    </w:r>
    <w:r w:rsidRPr="003455B1">
      <w:rPr>
        <w:b/>
        <w:sz w:val="18"/>
        <w:lang w:val="en-US"/>
      </w:rPr>
      <w:fldChar w:fldCharType="end"/>
    </w:r>
    <w:r>
      <w:rPr>
        <w:b/>
        <w:sz w:val="18"/>
        <w:lang w:val="en-US"/>
      </w:rPr>
      <w:tab/>
    </w:r>
    <w:r>
      <w:rPr>
        <w:sz w:val="17"/>
        <w:lang w:val="en-US"/>
      </w:rPr>
      <w:t>GE.17-11387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023FA7" w:rsidP="005A3015">
    <w:pPr>
      <w:pStyle w:val="Footer"/>
      <w:spacing w:before="360"/>
      <w:jc w:val="right"/>
      <w:rPr>
        <w:sz w:val="20"/>
        <w:szCs w:val="20"/>
      </w:rPr>
    </w:pPr>
    <w:r>
      <w:rPr>
        <w:sz w:val="20"/>
        <w:szCs w:val="20"/>
      </w:rPr>
      <w:t>GE.17-11387</w:t>
    </w:r>
    <w:r w:rsidR="00A34EA8">
      <w:rPr>
        <w:noProof/>
        <w:lang w:val="en-US"/>
      </w:rPr>
      <w:drawing>
        <wp:anchor distT="0" distB="0" distL="114300" distR="114300" simplePos="0" relativeHeight="251664384"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023FA7" w:rsidRPr="00023FA7" w:rsidRDefault="00023FA7" w:rsidP="00023FA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F0B" w:rsidRPr="004956DC" w:rsidRDefault="00906F0B" w:rsidP="00761849">
      <w:pPr>
        <w:pStyle w:val="Footer"/>
        <w:bidi/>
        <w:spacing w:after="80" w:line="200" w:lineRule="exact"/>
        <w:ind w:left="680"/>
      </w:pPr>
      <w:r>
        <w:rPr>
          <w:rtl/>
        </w:rPr>
        <w:t>__________</w:t>
      </w:r>
    </w:p>
  </w:footnote>
  <w:footnote w:type="continuationSeparator" w:id="0">
    <w:p w:rsidR="00906F0B" w:rsidRDefault="00906F0B" w:rsidP="00656392">
      <w:pPr>
        <w:spacing w:line="240" w:lineRule="auto"/>
      </w:pPr>
      <w:r>
        <w:continuationSeparator/>
      </w:r>
    </w:p>
  </w:footnote>
  <w:footnote w:id="1">
    <w:p w:rsidR="000F05C8" w:rsidRPr="00E46C7F" w:rsidRDefault="000F05C8" w:rsidP="000F05C8">
      <w:pPr>
        <w:pStyle w:val="FootnoteText1"/>
        <w:rPr>
          <w:rtl/>
          <w:lang w:bidi="ar-DZ"/>
        </w:rPr>
      </w:pPr>
      <w:r w:rsidRPr="00E46C7F">
        <w:rPr>
          <w:rtl/>
          <w:lang w:bidi="ar-DZ"/>
        </w:rPr>
        <w:t>*</w:t>
      </w:r>
      <w:r w:rsidRPr="00E46C7F">
        <w:rPr>
          <w:rtl/>
          <w:lang w:bidi="ar-DZ"/>
        </w:rPr>
        <w:tab/>
        <w:t>اتخذته اللجنة في دورتها الستين (18 نيسان/أبريل - 12 أيار/مايو 2017).</w:t>
      </w:r>
    </w:p>
  </w:footnote>
  <w:footnote w:id="2">
    <w:p w:rsidR="000F05C8" w:rsidRPr="00E46C7F" w:rsidRDefault="000F05C8" w:rsidP="000F05C8">
      <w:pPr>
        <w:pStyle w:val="FootnoteText1"/>
        <w:rPr>
          <w:lang w:bidi="ar-DZ"/>
        </w:rPr>
      </w:pPr>
      <w:r w:rsidRPr="00E46C7F">
        <w:rPr>
          <w:rtl/>
          <w:lang w:bidi="ar-DZ"/>
        </w:rPr>
        <w:t>**</w:t>
      </w:r>
      <w:r w:rsidRPr="00E46C7F">
        <w:rPr>
          <w:rtl/>
          <w:lang w:bidi="ar-DZ"/>
        </w:rPr>
        <w:tab/>
        <w:t xml:space="preserve">شارك في دراسة هذا البلاغ أعضاء اللجنة التالية أسماؤهم: السيد </w:t>
      </w:r>
      <w:proofErr w:type="spellStart"/>
      <w:r w:rsidRPr="00E46C7F">
        <w:rPr>
          <w:rtl/>
          <w:lang w:bidi="ar-DZ"/>
        </w:rPr>
        <w:t>أليسيو</w:t>
      </w:r>
      <w:proofErr w:type="spellEnd"/>
      <w:r w:rsidRPr="00E46C7F">
        <w:rPr>
          <w:rtl/>
          <w:lang w:bidi="ar-DZ"/>
        </w:rPr>
        <w:t xml:space="preserve"> بروني، والسيدة فيليس غاير، والسيد عبد الوهاب هاني، والسيد كلود هيلر </w:t>
      </w:r>
      <w:proofErr w:type="spellStart"/>
      <w:r w:rsidRPr="00E46C7F">
        <w:rPr>
          <w:rtl/>
          <w:lang w:bidi="ar-DZ"/>
        </w:rPr>
        <w:t>رواسانت</w:t>
      </w:r>
      <w:proofErr w:type="spellEnd"/>
      <w:r w:rsidRPr="00E46C7F">
        <w:rPr>
          <w:rtl/>
          <w:lang w:bidi="ar-DZ"/>
        </w:rPr>
        <w:t>، والسيدة سابانا برادان - مالا، و</w:t>
      </w:r>
      <w:r w:rsidR="00D53021">
        <w:rPr>
          <w:rFonts w:hint="cs"/>
          <w:rtl/>
          <w:lang w:bidi="ar-DZ"/>
        </w:rPr>
        <w:t xml:space="preserve">السيدة </w:t>
      </w:r>
      <w:r w:rsidRPr="00E46C7F">
        <w:rPr>
          <w:rtl/>
          <w:lang w:bidi="ar-DZ"/>
        </w:rPr>
        <w:t xml:space="preserve">آنا </w:t>
      </w:r>
      <w:proofErr w:type="spellStart"/>
      <w:r w:rsidRPr="00E46C7F">
        <w:rPr>
          <w:rtl/>
          <w:lang w:bidi="ar-DZ"/>
        </w:rPr>
        <w:t>راكو</w:t>
      </w:r>
      <w:proofErr w:type="spellEnd"/>
      <w:r w:rsidRPr="00E46C7F">
        <w:rPr>
          <w:rtl/>
          <w:lang w:bidi="ar-DZ"/>
        </w:rPr>
        <w:t xml:space="preserve">، والسيد سيباستيان توزي، والسيد </w:t>
      </w:r>
      <w:proofErr w:type="spellStart"/>
      <w:r w:rsidRPr="00E46C7F">
        <w:rPr>
          <w:rtl/>
          <w:lang w:bidi="ar-DZ"/>
        </w:rPr>
        <w:t>كينينغ</w:t>
      </w:r>
      <w:proofErr w:type="spellEnd"/>
      <w:r w:rsidRPr="00E46C7F">
        <w:rPr>
          <w:rtl/>
          <w:lang w:bidi="ar-DZ"/>
        </w:rPr>
        <w:t xml:space="preserve"> </w:t>
      </w:r>
      <w:proofErr w:type="spellStart"/>
      <w:r w:rsidRPr="00E46C7F">
        <w:rPr>
          <w:rtl/>
          <w:lang w:bidi="ar-DZ"/>
        </w:rPr>
        <w:t>زانغ</w:t>
      </w:r>
      <w:proofErr w:type="spellEnd"/>
      <w:r w:rsidRPr="00E46C7F">
        <w:rPr>
          <w:rtl/>
          <w:lang w:bidi="ar-DZ"/>
        </w:rPr>
        <w:t xml:space="preserve">. وعملاً بالمادة 109 من النظام الداخلي للجنة، لم يشارك السيد ينس </w:t>
      </w:r>
      <w:proofErr w:type="spellStart"/>
      <w:r w:rsidRPr="00E46C7F">
        <w:rPr>
          <w:rtl/>
          <w:lang w:bidi="ar-DZ"/>
        </w:rPr>
        <w:t>مودفيغ</w:t>
      </w:r>
      <w:proofErr w:type="spellEnd"/>
      <w:r w:rsidRPr="00E46C7F">
        <w:rPr>
          <w:rtl/>
          <w:lang w:bidi="ar-DZ"/>
        </w:rPr>
        <w:t xml:space="preserve"> في دراسة البلاغ.</w:t>
      </w:r>
    </w:p>
  </w:footnote>
  <w:footnote w:id="3">
    <w:p w:rsidR="000F05C8" w:rsidRPr="00E46C7F" w:rsidRDefault="000F05C8" w:rsidP="000F05C8">
      <w:pPr>
        <w:pStyle w:val="FootnoteText"/>
        <w:spacing w:after="60" w:line="300" w:lineRule="exact"/>
        <w:ind w:left="1247" w:right="1247" w:hanging="567"/>
        <w:rPr>
          <w:sz w:val="18"/>
          <w:szCs w:val="26"/>
          <w:rtl/>
        </w:rPr>
      </w:pPr>
      <w:r w:rsidRPr="00E46C7F">
        <w:rPr>
          <w:rFonts w:eastAsia="Traditional Arabic"/>
          <w:sz w:val="18"/>
          <w:szCs w:val="26"/>
          <w:rtl/>
          <w:lang w:val="ar-SA"/>
        </w:rPr>
        <w:t>(</w:t>
      </w:r>
      <w:r w:rsidRPr="00E46C7F">
        <w:rPr>
          <w:rFonts w:eastAsia="Traditional Arabic"/>
          <w:sz w:val="18"/>
          <w:szCs w:val="26"/>
          <w:rtl/>
          <w:lang w:val="ar-SA"/>
        </w:rPr>
        <w:footnoteRef/>
      </w:r>
      <w:r w:rsidRPr="00E46C7F">
        <w:rPr>
          <w:rFonts w:eastAsia="Traditional Arabic"/>
          <w:sz w:val="18"/>
          <w:szCs w:val="26"/>
          <w:rtl/>
          <w:lang w:val="ar-SA"/>
        </w:rPr>
        <w:t>)</w:t>
      </w:r>
      <w:r w:rsidRPr="00E46C7F">
        <w:rPr>
          <w:rFonts w:eastAsia="Traditional Arabic"/>
          <w:sz w:val="18"/>
          <w:szCs w:val="26"/>
          <w:rtl/>
          <w:lang w:val="ar-SA"/>
        </w:rPr>
        <w:tab/>
      </w:r>
      <w:r w:rsidRPr="00E46C7F">
        <w:rPr>
          <w:sz w:val="18"/>
          <w:szCs w:val="26"/>
          <w:rtl/>
          <w:lang w:val="ar-SA"/>
        </w:rPr>
        <w:t xml:space="preserve">أصدرت الدانمرك إعلاناً بموجب المادة 22 من الاتفاقية في 27 أيار/مايو 1987. </w:t>
      </w:r>
    </w:p>
  </w:footnote>
  <w:footnote w:id="4">
    <w:p w:rsidR="000F05C8" w:rsidRPr="00E46C7F" w:rsidRDefault="000F05C8" w:rsidP="00037E61">
      <w:pPr>
        <w:pStyle w:val="FootnoteText"/>
        <w:spacing w:after="60" w:line="300" w:lineRule="exact"/>
        <w:ind w:left="1247" w:right="1247" w:hanging="567"/>
        <w:rPr>
          <w:sz w:val="18"/>
          <w:szCs w:val="26"/>
          <w:rtl/>
        </w:rPr>
      </w:pPr>
      <w:r w:rsidRPr="00E46C7F">
        <w:rPr>
          <w:rFonts w:eastAsia="Traditional Arabic"/>
          <w:sz w:val="18"/>
          <w:szCs w:val="26"/>
          <w:rtl/>
          <w:lang w:val="ar-SA"/>
        </w:rPr>
        <w:t>(</w:t>
      </w:r>
      <w:r w:rsidRPr="00E46C7F">
        <w:rPr>
          <w:rFonts w:eastAsia="Traditional Arabic"/>
          <w:sz w:val="18"/>
          <w:szCs w:val="26"/>
          <w:rtl/>
          <w:lang w:val="ar-SA"/>
        </w:rPr>
        <w:footnoteRef/>
      </w:r>
      <w:r w:rsidRPr="00E46C7F">
        <w:rPr>
          <w:rFonts w:eastAsia="Traditional Arabic"/>
          <w:sz w:val="18"/>
          <w:szCs w:val="26"/>
          <w:rtl/>
          <w:lang w:val="ar-SA"/>
        </w:rPr>
        <w:t>)</w:t>
      </w:r>
      <w:r w:rsidRPr="00E46C7F">
        <w:rPr>
          <w:rFonts w:eastAsia="Traditional Arabic"/>
          <w:sz w:val="18"/>
          <w:szCs w:val="26"/>
          <w:rtl/>
          <w:lang w:val="ar-SA"/>
        </w:rPr>
        <w:tab/>
      </w:r>
      <w:r w:rsidR="00037E61" w:rsidRPr="00037E61">
        <w:rPr>
          <w:sz w:val="18"/>
          <w:szCs w:val="26"/>
          <w:rtl/>
          <w:lang w:val="ar-SA"/>
        </w:rPr>
        <w:t xml:space="preserve">للاطلاع على الوصف المفصل، انظر، على سبيل المثال، </w:t>
      </w:r>
      <w:proofErr w:type="spellStart"/>
      <w:r w:rsidR="00037E61" w:rsidRPr="00037E61">
        <w:rPr>
          <w:rFonts w:cs="Times New Roman"/>
          <w:sz w:val="18"/>
          <w:szCs w:val="18"/>
          <w:rtl/>
          <w:lang w:val="ar-SA"/>
        </w:rPr>
        <w:t>communication</w:t>
      </w:r>
      <w:proofErr w:type="spellEnd"/>
      <w:r w:rsidR="00037E61" w:rsidRPr="00037E61">
        <w:rPr>
          <w:rFonts w:cs="Times New Roman"/>
          <w:sz w:val="18"/>
          <w:szCs w:val="18"/>
          <w:rtl/>
          <w:lang w:val="ar-SA"/>
        </w:rPr>
        <w:t xml:space="preserve"> </w:t>
      </w:r>
      <w:proofErr w:type="spellStart"/>
      <w:r w:rsidR="00037E61" w:rsidRPr="00037E61">
        <w:rPr>
          <w:rFonts w:cs="Times New Roman"/>
          <w:sz w:val="18"/>
          <w:szCs w:val="18"/>
          <w:rtl/>
          <w:lang w:val="ar-SA"/>
        </w:rPr>
        <w:t>No</w:t>
      </w:r>
      <w:proofErr w:type="spellEnd"/>
      <w:r w:rsidR="00037E61" w:rsidRPr="00037E61">
        <w:rPr>
          <w:rFonts w:cs="Times New Roman"/>
          <w:sz w:val="18"/>
          <w:szCs w:val="18"/>
          <w:rtl/>
          <w:lang w:val="ar-SA"/>
        </w:rPr>
        <w:t xml:space="preserve">. 580/2012, </w:t>
      </w:r>
      <w:r w:rsidR="00037E61" w:rsidRPr="00037E61">
        <w:rPr>
          <w:rFonts w:cs="Times New Roman"/>
          <w:i/>
          <w:iCs/>
          <w:sz w:val="18"/>
          <w:szCs w:val="18"/>
          <w:rtl/>
          <w:lang w:val="ar-SA"/>
        </w:rPr>
        <w:t xml:space="preserve">F.K. v. </w:t>
      </w:r>
      <w:proofErr w:type="spellStart"/>
      <w:r w:rsidR="00037E61" w:rsidRPr="00037E61">
        <w:rPr>
          <w:rFonts w:cs="Times New Roman"/>
          <w:i/>
          <w:iCs/>
          <w:sz w:val="18"/>
          <w:szCs w:val="18"/>
          <w:rtl/>
          <w:lang w:val="ar-SA"/>
        </w:rPr>
        <w:t>Denmark</w:t>
      </w:r>
      <w:proofErr w:type="spellEnd"/>
      <w:r w:rsidR="00037E61" w:rsidRPr="00037E61">
        <w:rPr>
          <w:rFonts w:cs="Times New Roman"/>
          <w:sz w:val="18"/>
          <w:szCs w:val="18"/>
          <w:rtl/>
          <w:lang w:val="ar-SA"/>
        </w:rPr>
        <w:t xml:space="preserve">, </w:t>
      </w:r>
      <w:proofErr w:type="spellStart"/>
      <w:r w:rsidR="00037E61" w:rsidRPr="00037E61">
        <w:rPr>
          <w:rFonts w:cs="Times New Roman"/>
          <w:sz w:val="18"/>
          <w:szCs w:val="18"/>
          <w:rtl/>
          <w:lang w:val="ar-SA"/>
        </w:rPr>
        <w:t>decision</w:t>
      </w:r>
      <w:proofErr w:type="spellEnd"/>
      <w:r w:rsidR="00037E61" w:rsidRPr="00037E61">
        <w:rPr>
          <w:rFonts w:cs="Times New Roman"/>
          <w:sz w:val="18"/>
          <w:szCs w:val="18"/>
          <w:rtl/>
          <w:lang w:val="ar-SA"/>
        </w:rPr>
        <w:t xml:space="preserve"> </w:t>
      </w:r>
      <w:proofErr w:type="spellStart"/>
      <w:r w:rsidR="00037E61" w:rsidRPr="00037E61">
        <w:rPr>
          <w:rFonts w:cs="Times New Roman"/>
          <w:sz w:val="18"/>
          <w:szCs w:val="18"/>
          <w:rtl/>
          <w:lang w:val="ar-SA"/>
        </w:rPr>
        <w:t>adopted</w:t>
      </w:r>
      <w:proofErr w:type="spellEnd"/>
      <w:r w:rsidR="00037E61" w:rsidRPr="00037E61">
        <w:rPr>
          <w:rFonts w:cs="Times New Roman"/>
          <w:sz w:val="18"/>
          <w:szCs w:val="18"/>
          <w:rtl/>
          <w:lang w:val="ar-SA"/>
        </w:rPr>
        <w:t xml:space="preserve"> </w:t>
      </w:r>
      <w:proofErr w:type="spellStart"/>
      <w:r w:rsidR="00037E61" w:rsidRPr="00037E61">
        <w:rPr>
          <w:rFonts w:cs="Times New Roman"/>
          <w:sz w:val="18"/>
          <w:szCs w:val="18"/>
          <w:rtl/>
          <w:lang w:val="ar-SA"/>
        </w:rPr>
        <w:t>on</w:t>
      </w:r>
      <w:proofErr w:type="spellEnd"/>
      <w:r w:rsidR="00037E61" w:rsidRPr="00037E61">
        <w:rPr>
          <w:rFonts w:cs="Times New Roman"/>
          <w:sz w:val="18"/>
          <w:szCs w:val="18"/>
          <w:rtl/>
          <w:lang w:val="ar-SA"/>
        </w:rPr>
        <w:t xml:space="preserve"> 23 </w:t>
      </w:r>
      <w:proofErr w:type="spellStart"/>
      <w:r w:rsidR="00037E61" w:rsidRPr="00037E61">
        <w:rPr>
          <w:rFonts w:cs="Times New Roman"/>
          <w:sz w:val="18"/>
          <w:szCs w:val="18"/>
          <w:rtl/>
          <w:lang w:val="ar-SA"/>
        </w:rPr>
        <w:t>November</w:t>
      </w:r>
      <w:proofErr w:type="spellEnd"/>
      <w:r w:rsidR="00037E61" w:rsidRPr="00037E61">
        <w:rPr>
          <w:rFonts w:cs="Times New Roman"/>
          <w:sz w:val="18"/>
          <w:szCs w:val="18"/>
          <w:rtl/>
          <w:lang w:val="ar-SA"/>
        </w:rPr>
        <w:t xml:space="preserve"> 2015, </w:t>
      </w:r>
      <w:proofErr w:type="spellStart"/>
      <w:r w:rsidR="00037E61" w:rsidRPr="00037E61">
        <w:rPr>
          <w:rFonts w:cs="Times New Roman"/>
          <w:sz w:val="18"/>
          <w:szCs w:val="18"/>
          <w:rtl/>
          <w:lang w:val="ar-SA"/>
        </w:rPr>
        <w:t>paras</w:t>
      </w:r>
      <w:proofErr w:type="spellEnd"/>
      <w:r w:rsidR="00037E61" w:rsidRPr="00037E61">
        <w:rPr>
          <w:rFonts w:cs="Times New Roman"/>
          <w:sz w:val="18"/>
          <w:szCs w:val="18"/>
          <w:rtl/>
          <w:lang w:val="ar-SA"/>
        </w:rPr>
        <w:t>. 4.9-4.11</w:t>
      </w:r>
      <w:r w:rsidR="00037E61" w:rsidRPr="00037E61">
        <w:rPr>
          <w:sz w:val="18"/>
          <w:szCs w:val="26"/>
          <w:rtl/>
          <w:lang w:val="ar-SA"/>
        </w:rPr>
        <w:t xml:space="preserve"> </w:t>
      </w:r>
      <w:proofErr w:type="gramStart"/>
      <w:r w:rsidR="00037E61" w:rsidRPr="00037E61">
        <w:rPr>
          <w:sz w:val="18"/>
          <w:szCs w:val="26"/>
          <w:rtl/>
          <w:lang w:val="ar-SA"/>
        </w:rPr>
        <w:t>[ البلاغ</w:t>
      </w:r>
      <w:proofErr w:type="gramEnd"/>
      <w:r w:rsidR="00037E61" w:rsidRPr="00037E61">
        <w:rPr>
          <w:sz w:val="18"/>
          <w:szCs w:val="26"/>
          <w:rtl/>
          <w:lang w:val="ar-SA"/>
        </w:rPr>
        <w:t xml:space="preserve"> رقم 580/2012 المقدم من ف. ك. ضد الدانمرك، القرار المعتمد في ٢٣ تشرين الثاني/نوفمبر ٢٠١٥، الفقرات ٤-٩ - ٤-١١]</w:t>
      </w:r>
      <w:r w:rsidRPr="00E46C7F">
        <w:rPr>
          <w:sz w:val="18"/>
          <w:szCs w:val="26"/>
          <w:rtl/>
          <w:lang w:val="ar-SA"/>
        </w:rPr>
        <w:t xml:space="preserve">. </w:t>
      </w:r>
    </w:p>
  </w:footnote>
  <w:footnote w:id="5">
    <w:p w:rsidR="000F05C8" w:rsidRPr="00E46C7F" w:rsidRDefault="000F05C8" w:rsidP="00E84B47">
      <w:pPr>
        <w:pStyle w:val="FootnoteText"/>
        <w:spacing w:after="60" w:line="300" w:lineRule="exact"/>
        <w:ind w:left="1247" w:right="1247" w:hanging="567"/>
        <w:rPr>
          <w:sz w:val="18"/>
          <w:szCs w:val="26"/>
          <w:rtl/>
        </w:rPr>
      </w:pPr>
      <w:r w:rsidRPr="00E46C7F">
        <w:rPr>
          <w:rFonts w:eastAsia="Traditional Arabic"/>
          <w:sz w:val="18"/>
          <w:szCs w:val="26"/>
          <w:rtl/>
          <w:lang w:val="ar-SA"/>
        </w:rPr>
        <w:t>(</w:t>
      </w:r>
      <w:r w:rsidRPr="00E46C7F">
        <w:rPr>
          <w:rFonts w:eastAsia="Traditional Arabic"/>
          <w:sz w:val="18"/>
          <w:szCs w:val="26"/>
          <w:rtl/>
          <w:lang w:val="ar-SA"/>
        </w:rPr>
        <w:footnoteRef/>
      </w:r>
      <w:r w:rsidRPr="00E46C7F">
        <w:rPr>
          <w:rFonts w:eastAsia="Traditional Arabic"/>
          <w:sz w:val="18"/>
          <w:szCs w:val="26"/>
          <w:rtl/>
          <w:lang w:val="ar-SA"/>
        </w:rPr>
        <w:t>)</w:t>
      </w:r>
      <w:r w:rsidRPr="00E46C7F">
        <w:rPr>
          <w:rFonts w:eastAsia="Traditional Arabic"/>
          <w:sz w:val="18"/>
          <w:szCs w:val="26"/>
          <w:rtl/>
          <w:lang w:val="ar-SA"/>
        </w:rPr>
        <w:tab/>
      </w:r>
      <w:r w:rsidRPr="00E46C7F">
        <w:rPr>
          <w:rFonts w:hint="cs"/>
          <w:sz w:val="18"/>
          <w:szCs w:val="26"/>
          <w:rtl/>
          <w:lang w:val="ar-SA"/>
        </w:rPr>
        <w:t xml:space="preserve">انظر </w:t>
      </w:r>
      <w:proofErr w:type="spellStart"/>
      <w:r w:rsidRPr="00E46C7F">
        <w:rPr>
          <w:rFonts w:cs="Times New Roman"/>
          <w:sz w:val="18"/>
          <w:szCs w:val="18"/>
          <w:rtl/>
          <w:lang w:val="ar-SA"/>
        </w:rPr>
        <w:t>communication</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No</w:t>
      </w:r>
      <w:proofErr w:type="spellEnd"/>
      <w:r w:rsidRPr="00E46C7F">
        <w:rPr>
          <w:rFonts w:cs="Times New Roman"/>
          <w:sz w:val="18"/>
          <w:szCs w:val="18"/>
          <w:rtl/>
          <w:lang w:val="ar-SA"/>
        </w:rPr>
        <w:t xml:space="preserve">. 209/2002, </w:t>
      </w:r>
      <w:proofErr w:type="spellStart"/>
      <w:r w:rsidRPr="00E46C7F">
        <w:rPr>
          <w:rFonts w:cs="Times New Roman"/>
          <w:i/>
          <w:iCs/>
          <w:sz w:val="18"/>
          <w:szCs w:val="18"/>
          <w:rtl/>
          <w:lang w:val="ar-SA"/>
        </w:rPr>
        <w:t>Otman</w:t>
      </w:r>
      <w:proofErr w:type="spellEnd"/>
      <w:r w:rsidRPr="00E46C7F">
        <w:rPr>
          <w:rFonts w:cs="Times New Roman"/>
          <w:i/>
          <w:iCs/>
          <w:sz w:val="18"/>
          <w:szCs w:val="18"/>
          <w:rtl/>
          <w:lang w:val="ar-SA"/>
        </w:rPr>
        <w:t xml:space="preserve"> v. </w:t>
      </w:r>
      <w:proofErr w:type="spellStart"/>
      <w:r w:rsidRPr="00E46C7F">
        <w:rPr>
          <w:rFonts w:cs="Times New Roman"/>
          <w:i/>
          <w:iCs/>
          <w:sz w:val="18"/>
          <w:szCs w:val="18"/>
          <w:rtl/>
          <w:lang w:val="ar-SA"/>
        </w:rPr>
        <w:t>Denmark</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decision</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adopted</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on</w:t>
      </w:r>
      <w:proofErr w:type="spellEnd"/>
      <w:r w:rsidRPr="00E46C7F">
        <w:rPr>
          <w:rFonts w:cs="Times New Roman"/>
          <w:sz w:val="18"/>
          <w:szCs w:val="18"/>
          <w:rtl/>
          <w:lang w:val="ar-SA"/>
        </w:rPr>
        <w:t xml:space="preserve"> 12 </w:t>
      </w:r>
      <w:proofErr w:type="spellStart"/>
      <w:r w:rsidRPr="00E46C7F">
        <w:rPr>
          <w:rFonts w:cs="Times New Roman"/>
          <w:sz w:val="18"/>
          <w:szCs w:val="18"/>
          <w:rtl/>
          <w:lang w:val="ar-SA"/>
        </w:rPr>
        <w:t>November</w:t>
      </w:r>
      <w:proofErr w:type="spellEnd"/>
      <w:r w:rsidRPr="00E46C7F">
        <w:rPr>
          <w:rFonts w:cs="Times New Roman"/>
          <w:sz w:val="18"/>
          <w:szCs w:val="18"/>
          <w:rtl/>
          <w:lang w:val="ar-SA"/>
        </w:rPr>
        <w:t xml:space="preserve"> 2003, </w:t>
      </w:r>
      <w:proofErr w:type="spellStart"/>
      <w:r w:rsidR="00E84B47" w:rsidRPr="00E84B47">
        <w:rPr>
          <w:rFonts w:cs="Times New Roman"/>
          <w:sz w:val="18"/>
          <w:szCs w:val="18"/>
          <w:rtl/>
          <w:lang w:val="ar-SA"/>
        </w:rPr>
        <w:t>paras</w:t>
      </w:r>
      <w:proofErr w:type="spellEnd"/>
      <w:r w:rsidR="00E84B47" w:rsidRPr="00E84B47">
        <w:rPr>
          <w:rFonts w:cs="Times New Roman"/>
          <w:sz w:val="18"/>
          <w:szCs w:val="18"/>
          <w:rtl/>
          <w:lang w:val="ar-SA"/>
        </w:rPr>
        <w:t xml:space="preserve">. 6.4-6.6 </w:t>
      </w:r>
      <w:r w:rsidRPr="00E46C7F">
        <w:rPr>
          <w:sz w:val="18"/>
          <w:szCs w:val="26"/>
          <w:rtl/>
          <w:lang w:val="ar-SA"/>
        </w:rPr>
        <w:t>[البلاغ رق</w:t>
      </w:r>
      <w:r w:rsidR="00E84B47">
        <w:rPr>
          <w:rFonts w:hint="cs"/>
          <w:sz w:val="18"/>
          <w:szCs w:val="26"/>
          <w:rtl/>
          <w:lang w:val="ar-SA"/>
        </w:rPr>
        <w:t>ــ</w:t>
      </w:r>
      <w:r w:rsidRPr="00E46C7F">
        <w:rPr>
          <w:sz w:val="18"/>
          <w:szCs w:val="26"/>
          <w:rtl/>
          <w:lang w:val="ar-SA"/>
        </w:rPr>
        <w:t>م 209</w:t>
      </w:r>
      <w:r w:rsidRPr="00E46C7F">
        <w:rPr>
          <w:rFonts w:hint="cs"/>
          <w:sz w:val="18"/>
          <w:szCs w:val="26"/>
          <w:rtl/>
          <w:lang w:val="ar-SA"/>
        </w:rPr>
        <w:t>/</w:t>
      </w:r>
      <w:r w:rsidRPr="00E46C7F">
        <w:rPr>
          <w:sz w:val="18"/>
          <w:szCs w:val="26"/>
          <w:rtl/>
          <w:lang w:val="ar-SA"/>
        </w:rPr>
        <w:t>2002، المق</w:t>
      </w:r>
      <w:r w:rsidR="00E84B47">
        <w:rPr>
          <w:rFonts w:hint="cs"/>
          <w:sz w:val="18"/>
          <w:szCs w:val="26"/>
          <w:rtl/>
          <w:lang w:val="ar-SA"/>
        </w:rPr>
        <w:t>ـــ</w:t>
      </w:r>
      <w:r w:rsidRPr="00E46C7F">
        <w:rPr>
          <w:sz w:val="18"/>
          <w:szCs w:val="26"/>
          <w:rtl/>
          <w:lang w:val="ar-SA"/>
        </w:rPr>
        <w:t xml:space="preserve">دم من </w:t>
      </w:r>
      <w:proofErr w:type="spellStart"/>
      <w:r w:rsidRPr="00E46C7F">
        <w:rPr>
          <w:i/>
          <w:iCs/>
          <w:sz w:val="18"/>
          <w:szCs w:val="26"/>
          <w:rtl/>
          <w:lang w:val="ar-SA"/>
        </w:rPr>
        <w:t>أوتمان</w:t>
      </w:r>
      <w:proofErr w:type="spellEnd"/>
      <w:r w:rsidRPr="00E46C7F">
        <w:rPr>
          <w:i/>
          <w:iCs/>
          <w:sz w:val="18"/>
          <w:szCs w:val="26"/>
          <w:rtl/>
          <w:lang w:val="ar-SA"/>
        </w:rPr>
        <w:t xml:space="preserve"> ضد كندا</w:t>
      </w:r>
      <w:r w:rsidRPr="00E46C7F">
        <w:rPr>
          <w:sz w:val="18"/>
          <w:szCs w:val="26"/>
          <w:rtl/>
          <w:lang w:val="ar-SA"/>
        </w:rPr>
        <w:t>، القرار المعتمد في 12تشرين الثاني/</w:t>
      </w:r>
      <w:r w:rsidR="00E84B47">
        <w:rPr>
          <w:rFonts w:hint="cs"/>
          <w:sz w:val="18"/>
          <w:szCs w:val="26"/>
          <w:rtl/>
          <w:lang w:val="ar-SA"/>
        </w:rPr>
        <w:t xml:space="preserve"> </w:t>
      </w:r>
      <w:r w:rsidRPr="00E46C7F">
        <w:rPr>
          <w:sz w:val="18"/>
          <w:szCs w:val="26"/>
          <w:rtl/>
          <w:lang w:val="ar-SA"/>
        </w:rPr>
        <w:t>نوفمبر 2003، الفقرات 6-4</w:t>
      </w:r>
      <w:r>
        <w:rPr>
          <w:rFonts w:hint="cs"/>
          <w:sz w:val="18"/>
          <w:szCs w:val="26"/>
          <w:rtl/>
          <w:lang w:val="ar-SA"/>
        </w:rPr>
        <w:t xml:space="preserve">إلى </w:t>
      </w:r>
      <w:r w:rsidRPr="00E46C7F">
        <w:rPr>
          <w:sz w:val="18"/>
          <w:szCs w:val="26"/>
          <w:rtl/>
          <w:lang w:val="ar-SA"/>
        </w:rPr>
        <w:t xml:space="preserve">6-6]. </w:t>
      </w:r>
    </w:p>
  </w:footnote>
  <w:footnote w:id="6">
    <w:p w:rsidR="000F05C8" w:rsidRPr="00E46C7F" w:rsidRDefault="000F05C8" w:rsidP="000F05C8">
      <w:pPr>
        <w:pStyle w:val="FootnoteText"/>
        <w:spacing w:after="60" w:line="300" w:lineRule="exact"/>
        <w:ind w:left="1247" w:right="1247" w:hanging="567"/>
        <w:rPr>
          <w:sz w:val="18"/>
          <w:szCs w:val="26"/>
          <w:rtl/>
        </w:rPr>
      </w:pPr>
      <w:r w:rsidRPr="00E46C7F">
        <w:rPr>
          <w:rFonts w:eastAsia="Traditional Arabic"/>
          <w:sz w:val="18"/>
          <w:szCs w:val="26"/>
          <w:rtl/>
          <w:lang w:val="ar-SA"/>
        </w:rPr>
        <w:t>(</w:t>
      </w:r>
      <w:r w:rsidRPr="00E46C7F">
        <w:rPr>
          <w:rFonts w:eastAsia="Traditional Arabic"/>
          <w:sz w:val="18"/>
          <w:szCs w:val="26"/>
          <w:rtl/>
          <w:lang w:val="ar-SA"/>
        </w:rPr>
        <w:footnoteRef/>
      </w:r>
      <w:r w:rsidRPr="00E46C7F">
        <w:rPr>
          <w:rFonts w:eastAsia="Traditional Arabic"/>
          <w:sz w:val="18"/>
          <w:szCs w:val="26"/>
          <w:rtl/>
          <w:lang w:val="ar-SA"/>
        </w:rPr>
        <w:t>)</w:t>
      </w:r>
      <w:r w:rsidRPr="00E46C7F">
        <w:rPr>
          <w:rFonts w:eastAsia="Traditional Arabic"/>
          <w:sz w:val="18"/>
          <w:szCs w:val="26"/>
          <w:rtl/>
          <w:lang w:val="ar-SA"/>
        </w:rPr>
        <w:tab/>
      </w:r>
      <w:r w:rsidRPr="00E46C7F">
        <w:rPr>
          <w:rFonts w:hint="cs"/>
          <w:sz w:val="18"/>
          <w:szCs w:val="26"/>
          <w:rtl/>
          <w:lang w:val="ar-SA"/>
        </w:rPr>
        <w:t xml:space="preserve">انظر </w:t>
      </w:r>
      <w:proofErr w:type="spellStart"/>
      <w:r w:rsidRPr="00E46C7F">
        <w:rPr>
          <w:rFonts w:cs="Times New Roman"/>
          <w:sz w:val="18"/>
          <w:szCs w:val="18"/>
          <w:rtl/>
          <w:lang w:val="ar-SA"/>
        </w:rPr>
        <w:t>communication</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No</w:t>
      </w:r>
      <w:proofErr w:type="spellEnd"/>
      <w:r w:rsidRPr="00E46C7F">
        <w:rPr>
          <w:rFonts w:cs="Times New Roman"/>
          <w:sz w:val="18"/>
          <w:szCs w:val="18"/>
          <w:rtl/>
          <w:lang w:val="ar-SA"/>
        </w:rPr>
        <w:t xml:space="preserve">. 466/2011, </w:t>
      </w:r>
      <w:proofErr w:type="spellStart"/>
      <w:r w:rsidRPr="00E46C7F">
        <w:rPr>
          <w:rFonts w:cs="Times New Roman"/>
          <w:i/>
          <w:iCs/>
          <w:sz w:val="18"/>
          <w:szCs w:val="18"/>
          <w:rtl/>
          <w:lang w:val="ar-SA"/>
        </w:rPr>
        <w:t>Alp</w:t>
      </w:r>
      <w:proofErr w:type="spellEnd"/>
      <w:r w:rsidRPr="00E46C7F">
        <w:rPr>
          <w:rFonts w:cs="Times New Roman"/>
          <w:i/>
          <w:iCs/>
          <w:sz w:val="18"/>
          <w:szCs w:val="18"/>
          <w:rtl/>
          <w:lang w:val="ar-SA"/>
        </w:rPr>
        <w:t xml:space="preserve"> v. </w:t>
      </w:r>
      <w:proofErr w:type="spellStart"/>
      <w:r w:rsidRPr="00E46C7F">
        <w:rPr>
          <w:rFonts w:cs="Times New Roman"/>
          <w:i/>
          <w:iCs/>
          <w:sz w:val="18"/>
          <w:szCs w:val="18"/>
          <w:rtl/>
          <w:lang w:val="ar-SA"/>
        </w:rPr>
        <w:t>Denmark</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decision</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adopted</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on</w:t>
      </w:r>
      <w:proofErr w:type="spellEnd"/>
      <w:r w:rsidRPr="00E46C7F">
        <w:rPr>
          <w:rFonts w:cs="Times New Roman"/>
          <w:sz w:val="18"/>
          <w:szCs w:val="18"/>
          <w:rtl/>
          <w:lang w:val="ar-SA"/>
        </w:rPr>
        <w:t xml:space="preserve"> 14 </w:t>
      </w:r>
      <w:proofErr w:type="spellStart"/>
      <w:r w:rsidRPr="00E46C7F">
        <w:rPr>
          <w:rFonts w:cs="Times New Roman"/>
          <w:sz w:val="18"/>
          <w:szCs w:val="18"/>
          <w:rtl/>
          <w:lang w:val="ar-SA"/>
        </w:rPr>
        <w:t>May</w:t>
      </w:r>
      <w:proofErr w:type="spellEnd"/>
      <w:r w:rsidRPr="00E46C7F">
        <w:rPr>
          <w:rFonts w:cs="Times New Roman"/>
          <w:sz w:val="18"/>
          <w:szCs w:val="18"/>
          <w:rtl/>
          <w:lang w:val="ar-SA"/>
        </w:rPr>
        <w:t xml:space="preserve"> 2014</w:t>
      </w:r>
      <w:r w:rsidRPr="00E46C7F">
        <w:rPr>
          <w:sz w:val="18"/>
          <w:szCs w:val="26"/>
          <w:rtl/>
          <w:lang w:val="ar-SA"/>
        </w:rPr>
        <w:t xml:space="preserve"> [البلاغ رقم 466</w:t>
      </w:r>
      <w:r w:rsidRPr="00E46C7F">
        <w:rPr>
          <w:rFonts w:hint="cs"/>
          <w:sz w:val="18"/>
          <w:szCs w:val="26"/>
          <w:rtl/>
          <w:lang w:val="ar-SA"/>
        </w:rPr>
        <w:t>/</w:t>
      </w:r>
      <w:r w:rsidRPr="00E46C7F">
        <w:rPr>
          <w:sz w:val="18"/>
          <w:szCs w:val="26"/>
          <w:rtl/>
          <w:lang w:val="ar-SA"/>
        </w:rPr>
        <w:t xml:space="preserve">2011، </w:t>
      </w:r>
      <w:r w:rsidRPr="00E46C7F">
        <w:rPr>
          <w:i/>
          <w:iCs/>
          <w:sz w:val="18"/>
          <w:szCs w:val="26"/>
          <w:rtl/>
          <w:lang w:val="ar-SA"/>
        </w:rPr>
        <w:t>ألب ضد الدانمرك</w:t>
      </w:r>
      <w:r w:rsidRPr="00E46C7F">
        <w:rPr>
          <w:sz w:val="18"/>
          <w:szCs w:val="26"/>
          <w:rtl/>
          <w:lang w:val="ar-SA"/>
        </w:rPr>
        <w:t xml:space="preserve">، القرار المعتمد في 14 </w:t>
      </w:r>
      <w:r>
        <w:rPr>
          <w:rFonts w:hint="cs"/>
          <w:sz w:val="18"/>
          <w:szCs w:val="26"/>
          <w:rtl/>
          <w:lang w:val="ar-SA"/>
        </w:rPr>
        <w:t>أ</w:t>
      </w:r>
      <w:r w:rsidRPr="00E46C7F">
        <w:rPr>
          <w:sz w:val="18"/>
          <w:szCs w:val="26"/>
          <w:rtl/>
          <w:lang w:val="ar-SA"/>
        </w:rPr>
        <w:t xml:space="preserve">يار/مايو 2014]. </w:t>
      </w:r>
    </w:p>
  </w:footnote>
  <w:footnote w:id="7">
    <w:p w:rsidR="000F05C8" w:rsidRPr="00E46C7F" w:rsidRDefault="000F05C8" w:rsidP="000F05C8">
      <w:pPr>
        <w:pStyle w:val="FootnoteText"/>
        <w:spacing w:after="60" w:line="300" w:lineRule="exact"/>
        <w:ind w:left="1247" w:right="1247" w:hanging="567"/>
        <w:rPr>
          <w:spacing w:val="-2"/>
          <w:sz w:val="18"/>
          <w:szCs w:val="26"/>
          <w:rtl/>
        </w:rPr>
      </w:pPr>
      <w:r w:rsidRPr="00E46C7F">
        <w:rPr>
          <w:rFonts w:eastAsia="Traditional Arabic"/>
          <w:spacing w:val="-2"/>
          <w:sz w:val="18"/>
          <w:szCs w:val="26"/>
          <w:rtl/>
          <w:lang w:val="ar-SA"/>
        </w:rPr>
        <w:t>(</w:t>
      </w:r>
      <w:r w:rsidRPr="00E46C7F">
        <w:rPr>
          <w:rFonts w:eastAsia="Traditional Arabic"/>
          <w:spacing w:val="-2"/>
          <w:sz w:val="18"/>
          <w:szCs w:val="26"/>
          <w:rtl/>
          <w:lang w:val="ar-SA"/>
        </w:rPr>
        <w:footnoteRef/>
      </w:r>
      <w:r w:rsidRPr="00E46C7F">
        <w:rPr>
          <w:rFonts w:eastAsia="Traditional Arabic"/>
          <w:spacing w:val="-2"/>
          <w:sz w:val="18"/>
          <w:szCs w:val="26"/>
          <w:rtl/>
          <w:lang w:val="ar-SA"/>
        </w:rPr>
        <w:t>)</w:t>
      </w:r>
      <w:r w:rsidRPr="00E46C7F">
        <w:rPr>
          <w:rFonts w:eastAsia="Traditional Arabic"/>
          <w:spacing w:val="-2"/>
          <w:sz w:val="18"/>
          <w:szCs w:val="26"/>
          <w:rtl/>
          <w:lang w:val="ar-SA"/>
        </w:rPr>
        <w:tab/>
      </w:r>
      <w:r w:rsidRPr="00E46C7F">
        <w:rPr>
          <w:rFonts w:hint="cs"/>
          <w:spacing w:val="-2"/>
          <w:sz w:val="18"/>
          <w:szCs w:val="26"/>
          <w:rtl/>
          <w:lang w:val="ar-SA"/>
        </w:rPr>
        <w:t xml:space="preserve">انظر </w:t>
      </w:r>
      <w:proofErr w:type="spellStart"/>
      <w:r w:rsidRPr="00E46C7F">
        <w:rPr>
          <w:rFonts w:cs="Times New Roman"/>
          <w:spacing w:val="-2"/>
          <w:sz w:val="18"/>
          <w:szCs w:val="18"/>
          <w:rtl/>
          <w:lang w:val="ar-SA"/>
        </w:rPr>
        <w:t>communication</w:t>
      </w:r>
      <w:proofErr w:type="spellEnd"/>
      <w:r w:rsidRPr="00E46C7F">
        <w:rPr>
          <w:rFonts w:cs="Times New Roman"/>
          <w:spacing w:val="-2"/>
          <w:sz w:val="18"/>
          <w:szCs w:val="18"/>
          <w:rtl/>
          <w:lang w:val="ar-SA"/>
        </w:rPr>
        <w:t xml:space="preserve"> </w:t>
      </w:r>
      <w:proofErr w:type="spellStart"/>
      <w:r w:rsidRPr="00E46C7F">
        <w:rPr>
          <w:rFonts w:cs="Times New Roman"/>
          <w:spacing w:val="-2"/>
          <w:sz w:val="18"/>
          <w:szCs w:val="18"/>
          <w:rtl/>
          <w:lang w:val="ar-SA"/>
        </w:rPr>
        <w:t>No</w:t>
      </w:r>
      <w:proofErr w:type="spellEnd"/>
      <w:r w:rsidRPr="00E46C7F">
        <w:rPr>
          <w:rFonts w:cs="Times New Roman"/>
          <w:spacing w:val="-2"/>
          <w:sz w:val="18"/>
          <w:szCs w:val="18"/>
          <w:rtl/>
          <w:lang w:val="ar-SA"/>
        </w:rPr>
        <w:t xml:space="preserve">. 61/1996, </w:t>
      </w:r>
      <w:r w:rsidRPr="00E46C7F">
        <w:rPr>
          <w:rFonts w:cs="Times New Roman"/>
          <w:i/>
          <w:iCs/>
          <w:spacing w:val="-2"/>
          <w:sz w:val="18"/>
          <w:szCs w:val="18"/>
          <w:rtl/>
          <w:lang w:val="ar-SA"/>
        </w:rPr>
        <w:t xml:space="preserve">X, Y </w:t>
      </w:r>
      <w:proofErr w:type="spellStart"/>
      <w:r w:rsidRPr="00E46C7F">
        <w:rPr>
          <w:rFonts w:cs="Times New Roman"/>
          <w:i/>
          <w:iCs/>
          <w:spacing w:val="-2"/>
          <w:sz w:val="18"/>
          <w:szCs w:val="18"/>
          <w:rtl/>
          <w:lang w:val="ar-SA"/>
        </w:rPr>
        <w:t>and</w:t>
      </w:r>
      <w:proofErr w:type="spellEnd"/>
      <w:r w:rsidRPr="00E46C7F">
        <w:rPr>
          <w:rFonts w:cs="Times New Roman"/>
          <w:i/>
          <w:iCs/>
          <w:spacing w:val="-2"/>
          <w:sz w:val="18"/>
          <w:szCs w:val="18"/>
          <w:rtl/>
          <w:lang w:val="ar-SA"/>
        </w:rPr>
        <w:t xml:space="preserve"> Z v. </w:t>
      </w:r>
      <w:proofErr w:type="spellStart"/>
      <w:r w:rsidRPr="00E46C7F">
        <w:rPr>
          <w:rFonts w:cs="Times New Roman"/>
          <w:i/>
          <w:iCs/>
          <w:spacing w:val="-2"/>
          <w:sz w:val="18"/>
          <w:szCs w:val="18"/>
          <w:rtl/>
          <w:lang w:val="ar-SA"/>
        </w:rPr>
        <w:t>Sweden</w:t>
      </w:r>
      <w:proofErr w:type="spellEnd"/>
      <w:r w:rsidRPr="00E46C7F">
        <w:rPr>
          <w:rFonts w:cs="Times New Roman"/>
          <w:spacing w:val="-2"/>
          <w:sz w:val="18"/>
          <w:szCs w:val="18"/>
          <w:rtl/>
          <w:lang w:val="ar-SA"/>
        </w:rPr>
        <w:t xml:space="preserve">, </w:t>
      </w:r>
      <w:proofErr w:type="spellStart"/>
      <w:r w:rsidRPr="00E46C7F">
        <w:rPr>
          <w:rFonts w:cs="Times New Roman"/>
          <w:spacing w:val="-2"/>
          <w:sz w:val="18"/>
          <w:szCs w:val="18"/>
          <w:rtl/>
          <w:lang w:val="ar-SA"/>
        </w:rPr>
        <w:t>Views</w:t>
      </w:r>
      <w:proofErr w:type="spellEnd"/>
      <w:r w:rsidRPr="00E46C7F">
        <w:rPr>
          <w:rFonts w:cs="Times New Roman"/>
          <w:spacing w:val="-2"/>
          <w:sz w:val="18"/>
          <w:szCs w:val="18"/>
          <w:rtl/>
          <w:lang w:val="ar-SA"/>
        </w:rPr>
        <w:t xml:space="preserve"> </w:t>
      </w:r>
      <w:proofErr w:type="spellStart"/>
      <w:r w:rsidRPr="00E46C7F">
        <w:rPr>
          <w:rFonts w:cs="Times New Roman"/>
          <w:spacing w:val="-2"/>
          <w:sz w:val="18"/>
          <w:szCs w:val="18"/>
          <w:rtl/>
          <w:lang w:val="ar-SA"/>
        </w:rPr>
        <w:t>adopted</w:t>
      </w:r>
      <w:proofErr w:type="spellEnd"/>
      <w:r w:rsidRPr="00E46C7F">
        <w:rPr>
          <w:rFonts w:cs="Times New Roman"/>
          <w:spacing w:val="-2"/>
          <w:sz w:val="18"/>
          <w:szCs w:val="18"/>
          <w:rtl/>
          <w:lang w:val="ar-SA"/>
        </w:rPr>
        <w:t xml:space="preserve"> </w:t>
      </w:r>
      <w:proofErr w:type="spellStart"/>
      <w:r w:rsidRPr="00E46C7F">
        <w:rPr>
          <w:rFonts w:cs="Times New Roman"/>
          <w:spacing w:val="-2"/>
          <w:sz w:val="18"/>
          <w:szCs w:val="18"/>
          <w:rtl/>
          <w:lang w:val="ar-SA"/>
        </w:rPr>
        <w:t>on</w:t>
      </w:r>
      <w:proofErr w:type="spellEnd"/>
      <w:r w:rsidRPr="00E46C7F">
        <w:rPr>
          <w:rFonts w:cs="Times New Roman"/>
          <w:spacing w:val="-2"/>
          <w:sz w:val="18"/>
          <w:szCs w:val="18"/>
          <w:rtl/>
          <w:lang w:val="ar-SA"/>
        </w:rPr>
        <w:t xml:space="preserve"> 6 </w:t>
      </w:r>
      <w:proofErr w:type="spellStart"/>
      <w:r w:rsidRPr="00E46C7F">
        <w:rPr>
          <w:rFonts w:cs="Times New Roman"/>
          <w:spacing w:val="-2"/>
          <w:sz w:val="18"/>
          <w:szCs w:val="18"/>
          <w:rtl/>
          <w:lang w:val="ar-SA"/>
        </w:rPr>
        <w:t>May</w:t>
      </w:r>
      <w:proofErr w:type="spellEnd"/>
      <w:r w:rsidRPr="00E46C7F">
        <w:rPr>
          <w:rFonts w:cs="Times New Roman"/>
          <w:spacing w:val="-2"/>
          <w:sz w:val="18"/>
          <w:szCs w:val="18"/>
          <w:rtl/>
          <w:lang w:val="ar-SA"/>
        </w:rPr>
        <w:t xml:space="preserve"> 1998, </w:t>
      </w:r>
      <w:proofErr w:type="spellStart"/>
      <w:r w:rsidRPr="00E46C7F">
        <w:rPr>
          <w:rFonts w:cs="Times New Roman"/>
          <w:spacing w:val="-2"/>
          <w:sz w:val="18"/>
          <w:szCs w:val="18"/>
          <w:rtl/>
          <w:lang w:val="ar-SA"/>
        </w:rPr>
        <w:t>para</w:t>
      </w:r>
      <w:proofErr w:type="spellEnd"/>
      <w:r w:rsidRPr="00E46C7F">
        <w:rPr>
          <w:rFonts w:cs="Times New Roman"/>
          <w:spacing w:val="-2"/>
          <w:sz w:val="18"/>
          <w:szCs w:val="18"/>
          <w:rtl/>
          <w:lang w:val="ar-SA"/>
        </w:rPr>
        <w:t>. 11.2</w:t>
      </w:r>
      <w:r w:rsidRPr="00E46C7F">
        <w:rPr>
          <w:spacing w:val="-2"/>
          <w:sz w:val="18"/>
          <w:szCs w:val="26"/>
          <w:rtl/>
          <w:lang w:val="ar-SA"/>
        </w:rPr>
        <w:t xml:space="preserve"> [البلاغ رقم 61/1996، </w:t>
      </w:r>
      <w:r w:rsidRPr="00E46C7F">
        <w:rPr>
          <w:i/>
          <w:iCs/>
          <w:spacing w:val="-2"/>
          <w:sz w:val="18"/>
          <w:szCs w:val="26"/>
          <w:rtl/>
          <w:lang w:val="ar-SA"/>
        </w:rPr>
        <w:t>س</w:t>
      </w:r>
      <w:r w:rsidRPr="00E46C7F">
        <w:rPr>
          <w:rFonts w:hint="cs"/>
          <w:i/>
          <w:iCs/>
          <w:spacing w:val="-2"/>
          <w:sz w:val="18"/>
          <w:szCs w:val="26"/>
          <w:rtl/>
          <w:lang w:val="ar-SA"/>
        </w:rPr>
        <w:t>.</w:t>
      </w:r>
      <w:r w:rsidRPr="00E46C7F">
        <w:rPr>
          <w:i/>
          <w:iCs/>
          <w:spacing w:val="-2"/>
          <w:sz w:val="18"/>
          <w:szCs w:val="26"/>
          <w:rtl/>
          <w:lang w:val="ar-SA"/>
        </w:rPr>
        <w:t xml:space="preserve"> </w:t>
      </w:r>
      <w:proofErr w:type="spellStart"/>
      <w:r w:rsidRPr="00E46C7F">
        <w:rPr>
          <w:i/>
          <w:iCs/>
          <w:spacing w:val="-2"/>
          <w:sz w:val="18"/>
          <w:szCs w:val="26"/>
          <w:rtl/>
          <w:lang w:val="ar-SA"/>
        </w:rPr>
        <w:t>وص</w:t>
      </w:r>
      <w:proofErr w:type="spellEnd"/>
      <w:r w:rsidRPr="00E46C7F">
        <w:rPr>
          <w:rFonts w:hint="cs"/>
          <w:i/>
          <w:iCs/>
          <w:spacing w:val="-2"/>
          <w:sz w:val="18"/>
          <w:szCs w:val="26"/>
          <w:rtl/>
          <w:lang w:val="ar-SA"/>
        </w:rPr>
        <w:t>.</w:t>
      </w:r>
      <w:r w:rsidRPr="00E46C7F">
        <w:rPr>
          <w:i/>
          <w:iCs/>
          <w:spacing w:val="-2"/>
          <w:sz w:val="18"/>
          <w:szCs w:val="26"/>
          <w:rtl/>
          <w:lang w:val="ar-SA"/>
        </w:rPr>
        <w:t xml:space="preserve"> وع</w:t>
      </w:r>
      <w:r w:rsidRPr="00E46C7F">
        <w:rPr>
          <w:rFonts w:hint="cs"/>
          <w:i/>
          <w:iCs/>
          <w:spacing w:val="-2"/>
          <w:sz w:val="18"/>
          <w:szCs w:val="26"/>
          <w:rtl/>
          <w:lang w:val="ar-SA"/>
        </w:rPr>
        <w:t>.</w:t>
      </w:r>
      <w:r w:rsidRPr="00E46C7F">
        <w:rPr>
          <w:i/>
          <w:iCs/>
          <w:spacing w:val="-2"/>
          <w:sz w:val="18"/>
          <w:szCs w:val="26"/>
          <w:rtl/>
          <w:lang w:val="ar-SA"/>
        </w:rPr>
        <w:t xml:space="preserve"> ضد السويد</w:t>
      </w:r>
      <w:r w:rsidRPr="00E46C7F">
        <w:rPr>
          <w:spacing w:val="-2"/>
          <w:sz w:val="18"/>
          <w:szCs w:val="26"/>
          <w:rtl/>
          <w:lang w:val="ar-SA"/>
        </w:rPr>
        <w:t xml:space="preserve">، الآراء المعتمدة في 6 أيار/مايو 1998، الفقرة 11-2]. </w:t>
      </w:r>
    </w:p>
  </w:footnote>
  <w:footnote w:id="8">
    <w:p w:rsidR="000F05C8" w:rsidRPr="00E46C7F" w:rsidRDefault="000F05C8" w:rsidP="00D52465">
      <w:pPr>
        <w:pStyle w:val="FootnoteText"/>
        <w:spacing w:after="60" w:line="300" w:lineRule="exact"/>
        <w:ind w:left="1247" w:right="1247" w:hanging="567"/>
        <w:rPr>
          <w:sz w:val="18"/>
          <w:szCs w:val="26"/>
          <w:rtl/>
        </w:rPr>
      </w:pPr>
      <w:r w:rsidRPr="00E46C7F">
        <w:rPr>
          <w:rFonts w:eastAsia="Traditional Arabic"/>
          <w:sz w:val="18"/>
          <w:szCs w:val="26"/>
          <w:rtl/>
          <w:lang w:val="ar-SA"/>
        </w:rPr>
        <w:t>(</w:t>
      </w:r>
      <w:r w:rsidRPr="00E46C7F">
        <w:rPr>
          <w:rFonts w:eastAsia="Traditional Arabic"/>
          <w:sz w:val="18"/>
          <w:szCs w:val="26"/>
          <w:rtl/>
          <w:lang w:val="ar-SA"/>
        </w:rPr>
        <w:footnoteRef/>
      </w:r>
      <w:r w:rsidRPr="00E46C7F">
        <w:rPr>
          <w:rFonts w:eastAsia="Traditional Arabic"/>
          <w:sz w:val="18"/>
          <w:szCs w:val="26"/>
          <w:rtl/>
          <w:lang w:val="ar-SA"/>
        </w:rPr>
        <w:t>)</w:t>
      </w:r>
      <w:r w:rsidRPr="00E46C7F">
        <w:rPr>
          <w:rFonts w:eastAsia="Traditional Arabic"/>
          <w:sz w:val="18"/>
          <w:szCs w:val="26"/>
          <w:rtl/>
          <w:lang w:val="ar-SA"/>
        </w:rPr>
        <w:tab/>
      </w:r>
      <w:r w:rsidRPr="00E46C7F">
        <w:rPr>
          <w:rFonts w:hint="cs"/>
          <w:sz w:val="18"/>
          <w:szCs w:val="26"/>
          <w:rtl/>
          <w:lang w:val="ar-SA"/>
        </w:rPr>
        <w:t xml:space="preserve">انظر </w:t>
      </w:r>
      <w:proofErr w:type="spellStart"/>
      <w:r w:rsidRPr="00E46C7F">
        <w:rPr>
          <w:rFonts w:cs="Times New Roman"/>
          <w:sz w:val="18"/>
          <w:szCs w:val="18"/>
          <w:rtl/>
          <w:lang w:val="ar-SA"/>
        </w:rPr>
        <w:t>communication</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No</w:t>
      </w:r>
      <w:proofErr w:type="spellEnd"/>
      <w:r w:rsidRPr="00E46C7F">
        <w:rPr>
          <w:rFonts w:cs="Times New Roman"/>
          <w:sz w:val="18"/>
          <w:szCs w:val="18"/>
          <w:rtl/>
          <w:lang w:val="ar-SA"/>
        </w:rPr>
        <w:t xml:space="preserve">. 237/2003, </w:t>
      </w:r>
      <w:r w:rsidRPr="00E46C7F">
        <w:rPr>
          <w:rFonts w:cs="Times New Roman"/>
          <w:i/>
          <w:iCs/>
          <w:sz w:val="18"/>
          <w:szCs w:val="18"/>
          <w:rtl/>
          <w:lang w:val="ar-SA"/>
        </w:rPr>
        <w:t xml:space="preserve">M.C.M.V.F. v. </w:t>
      </w:r>
      <w:proofErr w:type="spellStart"/>
      <w:r w:rsidRPr="00E46C7F">
        <w:rPr>
          <w:rFonts w:cs="Times New Roman"/>
          <w:i/>
          <w:iCs/>
          <w:sz w:val="18"/>
          <w:szCs w:val="18"/>
          <w:rtl/>
          <w:lang w:val="ar-SA"/>
        </w:rPr>
        <w:t>Sweden</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decision</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adopted</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on</w:t>
      </w:r>
      <w:proofErr w:type="spellEnd"/>
      <w:r w:rsidRPr="00E46C7F">
        <w:rPr>
          <w:rFonts w:cs="Times New Roman"/>
          <w:sz w:val="18"/>
          <w:szCs w:val="18"/>
          <w:rtl/>
          <w:lang w:val="ar-SA"/>
        </w:rPr>
        <w:t xml:space="preserve"> 12 </w:t>
      </w:r>
      <w:proofErr w:type="spellStart"/>
      <w:r w:rsidRPr="00E46C7F">
        <w:rPr>
          <w:rFonts w:cs="Times New Roman"/>
          <w:sz w:val="18"/>
          <w:szCs w:val="18"/>
          <w:rtl/>
          <w:lang w:val="ar-SA"/>
        </w:rPr>
        <w:t>December</w:t>
      </w:r>
      <w:proofErr w:type="spellEnd"/>
      <w:r w:rsidRPr="00E46C7F">
        <w:rPr>
          <w:rFonts w:cs="Times New Roman"/>
          <w:sz w:val="18"/>
          <w:szCs w:val="18"/>
          <w:rtl/>
          <w:lang w:val="ar-SA"/>
        </w:rPr>
        <w:t xml:space="preserve"> </w:t>
      </w:r>
      <w:r w:rsidR="00D52465">
        <w:rPr>
          <w:rFonts w:cs="Times New Roman" w:hint="cs"/>
          <w:sz w:val="18"/>
          <w:szCs w:val="18"/>
          <w:rtl/>
          <w:lang w:val="ar-SA"/>
        </w:rPr>
        <w:t xml:space="preserve"> </w:t>
      </w:r>
      <w:proofErr w:type="spellStart"/>
      <w:r w:rsidR="000426FF" w:rsidRPr="000426FF">
        <w:rPr>
          <w:rFonts w:cs="Times New Roman"/>
          <w:sz w:val="18"/>
          <w:szCs w:val="18"/>
          <w:rtl/>
          <w:lang w:val="ar-SA"/>
        </w:rPr>
        <w:t>para</w:t>
      </w:r>
      <w:proofErr w:type="spellEnd"/>
      <w:r w:rsidR="000426FF" w:rsidRPr="000426FF">
        <w:rPr>
          <w:rFonts w:cs="Times New Roman"/>
          <w:sz w:val="18"/>
          <w:szCs w:val="18"/>
          <w:rtl/>
          <w:lang w:val="ar-SA"/>
        </w:rPr>
        <w:t xml:space="preserve">. </w:t>
      </w:r>
      <w:proofErr w:type="gramStart"/>
      <w:r w:rsidR="000426FF" w:rsidRPr="000426FF">
        <w:rPr>
          <w:rFonts w:cs="Times New Roman"/>
          <w:sz w:val="18"/>
          <w:szCs w:val="18"/>
          <w:rtl/>
          <w:lang w:val="ar-SA"/>
        </w:rPr>
        <w:t>6.4</w:t>
      </w:r>
      <w:r w:rsidR="000426FF">
        <w:rPr>
          <w:sz w:val="18"/>
          <w:szCs w:val="26"/>
        </w:rPr>
        <w:t>2005</w:t>
      </w:r>
      <w:r w:rsidR="00D52465">
        <w:rPr>
          <w:sz w:val="18"/>
          <w:szCs w:val="26"/>
        </w:rPr>
        <w:t xml:space="preserve"> </w:t>
      </w:r>
      <w:r w:rsidR="000426FF">
        <w:rPr>
          <w:rFonts w:hint="cs"/>
          <w:sz w:val="18"/>
          <w:szCs w:val="26"/>
          <w:rtl/>
          <w:lang w:val="ar-SA"/>
        </w:rPr>
        <w:t xml:space="preserve"> </w:t>
      </w:r>
      <w:r w:rsidRPr="00E46C7F">
        <w:rPr>
          <w:sz w:val="18"/>
          <w:szCs w:val="26"/>
          <w:rtl/>
          <w:lang w:val="ar-SA"/>
        </w:rPr>
        <w:t>[</w:t>
      </w:r>
      <w:proofErr w:type="gramEnd"/>
      <w:r w:rsidRPr="00E46C7F">
        <w:rPr>
          <w:sz w:val="18"/>
          <w:szCs w:val="26"/>
          <w:rtl/>
          <w:lang w:val="ar-SA"/>
        </w:rPr>
        <w:t>البلاغ رقم 237</w:t>
      </w:r>
      <w:r w:rsidRPr="00E46C7F">
        <w:rPr>
          <w:rFonts w:hint="cs"/>
          <w:sz w:val="18"/>
          <w:szCs w:val="26"/>
          <w:rtl/>
          <w:lang w:val="ar-SA"/>
        </w:rPr>
        <w:t>/</w:t>
      </w:r>
      <w:r w:rsidRPr="00E46C7F">
        <w:rPr>
          <w:sz w:val="18"/>
          <w:szCs w:val="26"/>
          <w:rtl/>
          <w:lang w:val="ar-SA"/>
        </w:rPr>
        <w:t xml:space="preserve">2003، </w:t>
      </w:r>
      <w:r w:rsidRPr="00E46C7F">
        <w:rPr>
          <w:i/>
          <w:iCs/>
          <w:sz w:val="18"/>
          <w:szCs w:val="26"/>
          <w:rtl/>
          <w:lang w:val="ar-SA"/>
        </w:rPr>
        <w:t>م. س. م. ف. ف. ضد السويد</w:t>
      </w:r>
      <w:r w:rsidRPr="00E46C7F">
        <w:rPr>
          <w:sz w:val="18"/>
          <w:szCs w:val="26"/>
          <w:rtl/>
          <w:lang w:val="ar-SA"/>
        </w:rPr>
        <w:t xml:space="preserve">، القرار المعتمد في 12 كانون الأول/ديسمبر 2005، الفقرة 6-4]. </w:t>
      </w:r>
    </w:p>
  </w:footnote>
  <w:footnote w:id="9">
    <w:p w:rsidR="000F05C8" w:rsidRPr="00E46C7F" w:rsidRDefault="000F05C8" w:rsidP="000F05C8">
      <w:pPr>
        <w:pStyle w:val="FootnoteText"/>
        <w:spacing w:after="60" w:line="300" w:lineRule="exact"/>
        <w:ind w:left="1247" w:right="1247" w:hanging="567"/>
        <w:rPr>
          <w:sz w:val="18"/>
          <w:szCs w:val="26"/>
          <w:rtl/>
        </w:rPr>
      </w:pPr>
      <w:r w:rsidRPr="00E46C7F">
        <w:rPr>
          <w:rFonts w:eastAsia="Traditional Arabic"/>
          <w:sz w:val="18"/>
          <w:szCs w:val="26"/>
          <w:rtl/>
          <w:lang w:val="ar-SA"/>
        </w:rPr>
        <w:t>(</w:t>
      </w:r>
      <w:r w:rsidRPr="00E46C7F">
        <w:rPr>
          <w:rFonts w:eastAsia="Traditional Arabic"/>
          <w:sz w:val="18"/>
          <w:szCs w:val="26"/>
          <w:rtl/>
          <w:lang w:val="ar-SA"/>
        </w:rPr>
        <w:footnoteRef/>
      </w:r>
      <w:r w:rsidRPr="00E46C7F">
        <w:rPr>
          <w:rFonts w:eastAsia="Traditional Arabic"/>
          <w:sz w:val="18"/>
          <w:szCs w:val="26"/>
          <w:rtl/>
          <w:lang w:val="ar-SA"/>
        </w:rPr>
        <w:t>)</w:t>
      </w:r>
      <w:r w:rsidRPr="00E46C7F">
        <w:rPr>
          <w:rFonts w:eastAsia="Traditional Arabic"/>
          <w:sz w:val="18"/>
          <w:szCs w:val="26"/>
          <w:rtl/>
          <w:lang w:val="ar-SA"/>
        </w:rPr>
        <w:tab/>
      </w:r>
      <w:r w:rsidRPr="00E46C7F">
        <w:rPr>
          <w:rFonts w:hint="cs"/>
          <w:sz w:val="18"/>
          <w:szCs w:val="26"/>
          <w:rtl/>
          <w:lang w:val="ar-SA"/>
        </w:rPr>
        <w:t xml:space="preserve">انظر </w:t>
      </w:r>
      <w:proofErr w:type="spellStart"/>
      <w:r w:rsidRPr="00E46C7F">
        <w:rPr>
          <w:rFonts w:cs="Times New Roman"/>
          <w:sz w:val="18"/>
          <w:szCs w:val="18"/>
          <w:rtl/>
          <w:lang w:val="ar-SA"/>
        </w:rPr>
        <w:t>communication</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No</w:t>
      </w:r>
      <w:proofErr w:type="spellEnd"/>
      <w:r w:rsidRPr="00E46C7F">
        <w:rPr>
          <w:rFonts w:cs="Times New Roman"/>
          <w:sz w:val="18"/>
          <w:szCs w:val="18"/>
          <w:rtl/>
          <w:lang w:val="ar-SA"/>
        </w:rPr>
        <w:t xml:space="preserve">. 464/2011, </w:t>
      </w:r>
      <w:r w:rsidRPr="00E46C7F">
        <w:rPr>
          <w:rFonts w:cs="Times New Roman"/>
          <w:i/>
          <w:iCs/>
          <w:sz w:val="18"/>
          <w:szCs w:val="18"/>
          <w:rtl/>
          <w:lang w:val="ar-SA"/>
        </w:rPr>
        <w:t xml:space="preserve">K.H. v. </w:t>
      </w:r>
      <w:proofErr w:type="spellStart"/>
      <w:r w:rsidRPr="00E46C7F">
        <w:rPr>
          <w:rFonts w:cs="Times New Roman"/>
          <w:i/>
          <w:iCs/>
          <w:sz w:val="18"/>
          <w:szCs w:val="18"/>
          <w:rtl/>
          <w:lang w:val="ar-SA"/>
        </w:rPr>
        <w:t>Denmark</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decision</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adopted</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on</w:t>
      </w:r>
      <w:proofErr w:type="spellEnd"/>
      <w:r w:rsidRPr="00E46C7F">
        <w:rPr>
          <w:rFonts w:cs="Times New Roman"/>
          <w:sz w:val="18"/>
          <w:szCs w:val="18"/>
          <w:rtl/>
          <w:lang w:val="ar-SA"/>
        </w:rPr>
        <w:t xml:space="preserve"> 23 </w:t>
      </w:r>
      <w:proofErr w:type="spellStart"/>
      <w:r w:rsidRPr="00E46C7F">
        <w:rPr>
          <w:rFonts w:cs="Times New Roman"/>
          <w:sz w:val="18"/>
          <w:szCs w:val="18"/>
          <w:rtl/>
          <w:lang w:val="ar-SA"/>
        </w:rPr>
        <w:t>November</w:t>
      </w:r>
      <w:proofErr w:type="spellEnd"/>
      <w:r w:rsidRPr="00E46C7F">
        <w:rPr>
          <w:rFonts w:cs="Times New Roman"/>
          <w:sz w:val="18"/>
          <w:szCs w:val="18"/>
          <w:rtl/>
          <w:lang w:val="ar-SA"/>
        </w:rPr>
        <w:t xml:space="preserve"> 2012</w:t>
      </w:r>
      <w:r w:rsidRPr="00E46C7F">
        <w:rPr>
          <w:sz w:val="18"/>
          <w:szCs w:val="26"/>
          <w:rtl/>
          <w:lang w:val="ar-SA"/>
        </w:rPr>
        <w:t xml:space="preserve"> [البلاغ رقم 464</w:t>
      </w:r>
      <w:r w:rsidRPr="00E46C7F">
        <w:rPr>
          <w:rFonts w:hint="cs"/>
          <w:sz w:val="18"/>
          <w:szCs w:val="26"/>
          <w:rtl/>
          <w:lang w:val="ar-SA"/>
        </w:rPr>
        <w:t>/</w:t>
      </w:r>
      <w:r w:rsidRPr="00E46C7F">
        <w:rPr>
          <w:sz w:val="18"/>
          <w:szCs w:val="26"/>
          <w:rtl/>
          <w:lang w:val="ar-SA"/>
        </w:rPr>
        <w:t xml:space="preserve">2011، </w:t>
      </w:r>
      <w:r w:rsidRPr="00E46C7F">
        <w:rPr>
          <w:i/>
          <w:iCs/>
          <w:sz w:val="18"/>
          <w:szCs w:val="26"/>
          <w:rtl/>
          <w:lang w:val="ar-SA"/>
        </w:rPr>
        <w:t>ك. ه. ضد الدانمرك</w:t>
      </w:r>
      <w:r w:rsidRPr="00E46C7F">
        <w:rPr>
          <w:sz w:val="18"/>
          <w:szCs w:val="26"/>
          <w:rtl/>
          <w:lang w:val="ar-SA"/>
        </w:rPr>
        <w:t>، القرار المعتمد في 23 تشرين الثاني/نوفمبر 2012].</w:t>
      </w:r>
    </w:p>
  </w:footnote>
  <w:footnote w:id="10">
    <w:p w:rsidR="000F05C8" w:rsidRPr="00E46C7F" w:rsidRDefault="000F05C8" w:rsidP="000F05C8">
      <w:pPr>
        <w:pStyle w:val="FootnoteText"/>
        <w:spacing w:after="60" w:line="300" w:lineRule="exact"/>
        <w:ind w:left="1247" w:right="1247" w:hanging="567"/>
        <w:rPr>
          <w:sz w:val="18"/>
          <w:szCs w:val="26"/>
          <w:rtl/>
          <w:lang w:bidi="ar-EG"/>
        </w:rPr>
      </w:pPr>
      <w:r w:rsidRPr="00E46C7F">
        <w:rPr>
          <w:rStyle w:val="FootnoteReference"/>
          <w:szCs w:val="26"/>
          <w:vertAlign w:val="baseline"/>
          <w:rtl/>
        </w:rPr>
        <w:t>(</w:t>
      </w:r>
      <w:r w:rsidRPr="00E46C7F">
        <w:rPr>
          <w:rStyle w:val="FootnoteReference"/>
          <w:szCs w:val="26"/>
          <w:vertAlign w:val="baseline"/>
          <w:rtl/>
        </w:rPr>
        <w:footnoteRef/>
      </w:r>
      <w:r w:rsidRPr="00E46C7F">
        <w:rPr>
          <w:rStyle w:val="FootnoteReference"/>
          <w:szCs w:val="26"/>
          <w:vertAlign w:val="baseline"/>
          <w:rtl/>
        </w:rPr>
        <w:t>)</w:t>
      </w:r>
      <w:r w:rsidRPr="00E46C7F">
        <w:rPr>
          <w:rStyle w:val="FootnoteReference"/>
          <w:szCs w:val="26"/>
          <w:vertAlign w:val="baseline"/>
          <w:rtl/>
        </w:rPr>
        <w:tab/>
      </w:r>
      <w:r w:rsidRPr="00E46C7F">
        <w:rPr>
          <w:sz w:val="18"/>
          <w:szCs w:val="26"/>
          <w:rtl/>
          <w:lang w:bidi="ar-EG"/>
        </w:rPr>
        <w:t xml:space="preserve">انظر الموقع </w:t>
      </w:r>
      <w:r w:rsidRPr="00E46C7F">
        <w:rPr>
          <w:sz w:val="18"/>
          <w:szCs w:val="26"/>
        </w:rPr>
        <w:t>http://www.state.gov/j/drl/rls/irf/religiousfreedom/index.htm?year=2012&amp;dlid=208200</w:t>
      </w:r>
      <w:r w:rsidRPr="00E46C7F">
        <w:rPr>
          <w:rFonts w:hint="cs"/>
          <w:sz w:val="18"/>
          <w:szCs w:val="26"/>
          <w:rtl/>
        </w:rPr>
        <w:t>.</w:t>
      </w:r>
    </w:p>
  </w:footnote>
  <w:footnote w:id="11">
    <w:p w:rsidR="000F05C8" w:rsidRPr="00E46C7F" w:rsidRDefault="000F05C8" w:rsidP="001F1AC5">
      <w:pPr>
        <w:pStyle w:val="FootnoteText"/>
        <w:spacing w:after="60" w:line="300" w:lineRule="exact"/>
        <w:ind w:left="1247" w:right="1247" w:hanging="567"/>
        <w:rPr>
          <w:sz w:val="18"/>
          <w:szCs w:val="26"/>
          <w:rtl/>
        </w:rPr>
      </w:pPr>
      <w:r w:rsidRPr="00E46C7F">
        <w:rPr>
          <w:rFonts w:eastAsia="Traditional Arabic"/>
          <w:sz w:val="18"/>
          <w:szCs w:val="26"/>
          <w:rtl/>
          <w:lang w:val="ar-SA"/>
        </w:rPr>
        <w:t>(</w:t>
      </w:r>
      <w:r w:rsidRPr="00E46C7F">
        <w:rPr>
          <w:rFonts w:eastAsia="Traditional Arabic"/>
          <w:sz w:val="18"/>
          <w:szCs w:val="26"/>
          <w:rtl/>
          <w:lang w:val="ar-SA"/>
        </w:rPr>
        <w:footnoteRef/>
      </w:r>
      <w:r w:rsidRPr="00E46C7F">
        <w:rPr>
          <w:rFonts w:eastAsia="Traditional Arabic"/>
          <w:sz w:val="18"/>
          <w:szCs w:val="26"/>
          <w:rtl/>
          <w:lang w:val="ar-SA"/>
        </w:rPr>
        <w:t>)</w:t>
      </w:r>
      <w:r w:rsidRPr="00E46C7F">
        <w:rPr>
          <w:rFonts w:eastAsia="Traditional Arabic"/>
          <w:sz w:val="18"/>
          <w:szCs w:val="26"/>
          <w:rtl/>
          <w:lang w:val="ar-SA"/>
        </w:rPr>
        <w:tab/>
      </w:r>
      <w:r w:rsidRPr="000F05C8">
        <w:rPr>
          <w:rFonts w:hint="cs"/>
          <w:spacing w:val="-2"/>
          <w:sz w:val="18"/>
          <w:szCs w:val="26"/>
          <w:rtl/>
          <w:lang w:val="ar-SA"/>
        </w:rPr>
        <w:t xml:space="preserve">انظر </w:t>
      </w:r>
      <w:proofErr w:type="spellStart"/>
      <w:r w:rsidRPr="000F05C8">
        <w:rPr>
          <w:rFonts w:cs="Times New Roman"/>
          <w:spacing w:val="-2"/>
          <w:sz w:val="18"/>
          <w:szCs w:val="18"/>
          <w:rtl/>
          <w:lang w:val="ar-SA"/>
        </w:rPr>
        <w:t>European</w:t>
      </w:r>
      <w:proofErr w:type="spellEnd"/>
      <w:r w:rsidRPr="000F05C8">
        <w:rPr>
          <w:rFonts w:cs="Times New Roman"/>
          <w:spacing w:val="-2"/>
          <w:sz w:val="18"/>
          <w:szCs w:val="18"/>
          <w:rtl/>
          <w:lang w:val="ar-SA"/>
        </w:rPr>
        <w:t xml:space="preserve"> </w:t>
      </w:r>
      <w:proofErr w:type="spellStart"/>
      <w:r w:rsidRPr="000F05C8">
        <w:rPr>
          <w:rFonts w:cs="Times New Roman"/>
          <w:spacing w:val="-2"/>
          <w:sz w:val="18"/>
          <w:szCs w:val="18"/>
          <w:rtl/>
          <w:lang w:val="ar-SA"/>
        </w:rPr>
        <w:t>Court</w:t>
      </w:r>
      <w:proofErr w:type="spellEnd"/>
      <w:r w:rsidRPr="000F05C8">
        <w:rPr>
          <w:rFonts w:cs="Times New Roman"/>
          <w:spacing w:val="-2"/>
          <w:sz w:val="18"/>
          <w:szCs w:val="18"/>
          <w:rtl/>
          <w:lang w:val="ar-SA"/>
        </w:rPr>
        <w:t xml:space="preserve"> </w:t>
      </w:r>
      <w:proofErr w:type="spellStart"/>
      <w:r w:rsidRPr="000F05C8">
        <w:rPr>
          <w:rFonts w:cs="Times New Roman"/>
          <w:spacing w:val="-2"/>
          <w:sz w:val="18"/>
          <w:szCs w:val="18"/>
          <w:rtl/>
          <w:lang w:val="ar-SA"/>
        </w:rPr>
        <w:t>of</w:t>
      </w:r>
      <w:proofErr w:type="spellEnd"/>
      <w:r w:rsidRPr="000F05C8">
        <w:rPr>
          <w:rFonts w:cs="Times New Roman"/>
          <w:spacing w:val="-2"/>
          <w:sz w:val="18"/>
          <w:szCs w:val="18"/>
          <w:rtl/>
          <w:lang w:val="ar-SA"/>
        </w:rPr>
        <w:t xml:space="preserve"> </w:t>
      </w:r>
      <w:proofErr w:type="spellStart"/>
      <w:r w:rsidRPr="000F05C8">
        <w:rPr>
          <w:rFonts w:cs="Times New Roman"/>
          <w:spacing w:val="-2"/>
          <w:sz w:val="18"/>
          <w:szCs w:val="18"/>
          <w:rtl/>
          <w:lang w:val="ar-SA"/>
        </w:rPr>
        <w:t>Human</w:t>
      </w:r>
      <w:proofErr w:type="spellEnd"/>
      <w:r w:rsidRPr="000F05C8">
        <w:rPr>
          <w:rFonts w:cs="Times New Roman"/>
          <w:spacing w:val="-2"/>
          <w:sz w:val="18"/>
          <w:szCs w:val="18"/>
          <w:rtl/>
          <w:lang w:val="ar-SA"/>
        </w:rPr>
        <w:t xml:space="preserve"> </w:t>
      </w:r>
      <w:proofErr w:type="spellStart"/>
      <w:r w:rsidRPr="000F05C8">
        <w:rPr>
          <w:rFonts w:cs="Times New Roman"/>
          <w:spacing w:val="-2"/>
          <w:sz w:val="18"/>
          <w:szCs w:val="18"/>
          <w:rtl/>
          <w:lang w:val="ar-SA"/>
        </w:rPr>
        <w:t>Rights</w:t>
      </w:r>
      <w:proofErr w:type="spellEnd"/>
      <w:r w:rsidRPr="000F05C8">
        <w:rPr>
          <w:rFonts w:cs="Times New Roman"/>
          <w:spacing w:val="-2"/>
          <w:sz w:val="18"/>
          <w:szCs w:val="18"/>
          <w:rtl/>
          <w:lang w:val="ar-SA"/>
        </w:rPr>
        <w:t xml:space="preserve">, </w:t>
      </w:r>
      <w:r w:rsidRPr="000F05C8">
        <w:rPr>
          <w:rFonts w:cs="Times New Roman"/>
          <w:i/>
          <w:iCs/>
          <w:spacing w:val="-2"/>
          <w:sz w:val="18"/>
          <w:szCs w:val="18"/>
          <w:rtl/>
          <w:lang w:val="ar-SA"/>
        </w:rPr>
        <w:t xml:space="preserve">R.C. v. </w:t>
      </w:r>
      <w:proofErr w:type="spellStart"/>
      <w:r w:rsidRPr="000F05C8">
        <w:rPr>
          <w:rFonts w:cs="Times New Roman"/>
          <w:i/>
          <w:iCs/>
          <w:spacing w:val="-2"/>
          <w:sz w:val="18"/>
          <w:szCs w:val="18"/>
          <w:rtl/>
          <w:lang w:val="ar-SA"/>
        </w:rPr>
        <w:t>Sweden</w:t>
      </w:r>
      <w:proofErr w:type="spellEnd"/>
      <w:r w:rsidRPr="000F05C8">
        <w:rPr>
          <w:rFonts w:cs="Times New Roman"/>
          <w:spacing w:val="-2"/>
          <w:sz w:val="18"/>
          <w:szCs w:val="18"/>
          <w:rtl/>
          <w:lang w:val="ar-SA"/>
        </w:rPr>
        <w:t xml:space="preserve"> (</w:t>
      </w:r>
      <w:proofErr w:type="spellStart"/>
      <w:r w:rsidRPr="000F05C8">
        <w:rPr>
          <w:rFonts w:cs="Times New Roman"/>
          <w:spacing w:val="-2"/>
          <w:sz w:val="18"/>
          <w:szCs w:val="18"/>
          <w:rtl/>
          <w:lang w:val="ar-SA"/>
        </w:rPr>
        <w:t>application</w:t>
      </w:r>
      <w:proofErr w:type="spellEnd"/>
      <w:r w:rsidRPr="000F05C8">
        <w:rPr>
          <w:rFonts w:cs="Times New Roman"/>
          <w:spacing w:val="-2"/>
          <w:sz w:val="18"/>
          <w:szCs w:val="18"/>
          <w:rtl/>
          <w:lang w:val="ar-SA"/>
        </w:rPr>
        <w:t xml:space="preserve"> </w:t>
      </w:r>
      <w:proofErr w:type="spellStart"/>
      <w:r w:rsidRPr="000F05C8">
        <w:rPr>
          <w:rFonts w:cs="Times New Roman"/>
          <w:spacing w:val="-2"/>
          <w:sz w:val="18"/>
          <w:szCs w:val="18"/>
          <w:rtl/>
          <w:lang w:val="ar-SA"/>
        </w:rPr>
        <w:t>No</w:t>
      </w:r>
      <w:proofErr w:type="spellEnd"/>
      <w:r w:rsidRPr="000F05C8">
        <w:rPr>
          <w:rFonts w:cs="Times New Roman"/>
          <w:spacing w:val="-2"/>
          <w:sz w:val="18"/>
          <w:szCs w:val="18"/>
          <w:rtl/>
          <w:lang w:val="ar-SA"/>
        </w:rPr>
        <w:t xml:space="preserve">. 41827/07), </w:t>
      </w:r>
      <w:proofErr w:type="spellStart"/>
      <w:r w:rsidRPr="000F05C8">
        <w:rPr>
          <w:rFonts w:cs="Times New Roman"/>
          <w:spacing w:val="-2"/>
          <w:sz w:val="18"/>
          <w:szCs w:val="18"/>
          <w:rtl/>
          <w:lang w:val="ar-SA"/>
        </w:rPr>
        <w:t>judgment</w:t>
      </w:r>
      <w:proofErr w:type="spellEnd"/>
      <w:r w:rsidRPr="000F05C8">
        <w:rPr>
          <w:rFonts w:cs="Times New Roman"/>
          <w:spacing w:val="-2"/>
          <w:sz w:val="18"/>
          <w:szCs w:val="18"/>
          <w:rtl/>
          <w:lang w:val="ar-SA"/>
        </w:rPr>
        <w:t xml:space="preserve"> </w:t>
      </w:r>
      <w:proofErr w:type="spellStart"/>
      <w:r w:rsidRPr="000F05C8">
        <w:rPr>
          <w:rFonts w:cs="Times New Roman"/>
          <w:spacing w:val="-2"/>
          <w:sz w:val="18"/>
          <w:szCs w:val="18"/>
          <w:rtl/>
          <w:lang w:val="ar-SA"/>
        </w:rPr>
        <w:t>of</w:t>
      </w:r>
      <w:proofErr w:type="spellEnd"/>
      <w:r w:rsidRPr="000F05C8">
        <w:rPr>
          <w:rFonts w:cs="Times New Roman"/>
          <w:spacing w:val="-2"/>
          <w:sz w:val="18"/>
          <w:szCs w:val="18"/>
          <w:rtl/>
          <w:lang w:val="ar-SA"/>
        </w:rPr>
        <w:t xml:space="preserve"> 9 </w:t>
      </w:r>
      <w:proofErr w:type="spellStart"/>
      <w:r w:rsidRPr="000F05C8">
        <w:rPr>
          <w:rFonts w:cs="Times New Roman"/>
          <w:spacing w:val="-2"/>
          <w:sz w:val="18"/>
          <w:szCs w:val="18"/>
          <w:rtl/>
          <w:lang w:val="ar-SA"/>
        </w:rPr>
        <w:t>March</w:t>
      </w:r>
      <w:proofErr w:type="spellEnd"/>
      <w:r w:rsidRPr="000F05C8">
        <w:rPr>
          <w:rFonts w:cs="Times New Roman"/>
          <w:spacing w:val="-2"/>
          <w:sz w:val="18"/>
          <w:szCs w:val="18"/>
          <w:rtl/>
          <w:lang w:val="ar-SA"/>
        </w:rPr>
        <w:t xml:space="preserve"> 2010, </w:t>
      </w:r>
      <w:proofErr w:type="spellStart"/>
      <w:r w:rsidRPr="000F05C8">
        <w:rPr>
          <w:rFonts w:cs="Times New Roman"/>
          <w:spacing w:val="-2"/>
          <w:sz w:val="18"/>
          <w:szCs w:val="18"/>
          <w:rtl/>
          <w:lang w:val="ar-SA"/>
        </w:rPr>
        <w:t>para</w:t>
      </w:r>
      <w:proofErr w:type="spellEnd"/>
      <w:r w:rsidRPr="000F05C8">
        <w:rPr>
          <w:rFonts w:cs="Times New Roman"/>
          <w:spacing w:val="-2"/>
          <w:sz w:val="18"/>
          <w:szCs w:val="18"/>
          <w:rtl/>
          <w:lang w:val="ar-SA"/>
        </w:rPr>
        <w:t>. 52</w:t>
      </w:r>
      <w:r w:rsidRPr="000F05C8">
        <w:rPr>
          <w:rFonts w:hint="cs"/>
          <w:spacing w:val="-2"/>
          <w:sz w:val="18"/>
          <w:szCs w:val="26"/>
          <w:rtl/>
          <w:lang w:val="ar-SA"/>
        </w:rPr>
        <w:t xml:space="preserve"> [المحكمة الأوروبية لحقوق الإنسان، </w:t>
      </w:r>
      <w:r w:rsidRPr="000F05C8">
        <w:rPr>
          <w:rFonts w:hint="cs"/>
          <w:i/>
          <w:iCs/>
          <w:spacing w:val="-2"/>
          <w:sz w:val="18"/>
          <w:szCs w:val="26"/>
          <w:rtl/>
          <w:lang w:val="ar-SA"/>
        </w:rPr>
        <w:t>ر. س. ضد السويد</w:t>
      </w:r>
      <w:r w:rsidRPr="000F05C8">
        <w:rPr>
          <w:rFonts w:hint="cs"/>
          <w:spacing w:val="-2"/>
          <w:sz w:val="18"/>
          <w:szCs w:val="26"/>
          <w:rtl/>
          <w:lang w:val="ar-SA"/>
        </w:rPr>
        <w:t xml:space="preserve"> (الدعوى رقم 41827/07)، الحكم الصادر في 9 آذار/مارس 2010، الفقرة 52]</w:t>
      </w:r>
      <w:r w:rsidRPr="000F05C8">
        <w:rPr>
          <w:spacing w:val="-2"/>
          <w:sz w:val="18"/>
          <w:szCs w:val="26"/>
          <w:rtl/>
          <w:lang w:val="ar-SA"/>
        </w:rPr>
        <w:t>. ويشار أيضاً إلى</w:t>
      </w:r>
      <w:r w:rsidRPr="000F05C8">
        <w:rPr>
          <w:rFonts w:hint="cs"/>
          <w:spacing w:val="-2"/>
          <w:sz w:val="18"/>
          <w:szCs w:val="26"/>
          <w:rtl/>
          <w:lang w:val="ar-SA"/>
        </w:rPr>
        <w:t xml:space="preserve"> </w:t>
      </w:r>
      <w:proofErr w:type="spellStart"/>
      <w:r w:rsidRPr="000F05C8">
        <w:rPr>
          <w:rFonts w:cs="Times New Roman"/>
          <w:spacing w:val="-2"/>
          <w:sz w:val="18"/>
          <w:szCs w:val="18"/>
          <w:rtl/>
          <w:lang w:val="ar-SA"/>
        </w:rPr>
        <w:t>European</w:t>
      </w:r>
      <w:proofErr w:type="spellEnd"/>
      <w:r w:rsidRPr="000F05C8">
        <w:rPr>
          <w:rFonts w:cs="Times New Roman"/>
          <w:spacing w:val="-2"/>
          <w:sz w:val="18"/>
          <w:szCs w:val="18"/>
          <w:rtl/>
          <w:lang w:val="ar-SA"/>
        </w:rPr>
        <w:t xml:space="preserve"> </w:t>
      </w:r>
      <w:proofErr w:type="spellStart"/>
      <w:r w:rsidRPr="000F05C8">
        <w:rPr>
          <w:rFonts w:cs="Times New Roman"/>
          <w:spacing w:val="-2"/>
          <w:sz w:val="18"/>
          <w:szCs w:val="18"/>
          <w:rtl/>
          <w:lang w:val="ar-SA"/>
        </w:rPr>
        <w:t>Court</w:t>
      </w:r>
      <w:proofErr w:type="spellEnd"/>
      <w:r w:rsidRPr="000F05C8">
        <w:rPr>
          <w:rFonts w:cs="Times New Roman"/>
          <w:spacing w:val="-2"/>
          <w:sz w:val="18"/>
          <w:szCs w:val="18"/>
          <w:rtl/>
          <w:lang w:val="ar-SA"/>
        </w:rPr>
        <w:t xml:space="preserve"> </w:t>
      </w:r>
      <w:proofErr w:type="spellStart"/>
      <w:r w:rsidRPr="000F05C8">
        <w:rPr>
          <w:rFonts w:cs="Times New Roman"/>
          <w:spacing w:val="-2"/>
          <w:sz w:val="18"/>
          <w:szCs w:val="18"/>
          <w:rtl/>
          <w:lang w:val="ar-SA"/>
        </w:rPr>
        <w:t>of</w:t>
      </w:r>
      <w:proofErr w:type="spellEnd"/>
      <w:r w:rsidRPr="000F05C8">
        <w:rPr>
          <w:rFonts w:cs="Times New Roman"/>
          <w:spacing w:val="-2"/>
          <w:sz w:val="18"/>
          <w:szCs w:val="18"/>
          <w:rtl/>
          <w:lang w:val="ar-SA"/>
        </w:rPr>
        <w:t xml:space="preserve"> </w:t>
      </w:r>
      <w:proofErr w:type="spellStart"/>
      <w:r w:rsidRPr="000F05C8">
        <w:rPr>
          <w:rFonts w:cs="Times New Roman"/>
          <w:spacing w:val="-2"/>
          <w:sz w:val="18"/>
          <w:szCs w:val="18"/>
          <w:rtl/>
          <w:lang w:val="ar-SA"/>
        </w:rPr>
        <w:t>Human</w:t>
      </w:r>
      <w:proofErr w:type="spellEnd"/>
      <w:r w:rsidRPr="000F05C8">
        <w:rPr>
          <w:rFonts w:cs="Times New Roman"/>
          <w:spacing w:val="-2"/>
          <w:sz w:val="18"/>
          <w:szCs w:val="18"/>
          <w:rtl/>
          <w:lang w:val="ar-SA"/>
        </w:rPr>
        <w:t xml:space="preserve"> </w:t>
      </w:r>
      <w:proofErr w:type="spellStart"/>
      <w:r w:rsidRPr="000F05C8">
        <w:rPr>
          <w:rFonts w:cs="Times New Roman"/>
          <w:spacing w:val="-2"/>
          <w:sz w:val="18"/>
          <w:szCs w:val="18"/>
          <w:rtl/>
          <w:lang w:val="ar-SA"/>
        </w:rPr>
        <w:t>Rights</w:t>
      </w:r>
      <w:proofErr w:type="spellEnd"/>
      <w:r w:rsidRPr="000F05C8">
        <w:rPr>
          <w:rFonts w:cs="Times New Roman"/>
          <w:spacing w:val="-2"/>
          <w:sz w:val="18"/>
          <w:szCs w:val="18"/>
          <w:rtl/>
          <w:lang w:val="ar-SA"/>
        </w:rPr>
        <w:t xml:space="preserve">, </w:t>
      </w:r>
      <w:r w:rsidRPr="000F05C8">
        <w:rPr>
          <w:rFonts w:cs="Times New Roman"/>
          <w:i/>
          <w:iCs/>
          <w:spacing w:val="-2"/>
          <w:sz w:val="18"/>
          <w:szCs w:val="18"/>
          <w:rtl/>
          <w:lang w:val="ar-SA"/>
        </w:rPr>
        <w:t xml:space="preserve">M.E. v. </w:t>
      </w:r>
      <w:proofErr w:type="spellStart"/>
      <w:r w:rsidRPr="000F05C8">
        <w:rPr>
          <w:rFonts w:cs="Times New Roman"/>
          <w:i/>
          <w:iCs/>
          <w:spacing w:val="-2"/>
          <w:sz w:val="18"/>
          <w:szCs w:val="18"/>
          <w:rtl/>
          <w:lang w:val="ar-SA"/>
        </w:rPr>
        <w:t>Sweden</w:t>
      </w:r>
      <w:proofErr w:type="spellEnd"/>
      <w:r w:rsidRPr="000F05C8">
        <w:rPr>
          <w:rFonts w:cs="Times New Roman"/>
          <w:spacing w:val="-2"/>
          <w:sz w:val="18"/>
          <w:szCs w:val="18"/>
          <w:rtl/>
          <w:lang w:val="ar-SA"/>
        </w:rPr>
        <w:t xml:space="preserve"> (</w:t>
      </w:r>
      <w:proofErr w:type="spellStart"/>
      <w:r w:rsidRPr="000F05C8">
        <w:rPr>
          <w:rFonts w:cs="Times New Roman"/>
          <w:spacing w:val="-2"/>
          <w:sz w:val="18"/>
          <w:szCs w:val="18"/>
          <w:rtl/>
          <w:lang w:val="ar-SA"/>
        </w:rPr>
        <w:t>application</w:t>
      </w:r>
      <w:proofErr w:type="spellEnd"/>
      <w:r w:rsidRPr="000F05C8">
        <w:rPr>
          <w:rFonts w:cs="Times New Roman"/>
          <w:spacing w:val="-2"/>
          <w:sz w:val="18"/>
          <w:szCs w:val="18"/>
          <w:rtl/>
          <w:lang w:val="ar-SA"/>
        </w:rPr>
        <w:t xml:space="preserve"> </w:t>
      </w:r>
      <w:proofErr w:type="spellStart"/>
      <w:r w:rsidRPr="000F05C8">
        <w:rPr>
          <w:rFonts w:cs="Times New Roman"/>
          <w:spacing w:val="-2"/>
          <w:sz w:val="18"/>
          <w:szCs w:val="18"/>
          <w:rtl/>
          <w:lang w:val="ar-SA"/>
        </w:rPr>
        <w:t>No</w:t>
      </w:r>
      <w:proofErr w:type="spellEnd"/>
      <w:r w:rsidRPr="000F05C8">
        <w:rPr>
          <w:rFonts w:cs="Times New Roman"/>
          <w:spacing w:val="-2"/>
          <w:sz w:val="18"/>
          <w:szCs w:val="18"/>
          <w:rtl/>
          <w:lang w:val="ar-SA"/>
        </w:rPr>
        <w:t>. 71398/</w:t>
      </w:r>
      <w:proofErr w:type="gramStart"/>
      <w:r w:rsidRPr="000F05C8">
        <w:rPr>
          <w:rFonts w:cs="Times New Roman"/>
          <w:spacing w:val="-2"/>
          <w:sz w:val="18"/>
          <w:szCs w:val="18"/>
          <w:rtl/>
          <w:lang w:val="ar-SA"/>
        </w:rPr>
        <w:t>12),</w:t>
      </w:r>
      <w:proofErr w:type="gramEnd"/>
      <w:r w:rsidRPr="000F05C8">
        <w:rPr>
          <w:rFonts w:cs="Times New Roman"/>
          <w:spacing w:val="-2"/>
          <w:sz w:val="18"/>
          <w:szCs w:val="18"/>
          <w:rtl/>
          <w:lang w:val="ar-SA"/>
        </w:rPr>
        <w:t xml:space="preserve"> </w:t>
      </w:r>
      <w:proofErr w:type="spellStart"/>
      <w:r w:rsidRPr="000F05C8">
        <w:rPr>
          <w:rFonts w:cs="Times New Roman"/>
          <w:spacing w:val="-2"/>
          <w:sz w:val="18"/>
          <w:szCs w:val="18"/>
          <w:rtl/>
          <w:lang w:val="ar-SA"/>
        </w:rPr>
        <w:t>judgment</w:t>
      </w:r>
      <w:proofErr w:type="spellEnd"/>
      <w:r w:rsidRPr="000F05C8">
        <w:rPr>
          <w:rFonts w:cs="Times New Roman"/>
          <w:spacing w:val="-2"/>
          <w:sz w:val="18"/>
          <w:szCs w:val="18"/>
          <w:rtl/>
          <w:lang w:val="ar-SA"/>
        </w:rPr>
        <w:t xml:space="preserve"> </w:t>
      </w:r>
      <w:proofErr w:type="spellStart"/>
      <w:r w:rsidRPr="000F05C8">
        <w:rPr>
          <w:rFonts w:cs="Times New Roman"/>
          <w:spacing w:val="-2"/>
          <w:sz w:val="18"/>
          <w:szCs w:val="18"/>
          <w:rtl/>
          <w:lang w:val="ar-SA"/>
        </w:rPr>
        <w:t>of</w:t>
      </w:r>
      <w:proofErr w:type="spellEnd"/>
      <w:r w:rsidRPr="000F05C8">
        <w:rPr>
          <w:rFonts w:cs="Times New Roman"/>
          <w:spacing w:val="-2"/>
          <w:sz w:val="18"/>
          <w:szCs w:val="18"/>
          <w:rtl/>
          <w:lang w:val="ar-SA"/>
        </w:rPr>
        <w:t xml:space="preserve"> 26 </w:t>
      </w:r>
      <w:proofErr w:type="spellStart"/>
      <w:r w:rsidRPr="000F05C8">
        <w:rPr>
          <w:rFonts w:cs="Times New Roman"/>
          <w:spacing w:val="-2"/>
          <w:sz w:val="18"/>
          <w:szCs w:val="18"/>
          <w:rtl/>
          <w:lang w:val="ar-SA"/>
        </w:rPr>
        <w:t>June</w:t>
      </w:r>
      <w:proofErr w:type="spellEnd"/>
      <w:r w:rsidRPr="000F05C8">
        <w:rPr>
          <w:rFonts w:cs="Times New Roman"/>
          <w:spacing w:val="-2"/>
          <w:sz w:val="18"/>
          <w:szCs w:val="18"/>
          <w:rtl/>
          <w:lang w:val="ar-SA"/>
        </w:rPr>
        <w:t xml:space="preserve"> 2014, </w:t>
      </w:r>
      <w:proofErr w:type="spellStart"/>
      <w:r w:rsidRPr="000F05C8">
        <w:rPr>
          <w:rFonts w:cs="Times New Roman"/>
          <w:spacing w:val="-2"/>
          <w:sz w:val="18"/>
          <w:szCs w:val="18"/>
          <w:rtl/>
          <w:lang w:val="ar-SA"/>
        </w:rPr>
        <w:t>para</w:t>
      </w:r>
      <w:proofErr w:type="spellEnd"/>
      <w:r w:rsidRPr="000F05C8">
        <w:rPr>
          <w:rFonts w:cs="Times New Roman"/>
          <w:spacing w:val="-2"/>
          <w:sz w:val="18"/>
          <w:szCs w:val="18"/>
          <w:rtl/>
          <w:lang w:val="ar-SA"/>
        </w:rPr>
        <w:t>. 78</w:t>
      </w:r>
      <w:r w:rsidRPr="000F05C8">
        <w:rPr>
          <w:rFonts w:hint="cs"/>
          <w:spacing w:val="-2"/>
          <w:sz w:val="18"/>
          <w:szCs w:val="26"/>
          <w:rtl/>
          <w:lang w:val="ar-SA"/>
        </w:rPr>
        <w:t xml:space="preserve"> [المحكمة الأوروبية لحقوق الإنسان، </w:t>
      </w:r>
      <w:r w:rsidRPr="000F05C8">
        <w:rPr>
          <w:rFonts w:hint="cs"/>
          <w:i/>
          <w:iCs/>
          <w:spacing w:val="-2"/>
          <w:sz w:val="18"/>
          <w:szCs w:val="26"/>
          <w:rtl/>
          <w:lang w:val="ar-SA"/>
        </w:rPr>
        <w:t>م.</w:t>
      </w:r>
      <w:r w:rsidRPr="000F05C8">
        <w:rPr>
          <w:rFonts w:hint="eastAsia"/>
          <w:i/>
          <w:iCs/>
          <w:spacing w:val="-2"/>
          <w:sz w:val="18"/>
          <w:szCs w:val="26"/>
          <w:rtl/>
          <w:lang w:val="ar-SA"/>
        </w:rPr>
        <w:t> </w:t>
      </w:r>
      <w:r w:rsidRPr="000F05C8">
        <w:rPr>
          <w:rFonts w:hint="cs"/>
          <w:i/>
          <w:iCs/>
          <w:spacing w:val="-2"/>
          <w:sz w:val="18"/>
          <w:szCs w:val="26"/>
          <w:rtl/>
          <w:lang w:val="ar-SA"/>
        </w:rPr>
        <w:t>إ. ضد السويد</w:t>
      </w:r>
      <w:r w:rsidRPr="000F05C8">
        <w:rPr>
          <w:rFonts w:hint="cs"/>
          <w:spacing w:val="-2"/>
          <w:sz w:val="18"/>
          <w:szCs w:val="26"/>
          <w:rtl/>
          <w:lang w:val="ar-SA"/>
        </w:rPr>
        <w:t xml:space="preserve"> (الدعوى رقم 71398/12)، الحكم الصادر في 26 حزيران/</w:t>
      </w:r>
      <w:proofErr w:type="gramStart"/>
      <w:r w:rsidRPr="000F05C8">
        <w:rPr>
          <w:rFonts w:hint="cs"/>
          <w:spacing w:val="-2"/>
          <w:sz w:val="18"/>
          <w:szCs w:val="26"/>
          <w:rtl/>
          <w:lang w:val="ar-SA"/>
        </w:rPr>
        <w:t>يونيه</w:t>
      </w:r>
      <w:proofErr w:type="gramEnd"/>
      <w:r w:rsidRPr="000F05C8">
        <w:rPr>
          <w:rFonts w:hint="cs"/>
          <w:spacing w:val="-2"/>
          <w:sz w:val="18"/>
          <w:szCs w:val="26"/>
          <w:rtl/>
          <w:lang w:val="ar-SA"/>
        </w:rPr>
        <w:t xml:space="preserve"> 2014، الفقرة 78]</w:t>
      </w:r>
      <w:r w:rsidRPr="000F05C8">
        <w:rPr>
          <w:spacing w:val="-2"/>
          <w:sz w:val="18"/>
          <w:szCs w:val="26"/>
          <w:rtl/>
          <w:lang w:val="ar-SA"/>
        </w:rPr>
        <w:t>.</w:t>
      </w:r>
      <w:r w:rsidRPr="00E46C7F">
        <w:rPr>
          <w:sz w:val="18"/>
          <w:szCs w:val="26"/>
          <w:rtl/>
          <w:lang w:val="ar-SA"/>
        </w:rPr>
        <w:t xml:space="preserve"> </w:t>
      </w:r>
    </w:p>
  </w:footnote>
  <w:footnote w:id="12">
    <w:p w:rsidR="000F05C8" w:rsidRPr="00E46C7F" w:rsidRDefault="000F05C8" w:rsidP="000F05C8">
      <w:pPr>
        <w:pStyle w:val="FootnoteText"/>
        <w:spacing w:after="60" w:line="300" w:lineRule="exact"/>
        <w:ind w:left="1247" w:right="1247" w:hanging="567"/>
        <w:rPr>
          <w:sz w:val="18"/>
          <w:szCs w:val="26"/>
          <w:rtl/>
        </w:rPr>
      </w:pPr>
      <w:r w:rsidRPr="00E46C7F">
        <w:rPr>
          <w:rFonts w:eastAsia="Traditional Arabic"/>
          <w:sz w:val="18"/>
          <w:szCs w:val="26"/>
          <w:rtl/>
          <w:lang w:val="ar-SA"/>
        </w:rPr>
        <w:t>(</w:t>
      </w:r>
      <w:r w:rsidRPr="00E46C7F">
        <w:rPr>
          <w:rFonts w:eastAsia="Traditional Arabic"/>
          <w:sz w:val="18"/>
          <w:szCs w:val="26"/>
          <w:rtl/>
          <w:lang w:val="ar-SA"/>
        </w:rPr>
        <w:footnoteRef/>
      </w:r>
      <w:r w:rsidRPr="00E46C7F">
        <w:rPr>
          <w:rFonts w:eastAsia="Traditional Arabic"/>
          <w:sz w:val="18"/>
          <w:szCs w:val="26"/>
          <w:rtl/>
          <w:lang w:val="ar-SA"/>
        </w:rPr>
        <w:t>)</w:t>
      </w:r>
      <w:r w:rsidRPr="00E46C7F">
        <w:rPr>
          <w:rFonts w:eastAsia="Traditional Arabic"/>
          <w:sz w:val="18"/>
          <w:szCs w:val="26"/>
          <w:rtl/>
          <w:lang w:val="ar-SA"/>
        </w:rPr>
        <w:tab/>
      </w:r>
      <w:r w:rsidRPr="00E46C7F">
        <w:rPr>
          <w:rFonts w:hint="cs"/>
          <w:sz w:val="18"/>
          <w:szCs w:val="26"/>
          <w:rtl/>
          <w:lang w:val="ar-SA"/>
        </w:rPr>
        <w:t xml:space="preserve">انظر، في جملة أمور، </w:t>
      </w:r>
      <w:proofErr w:type="spellStart"/>
      <w:r w:rsidRPr="00E46C7F">
        <w:rPr>
          <w:rFonts w:cs="Times New Roman"/>
          <w:i/>
          <w:iCs/>
          <w:sz w:val="18"/>
          <w:szCs w:val="18"/>
          <w:rtl/>
          <w:lang w:val="ar-SA"/>
        </w:rPr>
        <w:t>Otman</w:t>
      </w:r>
      <w:proofErr w:type="spellEnd"/>
      <w:r w:rsidRPr="00E46C7F">
        <w:rPr>
          <w:rFonts w:cs="Times New Roman"/>
          <w:i/>
          <w:iCs/>
          <w:sz w:val="18"/>
          <w:szCs w:val="18"/>
          <w:rtl/>
          <w:lang w:val="ar-SA"/>
        </w:rPr>
        <w:t xml:space="preserve"> v. </w:t>
      </w:r>
      <w:proofErr w:type="spellStart"/>
      <w:r w:rsidRPr="00E46C7F">
        <w:rPr>
          <w:rFonts w:cs="Times New Roman"/>
          <w:i/>
          <w:iCs/>
          <w:sz w:val="18"/>
          <w:szCs w:val="18"/>
          <w:rtl/>
          <w:lang w:val="ar-SA"/>
        </w:rPr>
        <w:t>Denmark</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para</w:t>
      </w:r>
      <w:proofErr w:type="spellEnd"/>
      <w:r w:rsidRPr="00E46C7F">
        <w:rPr>
          <w:rFonts w:cs="Times New Roman"/>
          <w:sz w:val="18"/>
          <w:szCs w:val="18"/>
          <w:rtl/>
          <w:lang w:val="ar-SA"/>
        </w:rPr>
        <w:t>. 6.5</w:t>
      </w:r>
      <w:r w:rsidRPr="00E46C7F">
        <w:rPr>
          <w:sz w:val="18"/>
          <w:szCs w:val="26"/>
          <w:rtl/>
          <w:lang w:val="ar-SA"/>
        </w:rPr>
        <w:t xml:space="preserve"> [</w:t>
      </w:r>
      <w:proofErr w:type="spellStart"/>
      <w:r w:rsidRPr="00E46C7F">
        <w:rPr>
          <w:i/>
          <w:iCs/>
          <w:sz w:val="18"/>
          <w:szCs w:val="26"/>
          <w:rtl/>
          <w:lang w:val="ar-SA"/>
        </w:rPr>
        <w:t>أوتمان</w:t>
      </w:r>
      <w:proofErr w:type="spellEnd"/>
      <w:r w:rsidRPr="00E46C7F">
        <w:rPr>
          <w:i/>
          <w:iCs/>
          <w:sz w:val="18"/>
          <w:szCs w:val="26"/>
          <w:rtl/>
          <w:lang w:val="ar-SA"/>
        </w:rPr>
        <w:t xml:space="preserve"> ضد الدانمرك</w:t>
      </w:r>
      <w:r w:rsidRPr="00E46C7F">
        <w:rPr>
          <w:sz w:val="18"/>
          <w:szCs w:val="26"/>
          <w:rtl/>
          <w:lang w:val="ar-SA"/>
        </w:rPr>
        <w:t xml:space="preserve">، الفقرة 6-5]. </w:t>
      </w:r>
    </w:p>
  </w:footnote>
  <w:footnote w:id="13">
    <w:p w:rsidR="000F05C8" w:rsidRPr="00E46C7F" w:rsidRDefault="000F05C8" w:rsidP="000F05C8">
      <w:pPr>
        <w:pStyle w:val="FootnoteText"/>
        <w:spacing w:after="60" w:line="300" w:lineRule="exact"/>
        <w:ind w:left="1247" w:right="1247" w:hanging="567"/>
        <w:rPr>
          <w:sz w:val="18"/>
          <w:szCs w:val="26"/>
          <w:rtl/>
        </w:rPr>
      </w:pPr>
      <w:r w:rsidRPr="00E46C7F">
        <w:rPr>
          <w:rFonts w:eastAsia="Traditional Arabic"/>
          <w:sz w:val="18"/>
          <w:szCs w:val="26"/>
          <w:rtl/>
          <w:lang w:val="ar-SA"/>
        </w:rPr>
        <w:t>(</w:t>
      </w:r>
      <w:r w:rsidRPr="00E46C7F">
        <w:rPr>
          <w:rFonts w:eastAsia="Traditional Arabic"/>
          <w:sz w:val="18"/>
          <w:szCs w:val="26"/>
          <w:rtl/>
          <w:lang w:val="ar-SA"/>
        </w:rPr>
        <w:footnoteRef/>
      </w:r>
      <w:r w:rsidRPr="00E46C7F">
        <w:rPr>
          <w:rFonts w:eastAsia="Traditional Arabic"/>
          <w:sz w:val="18"/>
          <w:szCs w:val="26"/>
          <w:rtl/>
          <w:lang w:val="ar-SA"/>
        </w:rPr>
        <w:t>)</w:t>
      </w:r>
      <w:r w:rsidRPr="00E46C7F">
        <w:rPr>
          <w:rFonts w:eastAsia="Traditional Arabic"/>
          <w:sz w:val="18"/>
          <w:szCs w:val="26"/>
          <w:rtl/>
          <w:lang w:val="ar-SA"/>
        </w:rPr>
        <w:tab/>
      </w:r>
      <w:r w:rsidRPr="00E46C7F">
        <w:rPr>
          <w:rFonts w:hint="cs"/>
          <w:sz w:val="18"/>
          <w:szCs w:val="26"/>
          <w:rtl/>
          <w:lang w:val="ar-SA"/>
        </w:rPr>
        <w:t xml:space="preserve">انظر </w:t>
      </w:r>
      <w:proofErr w:type="spellStart"/>
      <w:r w:rsidRPr="00E46C7F">
        <w:rPr>
          <w:rFonts w:cs="Times New Roman"/>
          <w:sz w:val="18"/>
          <w:szCs w:val="18"/>
          <w:rtl/>
          <w:lang w:val="ar-SA"/>
        </w:rPr>
        <w:t>communication</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No</w:t>
      </w:r>
      <w:proofErr w:type="spellEnd"/>
      <w:r w:rsidRPr="00E46C7F">
        <w:rPr>
          <w:rFonts w:cs="Times New Roman"/>
          <w:sz w:val="18"/>
          <w:szCs w:val="18"/>
          <w:rtl/>
          <w:lang w:val="ar-SA"/>
        </w:rPr>
        <w:t xml:space="preserve">. 339/2008, </w:t>
      </w:r>
      <w:proofErr w:type="spellStart"/>
      <w:r w:rsidRPr="00E46C7F">
        <w:rPr>
          <w:rFonts w:cs="Times New Roman"/>
          <w:i/>
          <w:iCs/>
          <w:sz w:val="18"/>
          <w:szCs w:val="18"/>
          <w:rtl/>
          <w:lang w:val="ar-SA"/>
        </w:rPr>
        <w:t>Amini</w:t>
      </w:r>
      <w:proofErr w:type="spellEnd"/>
      <w:r w:rsidRPr="00E46C7F">
        <w:rPr>
          <w:rFonts w:cs="Times New Roman"/>
          <w:i/>
          <w:iCs/>
          <w:sz w:val="18"/>
          <w:szCs w:val="18"/>
          <w:rtl/>
          <w:lang w:val="ar-SA"/>
        </w:rPr>
        <w:t xml:space="preserve"> v. </w:t>
      </w:r>
      <w:proofErr w:type="spellStart"/>
      <w:r w:rsidRPr="00E46C7F">
        <w:rPr>
          <w:rFonts w:cs="Times New Roman"/>
          <w:i/>
          <w:iCs/>
          <w:sz w:val="18"/>
          <w:szCs w:val="18"/>
          <w:rtl/>
          <w:lang w:val="ar-SA"/>
        </w:rPr>
        <w:t>Denmark</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decision</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adopted</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on</w:t>
      </w:r>
      <w:proofErr w:type="spellEnd"/>
      <w:r w:rsidRPr="00E46C7F">
        <w:rPr>
          <w:rFonts w:cs="Times New Roman"/>
          <w:sz w:val="18"/>
          <w:szCs w:val="18"/>
          <w:rtl/>
          <w:lang w:val="ar-SA"/>
        </w:rPr>
        <w:t xml:space="preserve"> 15 </w:t>
      </w:r>
      <w:proofErr w:type="spellStart"/>
      <w:r w:rsidRPr="00E46C7F">
        <w:rPr>
          <w:rFonts w:cs="Times New Roman"/>
          <w:sz w:val="18"/>
          <w:szCs w:val="18"/>
          <w:rtl/>
          <w:lang w:val="ar-SA"/>
        </w:rPr>
        <w:t>November</w:t>
      </w:r>
      <w:proofErr w:type="spellEnd"/>
      <w:r w:rsidRPr="00E46C7F">
        <w:rPr>
          <w:rFonts w:cs="Times New Roman"/>
          <w:sz w:val="18"/>
          <w:szCs w:val="18"/>
          <w:rtl/>
          <w:lang w:val="ar-SA"/>
        </w:rPr>
        <w:t xml:space="preserve"> 2010, </w:t>
      </w:r>
      <w:proofErr w:type="spellStart"/>
      <w:r w:rsidRPr="00E46C7F">
        <w:rPr>
          <w:rFonts w:cs="Times New Roman"/>
          <w:sz w:val="18"/>
          <w:szCs w:val="18"/>
          <w:rtl/>
          <w:lang w:val="ar-SA"/>
        </w:rPr>
        <w:t>paras</w:t>
      </w:r>
      <w:proofErr w:type="spellEnd"/>
      <w:r w:rsidRPr="00E46C7F">
        <w:rPr>
          <w:rFonts w:cs="Times New Roman"/>
          <w:sz w:val="18"/>
          <w:szCs w:val="18"/>
          <w:rtl/>
          <w:lang w:val="ar-SA"/>
        </w:rPr>
        <w:t xml:space="preserve">. 9.8 </w:t>
      </w:r>
      <w:proofErr w:type="spellStart"/>
      <w:r w:rsidRPr="00E46C7F">
        <w:rPr>
          <w:rFonts w:cs="Times New Roman"/>
          <w:sz w:val="18"/>
          <w:szCs w:val="18"/>
          <w:rtl/>
          <w:lang w:val="ar-SA"/>
        </w:rPr>
        <w:t>and</w:t>
      </w:r>
      <w:proofErr w:type="spellEnd"/>
      <w:r w:rsidRPr="00E46C7F">
        <w:rPr>
          <w:rFonts w:cs="Times New Roman"/>
          <w:sz w:val="18"/>
          <w:szCs w:val="18"/>
          <w:rtl/>
          <w:lang w:val="ar-SA"/>
        </w:rPr>
        <w:t xml:space="preserve"> 9.9</w:t>
      </w:r>
      <w:r w:rsidRPr="00E46C7F">
        <w:rPr>
          <w:sz w:val="18"/>
          <w:szCs w:val="26"/>
          <w:rtl/>
          <w:lang w:val="ar-SA"/>
        </w:rPr>
        <w:t xml:space="preserve"> [البلاغ رقم 339/2008، المقدم من </w:t>
      </w:r>
      <w:r w:rsidRPr="00E46C7F">
        <w:rPr>
          <w:i/>
          <w:iCs/>
          <w:sz w:val="18"/>
          <w:szCs w:val="26"/>
          <w:rtl/>
          <w:lang w:val="ar-SA"/>
        </w:rPr>
        <w:t>أميني ضد الدانمرك</w:t>
      </w:r>
      <w:r w:rsidRPr="00E46C7F">
        <w:rPr>
          <w:sz w:val="18"/>
          <w:szCs w:val="26"/>
          <w:rtl/>
          <w:lang w:val="ar-SA"/>
        </w:rPr>
        <w:t xml:space="preserve">، القرار المعتمد في 15 تشرين الثاني/نوفمبر 2010، الفقرتان 9-8 و9-9]. </w:t>
      </w:r>
    </w:p>
  </w:footnote>
  <w:footnote w:id="14">
    <w:p w:rsidR="000F05C8" w:rsidRPr="00725A44" w:rsidRDefault="000F05C8" w:rsidP="000F05C8">
      <w:pPr>
        <w:pStyle w:val="FootnoteText"/>
        <w:spacing w:after="60" w:line="300" w:lineRule="exact"/>
        <w:ind w:left="1247" w:right="1247" w:hanging="567"/>
        <w:rPr>
          <w:sz w:val="18"/>
          <w:szCs w:val="26"/>
          <w:rtl/>
          <w:lang w:val="ar-SA"/>
        </w:rPr>
      </w:pPr>
      <w:r w:rsidRPr="00725A44">
        <w:rPr>
          <w:sz w:val="18"/>
          <w:szCs w:val="26"/>
          <w:rtl/>
          <w:lang w:val="ar-SA"/>
        </w:rPr>
        <w:t>(</w:t>
      </w:r>
      <w:r w:rsidRPr="00725A44">
        <w:rPr>
          <w:sz w:val="18"/>
          <w:szCs w:val="26"/>
          <w:rtl/>
          <w:lang w:val="ar-SA"/>
        </w:rPr>
        <w:footnoteRef/>
      </w:r>
      <w:r w:rsidRPr="00725A44">
        <w:rPr>
          <w:sz w:val="18"/>
          <w:szCs w:val="26"/>
          <w:rtl/>
          <w:lang w:val="ar-SA"/>
        </w:rPr>
        <w:t>)</w:t>
      </w:r>
      <w:r w:rsidRPr="00725A44">
        <w:rPr>
          <w:sz w:val="18"/>
          <w:szCs w:val="26"/>
          <w:rtl/>
          <w:lang w:val="ar-SA"/>
        </w:rPr>
        <w:tab/>
      </w:r>
      <w:r w:rsidRPr="00E46C7F">
        <w:rPr>
          <w:sz w:val="18"/>
          <w:szCs w:val="26"/>
          <w:rtl/>
          <w:lang w:val="ar-SA"/>
        </w:rPr>
        <w:t>ملف الحالة رقم </w:t>
      </w:r>
      <w:r w:rsidRPr="00725A44">
        <w:rPr>
          <w:rFonts w:cs="Times New Roman"/>
          <w:sz w:val="18"/>
          <w:szCs w:val="18"/>
          <w:rtl/>
          <w:lang w:val="ar-SA"/>
        </w:rPr>
        <w:t>1-30-449.774</w:t>
      </w:r>
      <w:r w:rsidRPr="00E46C7F">
        <w:rPr>
          <w:sz w:val="18"/>
          <w:szCs w:val="26"/>
          <w:rtl/>
          <w:lang w:val="ar-SA"/>
        </w:rPr>
        <w:t xml:space="preserve">، ولم يقدم صاحب الشكوى نسخة منه. </w:t>
      </w:r>
    </w:p>
  </w:footnote>
  <w:footnote w:id="15">
    <w:p w:rsidR="000F05C8" w:rsidRPr="00E46C7F" w:rsidRDefault="000F05C8" w:rsidP="000F05C8">
      <w:pPr>
        <w:pStyle w:val="FootnoteText"/>
        <w:spacing w:after="60" w:line="300" w:lineRule="exact"/>
        <w:ind w:left="1247" w:right="1247" w:hanging="567"/>
        <w:rPr>
          <w:sz w:val="18"/>
          <w:szCs w:val="26"/>
          <w:rtl/>
        </w:rPr>
      </w:pPr>
      <w:r w:rsidRPr="00E46C7F">
        <w:rPr>
          <w:rFonts w:eastAsia="Traditional Arabic"/>
          <w:sz w:val="18"/>
          <w:szCs w:val="26"/>
          <w:rtl/>
          <w:lang w:val="ar-SA"/>
        </w:rPr>
        <w:t>(</w:t>
      </w:r>
      <w:r w:rsidRPr="00E46C7F">
        <w:rPr>
          <w:rFonts w:eastAsia="Traditional Arabic"/>
          <w:sz w:val="18"/>
          <w:szCs w:val="26"/>
          <w:rtl/>
          <w:lang w:val="ar-SA"/>
        </w:rPr>
        <w:footnoteRef/>
      </w:r>
      <w:r w:rsidRPr="00E46C7F">
        <w:rPr>
          <w:rFonts w:eastAsia="Traditional Arabic"/>
          <w:sz w:val="18"/>
          <w:szCs w:val="26"/>
          <w:rtl/>
          <w:lang w:val="ar-SA"/>
        </w:rPr>
        <w:t>)</w:t>
      </w:r>
      <w:r w:rsidRPr="00E46C7F">
        <w:rPr>
          <w:rFonts w:eastAsia="Traditional Arabic"/>
          <w:sz w:val="18"/>
          <w:szCs w:val="26"/>
          <w:rtl/>
          <w:lang w:val="ar-SA"/>
        </w:rPr>
        <w:tab/>
      </w:r>
      <w:r w:rsidRPr="00E46C7F">
        <w:rPr>
          <w:rFonts w:hint="cs"/>
          <w:sz w:val="18"/>
          <w:szCs w:val="26"/>
          <w:rtl/>
          <w:lang w:val="ar-SA"/>
        </w:rPr>
        <w:t xml:space="preserve">انظر </w:t>
      </w:r>
      <w:proofErr w:type="spellStart"/>
      <w:r w:rsidRPr="00E46C7F">
        <w:rPr>
          <w:rFonts w:cs="Times New Roman"/>
          <w:sz w:val="18"/>
          <w:szCs w:val="18"/>
          <w:rtl/>
          <w:lang w:val="ar-SA"/>
        </w:rPr>
        <w:t>communication</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No</w:t>
      </w:r>
      <w:proofErr w:type="spellEnd"/>
      <w:r w:rsidRPr="00E46C7F">
        <w:rPr>
          <w:rFonts w:cs="Times New Roman"/>
          <w:sz w:val="18"/>
          <w:szCs w:val="18"/>
          <w:rtl/>
          <w:lang w:val="ar-SA"/>
        </w:rPr>
        <w:t xml:space="preserve">. 63/1997, </w:t>
      </w:r>
      <w:proofErr w:type="spellStart"/>
      <w:r w:rsidRPr="00E46C7F">
        <w:rPr>
          <w:rFonts w:cs="Times New Roman"/>
          <w:i/>
          <w:iCs/>
          <w:sz w:val="18"/>
          <w:szCs w:val="18"/>
          <w:rtl/>
          <w:lang w:val="ar-SA"/>
        </w:rPr>
        <w:t>Arana</w:t>
      </w:r>
      <w:proofErr w:type="spellEnd"/>
      <w:r w:rsidRPr="00E46C7F">
        <w:rPr>
          <w:rFonts w:cs="Times New Roman"/>
          <w:i/>
          <w:iCs/>
          <w:sz w:val="18"/>
          <w:szCs w:val="18"/>
          <w:rtl/>
          <w:lang w:val="ar-SA"/>
        </w:rPr>
        <w:t xml:space="preserve"> v. </w:t>
      </w:r>
      <w:proofErr w:type="spellStart"/>
      <w:r w:rsidRPr="00E46C7F">
        <w:rPr>
          <w:rFonts w:cs="Times New Roman"/>
          <w:i/>
          <w:iCs/>
          <w:sz w:val="18"/>
          <w:szCs w:val="18"/>
          <w:rtl/>
          <w:lang w:val="ar-SA"/>
        </w:rPr>
        <w:t>France</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Views</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adopted</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on</w:t>
      </w:r>
      <w:proofErr w:type="spellEnd"/>
      <w:r w:rsidRPr="00E46C7F">
        <w:rPr>
          <w:rFonts w:cs="Times New Roman"/>
          <w:sz w:val="18"/>
          <w:szCs w:val="18"/>
          <w:rtl/>
          <w:lang w:val="ar-SA"/>
        </w:rPr>
        <w:t xml:space="preserve"> 9 </w:t>
      </w:r>
      <w:proofErr w:type="spellStart"/>
      <w:r w:rsidRPr="00E46C7F">
        <w:rPr>
          <w:rFonts w:cs="Times New Roman"/>
          <w:sz w:val="18"/>
          <w:szCs w:val="18"/>
          <w:rtl/>
          <w:lang w:val="ar-SA"/>
        </w:rPr>
        <w:t>November</w:t>
      </w:r>
      <w:proofErr w:type="spellEnd"/>
      <w:r w:rsidRPr="00E46C7F">
        <w:rPr>
          <w:rFonts w:cs="Times New Roman"/>
          <w:sz w:val="18"/>
          <w:szCs w:val="18"/>
          <w:rtl/>
          <w:lang w:val="ar-SA"/>
        </w:rPr>
        <w:t xml:space="preserve"> 1999</w:t>
      </w:r>
      <w:r w:rsidRPr="00E46C7F">
        <w:rPr>
          <w:sz w:val="18"/>
          <w:szCs w:val="26"/>
          <w:rtl/>
          <w:lang w:val="ar-SA"/>
        </w:rPr>
        <w:t xml:space="preserve"> [البلاغ رقم 63/1997، </w:t>
      </w:r>
      <w:r w:rsidRPr="00E46C7F">
        <w:rPr>
          <w:i/>
          <w:iCs/>
          <w:sz w:val="18"/>
          <w:szCs w:val="26"/>
          <w:rtl/>
          <w:lang w:val="ar-SA"/>
        </w:rPr>
        <w:t>أرانا ضد فرنسا</w:t>
      </w:r>
      <w:r w:rsidRPr="00E46C7F">
        <w:rPr>
          <w:sz w:val="18"/>
          <w:szCs w:val="26"/>
          <w:rtl/>
          <w:lang w:val="ar-SA"/>
        </w:rPr>
        <w:t xml:space="preserve">، الآراء المعتمدة في 9 تشرين الثاني/نوفمبر 1999]. </w:t>
      </w:r>
    </w:p>
  </w:footnote>
  <w:footnote w:id="16">
    <w:p w:rsidR="000F05C8" w:rsidRPr="00E46C7F" w:rsidRDefault="000F05C8" w:rsidP="000F05C8">
      <w:pPr>
        <w:pStyle w:val="FootnoteText"/>
        <w:spacing w:after="60" w:line="300" w:lineRule="exact"/>
        <w:ind w:left="1247" w:right="1247" w:hanging="567"/>
        <w:rPr>
          <w:sz w:val="18"/>
          <w:szCs w:val="26"/>
          <w:rtl/>
        </w:rPr>
      </w:pPr>
      <w:r w:rsidRPr="00E46C7F">
        <w:rPr>
          <w:rFonts w:eastAsia="Traditional Arabic"/>
          <w:sz w:val="18"/>
          <w:szCs w:val="26"/>
          <w:rtl/>
          <w:lang w:val="ar-SA"/>
        </w:rPr>
        <w:t>(</w:t>
      </w:r>
      <w:r w:rsidRPr="00E46C7F">
        <w:rPr>
          <w:rFonts w:eastAsia="Traditional Arabic"/>
          <w:sz w:val="18"/>
          <w:szCs w:val="26"/>
          <w:rtl/>
          <w:lang w:val="ar-SA"/>
        </w:rPr>
        <w:footnoteRef/>
      </w:r>
      <w:r w:rsidRPr="00E46C7F">
        <w:rPr>
          <w:rFonts w:eastAsia="Traditional Arabic"/>
          <w:sz w:val="18"/>
          <w:szCs w:val="26"/>
          <w:rtl/>
          <w:lang w:val="ar-SA"/>
        </w:rPr>
        <w:t>)</w:t>
      </w:r>
      <w:r w:rsidRPr="00E46C7F">
        <w:rPr>
          <w:rFonts w:eastAsia="Traditional Arabic"/>
          <w:sz w:val="18"/>
          <w:szCs w:val="26"/>
          <w:rtl/>
          <w:lang w:val="ar-SA"/>
        </w:rPr>
        <w:tab/>
      </w:r>
      <w:r w:rsidRPr="00E46C7F">
        <w:rPr>
          <w:sz w:val="18"/>
          <w:szCs w:val="26"/>
          <w:rtl/>
          <w:lang w:val="ar-SA"/>
        </w:rPr>
        <w:t xml:space="preserve">انظر </w:t>
      </w:r>
      <w:r w:rsidRPr="00E46C7F">
        <w:rPr>
          <w:sz w:val="18"/>
          <w:szCs w:val="26"/>
        </w:rPr>
        <w:t xml:space="preserve">communication No. </w:t>
      </w:r>
      <w:r w:rsidRPr="00E46C7F">
        <w:rPr>
          <w:bCs/>
          <w:snapToGrid w:val="0"/>
          <w:sz w:val="18"/>
          <w:szCs w:val="26"/>
        </w:rPr>
        <w:t xml:space="preserve">233/2003, </w:t>
      </w:r>
      <w:proofErr w:type="spellStart"/>
      <w:r w:rsidRPr="00E46C7F">
        <w:rPr>
          <w:i/>
          <w:snapToGrid w:val="0"/>
          <w:sz w:val="18"/>
          <w:szCs w:val="26"/>
        </w:rPr>
        <w:t>Agiza</w:t>
      </w:r>
      <w:proofErr w:type="spellEnd"/>
      <w:r w:rsidRPr="00E46C7F">
        <w:rPr>
          <w:i/>
          <w:snapToGrid w:val="0"/>
          <w:sz w:val="18"/>
          <w:szCs w:val="26"/>
        </w:rPr>
        <w:t xml:space="preserve"> v Sweden</w:t>
      </w:r>
      <w:r w:rsidRPr="00E46C7F">
        <w:rPr>
          <w:snapToGrid w:val="0"/>
          <w:sz w:val="18"/>
          <w:szCs w:val="26"/>
        </w:rPr>
        <w:t>, d</w:t>
      </w:r>
      <w:r w:rsidRPr="00E46C7F">
        <w:rPr>
          <w:sz w:val="18"/>
          <w:szCs w:val="26"/>
        </w:rPr>
        <w:t xml:space="preserve">ecision adopted on 20 May 2005, </w:t>
      </w:r>
      <w:r w:rsidRPr="00E46C7F">
        <w:rPr>
          <w:snapToGrid w:val="0"/>
          <w:sz w:val="18"/>
          <w:szCs w:val="26"/>
        </w:rPr>
        <w:t>para. 13.7</w:t>
      </w:r>
      <w:r w:rsidRPr="00E46C7F">
        <w:rPr>
          <w:rFonts w:hint="cs"/>
          <w:snapToGrid w:val="0"/>
          <w:sz w:val="18"/>
          <w:szCs w:val="26"/>
          <w:rtl/>
        </w:rPr>
        <w:t xml:space="preserve"> [</w:t>
      </w:r>
      <w:r w:rsidRPr="00E46C7F">
        <w:rPr>
          <w:sz w:val="18"/>
          <w:szCs w:val="26"/>
          <w:rtl/>
          <w:lang w:val="ar-SA"/>
        </w:rPr>
        <w:t xml:space="preserve">البلاغ رقم 233/2003، </w:t>
      </w:r>
      <w:proofErr w:type="spellStart"/>
      <w:r w:rsidRPr="00E46C7F">
        <w:rPr>
          <w:rFonts w:hint="cs"/>
          <w:i/>
          <w:iCs/>
          <w:sz w:val="18"/>
          <w:szCs w:val="26"/>
          <w:rtl/>
          <w:lang w:val="ar-SA"/>
        </w:rPr>
        <w:t>أ</w:t>
      </w:r>
      <w:r w:rsidRPr="00E46C7F">
        <w:rPr>
          <w:i/>
          <w:iCs/>
          <w:sz w:val="18"/>
          <w:szCs w:val="26"/>
          <w:rtl/>
          <w:lang w:val="ar-SA"/>
        </w:rPr>
        <w:t>جيزة</w:t>
      </w:r>
      <w:proofErr w:type="spellEnd"/>
      <w:r w:rsidRPr="00E46C7F">
        <w:rPr>
          <w:i/>
          <w:iCs/>
          <w:sz w:val="18"/>
          <w:szCs w:val="26"/>
          <w:rtl/>
          <w:lang w:val="ar-SA"/>
        </w:rPr>
        <w:t xml:space="preserve"> ضد السويد</w:t>
      </w:r>
      <w:r w:rsidRPr="00E46C7F">
        <w:rPr>
          <w:sz w:val="18"/>
          <w:szCs w:val="26"/>
          <w:rtl/>
          <w:lang w:val="ar-SA"/>
        </w:rPr>
        <w:t>، الحكم المؤرخ 20 أيار/مايو 2005، الفقرة 13-7</w:t>
      </w:r>
      <w:r w:rsidRPr="00E46C7F">
        <w:rPr>
          <w:rFonts w:hint="cs"/>
          <w:sz w:val="18"/>
          <w:szCs w:val="26"/>
          <w:rtl/>
          <w:lang w:val="ar-SA"/>
        </w:rPr>
        <w:t>]</w:t>
      </w:r>
      <w:r w:rsidRPr="00E46C7F">
        <w:rPr>
          <w:sz w:val="18"/>
          <w:szCs w:val="26"/>
          <w:rtl/>
          <w:lang w:val="ar-SA"/>
        </w:rPr>
        <w:t xml:space="preserve">. </w:t>
      </w:r>
    </w:p>
  </w:footnote>
  <w:footnote w:id="17">
    <w:p w:rsidR="000F05C8" w:rsidRPr="00E46C7F" w:rsidRDefault="000F05C8" w:rsidP="000F05C8">
      <w:pPr>
        <w:pStyle w:val="FootnoteText"/>
        <w:spacing w:after="60" w:line="300" w:lineRule="exact"/>
        <w:ind w:left="1247" w:right="1247" w:hanging="567"/>
        <w:rPr>
          <w:sz w:val="18"/>
          <w:szCs w:val="26"/>
          <w:rtl/>
        </w:rPr>
      </w:pPr>
      <w:r w:rsidRPr="00E46C7F">
        <w:rPr>
          <w:rFonts w:eastAsia="Traditional Arabic"/>
          <w:sz w:val="18"/>
          <w:szCs w:val="26"/>
          <w:rtl/>
          <w:lang w:val="ar-SA"/>
        </w:rPr>
        <w:t>(</w:t>
      </w:r>
      <w:r w:rsidRPr="00E46C7F">
        <w:rPr>
          <w:rFonts w:eastAsia="Traditional Arabic"/>
          <w:sz w:val="18"/>
          <w:szCs w:val="26"/>
          <w:rtl/>
          <w:lang w:val="ar-SA"/>
        </w:rPr>
        <w:footnoteRef/>
      </w:r>
      <w:r w:rsidRPr="00E46C7F">
        <w:rPr>
          <w:rFonts w:eastAsia="Traditional Arabic"/>
          <w:sz w:val="18"/>
          <w:szCs w:val="26"/>
          <w:rtl/>
          <w:lang w:val="ar-SA"/>
        </w:rPr>
        <w:t>)</w:t>
      </w:r>
      <w:r w:rsidRPr="00E46C7F">
        <w:rPr>
          <w:rFonts w:eastAsia="Traditional Arabic"/>
          <w:sz w:val="18"/>
          <w:szCs w:val="26"/>
          <w:rtl/>
          <w:lang w:val="ar-SA"/>
        </w:rPr>
        <w:tab/>
      </w:r>
      <w:r w:rsidRPr="000F05C8">
        <w:rPr>
          <w:rFonts w:hint="cs"/>
          <w:spacing w:val="-2"/>
          <w:sz w:val="18"/>
          <w:szCs w:val="26"/>
          <w:rtl/>
          <w:lang w:val="ar-SA"/>
        </w:rPr>
        <w:t xml:space="preserve">انظر </w:t>
      </w:r>
      <w:proofErr w:type="spellStart"/>
      <w:r w:rsidRPr="000F05C8">
        <w:rPr>
          <w:rFonts w:cs="Times New Roman"/>
          <w:spacing w:val="-2"/>
          <w:sz w:val="18"/>
          <w:szCs w:val="18"/>
          <w:rtl/>
          <w:lang w:val="ar-SA"/>
        </w:rPr>
        <w:t>communication</w:t>
      </w:r>
      <w:proofErr w:type="spellEnd"/>
      <w:r w:rsidRPr="000F05C8">
        <w:rPr>
          <w:rFonts w:cs="Times New Roman"/>
          <w:spacing w:val="-2"/>
          <w:sz w:val="18"/>
          <w:szCs w:val="18"/>
          <w:rtl/>
          <w:lang w:val="ar-SA"/>
        </w:rPr>
        <w:t xml:space="preserve"> </w:t>
      </w:r>
      <w:proofErr w:type="spellStart"/>
      <w:r w:rsidRPr="000F05C8">
        <w:rPr>
          <w:rFonts w:cs="Times New Roman"/>
          <w:spacing w:val="-2"/>
          <w:sz w:val="18"/>
          <w:szCs w:val="18"/>
          <w:rtl/>
          <w:lang w:val="ar-SA"/>
        </w:rPr>
        <w:t>No</w:t>
      </w:r>
      <w:proofErr w:type="spellEnd"/>
      <w:r w:rsidRPr="000F05C8">
        <w:rPr>
          <w:rFonts w:cs="Times New Roman"/>
          <w:spacing w:val="-2"/>
          <w:sz w:val="18"/>
          <w:szCs w:val="18"/>
          <w:rtl/>
          <w:lang w:val="ar-SA"/>
        </w:rPr>
        <w:t xml:space="preserve">. 416/2010, </w:t>
      </w:r>
      <w:proofErr w:type="spellStart"/>
      <w:r w:rsidRPr="000F05C8">
        <w:rPr>
          <w:rFonts w:cs="Times New Roman"/>
          <w:i/>
          <w:iCs/>
          <w:spacing w:val="-2"/>
          <w:sz w:val="18"/>
          <w:szCs w:val="18"/>
          <w:rtl/>
          <w:lang w:val="ar-SA"/>
        </w:rPr>
        <w:t>Chun</w:t>
      </w:r>
      <w:proofErr w:type="spellEnd"/>
      <w:r w:rsidRPr="000F05C8">
        <w:rPr>
          <w:rFonts w:cs="Times New Roman"/>
          <w:i/>
          <w:iCs/>
          <w:spacing w:val="-2"/>
          <w:sz w:val="18"/>
          <w:szCs w:val="18"/>
          <w:rtl/>
          <w:lang w:val="ar-SA"/>
        </w:rPr>
        <w:t xml:space="preserve"> </w:t>
      </w:r>
      <w:proofErr w:type="spellStart"/>
      <w:r w:rsidRPr="000F05C8">
        <w:rPr>
          <w:rFonts w:cs="Times New Roman"/>
          <w:i/>
          <w:iCs/>
          <w:spacing w:val="-2"/>
          <w:sz w:val="18"/>
          <w:szCs w:val="18"/>
          <w:rtl/>
          <w:lang w:val="ar-SA"/>
        </w:rPr>
        <w:t>Rong</w:t>
      </w:r>
      <w:proofErr w:type="spellEnd"/>
      <w:r w:rsidRPr="000F05C8">
        <w:rPr>
          <w:rFonts w:cs="Times New Roman"/>
          <w:i/>
          <w:iCs/>
          <w:spacing w:val="-2"/>
          <w:sz w:val="18"/>
          <w:szCs w:val="18"/>
          <w:rtl/>
          <w:lang w:val="ar-SA"/>
        </w:rPr>
        <w:t xml:space="preserve"> v. </w:t>
      </w:r>
      <w:proofErr w:type="spellStart"/>
      <w:r w:rsidRPr="000F05C8">
        <w:rPr>
          <w:rFonts w:cs="Times New Roman"/>
          <w:i/>
          <w:iCs/>
          <w:spacing w:val="-2"/>
          <w:sz w:val="18"/>
          <w:szCs w:val="18"/>
          <w:rtl/>
          <w:lang w:val="ar-SA"/>
        </w:rPr>
        <w:t>Australia</w:t>
      </w:r>
      <w:proofErr w:type="spellEnd"/>
      <w:r w:rsidRPr="000F05C8">
        <w:rPr>
          <w:rFonts w:cs="Times New Roman"/>
          <w:spacing w:val="-2"/>
          <w:sz w:val="18"/>
          <w:szCs w:val="18"/>
          <w:rtl/>
          <w:lang w:val="ar-SA"/>
        </w:rPr>
        <w:t xml:space="preserve">, </w:t>
      </w:r>
      <w:proofErr w:type="spellStart"/>
      <w:r w:rsidRPr="000F05C8">
        <w:rPr>
          <w:rFonts w:cs="Times New Roman"/>
          <w:spacing w:val="-2"/>
          <w:sz w:val="18"/>
          <w:szCs w:val="18"/>
          <w:rtl/>
          <w:lang w:val="ar-SA"/>
        </w:rPr>
        <w:t>decision</w:t>
      </w:r>
      <w:proofErr w:type="spellEnd"/>
      <w:r w:rsidRPr="000F05C8">
        <w:rPr>
          <w:rFonts w:cs="Times New Roman"/>
          <w:spacing w:val="-2"/>
          <w:sz w:val="18"/>
          <w:szCs w:val="18"/>
          <w:rtl/>
          <w:lang w:val="ar-SA"/>
        </w:rPr>
        <w:t xml:space="preserve"> </w:t>
      </w:r>
      <w:proofErr w:type="spellStart"/>
      <w:r w:rsidRPr="000F05C8">
        <w:rPr>
          <w:rFonts w:cs="Times New Roman"/>
          <w:spacing w:val="-2"/>
          <w:sz w:val="18"/>
          <w:szCs w:val="18"/>
          <w:rtl/>
          <w:lang w:val="ar-SA"/>
        </w:rPr>
        <w:t>adopted</w:t>
      </w:r>
      <w:proofErr w:type="spellEnd"/>
      <w:r w:rsidRPr="000F05C8">
        <w:rPr>
          <w:rFonts w:cs="Times New Roman"/>
          <w:spacing w:val="-2"/>
          <w:sz w:val="18"/>
          <w:szCs w:val="18"/>
          <w:rtl/>
          <w:lang w:val="ar-SA"/>
        </w:rPr>
        <w:t xml:space="preserve"> </w:t>
      </w:r>
      <w:proofErr w:type="spellStart"/>
      <w:r w:rsidRPr="000F05C8">
        <w:rPr>
          <w:rFonts w:cs="Times New Roman"/>
          <w:spacing w:val="-2"/>
          <w:sz w:val="18"/>
          <w:szCs w:val="18"/>
          <w:rtl/>
          <w:lang w:val="ar-SA"/>
        </w:rPr>
        <w:t>on</w:t>
      </w:r>
      <w:proofErr w:type="spellEnd"/>
      <w:r w:rsidRPr="000F05C8">
        <w:rPr>
          <w:rFonts w:cs="Times New Roman"/>
          <w:spacing w:val="-2"/>
          <w:sz w:val="18"/>
          <w:szCs w:val="18"/>
          <w:rtl/>
          <w:lang w:val="ar-SA"/>
        </w:rPr>
        <w:t xml:space="preserve"> 5 </w:t>
      </w:r>
      <w:proofErr w:type="spellStart"/>
      <w:r w:rsidRPr="000F05C8">
        <w:rPr>
          <w:rFonts w:cs="Times New Roman"/>
          <w:spacing w:val="-2"/>
          <w:sz w:val="18"/>
          <w:szCs w:val="18"/>
          <w:rtl/>
          <w:lang w:val="ar-SA"/>
        </w:rPr>
        <w:t>November</w:t>
      </w:r>
      <w:proofErr w:type="spellEnd"/>
      <w:r w:rsidRPr="000F05C8">
        <w:rPr>
          <w:rFonts w:cs="Times New Roman"/>
          <w:spacing w:val="-2"/>
          <w:sz w:val="18"/>
          <w:szCs w:val="18"/>
          <w:rtl/>
          <w:lang w:val="ar-SA"/>
        </w:rPr>
        <w:t xml:space="preserve"> 2012</w:t>
      </w:r>
      <w:r w:rsidRPr="000F05C8">
        <w:rPr>
          <w:spacing w:val="-2"/>
          <w:sz w:val="18"/>
          <w:szCs w:val="26"/>
          <w:rtl/>
          <w:lang w:val="ar-SA"/>
        </w:rPr>
        <w:t xml:space="preserve"> [البلاغ رقم 2010/416، </w:t>
      </w:r>
      <w:r w:rsidRPr="000F05C8">
        <w:rPr>
          <w:i/>
          <w:iCs/>
          <w:spacing w:val="-2"/>
          <w:sz w:val="18"/>
          <w:szCs w:val="26"/>
          <w:rtl/>
          <w:lang w:val="ar-SA"/>
        </w:rPr>
        <w:t xml:space="preserve">تشون </w:t>
      </w:r>
      <w:proofErr w:type="spellStart"/>
      <w:r w:rsidRPr="000F05C8">
        <w:rPr>
          <w:i/>
          <w:iCs/>
          <w:spacing w:val="-2"/>
          <w:sz w:val="18"/>
          <w:szCs w:val="26"/>
          <w:rtl/>
          <w:lang w:val="ar-SA"/>
        </w:rPr>
        <w:t>رونغ</w:t>
      </w:r>
      <w:proofErr w:type="spellEnd"/>
      <w:r w:rsidRPr="000F05C8">
        <w:rPr>
          <w:i/>
          <w:iCs/>
          <w:spacing w:val="-2"/>
          <w:sz w:val="18"/>
          <w:szCs w:val="26"/>
          <w:rtl/>
          <w:lang w:val="ar-SA"/>
        </w:rPr>
        <w:t xml:space="preserve"> ضد أستراليا</w:t>
      </w:r>
      <w:r w:rsidRPr="000F05C8">
        <w:rPr>
          <w:spacing w:val="-2"/>
          <w:sz w:val="18"/>
          <w:szCs w:val="26"/>
          <w:rtl/>
          <w:lang w:val="ar-SA"/>
        </w:rPr>
        <w:t>، القرار المعتمد في 5 تشرين الثاني/نوفمبر</w:t>
      </w:r>
      <w:r w:rsidRPr="000F05C8">
        <w:rPr>
          <w:rFonts w:hint="cs"/>
          <w:spacing w:val="-2"/>
          <w:sz w:val="18"/>
          <w:szCs w:val="26"/>
          <w:rtl/>
          <w:lang w:val="ar-SA"/>
        </w:rPr>
        <w:t xml:space="preserve"> </w:t>
      </w:r>
      <w:r w:rsidRPr="000F05C8">
        <w:rPr>
          <w:spacing w:val="-2"/>
          <w:sz w:val="18"/>
          <w:szCs w:val="26"/>
          <w:rtl/>
          <w:lang w:val="ar-SA"/>
        </w:rPr>
        <w:t>2012].</w:t>
      </w:r>
    </w:p>
  </w:footnote>
  <w:footnote w:id="18">
    <w:p w:rsidR="000F05C8" w:rsidRPr="00E46C7F" w:rsidRDefault="000F05C8" w:rsidP="00D23026">
      <w:pPr>
        <w:pStyle w:val="FootnoteText"/>
        <w:spacing w:after="60" w:line="300" w:lineRule="exact"/>
        <w:ind w:left="1247" w:right="1247" w:hanging="567"/>
        <w:rPr>
          <w:sz w:val="18"/>
          <w:szCs w:val="26"/>
          <w:rtl/>
        </w:rPr>
      </w:pPr>
      <w:r w:rsidRPr="00E46C7F">
        <w:rPr>
          <w:rFonts w:eastAsia="Traditional Arabic"/>
          <w:sz w:val="18"/>
          <w:szCs w:val="26"/>
          <w:rtl/>
          <w:lang w:val="ar-SA"/>
        </w:rPr>
        <w:t>(</w:t>
      </w:r>
      <w:r w:rsidRPr="00E46C7F">
        <w:rPr>
          <w:rFonts w:eastAsia="Traditional Arabic"/>
          <w:sz w:val="18"/>
          <w:szCs w:val="26"/>
          <w:rtl/>
          <w:lang w:val="ar-SA"/>
        </w:rPr>
        <w:footnoteRef/>
      </w:r>
      <w:r w:rsidRPr="00E46C7F">
        <w:rPr>
          <w:rFonts w:eastAsia="Traditional Arabic"/>
          <w:sz w:val="18"/>
          <w:szCs w:val="26"/>
          <w:rtl/>
          <w:lang w:val="ar-SA"/>
        </w:rPr>
        <w:t>)</w:t>
      </w:r>
      <w:r w:rsidRPr="00E46C7F">
        <w:rPr>
          <w:rFonts w:eastAsia="Traditional Arabic"/>
          <w:sz w:val="18"/>
          <w:szCs w:val="26"/>
          <w:rtl/>
          <w:lang w:val="ar-SA"/>
        </w:rPr>
        <w:tab/>
      </w:r>
      <w:r w:rsidRPr="00E46C7F">
        <w:rPr>
          <w:rFonts w:hint="cs"/>
          <w:sz w:val="18"/>
          <w:szCs w:val="26"/>
          <w:rtl/>
          <w:lang w:val="ar-SA"/>
        </w:rPr>
        <w:t xml:space="preserve">انظر </w:t>
      </w:r>
      <w:proofErr w:type="spellStart"/>
      <w:r w:rsidRPr="00E46C7F">
        <w:rPr>
          <w:rFonts w:cs="Times New Roman"/>
          <w:sz w:val="18"/>
          <w:szCs w:val="18"/>
          <w:rtl/>
          <w:lang w:val="ar-SA"/>
        </w:rPr>
        <w:t>European</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Court</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of</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Human</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Rights</w:t>
      </w:r>
      <w:proofErr w:type="spellEnd"/>
      <w:r w:rsidRPr="00E46C7F">
        <w:rPr>
          <w:rFonts w:cs="Times New Roman"/>
          <w:sz w:val="18"/>
          <w:szCs w:val="18"/>
          <w:rtl/>
          <w:lang w:val="ar-SA"/>
        </w:rPr>
        <w:t xml:space="preserve">, </w:t>
      </w:r>
      <w:r w:rsidRPr="00E46C7F">
        <w:rPr>
          <w:rFonts w:cs="Times New Roman"/>
          <w:i/>
          <w:iCs/>
          <w:sz w:val="18"/>
          <w:szCs w:val="18"/>
          <w:rtl/>
          <w:lang w:val="ar-SA"/>
        </w:rPr>
        <w:t xml:space="preserve">A.A. v. </w:t>
      </w:r>
      <w:proofErr w:type="spellStart"/>
      <w:r w:rsidRPr="00E46C7F">
        <w:rPr>
          <w:rFonts w:cs="Times New Roman"/>
          <w:i/>
          <w:iCs/>
          <w:sz w:val="18"/>
          <w:szCs w:val="18"/>
          <w:rtl/>
          <w:lang w:val="ar-SA"/>
        </w:rPr>
        <w:t>France</w:t>
      </w:r>
      <w:proofErr w:type="spellEnd"/>
      <w:r w:rsidRPr="00E46C7F">
        <w:rPr>
          <w:rFonts w:cs="Times New Roman"/>
          <w:sz w:val="18"/>
          <w:szCs w:val="18"/>
          <w:rtl/>
          <w:lang w:val="ar-SA"/>
        </w:rPr>
        <w:t xml:space="preserve">, </w:t>
      </w:r>
      <w:r w:rsidR="00D23026">
        <w:rPr>
          <w:rFonts w:cs="Times New Roman" w:hint="cs"/>
          <w:sz w:val="18"/>
          <w:szCs w:val="18"/>
          <w:rtl/>
          <w:lang w:val="ar-SA"/>
        </w:rPr>
        <w:t>)</w:t>
      </w:r>
      <w:proofErr w:type="spellStart"/>
      <w:r w:rsidRPr="00E46C7F">
        <w:rPr>
          <w:rFonts w:cs="Times New Roman"/>
          <w:sz w:val="18"/>
          <w:szCs w:val="18"/>
          <w:rtl/>
          <w:lang w:val="ar-SA"/>
        </w:rPr>
        <w:t>application</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No</w:t>
      </w:r>
      <w:proofErr w:type="spellEnd"/>
      <w:r w:rsidRPr="00E46C7F">
        <w:rPr>
          <w:rFonts w:cs="Times New Roman"/>
          <w:sz w:val="18"/>
          <w:szCs w:val="18"/>
          <w:rtl/>
          <w:lang w:val="ar-SA"/>
        </w:rPr>
        <w:t>. 18039/11</w:t>
      </w:r>
      <w:r w:rsidR="00D23026">
        <w:rPr>
          <w:rFonts w:cs="Times New Roman" w:hint="cs"/>
          <w:sz w:val="18"/>
          <w:szCs w:val="18"/>
          <w:rtl/>
          <w:lang w:val="ar-SA"/>
        </w:rPr>
        <w:t>(</w:t>
      </w:r>
      <w:r w:rsidRPr="00E46C7F">
        <w:rPr>
          <w:rFonts w:cs="Times New Roman"/>
          <w:sz w:val="18"/>
          <w:szCs w:val="18"/>
          <w:rtl/>
          <w:lang w:val="ar-SA"/>
        </w:rPr>
        <w:t xml:space="preserve">, </w:t>
      </w:r>
      <w:proofErr w:type="spellStart"/>
      <w:r w:rsidRPr="00E46C7F">
        <w:rPr>
          <w:rFonts w:cs="Times New Roman"/>
          <w:sz w:val="18"/>
          <w:szCs w:val="18"/>
          <w:rtl/>
          <w:lang w:val="ar-SA"/>
        </w:rPr>
        <w:t>judgment</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of</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April</w:t>
      </w:r>
      <w:proofErr w:type="spellEnd"/>
      <w:r w:rsidRPr="00E46C7F">
        <w:rPr>
          <w:rFonts w:cs="Times New Roman"/>
          <w:sz w:val="18"/>
          <w:szCs w:val="18"/>
          <w:rtl/>
          <w:lang w:val="ar-SA"/>
        </w:rPr>
        <w:t xml:space="preserve"> 2015</w:t>
      </w:r>
      <w:r w:rsidR="00117CCC">
        <w:rPr>
          <w:sz w:val="18"/>
          <w:szCs w:val="26"/>
        </w:rPr>
        <w:t xml:space="preserve">15 </w:t>
      </w:r>
      <w:r w:rsidRPr="00E46C7F">
        <w:rPr>
          <w:sz w:val="18"/>
          <w:szCs w:val="26"/>
          <w:rtl/>
          <w:lang w:val="ar-SA"/>
        </w:rPr>
        <w:t xml:space="preserve"> [المحكمة الأوروبية لحقوق الإنسان، </w:t>
      </w:r>
      <w:r w:rsidRPr="00E46C7F">
        <w:rPr>
          <w:i/>
          <w:iCs/>
          <w:sz w:val="18"/>
          <w:szCs w:val="26"/>
          <w:rtl/>
          <w:lang w:val="ar-SA"/>
        </w:rPr>
        <w:t>قضية أ.</w:t>
      </w:r>
      <w:r w:rsidRPr="00E46C7F">
        <w:rPr>
          <w:rFonts w:hint="cs"/>
          <w:i/>
          <w:iCs/>
          <w:sz w:val="18"/>
          <w:szCs w:val="26"/>
          <w:rtl/>
          <w:lang w:val="ar-SA"/>
        </w:rPr>
        <w:t xml:space="preserve"> </w:t>
      </w:r>
      <w:r w:rsidRPr="00E46C7F">
        <w:rPr>
          <w:i/>
          <w:iCs/>
          <w:sz w:val="18"/>
          <w:szCs w:val="26"/>
          <w:rtl/>
          <w:lang w:val="ar-SA"/>
        </w:rPr>
        <w:t>أ</w:t>
      </w:r>
      <w:r w:rsidRPr="00E46C7F">
        <w:rPr>
          <w:rFonts w:hint="cs"/>
          <w:i/>
          <w:iCs/>
          <w:sz w:val="18"/>
          <w:szCs w:val="26"/>
          <w:rtl/>
          <w:lang w:val="ar-SA"/>
        </w:rPr>
        <w:t>.</w:t>
      </w:r>
      <w:r w:rsidRPr="00E46C7F">
        <w:rPr>
          <w:i/>
          <w:iCs/>
          <w:sz w:val="18"/>
          <w:szCs w:val="26"/>
          <w:rtl/>
          <w:lang w:val="ar-SA"/>
        </w:rPr>
        <w:t xml:space="preserve"> ضد فرنسا</w:t>
      </w:r>
      <w:r w:rsidRPr="00E46C7F">
        <w:rPr>
          <w:sz w:val="18"/>
          <w:szCs w:val="26"/>
          <w:rtl/>
          <w:lang w:val="ar-SA"/>
        </w:rPr>
        <w:t xml:space="preserve">، </w:t>
      </w:r>
      <w:r w:rsidRPr="00E46C7F">
        <w:rPr>
          <w:rFonts w:hint="cs"/>
          <w:sz w:val="18"/>
          <w:szCs w:val="26"/>
          <w:rtl/>
          <w:lang w:val="ar-SA"/>
        </w:rPr>
        <w:t>(</w:t>
      </w:r>
      <w:r w:rsidRPr="00E46C7F">
        <w:rPr>
          <w:sz w:val="18"/>
          <w:szCs w:val="26"/>
          <w:rtl/>
          <w:lang w:val="ar-SA"/>
        </w:rPr>
        <w:t>الطلب رقم 18039</w:t>
      </w:r>
      <w:r w:rsidRPr="00E46C7F">
        <w:rPr>
          <w:rFonts w:hint="cs"/>
          <w:sz w:val="18"/>
          <w:szCs w:val="26"/>
          <w:rtl/>
          <w:lang w:val="ar-SA"/>
        </w:rPr>
        <w:t>/</w:t>
      </w:r>
      <w:r w:rsidRPr="00E46C7F">
        <w:rPr>
          <w:sz w:val="18"/>
          <w:szCs w:val="26"/>
          <w:rtl/>
          <w:lang w:val="ar-SA"/>
        </w:rPr>
        <w:t>11</w:t>
      </w:r>
      <w:r w:rsidRPr="00E46C7F">
        <w:rPr>
          <w:rFonts w:hint="cs"/>
          <w:sz w:val="18"/>
          <w:szCs w:val="26"/>
          <w:rtl/>
          <w:lang w:val="ar-SA"/>
        </w:rPr>
        <w:t>)</w:t>
      </w:r>
      <w:r w:rsidRPr="00E46C7F">
        <w:rPr>
          <w:sz w:val="18"/>
          <w:szCs w:val="26"/>
          <w:rtl/>
          <w:lang w:val="ar-SA"/>
        </w:rPr>
        <w:t>، الحكم المؤرخ 15 نيسان/أبريل 2015]؛</w:t>
      </w:r>
      <w:r w:rsidRPr="00E46C7F">
        <w:rPr>
          <w:rFonts w:hint="cs"/>
          <w:sz w:val="18"/>
          <w:szCs w:val="26"/>
          <w:rtl/>
          <w:lang w:val="ar-SA"/>
        </w:rPr>
        <w:t xml:space="preserve"> </w:t>
      </w:r>
      <w:r w:rsidRPr="00E46C7F">
        <w:rPr>
          <w:rFonts w:cs="Times New Roman"/>
          <w:i/>
          <w:iCs/>
          <w:sz w:val="18"/>
          <w:szCs w:val="18"/>
          <w:rtl/>
          <w:lang w:val="ar-SA"/>
        </w:rPr>
        <w:t xml:space="preserve">A.F. v. </w:t>
      </w:r>
      <w:proofErr w:type="spellStart"/>
      <w:r w:rsidRPr="00E46C7F">
        <w:rPr>
          <w:rFonts w:cs="Times New Roman"/>
          <w:i/>
          <w:iCs/>
          <w:sz w:val="18"/>
          <w:szCs w:val="18"/>
          <w:rtl/>
          <w:lang w:val="ar-SA"/>
        </w:rPr>
        <w:t>France</w:t>
      </w:r>
      <w:proofErr w:type="spellEnd"/>
      <w:r w:rsidRPr="00E46C7F">
        <w:rPr>
          <w:sz w:val="18"/>
          <w:szCs w:val="26"/>
          <w:rtl/>
          <w:lang w:val="ar-SA"/>
        </w:rPr>
        <w:t xml:space="preserve"> </w:t>
      </w:r>
      <w:r w:rsidRPr="00E46C7F">
        <w:rPr>
          <w:rFonts w:cs="Times New Roman"/>
          <w:sz w:val="18"/>
          <w:szCs w:val="18"/>
          <w:rtl/>
          <w:lang w:val="ar-SA"/>
        </w:rPr>
        <w:t>(</w:t>
      </w:r>
      <w:proofErr w:type="spellStart"/>
      <w:r w:rsidRPr="00E46C7F">
        <w:rPr>
          <w:rFonts w:cs="Times New Roman"/>
          <w:sz w:val="18"/>
          <w:szCs w:val="18"/>
          <w:rtl/>
          <w:lang w:val="ar-SA"/>
        </w:rPr>
        <w:t>application</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No</w:t>
      </w:r>
      <w:proofErr w:type="spellEnd"/>
      <w:r w:rsidRPr="00E46C7F">
        <w:rPr>
          <w:rFonts w:cs="Times New Roman"/>
          <w:sz w:val="18"/>
          <w:szCs w:val="18"/>
          <w:rtl/>
          <w:lang w:val="ar-SA"/>
        </w:rPr>
        <w:t xml:space="preserve">. 80086/13), </w:t>
      </w:r>
      <w:proofErr w:type="spellStart"/>
      <w:r w:rsidRPr="00E46C7F">
        <w:rPr>
          <w:rFonts w:cs="Times New Roman"/>
          <w:sz w:val="18"/>
          <w:szCs w:val="18"/>
          <w:rtl/>
          <w:lang w:val="ar-SA"/>
        </w:rPr>
        <w:t>judgment</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of</w:t>
      </w:r>
      <w:proofErr w:type="spellEnd"/>
      <w:r w:rsidRPr="00E46C7F">
        <w:rPr>
          <w:rFonts w:cs="Times New Roman"/>
          <w:sz w:val="18"/>
          <w:szCs w:val="18"/>
          <w:rtl/>
          <w:lang w:val="ar-SA"/>
        </w:rPr>
        <w:t xml:space="preserve"> 15 </w:t>
      </w:r>
      <w:proofErr w:type="spellStart"/>
      <w:r w:rsidRPr="00E46C7F">
        <w:rPr>
          <w:rFonts w:cs="Times New Roman"/>
          <w:sz w:val="18"/>
          <w:szCs w:val="18"/>
          <w:rtl/>
          <w:lang w:val="ar-SA"/>
        </w:rPr>
        <w:t>April</w:t>
      </w:r>
      <w:proofErr w:type="spellEnd"/>
      <w:r w:rsidRPr="00E46C7F">
        <w:rPr>
          <w:rFonts w:cs="Times New Roman"/>
          <w:sz w:val="18"/>
          <w:szCs w:val="18"/>
          <w:rtl/>
          <w:lang w:val="ar-SA"/>
        </w:rPr>
        <w:t xml:space="preserve"> 2015</w:t>
      </w:r>
      <w:r w:rsidRPr="00E46C7F">
        <w:rPr>
          <w:sz w:val="18"/>
          <w:szCs w:val="26"/>
          <w:rtl/>
          <w:lang w:val="ar-SA"/>
        </w:rPr>
        <w:t xml:space="preserve"> [</w:t>
      </w:r>
      <w:r w:rsidR="00117CCC" w:rsidRPr="00117CCC">
        <w:rPr>
          <w:rFonts w:hint="cs"/>
          <w:sz w:val="16"/>
          <w:szCs w:val="16"/>
          <w:rtl/>
          <w:lang w:val="ar-SA"/>
        </w:rPr>
        <w:t xml:space="preserve"> </w:t>
      </w:r>
      <w:r w:rsidRPr="00E46C7F">
        <w:rPr>
          <w:i/>
          <w:iCs/>
          <w:sz w:val="18"/>
          <w:szCs w:val="26"/>
          <w:rtl/>
          <w:lang w:val="ar-SA"/>
        </w:rPr>
        <w:t>أ.</w:t>
      </w:r>
      <w:r w:rsidRPr="00E46C7F">
        <w:rPr>
          <w:rFonts w:hint="cs"/>
          <w:i/>
          <w:iCs/>
          <w:sz w:val="18"/>
          <w:szCs w:val="26"/>
          <w:rtl/>
          <w:lang w:val="ar-SA"/>
        </w:rPr>
        <w:t xml:space="preserve"> </w:t>
      </w:r>
      <w:r w:rsidRPr="00E46C7F">
        <w:rPr>
          <w:i/>
          <w:iCs/>
          <w:sz w:val="18"/>
          <w:szCs w:val="26"/>
          <w:rtl/>
          <w:lang w:val="ar-SA"/>
        </w:rPr>
        <w:t>ف. ضد فر</w:t>
      </w:r>
      <w:r w:rsidRPr="00E46C7F">
        <w:rPr>
          <w:rFonts w:hint="cs"/>
          <w:i/>
          <w:iCs/>
          <w:sz w:val="18"/>
          <w:szCs w:val="26"/>
          <w:rtl/>
          <w:lang w:val="ar-SA"/>
        </w:rPr>
        <w:t>ن</w:t>
      </w:r>
      <w:r w:rsidRPr="00E46C7F">
        <w:rPr>
          <w:i/>
          <w:iCs/>
          <w:sz w:val="18"/>
          <w:szCs w:val="26"/>
          <w:rtl/>
          <w:lang w:val="ar-SA"/>
        </w:rPr>
        <w:t>سا</w:t>
      </w:r>
      <w:r w:rsidRPr="00E46C7F">
        <w:rPr>
          <w:sz w:val="18"/>
          <w:szCs w:val="26"/>
          <w:rtl/>
          <w:lang w:val="ar-SA"/>
        </w:rPr>
        <w:t xml:space="preserve"> (الطلب رقم 80086</w:t>
      </w:r>
      <w:r w:rsidRPr="00E46C7F">
        <w:rPr>
          <w:rFonts w:hint="cs"/>
          <w:sz w:val="18"/>
          <w:szCs w:val="26"/>
          <w:rtl/>
          <w:lang w:val="ar-SA"/>
        </w:rPr>
        <w:t>/</w:t>
      </w:r>
      <w:r w:rsidRPr="00E46C7F">
        <w:rPr>
          <w:sz w:val="18"/>
          <w:szCs w:val="26"/>
          <w:rtl/>
          <w:lang w:val="ar-SA"/>
        </w:rPr>
        <w:t>13، الحكم المؤرخ 15 نيسان/أبريل 2015].</w:t>
      </w:r>
    </w:p>
  </w:footnote>
  <w:footnote w:id="19">
    <w:p w:rsidR="000F05C8" w:rsidRPr="00E46C7F" w:rsidRDefault="000F05C8" w:rsidP="000F05C8">
      <w:pPr>
        <w:pStyle w:val="FootnoteText"/>
        <w:spacing w:after="60" w:line="300" w:lineRule="exact"/>
        <w:ind w:left="1247" w:right="1247" w:hanging="567"/>
        <w:rPr>
          <w:sz w:val="18"/>
          <w:szCs w:val="26"/>
          <w:rtl/>
        </w:rPr>
      </w:pPr>
      <w:r w:rsidRPr="00E46C7F">
        <w:rPr>
          <w:rFonts w:eastAsia="Traditional Arabic"/>
          <w:sz w:val="18"/>
          <w:szCs w:val="26"/>
          <w:rtl/>
          <w:lang w:val="ar-SA"/>
        </w:rPr>
        <w:t>(</w:t>
      </w:r>
      <w:r w:rsidRPr="00E46C7F">
        <w:rPr>
          <w:rFonts w:eastAsia="Traditional Arabic"/>
          <w:sz w:val="18"/>
          <w:szCs w:val="26"/>
          <w:rtl/>
          <w:lang w:val="ar-SA"/>
        </w:rPr>
        <w:footnoteRef/>
      </w:r>
      <w:r w:rsidRPr="00E46C7F">
        <w:rPr>
          <w:rFonts w:eastAsia="Traditional Arabic"/>
          <w:sz w:val="18"/>
          <w:szCs w:val="26"/>
          <w:rtl/>
          <w:lang w:val="ar-SA"/>
        </w:rPr>
        <w:t>)</w:t>
      </w:r>
      <w:r w:rsidRPr="00E46C7F">
        <w:rPr>
          <w:rFonts w:eastAsia="Traditional Arabic"/>
          <w:sz w:val="18"/>
          <w:szCs w:val="26"/>
          <w:rtl/>
          <w:lang w:val="ar-SA"/>
        </w:rPr>
        <w:tab/>
      </w:r>
      <w:r w:rsidRPr="00E46C7F">
        <w:rPr>
          <w:sz w:val="18"/>
          <w:szCs w:val="26"/>
          <w:rtl/>
          <w:lang w:val="ar-SA"/>
        </w:rPr>
        <w:t xml:space="preserve">انظر البيان الصحفي الصادر عن مسجل المحكمة، ترحيل اثنين من الرعايا السودانيين المقيمين في فرنسا إلى بلدهم الأصلي قد ينطوي على انتهاك للاتفاقية، 15 كانون الثاني/يناير 2015. </w:t>
      </w:r>
    </w:p>
  </w:footnote>
  <w:footnote w:id="20">
    <w:p w:rsidR="000F05C8" w:rsidRPr="00E46C7F" w:rsidRDefault="000F05C8" w:rsidP="00F94CDB">
      <w:pPr>
        <w:pStyle w:val="FootnoteText"/>
        <w:spacing w:after="60" w:line="300" w:lineRule="exact"/>
        <w:ind w:left="1247" w:right="1247" w:hanging="567"/>
        <w:rPr>
          <w:sz w:val="18"/>
          <w:szCs w:val="26"/>
          <w:rtl/>
        </w:rPr>
      </w:pPr>
      <w:r w:rsidRPr="00E46C7F">
        <w:rPr>
          <w:rFonts w:eastAsia="Traditional Arabic"/>
          <w:sz w:val="18"/>
          <w:szCs w:val="26"/>
          <w:rtl/>
          <w:lang w:val="ar-SA"/>
        </w:rPr>
        <w:t>(</w:t>
      </w:r>
      <w:r w:rsidRPr="00E46C7F">
        <w:rPr>
          <w:rFonts w:eastAsia="Traditional Arabic"/>
          <w:sz w:val="18"/>
          <w:szCs w:val="26"/>
          <w:rtl/>
          <w:lang w:val="ar-SA"/>
        </w:rPr>
        <w:footnoteRef/>
      </w:r>
      <w:r w:rsidRPr="00E46C7F">
        <w:rPr>
          <w:rFonts w:eastAsia="Traditional Arabic"/>
          <w:sz w:val="18"/>
          <w:szCs w:val="26"/>
          <w:rtl/>
          <w:lang w:val="ar-SA"/>
        </w:rPr>
        <w:t>)</w:t>
      </w:r>
      <w:r w:rsidRPr="00E46C7F">
        <w:rPr>
          <w:rFonts w:eastAsia="Traditional Arabic"/>
          <w:sz w:val="18"/>
          <w:szCs w:val="26"/>
          <w:rtl/>
          <w:lang w:val="ar-SA"/>
        </w:rPr>
        <w:tab/>
      </w:r>
      <w:r w:rsidR="00F94CDB" w:rsidRPr="00F94CDB">
        <w:rPr>
          <w:sz w:val="22"/>
          <w:szCs w:val="22"/>
          <w:rtl/>
          <w:lang w:val="ar-SA"/>
        </w:rPr>
        <w:t>ان</w:t>
      </w:r>
      <w:r w:rsidR="00F94CDB" w:rsidRPr="00F94CDB">
        <w:rPr>
          <w:rFonts w:hint="cs"/>
          <w:sz w:val="22"/>
          <w:szCs w:val="22"/>
          <w:rtl/>
          <w:lang w:val="ar-SA"/>
        </w:rPr>
        <w:t>ظ</w:t>
      </w:r>
      <w:r w:rsidRPr="00F94CDB">
        <w:rPr>
          <w:sz w:val="22"/>
          <w:szCs w:val="22"/>
          <w:rtl/>
          <w:lang w:val="ar-SA"/>
        </w:rPr>
        <w:t>ر</w:t>
      </w:r>
      <w:r w:rsidRPr="00E46C7F">
        <w:rPr>
          <w:sz w:val="18"/>
          <w:szCs w:val="26"/>
          <w:rtl/>
          <w:lang w:val="ar-SA"/>
        </w:rPr>
        <w:t xml:space="preserve"> </w:t>
      </w:r>
      <w:proofErr w:type="spellStart"/>
      <w:r w:rsidRPr="00E46C7F">
        <w:rPr>
          <w:rFonts w:cs="Times New Roman"/>
          <w:sz w:val="18"/>
          <w:szCs w:val="18"/>
          <w:rtl/>
          <w:lang w:val="ar-SA"/>
        </w:rPr>
        <w:t>communication</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No</w:t>
      </w:r>
      <w:proofErr w:type="spellEnd"/>
      <w:r w:rsidRPr="00E46C7F">
        <w:rPr>
          <w:rFonts w:cs="Times New Roman"/>
          <w:sz w:val="18"/>
          <w:szCs w:val="18"/>
          <w:rtl/>
          <w:lang w:val="ar-SA"/>
        </w:rPr>
        <w:t xml:space="preserve">. 565/2013, </w:t>
      </w:r>
      <w:r w:rsidRPr="00E46C7F">
        <w:rPr>
          <w:rFonts w:cs="Times New Roman"/>
          <w:i/>
          <w:iCs/>
          <w:sz w:val="18"/>
          <w:szCs w:val="18"/>
          <w:rtl/>
          <w:lang w:val="ar-SA"/>
        </w:rPr>
        <w:t xml:space="preserve">S.A.P. v. </w:t>
      </w:r>
      <w:proofErr w:type="spellStart"/>
      <w:r w:rsidRPr="00E46C7F">
        <w:rPr>
          <w:rFonts w:cs="Times New Roman"/>
          <w:i/>
          <w:iCs/>
          <w:sz w:val="18"/>
          <w:szCs w:val="18"/>
          <w:rtl/>
          <w:lang w:val="ar-SA"/>
        </w:rPr>
        <w:t>Switzerland</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decision</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adopt</w:t>
      </w:r>
      <w:r w:rsidR="00F94CDB">
        <w:rPr>
          <w:rFonts w:cs="Times New Roman"/>
          <w:sz w:val="18"/>
          <w:szCs w:val="18"/>
          <w:rtl/>
          <w:lang w:val="ar-SA"/>
        </w:rPr>
        <w:t>ed</w:t>
      </w:r>
      <w:proofErr w:type="spellEnd"/>
      <w:r w:rsidR="00F94CDB">
        <w:rPr>
          <w:rFonts w:cs="Times New Roman"/>
          <w:sz w:val="18"/>
          <w:szCs w:val="18"/>
          <w:rtl/>
          <w:lang w:val="ar-SA"/>
        </w:rPr>
        <w:t xml:space="preserve"> </w:t>
      </w:r>
      <w:proofErr w:type="spellStart"/>
      <w:r w:rsidR="00F94CDB">
        <w:rPr>
          <w:rFonts w:cs="Times New Roman"/>
          <w:sz w:val="18"/>
          <w:szCs w:val="18"/>
          <w:rtl/>
          <w:lang w:val="ar-SA"/>
        </w:rPr>
        <w:t>on</w:t>
      </w:r>
      <w:proofErr w:type="spellEnd"/>
      <w:r w:rsidR="00F94CDB">
        <w:rPr>
          <w:rFonts w:cs="Times New Roman"/>
          <w:sz w:val="18"/>
          <w:szCs w:val="18"/>
          <w:rtl/>
          <w:lang w:val="ar-SA"/>
        </w:rPr>
        <w:t xml:space="preserve"> 25 </w:t>
      </w:r>
      <w:proofErr w:type="spellStart"/>
      <w:r w:rsidR="00F94CDB">
        <w:rPr>
          <w:rFonts w:cs="Times New Roman"/>
          <w:sz w:val="18"/>
          <w:szCs w:val="18"/>
          <w:rtl/>
          <w:lang w:val="ar-SA"/>
        </w:rPr>
        <w:t>November</w:t>
      </w:r>
      <w:proofErr w:type="spellEnd"/>
      <w:r w:rsidR="00F94CDB">
        <w:rPr>
          <w:rFonts w:cs="Times New Roman"/>
          <w:sz w:val="18"/>
          <w:szCs w:val="18"/>
          <w:rtl/>
          <w:lang w:val="ar-SA"/>
        </w:rPr>
        <w:t xml:space="preserve"> 2015, </w:t>
      </w:r>
      <w:proofErr w:type="spellStart"/>
      <w:r w:rsidR="00F94CDB">
        <w:rPr>
          <w:rFonts w:cs="Times New Roman"/>
          <w:sz w:val="18"/>
          <w:szCs w:val="18"/>
          <w:rtl/>
          <w:lang w:val="ar-SA"/>
        </w:rPr>
        <w:t>para</w:t>
      </w:r>
      <w:proofErr w:type="spellEnd"/>
      <w:r w:rsidR="00F94CDB">
        <w:rPr>
          <w:rFonts w:cs="Times New Roman"/>
          <w:sz w:val="18"/>
          <w:szCs w:val="18"/>
          <w:rtl/>
          <w:lang w:val="ar-SA"/>
        </w:rPr>
        <w:t>. 7</w:t>
      </w:r>
      <w:r w:rsidR="00F94CDB">
        <w:rPr>
          <w:rFonts w:cs="Times New Roman" w:hint="cs"/>
          <w:sz w:val="18"/>
          <w:szCs w:val="18"/>
          <w:rtl/>
          <w:lang w:val="ar-SA"/>
        </w:rPr>
        <w:t xml:space="preserve"> </w:t>
      </w:r>
      <w:r w:rsidRPr="00E46C7F">
        <w:rPr>
          <w:sz w:val="18"/>
          <w:szCs w:val="26"/>
          <w:rtl/>
          <w:lang w:val="ar-SA"/>
        </w:rPr>
        <w:t xml:space="preserve">[البلاغ رقم 565/2013، المقدم من </w:t>
      </w:r>
      <w:r w:rsidRPr="00E46C7F">
        <w:rPr>
          <w:i/>
          <w:iCs/>
          <w:sz w:val="18"/>
          <w:szCs w:val="26"/>
          <w:rtl/>
          <w:lang w:val="ar-SA"/>
        </w:rPr>
        <w:t>س.</w:t>
      </w:r>
      <w:r w:rsidRPr="00E46C7F">
        <w:rPr>
          <w:rFonts w:hint="cs"/>
          <w:i/>
          <w:iCs/>
          <w:sz w:val="18"/>
          <w:szCs w:val="26"/>
          <w:rtl/>
          <w:lang w:val="ar-SA"/>
        </w:rPr>
        <w:t xml:space="preserve"> </w:t>
      </w:r>
      <w:r w:rsidRPr="00E46C7F">
        <w:rPr>
          <w:i/>
          <w:iCs/>
          <w:sz w:val="18"/>
          <w:szCs w:val="26"/>
          <w:rtl/>
          <w:lang w:val="ar-SA"/>
        </w:rPr>
        <w:t>أ.</w:t>
      </w:r>
      <w:r w:rsidRPr="00E46C7F">
        <w:rPr>
          <w:rFonts w:hint="cs"/>
          <w:i/>
          <w:iCs/>
          <w:sz w:val="18"/>
          <w:szCs w:val="26"/>
          <w:rtl/>
          <w:lang w:val="ar-SA"/>
        </w:rPr>
        <w:t xml:space="preserve"> </w:t>
      </w:r>
      <w:r w:rsidRPr="00E46C7F">
        <w:rPr>
          <w:i/>
          <w:iCs/>
          <w:sz w:val="18"/>
          <w:szCs w:val="26"/>
          <w:rtl/>
          <w:lang w:val="ar-SA"/>
        </w:rPr>
        <w:t>ب. ضد سويسرا</w:t>
      </w:r>
      <w:r w:rsidRPr="00E46C7F">
        <w:rPr>
          <w:sz w:val="18"/>
          <w:szCs w:val="26"/>
          <w:rtl/>
          <w:lang w:val="ar-SA"/>
        </w:rPr>
        <w:t xml:space="preserve">، القرار المعتمد في 25 تشرين الثاني/نوفمبر 2015، الفقرة 7-4]. </w:t>
      </w:r>
    </w:p>
  </w:footnote>
  <w:footnote w:id="21">
    <w:p w:rsidR="000F05C8" w:rsidRPr="00E34483" w:rsidRDefault="000F05C8" w:rsidP="000F05C8">
      <w:pPr>
        <w:pStyle w:val="FootnoteText"/>
        <w:spacing w:after="60" w:line="300" w:lineRule="exact"/>
        <w:ind w:left="1247" w:right="1247" w:hanging="567"/>
        <w:rPr>
          <w:spacing w:val="-6"/>
          <w:sz w:val="18"/>
          <w:szCs w:val="26"/>
          <w:rtl/>
        </w:rPr>
      </w:pPr>
      <w:r w:rsidRPr="00E46C7F">
        <w:rPr>
          <w:rFonts w:eastAsia="Traditional Arabic"/>
          <w:sz w:val="18"/>
          <w:szCs w:val="26"/>
          <w:rtl/>
          <w:lang w:val="ar-SA"/>
        </w:rPr>
        <w:t>(</w:t>
      </w:r>
      <w:r w:rsidRPr="00E46C7F">
        <w:rPr>
          <w:rFonts w:eastAsia="Traditional Arabic"/>
          <w:sz w:val="18"/>
          <w:szCs w:val="26"/>
          <w:rtl/>
          <w:lang w:val="ar-SA"/>
        </w:rPr>
        <w:footnoteRef/>
      </w:r>
      <w:r w:rsidRPr="00E46C7F">
        <w:rPr>
          <w:rFonts w:eastAsia="Traditional Arabic"/>
          <w:sz w:val="18"/>
          <w:szCs w:val="26"/>
          <w:rtl/>
          <w:lang w:val="ar-SA"/>
        </w:rPr>
        <w:t>)</w:t>
      </w:r>
      <w:r w:rsidRPr="00E46C7F">
        <w:rPr>
          <w:rFonts w:eastAsia="Traditional Arabic"/>
          <w:sz w:val="18"/>
          <w:szCs w:val="26"/>
          <w:rtl/>
          <w:lang w:val="ar-SA"/>
        </w:rPr>
        <w:tab/>
      </w:r>
      <w:r w:rsidRPr="00E34483">
        <w:rPr>
          <w:spacing w:val="-4"/>
          <w:sz w:val="22"/>
          <w:szCs w:val="22"/>
          <w:rtl/>
          <w:lang w:val="ar-SA"/>
        </w:rPr>
        <w:t>انظر</w:t>
      </w:r>
      <w:r w:rsidRPr="00E34483">
        <w:rPr>
          <w:spacing w:val="-4"/>
          <w:sz w:val="18"/>
          <w:szCs w:val="26"/>
          <w:rtl/>
          <w:lang w:val="ar-SA"/>
        </w:rPr>
        <w:t xml:space="preserve"> </w:t>
      </w:r>
      <w:proofErr w:type="spellStart"/>
      <w:r w:rsidRPr="00E34483">
        <w:rPr>
          <w:rFonts w:cs="Times New Roman"/>
          <w:spacing w:val="-4"/>
          <w:sz w:val="18"/>
          <w:szCs w:val="18"/>
          <w:rtl/>
          <w:lang w:val="ar-SA"/>
        </w:rPr>
        <w:t>communication</w:t>
      </w:r>
      <w:proofErr w:type="spellEnd"/>
      <w:r w:rsidRPr="00E34483">
        <w:rPr>
          <w:rFonts w:cs="Times New Roman"/>
          <w:spacing w:val="-4"/>
          <w:sz w:val="18"/>
          <w:szCs w:val="18"/>
          <w:rtl/>
          <w:lang w:val="ar-SA"/>
        </w:rPr>
        <w:t xml:space="preserve"> </w:t>
      </w:r>
      <w:proofErr w:type="spellStart"/>
      <w:r w:rsidRPr="00E34483">
        <w:rPr>
          <w:rFonts w:cs="Times New Roman"/>
          <w:spacing w:val="-4"/>
          <w:sz w:val="18"/>
          <w:szCs w:val="18"/>
          <w:rtl/>
          <w:lang w:val="ar-SA"/>
        </w:rPr>
        <w:t>No</w:t>
      </w:r>
      <w:proofErr w:type="spellEnd"/>
      <w:r w:rsidRPr="00E34483">
        <w:rPr>
          <w:rFonts w:cs="Times New Roman"/>
          <w:spacing w:val="-4"/>
          <w:sz w:val="18"/>
          <w:szCs w:val="18"/>
          <w:rtl/>
          <w:lang w:val="ar-SA"/>
        </w:rPr>
        <w:t xml:space="preserve">. 580/2014, </w:t>
      </w:r>
      <w:r w:rsidRPr="00E34483">
        <w:rPr>
          <w:rFonts w:cs="Times New Roman"/>
          <w:i/>
          <w:iCs/>
          <w:spacing w:val="-4"/>
          <w:sz w:val="18"/>
          <w:szCs w:val="18"/>
          <w:rtl/>
          <w:lang w:val="ar-SA"/>
        </w:rPr>
        <w:t xml:space="preserve">F.K. v. </w:t>
      </w:r>
      <w:proofErr w:type="spellStart"/>
      <w:r w:rsidRPr="00E34483">
        <w:rPr>
          <w:rFonts w:cs="Times New Roman"/>
          <w:i/>
          <w:iCs/>
          <w:spacing w:val="-4"/>
          <w:sz w:val="18"/>
          <w:szCs w:val="18"/>
          <w:rtl/>
          <w:lang w:val="ar-SA"/>
        </w:rPr>
        <w:t>Denmark</w:t>
      </w:r>
      <w:proofErr w:type="spellEnd"/>
      <w:r w:rsidRPr="00E34483">
        <w:rPr>
          <w:rFonts w:cs="Times New Roman"/>
          <w:spacing w:val="-4"/>
          <w:sz w:val="18"/>
          <w:szCs w:val="18"/>
          <w:rtl/>
          <w:lang w:val="ar-SA"/>
        </w:rPr>
        <w:t xml:space="preserve">, </w:t>
      </w:r>
      <w:proofErr w:type="spellStart"/>
      <w:r w:rsidRPr="00E34483">
        <w:rPr>
          <w:rFonts w:cs="Times New Roman"/>
          <w:spacing w:val="-4"/>
          <w:sz w:val="18"/>
          <w:szCs w:val="18"/>
          <w:rtl/>
          <w:lang w:val="ar-SA"/>
        </w:rPr>
        <w:t>decision</w:t>
      </w:r>
      <w:proofErr w:type="spellEnd"/>
      <w:r w:rsidRPr="00E34483">
        <w:rPr>
          <w:rFonts w:cs="Times New Roman"/>
          <w:spacing w:val="-4"/>
          <w:sz w:val="18"/>
          <w:szCs w:val="18"/>
          <w:rtl/>
          <w:lang w:val="ar-SA"/>
        </w:rPr>
        <w:t xml:space="preserve"> </w:t>
      </w:r>
      <w:proofErr w:type="spellStart"/>
      <w:r w:rsidRPr="00E34483">
        <w:rPr>
          <w:rFonts w:cs="Times New Roman"/>
          <w:spacing w:val="-4"/>
          <w:sz w:val="18"/>
          <w:szCs w:val="18"/>
          <w:rtl/>
          <w:lang w:val="ar-SA"/>
        </w:rPr>
        <w:t>adopted</w:t>
      </w:r>
      <w:proofErr w:type="spellEnd"/>
      <w:r w:rsidRPr="00E34483">
        <w:rPr>
          <w:rFonts w:cs="Times New Roman"/>
          <w:spacing w:val="-4"/>
          <w:sz w:val="18"/>
          <w:szCs w:val="18"/>
          <w:rtl/>
          <w:lang w:val="ar-SA"/>
        </w:rPr>
        <w:t xml:space="preserve"> </w:t>
      </w:r>
      <w:proofErr w:type="spellStart"/>
      <w:r w:rsidRPr="00E34483">
        <w:rPr>
          <w:rFonts w:cs="Times New Roman"/>
          <w:spacing w:val="-4"/>
          <w:sz w:val="18"/>
          <w:szCs w:val="18"/>
          <w:rtl/>
          <w:lang w:val="ar-SA"/>
        </w:rPr>
        <w:t>on</w:t>
      </w:r>
      <w:proofErr w:type="spellEnd"/>
      <w:r w:rsidRPr="00E34483">
        <w:rPr>
          <w:rFonts w:cs="Times New Roman"/>
          <w:spacing w:val="-4"/>
          <w:sz w:val="18"/>
          <w:szCs w:val="18"/>
          <w:rtl/>
          <w:lang w:val="ar-SA"/>
        </w:rPr>
        <w:t xml:space="preserve"> 23 </w:t>
      </w:r>
      <w:proofErr w:type="spellStart"/>
      <w:r w:rsidRPr="00E34483">
        <w:rPr>
          <w:rFonts w:cs="Times New Roman"/>
          <w:spacing w:val="-4"/>
          <w:sz w:val="18"/>
          <w:szCs w:val="18"/>
          <w:rtl/>
          <w:lang w:val="ar-SA"/>
        </w:rPr>
        <w:t>November</w:t>
      </w:r>
      <w:proofErr w:type="spellEnd"/>
      <w:r w:rsidRPr="00E34483">
        <w:rPr>
          <w:rFonts w:cs="Times New Roman"/>
          <w:spacing w:val="-4"/>
          <w:sz w:val="18"/>
          <w:szCs w:val="18"/>
          <w:rtl/>
          <w:lang w:val="ar-SA"/>
        </w:rPr>
        <w:t xml:space="preserve"> 2015, </w:t>
      </w:r>
      <w:proofErr w:type="spellStart"/>
      <w:r w:rsidRPr="00E34483">
        <w:rPr>
          <w:rFonts w:cs="Times New Roman"/>
          <w:spacing w:val="-4"/>
          <w:sz w:val="18"/>
          <w:szCs w:val="18"/>
          <w:rtl/>
          <w:lang w:val="ar-SA"/>
        </w:rPr>
        <w:t>para</w:t>
      </w:r>
      <w:proofErr w:type="spellEnd"/>
      <w:r w:rsidRPr="00E34483">
        <w:rPr>
          <w:rFonts w:cs="Times New Roman"/>
          <w:spacing w:val="-4"/>
          <w:sz w:val="18"/>
          <w:szCs w:val="18"/>
          <w:rtl/>
          <w:lang w:val="ar-SA"/>
        </w:rPr>
        <w:t>. 7.6</w:t>
      </w:r>
      <w:r w:rsidRPr="00E34483">
        <w:rPr>
          <w:spacing w:val="-4"/>
          <w:sz w:val="18"/>
          <w:szCs w:val="26"/>
          <w:rtl/>
          <w:lang w:val="ar-SA"/>
        </w:rPr>
        <w:t xml:space="preserve"> </w:t>
      </w:r>
      <w:r w:rsidRPr="00E34483">
        <w:rPr>
          <w:spacing w:val="-6"/>
          <w:sz w:val="18"/>
          <w:szCs w:val="26"/>
          <w:rtl/>
          <w:lang w:val="ar-SA"/>
        </w:rPr>
        <w:t xml:space="preserve">[البلاغ رقم 580/2014، </w:t>
      </w:r>
      <w:r w:rsidRPr="00E34483">
        <w:rPr>
          <w:i/>
          <w:iCs/>
          <w:spacing w:val="-6"/>
          <w:sz w:val="18"/>
          <w:szCs w:val="26"/>
          <w:rtl/>
          <w:lang w:val="ar-SA"/>
        </w:rPr>
        <w:t>ف.</w:t>
      </w:r>
      <w:r w:rsidRPr="00E34483">
        <w:rPr>
          <w:rFonts w:hint="cs"/>
          <w:i/>
          <w:iCs/>
          <w:spacing w:val="-6"/>
          <w:sz w:val="18"/>
          <w:szCs w:val="26"/>
          <w:rtl/>
          <w:lang w:val="ar-SA"/>
        </w:rPr>
        <w:t xml:space="preserve"> </w:t>
      </w:r>
      <w:r w:rsidRPr="00E34483">
        <w:rPr>
          <w:i/>
          <w:iCs/>
          <w:spacing w:val="-6"/>
          <w:sz w:val="18"/>
          <w:szCs w:val="26"/>
          <w:rtl/>
          <w:lang w:val="ar-SA"/>
        </w:rPr>
        <w:t>ك. ضد الدانمرك</w:t>
      </w:r>
      <w:r w:rsidRPr="00E34483">
        <w:rPr>
          <w:spacing w:val="-6"/>
          <w:sz w:val="18"/>
          <w:szCs w:val="26"/>
          <w:rtl/>
          <w:lang w:val="ar-SA"/>
        </w:rPr>
        <w:t>، القرار المعتمد في 23 تشرين الثاني/نوفمبر</w:t>
      </w:r>
      <w:r w:rsidRPr="00E34483">
        <w:rPr>
          <w:rFonts w:hint="cs"/>
          <w:spacing w:val="-6"/>
          <w:sz w:val="18"/>
          <w:szCs w:val="26"/>
          <w:rtl/>
          <w:lang w:val="ar-SA"/>
        </w:rPr>
        <w:t> </w:t>
      </w:r>
      <w:r w:rsidRPr="00E34483">
        <w:rPr>
          <w:spacing w:val="-6"/>
          <w:sz w:val="18"/>
          <w:szCs w:val="26"/>
          <w:rtl/>
          <w:lang w:val="ar-SA"/>
        </w:rPr>
        <w:t>2015، الفقرة 7-6].</w:t>
      </w:r>
    </w:p>
  </w:footnote>
  <w:footnote w:id="22">
    <w:p w:rsidR="000F05C8" w:rsidRPr="00E46C7F" w:rsidRDefault="000F05C8" w:rsidP="000F05C8">
      <w:pPr>
        <w:pStyle w:val="FootnoteText"/>
        <w:spacing w:after="60" w:line="300" w:lineRule="exact"/>
        <w:ind w:left="1247" w:right="1247" w:hanging="567"/>
        <w:rPr>
          <w:sz w:val="18"/>
          <w:szCs w:val="26"/>
          <w:rtl/>
        </w:rPr>
      </w:pPr>
      <w:r w:rsidRPr="00E46C7F">
        <w:rPr>
          <w:rFonts w:eastAsia="Traditional Arabic"/>
          <w:sz w:val="18"/>
          <w:szCs w:val="26"/>
          <w:rtl/>
          <w:lang w:val="ar-SA"/>
        </w:rPr>
        <w:t>(</w:t>
      </w:r>
      <w:r w:rsidRPr="00E46C7F">
        <w:rPr>
          <w:rFonts w:eastAsia="Traditional Arabic"/>
          <w:sz w:val="18"/>
          <w:szCs w:val="26"/>
          <w:rtl/>
          <w:lang w:val="ar-SA"/>
        </w:rPr>
        <w:footnoteRef/>
      </w:r>
      <w:r w:rsidRPr="00E46C7F">
        <w:rPr>
          <w:rFonts w:eastAsia="Traditional Arabic"/>
          <w:sz w:val="18"/>
          <w:szCs w:val="26"/>
          <w:rtl/>
          <w:lang w:val="ar-SA"/>
        </w:rPr>
        <w:t>)</w:t>
      </w:r>
      <w:r w:rsidRPr="00E46C7F">
        <w:rPr>
          <w:rFonts w:eastAsia="Traditional Arabic"/>
          <w:sz w:val="18"/>
          <w:szCs w:val="26"/>
          <w:rtl/>
          <w:lang w:val="ar-SA"/>
        </w:rPr>
        <w:tab/>
      </w:r>
      <w:r w:rsidRPr="00E46C7F">
        <w:rPr>
          <w:sz w:val="18"/>
          <w:szCs w:val="26"/>
          <w:rtl/>
          <w:lang w:val="ar-SA"/>
        </w:rPr>
        <w:t xml:space="preserve">انظر </w:t>
      </w:r>
      <w:proofErr w:type="spellStart"/>
      <w:r w:rsidRPr="00E46C7F">
        <w:rPr>
          <w:rFonts w:cs="Times New Roman"/>
          <w:sz w:val="18"/>
          <w:szCs w:val="18"/>
          <w:rtl/>
          <w:lang w:val="ar-SA"/>
        </w:rPr>
        <w:t>communication</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No</w:t>
      </w:r>
      <w:proofErr w:type="spellEnd"/>
      <w:r w:rsidRPr="00E46C7F">
        <w:rPr>
          <w:rFonts w:cs="Times New Roman"/>
          <w:sz w:val="18"/>
          <w:szCs w:val="18"/>
          <w:rtl/>
          <w:lang w:val="ar-SA"/>
        </w:rPr>
        <w:t xml:space="preserve">. 555/2013, </w:t>
      </w:r>
      <w:r w:rsidRPr="00E46C7F">
        <w:rPr>
          <w:rFonts w:cs="Times New Roman"/>
          <w:i/>
          <w:iCs/>
          <w:sz w:val="18"/>
          <w:szCs w:val="18"/>
          <w:rtl/>
          <w:lang w:val="ar-SA"/>
        </w:rPr>
        <w:t xml:space="preserve">Z. v. </w:t>
      </w:r>
      <w:proofErr w:type="spellStart"/>
      <w:r w:rsidRPr="00E46C7F">
        <w:rPr>
          <w:rFonts w:cs="Times New Roman"/>
          <w:i/>
          <w:iCs/>
          <w:sz w:val="18"/>
          <w:szCs w:val="18"/>
          <w:rtl/>
          <w:lang w:val="ar-SA"/>
        </w:rPr>
        <w:t>Denmark</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decision</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adopted</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on</w:t>
      </w:r>
      <w:proofErr w:type="spellEnd"/>
      <w:r w:rsidRPr="00E46C7F">
        <w:rPr>
          <w:rFonts w:cs="Times New Roman"/>
          <w:sz w:val="18"/>
          <w:szCs w:val="18"/>
          <w:rtl/>
          <w:lang w:val="ar-SA"/>
        </w:rPr>
        <w:t xml:space="preserve"> 10 </w:t>
      </w:r>
      <w:proofErr w:type="spellStart"/>
      <w:r w:rsidRPr="00E46C7F">
        <w:rPr>
          <w:rFonts w:cs="Times New Roman"/>
          <w:sz w:val="18"/>
          <w:szCs w:val="18"/>
          <w:rtl/>
          <w:lang w:val="ar-SA"/>
        </w:rPr>
        <w:t>August</w:t>
      </w:r>
      <w:proofErr w:type="spellEnd"/>
      <w:r w:rsidRPr="00E46C7F">
        <w:rPr>
          <w:rFonts w:cs="Times New Roman"/>
          <w:sz w:val="18"/>
          <w:szCs w:val="18"/>
          <w:rtl/>
          <w:lang w:val="ar-SA"/>
        </w:rPr>
        <w:t xml:space="preserve"> 2015</w:t>
      </w:r>
      <w:r w:rsidRPr="00E46C7F">
        <w:rPr>
          <w:sz w:val="18"/>
          <w:szCs w:val="26"/>
          <w:rtl/>
          <w:lang w:val="ar-SA"/>
        </w:rPr>
        <w:t xml:space="preserve"> [البلاغ رقم 555/2013، </w:t>
      </w:r>
      <w:r w:rsidRPr="00E46C7F">
        <w:rPr>
          <w:i/>
          <w:iCs/>
          <w:sz w:val="18"/>
          <w:szCs w:val="26"/>
          <w:rtl/>
          <w:lang w:val="ar-SA"/>
        </w:rPr>
        <w:t>ز. ضد الدانمرك</w:t>
      </w:r>
      <w:r w:rsidRPr="00E46C7F">
        <w:rPr>
          <w:sz w:val="18"/>
          <w:szCs w:val="26"/>
          <w:rtl/>
          <w:lang w:val="ar-SA"/>
        </w:rPr>
        <w:t>، القرار المعتمد في 10 آب/أغسطس 2015].</w:t>
      </w:r>
    </w:p>
  </w:footnote>
  <w:footnote w:id="23">
    <w:p w:rsidR="000F05C8" w:rsidRPr="00E46C7F" w:rsidRDefault="000F05C8" w:rsidP="00313445">
      <w:pPr>
        <w:pStyle w:val="FootnoteText"/>
        <w:spacing w:after="60" w:line="300" w:lineRule="exact"/>
        <w:ind w:left="1247" w:right="1247" w:hanging="567"/>
        <w:rPr>
          <w:sz w:val="18"/>
          <w:szCs w:val="26"/>
          <w:rtl/>
        </w:rPr>
      </w:pPr>
      <w:r w:rsidRPr="00E46C7F">
        <w:rPr>
          <w:rFonts w:eastAsia="Traditional Arabic"/>
          <w:sz w:val="18"/>
          <w:szCs w:val="26"/>
          <w:rtl/>
          <w:lang w:val="ar-SA"/>
        </w:rPr>
        <w:t>(</w:t>
      </w:r>
      <w:r w:rsidRPr="00E46C7F">
        <w:rPr>
          <w:rFonts w:eastAsia="Traditional Arabic"/>
          <w:sz w:val="18"/>
          <w:szCs w:val="26"/>
          <w:rtl/>
          <w:lang w:val="ar-SA"/>
        </w:rPr>
        <w:footnoteRef/>
      </w:r>
      <w:r w:rsidRPr="00E46C7F">
        <w:rPr>
          <w:rFonts w:eastAsia="Traditional Arabic"/>
          <w:sz w:val="18"/>
          <w:szCs w:val="26"/>
          <w:rtl/>
          <w:lang w:val="ar-SA"/>
        </w:rPr>
        <w:t>)</w:t>
      </w:r>
      <w:r w:rsidRPr="00E46C7F">
        <w:rPr>
          <w:rFonts w:eastAsia="Traditional Arabic"/>
          <w:sz w:val="18"/>
          <w:szCs w:val="26"/>
          <w:rtl/>
          <w:lang w:val="ar-SA"/>
        </w:rPr>
        <w:tab/>
      </w:r>
      <w:r w:rsidRPr="000F05C8">
        <w:rPr>
          <w:spacing w:val="-2"/>
          <w:sz w:val="18"/>
          <w:szCs w:val="26"/>
          <w:rtl/>
        </w:rPr>
        <w:t xml:space="preserve">انظر </w:t>
      </w:r>
      <w:r w:rsidRPr="000F05C8">
        <w:rPr>
          <w:spacing w:val="-2"/>
          <w:sz w:val="18"/>
          <w:szCs w:val="26"/>
        </w:rPr>
        <w:t xml:space="preserve">communication No. 571/2013, </w:t>
      </w:r>
      <w:r w:rsidRPr="000F05C8">
        <w:rPr>
          <w:rFonts w:cs="Times New Roman"/>
          <w:i/>
          <w:iCs/>
          <w:spacing w:val="-2"/>
          <w:sz w:val="18"/>
          <w:szCs w:val="18"/>
          <w:rtl/>
          <w:lang w:val="ar-SA"/>
        </w:rPr>
        <w:t xml:space="preserve">M.S. v. </w:t>
      </w:r>
      <w:proofErr w:type="spellStart"/>
      <w:r w:rsidRPr="000F05C8">
        <w:rPr>
          <w:rFonts w:cs="Times New Roman"/>
          <w:i/>
          <w:iCs/>
          <w:spacing w:val="-2"/>
          <w:sz w:val="18"/>
          <w:szCs w:val="18"/>
          <w:rtl/>
          <w:lang w:val="ar-SA"/>
        </w:rPr>
        <w:t>Denmark</w:t>
      </w:r>
      <w:proofErr w:type="spellEnd"/>
      <w:r w:rsidRPr="000F05C8">
        <w:rPr>
          <w:spacing w:val="-2"/>
          <w:sz w:val="18"/>
          <w:szCs w:val="26"/>
        </w:rPr>
        <w:t xml:space="preserve"> decision adopted on 23 November 2015, </w:t>
      </w:r>
      <w:r w:rsidRPr="00313445">
        <w:rPr>
          <w:spacing w:val="-6"/>
          <w:sz w:val="18"/>
          <w:szCs w:val="26"/>
          <w:rtl/>
        </w:rPr>
        <w:t xml:space="preserve">[البلاغ رقم 571/2013، </w:t>
      </w:r>
      <w:r w:rsidRPr="00313445">
        <w:rPr>
          <w:i/>
          <w:iCs/>
          <w:spacing w:val="-6"/>
          <w:sz w:val="18"/>
          <w:szCs w:val="26"/>
          <w:rtl/>
          <w:lang w:val="ar-SA"/>
        </w:rPr>
        <w:t>م.</w:t>
      </w:r>
      <w:r w:rsidRPr="00313445">
        <w:rPr>
          <w:rFonts w:hint="cs"/>
          <w:i/>
          <w:iCs/>
          <w:spacing w:val="-6"/>
          <w:sz w:val="18"/>
          <w:szCs w:val="26"/>
          <w:rtl/>
          <w:lang w:val="ar-SA"/>
        </w:rPr>
        <w:t xml:space="preserve"> </w:t>
      </w:r>
      <w:r w:rsidRPr="00313445">
        <w:rPr>
          <w:i/>
          <w:iCs/>
          <w:spacing w:val="-6"/>
          <w:sz w:val="18"/>
          <w:szCs w:val="26"/>
          <w:rtl/>
          <w:lang w:val="ar-SA"/>
        </w:rPr>
        <w:t>س. ضد الدانمرك</w:t>
      </w:r>
      <w:r w:rsidRPr="00313445">
        <w:rPr>
          <w:spacing w:val="-6"/>
          <w:sz w:val="18"/>
          <w:szCs w:val="26"/>
          <w:rtl/>
        </w:rPr>
        <w:t>، القرار المعتمد في 23 تشرين الثاني/نوفمبر</w:t>
      </w:r>
      <w:r w:rsidRPr="00313445">
        <w:rPr>
          <w:rFonts w:hint="cs"/>
          <w:spacing w:val="-6"/>
          <w:sz w:val="18"/>
          <w:szCs w:val="26"/>
          <w:rtl/>
        </w:rPr>
        <w:t> </w:t>
      </w:r>
      <w:r w:rsidRPr="00313445">
        <w:rPr>
          <w:spacing w:val="-6"/>
          <w:sz w:val="18"/>
          <w:szCs w:val="26"/>
          <w:rtl/>
        </w:rPr>
        <w:t>2015، الفقرة 7-6].</w:t>
      </w:r>
    </w:p>
  </w:footnote>
  <w:footnote w:id="24">
    <w:p w:rsidR="000F05C8" w:rsidRPr="00E46C7F" w:rsidRDefault="000F05C8" w:rsidP="000F05C8">
      <w:pPr>
        <w:pStyle w:val="FootnoteText"/>
        <w:spacing w:after="60" w:line="300" w:lineRule="exact"/>
        <w:ind w:left="1247" w:right="1247" w:hanging="567"/>
        <w:rPr>
          <w:sz w:val="18"/>
          <w:szCs w:val="26"/>
          <w:rtl/>
        </w:rPr>
      </w:pPr>
      <w:r w:rsidRPr="00E46C7F">
        <w:rPr>
          <w:rFonts w:eastAsia="Traditional Arabic"/>
          <w:sz w:val="18"/>
          <w:szCs w:val="26"/>
          <w:rtl/>
          <w:lang w:val="ar-SA"/>
        </w:rPr>
        <w:t>(</w:t>
      </w:r>
      <w:r w:rsidRPr="00E46C7F">
        <w:rPr>
          <w:rFonts w:eastAsia="Traditional Arabic"/>
          <w:sz w:val="18"/>
          <w:szCs w:val="26"/>
          <w:rtl/>
          <w:lang w:val="ar-SA"/>
        </w:rPr>
        <w:footnoteRef/>
      </w:r>
      <w:r w:rsidRPr="00E46C7F">
        <w:rPr>
          <w:rFonts w:eastAsia="Traditional Arabic"/>
          <w:sz w:val="18"/>
          <w:szCs w:val="26"/>
          <w:rtl/>
          <w:lang w:val="ar-SA"/>
        </w:rPr>
        <w:t>)</w:t>
      </w:r>
      <w:r w:rsidRPr="00E46C7F">
        <w:rPr>
          <w:rFonts w:eastAsia="Traditional Arabic"/>
          <w:sz w:val="18"/>
          <w:szCs w:val="26"/>
          <w:rtl/>
          <w:lang w:val="ar-SA"/>
        </w:rPr>
        <w:tab/>
      </w:r>
      <w:r w:rsidRPr="00E46C7F">
        <w:rPr>
          <w:sz w:val="18"/>
          <w:szCs w:val="26"/>
          <w:rtl/>
          <w:lang w:val="ar-SA"/>
        </w:rPr>
        <w:t xml:space="preserve">انظر </w:t>
      </w:r>
      <w:proofErr w:type="spellStart"/>
      <w:r w:rsidRPr="00E46C7F">
        <w:rPr>
          <w:rFonts w:cs="Times New Roman"/>
          <w:sz w:val="18"/>
          <w:szCs w:val="18"/>
          <w:rtl/>
          <w:lang w:val="ar-SA"/>
        </w:rPr>
        <w:t>Human</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Rights</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Committee</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communication</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No</w:t>
      </w:r>
      <w:proofErr w:type="spellEnd"/>
      <w:r w:rsidRPr="00E46C7F">
        <w:rPr>
          <w:rFonts w:cs="Times New Roman"/>
          <w:sz w:val="18"/>
          <w:szCs w:val="18"/>
          <w:rtl/>
          <w:lang w:val="ar-SA"/>
        </w:rPr>
        <w:t xml:space="preserve">. 2272/2013, </w:t>
      </w:r>
      <w:r w:rsidRPr="00E46C7F">
        <w:rPr>
          <w:rFonts w:cs="Times New Roman"/>
          <w:i/>
          <w:iCs/>
          <w:sz w:val="18"/>
          <w:szCs w:val="18"/>
          <w:rtl/>
          <w:lang w:val="ar-SA"/>
        </w:rPr>
        <w:t xml:space="preserve">P.T. v. </w:t>
      </w:r>
      <w:proofErr w:type="spellStart"/>
      <w:r w:rsidRPr="00E46C7F">
        <w:rPr>
          <w:rFonts w:cs="Times New Roman"/>
          <w:i/>
          <w:iCs/>
          <w:sz w:val="18"/>
          <w:szCs w:val="18"/>
          <w:rtl/>
          <w:lang w:val="ar-SA"/>
        </w:rPr>
        <w:t>Denmark</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Views</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adopted</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on</w:t>
      </w:r>
      <w:proofErr w:type="spellEnd"/>
      <w:r w:rsidRPr="00E46C7F">
        <w:rPr>
          <w:rFonts w:cs="Times New Roman"/>
          <w:sz w:val="18"/>
          <w:szCs w:val="18"/>
          <w:rtl/>
          <w:lang w:val="ar-SA"/>
        </w:rPr>
        <w:t xml:space="preserve"> 1 </w:t>
      </w:r>
      <w:proofErr w:type="spellStart"/>
      <w:r w:rsidRPr="00E46C7F">
        <w:rPr>
          <w:rFonts w:cs="Times New Roman"/>
          <w:sz w:val="18"/>
          <w:szCs w:val="18"/>
          <w:rtl/>
          <w:lang w:val="ar-SA"/>
        </w:rPr>
        <w:t>April</w:t>
      </w:r>
      <w:proofErr w:type="spellEnd"/>
      <w:r w:rsidRPr="00E46C7F">
        <w:rPr>
          <w:rFonts w:cs="Times New Roman"/>
          <w:sz w:val="18"/>
          <w:szCs w:val="18"/>
          <w:rtl/>
          <w:lang w:val="ar-SA"/>
        </w:rPr>
        <w:t xml:space="preserve"> 2015, </w:t>
      </w:r>
      <w:proofErr w:type="spellStart"/>
      <w:r w:rsidRPr="00E46C7F">
        <w:rPr>
          <w:rFonts w:cs="Times New Roman"/>
          <w:sz w:val="18"/>
          <w:szCs w:val="18"/>
          <w:rtl/>
          <w:lang w:val="ar-SA"/>
        </w:rPr>
        <w:t>para</w:t>
      </w:r>
      <w:proofErr w:type="spellEnd"/>
      <w:r w:rsidRPr="00E46C7F">
        <w:rPr>
          <w:rFonts w:cs="Times New Roman"/>
          <w:sz w:val="18"/>
          <w:szCs w:val="18"/>
          <w:rtl/>
          <w:lang w:val="ar-SA"/>
        </w:rPr>
        <w:t>. 7.3</w:t>
      </w:r>
      <w:r w:rsidRPr="00E46C7F">
        <w:rPr>
          <w:sz w:val="18"/>
          <w:szCs w:val="26"/>
          <w:rtl/>
          <w:lang w:val="ar-SA"/>
        </w:rPr>
        <w:t xml:space="preserve"> [اللجنة المعنية بحقوق الإنسان، البلاغ رقم 2272/2013، </w:t>
      </w:r>
      <w:r w:rsidRPr="00E46C7F">
        <w:rPr>
          <w:i/>
          <w:iCs/>
          <w:sz w:val="18"/>
          <w:szCs w:val="26"/>
          <w:rtl/>
          <w:lang w:val="ar-SA"/>
        </w:rPr>
        <w:t>ب. ت. ضد الدانمرك</w:t>
      </w:r>
      <w:r w:rsidRPr="00E46C7F">
        <w:rPr>
          <w:sz w:val="18"/>
          <w:szCs w:val="26"/>
          <w:rtl/>
          <w:lang w:val="ar-SA"/>
        </w:rPr>
        <w:t>، الآراء المعتمدة في 1 نيسان/أبريل 2015].</w:t>
      </w:r>
    </w:p>
  </w:footnote>
  <w:footnote w:id="25">
    <w:p w:rsidR="000F05C8" w:rsidRPr="00E46C7F" w:rsidRDefault="000F05C8" w:rsidP="000F05C8">
      <w:pPr>
        <w:pStyle w:val="FootnoteText"/>
        <w:spacing w:after="60" w:line="300" w:lineRule="exact"/>
        <w:ind w:left="1247" w:right="1247" w:hanging="567"/>
        <w:rPr>
          <w:sz w:val="18"/>
          <w:szCs w:val="26"/>
          <w:rtl/>
        </w:rPr>
      </w:pPr>
      <w:r w:rsidRPr="00E46C7F">
        <w:rPr>
          <w:rFonts w:eastAsia="Traditional Arabic"/>
          <w:sz w:val="18"/>
          <w:szCs w:val="26"/>
          <w:rtl/>
          <w:lang w:val="ar-SA"/>
        </w:rPr>
        <w:t>(</w:t>
      </w:r>
      <w:r w:rsidRPr="00E46C7F">
        <w:rPr>
          <w:rFonts w:eastAsia="Traditional Arabic"/>
          <w:sz w:val="18"/>
          <w:szCs w:val="26"/>
          <w:rtl/>
          <w:lang w:val="ar-SA"/>
        </w:rPr>
        <w:footnoteRef/>
      </w:r>
      <w:r w:rsidRPr="00E46C7F">
        <w:rPr>
          <w:rFonts w:eastAsia="Traditional Arabic"/>
          <w:sz w:val="18"/>
          <w:szCs w:val="26"/>
          <w:rtl/>
          <w:lang w:val="ar-SA"/>
        </w:rPr>
        <w:t>)</w:t>
      </w:r>
      <w:r w:rsidRPr="00E46C7F">
        <w:rPr>
          <w:rFonts w:eastAsia="Traditional Arabic"/>
          <w:sz w:val="18"/>
          <w:szCs w:val="26"/>
          <w:rtl/>
          <w:lang w:val="ar-SA"/>
        </w:rPr>
        <w:tab/>
      </w:r>
      <w:r w:rsidRPr="00313445">
        <w:rPr>
          <w:spacing w:val="-4"/>
          <w:sz w:val="18"/>
          <w:szCs w:val="26"/>
          <w:rtl/>
          <w:lang w:val="ar-SA"/>
        </w:rPr>
        <w:t xml:space="preserve">انظر </w:t>
      </w:r>
      <w:proofErr w:type="spellStart"/>
      <w:r w:rsidRPr="00313445">
        <w:rPr>
          <w:rFonts w:cs="Times New Roman"/>
          <w:spacing w:val="-4"/>
          <w:sz w:val="18"/>
          <w:szCs w:val="18"/>
          <w:rtl/>
          <w:lang w:val="ar-SA"/>
        </w:rPr>
        <w:t>Human</w:t>
      </w:r>
      <w:proofErr w:type="spellEnd"/>
      <w:r w:rsidRPr="00313445">
        <w:rPr>
          <w:rFonts w:cs="Times New Roman"/>
          <w:spacing w:val="-4"/>
          <w:sz w:val="18"/>
          <w:szCs w:val="18"/>
          <w:rtl/>
          <w:lang w:val="ar-SA"/>
        </w:rPr>
        <w:t xml:space="preserve"> </w:t>
      </w:r>
      <w:proofErr w:type="spellStart"/>
      <w:r w:rsidRPr="00313445">
        <w:rPr>
          <w:rFonts w:cs="Times New Roman"/>
          <w:spacing w:val="-4"/>
          <w:sz w:val="18"/>
          <w:szCs w:val="18"/>
          <w:rtl/>
          <w:lang w:val="ar-SA"/>
        </w:rPr>
        <w:t>Rights</w:t>
      </w:r>
      <w:proofErr w:type="spellEnd"/>
      <w:r w:rsidRPr="00313445">
        <w:rPr>
          <w:rFonts w:cs="Times New Roman"/>
          <w:spacing w:val="-4"/>
          <w:sz w:val="18"/>
          <w:szCs w:val="18"/>
          <w:rtl/>
          <w:lang w:val="ar-SA"/>
        </w:rPr>
        <w:t xml:space="preserve"> </w:t>
      </w:r>
      <w:proofErr w:type="spellStart"/>
      <w:r w:rsidRPr="00313445">
        <w:rPr>
          <w:rFonts w:cs="Times New Roman"/>
          <w:spacing w:val="-4"/>
          <w:sz w:val="18"/>
          <w:szCs w:val="18"/>
          <w:rtl/>
          <w:lang w:val="ar-SA"/>
        </w:rPr>
        <w:t>Committee</w:t>
      </w:r>
      <w:proofErr w:type="spellEnd"/>
      <w:r w:rsidRPr="00313445">
        <w:rPr>
          <w:rFonts w:cs="Times New Roman"/>
          <w:spacing w:val="-4"/>
          <w:sz w:val="18"/>
          <w:szCs w:val="18"/>
          <w:rtl/>
          <w:lang w:val="ar-SA"/>
        </w:rPr>
        <w:t xml:space="preserve"> </w:t>
      </w:r>
      <w:proofErr w:type="spellStart"/>
      <w:r w:rsidRPr="00313445">
        <w:rPr>
          <w:rFonts w:cs="Times New Roman"/>
          <w:spacing w:val="-4"/>
          <w:sz w:val="18"/>
          <w:szCs w:val="18"/>
          <w:rtl/>
          <w:lang w:val="ar-SA"/>
        </w:rPr>
        <w:t>communication</w:t>
      </w:r>
      <w:proofErr w:type="spellEnd"/>
      <w:r w:rsidRPr="00313445">
        <w:rPr>
          <w:rFonts w:cs="Times New Roman"/>
          <w:spacing w:val="-4"/>
          <w:sz w:val="18"/>
          <w:szCs w:val="18"/>
          <w:rtl/>
          <w:lang w:val="ar-SA"/>
        </w:rPr>
        <w:t xml:space="preserve"> </w:t>
      </w:r>
      <w:proofErr w:type="spellStart"/>
      <w:r w:rsidRPr="00313445">
        <w:rPr>
          <w:rFonts w:cs="Times New Roman"/>
          <w:spacing w:val="-4"/>
          <w:sz w:val="18"/>
          <w:szCs w:val="18"/>
          <w:rtl/>
          <w:lang w:val="ar-SA"/>
        </w:rPr>
        <w:t>No</w:t>
      </w:r>
      <w:proofErr w:type="spellEnd"/>
      <w:r w:rsidRPr="00313445">
        <w:rPr>
          <w:rFonts w:cs="Times New Roman"/>
          <w:spacing w:val="-4"/>
          <w:sz w:val="18"/>
          <w:szCs w:val="18"/>
          <w:rtl/>
          <w:lang w:val="ar-SA"/>
        </w:rPr>
        <w:t xml:space="preserve">. 2393/2014, </w:t>
      </w:r>
      <w:r w:rsidRPr="00313445">
        <w:rPr>
          <w:rFonts w:cs="Times New Roman"/>
          <w:i/>
          <w:iCs/>
          <w:spacing w:val="-4"/>
          <w:sz w:val="18"/>
          <w:szCs w:val="18"/>
          <w:rtl/>
          <w:lang w:val="ar-SA"/>
        </w:rPr>
        <w:t xml:space="preserve">K v. </w:t>
      </w:r>
      <w:proofErr w:type="spellStart"/>
      <w:r w:rsidRPr="00313445">
        <w:rPr>
          <w:rFonts w:cs="Times New Roman"/>
          <w:i/>
          <w:iCs/>
          <w:spacing w:val="-4"/>
          <w:sz w:val="18"/>
          <w:szCs w:val="18"/>
          <w:rtl/>
          <w:lang w:val="ar-SA"/>
        </w:rPr>
        <w:t>Denmark</w:t>
      </w:r>
      <w:proofErr w:type="spellEnd"/>
      <w:r w:rsidRPr="00313445">
        <w:rPr>
          <w:rFonts w:cs="Times New Roman"/>
          <w:spacing w:val="-4"/>
          <w:sz w:val="18"/>
          <w:szCs w:val="18"/>
          <w:rtl/>
          <w:lang w:val="ar-SA"/>
        </w:rPr>
        <w:t xml:space="preserve">, </w:t>
      </w:r>
      <w:proofErr w:type="spellStart"/>
      <w:r w:rsidRPr="00313445">
        <w:rPr>
          <w:rFonts w:cs="Times New Roman"/>
          <w:spacing w:val="-4"/>
          <w:sz w:val="18"/>
          <w:szCs w:val="18"/>
          <w:rtl/>
          <w:lang w:val="ar-SA"/>
        </w:rPr>
        <w:t>Views</w:t>
      </w:r>
      <w:proofErr w:type="spellEnd"/>
      <w:r w:rsidRPr="00313445">
        <w:rPr>
          <w:rFonts w:cs="Times New Roman"/>
          <w:spacing w:val="-4"/>
          <w:sz w:val="18"/>
          <w:szCs w:val="18"/>
          <w:rtl/>
          <w:lang w:val="ar-SA"/>
        </w:rPr>
        <w:t xml:space="preserve"> </w:t>
      </w:r>
      <w:proofErr w:type="spellStart"/>
      <w:r w:rsidRPr="00313445">
        <w:rPr>
          <w:rFonts w:cs="Times New Roman"/>
          <w:spacing w:val="-4"/>
          <w:sz w:val="18"/>
          <w:szCs w:val="18"/>
          <w:rtl/>
          <w:lang w:val="ar-SA"/>
        </w:rPr>
        <w:t>adopted</w:t>
      </w:r>
      <w:proofErr w:type="spellEnd"/>
      <w:r w:rsidRPr="00313445">
        <w:rPr>
          <w:rFonts w:cs="Times New Roman"/>
          <w:spacing w:val="-4"/>
          <w:sz w:val="18"/>
          <w:szCs w:val="18"/>
          <w:rtl/>
          <w:lang w:val="ar-SA"/>
        </w:rPr>
        <w:t xml:space="preserve"> </w:t>
      </w:r>
      <w:proofErr w:type="spellStart"/>
      <w:r w:rsidRPr="00313445">
        <w:rPr>
          <w:rFonts w:cs="Times New Roman"/>
          <w:spacing w:val="-4"/>
          <w:sz w:val="18"/>
          <w:szCs w:val="18"/>
          <w:rtl/>
          <w:lang w:val="ar-SA"/>
        </w:rPr>
        <w:t>on</w:t>
      </w:r>
      <w:proofErr w:type="spellEnd"/>
      <w:r w:rsidRPr="00313445">
        <w:rPr>
          <w:rFonts w:cs="Times New Roman"/>
          <w:spacing w:val="-4"/>
          <w:sz w:val="18"/>
          <w:szCs w:val="18"/>
          <w:rtl/>
          <w:lang w:val="ar-SA"/>
        </w:rPr>
        <w:t xml:space="preserve"> 16</w:t>
      </w:r>
      <w:r w:rsidRPr="00E46C7F">
        <w:rPr>
          <w:rFonts w:cs="Times New Roman"/>
          <w:sz w:val="18"/>
          <w:szCs w:val="18"/>
          <w:rtl/>
          <w:lang w:val="ar-SA"/>
        </w:rPr>
        <w:t xml:space="preserve"> </w:t>
      </w:r>
      <w:proofErr w:type="spellStart"/>
      <w:r w:rsidRPr="00E46C7F">
        <w:rPr>
          <w:rFonts w:cs="Times New Roman"/>
          <w:sz w:val="18"/>
          <w:szCs w:val="18"/>
          <w:rtl/>
          <w:lang w:val="ar-SA"/>
        </w:rPr>
        <w:t>July</w:t>
      </w:r>
      <w:proofErr w:type="spellEnd"/>
      <w:r w:rsidRPr="00E46C7F">
        <w:rPr>
          <w:rFonts w:cs="Times New Roman"/>
          <w:sz w:val="18"/>
          <w:szCs w:val="18"/>
          <w:rtl/>
          <w:lang w:val="ar-SA"/>
        </w:rPr>
        <w:t xml:space="preserve"> 2015, </w:t>
      </w:r>
      <w:proofErr w:type="spellStart"/>
      <w:r w:rsidRPr="00E46C7F">
        <w:rPr>
          <w:rFonts w:cs="Times New Roman"/>
          <w:sz w:val="18"/>
          <w:szCs w:val="18"/>
          <w:rtl/>
          <w:lang w:val="ar-SA"/>
        </w:rPr>
        <w:t>paras</w:t>
      </w:r>
      <w:proofErr w:type="spellEnd"/>
      <w:r w:rsidRPr="00E46C7F">
        <w:rPr>
          <w:rFonts w:cs="Times New Roman"/>
          <w:sz w:val="18"/>
          <w:szCs w:val="18"/>
          <w:rtl/>
          <w:lang w:val="ar-SA"/>
        </w:rPr>
        <w:t xml:space="preserve">. 7.4 </w:t>
      </w:r>
      <w:proofErr w:type="spellStart"/>
      <w:r w:rsidRPr="00E46C7F">
        <w:rPr>
          <w:rFonts w:cs="Times New Roman"/>
          <w:sz w:val="18"/>
          <w:szCs w:val="18"/>
          <w:rtl/>
          <w:lang w:val="ar-SA"/>
        </w:rPr>
        <w:t>and</w:t>
      </w:r>
      <w:proofErr w:type="spellEnd"/>
      <w:r w:rsidRPr="00E46C7F">
        <w:rPr>
          <w:rFonts w:cs="Times New Roman"/>
          <w:sz w:val="18"/>
          <w:szCs w:val="18"/>
          <w:rtl/>
          <w:lang w:val="ar-SA"/>
        </w:rPr>
        <w:t xml:space="preserve"> 7.5</w:t>
      </w:r>
      <w:r w:rsidRPr="00E46C7F">
        <w:rPr>
          <w:sz w:val="18"/>
          <w:szCs w:val="26"/>
          <w:rtl/>
          <w:lang w:val="ar-SA"/>
        </w:rPr>
        <w:t xml:space="preserve"> [اللجنة المعنية بحقوق الإنسان البلاغ رقم 2393/2014، </w:t>
      </w:r>
      <w:r w:rsidRPr="00E46C7F">
        <w:rPr>
          <w:i/>
          <w:iCs/>
          <w:sz w:val="18"/>
          <w:szCs w:val="26"/>
          <w:rtl/>
          <w:lang w:val="ar-SA"/>
        </w:rPr>
        <w:t>ك. ضد الدانمرك</w:t>
      </w:r>
      <w:r w:rsidRPr="00E46C7F">
        <w:rPr>
          <w:sz w:val="18"/>
          <w:szCs w:val="26"/>
          <w:rtl/>
          <w:lang w:val="ar-SA"/>
        </w:rPr>
        <w:t>، الآراء المعتمدة في 16 تموز/يوليه 2015، الفقرتان 7-4 و7-5].</w:t>
      </w:r>
    </w:p>
  </w:footnote>
  <w:footnote w:id="26">
    <w:p w:rsidR="000F05C8" w:rsidRPr="00E46C7F" w:rsidRDefault="000F05C8" w:rsidP="000F05C8">
      <w:pPr>
        <w:pStyle w:val="FootnoteText"/>
        <w:spacing w:after="60" w:line="300" w:lineRule="exact"/>
        <w:ind w:left="1247" w:right="1247" w:hanging="567"/>
        <w:rPr>
          <w:sz w:val="18"/>
          <w:szCs w:val="26"/>
          <w:rtl/>
        </w:rPr>
      </w:pPr>
      <w:r w:rsidRPr="00E46C7F">
        <w:rPr>
          <w:rFonts w:eastAsia="Traditional Arabic"/>
          <w:sz w:val="18"/>
          <w:szCs w:val="26"/>
          <w:rtl/>
          <w:lang w:val="ar-SA"/>
        </w:rPr>
        <w:t>(</w:t>
      </w:r>
      <w:r w:rsidRPr="00E46C7F">
        <w:rPr>
          <w:rFonts w:eastAsia="Traditional Arabic"/>
          <w:sz w:val="18"/>
          <w:szCs w:val="26"/>
          <w:rtl/>
          <w:lang w:val="ar-SA"/>
        </w:rPr>
        <w:footnoteRef/>
      </w:r>
      <w:r w:rsidRPr="00E46C7F">
        <w:rPr>
          <w:rFonts w:eastAsia="Traditional Arabic"/>
          <w:sz w:val="18"/>
          <w:szCs w:val="26"/>
          <w:rtl/>
          <w:lang w:val="ar-SA"/>
        </w:rPr>
        <w:t>)</w:t>
      </w:r>
      <w:r w:rsidRPr="00E46C7F">
        <w:rPr>
          <w:rFonts w:eastAsia="Traditional Arabic"/>
          <w:sz w:val="18"/>
          <w:szCs w:val="26"/>
          <w:rtl/>
          <w:lang w:val="ar-SA"/>
        </w:rPr>
        <w:tab/>
      </w:r>
      <w:r w:rsidRPr="00313445">
        <w:rPr>
          <w:spacing w:val="-2"/>
          <w:sz w:val="18"/>
          <w:szCs w:val="26"/>
          <w:rtl/>
          <w:lang w:val="ar-SA"/>
        </w:rPr>
        <w:t xml:space="preserve">انظر </w:t>
      </w:r>
      <w:proofErr w:type="spellStart"/>
      <w:r w:rsidRPr="00313445">
        <w:rPr>
          <w:rFonts w:cs="Times New Roman"/>
          <w:spacing w:val="-2"/>
          <w:sz w:val="18"/>
          <w:szCs w:val="18"/>
          <w:rtl/>
          <w:lang w:val="ar-SA"/>
        </w:rPr>
        <w:t>Human</w:t>
      </w:r>
      <w:proofErr w:type="spellEnd"/>
      <w:r w:rsidRPr="00313445">
        <w:rPr>
          <w:rFonts w:cs="Times New Roman"/>
          <w:spacing w:val="-2"/>
          <w:sz w:val="18"/>
          <w:szCs w:val="18"/>
          <w:rtl/>
          <w:lang w:val="ar-SA"/>
        </w:rPr>
        <w:t xml:space="preserve"> </w:t>
      </w:r>
      <w:proofErr w:type="spellStart"/>
      <w:r w:rsidRPr="00313445">
        <w:rPr>
          <w:rFonts w:cs="Times New Roman"/>
          <w:spacing w:val="-2"/>
          <w:sz w:val="18"/>
          <w:szCs w:val="18"/>
          <w:rtl/>
          <w:lang w:val="ar-SA"/>
        </w:rPr>
        <w:t>Rights</w:t>
      </w:r>
      <w:proofErr w:type="spellEnd"/>
      <w:r w:rsidRPr="00313445">
        <w:rPr>
          <w:rFonts w:cs="Times New Roman"/>
          <w:spacing w:val="-2"/>
          <w:sz w:val="18"/>
          <w:szCs w:val="18"/>
          <w:rtl/>
          <w:lang w:val="ar-SA"/>
        </w:rPr>
        <w:t xml:space="preserve"> </w:t>
      </w:r>
      <w:proofErr w:type="spellStart"/>
      <w:r w:rsidRPr="00313445">
        <w:rPr>
          <w:rFonts w:cs="Times New Roman"/>
          <w:spacing w:val="-2"/>
          <w:sz w:val="18"/>
          <w:szCs w:val="18"/>
          <w:rtl/>
          <w:lang w:val="ar-SA"/>
        </w:rPr>
        <w:t>Committee</w:t>
      </w:r>
      <w:proofErr w:type="spellEnd"/>
      <w:r w:rsidRPr="00313445">
        <w:rPr>
          <w:rFonts w:cs="Times New Roman"/>
          <w:spacing w:val="-2"/>
          <w:sz w:val="18"/>
          <w:szCs w:val="18"/>
          <w:rtl/>
          <w:lang w:val="ar-SA"/>
        </w:rPr>
        <w:t xml:space="preserve"> </w:t>
      </w:r>
      <w:proofErr w:type="spellStart"/>
      <w:r w:rsidRPr="00313445">
        <w:rPr>
          <w:rFonts w:cs="Times New Roman"/>
          <w:spacing w:val="-2"/>
          <w:sz w:val="18"/>
          <w:szCs w:val="18"/>
          <w:rtl/>
          <w:lang w:val="ar-SA"/>
        </w:rPr>
        <w:t>communication</w:t>
      </w:r>
      <w:proofErr w:type="spellEnd"/>
      <w:r w:rsidRPr="00313445">
        <w:rPr>
          <w:rFonts w:cs="Times New Roman"/>
          <w:spacing w:val="-2"/>
          <w:sz w:val="18"/>
          <w:szCs w:val="18"/>
          <w:rtl/>
          <w:lang w:val="ar-SA"/>
        </w:rPr>
        <w:t xml:space="preserve"> </w:t>
      </w:r>
      <w:proofErr w:type="spellStart"/>
      <w:r w:rsidRPr="00313445">
        <w:rPr>
          <w:rFonts w:cs="Times New Roman"/>
          <w:spacing w:val="-2"/>
          <w:sz w:val="18"/>
          <w:szCs w:val="18"/>
          <w:rtl/>
          <w:lang w:val="ar-SA"/>
        </w:rPr>
        <w:t>No</w:t>
      </w:r>
      <w:proofErr w:type="spellEnd"/>
      <w:r w:rsidRPr="00313445">
        <w:rPr>
          <w:rFonts w:cs="Times New Roman"/>
          <w:spacing w:val="-2"/>
          <w:sz w:val="18"/>
          <w:szCs w:val="18"/>
          <w:rtl/>
          <w:lang w:val="ar-SA"/>
        </w:rPr>
        <w:t xml:space="preserve">. 2426/2014, </w:t>
      </w:r>
      <w:r w:rsidRPr="00313445">
        <w:rPr>
          <w:rFonts w:cs="Times New Roman"/>
          <w:i/>
          <w:iCs/>
          <w:spacing w:val="-2"/>
          <w:sz w:val="18"/>
          <w:szCs w:val="18"/>
          <w:rtl/>
          <w:lang w:val="ar-SA"/>
        </w:rPr>
        <w:t xml:space="preserve">N v. </w:t>
      </w:r>
      <w:proofErr w:type="spellStart"/>
      <w:r w:rsidRPr="00313445">
        <w:rPr>
          <w:rFonts w:cs="Times New Roman"/>
          <w:i/>
          <w:iCs/>
          <w:spacing w:val="-2"/>
          <w:sz w:val="18"/>
          <w:szCs w:val="18"/>
          <w:rtl/>
          <w:lang w:val="ar-SA"/>
        </w:rPr>
        <w:t>Denmark</w:t>
      </w:r>
      <w:proofErr w:type="spellEnd"/>
      <w:r w:rsidRPr="00313445">
        <w:rPr>
          <w:rFonts w:cs="Times New Roman"/>
          <w:spacing w:val="-2"/>
          <w:sz w:val="18"/>
          <w:szCs w:val="18"/>
          <w:rtl/>
          <w:lang w:val="ar-SA"/>
        </w:rPr>
        <w:t xml:space="preserve">, </w:t>
      </w:r>
      <w:proofErr w:type="spellStart"/>
      <w:r w:rsidRPr="00313445">
        <w:rPr>
          <w:rFonts w:cs="Times New Roman"/>
          <w:spacing w:val="-2"/>
          <w:sz w:val="18"/>
          <w:szCs w:val="18"/>
          <w:rtl/>
          <w:lang w:val="ar-SA"/>
        </w:rPr>
        <w:t>Views</w:t>
      </w:r>
      <w:proofErr w:type="spellEnd"/>
      <w:r w:rsidRPr="00313445">
        <w:rPr>
          <w:rFonts w:cs="Times New Roman"/>
          <w:spacing w:val="-2"/>
          <w:sz w:val="18"/>
          <w:szCs w:val="18"/>
          <w:rtl/>
          <w:lang w:val="ar-SA"/>
        </w:rPr>
        <w:t xml:space="preserve"> </w:t>
      </w:r>
      <w:proofErr w:type="spellStart"/>
      <w:r w:rsidRPr="00313445">
        <w:rPr>
          <w:rFonts w:cs="Times New Roman"/>
          <w:spacing w:val="-2"/>
          <w:sz w:val="18"/>
          <w:szCs w:val="18"/>
          <w:rtl/>
          <w:lang w:val="ar-SA"/>
        </w:rPr>
        <w:t>adopted</w:t>
      </w:r>
      <w:proofErr w:type="spellEnd"/>
      <w:r w:rsidRPr="00313445">
        <w:rPr>
          <w:rFonts w:cs="Times New Roman"/>
          <w:spacing w:val="-2"/>
          <w:sz w:val="18"/>
          <w:szCs w:val="18"/>
          <w:rtl/>
          <w:lang w:val="ar-SA"/>
        </w:rPr>
        <w:t xml:space="preserve"> </w:t>
      </w:r>
      <w:proofErr w:type="spellStart"/>
      <w:r w:rsidRPr="00313445">
        <w:rPr>
          <w:rFonts w:cs="Times New Roman"/>
          <w:spacing w:val="-2"/>
          <w:sz w:val="18"/>
          <w:szCs w:val="18"/>
          <w:rtl/>
          <w:lang w:val="ar-SA"/>
        </w:rPr>
        <w:t>on</w:t>
      </w:r>
      <w:proofErr w:type="spellEnd"/>
      <w:r w:rsidRPr="00313445">
        <w:rPr>
          <w:rFonts w:cs="Times New Roman"/>
          <w:spacing w:val="-2"/>
          <w:sz w:val="18"/>
          <w:szCs w:val="18"/>
          <w:rtl/>
          <w:lang w:val="ar-SA"/>
        </w:rPr>
        <w:t xml:space="preserve"> 23 </w:t>
      </w:r>
      <w:proofErr w:type="spellStart"/>
      <w:r w:rsidRPr="00313445">
        <w:rPr>
          <w:rFonts w:cs="Times New Roman"/>
          <w:spacing w:val="-2"/>
          <w:sz w:val="18"/>
          <w:szCs w:val="18"/>
          <w:rtl/>
          <w:lang w:val="ar-SA"/>
        </w:rPr>
        <w:t>July</w:t>
      </w:r>
      <w:proofErr w:type="spellEnd"/>
      <w:r w:rsidRPr="00313445">
        <w:rPr>
          <w:rFonts w:cs="Times New Roman"/>
          <w:spacing w:val="-2"/>
          <w:sz w:val="18"/>
          <w:szCs w:val="18"/>
          <w:rtl/>
          <w:lang w:val="ar-SA"/>
        </w:rPr>
        <w:t xml:space="preserve"> 2015, </w:t>
      </w:r>
      <w:proofErr w:type="spellStart"/>
      <w:r w:rsidRPr="00313445">
        <w:rPr>
          <w:rFonts w:cs="Times New Roman"/>
          <w:spacing w:val="-2"/>
          <w:sz w:val="18"/>
          <w:szCs w:val="18"/>
          <w:rtl/>
          <w:lang w:val="ar-SA"/>
        </w:rPr>
        <w:t>para</w:t>
      </w:r>
      <w:proofErr w:type="spellEnd"/>
      <w:r w:rsidRPr="00313445">
        <w:rPr>
          <w:rFonts w:cs="Times New Roman"/>
          <w:spacing w:val="-2"/>
          <w:sz w:val="18"/>
          <w:szCs w:val="18"/>
          <w:rtl/>
          <w:lang w:val="ar-SA"/>
        </w:rPr>
        <w:t>. 6.6</w:t>
      </w:r>
      <w:r w:rsidRPr="00E46C7F">
        <w:rPr>
          <w:sz w:val="18"/>
          <w:szCs w:val="26"/>
          <w:rtl/>
          <w:lang w:val="ar-SA"/>
        </w:rPr>
        <w:t xml:space="preserve"> [اللجنة المعنية بحقوق الإنسان، البلاغ رقم 2426/2014، </w:t>
      </w:r>
      <w:r w:rsidRPr="00E46C7F">
        <w:rPr>
          <w:i/>
          <w:iCs/>
          <w:sz w:val="18"/>
          <w:szCs w:val="26"/>
          <w:rtl/>
          <w:lang w:val="ar-SA"/>
        </w:rPr>
        <w:t>ن. ضد الدانمرك</w:t>
      </w:r>
      <w:r w:rsidRPr="00E46C7F">
        <w:rPr>
          <w:sz w:val="18"/>
          <w:szCs w:val="26"/>
          <w:rtl/>
          <w:lang w:val="ar-SA"/>
        </w:rPr>
        <w:t>، الآراء المعتمدة في 23 تموز/يوليه 2015، الفقرة 6-6].</w:t>
      </w:r>
    </w:p>
  </w:footnote>
  <w:footnote w:id="27">
    <w:p w:rsidR="000F05C8" w:rsidRPr="00E46C7F" w:rsidRDefault="000F05C8" w:rsidP="000F05C8">
      <w:pPr>
        <w:pStyle w:val="FootnoteText"/>
        <w:spacing w:after="60" w:line="300" w:lineRule="exact"/>
        <w:ind w:left="1247" w:right="1247" w:hanging="567"/>
        <w:rPr>
          <w:sz w:val="18"/>
          <w:szCs w:val="26"/>
          <w:rtl/>
        </w:rPr>
      </w:pPr>
      <w:r w:rsidRPr="00E46C7F">
        <w:rPr>
          <w:rFonts w:eastAsia="Traditional Arabic"/>
          <w:sz w:val="18"/>
          <w:szCs w:val="26"/>
          <w:rtl/>
          <w:lang w:val="ar-SA"/>
        </w:rPr>
        <w:t>(</w:t>
      </w:r>
      <w:r w:rsidRPr="00E46C7F">
        <w:rPr>
          <w:rFonts w:eastAsia="Traditional Arabic"/>
          <w:sz w:val="18"/>
          <w:szCs w:val="26"/>
          <w:rtl/>
          <w:lang w:val="ar-SA"/>
        </w:rPr>
        <w:footnoteRef/>
      </w:r>
      <w:r w:rsidRPr="00E46C7F">
        <w:rPr>
          <w:rFonts w:eastAsia="Traditional Arabic"/>
          <w:sz w:val="18"/>
          <w:szCs w:val="26"/>
          <w:rtl/>
          <w:lang w:val="ar-SA"/>
        </w:rPr>
        <w:t>)</w:t>
      </w:r>
      <w:r w:rsidRPr="00E46C7F">
        <w:rPr>
          <w:rFonts w:eastAsia="Traditional Arabic"/>
          <w:sz w:val="18"/>
          <w:szCs w:val="26"/>
          <w:rtl/>
          <w:lang w:val="ar-SA"/>
        </w:rPr>
        <w:tab/>
      </w:r>
      <w:r w:rsidRPr="00E46C7F">
        <w:rPr>
          <w:sz w:val="18"/>
          <w:szCs w:val="26"/>
          <w:rtl/>
          <w:lang w:val="ar-SA"/>
        </w:rPr>
        <w:t xml:space="preserve">تقدم الدولة الطرف أيضاً إحصاءات عن السوابق القضائية لسلطات الهجرة </w:t>
      </w:r>
      <w:proofErr w:type="spellStart"/>
      <w:r w:rsidRPr="00E46C7F">
        <w:rPr>
          <w:sz w:val="18"/>
          <w:szCs w:val="26"/>
          <w:rtl/>
          <w:lang w:val="ar-SA"/>
        </w:rPr>
        <w:t>الدانمركية</w:t>
      </w:r>
      <w:proofErr w:type="spellEnd"/>
      <w:r w:rsidRPr="00E46C7F">
        <w:rPr>
          <w:sz w:val="18"/>
          <w:szCs w:val="26"/>
          <w:rtl/>
          <w:lang w:val="ar-SA"/>
        </w:rPr>
        <w:t xml:space="preserve"> تبين جملة أمور، منها معدلات الموافقة على طلبات اللجوء المقدمة من أكبر 10 مجموعات وطنية من طالبي اللجوء التي بتَّ فيها مجلس طعون اللاجئين في الفترة من عام 2013 وعام 2015. </w:t>
      </w:r>
    </w:p>
  </w:footnote>
  <w:footnote w:id="28">
    <w:p w:rsidR="000F05C8" w:rsidRPr="00E46C7F" w:rsidRDefault="000F05C8" w:rsidP="000F05C8">
      <w:pPr>
        <w:pStyle w:val="FootnoteText"/>
        <w:spacing w:after="60" w:line="300" w:lineRule="exact"/>
        <w:ind w:left="1247" w:right="1247" w:hanging="567"/>
        <w:rPr>
          <w:sz w:val="18"/>
          <w:szCs w:val="26"/>
          <w:rtl/>
        </w:rPr>
      </w:pPr>
      <w:r w:rsidRPr="00E46C7F">
        <w:rPr>
          <w:rFonts w:eastAsia="Traditional Arabic"/>
          <w:sz w:val="18"/>
          <w:szCs w:val="26"/>
          <w:rtl/>
          <w:lang w:val="ar-SA"/>
        </w:rPr>
        <w:t>(</w:t>
      </w:r>
      <w:r w:rsidRPr="00E46C7F">
        <w:rPr>
          <w:rFonts w:eastAsia="Traditional Arabic"/>
          <w:sz w:val="18"/>
          <w:szCs w:val="26"/>
          <w:rtl/>
          <w:lang w:val="ar-SA"/>
        </w:rPr>
        <w:footnoteRef/>
      </w:r>
      <w:r w:rsidRPr="00E46C7F">
        <w:rPr>
          <w:rFonts w:eastAsia="Traditional Arabic"/>
          <w:sz w:val="18"/>
          <w:szCs w:val="26"/>
          <w:rtl/>
          <w:lang w:val="ar-SA"/>
        </w:rPr>
        <w:t>)</w:t>
      </w:r>
      <w:r w:rsidRPr="00E46C7F">
        <w:rPr>
          <w:rFonts w:eastAsia="Traditional Arabic"/>
          <w:sz w:val="18"/>
          <w:szCs w:val="26"/>
          <w:rtl/>
          <w:lang w:val="ar-SA"/>
        </w:rPr>
        <w:tab/>
      </w:r>
      <w:r w:rsidRPr="00E46C7F">
        <w:rPr>
          <w:sz w:val="18"/>
          <w:szCs w:val="26"/>
          <w:rtl/>
          <w:lang w:val="ar-SA"/>
        </w:rPr>
        <w:t xml:space="preserve">انظر، في جملة أمور، </w:t>
      </w:r>
      <w:proofErr w:type="spellStart"/>
      <w:r w:rsidRPr="00E46C7F">
        <w:rPr>
          <w:rFonts w:cs="Times New Roman"/>
          <w:sz w:val="18"/>
          <w:szCs w:val="18"/>
          <w:rtl/>
          <w:lang w:val="ar-SA"/>
        </w:rPr>
        <w:t>communication</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No</w:t>
      </w:r>
      <w:proofErr w:type="spellEnd"/>
      <w:r w:rsidRPr="00E46C7F">
        <w:rPr>
          <w:rFonts w:cs="Times New Roman"/>
          <w:sz w:val="18"/>
          <w:szCs w:val="18"/>
          <w:rtl/>
          <w:lang w:val="ar-SA"/>
        </w:rPr>
        <w:t xml:space="preserve">. 308/2006, </w:t>
      </w:r>
      <w:r w:rsidRPr="00E46C7F">
        <w:rPr>
          <w:rFonts w:cs="Times New Roman"/>
          <w:i/>
          <w:iCs/>
          <w:sz w:val="18"/>
          <w:szCs w:val="18"/>
          <w:rtl/>
          <w:lang w:val="ar-SA"/>
        </w:rPr>
        <w:t xml:space="preserve">K.A. </w:t>
      </w:r>
      <w:proofErr w:type="spellStart"/>
      <w:r w:rsidRPr="00E46C7F">
        <w:rPr>
          <w:rFonts w:cs="Times New Roman"/>
          <w:i/>
          <w:iCs/>
          <w:sz w:val="18"/>
          <w:szCs w:val="18"/>
          <w:rtl/>
          <w:lang w:val="ar-SA"/>
        </w:rPr>
        <w:t>et</w:t>
      </w:r>
      <w:proofErr w:type="spellEnd"/>
      <w:r w:rsidRPr="00E46C7F">
        <w:rPr>
          <w:rFonts w:cs="Times New Roman"/>
          <w:i/>
          <w:iCs/>
          <w:sz w:val="18"/>
          <w:szCs w:val="18"/>
          <w:rtl/>
          <w:lang w:val="ar-SA"/>
        </w:rPr>
        <w:t xml:space="preserve"> </w:t>
      </w:r>
      <w:proofErr w:type="spellStart"/>
      <w:r w:rsidRPr="00E46C7F">
        <w:rPr>
          <w:rFonts w:cs="Times New Roman"/>
          <w:i/>
          <w:iCs/>
          <w:sz w:val="18"/>
          <w:szCs w:val="18"/>
          <w:rtl/>
          <w:lang w:val="ar-SA"/>
        </w:rPr>
        <w:t>al</w:t>
      </w:r>
      <w:proofErr w:type="spellEnd"/>
      <w:r w:rsidRPr="00E46C7F">
        <w:rPr>
          <w:rFonts w:cs="Times New Roman"/>
          <w:i/>
          <w:iCs/>
          <w:sz w:val="18"/>
          <w:szCs w:val="18"/>
          <w:rtl/>
          <w:lang w:val="ar-SA"/>
        </w:rPr>
        <w:t xml:space="preserve">. v. </w:t>
      </w:r>
      <w:proofErr w:type="spellStart"/>
      <w:r w:rsidRPr="00E46C7F">
        <w:rPr>
          <w:rFonts w:cs="Times New Roman"/>
          <w:i/>
          <w:iCs/>
          <w:sz w:val="18"/>
          <w:szCs w:val="18"/>
          <w:rtl/>
          <w:lang w:val="ar-SA"/>
        </w:rPr>
        <w:t>Sweden</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decision</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adopted</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on</w:t>
      </w:r>
      <w:proofErr w:type="spellEnd"/>
      <w:r w:rsidRPr="00E46C7F">
        <w:rPr>
          <w:rFonts w:cs="Times New Roman"/>
          <w:sz w:val="18"/>
          <w:szCs w:val="18"/>
          <w:rtl/>
          <w:lang w:val="ar-SA"/>
        </w:rPr>
        <w:t xml:space="preserve"> 16 </w:t>
      </w:r>
      <w:proofErr w:type="spellStart"/>
      <w:r w:rsidRPr="00E46C7F">
        <w:rPr>
          <w:rFonts w:cs="Times New Roman"/>
          <w:sz w:val="18"/>
          <w:szCs w:val="18"/>
          <w:rtl/>
          <w:lang w:val="ar-SA"/>
        </w:rPr>
        <w:t>November</w:t>
      </w:r>
      <w:proofErr w:type="spellEnd"/>
      <w:r w:rsidRPr="00E46C7F">
        <w:rPr>
          <w:rFonts w:cs="Times New Roman"/>
          <w:sz w:val="18"/>
          <w:szCs w:val="18"/>
          <w:rtl/>
          <w:lang w:val="ar-SA"/>
        </w:rPr>
        <w:t xml:space="preserve"> 2007, </w:t>
      </w:r>
      <w:proofErr w:type="spellStart"/>
      <w:r w:rsidRPr="00E46C7F">
        <w:rPr>
          <w:rFonts w:cs="Times New Roman"/>
          <w:sz w:val="18"/>
          <w:szCs w:val="18"/>
          <w:rtl/>
          <w:lang w:val="ar-SA"/>
        </w:rPr>
        <w:t>para</w:t>
      </w:r>
      <w:proofErr w:type="spellEnd"/>
      <w:r w:rsidRPr="00E46C7F">
        <w:rPr>
          <w:rFonts w:cs="Times New Roman"/>
          <w:sz w:val="18"/>
          <w:szCs w:val="18"/>
          <w:rtl/>
          <w:lang w:val="ar-SA"/>
        </w:rPr>
        <w:t>. 7.2</w:t>
      </w:r>
      <w:r w:rsidRPr="00E46C7F">
        <w:rPr>
          <w:sz w:val="18"/>
          <w:szCs w:val="26"/>
          <w:rtl/>
          <w:lang w:val="ar-SA"/>
        </w:rPr>
        <w:t xml:space="preserve"> [البلاغ رقم 308/2006، </w:t>
      </w:r>
      <w:r w:rsidRPr="00E46C7F">
        <w:rPr>
          <w:i/>
          <w:iCs/>
          <w:sz w:val="18"/>
          <w:szCs w:val="26"/>
          <w:rtl/>
          <w:lang w:val="ar-SA"/>
        </w:rPr>
        <w:t>ك. أ. وآخرون ضد السويد</w:t>
      </w:r>
      <w:r w:rsidRPr="00E46C7F">
        <w:rPr>
          <w:sz w:val="18"/>
          <w:szCs w:val="26"/>
          <w:rtl/>
          <w:lang w:val="ar-SA"/>
        </w:rPr>
        <w:t>، القرار المعتمد في 16 تشرين الثاني/نوفمبر 2007، الفقرة 7-2].</w:t>
      </w:r>
    </w:p>
  </w:footnote>
  <w:footnote w:id="29">
    <w:p w:rsidR="000F05C8" w:rsidRPr="00E46C7F" w:rsidRDefault="000F05C8" w:rsidP="000F05C8">
      <w:pPr>
        <w:pStyle w:val="FootnoteText"/>
        <w:spacing w:after="60" w:line="300" w:lineRule="exact"/>
        <w:ind w:left="1247" w:right="1247" w:hanging="567"/>
        <w:rPr>
          <w:sz w:val="18"/>
          <w:szCs w:val="26"/>
          <w:rtl/>
        </w:rPr>
      </w:pPr>
      <w:r w:rsidRPr="00E46C7F">
        <w:rPr>
          <w:rFonts w:eastAsia="Traditional Arabic"/>
          <w:sz w:val="18"/>
          <w:szCs w:val="26"/>
          <w:rtl/>
          <w:lang w:val="ar-SA"/>
        </w:rPr>
        <w:t>(</w:t>
      </w:r>
      <w:r w:rsidRPr="00E46C7F">
        <w:rPr>
          <w:rFonts w:eastAsia="Traditional Arabic"/>
          <w:sz w:val="18"/>
          <w:szCs w:val="26"/>
          <w:rtl/>
          <w:lang w:val="ar-SA"/>
        </w:rPr>
        <w:footnoteRef/>
      </w:r>
      <w:r w:rsidRPr="00E46C7F">
        <w:rPr>
          <w:rFonts w:eastAsia="Traditional Arabic"/>
          <w:sz w:val="18"/>
          <w:szCs w:val="26"/>
          <w:rtl/>
          <w:lang w:val="ar-SA"/>
        </w:rPr>
        <w:t>)</w:t>
      </w:r>
      <w:r w:rsidRPr="00E46C7F">
        <w:rPr>
          <w:rFonts w:eastAsia="Traditional Arabic"/>
          <w:sz w:val="18"/>
          <w:szCs w:val="26"/>
          <w:rtl/>
          <w:lang w:val="ar-SA"/>
        </w:rPr>
        <w:tab/>
      </w:r>
      <w:r w:rsidRPr="00E46C7F">
        <w:rPr>
          <w:sz w:val="18"/>
          <w:szCs w:val="26"/>
        </w:rPr>
        <w:t>CCPR/C/SDN/CO</w:t>
      </w:r>
      <w:r w:rsidRPr="00E46C7F">
        <w:rPr>
          <w:rFonts w:cs="Times New Roman"/>
          <w:sz w:val="18"/>
          <w:szCs w:val="18"/>
          <w:rtl/>
          <w:lang w:val="ar-SA"/>
        </w:rPr>
        <w:t>/4</w:t>
      </w:r>
      <w:r w:rsidRPr="00E46C7F">
        <w:rPr>
          <w:sz w:val="18"/>
          <w:szCs w:val="26"/>
          <w:rtl/>
          <w:lang w:val="ar-SA"/>
        </w:rPr>
        <w:t xml:space="preserve">، الفقرات 15-17. </w:t>
      </w:r>
    </w:p>
  </w:footnote>
  <w:footnote w:id="30">
    <w:p w:rsidR="000F05C8" w:rsidRPr="00E46C7F" w:rsidRDefault="000F05C8" w:rsidP="006E1976">
      <w:pPr>
        <w:pStyle w:val="FootnoteText"/>
        <w:spacing w:after="60" w:line="300" w:lineRule="exact"/>
        <w:ind w:left="1247" w:right="1247" w:hanging="567"/>
        <w:rPr>
          <w:sz w:val="18"/>
          <w:szCs w:val="26"/>
          <w:rtl/>
        </w:rPr>
      </w:pPr>
      <w:r w:rsidRPr="00E46C7F">
        <w:rPr>
          <w:rFonts w:eastAsia="Traditional Arabic"/>
          <w:sz w:val="18"/>
          <w:szCs w:val="26"/>
          <w:rtl/>
          <w:lang w:val="ar-SA"/>
        </w:rPr>
        <w:t>(</w:t>
      </w:r>
      <w:r w:rsidRPr="00E46C7F">
        <w:rPr>
          <w:rFonts w:eastAsia="Traditional Arabic"/>
          <w:sz w:val="18"/>
          <w:szCs w:val="26"/>
          <w:rtl/>
          <w:lang w:val="ar-SA"/>
        </w:rPr>
        <w:footnoteRef/>
      </w:r>
      <w:r w:rsidRPr="00E46C7F">
        <w:rPr>
          <w:rFonts w:eastAsia="Traditional Arabic"/>
          <w:sz w:val="18"/>
          <w:szCs w:val="26"/>
          <w:rtl/>
          <w:lang w:val="ar-SA"/>
        </w:rPr>
        <w:t>)</w:t>
      </w:r>
      <w:r w:rsidRPr="00E46C7F">
        <w:rPr>
          <w:rFonts w:eastAsia="Traditional Arabic"/>
          <w:sz w:val="18"/>
          <w:szCs w:val="26"/>
          <w:rtl/>
          <w:lang w:val="ar-SA"/>
        </w:rPr>
        <w:tab/>
      </w:r>
      <w:r w:rsidRPr="00E46C7F">
        <w:rPr>
          <w:rFonts w:hint="cs"/>
          <w:sz w:val="18"/>
          <w:szCs w:val="26"/>
          <w:rtl/>
          <w:lang w:val="ar-SA"/>
        </w:rPr>
        <w:t xml:space="preserve">انظر </w:t>
      </w:r>
      <w:r w:rsidR="006E1976">
        <w:rPr>
          <w:sz w:val="18"/>
          <w:szCs w:val="26"/>
        </w:rPr>
        <w:t xml:space="preserve"> </w:t>
      </w:r>
      <w:r w:rsidRPr="00E46C7F">
        <w:rPr>
          <w:sz w:val="18"/>
          <w:szCs w:val="26"/>
        </w:rPr>
        <w:t xml:space="preserve">communications No. 282/2005, </w:t>
      </w:r>
      <w:r w:rsidRPr="00E46C7F">
        <w:rPr>
          <w:rFonts w:cs="Times New Roman"/>
          <w:i/>
          <w:iCs/>
          <w:sz w:val="18"/>
          <w:szCs w:val="18"/>
          <w:rtl/>
          <w:lang w:val="ar-SA"/>
        </w:rPr>
        <w:t xml:space="preserve">S.P.A. v. </w:t>
      </w:r>
      <w:proofErr w:type="spellStart"/>
      <w:r w:rsidRPr="00E46C7F">
        <w:rPr>
          <w:rFonts w:cs="Times New Roman"/>
          <w:i/>
          <w:iCs/>
          <w:sz w:val="18"/>
          <w:szCs w:val="18"/>
          <w:rtl/>
          <w:lang w:val="ar-SA"/>
        </w:rPr>
        <w:t>Canada</w:t>
      </w:r>
      <w:proofErr w:type="spellEnd"/>
      <w:r w:rsidRPr="00E46C7F">
        <w:rPr>
          <w:sz w:val="18"/>
          <w:szCs w:val="26"/>
        </w:rPr>
        <w:t xml:space="preserve">, decision adopted on 7 November 2006 </w:t>
      </w:r>
      <w:r w:rsidRPr="00E46C7F">
        <w:rPr>
          <w:sz w:val="18"/>
          <w:szCs w:val="26"/>
          <w:rtl/>
        </w:rPr>
        <w:t xml:space="preserve">[البلاغ رقم 282/2005، </w:t>
      </w:r>
      <w:r w:rsidRPr="00E46C7F">
        <w:rPr>
          <w:i/>
          <w:iCs/>
          <w:sz w:val="18"/>
          <w:szCs w:val="26"/>
          <w:rtl/>
          <w:lang w:val="ar-SA"/>
        </w:rPr>
        <w:t>س.</w:t>
      </w:r>
      <w:r w:rsidRPr="00E46C7F">
        <w:rPr>
          <w:rFonts w:hint="cs"/>
          <w:i/>
          <w:iCs/>
          <w:sz w:val="18"/>
          <w:szCs w:val="26"/>
          <w:rtl/>
          <w:lang w:val="ar-SA"/>
        </w:rPr>
        <w:t xml:space="preserve"> </w:t>
      </w:r>
      <w:r w:rsidRPr="00E46C7F">
        <w:rPr>
          <w:i/>
          <w:iCs/>
          <w:sz w:val="18"/>
          <w:szCs w:val="26"/>
          <w:rtl/>
          <w:lang w:val="ar-SA"/>
        </w:rPr>
        <w:t>ب.</w:t>
      </w:r>
      <w:r w:rsidRPr="00E46C7F">
        <w:rPr>
          <w:rFonts w:hint="cs"/>
          <w:i/>
          <w:iCs/>
          <w:sz w:val="18"/>
          <w:szCs w:val="26"/>
          <w:rtl/>
          <w:lang w:val="ar-SA"/>
        </w:rPr>
        <w:t xml:space="preserve"> </w:t>
      </w:r>
      <w:r w:rsidRPr="00E46C7F">
        <w:rPr>
          <w:i/>
          <w:iCs/>
          <w:sz w:val="18"/>
          <w:szCs w:val="26"/>
          <w:rtl/>
          <w:lang w:val="ar-SA"/>
        </w:rPr>
        <w:t>أ. ضد كندا</w:t>
      </w:r>
      <w:r w:rsidRPr="00E46C7F">
        <w:rPr>
          <w:sz w:val="18"/>
          <w:szCs w:val="26"/>
          <w:rtl/>
        </w:rPr>
        <w:t>، القرار المعتمد في 7 تشرين الثاني/نوفمبر 2006]؛</w:t>
      </w:r>
      <w:r w:rsidR="006E1976">
        <w:rPr>
          <w:sz w:val="18"/>
          <w:szCs w:val="26"/>
          <w:rtl/>
        </w:rPr>
        <w:br/>
      </w:r>
      <w:r w:rsidRPr="00E46C7F">
        <w:rPr>
          <w:sz w:val="18"/>
          <w:szCs w:val="26"/>
          <w:rtl/>
        </w:rPr>
        <w:t xml:space="preserve"> </w:t>
      </w:r>
      <w:r w:rsidR="006E1976">
        <w:rPr>
          <w:sz w:val="18"/>
          <w:szCs w:val="26"/>
        </w:rPr>
        <w:t xml:space="preserve"> communication </w:t>
      </w:r>
      <w:r w:rsidRPr="00E46C7F">
        <w:rPr>
          <w:sz w:val="18"/>
          <w:szCs w:val="26"/>
        </w:rPr>
        <w:t>No.</w:t>
      </w:r>
      <w:r w:rsidR="006E1976">
        <w:rPr>
          <w:sz w:val="18"/>
          <w:szCs w:val="26"/>
        </w:rPr>
        <w:t xml:space="preserve">   </w:t>
      </w:r>
      <w:r w:rsidRPr="00E46C7F">
        <w:rPr>
          <w:sz w:val="18"/>
          <w:szCs w:val="26"/>
        </w:rPr>
        <w:t xml:space="preserve">333/2007, </w:t>
      </w:r>
      <w:r w:rsidRPr="00E46C7F">
        <w:rPr>
          <w:rFonts w:cs="Times New Roman"/>
          <w:i/>
          <w:iCs/>
          <w:sz w:val="18"/>
          <w:szCs w:val="18"/>
          <w:rtl/>
          <w:lang w:val="ar-SA"/>
        </w:rPr>
        <w:t xml:space="preserve">T.I. v. </w:t>
      </w:r>
      <w:proofErr w:type="spellStart"/>
      <w:r w:rsidRPr="00E46C7F">
        <w:rPr>
          <w:rFonts w:cs="Times New Roman"/>
          <w:i/>
          <w:iCs/>
          <w:sz w:val="18"/>
          <w:szCs w:val="18"/>
          <w:rtl/>
          <w:lang w:val="ar-SA"/>
        </w:rPr>
        <w:t>Canada</w:t>
      </w:r>
      <w:proofErr w:type="spellEnd"/>
      <w:r w:rsidRPr="00E46C7F">
        <w:rPr>
          <w:sz w:val="18"/>
          <w:szCs w:val="26"/>
        </w:rPr>
        <w:t xml:space="preserve"> decision adopted on 15 November 2010</w:t>
      </w:r>
      <w:r w:rsidRPr="00E46C7F">
        <w:rPr>
          <w:sz w:val="18"/>
          <w:szCs w:val="26"/>
          <w:rtl/>
        </w:rPr>
        <w:t xml:space="preserve"> [ورقم 333/2007، </w:t>
      </w:r>
      <w:r w:rsidRPr="00E46C7F">
        <w:rPr>
          <w:i/>
          <w:iCs/>
          <w:sz w:val="18"/>
          <w:szCs w:val="26"/>
          <w:rtl/>
          <w:lang w:val="ar-SA"/>
        </w:rPr>
        <w:t>ت. إ. ضد كندا</w:t>
      </w:r>
      <w:r w:rsidRPr="00E46C7F">
        <w:rPr>
          <w:sz w:val="18"/>
          <w:szCs w:val="26"/>
          <w:rtl/>
        </w:rPr>
        <w:t>، القرار المعتمد في 15 تشرين الثاني/نوفمبر 2010]؛</w:t>
      </w:r>
      <w:r w:rsidR="006E1976">
        <w:rPr>
          <w:sz w:val="18"/>
          <w:szCs w:val="26"/>
          <w:rtl/>
        </w:rPr>
        <w:br/>
      </w:r>
      <w:r w:rsidR="006E1976">
        <w:rPr>
          <w:rFonts w:hint="cs"/>
          <w:sz w:val="18"/>
          <w:szCs w:val="26"/>
          <w:rtl/>
        </w:rPr>
        <w:t xml:space="preserve"> </w:t>
      </w:r>
      <w:r w:rsidR="006E1976">
        <w:rPr>
          <w:sz w:val="18"/>
          <w:szCs w:val="26"/>
        </w:rPr>
        <w:t xml:space="preserve">  </w:t>
      </w:r>
      <w:r w:rsidRPr="00E46C7F">
        <w:rPr>
          <w:sz w:val="18"/>
          <w:szCs w:val="26"/>
        </w:rPr>
        <w:t xml:space="preserve">and No. 344/2008, </w:t>
      </w:r>
      <w:r w:rsidRPr="00E46C7F">
        <w:rPr>
          <w:rFonts w:cs="Times New Roman"/>
          <w:i/>
          <w:iCs/>
          <w:sz w:val="18"/>
          <w:szCs w:val="18"/>
          <w:rtl/>
          <w:lang w:val="ar-SA"/>
        </w:rPr>
        <w:t xml:space="preserve">A.M.A. v. </w:t>
      </w:r>
      <w:proofErr w:type="spellStart"/>
      <w:r w:rsidRPr="00E46C7F">
        <w:rPr>
          <w:rFonts w:cs="Times New Roman"/>
          <w:i/>
          <w:iCs/>
          <w:sz w:val="18"/>
          <w:szCs w:val="18"/>
          <w:rtl/>
          <w:lang w:val="ar-SA"/>
        </w:rPr>
        <w:t>Switzerland</w:t>
      </w:r>
      <w:proofErr w:type="spellEnd"/>
      <w:r w:rsidRPr="00E46C7F">
        <w:rPr>
          <w:sz w:val="18"/>
          <w:szCs w:val="26"/>
        </w:rPr>
        <w:t>decision adopted on 12 November 2010</w:t>
      </w:r>
      <w:r w:rsidRPr="00E46C7F">
        <w:rPr>
          <w:sz w:val="18"/>
          <w:szCs w:val="26"/>
          <w:rtl/>
        </w:rPr>
        <w:t xml:space="preserve"> [ورقم 344/2008، </w:t>
      </w:r>
      <w:r w:rsidRPr="00E46C7F">
        <w:rPr>
          <w:i/>
          <w:iCs/>
          <w:sz w:val="18"/>
          <w:szCs w:val="26"/>
          <w:rtl/>
          <w:lang w:val="ar-SA"/>
        </w:rPr>
        <w:t>أ.</w:t>
      </w:r>
      <w:r w:rsidRPr="00E46C7F">
        <w:rPr>
          <w:rFonts w:hint="cs"/>
          <w:i/>
          <w:iCs/>
          <w:sz w:val="18"/>
          <w:szCs w:val="26"/>
          <w:rtl/>
          <w:lang w:val="ar-SA"/>
        </w:rPr>
        <w:t xml:space="preserve"> </w:t>
      </w:r>
      <w:r w:rsidRPr="00E46C7F">
        <w:rPr>
          <w:i/>
          <w:iCs/>
          <w:sz w:val="18"/>
          <w:szCs w:val="26"/>
          <w:rtl/>
          <w:lang w:val="ar-SA"/>
        </w:rPr>
        <w:t>م.</w:t>
      </w:r>
      <w:r w:rsidRPr="00E46C7F">
        <w:rPr>
          <w:rFonts w:hint="cs"/>
          <w:i/>
          <w:iCs/>
          <w:sz w:val="18"/>
          <w:szCs w:val="26"/>
          <w:rtl/>
          <w:lang w:val="ar-SA"/>
        </w:rPr>
        <w:t xml:space="preserve"> </w:t>
      </w:r>
      <w:r w:rsidRPr="00E46C7F">
        <w:rPr>
          <w:i/>
          <w:iCs/>
          <w:sz w:val="18"/>
          <w:szCs w:val="26"/>
          <w:rtl/>
          <w:lang w:val="ar-SA"/>
        </w:rPr>
        <w:t>أ</w:t>
      </w:r>
      <w:r w:rsidRPr="00E46C7F">
        <w:rPr>
          <w:rFonts w:hint="cs"/>
          <w:i/>
          <w:iCs/>
          <w:sz w:val="18"/>
          <w:szCs w:val="26"/>
          <w:rtl/>
          <w:lang w:val="ar-SA"/>
        </w:rPr>
        <w:t>.</w:t>
      </w:r>
      <w:r w:rsidRPr="00E46C7F">
        <w:rPr>
          <w:i/>
          <w:iCs/>
          <w:sz w:val="18"/>
          <w:szCs w:val="26"/>
          <w:rtl/>
          <w:lang w:val="ar-SA"/>
        </w:rPr>
        <w:t xml:space="preserve"> ضد سويسرا</w:t>
      </w:r>
      <w:r w:rsidRPr="00E46C7F">
        <w:rPr>
          <w:sz w:val="18"/>
          <w:szCs w:val="26"/>
          <w:rtl/>
        </w:rPr>
        <w:t>، القرار المعتمد في</w:t>
      </w:r>
      <w:r>
        <w:rPr>
          <w:rFonts w:hint="cs"/>
          <w:sz w:val="18"/>
          <w:szCs w:val="26"/>
          <w:rtl/>
        </w:rPr>
        <w:t> </w:t>
      </w:r>
      <w:r w:rsidRPr="00E46C7F">
        <w:rPr>
          <w:sz w:val="18"/>
          <w:szCs w:val="26"/>
          <w:rtl/>
        </w:rPr>
        <w:t>12 تشرين الثاني/نوفمبر 2010].</w:t>
      </w:r>
    </w:p>
  </w:footnote>
  <w:footnote w:id="31">
    <w:p w:rsidR="000F05C8" w:rsidRPr="00E46C7F" w:rsidRDefault="000F05C8" w:rsidP="000F05C8">
      <w:pPr>
        <w:pStyle w:val="FootnoteText"/>
        <w:spacing w:after="60" w:line="300" w:lineRule="exact"/>
        <w:ind w:left="1247" w:right="1247" w:hanging="567"/>
        <w:rPr>
          <w:spacing w:val="-2"/>
          <w:sz w:val="18"/>
          <w:szCs w:val="26"/>
          <w:rtl/>
        </w:rPr>
      </w:pPr>
      <w:r w:rsidRPr="00E46C7F">
        <w:rPr>
          <w:rFonts w:eastAsia="Traditional Arabic"/>
          <w:sz w:val="18"/>
          <w:szCs w:val="26"/>
          <w:rtl/>
          <w:lang w:val="ar-SA"/>
        </w:rPr>
        <w:t>(</w:t>
      </w:r>
      <w:r w:rsidRPr="00E46C7F">
        <w:rPr>
          <w:rFonts w:eastAsia="Traditional Arabic"/>
          <w:sz w:val="18"/>
          <w:szCs w:val="26"/>
          <w:rtl/>
          <w:lang w:val="ar-SA"/>
        </w:rPr>
        <w:footnoteRef/>
      </w:r>
      <w:r w:rsidRPr="00E46C7F">
        <w:rPr>
          <w:rFonts w:eastAsia="Traditional Arabic"/>
          <w:sz w:val="18"/>
          <w:szCs w:val="26"/>
          <w:rtl/>
          <w:lang w:val="ar-SA"/>
        </w:rPr>
        <w:t>)</w:t>
      </w:r>
      <w:r w:rsidRPr="00E46C7F">
        <w:rPr>
          <w:rFonts w:eastAsia="Traditional Arabic"/>
          <w:sz w:val="18"/>
          <w:szCs w:val="26"/>
          <w:rtl/>
          <w:lang w:val="ar-SA"/>
        </w:rPr>
        <w:tab/>
      </w:r>
      <w:r w:rsidRPr="00E46C7F">
        <w:rPr>
          <w:spacing w:val="-2"/>
          <w:sz w:val="18"/>
          <w:szCs w:val="26"/>
          <w:rtl/>
          <w:lang w:val="ar-SA"/>
        </w:rPr>
        <w:t xml:space="preserve">انظر </w:t>
      </w:r>
      <w:proofErr w:type="spellStart"/>
      <w:r w:rsidRPr="00E46C7F">
        <w:rPr>
          <w:rFonts w:cs="Times New Roman"/>
          <w:spacing w:val="-2"/>
          <w:sz w:val="18"/>
          <w:szCs w:val="18"/>
          <w:rtl/>
          <w:lang w:val="ar-SA"/>
        </w:rPr>
        <w:t>communications</w:t>
      </w:r>
      <w:proofErr w:type="spellEnd"/>
      <w:r w:rsidRPr="00E46C7F">
        <w:rPr>
          <w:rFonts w:cs="Times New Roman"/>
          <w:spacing w:val="-2"/>
          <w:sz w:val="18"/>
          <w:szCs w:val="18"/>
          <w:rtl/>
          <w:lang w:val="ar-SA"/>
        </w:rPr>
        <w:t xml:space="preserve"> </w:t>
      </w:r>
      <w:proofErr w:type="spellStart"/>
      <w:r w:rsidRPr="00E46C7F">
        <w:rPr>
          <w:rFonts w:cs="Times New Roman"/>
          <w:spacing w:val="-2"/>
          <w:sz w:val="18"/>
          <w:szCs w:val="18"/>
          <w:rtl/>
          <w:lang w:val="ar-SA"/>
        </w:rPr>
        <w:t>No</w:t>
      </w:r>
      <w:proofErr w:type="spellEnd"/>
      <w:r w:rsidRPr="00E46C7F">
        <w:rPr>
          <w:rFonts w:cs="Times New Roman"/>
          <w:spacing w:val="-2"/>
          <w:sz w:val="18"/>
          <w:szCs w:val="18"/>
          <w:rtl/>
          <w:lang w:val="ar-SA"/>
        </w:rPr>
        <w:t xml:space="preserve">. 61/1996, </w:t>
      </w:r>
      <w:r w:rsidRPr="00E46C7F">
        <w:rPr>
          <w:rFonts w:cs="Times New Roman"/>
          <w:i/>
          <w:iCs/>
          <w:spacing w:val="-2"/>
          <w:sz w:val="18"/>
          <w:szCs w:val="18"/>
          <w:rtl/>
          <w:lang w:val="ar-SA"/>
        </w:rPr>
        <w:t xml:space="preserve">X, Y </w:t>
      </w:r>
      <w:proofErr w:type="spellStart"/>
      <w:r w:rsidRPr="00E46C7F">
        <w:rPr>
          <w:rFonts w:cs="Times New Roman"/>
          <w:i/>
          <w:iCs/>
          <w:spacing w:val="-2"/>
          <w:sz w:val="18"/>
          <w:szCs w:val="18"/>
          <w:rtl/>
          <w:lang w:val="ar-SA"/>
        </w:rPr>
        <w:t>and</w:t>
      </w:r>
      <w:proofErr w:type="spellEnd"/>
      <w:r w:rsidRPr="00E46C7F">
        <w:rPr>
          <w:rFonts w:cs="Times New Roman"/>
          <w:i/>
          <w:iCs/>
          <w:spacing w:val="-2"/>
          <w:sz w:val="18"/>
          <w:szCs w:val="18"/>
          <w:rtl/>
          <w:lang w:val="ar-SA"/>
        </w:rPr>
        <w:t xml:space="preserve"> Z v. </w:t>
      </w:r>
      <w:proofErr w:type="spellStart"/>
      <w:r w:rsidRPr="00E46C7F">
        <w:rPr>
          <w:rFonts w:cs="Times New Roman"/>
          <w:i/>
          <w:iCs/>
          <w:spacing w:val="-2"/>
          <w:sz w:val="18"/>
          <w:szCs w:val="18"/>
          <w:rtl/>
          <w:lang w:val="ar-SA"/>
        </w:rPr>
        <w:t>Sweden</w:t>
      </w:r>
      <w:proofErr w:type="spellEnd"/>
      <w:r w:rsidRPr="00E46C7F">
        <w:rPr>
          <w:rFonts w:cs="Times New Roman"/>
          <w:spacing w:val="-2"/>
          <w:sz w:val="18"/>
          <w:szCs w:val="18"/>
          <w:rtl/>
          <w:lang w:val="ar-SA"/>
        </w:rPr>
        <w:t xml:space="preserve">, </w:t>
      </w:r>
      <w:proofErr w:type="spellStart"/>
      <w:r w:rsidRPr="00E46C7F">
        <w:rPr>
          <w:rFonts w:cs="Times New Roman"/>
          <w:spacing w:val="-2"/>
          <w:sz w:val="18"/>
          <w:szCs w:val="18"/>
          <w:rtl/>
          <w:lang w:val="ar-SA"/>
        </w:rPr>
        <w:t>Views</w:t>
      </w:r>
      <w:proofErr w:type="spellEnd"/>
      <w:r w:rsidRPr="00E46C7F">
        <w:rPr>
          <w:rFonts w:cs="Times New Roman"/>
          <w:spacing w:val="-2"/>
          <w:sz w:val="18"/>
          <w:szCs w:val="18"/>
          <w:rtl/>
          <w:lang w:val="ar-SA"/>
        </w:rPr>
        <w:t xml:space="preserve"> </w:t>
      </w:r>
      <w:proofErr w:type="spellStart"/>
      <w:r w:rsidRPr="00E46C7F">
        <w:rPr>
          <w:rFonts w:cs="Times New Roman"/>
          <w:spacing w:val="-2"/>
          <w:sz w:val="18"/>
          <w:szCs w:val="18"/>
          <w:rtl/>
          <w:lang w:val="ar-SA"/>
        </w:rPr>
        <w:t>adopted</w:t>
      </w:r>
      <w:proofErr w:type="spellEnd"/>
      <w:r w:rsidRPr="00E46C7F">
        <w:rPr>
          <w:rFonts w:cs="Times New Roman"/>
          <w:spacing w:val="-2"/>
          <w:sz w:val="18"/>
          <w:szCs w:val="18"/>
          <w:rtl/>
          <w:lang w:val="ar-SA"/>
        </w:rPr>
        <w:t xml:space="preserve"> </w:t>
      </w:r>
      <w:proofErr w:type="spellStart"/>
      <w:r w:rsidRPr="00E46C7F">
        <w:rPr>
          <w:rFonts w:cs="Times New Roman"/>
          <w:spacing w:val="-2"/>
          <w:sz w:val="18"/>
          <w:szCs w:val="18"/>
          <w:rtl/>
          <w:lang w:val="ar-SA"/>
        </w:rPr>
        <w:t>on</w:t>
      </w:r>
      <w:proofErr w:type="spellEnd"/>
      <w:r w:rsidRPr="00E46C7F">
        <w:rPr>
          <w:rFonts w:cs="Times New Roman"/>
          <w:spacing w:val="-2"/>
          <w:sz w:val="18"/>
          <w:szCs w:val="18"/>
          <w:rtl/>
          <w:lang w:val="ar-SA"/>
        </w:rPr>
        <w:t xml:space="preserve"> 6 </w:t>
      </w:r>
      <w:proofErr w:type="spellStart"/>
      <w:r w:rsidRPr="00E46C7F">
        <w:rPr>
          <w:rFonts w:cs="Times New Roman"/>
          <w:spacing w:val="-2"/>
          <w:sz w:val="18"/>
          <w:szCs w:val="18"/>
          <w:rtl/>
          <w:lang w:val="ar-SA"/>
        </w:rPr>
        <w:t>May</w:t>
      </w:r>
      <w:proofErr w:type="spellEnd"/>
      <w:r w:rsidRPr="00E46C7F">
        <w:rPr>
          <w:rFonts w:cs="Times New Roman"/>
          <w:spacing w:val="-2"/>
          <w:sz w:val="18"/>
          <w:szCs w:val="18"/>
          <w:rtl/>
          <w:lang w:val="ar-SA"/>
        </w:rPr>
        <w:t xml:space="preserve"> 1998, </w:t>
      </w:r>
      <w:proofErr w:type="spellStart"/>
      <w:r w:rsidRPr="00E46C7F">
        <w:rPr>
          <w:rFonts w:cs="Times New Roman"/>
          <w:spacing w:val="-2"/>
          <w:sz w:val="18"/>
          <w:szCs w:val="18"/>
          <w:rtl/>
          <w:lang w:val="ar-SA"/>
        </w:rPr>
        <w:t>para</w:t>
      </w:r>
      <w:proofErr w:type="spellEnd"/>
      <w:r w:rsidRPr="00E46C7F">
        <w:rPr>
          <w:rFonts w:cs="Times New Roman"/>
          <w:spacing w:val="-2"/>
          <w:sz w:val="18"/>
          <w:szCs w:val="18"/>
          <w:rtl/>
          <w:lang w:val="ar-SA"/>
        </w:rPr>
        <w:t xml:space="preserve">. 11.2 </w:t>
      </w:r>
      <w:proofErr w:type="spellStart"/>
      <w:r w:rsidRPr="00E46C7F">
        <w:rPr>
          <w:rFonts w:cs="Times New Roman"/>
          <w:spacing w:val="-2"/>
          <w:sz w:val="18"/>
          <w:szCs w:val="18"/>
          <w:rtl/>
          <w:lang w:val="ar-SA"/>
        </w:rPr>
        <w:t>and</w:t>
      </w:r>
      <w:proofErr w:type="spellEnd"/>
      <w:r w:rsidRPr="00E46C7F">
        <w:rPr>
          <w:rFonts w:cs="Times New Roman"/>
          <w:spacing w:val="-2"/>
          <w:sz w:val="18"/>
          <w:szCs w:val="18"/>
          <w:rtl/>
          <w:lang w:val="ar-SA"/>
        </w:rPr>
        <w:t xml:space="preserve"> </w:t>
      </w:r>
      <w:proofErr w:type="spellStart"/>
      <w:r w:rsidRPr="00E46C7F">
        <w:rPr>
          <w:rFonts w:cs="Times New Roman"/>
          <w:spacing w:val="-2"/>
          <w:sz w:val="18"/>
          <w:szCs w:val="18"/>
          <w:rtl/>
          <w:lang w:val="ar-SA"/>
        </w:rPr>
        <w:t>No</w:t>
      </w:r>
      <w:proofErr w:type="spellEnd"/>
      <w:r w:rsidRPr="00E46C7F">
        <w:rPr>
          <w:rFonts w:cs="Times New Roman"/>
          <w:spacing w:val="-2"/>
          <w:sz w:val="18"/>
          <w:szCs w:val="18"/>
          <w:rtl/>
          <w:lang w:val="ar-SA"/>
        </w:rPr>
        <w:t xml:space="preserve">. 435/2010, </w:t>
      </w:r>
      <w:r w:rsidRPr="00E46C7F">
        <w:rPr>
          <w:rFonts w:cs="Times New Roman"/>
          <w:i/>
          <w:iCs/>
          <w:spacing w:val="-2"/>
          <w:sz w:val="18"/>
          <w:szCs w:val="18"/>
          <w:rtl/>
          <w:lang w:val="ar-SA"/>
        </w:rPr>
        <w:t xml:space="preserve">G.B.M. v. </w:t>
      </w:r>
      <w:proofErr w:type="spellStart"/>
      <w:r w:rsidRPr="00E46C7F">
        <w:rPr>
          <w:rFonts w:cs="Times New Roman"/>
          <w:i/>
          <w:iCs/>
          <w:spacing w:val="-2"/>
          <w:sz w:val="18"/>
          <w:szCs w:val="18"/>
          <w:rtl/>
          <w:lang w:val="ar-SA"/>
        </w:rPr>
        <w:t>Sweden</w:t>
      </w:r>
      <w:proofErr w:type="spellEnd"/>
      <w:r w:rsidRPr="00E46C7F">
        <w:rPr>
          <w:rFonts w:cs="Times New Roman"/>
          <w:spacing w:val="-2"/>
          <w:sz w:val="18"/>
          <w:szCs w:val="18"/>
          <w:rtl/>
          <w:lang w:val="ar-SA"/>
        </w:rPr>
        <w:t xml:space="preserve">, </w:t>
      </w:r>
      <w:proofErr w:type="spellStart"/>
      <w:r w:rsidRPr="00E46C7F">
        <w:rPr>
          <w:rFonts w:cs="Times New Roman"/>
          <w:spacing w:val="-2"/>
          <w:sz w:val="18"/>
          <w:szCs w:val="18"/>
          <w:rtl/>
          <w:lang w:val="ar-SA"/>
        </w:rPr>
        <w:t>decision</w:t>
      </w:r>
      <w:proofErr w:type="spellEnd"/>
      <w:r w:rsidRPr="00E46C7F">
        <w:rPr>
          <w:rFonts w:cs="Times New Roman"/>
          <w:spacing w:val="-2"/>
          <w:sz w:val="18"/>
          <w:szCs w:val="18"/>
          <w:rtl/>
          <w:lang w:val="ar-SA"/>
        </w:rPr>
        <w:t xml:space="preserve"> </w:t>
      </w:r>
      <w:proofErr w:type="spellStart"/>
      <w:r w:rsidRPr="00E46C7F">
        <w:rPr>
          <w:rFonts w:cs="Times New Roman"/>
          <w:spacing w:val="-2"/>
          <w:sz w:val="18"/>
          <w:szCs w:val="18"/>
          <w:rtl/>
          <w:lang w:val="ar-SA"/>
        </w:rPr>
        <w:t>adopted</w:t>
      </w:r>
      <w:proofErr w:type="spellEnd"/>
      <w:r w:rsidRPr="00E46C7F">
        <w:rPr>
          <w:rFonts w:cs="Times New Roman"/>
          <w:spacing w:val="-2"/>
          <w:sz w:val="18"/>
          <w:szCs w:val="18"/>
          <w:rtl/>
          <w:lang w:val="ar-SA"/>
        </w:rPr>
        <w:t xml:space="preserve"> </w:t>
      </w:r>
      <w:proofErr w:type="spellStart"/>
      <w:r w:rsidRPr="00E46C7F">
        <w:rPr>
          <w:rFonts w:cs="Times New Roman"/>
          <w:spacing w:val="-2"/>
          <w:sz w:val="18"/>
          <w:szCs w:val="18"/>
          <w:rtl/>
          <w:lang w:val="ar-SA"/>
        </w:rPr>
        <w:t>on</w:t>
      </w:r>
      <w:proofErr w:type="spellEnd"/>
      <w:r w:rsidRPr="00E46C7F">
        <w:rPr>
          <w:rFonts w:cs="Times New Roman"/>
          <w:spacing w:val="-2"/>
          <w:sz w:val="18"/>
          <w:szCs w:val="18"/>
          <w:rtl/>
          <w:lang w:val="ar-SA"/>
        </w:rPr>
        <w:t xml:space="preserve"> 14 </w:t>
      </w:r>
      <w:proofErr w:type="spellStart"/>
      <w:r w:rsidRPr="00E46C7F">
        <w:rPr>
          <w:rFonts w:cs="Times New Roman"/>
          <w:spacing w:val="-2"/>
          <w:sz w:val="18"/>
          <w:szCs w:val="18"/>
          <w:rtl/>
          <w:lang w:val="ar-SA"/>
        </w:rPr>
        <w:t>November</w:t>
      </w:r>
      <w:proofErr w:type="spellEnd"/>
      <w:r w:rsidRPr="00E46C7F">
        <w:rPr>
          <w:rFonts w:cs="Times New Roman"/>
          <w:spacing w:val="-2"/>
          <w:sz w:val="18"/>
          <w:szCs w:val="18"/>
          <w:rtl/>
          <w:lang w:val="ar-SA"/>
        </w:rPr>
        <w:t xml:space="preserve"> 2012, </w:t>
      </w:r>
      <w:proofErr w:type="spellStart"/>
      <w:r w:rsidRPr="00E46C7F">
        <w:rPr>
          <w:rFonts w:cs="Times New Roman"/>
          <w:spacing w:val="-2"/>
          <w:sz w:val="18"/>
          <w:szCs w:val="18"/>
          <w:rtl/>
          <w:lang w:val="ar-SA"/>
        </w:rPr>
        <w:t>para</w:t>
      </w:r>
      <w:proofErr w:type="spellEnd"/>
      <w:r w:rsidRPr="00E46C7F">
        <w:rPr>
          <w:rFonts w:cs="Times New Roman"/>
          <w:spacing w:val="-2"/>
          <w:sz w:val="18"/>
          <w:szCs w:val="18"/>
          <w:rtl/>
          <w:lang w:val="ar-SA"/>
        </w:rPr>
        <w:t>. 7.7</w:t>
      </w:r>
      <w:r w:rsidRPr="00E46C7F">
        <w:rPr>
          <w:spacing w:val="-2"/>
          <w:sz w:val="18"/>
          <w:szCs w:val="26"/>
          <w:rtl/>
          <w:lang w:val="ar-SA"/>
        </w:rPr>
        <w:t xml:space="preserve"> [البلاغين رقم 61/1996، </w:t>
      </w:r>
      <w:r w:rsidRPr="00E46C7F">
        <w:rPr>
          <w:i/>
          <w:iCs/>
          <w:spacing w:val="-2"/>
          <w:sz w:val="18"/>
          <w:szCs w:val="26"/>
          <w:rtl/>
          <w:lang w:val="ar-SA"/>
        </w:rPr>
        <w:t xml:space="preserve">س. </w:t>
      </w:r>
      <w:proofErr w:type="spellStart"/>
      <w:r w:rsidRPr="00E46C7F">
        <w:rPr>
          <w:i/>
          <w:iCs/>
          <w:spacing w:val="-2"/>
          <w:sz w:val="18"/>
          <w:szCs w:val="26"/>
          <w:rtl/>
          <w:lang w:val="ar-SA"/>
        </w:rPr>
        <w:t>وص</w:t>
      </w:r>
      <w:proofErr w:type="spellEnd"/>
      <w:r w:rsidRPr="00E46C7F">
        <w:rPr>
          <w:i/>
          <w:iCs/>
          <w:spacing w:val="-2"/>
          <w:sz w:val="18"/>
          <w:szCs w:val="26"/>
          <w:rtl/>
          <w:lang w:val="ar-SA"/>
        </w:rPr>
        <w:t>. وع. ضد السويد</w:t>
      </w:r>
      <w:r w:rsidRPr="00E46C7F">
        <w:rPr>
          <w:spacing w:val="-2"/>
          <w:sz w:val="18"/>
          <w:szCs w:val="26"/>
          <w:rtl/>
          <w:lang w:val="ar-SA"/>
        </w:rPr>
        <w:t xml:space="preserve">، الآراء المعتمدة في 6 أيار/مايو 1998، الفقرة 11-2 ورقم 435/2010، </w:t>
      </w:r>
      <w:r w:rsidRPr="00E46C7F">
        <w:rPr>
          <w:i/>
          <w:iCs/>
          <w:spacing w:val="-2"/>
          <w:sz w:val="18"/>
          <w:szCs w:val="26"/>
          <w:rtl/>
          <w:lang w:val="ar-SA"/>
        </w:rPr>
        <w:t>غ. ب. م. ضد السويد</w:t>
      </w:r>
      <w:r w:rsidRPr="00E46C7F">
        <w:rPr>
          <w:spacing w:val="-2"/>
          <w:sz w:val="18"/>
          <w:szCs w:val="26"/>
          <w:rtl/>
          <w:lang w:val="ar-SA"/>
        </w:rPr>
        <w:t xml:space="preserve">، القرار المعتمد في 14 تشرين الثاني/نوفمبر 2012، الفقرة 7-7]. </w:t>
      </w:r>
    </w:p>
  </w:footnote>
  <w:footnote w:id="32">
    <w:p w:rsidR="000F05C8" w:rsidRPr="0037066B" w:rsidRDefault="000F05C8" w:rsidP="000F05C8">
      <w:pPr>
        <w:pStyle w:val="FootnoteText"/>
        <w:spacing w:after="60" w:line="300" w:lineRule="exact"/>
        <w:ind w:left="1247" w:right="1247" w:hanging="567"/>
        <w:rPr>
          <w:spacing w:val="-4"/>
          <w:sz w:val="18"/>
          <w:szCs w:val="26"/>
          <w:rtl/>
        </w:rPr>
      </w:pPr>
      <w:r w:rsidRPr="00E46C7F">
        <w:rPr>
          <w:rFonts w:eastAsia="Traditional Arabic"/>
          <w:sz w:val="18"/>
          <w:szCs w:val="26"/>
          <w:rtl/>
          <w:lang w:val="ar-SA"/>
        </w:rPr>
        <w:t>(</w:t>
      </w:r>
      <w:r w:rsidRPr="00E46C7F">
        <w:rPr>
          <w:rFonts w:eastAsia="Traditional Arabic"/>
          <w:sz w:val="18"/>
          <w:szCs w:val="26"/>
          <w:rtl/>
          <w:lang w:val="ar-SA"/>
        </w:rPr>
        <w:footnoteRef/>
      </w:r>
      <w:r w:rsidRPr="00E46C7F">
        <w:rPr>
          <w:rFonts w:eastAsia="Traditional Arabic"/>
          <w:sz w:val="18"/>
          <w:szCs w:val="26"/>
          <w:rtl/>
          <w:lang w:val="ar-SA"/>
        </w:rPr>
        <w:t>)</w:t>
      </w:r>
      <w:r w:rsidRPr="00E46C7F">
        <w:rPr>
          <w:rFonts w:eastAsia="Traditional Arabic"/>
          <w:sz w:val="18"/>
          <w:szCs w:val="26"/>
          <w:rtl/>
          <w:lang w:val="ar-SA"/>
        </w:rPr>
        <w:tab/>
      </w:r>
      <w:r w:rsidRPr="0037066B">
        <w:rPr>
          <w:spacing w:val="-6"/>
          <w:sz w:val="24"/>
          <w:szCs w:val="24"/>
          <w:rtl/>
          <w:lang w:val="ar-SA"/>
        </w:rPr>
        <w:t>انظر، على سبيل المثال</w:t>
      </w:r>
      <w:r w:rsidRPr="0037066B">
        <w:rPr>
          <w:rFonts w:hint="cs"/>
          <w:spacing w:val="-4"/>
          <w:sz w:val="24"/>
          <w:szCs w:val="24"/>
          <w:rtl/>
          <w:lang w:val="ar-SA"/>
        </w:rPr>
        <w:t>،</w:t>
      </w:r>
      <w:r w:rsidRPr="0037066B">
        <w:rPr>
          <w:rFonts w:hint="cs"/>
          <w:spacing w:val="-4"/>
          <w:sz w:val="18"/>
          <w:szCs w:val="26"/>
          <w:rtl/>
          <w:lang w:val="ar-SA"/>
        </w:rPr>
        <w:t xml:space="preserve"> </w:t>
      </w:r>
      <w:proofErr w:type="spellStart"/>
      <w:r w:rsidRPr="0037066B">
        <w:rPr>
          <w:rFonts w:cs="Times New Roman"/>
          <w:spacing w:val="-6"/>
          <w:sz w:val="18"/>
          <w:szCs w:val="18"/>
          <w:rtl/>
          <w:lang w:val="ar-SA"/>
        </w:rPr>
        <w:t>communications</w:t>
      </w:r>
      <w:proofErr w:type="spellEnd"/>
      <w:r w:rsidRPr="0037066B">
        <w:rPr>
          <w:rFonts w:cs="Times New Roman"/>
          <w:spacing w:val="-6"/>
          <w:sz w:val="18"/>
          <w:szCs w:val="18"/>
          <w:rtl/>
          <w:lang w:val="ar-SA"/>
        </w:rPr>
        <w:t xml:space="preserve"> </w:t>
      </w:r>
      <w:proofErr w:type="spellStart"/>
      <w:r w:rsidRPr="0037066B">
        <w:rPr>
          <w:rFonts w:cs="Times New Roman"/>
          <w:spacing w:val="-6"/>
          <w:sz w:val="18"/>
          <w:szCs w:val="18"/>
          <w:rtl/>
          <w:lang w:val="ar-SA"/>
        </w:rPr>
        <w:t>No</w:t>
      </w:r>
      <w:proofErr w:type="spellEnd"/>
      <w:r w:rsidRPr="0037066B">
        <w:rPr>
          <w:rFonts w:cs="Times New Roman"/>
          <w:spacing w:val="-6"/>
          <w:sz w:val="18"/>
          <w:szCs w:val="18"/>
          <w:rtl/>
          <w:lang w:val="ar-SA"/>
        </w:rPr>
        <w:t xml:space="preserve">. 61/1996, </w:t>
      </w:r>
      <w:r w:rsidRPr="0037066B">
        <w:rPr>
          <w:rFonts w:cs="Times New Roman"/>
          <w:i/>
          <w:iCs/>
          <w:spacing w:val="-6"/>
          <w:sz w:val="18"/>
          <w:szCs w:val="18"/>
          <w:rtl/>
          <w:lang w:val="ar-SA"/>
        </w:rPr>
        <w:t xml:space="preserve">X, Y </w:t>
      </w:r>
      <w:proofErr w:type="spellStart"/>
      <w:r w:rsidRPr="0037066B">
        <w:rPr>
          <w:rFonts w:cs="Times New Roman"/>
          <w:i/>
          <w:iCs/>
          <w:spacing w:val="-6"/>
          <w:sz w:val="18"/>
          <w:szCs w:val="18"/>
          <w:rtl/>
          <w:lang w:val="ar-SA"/>
        </w:rPr>
        <w:t>and</w:t>
      </w:r>
      <w:proofErr w:type="spellEnd"/>
      <w:r w:rsidRPr="0037066B">
        <w:rPr>
          <w:rFonts w:cs="Times New Roman"/>
          <w:i/>
          <w:iCs/>
          <w:spacing w:val="-6"/>
          <w:sz w:val="18"/>
          <w:szCs w:val="18"/>
          <w:rtl/>
          <w:lang w:val="ar-SA"/>
        </w:rPr>
        <w:t xml:space="preserve"> Z v. </w:t>
      </w:r>
      <w:proofErr w:type="spellStart"/>
      <w:r w:rsidRPr="0037066B">
        <w:rPr>
          <w:rFonts w:cs="Times New Roman"/>
          <w:i/>
          <w:iCs/>
          <w:spacing w:val="-6"/>
          <w:sz w:val="18"/>
          <w:szCs w:val="18"/>
          <w:rtl/>
          <w:lang w:val="ar-SA"/>
        </w:rPr>
        <w:t>Sweden</w:t>
      </w:r>
      <w:proofErr w:type="spellEnd"/>
      <w:r w:rsidRPr="0037066B">
        <w:rPr>
          <w:rFonts w:cs="Times New Roman"/>
          <w:spacing w:val="-6"/>
          <w:sz w:val="18"/>
          <w:szCs w:val="18"/>
          <w:rtl/>
          <w:lang w:val="ar-SA"/>
        </w:rPr>
        <w:t xml:space="preserve">, </w:t>
      </w:r>
      <w:proofErr w:type="spellStart"/>
      <w:r w:rsidRPr="0037066B">
        <w:rPr>
          <w:rFonts w:cs="Times New Roman"/>
          <w:spacing w:val="-6"/>
          <w:sz w:val="18"/>
          <w:szCs w:val="18"/>
          <w:rtl/>
          <w:lang w:val="ar-SA"/>
        </w:rPr>
        <w:t>Views</w:t>
      </w:r>
      <w:proofErr w:type="spellEnd"/>
      <w:r w:rsidRPr="0037066B">
        <w:rPr>
          <w:rFonts w:cs="Times New Roman"/>
          <w:spacing w:val="-6"/>
          <w:sz w:val="18"/>
          <w:szCs w:val="18"/>
          <w:rtl/>
          <w:lang w:val="ar-SA"/>
        </w:rPr>
        <w:t xml:space="preserve"> </w:t>
      </w:r>
      <w:proofErr w:type="spellStart"/>
      <w:r w:rsidRPr="0037066B">
        <w:rPr>
          <w:rFonts w:cs="Times New Roman"/>
          <w:spacing w:val="-6"/>
          <w:sz w:val="18"/>
          <w:szCs w:val="18"/>
          <w:rtl/>
          <w:lang w:val="ar-SA"/>
        </w:rPr>
        <w:t>adopted</w:t>
      </w:r>
      <w:proofErr w:type="spellEnd"/>
      <w:r w:rsidRPr="0037066B">
        <w:rPr>
          <w:rFonts w:cs="Times New Roman"/>
          <w:spacing w:val="-6"/>
          <w:sz w:val="18"/>
          <w:szCs w:val="18"/>
          <w:rtl/>
          <w:lang w:val="ar-SA"/>
        </w:rPr>
        <w:t xml:space="preserve"> </w:t>
      </w:r>
      <w:proofErr w:type="spellStart"/>
      <w:r w:rsidRPr="0037066B">
        <w:rPr>
          <w:rFonts w:cs="Times New Roman"/>
          <w:spacing w:val="-6"/>
          <w:sz w:val="18"/>
          <w:szCs w:val="18"/>
          <w:rtl/>
          <w:lang w:val="ar-SA"/>
        </w:rPr>
        <w:t>on</w:t>
      </w:r>
      <w:proofErr w:type="spellEnd"/>
      <w:r w:rsidRPr="0037066B">
        <w:rPr>
          <w:rFonts w:cs="Times New Roman"/>
          <w:spacing w:val="-6"/>
          <w:sz w:val="18"/>
          <w:szCs w:val="18"/>
          <w:rtl/>
          <w:lang w:val="ar-SA"/>
        </w:rPr>
        <w:t xml:space="preserve"> 6 </w:t>
      </w:r>
      <w:proofErr w:type="spellStart"/>
      <w:r w:rsidRPr="0037066B">
        <w:rPr>
          <w:rFonts w:cs="Times New Roman"/>
          <w:spacing w:val="-6"/>
          <w:sz w:val="18"/>
          <w:szCs w:val="18"/>
          <w:rtl/>
          <w:lang w:val="ar-SA"/>
        </w:rPr>
        <w:t>May</w:t>
      </w:r>
      <w:proofErr w:type="spellEnd"/>
      <w:r w:rsidRPr="0037066B">
        <w:rPr>
          <w:rFonts w:cs="Times New Roman"/>
          <w:spacing w:val="-6"/>
          <w:sz w:val="18"/>
          <w:szCs w:val="18"/>
          <w:rtl/>
          <w:lang w:val="ar-SA"/>
        </w:rPr>
        <w:t xml:space="preserve"> 1998, </w:t>
      </w:r>
      <w:proofErr w:type="spellStart"/>
      <w:r w:rsidRPr="0037066B">
        <w:rPr>
          <w:rFonts w:cs="Times New Roman"/>
          <w:spacing w:val="-6"/>
          <w:sz w:val="18"/>
          <w:szCs w:val="18"/>
          <w:rtl/>
          <w:lang w:val="ar-SA"/>
        </w:rPr>
        <w:t>para</w:t>
      </w:r>
      <w:proofErr w:type="spellEnd"/>
      <w:r w:rsidRPr="0037066B">
        <w:rPr>
          <w:rFonts w:cs="Times New Roman"/>
          <w:spacing w:val="-6"/>
          <w:sz w:val="18"/>
          <w:szCs w:val="18"/>
          <w:rtl/>
          <w:lang w:val="ar-SA"/>
        </w:rPr>
        <w:t>. 11.2</w:t>
      </w:r>
      <w:r w:rsidRPr="0037066B">
        <w:rPr>
          <w:spacing w:val="-4"/>
          <w:sz w:val="18"/>
          <w:szCs w:val="26"/>
          <w:rtl/>
          <w:lang w:val="ar-SA"/>
        </w:rPr>
        <w:t xml:space="preserve"> [البلاغات رقم 61/1996، </w:t>
      </w:r>
      <w:r w:rsidRPr="0037066B">
        <w:rPr>
          <w:i/>
          <w:iCs/>
          <w:spacing w:val="-4"/>
          <w:sz w:val="18"/>
          <w:szCs w:val="26"/>
          <w:rtl/>
          <w:lang w:val="ar-SA"/>
        </w:rPr>
        <w:t xml:space="preserve">س. </w:t>
      </w:r>
      <w:proofErr w:type="spellStart"/>
      <w:r w:rsidRPr="0037066B">
        <w:rPr>
          <w:i/>
          <w:iCs/>
          <w:spacing w:val="-4"/>
          <w:sz w:val="18"/>
          <w:szCs w:val="26"/>
          <w:rtl/>
          <w:lang w:val="ar-SA"/>
        </w:rPr>
        <w:t>وص</w:t>
      </w:r>
      <w:proofErr w:type="spellEnd"/>
      <w:r w:rsidRPr="0037066B">
        <w:rPr>
          <w:i/>
          <w:iCs/>
          <w:spacing w:val="-4"/>
          <w:sz w:val="18"/>
          <w:szCs w:val="26"/>
          <w:rtl/>
          <w:lang w:val="ar-SA"/>
        </w:rPr>
        <w:t>. وع. ضد السويد</w:t>
      </w:r>
      <w:r w:rsidRPr="0037066B">
        <w:rPr>
          <w:spacing w:val="-4"/>
          <w:sz w:val="18"/>
          <w:szCs w:val="26"/>
          <w:rtl/>
          <w:lang w:val="ar-SA"/>
        </w:rPr>
        <w:t>، الآراء المعتمدة في 6 أيار/</w:t>
      </w:r>
      <w:r w:rsidRPr="0037066B">
        <w:rPr>
          <w:rFonts w:hint="cs"/>
          <w:spacing w:val="-4"/>
          <w:sz w:val="18"/>
          <w:szCs w:val="26"/>
          <w:rtl/>
          <w:lang w:val="ar-SA"/>
        </w:rPr>
        <w:t xml:space="preserve"> </w:t>
      </w:r>
      <w:r w:rsidRPr="0037066B">
        <w:rPr>
          <w:spacing w:val="-4"/>
          <w:sz w:val="18"/>
          <w:szCs w:val="26"/>
          <w:rtl/>
          <w:lang w:val="ar-SA"/>
        </w:rPr>
        <w:t>مايو</w:t>
      </w:r>
      <w:r w:rsidRPr="0037066B">
        <w:rPr>
          <w:rFonts w:hint="cs"/>
          <w:spacing w:val="-4"/>
          <w:sz w:val="18"/>
          <w:szCs w:val="26"/>
          <w:rtl/>
          <w:lang w:val="ar-SA"/>
        </w:rPr>
        <w:t> </w:t>
      </w:r>
      <w:r w:rsidRPr="0037066B">
        <w:rPr>
          <w:spacing w:val="-4"/>
          <w:sz w:val="18"/>
          <w:szCs w:val="26"/>
          <w:rtl/>
          <w:lang w:val="ar-SA"/>
        </w:rPr>
        <w:t xml:space="preserve">1998، الفقرة 11-2]؛ </w:t>
      </w:r>
      <w:proofErr w:type="spellStart"/>
      <w:r w:rsidRPr="0037066B">
        <w:rPr>
          <w:rFonts w:cs="Times New Roman"/>
          <w:spacing w:val="-4"/>
          <w:sz w:val="18"/>
          <w:szCs w:val="18"/>
          <w:rtl/>
          <w:lang w:val="ar-SA"/>
        </w:rPr>
        <w:t>No</w:t>
      </w:r>
      <w:proofErr w:type="spellEnd"/>
      <w:r w:rsidRPr="0037066B">
        <w:rPr>
          <w:rFonts w:cs="Times New Roman"/>
          <w:spacing w:val="-4"/>
          <w:sz w:val="18"/>
          <w:szCs w:val="18"/>
          <w:rtl/>
          <w:lang w:val="ar-SA"/>
        </w:rPr>
        <w:t xml:space="preserve">. 435/2010, </w:t>
      </w:r>
      <w:r w:rsidRPr="0037066B">
        <w:rPr>
          <w:rFonts w:cs="Times New Roman"/>
          <w:i/>
          <w:iCs/>
          <w:spacing w:val="-4"/>
          <w:sz w:val="18"/>
          <w:szCs w:val="18"/>
          <w:rtl/>
          <w:lang w:val="ar-SA"/>
        </w:rPr>
        <w:t xml:space="preserve">G.B.M. v. </w:t>
      </w:r>
      <w:proofErr w:type="spellStart"/>
      <w:r w:rsidRPr="0037066B">
        <w:rPr>
          <w:rFonts w:cs="Times New Roman"/>
          <w:i/>
          <w:iCs/>
          <w:spacing w:val="-4"/>
          <w:sz w:val="18"/>
          <w:szCs w:val="18"/>
          <w:rtl/>
          <w:lang w:val="ar-SA"/>
        </w:rPr>
        <w:t>Sweden</w:t>
      </w:r>
      <w:proofErr w:type="spellEnd"/>
      <w:r w:rsidRPr="0037066B">
        <w:rPr>
          <w:rFonts w:cs="Times New Roman"/>
          <w:spacing w:val="-4"/>
          <w:sz w:val="18"/>
          <w:szCs w:val="18"/>
          <w:rtl/>
          <w:lang w:val="ar-SA"/>
        </w:rPr>
        <w:t xml:space="preserve">, </w:t>
      </w:r>
      <w:proofErr w:type="spellStart"/>
      <w:r w:rsidRPr="0037066B">
        <w:rPr>
          <w:rFonts w:cs="Times New Roman"/>
          <w:spacing w:val="-4"/>
          <w:sz w:val="18"/>
          <w:szCs w:val="18"/>
          <w:rtl/>
          <w:lang w:val="ar-SA"/>
        </w:rPr>
        <w:t>decision</w:t>
      </w:r>
      <w:proofErr w:type="spellEnd"/>
      <w:r w:rsidRPr="0037066B">
        <w:rPr>
          <w:rFonts w:cs="Times New Roman"/>
          <w:spacing w:val="-4"/>
          <w:sz w:val="18"/>
          <w:szCs w:val="18"/>
          <w:rtl/>
          <w:lang w:val="ar-SA"/>
        </w:rPr>
        <w:t xml:space="preserve"> </w:t>
      </w:r>
      <w:proofErr w:type="spellStart"/>
      <w:r w:rsidRPr="0037066B">
        <w:rPr>
          <w:rFonts w:cs="Times New Roman"/>
          <w:spacing w:val="-4"/>
          <w:sz w:val="18"/>
          <w:szCs w:val="18"/>
          <w:rtl/>
          <w:lang w:val="ar-SA"/>
        </w:rPr>
        <w:t>adopted</w:t>
      </w:r>
      <w:proofErr w:type="spellEnd"/>
      <w:r w:rsidRPr="0037066B">
        <w:rPr>
          <w:rFonts w:cs="Times New Roman"/>
          <w:spacing w:val="-4"/>
          <w:sz w:val="18"/>
          <w:szCs w:val="18"/>
          <w:rtl/>
          <w:lang w:val="ar-SA"/>
        </w:rPr>
        <w:t xml:space="preserve"> </w:t>
      </w:r>
      <w:proofErr w:type="spellStart"/>
      <w:r w:rsidRPr="0037066B">
        <w:rPr>
          <w:rFonts w:cs="Times New Roman"/>
          <w:spacing w:val="-4"/>
          <w:sz w:val="18"/>
          <w:szCs w:val="18"/>
          <w:rtl/>
          <w:lang w:val="ar-SA"/>
        </w:rPr>
        <w:t>on</w:t>
      </w:r>
      <w:proofErr w:type="spellEnd"/>
      <w:r w:rsidRPr="0037066B">
        <w:rPr>
          <w:rFonts w:cs="Times New Roman"/>
          <w:spacing w:val="-4"/>
          <w:sz w:val="18"/>
          <w:szCs w:val="18"/>
          <w:rtl/>
          <w:lang w:val="ar-SA"/>
        </w:rPr>
        <w:t xml:space="preserve"> 14 </w:t>
      </w:r>
      <w:proofErr w:type="spellStart"/>
      <w:r w:rsidRPr="0037066B">
        <w:rPr>
          <w:rFonts w:cs="Times New Roman"/>
          <w:spacing w:val="-4"/>
          <w:sz w:val="18"/>
          <w:szCs w:val="18"/>
          <w:rtl/>
          <w:lang w:val="ar-SA"/>
        </w:rPr>
        <w:t>November</w:t>
      </w:r>
      <w:proofErr w:type="spellEnd"/>
      <w:r w:rsidRPr="0037066B">
        <w:rPr>
          <w:rFonts w:cs="Times New Roman"/>
          <w:spacing w:val="-4"/>
          <w:sz w:val="18"/>
          <w:szCs w:val="18"/>
          <w:rtl/>
          <w:lang w:val="ar-SA"/>
        </w:rPr>
        <w:t xml:space="preserve"> 2012, </w:t>
      </w:r>
      <w:proofErr w:type="spellStart"/>
      <w:r w:rsidRPr="0037066B">
        <w:rPr>
          <w:rFonts w:cs="Times New Roman"/>
          <w:spacing w:val="-4"/>
          <w:sz w:val="18"/>
          <w:szCs w:val="18"/>
          <w:rtl/>
          <w:lang w:val="ar-SA"/>
        </w:rPr>
        <w:t>para</w:t>
      </w:r>
      <w:proofErr w:type="spellEnd"/>
      <w:r w:rsidRPr="0037066B">
        <w:rPr>
          <w:rFonts w:cs="Times New Roman"/>
          <w:spacing w:val="-4"/>
          <w:sz w:val="18"/>
          <w:szCs w:val="18"/>
          <w:rtl/>
          <w:lang w:val="ar-SA"/>
        </w:rPr>
        <w:t>. 7.7</w:t>
      </w:r>
      <w:r w:rsidRPr="0037066B">
        <w:rPr>
          <w:spacing w:val="-4"/>
          <w:sz w:val="18"/>
          <w:szCs w:val="26"/>
          <w:rtl/>
          <w:lang w:val="ar-SA"/>
        </w:rPr>
        <w:t xml:space="preserve"> [ورقم 435/2010، </w:t>
      </w:r>
      <w:r w:rsidRPr="0037066B">
        <w:rPr>
          <w:i/>
          <w:iCs/>
          <w:spacing w:val="-4"/>
          <w:sz w:val="18"/>
          <w:szCs w:val="26"/>
          <w:rtl/>
          <w:lang w:val="ar-SA"/>
        </w:rPr>
        <w:t>غ. ب. م. ضد السويد</w:t>
      </w:r>
      <w:r w:rsidRPr="0037066B">
        <w:rPr>
          <w:spacing w:val="-4"/>
          <w:sz w:val="18"/>
          <w:szCs w:val="26"/>
          <w:rtl/>
          <w:lang w:val="ar-SA"/>
        </w:rPr>
        <w:t>، القرار المعتمد في 14 تشرين الثاني/</w:t>
      </w:r>
      <w:r w:rsidRPr="0037066B">
        <w:rPr>
          <w:rFonts w:hint="cs"/>
          <w:spacing w:val="-4"/>
          <w:sz w:val="18"/>
          <w:szCs w:val="26"/>
          <w:rtl/>
          <w:lang w:val="ar-SA"/>
        </w:rPr>
        <w:t xml:space="preserve"> </w:t>
      </w:r>
      <w:r w:rsidRPr="0037066B">
        <w:rPr>
          <w:spacing w:val="-4"/>
          <w:sz w:val="18"/>
          <w:szCs w:val="26"/>
          <w:rtl/>
          <w:lang w:val="ar-SA"/>
        </w:rPr>
        <w:t>نوفمبر</w:t>
      </w:r>
      <w:r w:rsidRPr="0037066B">
        <w:rPr>
          <w:rFonts w:hint="cs"/>
          <w:spacing w:val="-4"/>
          <w:sz w:val="18"/>
          <w:szCs w:val="26"/>
          <w:rtl/>
          <w:lang w:val="ar-SA"/>
        </w:rPr>
        <w:t> </w:t>
      </w:r>
      <w:r w:rsidRPr="0037066B">
        <w:rPr>
          <w:spacing w:val="-4"/>
          <w:sz w:val="18"/>
          <w:szCs w:val="26"/>
          <w:rtl/>
          <w:lang w:val="ar-SA"/>
        </w:rPr>
        <w:t xml:space="preserve">2012، الفقرة 7-7]؛ </w:t>
      </w:r>
      <w:proofErr w:type="spellStart"/>
      <w:r w:rsidRPr="0037066B">
        <w:rPr>
          <w:rFonts w:cs="Times New Roman"/>
          <w:spacing w:val="-4"/>
          <w:sz w:val="18"/>
          <w:szCs w:val="18"/>
          <w:rtl/>
          <w:lang w:val="ar-SA"/>
        </w:rPr>
        <w:t>No</w:t>
      </w:r>
      <w:proofErr w:type="spellEnd"/>
      <w:r w:rsidRPr="0037066B">
        <w:rPr>
          <w:rFonts w:cs="Times New Roman"/>
          <w:spacing w:val="-4"/>
          <w:sz w:val="18"/>
          <w:szCs w:val="18"/>
          <w:rtl/>
          <w:lang w:val="ar-SA"/>
        </w:rPr>
        <w:t xml:space="preserve">. 458/2011, </w:t>
      </w:r>
      <w:r w:rsidRPr="0037066B">
        <w:rPr>
          <w:rFonts w:cs="Times New Roman"/>
          <w:i/>
          <w:iCs/>
          <w:spacing w:val="-4"/>
          <w:sz w:val="18"/>
          <w:szCs w:val="18"/>
          <w:rtl/>
          <w:lang w:val="ar-SA"/>
        </w:rPr>
        <w:t xml:space="preserve">X. v. </w:t>
      </w:r>
      <w:proofErr w:type="spellStart"/>
      <w:r w:rsidRPr="0037066B">
        <w:rPr>
          <w:rFonts w:cs="Times New Roman"/>
          <w:i/>
          <w:iCs/>
          <w:spacing w:val="-4"/>
          <w:sz w:val="18"/>
          <w:szCs w:val="18"/>
          <w:rtl/>
          <w:lang w:val="ar-SA"/>
        </w:rPr>
        <w:t>Denmark</w:t>
      </w:r>
      <w:proofErr w:type="spellEnd"/>
      <w:r w:rsidRPr="0037066B">
        <w:rPr>
          <w:rFonts w:cs="Times New Roman"/>
          <w:spacing w:val="-4"/>
          <w:sz w:val="18"/>
          <w:szCs w:val="18"/>
          <w:rtl/>
          <w:lang w:val="ar-SA"/>
        </w:rPr>
        <w:t xml:space="preserve">, </w:t>
      </w:r>
      <w:proofErr w:type="spellStart"/>
      <w:r w:rsidRPr="0037066B">
        <w:rPr>
          <w:rFonts w:cs="Times New Roman"/>
          <w:spacing w:val="-4"/>
          <w:sz w:val="18"/>
          <w:szCs w:val="18"/>
          <w:rtl/>
          <w:lang w:val="ar-SA"/>
        </w:rPr>
        <w:t>decision</w:t>
      </w:r>
      <w:proofErr w:type="spellEnd"/>
      <w:r w:rsidRPr="0037066B">
        <w:rPr>
          <w:rFonts w:cs="Times New Roman"/>
          <w:spacing w:val="-4"/>
          <w:sz w:val="18"/>
          <w:szCs w:val="18"/>
          <w:rtl/>
          <w:lang w:val="ar-SA"/>
        </w:rPr>
        <w:t xml:space="preserve"> </w:t>
      </w:r>
      <w:proofErr w:type="spellStart"/>
      <w:r w:rsidRPr="0037066B">
        <w:rPr>
          <w:rFonts w:cs="Times New Roman"/>
          <w:spacing w:val="-4"/>
          <w:sz w:val="18"/>
          <w:szCs w:val="18"/>
          <w:rtl/>
          <w:lang w:val="ar-SA"/>
        </w:rPr>
        <w:t>adopted</w:t>
      </w:r>
      <w:proofErr w:type="spellEnd"/>
      <w:r w:rsidRPr="0037066B">
        <w:rPr>
          <w:rFonts w:cs="Times New Roman"/>
          <w:spacing w:val="-4"/>
          <w:sz w:val="18"/>
          <w:szCs w:val="18"/>
          <w:rtl/>
          <w:lang w:val="ar-SA"/>
        </w:rPr>
        <w:t xml:space="preserve"> </w:t>
      </w:r>
      <w:proofErr w:type="spellStart"/>
      <w:r w:rsidRPr="0037066B">
        <w:rPr>
          <w:rFonts w:cs="Times New Roman"/>
          <w:spacing w:val="-4"/>
          <w:sz w:val="18"/>
          <w:szCs w:val="18"/>
          <w:rtl/>
          <w:lang w:val="ar-SA"/>
        </w:rPr>
        <w:t>on</w:t>
      </w:r>
      <w:proofErr w:type="spellEnd"/>
      <w:r w:rsidRPr="0037066B">
        <w:rPr>
          <w:rFonts w:cs="Times New Roman"/>
          <w:spacing w:val="-4"/>
          <w:sz w:val="18"/>
          <w:szCs w:val="18"/>
          <w:rtl/>
          <w:lang w:val="ar-SA"/>
        </w:rPr>
        <w:t xml:space="preserve"> 28 </w:t>
      </w:r>
      <w:proofErr w:type="spellStart"/>
      <w:r w:rsidRPr="0037066B">
        <w:rPr>
          <w:rFonts w:cs="Times New Roman"/>
          <w:spacing w:val="-4"/>
          <w:sz w:val="18"/>
          <w:szCs w:val="18"/>
          <w:rtl/>
          <w:lang w:val="ar-SA"/>
        </w:rPr>
        <w:t>November</w:t>
      </w:r>
      <w:proofErr w:type="spellEnd"/>
      <w:r w:rsidRPr="0037066B">
        <w:rPr>
          <w:rFonts w:cs="Times New Roman"/>
          <w:spacing w:val="-4"/>
          <w:sz w:val="18"/>
          <w:szCs w:val="18"/>
          <w:rtl/>
          <w:lang w:val="ar-SA"/>
        </w:rPr>
        <w:t xml:space="preserve"> 2014, </w:t>
      </w:r>
      <w:proofErr w:type="spellStart"/>
      <w:r w:rsidRPr="0037066B">
        <w:rPr>
          <w:rFonts w:cs="Times New Roman"/>
          <w:spacing w:val="-4"/>
          <w:sz w:val="18"/>
          <w:szCs w:val="18"/>
          <w:rtl/>
          <w:lang w:val="ar-SA"/>
        </w:rPr>
        <w:t>para</w:t>
      </w:r>
      <w:proofErr w:type="spellEnd"/>
      <w:r w:rsidRPr="0037066B">
        <w:rPr>
          <w:rFonts w:cs="Times New Roman"/>
          <w:spacing w:val="-4"/>
          <w:sz w:val="18"/>
          <w:szCs w:val="18"/>
          <w:rtl/>
          <w:lang w:val="ar-SA"/>
        </w:rPr>
        <w:t>. 9.5</w:t>
      </w:r>
      <w:r w:rsidRPr="0037066B">
        <w:rPr>
          <w:spacing w:val="-4"/>
          <w:sz w:val="18"/>
          <w:szCs w:val="26"/>
          <w:rtl/>
          <w:lang w:val="ar-SA"/>
        </w:rPr>
        <w:t xml:space="preserve"> [ورقم 458/2011، </w:t>
      </w:r>
      <w:r w:rsidRPr="0037066B">
        <w:rPr>
          <w:i/>
          <w:iCs/>
          <w:spacing w:val="-4"/>
          <w:sz w:val="18"/>
          <w:szCs w:val="26"/>
          <w:rtl/>
          <w:lang w:val="ar-SA"/>
        </w:rPr>
        <w:t>س ضد الدانمرك</w:t>
      </w:r>
      <w:r w:rsidRPr="0037066B">
        <w:rPr>
          <w:spacing w:val="-4"/>
          <w:sz w:val="18"/>
          <w:szCs w:val="26"/>
          <w:rtl/>
          <w:lang w:val="ar-SA"/>
        </w:rPr>
        <w:t>، القرار المعتمد في 28 تشرين الثاني/نوفمبر 2014، الفقرة 9-5].</w:t>
      </w:r>
    </w:p>
  </w:footnote>
  <w:footnote w:id="33">
    <w:p w:rsidR="000F05C8" w:rsidRPr="00E46C7F" w:rsidRDefault="000F05C8" w:rsidP="00261F47">
      <w:pPr>
        <w:pStyle w:val="FootnoteText"/>
        <w:spacing w:after="60" w:line="300" w:lineRule="exact"/>
        <w:ind w:left="1247" w:right="1247" w:hanging="567"/>
        <w:rPr>
          <w:spacing w:val="-2"/>
          <w:sz w:val="18"/>
          <w:szCs w:val="26"/>
          <w:rtl/>
        </w:rPr>
      </w:pPr>
      <w:r w:rsidRPr="00E46C7F">
        <w:rPr>
          <w:rFonts w:eastAsia="Traditional Arabic"/>
          <w:spacing w:val="-2"/>
          <w:sz w:val="18"/>
          <w:szCs w:val="26"/>
          <w:rtl/>
          <w:lang w:val="ar-SA"/>
        </w:rPr>
        <w:t>(</w:t>
      </w:r>
      <w:r w:rsidRPr="00E46C7F">
        <w:rPr>
          <w:rFonts w:eastAsia="Traditional Arabic"/>
          <w:spacing w:val="-2"/>
          <w:sz w:val="18"/>
          <w:szCs w:val="26"/>
          <w:rtl/>
          <w:lang w:val="ar-SA"/>
        </w:rPr>
        <w:footnoteRef/>
      </w:r>
      <w:r w:rsidRPr="00E46C7F">
        <w:rPr>
          <w:rFonts w:eastAsia="Traditional Arabic"/>
          <w:spacing w:val="-2"/>
          <w:sz w:val="18"/>
          <w:szCs w:val="26"/>
          <w:rtl/>
          <w:lang w:val="ar-SA"/>
        </w:rPr>
        <w:t>)</w:t>
      </w:r>
      <w:r w:rsidRPr="00E46C7F">
        <w:rPr>
          <w:rFonts w:eastAsia="Traditional Arabic"/>
          <w:spacing w:val="-2"/>
          <w:sz w:val="18"/>
          <w:szCs w:val="26"/>
          <w:rtl/>
          <w:lang w:val="ar-SA"/>
        </w:rPr>
        <w:tab/>
      </w:r>
      <w:r w:rsidRPr="00E46C7F">
        <w:rPr>
          <w:spacing w:val="-2"/>
          <w:sz w:val="18"/>
          <w:szCs w:val="26"/>
          <w:rtl/>
        </w:rPr>
        <w:t xml:space="preserve">انظر، على سبيل المثال، </w:t>
      </w:r>
      <w:r w:rsidRPr="00E46C7F">
        <w:rPr>
          <w:spacing w:val="-2"/>
          <w:sz w:val="18"/>
          <w:szCs w:val="26"/>
        </w:rPr>
        <w:t xml:space="preserve">communication No. 431/2010, </w:t>
      </w:r>
      <w:r w:rsidRPr="00E46C7F">
        <w:rPr>
          <w:rFonts w:cs="Times New Roman"/>
          <w:i/>
          <w:iCs/>
          <w:spacing w:val="-2"/>
          <w:sz w:val="18"/>
          <w:szCs w:val="18"/>
          <w:rtl/>
          <w:lang w:val="ar-SA"/>
        </w:rPr>
        <w:t xml:space="preserve">Y. v. </w:t>
      </w:r>
      <w:proofErr w:type="spellStart"/>
      <w:r w:rsidRPr="00E46C7F">
        <w:rPr>
          <w:rFonts w:cs="Times New Roman"/>
          <w:i/>
          <w:iCs/>
          <w:spacing w:val="-2"/>
          <w:sz w:val="18"/>
          <w:szCs w:val="18"/>
          <w:rtl/>
          <w:lang w:val="ar-SA"/>
        </w:rPr>
        <w:t>Switzerland</w:t>
      </w:r>
      <w:proofErr w:type="spellEnd"/>
      <w:r w:rsidRPr="00E46C7F">
        <w:rPr>
          <w:spacing w:val="-2"/>
          <w:sz w:val="18"/>
          <w:szCs w:val="26"/>
        </w:rPr>
        <w:t xml:space="preserve">decision adopted on 21 May 2013, para. 7.7 and No. 458/2011, </w:t>
      </w:r>
      <w:r w:rsidRPr="00E46C7F">
        <w:rPr>
          <w:rFonts w:cs="Times New Roman"/>
          <w:i/>
          <w:iCs/>
          <w:spacing w:val="-2"/>
          <w:sz w:val="18"/>
          <w:szCs w:val="18"/>
          <w:rtl/>
          <w:lang w:val="ar-SA"/>
        </w:rPr>
        <w:t xml:space="preserve">X. v. </w:t>
      </w:r>
      <w:proofErr w:type="spellStart"/>
      <w:r w:rsidRPr="00E46C7F">
        <w:rPr>
          <w:rFonts w:cs="Times New Roman"/>
          <w:i/>
          <w:iCs/>
          <w:spacing w:val="-2"/>
          <w:sz w:val="18"/>
          <w:szCs w:val="18"/>
          <w:rtl/>
          <w:lang w:val="ar-SA"/>
        </w:rPr>
        <w:t>Denmark</w:t>
      </w:r>
      <w:proofErr w:type="spellEnd"/>
      <w:r w:rsidRPr="00E46C7F">
        <w:rPr>
          <w:spacing w:val="-2"/>
          <w:sz w:val="18"/>
          <w:szCs w:val="26"/>
        </w:rPr>
        <w:t>decision adopted on 28 November 2014, para. 9.5</w:t>
      </w:r>
      <w:r w:rsidRPr="00E46C7F">
        <w:rPr>
          <w:spacing w:val="-2"/>
          <w:sz w:val="18"/>
          <w:szCs w:val="26"/>
          <w:rtl/>
        </w:rPr>
        <w:t xml:space="preserve"> [البلاغ رقم 431/2010، </w:t>
      </w:r>
      <w:r w:rsidRPr="00E46C7F">
        <w:rPr>
          <w:i/>
          <w:iCs/>
          <w:spacing w:val="-2"/>
          <w:sz w:val="18"/>
          <w:szCs w:val="26"/>
          <w:rtl/>
          <w:lang w:val="ar-SA"/>
        </w:rPr>
        <w:t>ي. ضد سويسرا</w:t>
      </w:r>
      <w:r w:rsidRPr="00E46C7F">
        <w:rPr>
          <w:spacing w:val="-2"/>
          <w:sz w:val="18"/>
          <w:szCs w:val="26"/>
          <w:rtl/>
        </w:rPr>
        <w:t xml:space="preserve">، القرار المعتمد في 21 أيار/مايو 2013، الفقرة 7-7، ورقم 458/2011، </w:t>
      </w:r>
      <w:r w:rsidRPr="00E46C7F">
        <w:rPr>
          <w:i/>
          <w:iCs/>
          <w:spacing w:val="-2"/>
          <w:sz w:val="18"/>
          <w:szCs w:val="26"/>
          <w:rtl/>
          <w:lang w:val="ar-SA"/>
        </w:rPr>
        <w:t>س ضد الدانمرك</w:t>
      </w:r>
      <w:r w:rsidRPr="00E46C7F">
        <w:rPr>
          <w:spacing w:val="-2"/>
          <w:sz w:val="18"/>
          <w:szCs w:val="26"/>
          <w:rtl/>
        </w:rPr>
        <w:t>، القرار المعتمد في 28 تشرين الثاني/نوفمبر 2014، الفقرة 9-5].</w:t>
      </w:r>
    </w:p>
  </w:footnote>
  <w:footnote w:id="34">
    <w:p w:rsidR="000F05C8" w:rsidRPr="0040052E" w:rsidRDefault="000F05C8" w:rsidP="000F05C8">
      <w:pPr>
        <w:pStyle w:val="FootnoteText"/>
        <w:spacing w:after="60" w:line="300" w:lineRule="exact"/>
        <w:ind w:left="1247" w:right="1247" w:hanging="567"/>
        <w:rPr>
          <w:sz w:val="18"/>
          <w:szCs w:val="26"/>
          <w:rtl/>
        </w:rPr>
      </w:pPr>
      <w:r w:rsidRPr="00E46C7F">
        <w:rPr>
          <w:rFonts w:eastAsia="Traditional Arabic"/>
          <w:sz w:val="18"/>
          <w:szCs w:val="26"/>
          <w:rtl/>
          <w:lang w:val="ar-SA"/>
        </w:rPr>
        <w:t>(</w:t>
      </w:r>
      <w:r w:rsidRPr="00E46C7F">
        <w:rPr>
          <w:rFonts w:eastAsia="Traditional Arabic"/>
          <w:sz w:val="18"/>
          <w:szCs w:val="26"/>
          <w:rtl/>
          <w:lang w:val="ar-SA"/>
        </w:rPr>
        <w:footnoteRef/>
      </w:r>
      <w:r w:rsidRPr="00E46C7F">
        <w:rPr>
          <w:rFonts w:eastAsia="Traditional Arabic"/>
          <w:sz w:val="18"/>
          <w:szCs w:val="26"/>
          <w:rtl/>
          <w:lang w:val="ar-SA"/>
        </w:rPr>
        <w:t>)</w:t>
      </w:r>
      <w:r w:rsidRPr="00E46C7F">
        <w:rPr>
          <w:rFonts w:eastAsia="Traditional Arabic"/>
          <w:sz w:val="18"/>
          <w:szCs w:val="26"/>
          <w:rtl/>
          <w:lang w:val="ar-SA"/>
        </w:rPr>
        <w:tab/>
      </w:r>
      <w:r w:rsidRPr="00E46C7F">
        <w:rPr>
          <w:sz w:val="18"/>
          <w:szCs w:val="26"/>
          <w:rtl/>
          <w:lang w:val="ar-SA"/>
        </w:rPr>
        <w:t xml:space="preserve">انظر </w:t>
      </w:r>
      <w:proofErr w:type="spellStart"/>
      <w:r w:rsidRPr="00E46C7F">
        <w:rPr>
          <w:rFonts w:cs="Times New Roman"/>
          <w:sz w:val="18"/>
          <w:szCs w:val="18"/>
          <w:rtl/>
          <w:lang w:val="ar-SA"/>
        </w:rPr>
        <w:t>communications</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No</w:t>
      </w:r>
      <w:proofErr w:type="spellEnd"/>
      <w:r w:rsidRPr="00E46C7F">
        <w:rPr>
          <w:rFonts w:cs="Times New Roman"/>
          <w:sz w:val="18"/>
          <w:szCs w:val="18"/>
          <w:rtl/>
          <w:lang w:val="ar-SA"/>
        </w:rPr>
        <w:t xml:space="preserve">. 298/2006, </w:t>
      </w:r>
      <w:r w:rsidRPr="00E46C7F">
        <w:rPr>
          <w:rFonts w:cs="Times New Roman"/>
          <w:i/>
          <w:iCs/>
          <w:sz w:val="18"/>
          <w:szCs w:val="18"/>
          <w:rtl/>
          <w:lang w:val="ar-SA"/>
        </w:rPr>
        <w:t xml:space="preserve">C.A.R.M. </w:t>
      </w:r>
      <w:proofErr w:type="spellStart"/>
      <w:r w:rsidRPr="00E46C7F">
        <w:rPr>
          <w:rFonts w:cs="Times New Roman"/>
          <w:i/>
          <w:iCs/>
          <w:sz w:val="18"/>
          <w:szCs w:val="18"/>
          <w:rtl/>
          <w:lang w:val="ar-SA"/>
        </w:rPr>
        <w:t>et</w:t>
      </w:r>
      <w:proofErr w:type="spellEnd"/>
      <w:r w:rsidRPr="00E46C7F">
        <w:rPr>
          <w:rFonts w:cs="Times New Roman"/>
          <w:i/>
          <w:iCs/>
          <w:sz w:val="18"/>
          <w:szCs w:val="18"/>
          <w:rtl/>
          <w:lang w:val="ar-SA"/>
        </w:rPr>
        <w:t xml:space="preserve"> </w:t>
      </w:r>
      <w:proofErr w:type="spellStart"/>
      <w:r w:rsidRPr="00E46C7F">
        <w:rPr>
          <w:rFonts w:cs="Times New Roman"/>
          <w:i/>
          <w:iCs/>
          <w:sz w:val="18"/>
          <w:szCs w:val="18"/>
          <w:rtl/>
          <w:lang w:val="ar-SA"/>
        </w:rPr>
        <w:t>al</w:t>
      </w:r>
      <w:proofErr w:type="spellEnd"/>
      <w:r w:rsidRPr="00E46C7F">
        <w:rPr>
          <w:rFonts w:cs="Times New Roman"/>
          <w:i/>
          <w:iCs/>
          <w:sz w:val="18"/>
          <w:szCs w:val="18"/>
          <w:rtl/>
          <w:lang w:val="ar-SA"/>
        </w:rPr>
        <w:t xml:space="preserve">. v. </w:t>
      </w:r>
      <w:proofErr w:type="spellStart"/>
      <w:r w:rsidRPr="00E46C7F">
        <w:rPr>
          <w:rFonts w:cs="Times New Roman"/>
          <w:i/>
          <w:iCs/>
          <w:sz w:val="18"/>
          <w:szCs w:val="18"/>
          <w:rtl/>
          <w:lang w:val="ar-SA"/>
        </w:rPr>
        <w:t>Canada</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decision</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adopted</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on</w:t>
      </w:r>
      <w:proofErr w:type="spellEnd"/>
      <w:r w:rsidRPr="00E46C7F">
        <w:rPr>
          <w:rFonts w:cs="Times New Roman"/>
          <w:sz w:val="18"/>
          <w:szCs w:val="18"/>
          <w:rtl/>
          <w:lang w:val="ar-SA"/>
        </w:rPr>
        <w:t xml:space="preserve"> 18 </w:t>
      </w:r>
      <w:proofErr w:type="spellStart"/>
      <w:r w:rsidRPr="00E46C7F">
        <w:rPr>
          <w:rFonts w:cs="Times New Roman"/>
          <w:sz w:val="18"/>
          <w:szCs w:val="18"/>
          <w:rtl/>
          <w:lang w:val="ar-SA"/>
        </w:rPr>
        <w:t>May</w:t>
      </w:r>
      <w:proofErr w:type="spellEnd"/>
      <w:r w:rsidRPr="00E46C7F">
        <w:rPr>
          <w:rFonts w:cs="Times New Roman"/>
          <w:sz w:val="18"/>
          <w:szCs w:val="18"/>
          <w:rtl/>
          <w:lang w:val="ar-SA"/>
        </w:rPr>
        <w:t xml:space="preserve"> 2007, </w:t>
      </w:r>
      <w:proofErr w:type="spellStart"/>
      <w:r w:rsidRPr="00E46C7F">
        <w:rPr>
          <w:rFonts w:cs="Times New Roman"/>
          <w:sz w:val="18"/>
          <w:szCs w:val="18"/>
          <w:rtl/>
          <w:lang w:val="ar-SA"/>
        </w:rPr>
        <w:t>para</w:t>
      </w:r>
      <w:proofErr w:type="spellEnd"/>
      <w:r w:rsidRPr="00E46C7F">
        <w:rPr>
          <w:rFonts w:cs="Times New Roman"/>
          <w:sz w:val="18"/>
          <w:szCs w:val="18"/>
          <w:rtl/>
          <w:lang w:val="ar-SA"/>
        </w:rPr>
        <w:t>. 8.10</w:t>
      </w:r>
      <w:r w:rsidRPr="00E46C7F">
        <w:rPr>
          <w:sz w:val="18"/>
          <w:szCs w:val="26"/>
          <w:rtl/>
          <w:lang w:val="ar-SA"/>
        </w:rPr>
        <w:t xml:space="preserve"> [البلاغات رقم 298/2006، </w:t>
      </w:r>
      <w:r w:rsidRPr="00E46C7F">
        <w:rPr>
          <w:i/>
          <w:iCs/>
          <w:sz w:val="18"/>
          <w:szCs w:val="26"/>
          <w:rtl/>
          <w:lang w:val="ar-SA"/>
        </w:rPr>
        <w:t>س.</w:t>
      </w:r>
      <w:r w:rsidRPr="00E46C7F">
        <w:rPr>
          <w:rFonts w:hint="cs"/>
          <w:i/>
          <w:iCs/>
          <w:sz w:val="18"/>
          <w:szCs w:val="26"/>
          <w:rtl/>
          <w:lang w:val="ar-SA"/>
        </w:rPr>
        <w:t xml:space="preserve"> </w:t>
      </w:r>
      <w:r w:rsidRPr="00E46C7F">
        <w:rPr>
          <w:i/>
          <w:iCs/>
          <w:sz w:val="18"/>
          <w:szCs w:val="26"/>
          <w:rtl/>
          <w:lang w:val="ar-SA"/>
        </w:rPr>
        <w:t>أ.</w:t>
      </w:r>
      <w:r w:rsidRPr="00E46C7F">
        <w:rPr>
          <w:rFonts w:hint="cs"/>
          <w:i/>
          <w:iCs/>
          <w:sz w:val="18"/>
          <w:szCs w:val="26"/>
          <w:rtl/>
          <w:lang w:val="ar-SA"/>
        </w:rPr>
        <w:t xml:space="preserve"> </w:t>
      </w:r>
      <w:r w:rsidRPr="00E46C7F">
        <w:rPr>
          <w:i/>
          <w:iCs/>
          <w:sz w:val="18"/>
          <w:szCs w:val="26"/>
          <w:rtl/>
          <w:lang w:val="ar-SA"/>
        </w:rPr>
        <w:t>ر.</w:t>
      </w:r>
      <w:r w:rsidRPr="00E46C7F">
        <w:rPr>
          <w:rFonts w:hint="cs"/>
          <w:i/>
          <w:iCs/>
          <w:sz w:val="18"/>
          <w:szCs w:val="26"/>
          <w:rtl/>
          <w:lang w:val="ar-SA"/>
        </w:rPr>
        <w:t xml:space="preserve"> </w:t>
      </w:r>
      <w:r w:rsidRPr="00E46C7F">
        <w:rPr>
          <w:i/>
          <w:iCs/>
          <w:sz w:val="18"/>
          <w:szCs w:val="26"/>
          <w:rtl/>
          <w:lang w:val="ar-SA"/>
        </w:rPr>
        <w:t>م.، وآخرون ضد كندا</w:t>
      </w:r>
      <w:r w:rsidRPr="00E46C7F">
        <w:rPr>
          <w:sz w:val="18"/>
          <w:szCs w:val="26"/>
          <w:rtl/>
          <w:lang w:val="ar-SA"/>
        </w:rPr>
        <w:t>، القرار المعتمد في 18 أيار/</w:t>
      </w:r>
      <w:r>
        <w:rPr>
          <w:rFonts w:hint="cs"/>
          <w:sz w:val="18"/>
          <w:szCs w:val="26"/>
          <w:rtl/>
          <w:lang w:val="ar-SA"/>
        </w:rPr>
        <w:t xml:space="preserve"> </w:t>
      </w:r>
      <w:r w:rsidRPr="00313445">
        <w:rPr>
          <w:spacing w:val="-6"/>
          <w:sz w:val="18"/>
          <w:szCs w:val="26"/>
          <w:rtl/>
          <w:lang w:val="ar-SA"/>
        </w:rPr>
        <w:t>مايو</w:t>
      </w:r>
      <w:r w:rsidRPr="00313445">
        <w:rPr>
          <w:rFonts w:hint="cs"/>
          <w:spacing w:val="-6"/>
          <w:sz w:val="18"/>
          <w:szCs w:val="26"/>
          <w:rtl/>
          <w:lang w:val="ar-SA"/>
        </w:rPr>
        <w:t> </w:t>
      </w:r>
      <w:r w:rsidRPr="00313445">
        <w:rPr>
          <w:spacing w:val="-6"/>
          <w:sz w:val="18"/>
          <w:szCs w:val="26"/>
          <w:rtl/>
          <w:lang w:val="ar-SA"/>
        </w:rPr>
        <w:t xml:space="preserve">2007، الفقرة 8-10]؛ </w:t>
      </w:r>
      <w:proofErr w:type="spellStart"/>
      <w:r w:rsidRPr="00313445">
        <w:rPr>
          <w:rFonts w:cs="Times New Roman"/>
          <w:spacing w:val="-6"/>
          <w:sz w:val="18"/>
          <w:szCs w:val="18"/>
          <w:rtl/>
          <w:lang w:val="ar-SA"/>
        </w:rPr>
        <w:t>No</w:t>
      </w:r>
      <w:proofErr w:type="spellEnd"/>
      <w:r w:rsidRPr="00313445">
        <w:rPr>
          <w:rFonts w:cs="Times New Roman"/>
          <w:spacing w:val="-6"/>
          <w:sz w:val="18"/>
          <w:szCs w:val="18"/>
          <w:rtl/>
          <w:lang w:val="ar-SA"/>
        </w:rPr>
        <w:t xml:space="preserve">. 256/2004, </w:t>
      </w:r>
      <w:r w:rsidRPr="00313445">
        <w:rPr>
          <w:rFonts w:cs="Times New Roman"/>
          <w:i/>
          <w:iCs/>
          <w:spacing w:val="-6"/>
          <w:sz w:val="18"/>
          <w:szCs w:val="18"/>
          <w:rtl/>
          <w:lang w:val="ar-SA"/>
        </w:rPr>
        <w:t xml:space="preserve">M.Z. v. </w:t>
      </w:r>
      <w:proofErr w:type="spellStart"/>
      <w:r w:rsidRPr="00313445">
        <w:rPr>
          <w:rFonts w:cs="Times New Roman"/>
          <w:i/>
          <w:iCs/>
          <w:spacing w:val="-6"/>
          <w:sz w:val="18"/>
          <w:szCs w:val="18"/>
          <w:rtl/>
          <w:lang w:val="ar-SA"/>
        </w:rPr>
        <w:t>Sweden</w:t>
      </w:r>
      <w:proofErr w:type="spellEnd"/>
      <w:r w:rsidRPr="00313445">
        <w:rPr>
          <w:rFonts w:cs="Times New Roman"/>
          <w:spacing w:val="-6"/>
          <w:sz w:val="18"/>
          <w:szCs w:val="18"/>
          <w:rtl/>
          <w:lang w:val="ar-SA"/>
        </w:rPr>
        <w:t xml:space="preserve">, </w:t>
      </w:r>
      <w:proofErr w:type="spellStart"/>
      <w:r w:rsidRPr="00313445">
        <w:rPr>
          <w:rFonts w:cs="Times New Roman"/>
          <w:spacing w:val="-6"/>
          <w:sz w:val="18"/>
          <w:szCs w:val="18"/>
          <w:rtl/>
          <w:lang w:val="ar-SA"/>
        </w:rPr>
        <w:t>decision</w:t>
      </w:r>
      <w:proofErr w:type="spellEnd"/>
      <w:r w:rsidRPr="00313445">
        <w:rPr>
          <w:rFonts w:cs="Times New Roman"/>
          <w:spacing w:val="-6"/>
          <w:sz w:val="18"/>
          <w:szCs w:val="18"/>
          <w:rtl/>
          <w:lang w:val="ar-SA"/>
        </w:rPr>
        <w:t xml:space="preserve"> </w:t>
      </w:r>
      <w:proofErr w:type="spellStart"/>
      <w:r w:rsidRPr="00313445">
        <w:rPr>
          <w:rFonts w:cs="Times New Roman"/>
          <w:spacing w:val="-6"/>
          <w:sz w:val="18"/>
          <w:szCs w:val="18"/>
          <w:rtl/>
          <w:lang w:val="ar-SA"/>
        </w:rPr>
        <w:t>adopted</w:t>
      </w:r>
      <w:proofErr w:type="spellEnd"/>
      <w:r w:rsidRPr="00313445">
        <w:rPr>
          <w:rFonts w:cs="Times New Roman"/>
          <w:spacing w:val="-6"/>
          <w:sz w:val="18"/>
          <w:szCs w:val="18"/>
          <w:rtl/>
          <w:lang w:val="ar-SA"/>
        </w:rPr>
        <w:t xml:space="preserve"> </w:t>
      </w:r>
      <w:proofErr w:type="spellStart"/>
      <w:r w:rsidRPr="00313445">
        <w:rPr>
          <w:rFonts w:cs="Times New Roman"/>
          <w:spacing w:val="-6"/>
          <w:sz w:val="18"/>
          <w:szCs w:val="18"/>
          <w:rtl/>
          <w:lang w:val="ar-SA"/>
        </w:rPr>
        <w:t>on</w:t>
      </w:r>
      <w:proofErr w:type="spellEnd"/>
      <w:r w:rsidRPr="00313445">
        <w:rPr>
          <w:rFonts w:cs="Times New Roman"/>
          <w:spacing w:val="-6"/>
          <w:sz w:val="18"/>
          <w:szCs w:val="18"/>
          <w:rtl/>
          <w:lang w:val="ar-SA"/>
        </w:rPr>
        <w:t xml:space="preserve"> 12 </w:t>
      </w:r>
      <w:proofErr w:type="spellStart"/>
      <w:r w:rsidRPr="00313445">
        <w:rPr>
          <w:rFonts w:cs="Times New Roman"/>
          <w:spacing w:val="-6"/>
          <w:sz w:val="18"/>
          <w:szCs w:val="18"/>
          <w:rtl/>
          <w:lang w:val="ar-SA"/>
        </w:rPr>
        <w:t>May</w:t>
      </w:r>
      <w:proofErr w:type="spellEnd"/>
      <w:r w:rsidRPr="00313445">
        <w:rPr>
          <w:rFonts w:cs="Times New Roman"/>
          <w:spacing w:val="-6"/>
          <w:sz w:val="18"/>
          <w:szCs w:val="18"/>
          <w:rtl/>
          <w:lang w:val="ar-SA"/>
        </w:rPr>
        <w:t xml:space="preserve"> 2006, </w:t>
      </w:r>
      <w:proofErr w:type="spellStart"/>
      <w:r w:rsidRPr="00313445">
        <w:rPr>
          <w:rFonts w:cs="Times New Roman"/>
          <w:spacing w:val="-6"/>
          <w:sz w:val="18"/>
          <w:szCs w:val="18"/>
          <w:rtl/>
          <w:lang w:val="ar-SA"/>
        </w:rPr>
        <w:t>para</w:t>
      </w:r>
      <w:proofErr w:type="spellEnd"/>
      <w:r w:rsidRPr="00313445">
        <w:rPr>
          <w:rFonts w:cs="Times New Roman"/>
          <w:spacing w:val="-6"/>
          <w:sz w:val="18"/>
          <w:szCs w:val="18"/>
          <w:rtl/>
          <w:lang w:val="ar-SA"/>
        </w:rPr>
        <w:t>. 9.3</w:t>
      </w:r>
      <w:r w:rsidRPr="00313445">
        <w:rPr>
          <w:spacing w:val="-6"/>
          <w:sz w:val="18"/>
          <w:szCs w:val="26"/>
          <w:rtl/>
          <w:lang w:val="ar-SA"/>
        </w:rPr>
        <w:t xml:space="preserve"> [256/2004، </w:t>
      </w:r>
      <w:r w:rsidRPr="00313445">
        <w:rPr>
          <w:i/>
          <w:iCs/>
          <w:spacing w:val="-6"/>
          <w:sz w:val="18"/>
          <w:szCs w:val="26"/>
          <w:rtl/>
          <w:lang w:val="ar-SA"/>
        </w:rPr>
        <w:t>م. ز. ضد السويد</w:t>
      </w:r>
      <w:r w:rsidRPr="00313445">
        <w:rPr>
          <w:spacing w:val="-6"/>
          <w:sz w:val="18"/>
          <w:szCs w:val="26"/>
          <w:rtl/>
          <w:lang w:val="ar-SA"/>
        </w:rPr>
        <w:t xml:space="preserve">، القرار المعتمد في 12 أيار/مايو 2006، الفقرة 9-3]؛ </w:t>
      </w:r>
      <w:proofErr w:type="spellStart"/>
      <w:r w:rsidRPr="00313445">
        <w:rPr>
          <w:rFonts w:cs="Times New Roman"/>
          <w:spacing w:val="-6"/>
          <w:sz w:val="18"/>
          <w:szCs w:val="18"/>
          <w:rtl/>
          <w:lang w:val="ar-SA"/>
        </w:rPr>
        <w:t>No</w:t>
      </w:r>
      <w:proofErr w:type="spellEnd"/>
      <w:r w:rsidRPr="00313445">
        <w:rPr>
          <w:rFonts w:cs="Times New Roman"/>
          <w:spacing w:val="-6"/>
          <w:sz w:val="18"/>
          <w:szCs w:val="18"/>
          <w:rtl/>
          <w:lang w:val="ar-SA"/>
        </w:rPr>
        <w:t xml:space="preserve">. 214/2002, </w:t>
      </w:r>
      <w:r w:rsidRPr="00313445">
        <w:rPr>
          <w:rFonts w:cs="Times New Roman"/>
          <w:i/>
          <w:iCs/>
          <w:spacing w:val="-6"/>
          <w:sz w:val="18"/>
          <w:szCs w:val="18"/>
          <w:rtl/>
          <w:lang w:val="ar-SA"/>
        </w:rPr>
        <w:t xml:space="preserve">M.A.K. v. </w:t>
      </w:r>
      <w:proofErr w:type="spellStart"/>
      <w:r w:rsidRPr="00313445">
        <w:rPr>
          <w:rFonts w:cs="Times New Roman"/>
          <w:i/>
          <w:iCs/>
          <w:spacing w:val="-6"/>
          <w:sz w:val="18"/>
          <w:szCs w:val="18"/>
          <w:rtl/>
          <w:lang w:val="ar-SA"/>
        </w:rPr>
        <w:t>Germany</w:t>
      </w:r>
      <w:proofErr w:type="spellEnd"/>
      <w:r w:rsidRPr="00313445">
        <w:rPr>
          <w:rFonts w:cs="Times New Roman"/>
          <w:spacing w:val="-6"/>
          <w:sz w:val="18"/>
          <w:szCs w:val="18"/>
          <w:rtl/>
          <w:lang w:val="ar-SA"/>
        </w:rPr>
        <w:t xml:space="preserve">, </w:t>
      </w:r>
      <w:proofErr w:type="spellStart"/>
      <w:r w:rsidRPr="00313445">
        <w:rPr>
          <w:rFonts w:cs="Times New Roman"/>
          <w:spacing w:val="-6"/>
          <w:sz w:val="18"/>
          <w:szCs w:val="18"/>
          <w:rtl/>
          <w:lang w:val="ar-SA"/>
        </w:rPr>
        <w:t>decision</w:t>
      </w:r>
      <w:proofErr w:type="spellEnd"/>
      <w:r w:rsidRPr="00313445">
        <w:rPr>
          <w:rFonts w:cs="Times New Roman"/>
          <w:spacing w:val="-6"/>
          <w:sz w:val="18"/>
          <w:szCs w:val="18"/>
          <w:rtl/>
          <w:lang w:val="ar-SA"/>
        </w:rPr>
        <w:t xml:space="preserve"> </w:t>
      </w:r>
      <w:proofErr w:type="spellStart"/>
      <w:r w:rsidRPr="00313445">
        <w:rPr>
          <w:rFonts w:cs="Times New Roman"/>
          <w:spacing w:val="-6"/>
          <w:sz w:val="18"/>
          <w:szCs w:val="18"/>
          <w:rtl/>
          <w:lang w:val="ar-SA"/>
        </w:rPr>
        <w:t>adopted</w:t>
      </w:r>
      <w:proofErr w:type="spellEnd"/>
      <w:r w:rsidRPr="00313445">
        <w:rPr>
          <w:rFonts w:cs="Times New Roman"/>
          <w:spacing w:val="-6"/>
          <w:sz w:val="18"/>
          <w:szCs w:val="18"/>
          <w:rtl/>
          <w:lang w:val="ar-SA"/>
        </w:rPr>
        <w:t xml:space="preserve"> </w:t>
      </w:r>
      <w:proofErr w:type="spellStart"/>
      <w:r w:rsidRPr="00313445">
        <w:rPr>
          <w:rFonts w:cs="Times New Roman"/>
          <w:spacing w:val="-6"/>
          <w:sz w:val="18"/>
          <w:szCs w:val="18"/>
          <w:rtl/>
          <w:lang w:val="ar-SA"/>
        </w:rPr>
        <w:t>on</w:t>
      </w:r>
      <w:proofErr w:type="spellEnd"/>
      <w:r w:rsidRPr="00313445">
        <w:rPr>
          <w:rFonts w:cs="Times New Roman"/>
          <w:spacing w:val="-6"/>
          <w:sz w:val="18"/>
          <w:szCs w:val="18"/>
          <w:rtl/>
          <w:lang w:val="ar-SA"/>
        </w:rPr>
        <w:t xml:space="preserve"> 12 </w:t>
      </w:r>
      <w:proofErr w:type="spellStart"/>
      <w:r w:rsidRPr="00313445">
        <w:rPr>
          <w:rFonts w:cs="Times New Roman"/>
          <w:spacing w:val="-6"/>
          <w:sz w:val="18"/>
          <w:szCs w:val="18"/>
          <w:rtl/>
          <w:lang w:val="ar-SA"/>
        </w:rPr>
        <w:t>May</w:t>
      </w:r>
      <w:proofErr w:type="spellEnd"/>
      <w:r w:rsidRPr="00313445">
        <w:rPr>
          <w:rFonts w:cs="Times New Roman"/>
          <w:spacing w:val="-6"/>
          <w:sz w:val="18"/>
          <w:szCs w:val="18"/>
          <w:rtl/>
          <w:lang w:val="ar-SA"/>
        </w:rPr>
        <w:t xml:space="preserve"> 2004, </w:t>
      </w:r>
      <w:proofErr w:type="spellStart"/>
      <w:r w:rsidRPr="00313445">
        <w:rPr>
          <w:rFonts w:cs="Times New Roman"/>
          <w:spacing w:val="-6"/>
          <w:sz w:val="18"/>
          <w:szCs w:val="18"/>
          <w:rtl/>
          <w:lang w:val="ar-SA"/>
        </w:rPr>
        <w:t>para</w:t>
      </w:r>
      <w:proofErr w:type="spellEnd"/>
      <w:r w:rsidRPr="00313445">
        <w:rPr>
          <w:rFonts w:cs="Times New Roman"/>
          <w:spacing w:val="-6"/>
          <w:sz w:val="18"/>
          <w:szCs w:val="18"/>
          <w:rtl/>
          <w:lang w:val="ar-SA"/>
        </w:rPr>
        <w:t>. 13.5</w:t>
      </w:r>
      <w:r w:rsidRPr="00E46C7F">
        <w:rPr>
          <w:sz w:val="18"/>
          <w:szCs w:val="26"/>
          <w:rtl/>
          <w:lang w:val="ar-SA"/>
        </w:rPr>
        <w:t xml:space="preserve"> [ورقم 214</w:t>
      </w:r>
      <w:r w:rsidRPr="00E46C7F">
        <w:rPr>
          <w:rFonts w:hint="cs"/>
          <w:sz w:val="18"/>
          <w:szCs w:val="26"/>
          <w:rtl/>
          <w:lang w:val="ar-SA"/>
        </w:rPr>
        <w:t>/</w:t>
      </w:r>
      <w:r w:rsidRPr="00E46C7F">
        <w:rPr>
          <w:sz w:val="18"/>
          <w:szCs w:val="26"/>
          <w:rtl/>
          <w:lang w:val="ar-SA"/>
        </w:rPr>
        <w:t xml:space="preserve">2002، </w:t>
      </w:r>
      <w:r w:rsidRPr="00E46C7F">
        <w:rPr>
          <w:i/>
          <w:iCs/>
          <w:sz w:val="18"/>
          <w:szCs w:val="26"/>
          <w:rtl/>
          <w:lang w:val="ar-SA"/>
        </w:rPr>
        <w:t>م. أ. ك. ضد ألمانيا</w:t>
      </w:r>
      <w:r w:rsidRPr="00E46C7F">
        <w:rPr>
          <w:sz w:val="18"/>
          <w:szCs w:val="26"/>
          <w:rtl/>
          <w:lang w:val="ar-SA"/>
        </w:rPr>
        <w:t xml:space="preserve">، القرار المعتمد في 12 أيار/مايو 2004، الفقرة 13-5]؛ </w:t>
      </w:r>
      <w:proofErr w:type="spellStart"/>
      <w:r w:rsidRPr="00E46C7F">
        <w:rPr>
          <w:rFonts w:cs="Times New Roman"/>
          <w:sz w:val="18"/>
          <w:szCs w:val="18"/>
          <w:rtl/>
          <w:lang w:val="ar-SA"/>
        </w:rPr>
        <w:t>No</w:t>
      </w:r>
      <w:proofErr w:type="spellEnd"/>
      <w:r w:rsidRPr="00E46C7F">
        <w:rPr>
          <w:rFonts w:cs="Times New Roman"/>
          <w:sz w:val="18"/>
          <w:szCs w:val="18"/>
          <w:rtl/>
          <w:lang w:val="ar-SA"/>
        </w:rPr>
        <w:t xml:space="preserve">. 150/1999, </w:t>
      </w:r>
      <w:r w:rsidRPr="00E46C7F">
        <w:rPr>
          <w:rFonts w:cs="Times New Roman"/>
          <w:i/>
          <w:iCs/>
          <w:sz w:val="18"/>
          <w:szCs w:val="18"/>
          <w:rtl/>
          <w:lang w:val="ar-SA"/>
        </w:rPr>
        <w:t xml:space="preserve">S.L. v. </w:t>
      </w:r>
      <w:proofErr w:type="spellStart"/>
      <w:r w:rsidRPr="00E46C7F">
        <w:rPr>
          <w:rFonts w:cs="Times New Roman"/>
          <w:i/>
          <w:iCs/>
          <w:sz w:val="18"/>
          <w:szCs w:val="18"/>
          <w:rtl/>
          <w:lang w:val="ar-SA"/>
        </w:rPr>
        <w:t>Sweden</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Views</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adopted</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on</w:t>
      </w:r>
      <w:proofErr w:type="spellEnd"/>
      <w:r w:rsidRPr="00E46C7F">
        <w:rPr>
          <w:rFonts w:cs="Times New Roman"/>
          <w:sz w:val="18"/>
          <w:szCs w:val="18"/>
          <w:rtl/>
          <w:lang w:val="ar-SA"/>
        </w:rPr>
        <w:t xml:space="preserve"> 11 </w:t>
      </w:r>
      <w:proofErr w:type="spellStart"/>
      <w:r w:rsidRPr="00E46C7F">
        <w:rPr>
          <w:rFonts w:cs="Times New Roman"/>
          <w:sz w:val="18"/>
          <w:szCs w:val="18"/>
          <w:rtl/>
          <w:lang w:val="ar-SA"/>
        </w:rPr>
        <w:t>May</w:t>
      </w:r>
      <w:proofErr w:type="spellEnd"/>
      <w:r w:rsidRPr="00E46C7F">
        <w:rPr>
          <w:rFonts w:cs="Times New Roman"/>
          <w:sz w:val="18"/>
          <w:szCs w:val="18"/>
          <w:rtl/>
          <w:lang w:val="ar-SA"/>
        </w:rPr>
        <w:t xml:space="preserve"> 2001, </w:t>
      </w:r>
      <w:proofErr w:type="spellStart"/>
      <w:r w:rsidRPr="00E46C7F">
        <w:rPr>
          <w:rFonts w:cs="Times New Roman"/>
          <w:sz w:val="18"/>
          <w:szCs w:val="18"/>
          <w:rtl/>
          <w:lang w:val="ar-SA"/>
        </w:rPr>
        <w:t>para</w:t>
      </w:r>
      <w:proofErr w:type="spellEnd"/>
      <w:r w:rsidRPr="00E46C7F">
        <w:rPr>
          <w:rFonts w:cs="Times New Roman"/>
          <w:sz w:val="18"/>
          <w:szCs w:val="18"/>
          <w:rtl/>
          <w:lang w:val="ar-SA"/>
        </w:rPr>
        <w:t>. 6.3</w:t>
      </w:r>
      <w:r w:rsidRPr="00E46C7F">
        <w:rPr>
          <w:sz w:val="18"/>
          <w:szCs w:val="26"/>
          <w:rtl/>
          <w:lang w:val="ar-SA"/>
        </w:rPr>
        <w:t xml:space="preserve"> [ورقم 150</w:t>
      </w:r>
      <w:r w:rsidRPr="00E46C7F">
        <w:rPr>
          <w:rFonts w:hint="cs"/>
          <w:sz w:val="18"/>
          <w:szCs w:val="26"/>
          <w:rtl/>
          <w:lang w:val="ar-SA"/>
        </w:rPr>
        <w:t>/</w:t>
      </w:r>
      <w:r w:rsidRPr="00E46C7F">
        <w:rPr>
          <w:sz w:val="18"/>
          <w:szCs w:val="26"/>
          <w:rtl/>
          <w:lang w:val="ar-SA"/>
        </w:rPr>
        <w:t xml:space="preserve">1999، </w:t>
      </w:r>
      <w:r w:rsidRPr="00E46C7F">
        <w:rPr>
          <w:i/>
          <w:iCs/>
          <w:sz w:val="18"/>
          <w:szCs w:val="26"/>
          <w:rtl/>
          <w:lang w:val="ar-SA"/>
        </w:rPr>
        <w:t>س.</w:t>
      </w:r>
      <w:r w:rsidRPr="00E46C7F">
        <w:rPr>
          <w:rFonts w:hint="cs"/>
          <w:i/>
          <w:iCs/>
          <w:sz w:val="18"/>
          <w:szCs w:val="26"/>
          <w:rtl/>
          <w:lang w:val="ar-SA"/>
        </w:rPr>
        <w:t xml:space="preserve"> </w:t>
      </w:r>
      <w:r w:rsidRPr="00E46C7F">
        <w:rPr>
          <w:i/>
          <w:iCs/>
          <w:sz w:val="18"/>
          <w:szCs w:val="26"/>
          <w:rtl/>
          <w:lang w:val="ar-SA"/>
        </w:rPr>
        <w:t>ل. ضد السويد</w:t>
      </w:r>
      <w:r w:rsidRPr="00E46C7F">
        <w:rPr>
          <w:sz w:val="18"/>
          <w:szCs w:val="26"/>
          <w:rtl/>
          <w:lang w:val="ar-SA"/>
        </w:rPr>
        <w:t>، الآراء المعتمدة في</w:t>
      </w:r>
      <w:r>
        <w:rPr>
          <w:rFonts w:hint="cs"/>
          <w:sz w:val="18"/>
          <w:szCs w:val="26"/>
          <w:rtl/>
          <w:lang w:val="ar-SA"/>
        </w:rPr>
        <w:t> </w:t>
      </w:r>
      <w:r w:rsidRPr="00E46C7F">
        <w:rPr>
          <w:sz w:val="18"/>
          <w:szCs w:val="26"/>
          <w:rtl/>
          <w:lang w:val="ar-SA"/>
        </w:rPr>
        <w:t xml:space="preserve">11 أيار/مايو 2001، الفقرة 6-3]؛ </w:t>
      </w:r>
      <w:proofErr w:type="spellStart"/>
      <w:r w:rsidRPr="00E46C7F">
        <w:rPr>
          <w:rFonts w:cs="Times New Roman"/>
          <w:sz w:val="18"/>
          <w:szCs w:val="18"/>
          <w:rtl/>
          <w:lang w:val="ar-SA"/>
        </w:rPr>
        <w:t>and</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No</w:t>
      </w:r>
      <w:proofErr w:type="spellEnd"/>
      <w:r w:rsidRPr="00E46C7F">
        <w:rPr>
          <w:rFonts w:cs="Times New Roman"/>
          <w:sz w:val="18"/>
          <w:szCs w:val="18"/>
          <w:rtl/>
          <w:lang w:val="ar-SA"/>
        </w:rPr>
        <w:t xml:space="preserve">. 347/2008, </w:t>
      </w:r>
      <w:r w:rsidRPr="00E46C7F">
        <w:rPr>
          <w:rFonts w:cs="Times New Roman"/>
          <w:i/>
          <w:iCs/>
          <w:sz w:val="18"/>
          <w:szCs w:val="18"/>
          <w:rtl/>
          <w:lang w:val="ar-SA"/>
        </w:rPr>
        <w:t xml:space="preserve">N.B.-M. v. </w:t>
      </w:r>
      <w:proofErr w:type="spellStart"/>
      <w:r w:rsidRPr="00E46C7F">
        <w:rPr>
          <w:rFonts w:cs="Times New Roman"/>
          <w:sz w:val="18"/>
          <w:szCs w:val="18"/>
          <w:rtl/>
          <w:lang w:val="ar-SA"/>
        </w:rPr>
        <w:t>Switzerland</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decision</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adopted</w:t>
      </w:r>
      <w:proofErr w:type="spellEnd"/>
      <w:r w:rsidRPr="00E46C7F">
        <w:rPr>
          <w:rFonts w:cs="Times New Roman"/>
          <w:sz w:val="18"/>
          <w:szCs w:val="18"/>
          <w:rtl/>
          <w:lang w:val="ar-SA"/>
        </w:rPr>
        <w:t xml:space="preserve"> </w:t>
      </w:r>
      <w:proofErr w:type="spellStart"/>
      <w:r w:rsidRPr="00E46C7F">
        <w:rPr>
          <w:rFonts w:cs="Times New Roman"/>
          <w:sz w:val="18"/>
          <w:szCs w:val="18"/>
          <w:rtl/>
          <w:lang w:val="ar-SA"/>
        </w:rPr>
        <w:t>on</w:t>
      </w:r>
      <w:proofErr w:type="spellEnd"/>
      <w:r w:rsidRPr="00E46C7F">
        <w:rPr>
          <w:rFonts w:cs="Times New Roman"/>
          <w:sz w:val="18"/>
          <w:szCs w:val="18"/>
          <w:rtl/>
          <w:lang w:val="ar-SA"/>
        </w:rPr>
        <w:t xml:space="preserve"> 14 </w:t>
      </w:r>
      <w:proofErr w:type="spellStart"/>
      <w:r w:rsidRPr="00E46C7F">
        <w:rPr>
          <w:rFonts w:cs="Times New Roman"/>
          <w:sz w:val="18"/>
          <w:szCs w:val="18"/>
          <w:rtl/>
          <w:lang w:val="ar-SA"/>
        </w:rPr>
        <w:t>November</w:t>
      </w:r>
      <w:proofErr w:type="spellEnd"/>
      <w:r w:rsidRPr="00E46C7F">
        <w:rPr>
          <w:rFonts w:cs="Times New Roman"/>
          <w:sz w:val="18"/>
          <w:szCs w:val="18"/>
          <w:rtl/>
          <w:lang w:val="ar-SA"/>
        </w:rPr>
        <w:t xml:space="preserve"> 2011, </w:t>
      </w:r>
      <w:proofErr w:type="spellStart"/>
      <w:r w:rsidRPr="00E46C7F">
        <w:rPr>
          <w:rFonts w:cs="Times New Roman"/>
          <w:sz w:val="18"/>
          <w:szCs w:val="18"/>
          <w:rtl/>
          <w:lang w:val="ar-SA"/>
        </w:rPr>
        <w:t>para</w:t>
      </w:r>
      <w:proofErr w:type="spellEnd"/>
      <w:r w:rsidRPr="00E46C7F">
        <w:rPr>
          <w:rFonts w:cs="Times New Roman"/>
          <w:sz w:val="18"/>
          <w:szCs w:val="18"/>
          <w:rtl/>
          <w:lang w:val="ar-SA"/>
        </w:rPr>
        <w:t>. 9.9</w:t>
      </w:r>
      <w:r w:rsidRPr="00E46C7F">
        <w:rPr>
          <w:sz w:val="18"/>
          <w:szCs w:val="26"/>
          <w:rtl/>
          <w:lang w:val="ar-SA"/>
        </w:rPr>
        <w:t xml:space="preserve"> [ورقم 347</w:t>
      </w:r>
      <w:r w:rsidRPr="00E46C7F">
        <w:rPr>
          <w:rFonts w:hint="cs"/>
          <w:sz w:val="18"/>
          <w:szCs w:val="26"/>
          <w:rtl/>
          <w:lang w:val="ar-SA"/>
        </w:rPr>
        <w:t>/</w:t>
      </w:r>
      <w:r w:rsidRPr="00E46C7F">
        <w:rPr>
          <w:sz w:val="18"/>
          <w:szCs w:val="26"/>
          <w:rtl/>
          <w:lang w:val="ar-SA"/>
        </w:rPr>
        <w:t xml:space="preserve">2008، </w:t>
      </w:r>
      <w:r w:rsidRPr="00E46C7F">
        <w:rPr>
          <w:i/>
          <w:iCs/>
          <w:sz w:val="18"/>
          <w:szCs w:val="26"/>
          <w:rtl/>
          <w:lang w:val="ar-SA"/>
        </w:rPr>
        <w:t xml:space="preserve">ن. ب. </w:t>
      </w:r>
      <w:r w:rsidRPr="00E46C7F">
        <w:rPr>
          <w:rFonts w:hint="cs"/>
          <w:i/>
          <w:iCs/>
          <w:sz w:val="18"/>
          <w:szCs w:val="26"/>
          <w:rtl/>
          <w:lang w:val="ar-SA"/>
        </w:rPr>
        <w:t xml:space="preserve">- </w:t>
      </w:r>
      <w:r w:rsidRPr="00E46C7F">
        <w:rPr>
          <w:i/>
          <w:iCs/>
          <w:sz w:val="18"/>
          <w:szCs w:val="26"/>
          <w:rtl/>
          <w:lang w:val="ar-SA"/>
        </w:rPr>
        <w:t>م. ضد سويسرا</w:t>
      </w:r>
      <w:r w:rsidRPr="00E46C7F">
        <w:rPr>
          <w:sz w:val="18"/>
          <w:szCs w:val="26"/>
          <w:rtl/>
          <w:lang w:val="ar-SA"/>
        </w:rPr>
        <w:t>، القرار المعتمد في 14 تشرين الثاني/نوفمبر 2011، الفقرة 9-9].</w:t>
      </w:r>
      <w:r w:rsidRPr="0040052E">
        <w:rPr>
          <w:sz w:val="18"/>
          <w:szCs w:val="26"/>
          <w:rtl/>
          <w:lang w:val="ar-S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FA7" w:rsidRPr="003455B1" w:rsidRDefault="003455B1" w:rsidP="003455B1">
    <w:pPr>
      <w:pStyle w:val="Header"/>
      <w:jc w:val="right"/>
    </w:pPr>
    <w:r w:rsidRPr="003455B1">
      <w:t>CAT/C/60/D/602/2014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FA7" w:rsidRPr="003455B1" w:rsidRDefault="003455B1" w:rsidP="003455B1">
    <w:pPr>
      <w:pStyle w:val="Header"/>
      <w:jc w:val="left"/>
    </w:pPr>
    <w:r w:rsidRPr="003455B1">
      <w:t>CAT/C/60/D/602/2014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attachedTemplate r:id="rId1"/>
  <w:defaultTabStop w:val="680"/>
  <w:evenAndOddHeaders/>
  <w:characterSpacingControl w:val="doNotCompress"/>
  <w:hdrShapeDefaults>
    <o:shapedefaults v:ext="edit" spidmax="1228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906F0B"/>
    <w:rsid w:val="000076D5"/>
    <w:rsid w:val="00023FA7"/>
    <w:rsid w:val="00037E61"/>
    <w:rsid w:val="000426FF"/>
    <w:rsid w:val="00043663"/>
    <w:rsid w:val="000505CF"/>
    <w:rsid w:val="000A2113"/>
    <w:rsid w:val="000D701C"/>
    <w:rsid w:val="000E2A71"/>
    <w:rsid w:val="000F05C8"/>
    <w:rsid w:val="00117CCC"/>
    <w:rsid w:val="00160263"/>
    <w:rsid w:val="00167825"/>
    <w:rsid w:val="00181F96"/>
    <w:rsid w:val="001A1371"/>
    <w:rsid w:val="001B346A"/>
    <w:rsid w:val="001E1CAD"/>
    <w:rsid w:val="001E290D"/>
    <w:rsid w:val="001E5A19"/>
    <w:rsid w:val="001F1AC5"/>
    <w:rsid w:val="001F43D1"/>
    <w:rsid w:val="002144FA"/>
    <w:rsid w:val="0023469A"/>
    <w:rsid w:val="00243C8A"/>
    <w:rsid w:val="00261F47"/>
    <w:rsid w:val="00267A0E"/>
    <w:rsid w:val="00281F86"/>
    <w:rsid w:val="002901D9"/>
    <w:rsid w:val="002976C2"/>
    <w:rsid w:val="00313445"/>
    <w:rsid w:val="003260FF"/>
    <w:rsid w:val="00343D95"/>
    <w:rsid w:val="003455B1"/>
    <w:rsid w:val="0037066B"/>
    <w:rsid w:val="00374341"/>
    <w:rsid w:val="00384DA7"/>
    <w:rsid w:val="003D1062"/>
    <w:rsid w:val="00420D7B"/>
    <w:rsid w:val="00450B21"/>
    <w:rsid w:val="00453B63"/>
    <w:rsid w:val="00455780"/>
    <w:rsid w:val="004956DC"/>
    <w:rsid w:val="004B0A1C"/>
    <w:rsid w:val="004D298E"/>
    <w:rsid w:val="00540F4C"/>
    <w:rsid w:val="0054472E"/>
    <w:rsid w:val="005662A9"/>
    <w:rsid w:val="005827D4"/>
    <w:rsid w:val="0059622A"/>
    <w:rsid w:val="005A3015"/>
    <w:rsid w:val="005C5878"/>
    <w:rsid w:val="005C7CEA"/>
    <w:rsid w:val="005D3C0B"/>
    <w:rsid w:val="005E5217"/>
    <w:rsid w:val="005F0FA4"/>
    <w:rsid w:val="005F30EE"/>
    <w:rsid w:val="0060473A"/>
    <w:rsid w:val="00656392"/>
    <w:rsid w:val="006646E9"/>
    <w:rsid w:val="0068781D"/>
    <w:rsid w:val="006959B0"/>
    <w:rsid w:val="006B3E27"/>
    <w:rsid w:val="006B6507"/>
    <w:rsid w:val="006C104C"/>
    <w:rsid w:val="006E1976"/>
    <w:rsid w:val="00733704"/>
    <w:rsid w:val="00761849"/>
    <w:rsid w:val="00770401"/>
    <w:rsid w:val="0078071A"/>
    <w:rsid w:val="00817373"/>
    <w:rsid w:val="0084782D"/>
    <w:rsid w:val="00852A9A"/>
    <w:rsid w:val="00893A8A"/>
    <w:rsid w:val="008F49E1"/>
    <w:rsid w:val="0090370F"/>
    <w:rsid w:val="00906F0B"/>
    <w:rsid w:val="009269D2"/>
    <w:rsid w:val="00942135"/>
    <w:rsid w:val="009521B0"/>
    <w:rsid w:val="00981C12"/>
    <w:rsid w:val="009A7E9F"/>
    <w:rsid w:val="009E5018"/>
    <w:rsid w:val="00A12B37"/>
    <w:rsid w:val="00A34EA8"/>
    <w:rsid w:val="00A67AF5"/>
    <w:rsid w:val="00A94CA3"/>
    <w:rsid w:val="00AB6758"/>
    <w:rsid w:val="00AC2C5E"/>
    <w:rsid w:val="00AC654C"/>
    <w:rsid w:val="00AE28CB"/>
    <w:rsid w:val="00B13763"/>
    <w:rsid w:val="00B477A4"/>
    <w:rsid w:val="00B54045"/>
    <w:rsid w:val="00C215E1"/>
    <w:rsid w:val="00C438D7"/>
    <w:rsid w:val="00C81B50"/>
    <w:rsid w:val="00C85943"/>
    <w:rsid w:val="00C87F1F"/>
    <w:rsid w:val="00CD1801"/>
    <w:rsid w:val="00D10EF1"/>
    <w:rsid w:val="00D23026"/>
    <w:rsid w:val="00D42810"/>
    <w:rsid w:val="00D52465"/>
    <w:rsid w:val="00D53021"/>
    <w:rsid w:val="00D60867"/>
    <w:rsid w:val="00D914A7"/>
    <w:rsid w:val="00DC1D29"/>
    <w:rsid w:val="00DD13C3"/>
    <w:rsid w:val="00DD596E"/>
    <w:rsid w:val="00DD621E"/>
    <w:rsid w:val="00DF0575"/>
    <w:rsid w:val="00E34483"/>
    <w:rsid w:val="00E70E04"/>
    <w:rsid w:val="00E76499"/>
    <w:rsid w:val="00E84B47"/>
    <w:rsid w:val="00EA368A"/>
    <w:rsid w:val="00EC05A7"/>
    <w:rsid w:val="00EC4B6B"/>
    <w:rsid w:val="00EF1EE5"/>
    <w:rsid w:val="00F26E84"/>
    <w:rsid w:val="00F763B4"/>
    <w:rsid w:val="00F900C3"/>
    <w:rsid w:val="00F94CDB"/>
    <w:rsid w:val="00FF2AB2"/>
    <w:rsid w:val="00FF6ECD"/>
    <w:rsid w:val="00FF79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9683E496-9E90-484C-807B-286D80E9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0F05C8"/>
    <w:pPr>
      <w:tabs>
        <w:tab w:val="left" w:pos="1928"/>
        <w:tab w:val="left" w:pos="2608"/>
        <w:tab w:val="left" w:pos="3289"/>
        <w:tab w:val="left" w:pos="3969"/>
        <w:tab w:val="left" w:pos="4649"/>
        <w:tab w:val="left" w:pos="5330"/>
      </w:tabs>
      <w:suppressAutoHyphen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E9D37-136B-4841-ACBD-23B1D88E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15</Pages>
  <Words>4895</Words>
  <Characters>27904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CAT/C/60/D/602/2014</vt:lpstr>
    </vt:vector>
  </TitlesOfParts>
  <Company>DCM</Company>
  <LinksUpToDate>false</LinksUpToDate>
  <CharactersWithSpaces>32734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CAT/C/60/D/602/2014</dc:title>
  <dc:subject>GE.1711387A</dc:subject>
  <dc:creator>J.KAH - WW</dc:creator>
  <cp:keywords>ODS No.1718420A</cp:keywords>
  <dc:description>Distribution: General_x000d_
Original: English_x000d_
Date: 7 July 2017</dc:description>
  <cp:lastModifiedBy>Admin</cp:lastModifiedBy>
  <cp:revision>2</cp:revision>
  <cp:lastPrinted>2017-09-04T14:33:00Z</cp:lastPrinted>
  <dcterms:created xsi:type="dcterms:W3CDTF">2017-09-12T18:25:00Z</dcterms:created>
  <dcterms:modified xsi:type="dcterms:W3CDTF">2017-09-12T18:25:00Z</dcterms:modified>
  <cp:category>Final</cp:category>
</cp:coreProperties>
</file>