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B5" w:rsidRPr="00AB0676" w:rsidRDefault="007244B5" w:rsidP="007244B5">
      <w:pPr>
        <w:spacing w:line="60" w:lineRule="exact"/>
        <w:rPr>
          <w:color w:val="010000"/>
          <w:sz w:val="6"/>
          <w:lang w:val="en-US"/>
        </w:rPr>
        <w:sectPr w:rsidR="007244B5" w:rsidRPr="00AB0676" w:rsidSect="007244B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742" w:right="1195" w:bottom="1898" w:left="1195" w:header="576" w:footer="1030" w:gutter="0"/>
          <w:pgNumType w:start="1"/>
          <w:cols w:space="720"/>
          <w:noEndnote/>
          <w:titlePg/>
          <w:docGrid w:linePitch="360"/>
        </w:sectPr>
      </w:pPr>
      <w:r>
        <w:rPr>
          <w:rStyle w:val="CommentReference"/>
        </w:rPr>
        <w:commentReference w:id="0"/>
      </w:r>
    </w:p>
    <w:p w:rsidR="00A61AB8" w:rsidRPr="00A61AB8" w:rsidRDefault="00A61AB8" w:rsidP="00A61A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_Toc411873079"/>
      <w:bookmarkStart w:id="2" w:name="_Toc413076910"/>
      <w:bookmarkStart w:id="3" w:name="_Toc413159899"/>
      <w:r w:rsidRPr="00A61AB8">
        <w:t>Комитет по ликвидации дискриминации</w:t>
      </w:r>
      <w:bookmarkStart w:id="4" w:name="_Toc411873080"/>
      <w:bookmarkEnd w:id="1"/>
      <w:r w:rsidRPr="00A61AB8">
        <w:br/>
        <w:t>в отношении женщин</w:t>
      </w:r>
      <w:bookmarkEnd w:id="2"/>
      <w:bookmarkEnd w:id="3"/>
      <w:bookmarkEnd w:id="4"/>
    </w:p>
    <w:p w:rsidR="00A61AB8" w:rsidRPr="00A61AB8" w:rsidRDefault="00A61AB8" w:rsidP="00A61AB8">
      <w:pPr>
        <w:pStyle w:val="SingleTxt"/>
        <w:spacing w:after="0" w:line="120" w:lineRule="exact"/>
        <w:rPr>
          <w:sz w:val="10"/>
        </w:rPr>
      </w:pPr>
    </w:p>
    <w:p w:rsidR="00A61AB8" w:rsidRPr="00A61AB8" w:rsidRDefault="00A61AB8" w:rsidP="00A61AB8">
      <w:pPr>
        <w:pStyle w:val="SingleTxt"/>
        <w:spacing w:after="0" w:line="120" w:lineRule="exact"/>
        <w:rPr>
          <w:sz w:val="10"/>
        </w:rPr>
      </w:pPr>
    </w:p>
    <w:p w:rsidR="00A61AB8" w:rsidRPr="00A61AB8" w:rsidRDefault="00A61AB8" w:rsidP="00A61AB8">
      <w:pPr>
        <w:pStyle w:val="SingleTxt"/>
        <w:spacing w:after="0" w:line="120" w:lineRule="exact"/>
        <w:rPr>
          <w:sz w:val="10"/>
        </w:rPr>
      </w:pPr>
    </w:p>
    <w:p w:rsidR="00A61AB8" w:rsidRPr="00A61AB8" w:rsidRDefault="00A61AB8" w:rsidP="00A61A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1AB8">
        <w:tab/>
      </w:r>
      <w:r w:rsidRPr="00A61AB8">
        <w:tab/>
      </w:r>
      <w:bookmarkStart w:id="5" w:name="_Toc411873081"/>
      <w:r w:rsidRPr="00A61AB8">
        <w:t>Рассмотрение докладов, представляемых государствами-участниками в соответствии со</w:t>
      </w:r>
      <w:r>
        <w:rPr>
          <w:lang w:val="en-US"/>
        </w:rPr>
        <w:t> </w:t>
      </w:r>
      <w:r w:rsidRPr="00A61AB8">
        <w:t>статьей</w:t>
      </w:r>
      <w:r>
        <w:rPr>
          <w:lang w:val="en-US"/>
        </w:rPr>
        <w:t> </w:t>
      </w:r>
      <w:r w:rsidRPr="00A61AB8">
        <w:t>18 Конвенции</w:t>
      </w:r>
      <w:bookmarkEnd w:id="5"/>
    </w:p>
    <w:p w:rsidR="00A61AB8" w:rsidRPr="00A61AB8" w:rsidRDefault="00A61AB8" w:rsidP="00A61AB8">
      <w:pPr>
        <w:pStyle w:val="SingleTxt"/>
        <w:spacing w:after="0" w:line="120" w:lineRule="exact"/>
        <w:rPr>
          <w:sz w:val="10"/>
        </w:rPr>
      </w:pPr>
    </w:p>
    <w:p w:rsidR="00A61AB8" w:rsidRPr="00A61AB8" w:rsidRDefault="00A61AB8" w:rsidP="00A61AB8">
      <w:pPr>
        <w:pStyle w:val="SingleTxt"/>
        <w:spacing w:after="0" w:line="120" w:lineRule="exact"/>
        <w:rPr>
          <w:sz w:val="10"/>
        </w:rPr>
      </w:pPr>
    </w:p>
    <w:p w:rsidR="00A61AB8" w:rsidRPr="00A61AB8" w:rsidRDefault="00A61AB8" w:rsidP="00A61A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61AB8">
        <w:tab/>
      </w:r>
      <w:r w:rsidRPr="00A61AB8">
        <w:tab/>
      </w:r>
      <w:bookmarkStart w:id="6" w:name="_Toc411873082"/>
      <w:bookmarkStart w:id="7" w:name="_Toc413076911"/>
      <w:bookmarkStart w:id="8" w:name="_Toc413159900"/>
      <w:r w:rsidRPr="00A61AB8">
        <w:t>Восьмой и девятый периодические доклады государств-участников, подлежащие представлению в 2014 году</w:t>
      </w:r>
      <w:bookmarkEnd w:id="6"/>
      <w:bookmarkEnd w:id="7"/>
      <w:bookmarkEnd w:id="8"/>
    </w:p>
    <w:p w:rsidR="00A61AB8" w:rsidRPr="00A61AB8" w:rsidRDefault="00A61AB8" w:rsidP="00A61AB8">
      <w:pPr>
        <w:pStyle w:val="SingleTxt"/>
        <w:spacing w:after="0" w:line="120" w:lineRule="exact"/>
        <w:rPr>
          <w:sz w:val="10"/>
        </w:rPr>
      </w:pPr>
    </w:p>
    <w:p w:rsidR="00A61AB8" w:rsidRPr="00A61AB8" w:rsidRDefault="00A61AB8" w:rsidP="00A61AB8">
      <w:pPr>
        <w:pStyle w:val="SingleTxt"/>
        <w:spacing w:after="0" w:line="120" w:lineRule="exact"/>
        <w:rPr>
          <w:sz w:val="10"/>
        </w:rPr>
      </w:pPr>
    </w:p>
    <w:p w:rsidR="00A61AB8" w:rsidRPr="00A61AB8" w:rsidRDefault="00A61AB8" w:rsidP="00A61A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Монголия</w:t>
      </w:r>
      <w:r w:rsidRPr="00A61AB8">
        <w:rPr>
          <w:rStyle w:val="FootnoteReference"/>
          <w:b w:val="0"/>
          <w:sz w:val="20"/>
        </w:rPr>
        <w:footnoteReference w:customMarkFollows="1" w:id="1"/>
        <w:t>*</w:t>
      </w:r>
    </w:p>
    <w:p w:rsidR="00A61AB8" w:rsidRPr="00A61AB8" w:rsidRDefault="00A61AB8" w:rsidP="00A61AB8">
      <w:pPr>
        <w:pStyle w:val="SingleTxt"/>
        <w:spacing w:after="0" w:line="120" w:lineRule="exact"/>
        <w:rPr>
          <w:sz w:val="10"/>
        </w:rPr>
      </w:pPr>
    </w:p>
    <w:p w:rsidR="00A61AB8" w:rsidRPr="00A61AB8" w:rsidRDefault="00A61AB8" w:rsidP="00A61AB8">
      <w:pPr>
        <w:pStyle w:val="SingleTxt"/>
        <w:spacing w:after="0" w:line="120" w:lineRule="exact"/>
        <w:rPr>
          <w:sz w:val="10"/>
        </w:rPr>
      </w:pPr>
    </w:p>
    <w:p w:rsidR="00A61AB8" w:rsidRPr="00A61AB8" w:rsidRDefault="00A61AB8" w:rsidP="00A61AB8">
      <w:pPr>
        <w:pStyle w:val="SingleTxt"/>
        <w:jc w:val="right"/>
      </w:pPr>
      <w:r w:rsidRPr="00A61AB8">
        <w:t>5 ноября 2014 года</w:t>
      </w:r>
    </w:p>
    <w:p w:rsidR="00A61AB8" w:rsidRPr="00A61AB8" w:rsidRDefault="00A61AB8" w:rsidP="00A61AB8">
      <w:pPr>
        <w:pStyle w:val="HCh"/>
        <w:spacing w:after="120"/>
        <w:rPr>
          <w:b w:val="0"/>
        </w:rPr>
      </w:pPr>
      <w:r>
        <w:br w:type="page"/>
      </w:r>
      <w:r>
        <w:rPr>
          <w:b w:val="0"/>
        </w:rPr>
        <w:t>Содержание</w:t>
      </w:r>
    </w:p>
    <w:tbl>
      <w:tblPr>
        <w:tblW w:w="9830" w:type="dxa"/>
        <w:tblLayout w:type="fixed"/>
        <w:tblCellMar>
          <w:left w:w="0" w:type="dxa"/>
          <w:right w:w="0" w:type="dxa"/>
        </w:tblCellMar>
        <w:tblLook w:val="0000"/>
      </w:tblPr>
      <w:tblGrid>
        <w:gridCol w:w="1060"/>
        <w:gridCol w:w="7056"/>
        <w:gridCol w:w="994"/>
        <w:gridCol w:w="720"/>
      </w:tblGrid>
      <w:tr w:rsidR="00A61AB8" w:rsidRPr="00A61AB8" w:rsidTr="00A61AB8">
        <w:tblPrEx>
          <w:tblCellMar>
            <w:top w:w="0" w:type="dxa"/>
            <w:bottom w:w="0" w:type="dxa"/>
          </w:tblCellMar>
        </w:tblPrEx>
        <w:tc>
          <w:tcPr>
            <w:tcW w:w="1060" w:type="dxa"/>
            <w:shd w:val="clear" w:color="auto" w:fill="auto"/>
          </w:tcPr>
          <w:p w:rsidR="00A61AB8" w:rsidRPr="00A61AB8" w:rsidRDefault="00A61AB8" w:rsidP="00A61AB8">
            <w:pPr>
              <w:spacing w:after="120" w:line="240" w:lineRule="auto"/>
              <w:jc w:val="right"/>
              <w:rPr>
                <w:i/>
                <w:sz w:val="14"/>
              </w:rPr>
            </w:pPr>
          </w:p>
        </w:tc>
        <w:tc>
          <w:tcPr>
            <w:tcW w:w="7056" w:type="dxa"/>
            <w:shd w:val="clear" w:color="auto" w:fill="auto"/>
          </w:tcPr>
          <w:p w:rsidR="00A61AB8" w:rsidRPr="00A61AB8" w:rsidRDefault="00A61AB8" w:rsidP="00A61AB8">
            <w:pPr>
              <w:spacing w:after="120" w:line="240" w:lineRule="auto"/>
              <w:rPr>
                <w:i/>
                <w:sz w:val="14"/>
              </w:rPr>
            </w:pPr>
          </w:p>
        </w:tc>
        <w:tc>
          <w:tcPr>
            <w:tcW w:w="994" w:type="dxa"/>
            <w:shd w:val="clear" w:color="auto" w:fill="auto"/>
          </w:tcPr>
          <w:p w:rsidR="00A61AB8" w:rsidRPr="00A61AB8" w:rsidRDefault="00A61AB8" w:rsidP="00A61AB8">
            <w:pPr>
              <w:spacing w:after="120" w:line="240" w:lineRule="auto"/>
              <w:ind w:right="40"/>
              <w:jc w:val="right"/>
              <w:rPr>
                <w:i/>
                <w:sz w:val="14"/>
              </w:rPr>
            </w:pPr>
          </w:p>
        </w:tc>
        <w:tc>
          <w:tcPr>
            <w:tcW w:w="720" w:type="dxa"/>
            <w:shd w:val="clear" w:color="auto" w:fill="auto"/>
          </w:tcPr>
          <w:p w:rsidR="00A61AB8" w:rsidRPr="00A61AB8" w:rsidRDefault="00A61AB8" w:rsidP="00A61AB8">
            <w:pPr>
              <w:spacing w:after="120" w:line="240" w:lineRule="auto"/>
              <w:ind w:right="40"/>
              <w:jc w:val="right"/>
              <w:rPr>
                <w:i/>
                <w:sz w:val="14"/>
              </w:rPr>
            </w:pPr>
            <w:r>
              <w:rPr>
                <w:i/>
                <w:sz w:val="14"/>
              </w:rPr>
              <w:t>Стр.</w:t>
            </w:r>
          </w:p>
        </w:tc>
      </w:tr>
      <w:tr w:rsidR="00A61AB8" w:rsidRPr="00A61AB8" w:rsidTr="00A61AB8">
        <w:tblPrEx>
          <w:tblCellMar>
            <w:top w:w="0" w:type="dxa"/>
            <w:bottom w:w="0" w:type="dxa"/>
          </w:tblCellMar>
        </w:tblPrEx>
        <w:tc>
          <w:tcPr>
            <w:tcW w:w="9110" w:type="dxa"/>
            <w:gridSpan w:val="3"/>
            <w:shd w:val="clear" w:color="auto" w:fill="auto"/>
          </w:tcPr>
          <w:p w:rsidR="00A61AB8" w:rsidRPr="00927103" w:rsidRDefault="00A61AB8" w:rsidP="00927103">
            <w:pPr>
              <w:tabs>
                <w:tab w:val="right" w:pos="1080"/>
                <w:tab w:val="right" w:leader="dot" w:pos="9245"/>
              </w:tabs>
              <w:suppressAutoHyphens/>
              <w:spacing w:after="120"/>
              <w:rPr>
                <w:spacing w:val="60"/>
                <w:sz w:val="17"/>
              </w:rPr>
            </w:pPr>
            <w:r>
              <w:tab/>
              <w:t>Введение</w:t>
            </w:r>
            <w:r w:rsidR="00927103">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3</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tab/>
            </w:r>
            <w:r>
              <w:rPr>
                <w:lang w:val="en-US"/>
              </w:rPr>
              <w:t>i</w:t>
            </w:r>
            <w:r>
              <w:t>.</w:t>
            </w:r>
            <w:r>
              <w:tab/>
            </w:r>
            <w:r w:rsidRPr="00A61AB8">
              <w:t>Пояснительная информация к объединенным восьмому и девятому периодическим докладам правительства Монголии об осуществлении Конвенции о ликвидации всех форм дискриминации в отношении женщин</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3</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spacing w:val="60"/>
                <w:sz w:val="17"/>
              </w:rPr>
            </w:pPr>
            <w:r>
              <w:tab/>
            </w:r>
            <w:r>
              <w:rPr>
                <w:lang w:val="en-US"/>
              </w:rPr>
              <w:t>ii</w:t>
            </w:r>
            <w:r>
              <w:t>.</w:t>
            </w:r>
            <w:r>
              <w:tab/>
            </w:r>
            <w:r w:rsidRPr="00A61AB8">
              <w:t>Общие сведения о Монголии</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3</w:t>
            </w:r>
          </w:p>
        </w:tc>
      </w:tr>
      <w:tr w:rsidR="00A61AB8" w:rsidRPr="00A61AB8" w:rsidTr="00A61AB8">
        <w:tblPrEx>
          <w:tblCellMar>
            <w:top w:w="0" w:type="dxa"/>
            <w:bottom w:w="0" w:type="dxa"/>
          </w:tblCellMar>
        </w:tblPrEx>
        <w:tc>
          <w:tcPr>
            <w:tcW w:w="9110" w:type="dxa"/>
            <w:gridSpan w:val="3"/>
            <w:shd w:val="clear" w:color="auto" w:fill="auto"/>
          </w:tcPr>
          <w:p w:rsidR="00A61AB8" w:rsidRPr="00927103" w:rsidRDefault="00A61AB8" w:rsidP="00927103">
            <w:pPr>
              <w:tabs>
                <w:tab w:val="right" w:pos="1080"/>
                <w:tab w:val="right" w:leader="dot" w:pos="9245"/>
              </w:tabs>
              <w:suppressAutoHyphens/>
              <w:spacing w:after="120"/>
              <w:rPr>
                <w:spacing w:val="60"/>
                <w:sz w:val="17"/>
              </w:rPr>
            </w:pPr>
            <w:r>
              <w:tab/>
              <w:t>Часть 1</w:t>
            </w:r>
            <w:r w:rsidR="00927103">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5</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ind w:left="1296" w:hanging="1296"/>
              <w:rPr>
                <w:spacing w:val="60"/>
                <w:sz w:val="17"/>
              </w:rPr>
            </w:pPr>
            <w:r>
              <w:tab/>
              <w:t>1.1</w:t>
            </w:r>
            <w:r>
              <w:tab/>
            </w:r>
            <w:r w:rsidRPr="00A61AB8">
              <w:t>Законы, нормативно-правовые акты и законодательные меры, направленные на</w:t>
            </w:r>
            <w:r>
              <w:t> </w:t>
            </w:r>
            <w:r w:rsidRPr="00A61AB8">
              <w:t>ликвидацию дискриминации по признаку</w:t>
            </w:r>
            <w:r>
              <w:t xml:space="preserve"> пола (Статьи 2 и 3)</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5</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ind w:left="1296" w:hanging="1296"/>
              <w:rPr>
                <w:spacing w:val="60"/>
                <w:sz w:val="17"/>
              </w:rPr>
            </w:pPr>
            <w:r>
              <w:tab/>
              <w:t>1.2</w:t>
            </w:r>
            <w:r>
              <w:tab/>
            </w:r>
            <w:r w:rsidRPr="00A61AB8">
              <w:t>Меры по достижению искоренения общепринятых стереотипных представлений об</w:t>
            </w:r>
            <w:r>
              <w:t> </w:t>
            </w:r>
            <w:r w:rsidRPr="00A61AB8">
              <w:t>обязанностях мужчин</w:t>
            </w:r>
            <w:r>
              <w:t xml:space="preserve"> и женщин (Статья 5)</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10</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1296"/>
              <w:rPr>
                <w:spacing w:val="60"/>
                <w:sz w:val="17"/>
              </w:rPr>
            </w:pPr>
            <w:r>
              <w:tab/>
              <w:t>1.3</w:t>
            </w:r>
            <w:r>
              <w:tab/>
            </w:r>
            <w:r w:rsidRPr="00A61AB8">
              <w:t>Меры по предупреждению и пресечению всех видов торговли женщинами и детьми и эксплуатации женщин в рамках проституции</w:t>
            </w:r>
            <w:r>
              <w:t xml:space="preserve"> (Статья 6)</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11</w:t>
            </w:r>
          </w:p>
        </w:tc>
      </w:tr>
      <w:tr w:rsidR="00A61AB8" w:rsidRPr="00A61AB8" w:rsidTr="00A61AB8">
        <w:tblPrEx>
          <w:tblCellMar>
            <w:top w:w="0" w:type="dxa"/>
            <w:bottom w:w="0" w:type="dxa"/>
          </w:tblCellMar>
        </w:tblPrEx>
        <w:tc>
          <w:tcPr>
            <w:tcW w:w="9110" w:type="dxa"/>
            <w:gridSpan w:val="3"/>
            <w:shd w:val="clear" w:color="auto" w:fill="auto"/>
          </w:tcPr>
          <w:p w:rsidR="00A61AB8" w:rsidRPr="00927103" w:rsidRDefault="00A61AB8" w:rsidP="00927103">
            <w:pPr>
              <w:tabs>
                <w:tab w:val="right" w:pos="1080"/>
                <w:tab w:val="right" w:leader="dot" w:pos="9245"/>
              </w:tabs>
              <w:suppressAutoHyphens/>
              <w:spacing w:after="120"/>
              <w:rPr>
                <w:spacing w:val="60"/>
                <w:sz w:val="17"/>
              </w:rPr>
            </w:pPr>
            <w:r>
              <w:tab/>
              <w:t>Часть 2</w:t>
            </w:r>
            <w:r w:rsidR="00927103">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13</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right" w:leader="dot" w:pos="9245"/>
              </w:tabs>
              <w:suppressAutoHyphens/>
              <w:spacing w:after="120"/>
              <w:ind w:left="1296" w:hanging="1296"/>
              <w:rPr>
                <w:spacing w:val="60"/>
                <w:sz w:val="17"/>
              </w:rPr>
            </w:pPr>
            <w:r>
              <w:tab/>
              <w:t>2.1</w:t>
            </w:r>
            <w:r>
              <w:tab/>
            </w:r>
            <w:r w:rsidRPr="00A61AB8">
              <w:t>Обеспечение равного участия женщин и мужчин в политической и общественной жизни</w:t>
            </w:r>
            <w:r>
              <w:t xml:space="preserve"> страны (Статьи 7 и 8)</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13</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245"/>
              </w:tabs>
              <w:suppressAutoHyphens/>
              <w:spacing w:after="120"/>
              <w:rPr>
                <w:spacing w:val="60"/>
                <w:sz w:val="17"/>
              </w:rPr>
            </w:pPr>
            <w:r>
              <w:tab/>
              <w:t>2.2</w:t>
            </w:r>
            <w:r>
              <w:tab/>
            </w:r>
            <w:r w:rsidRPr="00A61AB8">
              <w:t>Равные права в отношении гражданства для женщин, мужчин и</w:t>
            </w:r>
            <w:r>
              <w:t xml:space="preserve"> детей (Статья 9)</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16</w:t>
            </w:r>
          </w:p>
        </w:tc>
      </w:tr>
      <w:tr w:rsidR="00A61AB8" w:rsidRPr="00A61AB8" w:rsidTr="00A61AB8">
        <w:tblPrEx>
          <w:tblCellMar>
            <w:top w:w="0" w:type="dxa"/>
            <w:bottom w:w="0" w:type="dxa"/>
          </w:tblCellMar>
        </w:tblPrEx>
        <w:tc>
          <w:tcPr>
            <w:tcW w:w="9110" w:type="dxa"/>
            <w:gridSpan w:val="3"/>
            <w:shd w:val="clear" w:color="auto" w:fill="auto"/>
          </w:tcPr>
          <w:p w:rsidR="00A61AB8" w:rsidRPr="00927103" w:rsidRDefault="00A61AB8" w:rsidP="00927103">
            <w:pPr>
              <w:tabs>
                <w:tab w:val="right" w:pos="1080"/>
                <w:tab w:val="right" w:leader="dot" w:pos="9245"/>
              </w:tabs>
              <w:suppressAutoHyphens/>
              <w:spacing w:after="120"/>
              <w:rPr>
                <w:spacing w:val="60"/>
                <w:sz w:val="17"/>
              </w:rPr>
            </w:pPr>
            <w:r>
              <w:tab/>
              <w:t>Часть 3</w:t>
            </w:r>
            <w:r w:rsidR="00927103">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16</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rPr>
                <w:spacing w:val="60"/>
                <w:sz w:val="17"/>
              </w:rPr>
            </w:pPr>
            <w:r>
              <w:tab/>
              <w:t>3.1</w:t>
            </w:r>
            <w:r>
              <w:tab/>
            </w:r>
            <w:r w:rsidRPr="00A61AB8">
              <w:t>Гендерное равенство в области</w:t>
            </w:r>
            <w:r>
              <w:t xml:space="preserve"> образования (Статья 10)</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16</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rPr>
                <w:spacing w:val="60"/>
                <w:sz w:val="17"/>
              </w:rPr>
            </w:pPr>
            <w:r>
              <w:tab/>
              <w:t>3.2</w:t>
            </w:r>
            <w:r>
              <w:tab/>
            </w:r>
            <w:r w:rsidRPr="00A61AB8">
              <w:t>Гендерное равенство в области</w:t>
            </w:r>
            <w:r>
              <w:t xml:space="preserve"> занятости (Статья 11)</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18</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rPr>
                <w:spacing w:val="60"/>
                <w:sz w:val="17"/>
              </w:rPr>
            </w:pPr>
            <w:r>
              <w:tab/>
              <w:t>3.3</w:t>
            </w:r>
            <w:r>
              <w:tab/>
            </w:r>
            <w:r w:rsidRPr="00A61AB8">
              <w:t xml:space="preserve">Гендерное равенство в </w:t>
            </w:r>
            <w:r>
              <w:t>секторе здравоохранения (Статья 12)</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23</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right" w:leader="dot" w:pos="9245"/>
              </w:tabs>
              <w:suppressAutoHyphens/>
              <w:spacing w:after="120"/>
              <w:ind w:left="1296" w:hanging="1296"/>
              <w:rPr>
                <w:spacing w:val="60"/>
                <w:sz w:val="17"/>
              </w:rPr>
            </w:pPr>
            <w:r>
              <w:tab/>
              <w:t>3.4</w:t>
            </w:r>
            <w:r>
              <w:tab/>
            </w:r>
            <w:r w:rsidRPr="00A61AB8">
              <w:t>Ликвидация дискриминации в отношении женщин в экономической и социальной жизни</w:t>
            </w:r>
            <w:r>
              <w:t xml:space="preserve"> (Статья 13)</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24</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rPr>
                <w:spacing w:val="60"/>
                <w:sz w:val="17"/>
              </w:rPr>
            </w:pPr>
            <w:r>
              <w:tab/>
              <w:t>3.5</w:t>
            </w:r>
            <w:r>
              <w:tab/>
            </w:r>
            <w:r w:rsidRPr="00A61AB8">
              <w:t>Положение женщин, проживающих в сельской</w:t>
            </w:r>
            <w:r>
              <w:t xml:space="preserve"> местности (Статья 14)</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25</w:t>
            </w:r>
          </w:p>
        </w:tc>
      </w:tr>
      <w:tr w:rsidR="00A61AB8" w:rsidRPr="00A61AB8" w:rsidTr="00A61AB8">
        <w:tblPrEx>
          <w:tblCellMar>
            <w:top w:w="0" w:type="dxa"/>
            <w:bottom w:w="0" w:type="dxa"/>
          </w:tblCellMar>
        </w:tblPrEx>
        <w:tc>
          <w:tcPr>
            <w:tcW w:w="9110" w:type="dxa"/>
            <w:gridSpan w:val="3"/>
            <w:shd w:val="clear" w:color="auto" w:fill="auto"/>
          </w:tcPr>
          <w:p w:rsidR="00A61AB8" w:rsidRPr="00927103" w:rsidRDefault="00A61AB8" w:rsidP="00927103">
            <w:pPr>
              <w:tabs>
                <w:tab w:val="right" w:pos="1080"/>
                <w:tab w:val="right" w:leader="dot" w:pos="9245"/>
              </w:tabs>
              <w:suppressAutoHyphens/>
              <w:spacing w:after="120"/>
              <w:rPr>
                <w:spacing w:val="60"/>
                <w:sz w:val="17"/>
              </w:rPr>
            </w:pPr>
            <w:r>
              <w:tab/>
              <w:t>Часть 4</w:t>
            </w:r>
            <w:r w:rsidR="00927103">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26</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rPr>
                <w:spacing w:val="60"/>
                <w:sz w:val="17"/>
              </w:rPr>
            </w:pPr>
            <w:r>
              <w:tab/>
              <w:t>4.1</w:t>
            </w:r>
            <w:r>
              <w:tab/>
            </w:r>
            <w:r w:rsidRPr="00A61AB8">
              <w:t>Равенство женщин и мужчин перед</w:t>
            </w:r>
            <w:r>
              <w:t xml:space="preserve"> законом (Статья 15)</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26</w:t>
            </w:r>
          </w:p>
        </w:tc>
      </w:tr>
      <w:tr w:rsidR="00A61AB8" w:rsidRPr="00A61AB8" w:rsidTr="00A61AB8">
        <w:tblPrEx>
          <w:tblCellMar>
            <w:top w:w="0" w:type="dxa"/>
            <w:bottom w:w="0" w:type="dxa"/>
          </w:tblCellMar>
        </w:tblPrEx>
        <w:tc>
          <w:tcPr>
            <w:tcW w:w="9110" w:type="dxa"/>
            <w:gridSpan w:val="3"/>
            <w:shd w:val="clear" w:color="auto" w:fill="auto"/>
          </w:tcPr>
          <w:p w:rsidR="00A61AB8" w:rsidRPr="00A61AB8" w:rsidRDefault="00A61AB8" w:rsidP="00A61AB8">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rPr>
                <w:spacing w:val="60"/>
                <w:sz w:val="17"/>
              </w:rPr>
            </w:pPr>
            <w:r>
              <w:tab/>
              <w:t>4.2</w:t>
            </w:r>
            <w:r>
              <w:tab/>
            </w:r>
            <w:r w:rsidRPr="00A61AB8">
              <w:t>Гендерное равенство в вопросах брака и семейных</w:t>
            </w:r>
            <w:r>
              <w:t xml:space="preserve"> отношений (Статья 16)</w:t>
            </w:r>
            <w:r>
              <w:rPr>
                <w:spacing w:val="60"/>
                <w:sz w:val="17"/>
              </w:rPr>
              <w:tab/>
            </w:r>
          </w:p>
        </w:tc>
        <w:tc>
          <w:tcPr>
            <w:tcW w:w="720" w:type="dxa"/>
            <w:shd w:val="clear" w:color="auto" w:fill="auto"/>
            <w:vAlign w:val="bottom"/>
          </w:tcPr>
          <w:p w:rsidR="00A61AB8" w:rsidRPr="00AB0676" w:rsidRDefault="00AB0676" w:rsidP="00A61AB8">
            <w:pPr>
              <w:spacing w:after="120"/>
              <w:ind w:right="40"/>
              <w:jc w:val="right"/>
              <w:rPr>
                <w:lang w:val="en-US"/>
              </w:rPr>
            </w:pPr>
            <w:r>
              <w:rPr>
                <w:lang w:val="en-US"/>
              </w:rPr>
              <w:t>27</w:t>
            </w:r>
          </w:p>
        </w:tc>
      </w:tr>
    </w:tbl>
    <w:p w:rsidR="00A61AB8" w:rsidRDefault="00A61AB8" w:rsidP="00A61AB8"/>
    <w:p w:rsidR="00927103" w:rsidRDefault="00A61AB8" w:rsidP="009271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27103" w:rsidRPr="00927103">
        <w:tab/>
      </w:r>
      <w:r w:rsidR="00927103" w:rsidRPr="00927103">
        <w:tab/>
      </w:r>
      <w:bookmarkStart w:id="9" w:name="_Toc413159901"/>
      <w:r w:rsidR="00927103" w:rsidRPr="00927103">
        <w:t>Введение</w:t>
      </w:r>
      <w:bookmarkEnd w:id="9"/>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10" w:name="_Toc413159902"/>
      <w:r w:rsidRPr="00927103">
        <w:rPr>
          <w:lang w:val="en-US"/>
        </w:rPr>
        <w:t>i</w:t>
      </w:r>
      <w:r w:rsidRPr="00927103">
        <w:t>.</w:t>
      </w:r>
      <w:r w:rsidRPr="00927103">
        <w:tab/>
        <w:t>Пояснительная информация к объединенным восьмому и девятому периодическим докладам правительства Монголии об осуществлении Конвенции о ликвидации всех форм дискриминации в отношении женщин</w:t>
      </w:r>
      <w:bookmarkEnd w:id="10"/>
    </w:p>
    <w:p w:rsidR="00927103" w:rsidRPr="00927103" w:rsidRDefault="00927103" w:rsidP="00927103">
      <w:pPr>
        <w:pStyle w:val="SingleTxt"/>
        <w:spacing w:after="0" w:line="120" w:lineRule="exact"/>
        <w:rPr>
          <w:sz w:val="10"/>
        </w:rPr>
      </w:pPr>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Правительство Монголии представило свои объединенные пятый, шестой и седьмой периодические доклады об осуществлении Конвенции о ликвидации всех форм дискриминации в отношении женщин (</w:t>
      </w:r>
      <w:hyperlink r:id="rId14" w:history="1">
        <w:r w:rsidRPr="00064820">
          <w:rPr>
            <w:rStyle w:val="Hyperlink"/>
            <w:lang w:val="en-US"/>
          </w:rPr>
          <w:t>CEDAW</w:t>
        </w:r>
        <w:r w:rsidRPr="00064820">
          <w:rPr>
            <w:rStyle w:val="Hyperlink"/>
          </w:rPr>
          <w:t>/</w:t>
        </w:r>
        <w:r w:rsidRPr="00064820">
          <w:rPr>
            <w:rStyle w:val="Hyperlink"/>
            <w:lang w:val="en-US"/>
          </w:rPr>
          <w:t>C</w:t>
        </w:r>
        <w:r w:rsidRPr="00064820">
          <w:rPr>
            <w:rStyle w:val="Hyperlink"/>
          </w:rPr>
          <w:t>/</w:t>
        </w:r>
        <w:r w:rsidRPr="00064820">
          <w:rPr>
            <w:rStyle w:val="Hyperlink"/>
            <w:lang w:val="en-US"/>
          </w:rPr>
          <w:t>MNG</w:t>
        </w:r>
        <w:r w:rsidRPr="00064820">
          <w:rPr>
            <w:rStyle w:val="Hyperlink"/>
          </w:rPr>
          <w:t>/7</w:t>
        </w:r>
      </w:hyperlink>
      <w:r w:rsidRPr="00927103">
        <w:t>) в сентя</w:t>
      </w:r>
      <w:r w:rsidRPr="00927103">
        <w:t>б</w:t>
      </w:r>
      <w:r w:rsidRPr="00927103">
        <w:t>ре 2008 года. В предыдущих объединенных периодических докладах была и</w:t>
      </w:r>
      <w:r w:rsidRPr="00927103">
        <w:t>с</w:t>
      </w:r>
      <w:r w:rsidRPr="00927103">
        <w:t>пользована информация и статистические данные за 2000–2004 годы. С учетом заключительных замечаний Комитета по ликвидации дискриминации в отн</w:t>
      </w:r>
      <w:r w:rsidRPr="00927103">
        <w:t>о</w:t>
      </w:r>
      <w:r w:rsidRPr="00927103">
        <w:t>шении женщин (</w:t>
      </w:r>
      <w:hyperlink r:id="rId15" w:history="1">
        <w:r w:rsidRPr="00064820">
          <w:rPr>
            <w:rStyle w:val="Hyperlink"/>
            <w:lang w:val="en-US"/>
          </w:rPr>
          <w:t>CEDAW</w:t>
        </w:r>
        <w:r w:rsidRPr="00064820">
          <w:rPr>
            <w:rStyle w:val="Hyperlink"/>
          </w:rPr>
          <w:t>/</w:t>
        </w:r>
        <w:r w:rsidRPr="00064820">
          <w:rPr>
            <w:rStyle w:val="Hyperlink"/>
            <w:lang w:val="en-US"/>
          </w:rPr>
          <w:t>C</w:t>
        </w:r>
        <w:r w:rsidRPr="00064820">
          <w:rPr>
            <w:rStyle w:val="Hyperlink"/>
          </w:rPr>
          <w:t>/</w:t>
        </w:r>
        <w:r w:rsidRPr="00064820">
          <w:rPr>
            <w:rStyle w:val="Hyperlink"/>
            <w:lang w:val="en-US"/>
          </w:rPr>
          <w:t>MNG</w:t>
        </w:r>
        <w:r w:rsidRPr="00064820">
          <w:rPr>
            <w:rStyle w:val="Hyperlink"/>
          </w:rPr>
          <w:t>/СО/7</w:t>
        </w:r>
      </w:hyperlink>
      <w:r w:rsidRPr="00927103">
        <w:t>) в настоящих объединенных восьмом и девятом периодических докладах содержатся статистические данные и соо</w:t>
      </w:r>
      <w:r w:rsidRPr="00927103">
        <w:t>т</w:t>
      </w:r>
      <w:r w:rsidRPr="00927103">
        <w:t>ветствующая информация, охватывающие периоды с 2004 по 2009 год и с 2010 по 2014 год соответственно, а также в приложение 1 к нему включена дополн</w:t>
      </w:r>
      <w:r w:rsidRPr="00927103">
        <w:t>и</w:t>
      </w:r>
      <w:r w:rsidRPr="00927103">
        <w:t>тельная брошюра со статистическими данными в разбивке по полу.</w:t>
      </w:r>
    </w:p>
    <w:p w:rsidR="00927103" w:rsidRPr="00927103" w:rsidRDefault="00927103" w:rsidP="00927103">
      <w:pPr>
        <w:pStyle w:val="SingleTxt"/>
      </w:pPr>
      <w:r>
        <w:tab/>
      </w:r>
      <w:r w:rsidRPr="00927103">
        <w:t>Во исполнение Постановления № 77 премьер-министра Монголии от 3 июня 2014 года для подготовки данного периодического доклада была созд</w:t>
      </w:r>
      <w:r w:rsidRPr="00927103">
        <w:t>а</w:t>
      </w:r>
      <w:r w:rsidRPr="00927103">
        <w:t>на рабочая группа, в которой руководство процессом составления доклада осуществляли Национальный комитет по вопросам гендерного равенства (НКГР) и его секретариат. Содержание доклада обсуждалось и корректиров</w:t>
      </w:r>
      <w:r w:rsidRPr="00927103">
        <w:t>а</w:t>
      </w:r>
      <w:r w:rsidRPr="00927103">
        <w:t>лось представителями правительства, институтов гражданского общества, международных организаций, а также национальными консультантами. В да</w:t>
      </w:r>
      <w:r w:rsidRPr="00927103">
        <w:t>н</w:t>
      </w:r>
      <w:r w:rsidRPr="00927103">
        <w:t>ном докладе отражены достижения и проблемы, возникавшие в процессе ос</w:t>
      </w:r>
      <w:r w:rsidRPr="00927103">
        <w:t>у</w:t>
      </w:r>
      <w:r w:rsidRPr="00927103">
        <w:t>ществления Пекинской платформы действий (ППД) и Целей развития тысяч</w:t>
      </w:r>
      <w:r w:rsidRPr="00927103">
        <w:t>е</w:t>
      </w:r>
      <w:r w:rsidRPr="00927103">
        <w:t>летия (ЦРТ), в ко</w:t>
      </w:r>
      <w:r w:rsidRPr="00927103">
        <w:t>н</w:t>
      </w:r>
      <w:r w:rsidRPr="00927103">
        <w:t>тексте статей и положений Конвенции.</w:t>
      </w:r>
    </w:p>
    <w:p w:rsidR="00927103" w:rsidRPr="00927103" w:rsidRDefault="00927103" w:rsidP="00927103">
      <w:pPr>
        <w:pStyle w:val="SingleTxt"/>
      </w:pPr>
      <w:r>
        <w:tab/>
      </w:r>
      <w:r w:rsidRPr="00927103">
        <w:t>В данном документе также использованы ответы на критические комме</w:t>
      </w:r>
      <w:r w:rsidRPr="00927103">
        <w:t>н</w:t>
      </w:r>
      <w:r w:rsidRPr="00927103">
        <w:t>тарии, содержавшиеся в заключительных замечаниях Комитета по ликвидации дискриминации в отношении женщин (54-я сессия) по объединенным пятому, ш</w:t>
      </w:r>
      <w:r w:rsidRPr="00927103">
        <w:t>е</w:t>
      </w:r>
      <w:r w:rsidRPr="00927103">
        <w:t>стому и седьмому периодическим докладам правительства Монголии.</w:t>
      </w:r>
    </w:p>
    <w:p w:rsidR="00927103" w:rsidRDefault="00927103" w:rsidP="00927103">
      <w:pPr>
        <w:pStyle w:val="SingleTxt"/>
      </w:pPr>
      <w:r>
        <w:tab/>
      </w:r>
      <w:r w:rsidRPr="00927103">
        <w:t>Правительство Монголии учитывает основную идею и принципы Конве</w:t>
      </w:r>
      <w:r w:rsidRPr="00927103">
        <w:t>н</w:t>
      </w:r>
      <w:r w:rsidRPr="00927103">
        <w:t>ции в своей национальной политике, законодательстве и программах действий, осуждая все формы дискриминации в отношении женщин, и будет и впредь прилагать надлежащие усилия в этом направлении.</w:t>
      </w:r>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11" w:name="_Toc413159903"/>
      <w:r w:rsidRPr="00927103">
        <w:rPr>
          <w:lang w:val="en-US"/>
        </w:rPr>
        <w:t>ii</w:t>
      </w:r>
      <w:r w:rsidRPr="00927103">
        <w:t>.</w:t>
      </w:r>
      <w:r w:rsidRPr="00927103">
        <w:tab/>
        <w:t>Общие сведения о Монголии</w:t>
      </w:r>
      <w:bookmarkEnd w:id="11"/>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Монголия расположена в сердце Центральной Азии и граничит на севере с Российской Федерацией, а на юге с Китайской Народной Республикой. Пл</w:t>
      </w:r>
      <w:r w:rsidRPr="00927103">
        <w:t>о</w:t>
      </w:r>
      <w:r w:rsidRPr="00927103">
        <w:t>щадь Монголии составляет 1,5 млн. кв. км. Страна делится на 21 аймак (пр</w:t>
      </w:r>
      <w:r w:rsidRPr="00927103">
        <w:t>о</w:t>
      </w:r>
      <w:r w:rsidRPr="00927103">
        <w:t>винции) и 362 сомона (административные группы), столица состоит из 9 районов.</w:t>
      </w:r>
    </w:p>
    <w:p w:rsidR="00927103" w:rsidRPr="00927103" w:rsidRDefault="00927103" w:rsidP="00927103">
      <w:pPr>
        <w:pStyle w:val="SingleTxt"/>
      </w:pPr>
      <w:r>
        <w:tab/>
      </w:r>
      <w:r w:rsidRPr="00927103">
        <w:t>Население Монголии составляет 2,9 млн. человек, при этом доля же</w:t>
      </w:r>
      <w:r w:rsidRPr="00927103">
        <w:t>н</w:t>
      </w:r>
      <w:r w:rsidRPr="00927103">
        <w:t>щин</w:t>
      </w:r>
      <w:r>
        <w:t xml:space="preserve"> — </w:t>
      </w:r>
      <w:r w:rsidRPr="00927103">
        <w:t>51,3 процента общей численности населения. Средний рост численн</w:t>
      </w:r>
      <w:r w:rsidRPr="00927103">
        <w:t>о</w:t>
      </w:r>
      <w:r w:rsidRPr="00927103">
        <w:t>сти населения равняется 1,4 процента. По состоянию на 2013 год средняя пр</w:t>
      </w:r>
      <w:r w:rsidRPr="00927103">
        <w:t>о</w:t>
      </w:r>
      <w:r w:rsidRPr="00927103">
        <w:t>должительность жизни равняется 69,1 года, при этом женщины доживают до 75 лет, тогда как средняя продолжительность жизни мужчин равняется 65,4 года.</w:t>
      </w:r>
    </w:p>
    <w:p w:rsidR="00927103" w:rsidRPr="00927103" w:rsidRDefault="00927103" w:rsidP="00927103">
      <w:pPr>
        <w:pStyle w:val="SingleTxt"/>
      </w:pPr>
      <w:r>
        <w:tab/>
      </w:r>
      <w:r w:rsidRPr="00927103">
        <w:t>В городах и поселках проживает 67,2 процента населения, что объясняе</w:t>
      </w:r>
      <w:r w:rsidRPr="00927103">
        <w:t>т</w:t>
      </w:r>
      <w:r w:rsidRPr="00927103">
        <w:t>ся внутренней миграцией из сельских районов в городские поселения, приве</w:t>
      </w:r>
      <w:r w:rsidRPr="00927103">
        <w:t>д</w:t>
      </w:r>
      <w:r w:rsidRPr="00927103">
        <w:t>шей к быстрому росту численности городского населения в последнее десят</w:t>
      </w:r>
      <w:r w:rsidRPr="00927103">
        <w:t>и</w:t>
      </w:r>
      <w:r w:rsidRPr="00927103">
        <w:t>летие.</w:t>
      </w:r>
    </w:p>
    <w:p w:rsidR="00927103" w:rsidRDefault="00927103" w:rsidP="00927103">
      <w:pPr>
        <w:pStyle w:val="SingleTxt"/>
      </w:pPr>
      <w:r>
        <w:tab/>
      </w:r>
      <w:r w:rsidRPr="00927103">
        <w:t>Индекс развития человеческого потенциала (ИРЧП) Монголии равен 0,787, а индекс развития, включающий гендерные факторы, в 2005 году был равен 0,677, а в 2013 году составил 0,791. Показатель степени реализации прав же</w:t>
      </w:r>
      <w:r w:rsidRPr="00927103">
        <w:t>н</w:t>
      </w:r>
      <w:r w:rsidRPr="00927103">
        <w:t>щин в 2005 году составлял 0,388, а в 2013 году</w:t>
      </w:r>
      <w:r>
        <w:t xml:space="preserve"> — </w:t>
      </w:r>
      <w:r w:rsidRPr="00927103">
        <w:t>0,529.</w:t>
      </w:r>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r w:rsidRPr="00927103">
        <w:tab/>
      </w:r>
      <w:bookmarkStart w:id="12" w:name="_Toc413076915"/>
      <w:bookmarkStart w:id="13" w:name="_Toc413159904"/>
      <w:r w:rsidRPr="00927103">
        <w:t>Социально-экономическое положение</w:t>
      </w:r>
      <w:bookmarkEnd w:id="12"/>
      <w:bookmarkEnd w:id="13"/>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Благодаря успешному переходу Монголии к рыночной экономике в теч</w:t>
      </w:r>
      <w:r w:rsidRPr="00927103">
        <w:t>е</w:t>
      </w:r>
      <w:r w:rsidRPr="00927103">
        <w:t>ние последних 10 лет интенсивно развивался ее горнодобывающий сектор. Успешное развитие горнодобывающего сектора положительно сказалось на бюджетных поступлениях, продемонстрировавших в 2011 году рекордный темп экономического роста, равный 17,3 процента. В то же время по-прежнему с</w:t>
      </w:r>
      <w:r w:rsidRPr="00927103">
        <w:t>о</w:t>
      </w:r>
      <w:r w:rsidRPr="00927103">
        <w:t>храняются темпы инфляции, выраженные двузначными цифрами. В первой п</w:t>
      </w:r>
      <w:r w:rsidRPr="00927103">
        <w:t>о</w:t>
      </w:r>
      <w:r w:rsidRPr="00927103">
        <w:t>ловине 2014 года наблюдался рост ВВП в размере 5,3 процента, при этом ур</w:t>
      </w:r>
      <w:r w:rsidRPr="00927103">
        <w:t>о</w:t>
      </w:r>
      <w:r w:rsidRPr="00927103">
        <w:t>вень бе</w:t>
      </w:r>
      <w:r w:rsidRPr="00927103">
        <w:t>з</w:t>
      </w:r>
      <w:r w:rsidRPr="00927103">
        <w:t>работицы составил 8,4 процента, а темп инфляции 14,9 процента.</w:t>
      </w:r>
    </w:p>
    <w:p w:rsidR="00927103" w:rsidRPr="00927103" w:rsidRDefault="00927103" w:rsidP="00927103">
      <w:pPr>
        <w:pStyle w:val="SingleTxt"/>
      </w:pPr>
      <w:r>
        <w:tab/>
      </w:r>
      <w:r w:rsidRPr="00927103">
        <w:t>В Докладе о глобальной конкурентоспособности за 2011–2012 годы, и</w:t>
      </w:r>
      <w:r w:rsidRPr="00927103">
        <w:t>з</w:t>
      </w:r>
      <w:r w:rsidRPr="00927103">
        <w:t>данном Всемирным экономическим форумом, говорится, что по уровню эк</w:t>
      </w:r>
      <w:r w:rsidRPr="00927103">
        <w:t>о</w:t>
      </w:r>
      <w:r w:rsidRPr="00927103">
        <w:t>номического и социального развития Монголия движется от первого этапа ра</w:t>
      </w:r>
      <w:r w:rsidRPr="00927103">
        <w:t>з</w:t>
      </w:r>
      <w:r w:rsidRPr="00927103">
        <w:t>вития, в основе которого лежит развитие производственного фактора, ко вт</w:t>
      </w:r>
      <w:r w:rsidRPr="00927103">
        <w:t>о</w:t>
      </w:r>
      <w:r w:rsidRPr="00927103">
        <w:t>рому этапу, основанному на эффективности. С 2008 года по валовому наци</w:t>
      </w:r>
      <w:r w:rsidRPr="00927103">
        <w:t>о</w:t>
      </w:r>
      <w:r w:rsidRPr="00927103">
        <w:t>нальному д</w:t>
      </w:r>
      <w:r w:rsidRPr="00927103">
        <w:t>о</w:t>
      </w:r>
      <w:r w:rsidRPr="00927103">
        <w:t>ходу Монголия входит в категорию стран с уровнем доходов ниже среднего. До 2008 года Монголия входила в категорию стран с низким уровнем дохо</w:t>
      </w:r>
      <w:r>
        <w:t>дов.</w:t>
      </w:r>
    </w:p>
    <w:p w:rsidR="00927103" w:rsidRPr="00927103" w:rsidRDefault="00927103" w:rsidP="00927103">
      <w:pPr>
        <w:pStyle w:val="SingleTxt"/>
      </w:pPr>
      <w:r>
        <w:tab/>
      </w:r>
      <w:r w:rsidRPr="00927103">
        <w:t>Хотя темп экономического роста в целом выглядит достаточно оптим</w:t>
      </w:r>
      <w:r w:rsidRPr="00927103">
        <w:t>и</w:t>
      </w:r>
      <w:r w:rsidRPr="00927103">
        <w:t>стичным, его преимущества и результаты пока что не оказали положительного воздействия на экономическое положение женщин и уязвимых групп насел</w:t>
      </w:r>
      <w:r w:rsidRPr="00927103">
        <w:t>е</w:t>
      </w:r>
      <w:r w:rsidRPr="00927103">
        <w:t>ния.</w:t>
      </w:r>
    </w:p>
    <w:p w:rsidR="00927103" w:rsidRPr="00927103" w:rsidRDefault="00927103" w:rsidP="00927103">
      <w:pPr>
        <w:pStyle w:val="SingleTxt"/>
      </w:pPr>
      <w:r>
        <w:tab/>
      </w:r>
      <w:r w:rsidRPr="00927103">
        <w:t>В течение последних 10 лет горнодобывающий сектор играл решающую роль в экономике страны, и эта тенденция, возможно, сохранит свое значение в буд</w:t>
      </w:r>
      <w:r w:rsidRPr="00927103">
        <w:t>у</w:t>
      </w:r>
      <w:r w:rsidRPr="00927103">
        <w:t>щем. Эта новая волна использования полезных ископаемых может открыть широкие положительные возможности, но при этом поставить сложные задачи и проблемы с точки зрения экологических, социальных и политических пе</w:t>
      </w:r>
      <w:r w:rsidRPr="00927103">
        <w:t>р</w:t>
      </w:r>
      <w:r w:rsidRPr="00927103">
        <w:t>спектив. Одна из серьезных проблем состоит в том, что хотя жертвами нег</w:t>
      </w:r>
      <w:r w:rsidRPr="00927103">
        <w:t>а</w:t>
      </w:r>
      <w:r w:rsidRPr="00927103">
        <w:t>тивного воздействия на окружающую среду, вызванного геологоразведочными работами, являются местные жители и общины, они не имеют ни прав, ни д</w:t>
      </w:r>
      <w:r w:rsidRPr="00927103">
        <w:t>о</w:t>
      </w:r>
      <w:r w:rsidRPr="00927103">
        <w:t>ступа к контролю добычи полезных ископаемых.</w:t>
      </w:r>
    </w:p>
    <w:p w:rsidR="00927103" w:rsidRPr="00927103" w:rsidRDefault="00927103" w:rsidP="00927103">
      <w:pPr>
        <w:pStyle w:val="SingleTxt"/>
      </w:pPr>
      <w:r>
        <w:tab/>
      </w:r>
      <w:r w:rsidRPr="00927103">
        <w:t>Согласно статистике уровень бедности в 2010 году составил 38,7 процента, и этот показатель ежегодно снижался, достигнув в 2012 году 27,4 процента. Среди городского населения малоимущие составляют 35,5 про</w:t>
      </w:r>
      <w:r>
        <w:softHyphen/>
      </w:r>
      <w:r w:rsidRPr="00927103">
        <w:t>цента, а в сельской местности</w:t>
      </w:r>
      <w:r>
        <w:t xml:space="preserve"> — </w:t>
      </w:r>
      <w:r w:rsidRPr="00927103">
        <w:t>23,2 процента. Условия жизни малоимущего населения различны. Например, в сельской местности бедность в большей ст</w:t>
      </w:r>
      <w:r w:rsidRPr="00927103">
        <w:t>е</w:t>
      </w:r>
      <w:r w:rsidRPr="00927103">
        <w:t>пени затрагивает мужчин, тогда как в городских поселениях больше малоим</w:t>
      </w:r>
      <w:r w:rsidRPr="00927103">
        <w:t>у</w:t>
      </w:r>
      <w:r w:rsidRPr="00927103">
        <w:t>щих женщин.</w:t>
      </w:r>
    </w:p>
    <w:p w:rsidR="00927103" w:rsidRPr="00927103" w:rsidRDefault="00927103" w:rsidP="00927103">
      <w:pPr>
        <w:pStyle w:val="SingleTxt"/>
      </w:pPr>
      <w:r>
        <w:tab/>
      </w:r>
      <w:r w:rsidRPr="00927103">
        <w:t>Из всех домохозяйств, возглавляемых одним лицом, доля таких хозяйств, во</w:t>
      </w:r>
      <w:r w:rsidRPr="00927103">
        <w:t>з</w:t>
      </w:r>
      <w:r w:rsidRPr="00927103">
        <w:t>главляемых женщинами, составляет 76,2 процента, что показывает рост на 22 900 таких хозяйств по сравнению с 107 200 хозяйствами, зарегистрирова</w:t>
      </w:r>
      <w:r w:rsidRPr="00927103">
        <w:t>н</w:t>
      </w:r>
      <w:r w:rsidRPr="00927103">
        <w:t>ными в 2004 году. В Монголии существует 39 900 домохозяйств, возглавля</w:t>
      </w:r>
      <w:r w:rsidRPr="00927103">
        <w:t>е</w:t>
      </w:r>
      <w:r w:rsidRPr="00927103">
        <w:t>мых женщинами, у которых есть дети в возрасте до 18 лет, и свыше 60 процентов домохозяйств с восемью и более членами семьи живут за чертой бедности.</w:t>
      </w:r>
    </w:p>
    <w:p w:rsidR="00927103" w:rsidRDefault="00927103" w:rsidP="00927103">
      <w:pPr>
        <w:pStyle w:val="SingleTxt"/>
      </w:pPr>
      <w:r>
        <w:tab/>
      </w:r>
      <w:r w:rsidRPr="00927103">
        <w:t>По данным статистики Полицейского управления, из общего числа 623 зарегистрированных случаев насилия в семье 54,8 процента имели место в городах и 45,2 процента в сельской местности. Большую часть пострадавших в случаях бытового насилия составляют женщины и их дети.</w:t>
      </w:r>
    </w:p>
    <w:p w:rsidR="00927103" w:rsidRPr="00927103" w:rsidRDefault="00927103" w:rsidP="00927103">
      <w:pPr>
        <w:pStyle w:val="SingleTxt"/>
        <w:spacing w:after="0" w:line="120" w:lineRule="exact"/>
        <w:rPr>
          <w:sz w:val="10"/>
        </w:rPr>
      </w:pPr>
    </w:p>
    <w:p w:rsidR="00927103" w:rsidRDefault="00927103" w:rsidP="009271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r w:rsidRPr="00927103">
        <w:tab/>
      </w:r>
      <w:bookmarkStart w:id="14" w:name="_Toc413159905"/>
      <w:r w:rsidRPr="00927103">
        <w:t>Часть 1</w:t>
      </w:r>
      <w:bookmarkEnd w:id="14"/>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15" w:name="_Toc413159906"/>
      <w:r w:rsidRPr="00927103">
        <w:t>1.1.</w:t>
      </w:r>
      <w:r w:rsidRPr="00927103">
        <w:tab/>
        <w:t>Законы, нормативно-правовые акты и законодательные меры, направленные на ликвидацию дискриминации по признаку пола</w:t>
      </w:r>
      <w:bookmarkEnd w:id="15"/>
    </w:p>
    <w:p w:rsidR="00927103" w:rsidRPr="00927103" w:rsidRDefault="00927103" w:rsidP="00927103">
      <w:pPr>
        <w:pStyle w:val="SingleTxt"/>
        <w:spacing w:after="0" w:line="120" w:lineRule="exact"/>
        <w:rPr>
          <w:sz w:val="10"/>
        </w:rPr>
      </w:pPr>
    </w:p>
    <w:p w:rsidR="00927103" w:rsidRDefault="00927103" w:rsidP="00927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rPr>
          <w:b/>
        </w:rPr>
        <w:tab/>
      </w:r>
      <w:r w:rsidRPr="00927103">
        <w:rPr>
          <w:b/>
        </w:rPr>
        <w:tab/>
      </w:r>
      <w:bookmarkStart w:id="16" w:name="_Toc413159907"/>
      <w:r w:rsidRPr="00927103">
        <w:t>(Статьи 2 и 3)</w:t>
      </w:r>
      <w:bookmarkEnd w:id="16"/>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Правительство Монголии отражает основную идею и принципы статей Конвенции в своей национальной политике, законодательстве и при осущест</w:t>
      </w:r>
      <w:r w:rsidRPr="00927103">
        <w:t>в</w:t>
      </w:r>
      <w:r w:rsidRPr="00927103">
        <w:t>лении программ действий, осуждая все формы дискриминации в отношении женщин.</w:t>
      </w:r>
    </w:p>
    <w:p w:rsidR="00927103" w:rsidRPr="00927103" w:rsidRDefault="00927103" w:rsidP="00927103">
      <w:pPr>
        <w:pStyle w:val="SingleTxt"/>
      </w:pPr>
      <w:r>
        <w:tab/>
      </w:r>
      <w:r w:rsidRPr="00927103">
        <w:t>Конституция 1992 года предусматривает, что мужчины и женщины равн</w:t>
      </w:r>
      <w:r w:rsidRPr="00927103">
        <w:t>о</w:t>
      </w:r>
      <w:r w:rsidRPr="00927103">
        <w:t>правны в политической, экономической, социальной и культурной жизни и с</w:t>
      </w:r>
      <w:r w:rsidRPr="00927103">
        <w:t>е</w:t>
      </w:r>
      <w:r w:rsidRPr="00927103">
        <w:t>мейных отношениях (11), не допускается дискриминация по национальному признаку, языку, расовой принадлежности, возрасту, полу, социальному прои</w:t>
      </w:r>
      <w:r w:rsidRPr="00927103">
        <w:t>с</w:t>
      </w:r>
      <w:r w:rsidRPr="00927103">
        <w:t>хождению или общественному положению, материальному благосостоянию, профессии или занимаемой должности, по вероисповеданию, мировоззрению или образованию (14.2), все законно проживающие на территории Монголии лица равны перед законом и судом (14.1), брак между мужчиной и женщиной, достигшими возраста, определенного законом, основывается на равноправных и добровольных отношениях. Интересы семьи, матери и ребенка защищаются государством (16.11).</w:t>
      </w:r>
    </w:p>
    <w:p w:rsidR="00927103" w:rsidRPr="00927103" w:rsidRDefault="00927103" w:rsidP="00927103">
      <w:pPr>
        <w:pStyle w:val="SingleTxt"/>
      </w:pPr>
      <w:r>
        <w:tab/>
      </w:r>
      <w:r w:rsidRPr="00927103">
        <w:t>Парламент Монголии в очередной раз усилил вышеприведенные полож</w:t>
      </w:r>
      <w:r w:rsidRPr="00927103">
        <w:t>е</w:t>
      </w:r>
      <w:r w:rsidRPr="00927103">
        <w:t>ния, приняв в 2011 году Закон о поощрении гендерного равенства (ЗПГР), и обеспечил совершенствование нормативной базы для дальнейшей реализации равных прав женщин и мужчин.</w:t>
      </w:r>
    </w:p>
    <w:p w:rsidR="00927103" w:rsidRPr="00927103" w:rsidRDefault="00927103" w:rsidP="00927103">
      <w:pPr>
        <w:pStyle w:val="SingleTxt"/>
      </w:pPr>
      <w:r>
        <w:tab/>
      </w:r>
      <w:r w:rsidRPr="00927103">
        <w:t>Закон о поощрении гендерного равенства (2011 год), Закон о семье (1999 год), Закон о борьбе с насилием в семье (2004 год) и Закон о борьбе с торговлей людьми (2012 год) вновь подтвердили значимость прав человека и прав женщин, конкретизируя границы ответственности государственных и частных субъектов и других соответствующих сторон.</w:t>
      </w:r>
    </w:p>
    <w:p w:rsidR="00927103" w:rsidRPr="00927103" w:rsidRDefault="00927103" w:rsidP="00927103">
      <w:pPr>
        <w:pStyle w:val="SingleTxt"/>
      </w:pPr>
      <w:r>
        <w:tab/>
      </w:r>
      <w:r w:rsidRPr="00927103">
        <w:t>В январе 2013 года были приняты Среднесрочная стратегия и план де</w:t>
      </w:r>
      <w:r w:rsidRPr="00927103">
        <w:t>й</w:t>
      </w:r>
      <w:r w:rsidRPr="00927103">
        <w:t>ствий по осуществлению Закона Монголии о поощрении гендерного равенства (ЗПГР) (на 2013–2016 годы). В этом стратегическом документе была поставл</w:t>
      </w:r>
      <w:r w:rsidRPr="00927103">
        <w:t>е</w:t>
      </w:r>
      <w:r w:rsidRPr="00927103">
        <w:t>на цель</w:t>
      </w:r>
      <w:r>
        <w:t xml:space="preserve"> — </w:t>
      </w:r>
      <w:r w:rsidRPr="00927103">
        <w:t>обеспечить учет гендерных факторов в отраслевых стратегиях и усилить национальный потенциал для эффективного осуществления ЗПГР. Принятие этой первой в истории страны государственной стратегии свидетел</w:t>
      </w:r>
      <w:r w:rsidRPr="00927103">
        <w:t>ь</w:t>
      </w:r>
      <w:r w:rsidRPr="00927103">
        <w:t>ствует о сложности сквозного характера осуществления ЗПГР и необходимости межотрасл</w:t>
      </w:r>
      <w:r w:rsidRPr="00927103">
        <w:t>е</w:t>
      </w:r>
      <w:r w:rsidRPr="00927103">
        <w:t>вой координации.</w:t>
      </w:r>
    </w:p>
    <w:p w:rsidR="00927103" w:rsidRPr="00927103" w:rsidRDefault="00927103" w:rsidP="00927103">
      <w:pPr>
        <w:pStyle w:val="SingleTxt"/>
      </w:pPr>
      <w:r>
        <w:tab/>
      </w:r>
      <w:r w:rsidRPr="00927103">
        <w:t>Эта стратегия обязывает учитывать гендерные факторы в процессах пл</w:t>
      </w:r>
      <w:r w:rsidRPr="00927103">
        <w:t>а</w:t>
      </w:r>
      <w:r w:rsidRPr="00927103">
        <w:t>нирования политики на всех уровнях, исходя из гендерной статистики и анал</w:t>
      </w:r>
      <w:r w:rsidRPr="00927103">
        <w:t>и</w:t>
      </w:r>
      <w:r w:rsidRPr="00927103">
        <w:t>за, и требует создания в каждом секторе базы данных, учитывающей гендерные факторы. Все центральные и местные управленческие учреждения обязаны с</w:t>
      </w:r>
      <w:r w:rsidRPr="00927103">
        <w:t>о</w:t>
      </w:r>
      <w:r w:rsidRPr="00927103">
        <w:t>бирать и использовать статистику по гендерной проблематике, чтобы пред</w:t>
      </w:r>
      <w:r w:rsidRPr="00927103">
        <w:t>о</w:t>
      </w:r>
      <w:r w:rsidRPr="00927103">
        <w:t>ставлять конечным пользователям и широкой общественности достоверное толкование информации.</w:t>
      </w:r>
    </w:p>
    <w:p w:rsidR="00927103" w:rsidRPr="00927103" w:rsidRDefault="00927103" w:rsidP="00927103">
      <w:pPr>
        <w:pStyle w:val="SingleTxt"/>
      </w:pPr>
      <w:r>
        <w:tab/>
      </w:r>
      <w:r w:rsidRPr="00927103">
        <w:t>В связи с этим в сентябре 2013 года Национальная статистическая служба (НСС) утвердила основные показатели и соответствующую структуру наци</w:t>
      </w:r>
      <w:r w:rsidRPr="00927103">
        <w:t>о</w:t>
      </w:r>
      <w:r w:rsidRPr="00927103">
        <w:t>нальной гендерной статистики. В настоящее время НСС работает над метод</w:t>
      </w:r>
      <w:r w:rsidRPr="00927103">
        <w:t>о</w:t>
      </w:r>
      <w:r w:rsidRPr="00927103">
        <w:t>логией использования основных показателей гендерной статистики и соедин</w:t>
      </w:r>
      <w:r w:rsidRPr="00927103">
        <w:t>е</w:t>
      </w:r>
      <w:r w:rsidRPr="00927103">
        <w:t>ния ссылками базы данных по гендерной статистике с базами данных отрасл</w:t>
      </w:r>
      <w:r w:rsidRPr="00927103">
        <w:t>е</w:t>
      </w:r>
      <w:r w:rsidRPr="00927103">
        <w:t>вых министерств. Создание общенациональной базы данных, дифференцир</w:t>
      </w:r>
      <w:r w:rsidRPr="00927103">
        <w:t>о</w:t>
      </w:r>
      <w:r w:rsidRPr="00927103">
        <w:t>ванных по полу, станет важным инструментом для мониторинга осуществл</w:t>
      </w:r>
      <w:r w:rsidRPr="00927103">
        <w:t>е</w:t>
      </w:r>
      <w:r w:rsidRPr="00927103">
        <w:t xml:space="preserve">ния положений Конвенции, а также для оценки хода реализации стратегий, учитывающих гендерную проблематику. </w:t>
      </w:r>
      <w:r>
        <w:t>«</w:t>
      </w:r>
      <w:r w:rsidRPr="00927103">
        <w:t>Гендерная информация</w:t>
      </w:r>
      <w:r>
        <w:t xml:space="preserve">» — </w:t>
      </w:r>
      <w:r w:rsidRPr="00927103">
        <w:t>это название новой статистической брошюры, которая готовится с целью илл</w:t>
      </w:r>
      <w:r w:rsidRPr="00927103">
        <w:t>ю</w:t>
      </w:r>
      <w:r w:rsidRPr="00927103">
        <w:t>страции эволюции и прогресса в осуществлении положений о гендерном р</w:t>
      </w:r>
      <w:r w:rsidRPr="00927103">
        <w:t>а</w:t>
      </w:r>
      <w:r w:rsidRPr="00927103">
        <w:t>венстве в стране. С 2013 года НСС имеет в своем штате специалиста по ге</w:t>
      </w:r>
      <w:r w:rsidRPr="00927103">
        <w:t>н</w:t>
      </w:r>
      <w:r w:rsidRPr="00927103">
        <w:t>дерным вопросам, который играет важнейшую роль, руководя подготовкой ст</w:t>
      </w:r>
      <w:r w:rsidRPr="00927103">
        <w:t>а</w:t>
      </w:r>
      <w:r w:rsidRPr="00927103">
        <w:t>тистики, учитывающей гендерные факторы.</w:t>
      </w:r>
    </w:p>
    <w:p w:rsidR="00927103" w:rsidRPr="00927103" w:rsidRDefault="00927103" w:rsidP="00927103">
      <w:pPr>
        <w:pStyle w:val="SingleTxt"/>
      </w:pPr>
      <w:r>
        <w:tab/>
      </w:r>
      <w:r w:rsidRPr="00927103">
        <w:t>В целях выполнения положений ЗПГР Национальный комитет по вопр</w:t>
      </w:r>
      <w:r w:rsidRPr="00927103">
        <w:t>о</w:t>
      </w:r>
      <w:r w:rsidRPr="00927103">
        <w:t>сам гендерного равенства (НКГР) сотрудничает с различными государстве</w:t>
      </w:r>
      <w:r w:rsidRPr="00927103">
        <w:t>н</w:t>
      </w:r>
      <w:r w:rsidRPr="00927103">
        <w:t>ными организациями, такими как Комитет по всеобщим выборам, Совет гос</w:t>
      </w:r>
      <w:r w:rsidRPr="00927103">
        <w:t>у</w:t>
      </w:r>
      <w:r w:rsidRPr="00927103">
        <w:t>дарственных служащих, НСС, Национальная комиссия по правам человека, Полицейское управление, Департамент мониторинга и оценки Кабинета мин</w:t>
      </w:r>
      <w:r w:rsidRPr="00927103">
        <w:t>и</w:t>
      </w:r>
      <w:r w:rsidRPr="00927103">
        <w:t>стров, решая некоторые сложные вопросы в план</w:t>
      </w:r>
      <w:r>
        <w:t>е защиты прав девочек и женщин.</w:t>
      </w:r>
    </w:p>
    <w:p w:rsidR="00927103" w:rsidRPr="00927103" w:rsidRDefault="00927103" w:rsidP="00927103">
      <w:pPr>
        <w:pStyle w:val="SingleTxt"/>
      </w:pPr>
      <w:r>
        <w:tab/>
      </w:r>
      <w:r w:rsidRPr="00927103">
        <w:t>В рамках процесса реформирования судебной системы Администрация Президента совместно с Министерством юстиции сыграли решающую роль в принятии в 2013 году Закона о защите жертв и свидетелей и, соответственно, создании института судебных приставов. Это поможет надлежащим образом защитить права девочек и женщин, переживших насилие, различными путями, в том числе посредством регистрации постановлений о предоставлении защ</w:t>
      </w:r>
      <w:r w:rsidRPr="00927103">
        <w:t>и</w:t>
      </w:r>
      <w:r w:rsidRPr="00927103">
        <w:t>ты и т. п.</w:t>
      </w:r>
    </w:p>
    <w:p w:rsidR="00927103" w:rsidRPr="00927103" w:rsidRDefault="00927103" w:rsidP="00927103">
      <w:pPr>
        <w:pStyle w:val="SingleTxt"/>
      </w:pPr>
      <w:r>
        <w:tab/>
      </w:r>
      <w:r w:rsidRPr="00927103">
        <w:t>Информационно-исследовательский центр Полицейского управления ежеквартально предоставляет НКГР данные и информацию о зарегистрирова</w:t>
      </w:r>
      <w:r w:rsidRPr="00927103">
        <w:t>н</w:t>
      </w:r>
      <w:r w:rsidRPr="00927103">
        <w:t>ных уголовных делах, в том числе связанных с насилием в семье. В базе да</w:t>
      </w:r>
      <w:r w:rsidRPr="00927103">
        <w:t>н</w:t>
      </w:r>
      <w:r w:rsidRPr="00927103">
        <w:t>ных Полицейского управления содержится соответствующая информация о правонарушителях и жертвах/лицах, переживших насилие, формах насилия и месте с</w:t>
      </w:r>
      <w:r w:rsidRPr="00927103">
        <w:t>о</w:t>
      </w:r>
      <w:r>
        <w:t>вершения преступления и т. д.</w:t>
      </w:r>
    </w:p>
    <w:p w:rsidR="00927103" w:rsidRPr="00927103" w:rsidRDefault="00927103" w:rsidP="00927103">
      <w:pPr>
        <w:pStyle w:val="SingleTxt"/>
      </w:pPr>
      <w:r>
        <w:tab/>
      </w:r>
      <w:r w:rsidRPr="00927103">
        <w:t>В соответствии с Законом о поощрении гендерного равенства (ЗПГР) Национальная комиссия по правам человека (НКПЧ) уполномочена два раза в год представлять доклад о ходе осуществления ЗПГР парламенту Монголии. Кроме того, НКПЧ уполномочена получать, рассматривать и принимать реш</w:t>
      </w:r>
      <w:r w:rsidRPr="00927103">
        <w:t>е</w:t>
      </w:r>
      <w:r w:rsidRPr="00927103">
        <w:t>ния по жалобам, связанным с дискриминацией по признаку пола. Комиссия также уделяет большое внимание осуществлению Конвенции в рамках своего мандата по предупреждению, защите и поощрению прав человека и основных свобод. Комиссия ежегодно представляет доклад о положении с соблюдением прав человека и основных свобод на рассмотрение парламентом. Результаты парламентского рассмотрения утверждаются Постоянным комитетом по прав</w:t>
      </w:r>
      <w:r w:rsidRPr="00927103">
        <w:t>о</w:t>
      </w:r>
      <w:r w:rsidRPr="00927103">
        <w:t>вым вопросам высшего законодательного органа и далее принимаются соо</w:t>
      </w:r>
      <w:r w:rsidRPr="00927103">
        <w:t>т</w:t>
      </w:r>
      <w:r w:rsidRPr="00927103">
        <w:t>ветствующие меры. Представленный в 2014 году 13</w:t>
      </w:r>
      <w:r w:rsidRPr="00927103">
        <w:noBreakHyphen/>
        <w:t>й доклад Комиссии пок</w:t>
      </w:r>
      <w:r w:rsidRPr="00927103">
        <w:t>а</w:t>
      </w:r>
      <w:r w:rsidRPr="00927103">
        <w:t>зал, что нормативная база для борьбы с насилием в семье является недостато</w:t>
      </w:r>
      <w:r w:rsidRPr="00927103">
        <w:t>ч</w:t>
      </w:r>
      <w:r w:rsidRPr="00927103">
        <w:t>ным средством защиты жертв насилия или лиц, переживших насилие. Коми</w:t>
      </w:r>
      <w:r w:rsidRPr="00927103">
        <w:t>с</w:t>
      </w:r>
      <w:r w:rsidRPr="00927103">
        <w:t>сия подготовила необходимые рекомендации, направленные на предупрежд</w:t>
      </w:r>
      <w:r w:rsidRPr="00927103">
        <w:t>е</w:t>
      </w:r>
      <w:r w:rsidRPr="00927103">
        <w:t>ние, выявление и искоренение случаев насилия в семье посредством обеспеч</w:t>
      </w:r>
      <w:r w:rsidRPr="00927103">
        <w:t>е</w:t>
      </w:r>
      <w:r w:rsidRPr="00927103">
        <w:t>ния эффективной и надежной защиты жертв, а также посредством внедрения эффективной системы ответственности для лиц, совершивших насилие. Все эти усилия и защитные меры чрезвычайно облегчили работу над необходим</w:t>
      </w:r>
      <w:r w:rsidRPr="00927103">
        <w:t>ы</w:t>
      </w:r>
      <w:r w:rsidRPr="00927103">
        <w:t>ми поправками к Закону, которые будут рассмотрены законодателями.</w:t>
      </w:r>
    </w:p>
    <w:p w:rsidR="00927103" w:rsidRPr="00927103" w:rsidRDefault="00927103" w:rsidP="00927103">
      <w:pPr>
        <w:pStyle w:val="SingleTxt"/>
      </w:pPr>
      <w:r>
        <w:tab/>
      </w:r>
      <w:r w:rsidRPr="00927103">
        <w:t>Со времени принятия ЗПГР Национальная комиссия по правам человека получила всего 39 жалоб, связанных с дискриминацией по признаку пола, се</w:t>
      </w:r>
      <w:r w:rsidRPr="00927103">
        <w:t>к</w:t>
      </w:r>
      <w:r w:rsidRPr="00927103">
        <w:t>суальным домогательством на рабочем месте и насилием в семье, в том числе 5 жалоб в 2011 году, 9 жалоб в 2012 году, 16 жалоб в 2013 году и 9 жалоб в т</w:t>
      </w:r>
      <w:r w:rsidRPr="00927103">
        <w:t>е</w:t>
      </w:r>
      <w:r w:rsidRPr="00927103">
        <w:t>чение первой половины 2014 года. После получения жалоб от жертв/лиц, п</w:t>
      </w:r>
      <w:r w:rsidRPr="00927103">
        <w:t>е</w:t>
      </w:r>
      <w:r w:rsidRPr="00927103">
        <w:t>реживших насилие, НКПЧ имеет право передавать жалобы и рекомендации в соответствующие учреждения и лицам, принимающим решения, инициировать судебный процесс, предъявлять обвинение виновному в совершении насилия, а также содействовать восстановлению чести жертвы насилия.</w:t>
      </w:r>
    </w:p>
    <w:p w:rsidR="00927103" w:rsidRPr="00927103" w:rsidRDefault="00927103" w:rsidP="00927103">
      <w:pPr>
        <w:pStyle w:val="SingleTxt"/>
      </w:pPr>
      <w:r>
        <w:tab/>
      </w:r>
      <w:r w:rsidRPr="00927103">
        <w:t>Для того чтобы защищать права женщин, отбывающих срок наказания в тюрьме, НКПЧ изучила причины случаев убийства и провела анализ судебных р</w:t>
      </w:r>
      <w:r w:rsidRPr="00927103">
        <w:t>е</w:t>
      </w:r>
      <w:r w:rsidRPr="00927103">
        <w:t>шений. Анализ и результаты исследований показали, что суды оставляли без внимания вопросы, связанные с попечительством или опекунами детей этих женщин, поэтому Комиссия предложила принять по этому вопросу соотве</w:t>
      </w:r>
      <w:r w:rsidRPr="00927103">
        <w:t>т</w:t>
      </w:r>
      <w:r w:rsidRPr="00927103">
        <w:t>ствующие правовые меры или скоординировать их. Было отмечено, что бол</w:t>
      </w:r>
      <w:r w:rsidRPr="00927103">
        <w:t>ь</w:t>
      </w:r>
      <w:r w:rsidRPr="00927103">
        <w:t>шинство женщин, отбывающих тюремный срок, годами подвергались насилию в семье.</w:t>
      </w:r>
    </w:p>
    <w:p w:rsidR="00927103" w:rsidRPr="00927103" w:rsidRDefault="00927103" w:rsidP="00927103">
      <w:pPr>
        <w:pStyle w:val="SingleTxt"/>
      </w:pPr>
      <w:r>
        <w:tab/>
      </w:r>
      <w:r w:rsidRPr="00927103">
        <w:t>В этом году НКПЧ провела независимое обследование 24 организаций и 514 отдельных лиц, для того чтобы проследить выполнение аспектов гендерн</w:t>
      </w:r>
      <w:r w:rsidRPr="00927103">
        <w:t>о</w:t>
      </w:r>
      <w:r w:rsidRPr="00927103">
        <w:t>го равенства в практике приема на работу и трудовых отношений, как это предусматривается в статье 11 ЗПГР. В результате обследования было обнар</w:t>
      </w:r>
      <w:r w:rsidRPr="00927103">
        <w:t>у</w:t>
      </w:r>
      <w:r w:rsidRPr="00927103">
        <w:t>жено, что жертвам сексуального домогательства на рабочем месте не удавалось привлекать к ответственности виновных в его совершении по таким причинам, как отсутствие понимания со стороны работодателя, ограниченная информация о подобных случаях, недостатки соответствующих положений Закона о труде, отсутствие координационных механизмов и соответствующих мер правовой ответственности, предупреждающих подобное поведение. Этот вопрос был освещен в 13-м докладе Комиссии (2014 год) о положении с соблюдением прав человека и основных свобод и передан на рассмотрение в парламент. Есть надежда, что все вышеупомянутые вопросы будут должным образом учтены при рассмотрении поправок к Закону о труде.</w:t>
      </w:r>
    </w:p>
    <w:p w:rsidR="00927103" w:rsidRPr="00927103" w:rsidRDefault="00927103" w:rsidP="00927103">
      <w:pPr>
        <w:pStyle w:val="SingleTxt"/>
      </w:pPr>
      <w:r>
        <w:tab/>
      </w:r>
      <w:r w:rsidRPr="00927103">
        <w:t>В 2005 году для координации политики в области гендерного равенства на государственном уровне был учрежден Национальный комитет по вопросам гендерного равенства (НКГР) под председательством премьер-министра. Для управления повседневной деятельностью по обеспечению расширения прав и возможностей женщин и помощи в осуществлении программ и кампаний по гендерным проблемам был создан секретариат НКГР.</w:t>
      </w:r>
    </w:p>
    <w:p w:rsidR="00927103" w:rsidRPr="00927103" w:rsidRDefault="00927103" w:rsidP="00927103">
      <w:pPr>
        <w:pStyle w:val="SingleTxt"/>
      </w:pPr>
      <w:r>
        <w:tab/>
      </w:r>
      <w:r w:rsidRPr="00927103">
        <w:t>В НКГР входят 25 членов, он имеет 22 отделения на уровне аймаков и районов и 25 отраслевых советов на уровне министерств и комитетов, которым оказ</w:t>
      </w:r>
      <w:r w:rsidRPr="00927103">
        <w:t>ы</w:t>
      </w:r>
      <w:r w:rsidRPr="00927103">
        <w:t>вает помощь постоянно действующий секретариат, состоящий из восьми штатных сотрудников. В 2005–2009 годах, опираясь на успешную практику других стран и международных организаций, НКГР сосредоточил свое вним</w:t>
      </w:r>
      <w:r w:rsidRPr="00927103">
        <w:t>а</w:t>
      </w:r>
      <w:r w:rsidRPr="00927103">
        <w:t>ние на внедрении политики и принципов гендерного равенства в секторальную деятельность, делясь своими знаниями и соответствующей информацией с правительственными организациями и широкой общественностью. В результ</w:t>
      </w:r>
      <w:r w:rsidRPr="00927103">
        <w:t>а</w:t>
      </w:r>
      <w:r w:rsidRPr="00927103">
        <w:t>те принятия в 2011 году ЗПГР были конкретизированы функции и сфера отве</w:t>
      </w:r>
      <w:r w:rsidRPr="00927103">
        <w:t>т</w:t>
      </w:r>
      <w:r w:rsidRPr="00927103">
        <w:t>ственности НКГР в отношении межсекторальной координации при осущест</w:t>
      </w:r>
      <w:r w:rsidRPr="00927103">
        <w:t>в</w:t>
      </w:r>
      <w:r w:rsidRPr="00927103">
        <w:t>лении ЗПГР, проведении политики гендерного равенства на национальном уровне и совершенствовании нормативно-правовой базы. Следующий веб-сайт</w:t>
      </w:r>
      <w:r>
        <w:t xml:space="preserve"> — </w:t>
      </w:r>
      <w:hyperlink r:id="rId16" w:history="1">
        <w:r w:rsidRPr="00927103">
          <w:rPr>
            <w:rStyle w:val="Hyperlink"/>
          </w:rPr>
          <w:t>www.gender.gov.mn</w:t>
        </w:r>
      </w:hyperlink>
      <w:r>
        <w:t xml:space="preserve"> — </w:t>
      </w:r>
      <w:r w:rsidRPr="00927103">
        <w:t>является доступным полезным инструментом для широкой публики, предоставляющим информацию по открытой и прозра</w:t>
      </w:r>
      <w:r w:rsidRPr="00927103">
        <w:t>ч</w:t>
      </w:r>
      <w:r w:rsidRPr="00927103">
        <w:t>ной политической программе, касающейся расширения прав и возможностей женщин и гендерного равенства.</w:t>
      </w:r>
    </w:p>
    <w:p w:rsidR="00927103" w:rsidRPr="00927103" w:rsidRDefault="00927103" w:rsidP="00927103">
      <w:pPr>
        <w:pStyle w:val="SingleTxt"/>
      </w:pPr>
      <w:r>
        <w:tab/>
      </w:r>
      <w:r w:rsidRPr="00927103">
        <w:t>Секретариат НКГР инициировал и поощряет деятельность: а) Националь</w:t>
      </w:r>
      <w:r>
        <w:softHyphen/>
      </w:r>
      <w:r w:rsidRPr="00927103">
        <w:t xml:space="preserve">ной группы экспертов по гендерным вопросам, </w:t>
      </w:r>
      <w:r w:rsidRPr="00927103">
        <w:rPr>
          <w:lang w:val="en-US"/>
        </w:rPr>
        <w:t>b</w:t>
      </w:r>
      <w:r w:rsidRPr="00927103">
        <w:t>) Консорциума по гендерным вопросам и с) Консультативного совета средств массовой и</w:t>
      </w:r>
      <w:r w:rsidRPr="00927103">
        <w:t>н</w:t>
      </w:r>
      <w:r w:rsidRPr="00927103">
        <w:t>формации, прессы и гражданского общества, которые выполняют функции профильных самосто</w:t>
      </w:r>
      <w:r w:rsidRPr="00927103">
        <w:t>я</w:t>
      </w:r>
      <w:r w:rsidRPr="00927103">
        <w:t>тельных групп экспертов.</w:t>
      </w:r>
    </w:p>
    <w:p w:rsidR="00927103" w:rsidRPr="00927103" w:rsidRDefault="00927103" w:rsidP="00927103">
      <w:pPr>
        <w:pStyle w:val="SingleTxt"/>
      </w:pPr>
      <w:r>
        <w:tab/>
      </w:r>
      <w:r w:rsidRPr="00927103">
        <w:t>Национальная группа экспертов по гендерным вопросам состоит из эк</w:t>
      </w:r>
      <w:r w:rsidRPr="00927103">
        <w:t>с</w:t>
      </w:r>
      <w:r w:rsidRPr="00927103">
        <w:t>пертов, специализирующихся на вопросах гендерного равенства и прав челов</w:t>
      </w:r>
      <w:r w:rsidRPr="00927103">
        <w:t>е</w:t>
      </w:r>
      <w:r w:rsidRPr="00927103">
        <w:t>ка, кот</w:t>
      </w:r>
      <w:r w:rsidRPr="00927103">
        <w:t>о</w:t>
      </w:r>
      <w:r w:rsidRPr="00927103">
        <w:t>рые не только проводят проверку гендерных аспектов, анализ и обзоры соответствующих проблем, встречающихся в процессе осуществления пр</w:t>
      </w:r>
      <w:r w:rsidRPr="00927103">
        <w:t>о</w:t>
      </w:r>
      <w:r w:rsidRPr="00927103">
        <w:t>грамм по гендерному равенству, но и предоставляют методические рекоменд</w:t>
      </w:r>
      <w:r w:rsidRPr="00927103">
        <w:t>а</w:t>
      </w:r>
      <w:r w:rsidRPr="00927103">
        <w:t>ции, осн</w:t>
      </w:r>
      <w:r w:rsidRPr="00927103">
        <w:t>о</w:t>
      </w:r>
      <w:r w:rsidRPr="00927103">
        <w:t>вываясь на просьбах и запросах различных учреждений.</w:t>
      </w:r>
    </w:p>
    <w:p w:rsidR="00927103" w:rsidRPr="00927103" w:rsidRDefault="00927103" w:rsidP="00927103">
      <w:pPr>
        <w:pStyle w:val="SingleTxt"/>
      </w:pPr>
      <w:r>
        <w:tab/>
      </w:r>
      <w:r w:rsidRPr="00927103">
        <w:t>Консорциум по гендерным вопросам представляет собой группу, состо</w:t>
      </w:r>
      <w:r w:rsidRPr="00927103">
        <w:t>я</w:t>
      </w:r>
      <w:r w:rsidRPr="00927103">
        <w:t>щую из научных работников, преподавателей высших учебных заведений и аналит</w:t>
      </w:r>
      <w:r w:rsidRPr="00927103">
        <w:t>и</w:t>
      </w:r>
      <w:r w:rsidRPr="00927103">
        <w:t>ков, работающих над повышением качества и поощрением гендерного просв</w:t>
      </w:r>
      <w:r w:rsidRPr="00927103">
        <w:t>е</w:t>
      </w:r>
      <w:r w:rsidRPr="00927103">
        <w:t>щения и исследований гендерных вопросов. Консорциум по гендерным вопросам вместе с НКГР не только организуют ежегодную конференцию по возникающим гендерным проблемам для студентов университетов и колл</w:t>
      </w:r>
      <w:r w:rsidRPr="00927103">
        <w:t>е</w:t>
      </w:r>
      <w:r w:rsidRPr="00927103">
        <w:t>джей, но также оказывают помощь учебным заведениям всех уровней в соста</w:t>
      </w:r>
      <w:r w:rsidRPr="00927103">
        <w:t>в</w:t>
      </w:r>
      <w:r w:rsidRPr="00927103">
        <w:t>лении учебных программ, учитывающих гендерные факторы.</w:t>
      </w:r>
    </w:p>
    <w:p w:rsidR="00927103" w:rsidRPr="00927103" w:rsidRDefault="00927103" w:rsidP="00927103">
      <w:pPr>
        <w:pStyle w:val="SingleTxt"/>
      </w:pPr>
      <w:r>
        <w:tab/>
      </w:r>
      <w:r w:rsidRPr="00927103">
        <w:t>В Монголии существует активное женское движение, стремящееся к пр</w:t>
      </w:r>
      <w:r w:rsidRPr="00927103">
        <w:t>о</w:t>
      </w:r>
      <w:r w:rsidRPr="00927103">
        <w:t>движению прав женщин и гендерного равенства. Чрезвычайно эффективный вклад в постепенную ликвидацию всех форм дискриминации в отношении женщин в Монголии внесли неправите</w:t>
      </w:r>
      <w:r>
        <w:t>льственные женские организации.</w:t>
      </w:r>
    </w:p>
    <w:p w:rsidR="00927103" w:rsidRPr="00927103" w:rsidRDefault="00927103" w:rsidP="00927103">
      <w:pPr>
        <w:pStyle w:val="SingleTxt"/>
      </w:pPr>
      <w:r>
        <w:br w:type="page"/>
      </w:r>
      <w:r>
        <w:tab/>
      </w:r>
      <w:r w:rsidRPr="00927103">
        <w:t>Ряд международных организаций, двусторонних учреждений, фондов и агентств по сотрудничеству, в том числе Тематическая группа Организации Объединенных Наций по гендерным вопросам, ЮНФПА, ПРООН, Всемирный банк, Азиатский банк развития, Швейцарское агентство в поддержку развития и сотрудничества, успешно работают вместе, чтобы изменить гендерно мот</w:t>
      </w:r>
      <w:r w:rsidRPr="00927103">
        <w:t>и</w:t>
      </w:r>
      <w:r w:rsidRPr="00927103">
        <w:t>вированные стереотипы, распространенные среди широкой публики, бороться с насилием в семье и торговлей людьми, а также чтобы укрепить национал</w:t>
      </w:r>
      <w:r w:rsidRPr="00927103">
        <w:t>ь</w:t>
      </w:r>
      <w:r w:rsidRPr="00927103">
        <w:t>ный потенциал в области реализации расширения прав и возможностей же</w:t>
      </w:r>
      <w:r w:rsidRPr="00927103">
        <w:t>н</w:t>
      </w:r>
      <w:r w:rsidRPr="00927103">
        <w:t>щин и программ по достижению гендерного равенства.</w:t>
      </w:r>
    </w:p>
    <w:p w:rsidR="00927103" w:rsidRPr="00927103" w:rsidRDefault="00927103" w:rsidP="00927103">
      <w:pPr>
        <w:pStyle w:val="SingleTxt"/>
      </w:pPr>
      <w:r>
        <w:tab/>
      </w:r>
      <w:r w:rsidRPr="00927103">
        <w:t>Типичными формами гендерного насилия в Монголии являются: насилие в семье, сексуальное преследование, торговля людьми, сексуальное домог</w:t>
      </w:r>
      <w:r w:rsidRPr="00927103">
        <w:t>а</w:t>
      </w:r>
      <w:r w:rsidRPr="00927103">
        <w:t>тельство на рабочем месте. И в Законе о борьбе с насилием в семье, и в Наци</w:t>
      </w:r>
      <w:r w:rsidRPr="00927103">
        <w:t>о</w:t>
      </w:r>
      <w:r w:rsidRPr="00927103">
        <w:t>нальном плане действий по борьбе с насилием в семье есть положения о защ</w:t>
      </w:r>
      <w:r w:rsidRPr="00927103">
        <w:t>и</w:t>
      </w:r>
      <w:r w:rsidRPr="00927103">
        <w:t>те прав жертв и лиц, переживших насилие. Однако на эти конкретные цели до сих пор не было выделено никаких бюджетных средств и отсутствует сам м</w:t>
      </w:r>
      <w:r w:rsidRPr="00927103">
        <w:t>е</w:t>
      </w:r>
      <w:r w:rsidRPr="00927103">
        <w:t>ханизм борьбы, поэтому, к сожалению, лицам, пережившим насилие, пока что не оказывались никакие эффективные услуги по защите.</w:t>
      </w:r>
    </w:p>
    <w:p w:rsidR="00927103" w:rsidRPr="00927103" w:rsidRDefault="00927103" w:rsidP="00927103">
      <w:pPr>
        <w:pStyle w:val="SingleTxt"/>
      </w:pPr>
      <w:r>
        <w:tab/>
      </w:r>
      <w:r w:rsidRPr="00927103">
        <w:t>За последние три года в результате насилия в семье погибли 49 человек, 1180 человек получили телесные повреждения, при этом 86,6 процента всех жертв составляли женщины (данные Информационно-исследовательского це</w:t>
      </w:r>
      <w:r w:rsidRPr="00927103">
        <w:t>н</w:t>
      </w:r>
      <w:r w:rsidRPr="00927103">
        <w:t>тра Полицейского управления). Изнасилования составляют 3,8 процента пр</w:t>
      </w:r>
      <w:r w:rsidRPr="00927103">
        <w:t>е</w:t>
      </w:r>
      <w:r w:rsidRPr="00927103">
        <w:t>ступлений, связанных с насилием в семье. Из общего числа 72 детей, ставших жертвами насилия, 33 процента подверглись насилию со стороны своих отч</w:t>
      </w:r>
      <w:r w:rsidRPr="00927103">
        <w:t>и</w:t>
      </w:r>
      <w:r w:rsidRPr="00927103">
        <w:t>мов, 59 процентов со стороны родственников, или братьев, или сестер и 8 процентов со стороны посторонних лиц (данные комплексных служб центра за период с 1 января по 25 мая 2010 года). В современной судебной практике не обязательно проводится различие между изнасилованием и инцестом, что н</w:t>
      </w:r>
      <w:r w:rsidRPr="00927103">
        <w:t>е</w:t>
      </w:r>
      <w:r w:rsidRPr="00927103">
        <w:t xml:space="preserve">редко приводит к </w:t>
      </w:r>
      <w:r>
        <w:t>«</w:t>
      </w:r>
      <w:r w:rsidRPr="00927103">
        <w:t>неэффективному расследованию совершенного преступл</w:t>
      </w:r>
      <w:r w:rsidRPr="00927103">
        <w:t>е</w:t>
      </w:r>
      <w:r w:rsidRPr="00927103">
        <w:t>ния</w:t>
      </w:r>
      <w:r>
        <w:t>»</w:t>
      </w:r>
      <w:r w:rsidRPr="00927103">
        <w:t xml:space="preserve"> и в дальнейшем к замалчиванию совершенного преступником инцест</w:t>
      </w:r>
      <w:r w:rsidRPr="00927103">
        <w:t>у</w:t>
      </w:r>
      <w:r w:rsidRPr="00927103">
        <w:t>ального акта. Поэтому необходимо эффективно расследовать и рассматривать эти вопросы, чтобы виновные привлекались к судебной ответственности.</w:t>
      </w:r>
    </w:p>
    <w:p w:rsidR="00927103" w:rsidRPr="00927103" w:rsidRDefault="00927103" w:rsidP="00927103">
      <w:pPr>
        <w:pStyle w:val="SingleTxt"/>
      </w:pPr>
      <w:r>
        <w:tab/>
      </w:r>
      <w:r w:rsidRPr="00927103">
        <w:t>Учитывая все вышесказанное, Министерство юстиции учредило рабочую группу с участием представителей гражданского общества, которая представ</w:t>
      </w:r>
      <w:r w:rsidRPr="00927103">
        <w:t>и</w:t>
      </w:r>
      <w:r w:rsidRPr="00927103">
        <w:t>ла проекты поправок к Закону о борьбе с насилием в семье для рассмотрения и слушаний в парламенте. Действуют круглосуточные горячие линии</w:t>
      </w:r>
      <w:r>
        <w:t xml:space="preserve"> — </w:t>
      </w:r>
      <w:r w:rsidRPr="00927103">
        <w:t>1222 и для детей</w:t>
      </w:r>
      <w:r>
        <w:t xml:space="preserve"> — </w:t>
      </w:r>
      <w:r w:rsidRPr="00927103">
        <w:t>108, цель которых состоит в предупреждении насилия в семье, оказании соответствующих эффективных услуг и улучшении защиты прав д</w:t>
      </w:r>
      <w:r w:rsidRPr="00927103">
        <w:t>е</w:t>
      </w:r>
      <w:r w:rsidRPr="00927103">
        <w:t>тей.</w:t>
      </w:r>
    </w:p>
    <w:p w:rsidR="00927103" w:rsidRPr="00927103" w:rsidRDefault="00927103" w:rsidP="00927103">
      <w:pPr>
        <w:pStyle w:val="SingleTxt"/>
      </w:pPr>
      <w:r>
        <w:tab/>
      </w:r>
      <w:r w:rsidRPr="00927103">
        <w:t>Фонд социального обеспечения утвердил конкретные стандарты для пр</w:t>
      </w:r>
      <w:r w:rsidRPr="00927103">
        <w:t>и</w:t>
      </w:r>
      <w:r w:rsidRPr="00927103">
        <w:t>ютов и отвечает за выделение средств лицам, пережившим насилие в семье, во время их пребывания в приюте. В 201 году переменные затраты на пребывание одн</w:t>
      </w:r>
      <w:r w:rsidRPr="00927103">
        <w:t>о</w:t>
      </w:r>
      <w:r w:rsidRPr="00927103">
        <w:t>го человека в приюте составляли 9000 монгольских тугриков; к 2014 году эта сумма возросла до 19 150 монгольских тугриков. В Улан-Баторе были с</w:t>
      </w:r>
      <w:r w:rsidRPr="00927103">
        <w:t>о</w:t>
      </w:r>
      <w:r w:rsidRPr="00927103">
        <w:t>зданы три центра комплексных служб, расположенные примерно на равном рассто</w:t>
      </w:r>
      <w:r w:rsidRPr="00927103">
        <w:t>я</w:t>
      </w:r>
      <w:r w:rsidRPr="00927103">
        <w:t>нии от больниц, где пострадавшие от насилия могут получить доступ к медицинским услугам. Из-за финансовых трудностей правительство оказывает финансовую поддержку только одному из этих центров в Улан-Баторе. Прав</w:t>
      </w:r>
      <w:r w:rsidRPr="00927103">
        <w:t>и</w:t>
      </w:r>
      <w:r w:rsidRPr="00927103">
        <w:t>тельство рассматривает возможности увеличения необходимых ассигнований для оказания помощи приютам и центрам комплексных служб, работающим на национальном уровне.</w:t>
      </w:r>
    </w:p>
    <w:p w:rsidR="00927103" w:rsidRDefault="00927103" w:rsidP="00927103">
      <w:pPr>
        <w:pStyle w:val="SingleTxt"/>
      </w:pPr>
      <w:r>
        <w:tab/>
      </w:r>
      <w:r w:rsidRPr="00927103">
        <w:t>В период с 2004 по 2007 год на основе положений Закона о борьбе с нас</w:t>
      </w:r>
      <w:r w:rsidRPr="00927103">
        <w:t>и</w:t>
      </w:r>
      <w:r w:rsidRPr="00927103">
        <w:t>лием в семье было вынесено 41 судебное решение. Однако выполнить эти р</w:t>
      </w:r>
      <w:r w:rsidRPr="00927103">
        <w:t>е</w:t>
      </w:r>
      <w:r w:rsidRPr="00927103">
        <w:t>шения не представлялось возможным из-за отсутствия соответствующих пр</w:t>
      </w:r>
      <w:r w:rsidRPr="00927103">
        <w:t>о</w:t>
      </w:r>
      <w:r w:rsidRPr="00927103">
        <w:t xml:space="preserve">цедур и механизмов, которые не были еще введены в действие. Вот один из примеров: </w:t>
      </w:r>
      <w:r>
        <w:t>«</w:t>
      </w:r>
      <w:r w:rsidRPr="00927103">
        <w:rPr>
          <w:i/>
        </w:rPr>
        <w:t>5 апреля 2012 года муж 22-летней Г. нанес ей 12 ножевых ударов, в результате чего она скончалась.</w:t>
      </w:r>
      <w:r w:rsidRPr="00927103">
        <w:t xml:space="preserve"> </w:t>
      </w:r>
      <w:r w:rsidRPr="00927103">
        <w:rPr>
          <w:i/>
        </w:rPr>
        <w:t>С момента вступления в брак на нее пост</w:t>
      </w:r>
      <w:r w:rsidRPr="00927103">
        <w:rPr>
          <w:i/>
        </w:rPr>
        <w:t>о</w:t>
      </w:r>
      <w:r w:rsidRPr="00927103">
        <w:rPr>
          <w:i/>
        </w:rPr>
        <w:t>янно оказывалось давление и муж постоянно издевался над ней. Она обращ</w:t>
      </w:r>
      <w:r w:rsidRPr="00927103">
        <w:rPr>
          <w:i/>
        </w:rPr>
        <w:t>а</w:t>
      </w:r>
      <w:r w:rsidRPr="00927103">
        <w:rPr>
          <w:i/>
        </w:rPr>
        <w:t>лась за помощью во многие организации, но погибла, так как не смогла пол</w:t>
      </w:r>
      <w:r w:rsidRPr="00927103">
        <w:rPr>
          <w:i/>
        </w:rPr>
        <w:t>у</w:t>
      </w:r>
      <w:r w:rsidRPr="00927103">
        <w:rPr>
          <w:i/>
        </w:rPr>
        <w:t>чить какой-либо правовой защиты. Несмотря на то что в то время Закон о борьбе с насилием в семье уже вступил в силу, эта молодая женщина не смо</w:t>
      </w:r>
      <w:r w:rsidRPr="00927103">
        <w:rPr>
          <w:i/>
        </w:rPr>
        <w:t>г</w:t>
      </w:r>
      <w:r w:rsidRPr="00927103">
        <w:rPr>
          <w:i/>
        </w:rPr>
        <w:t>ла получить надлежащей защиты.</w:t>
      </w:r>
      <w:r w:rsidRPr="00927103">
        <w:t xml:space="preserve"> </w:t>
      </w:r>
      <w:r w:rsidRPr="00927103">
        <w:rPr>
          <w:i/>
        </w:rPr>
        <w:t>Организации по правам женщин с возм</w:t>
      </w:r>
      <w:r w:rsidRPr="00927103">
        <w:rPr>
          <w:i/>
        </w:rPr>
        <w:t>у</w:t>
      </w:r>
      <w:r w:rsidRPr="00927103">
        <w:rPr>
          <w:i/>
        </w:rPr>
        <w:t>щением заявили, что пробел в законодательстве, равнодушное отношение юристов и экспертов привели к смерти этой молодой женщины</w:t>
      </w:r>
      <w:r>
        <w:rPr>
          <w:i/>
        </w:rPr>
        <w:t>»</w:t>
      </w:r>
      <w:r w:rsidRPr="00927103">
        <w:rPr>
          <w:i/>
        </w:rPr>
        <w:t xml:space="preserve"> (информ</w:t>
      </w:r>
      <w:r w:rsidRPr="00927103">
        <w:rPr>
          <w:i/>
        </w:rPr>
        <w:t>а</w:t>
      </w:r>
      <w:r w:rsidRPr="00927103">
        <w:rPr>
          <w:i/>
        </w:rPr>
        <w:t xml:space="preserve">ция НЦПН, 2014 год). </w:t>
      </w:r>
      <w:r w:rsidRPr="00927103">
        <w:t>Поэтому правительство прилагает все усилия, чтобы опт</w:t>
      </w:r>
      <w:r w:rsidRPr="00927103">
        <w:t>и</w:t>
      </w:r>
      <w:r w:rsidRPr="00927103">
        <w:t>мизировать процесс создания благоприятных правовых условий для борьбы с насилием в семье, и продолжает проведение диалогов с соответствующими сторон</w:t>
      </w:r>
      <w:r w:rsidRPr="00927103">
        <w:t>а</w:t>
      </w:r>
      <w:r w:rsidRPr="00927103">
        <w:t>ми.</w:t>
      </w:r>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17" w:name="_Toc413159908"/>
      <w:r w:rsidRPr="00927103">
        <w:t>1.2.</w:t>
      </w:r>
      <w:r w:rsidRPr="00927103">
        <w:tab/>
        <w:t>Меры по достижению искоренения общепринятых стереотипных представлений об обязанностях мужчин и женщин</w:t>
      </w:r>
      <w:bookmarkEnd w:id="17"/>
    </w:p>
    <w:p w:rsidR="00927103" w:rsidRPr="00927103" w:rsidRDefault="00927103" w:rsidP="00927103">
      <w:pPr>
        <w:pStyle w:val="SingleTxt"/>
        <w:spacing w:after="0" w:line="120" w:lineRule="exact"/>
        <w:rPr>
          <w:sz w:val="10"/>
        </w:rPr>
      </w:pPr>
    </w:p>
    <w:p w:rsidR="00927103" w:rsidRDefault="00927103" w:rsidP="00927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rPr>
          <w:b/>
        </w:rPr>
        <w:tab/>
      </w:r>
      <w:r w:rsidRPr="00927103">
        <w:rPr>
          <w:b/>
        </w:rPr>
        <w:tab/>
      </w:r>
      <w:bookmarkStart w:id="18" w:name="_Toc413159909"/>
      <w:r w:rsidRPr="00927103">
        <w:t>(Статья 5)</w:t>
      </w:r>
      <w:bookmarkEnd w:id="18"/>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В рамках осуществления Национальной программы обеспечения генде</w:t>
      </w:r>
      <w:r w:rsidRPr="00927103">
        <w:t>р</w:t>
      </w:r>
      <w:r w:rsidRPr="00927103">
        <w:t>ного равенства правительство проводит широкий спектр информационно-пропагандистских мероприятий, чтобы разрушить распространенные необъе</w:t>
      </w:r>
      <w:r w:rsidRPr="00927103">
        <w:t>к</w:t>
      </w:r>
      <w:r w:rsidRPr="00927103">
        <w:t>тивные стереотипы в отношении женщин, и в эту деятельность вовлечены та</w:t>
      </w:r>
      <w:r w:rsidRPr="00927103">
        <w:t>к</w:t>
      </w:r>
      <w:r w:rsidRPr="00927103">
        <w:t>же организации средств массовой информации. В рамках НКГР был создан С</w:t>
      </w:r>
      <w:r w:rsidRPr="00927103">
        <w:t>о</w:t>
      </w:r>
      <w:r w:rsidRPr="00927103">
        <w:t>вет по делам средств массовой информации, который состоит из представит</w:t>
      </w:r>
      <w:r w:rsidRPr="00927103">
        <w:t>е</w:t>
      </w:r>
      <w:r w:rsidRPr="00927103">
        <w:t>лей различных учреждений СМИ. Совет по делам средств массовой информ</w:t>
      </w:r>
      <w:r w:rsidRPr="00927103">
        <w:t>а</w:t>
      </w:r>
      <w:r w:rsidRPr="00927103">
        <w:t xml:space="preserve">ции совместно с национальным НПО Всемирной организации законодателей по сохранению экологического баланса работает над простым в использовании справочником под названием </w:t>
      </w:r>
      <w:r>
        <w:t>«</w:t>
      </w:r>
      <w:r w:rsidRPr="00927103">
        <w:t>Показатели гендерного равенства для сектора СМИ</w:t>
      </w:r>
      <w:r>
        <w:t>»</w:t>
      </w:r>
      <w:r w:rsidRPr="00927103">
        <w:t>, а вместе со специалистами в области СМИ, представляющими общ</w:t>
      </w:r>
      <w:r w:rsidRPr="00927103">
        <w:t>е</w:t>
      </w:r>
      <w:r w:rsidRPr="00927103">
        <w:t>ственное телевидение и ежедневные газеты, они в настоящее время апробир</w:t>
      </w:r>
      <w:r w:rsidRPr="00927103">
        <w:t>у</w:t>
      </w:r>
      <w:r w:rsidRPr="00927103">
        <w:t>ют практическое применение этих показателей.</w:t>
      </w:r>
    </w:p>
    <w:p w:rsidR="00927103" w:rsidRPr="00927103" w:rsidRDefault="00927103" w:rsidP="00927103">
      <w:pPr>
        <w:pStyle w:val="SingleTxt"/>
      </w:pPr>
      <w:r>
        <w:tab/>
      </w:r>
      <w:r w:rsidRPr="00927103">
        <w:t>В ознаменование Международного дня защиты прав женщин правител</w:t>
      </w:r>
      <w:r w:rsidRPr="00927103">
        <w:t>ь</w:t>
      </w:r>
      <w:r w:rsidRPr="00927103">
        <w:t>ство организовало проведение ежегодной семидневной кампании в защиту прав женщин для всего населения. В этих информационно-пропагандистских мероприятиях участвовали различные международные и национальные пар</w:t>
      </w:r>
      <w:r w:rsidRPr="00927103">
        <w:t>т</w:t>
      </w:r>
      <w:r w:rsidRPr="00927103">
        <w:t>неры, включая НЦПН, ЮНФПА и ПРООН.</w:t>
      </w:r>
    </w:p>
    <w:p w:rsidR="00927103" w:rsidRPr="00927103" w:rsidRDefault="00927103" w:rsidP="00927103">
      <w:pPr>
        <w:pStyle w:val="SingleTxt"/>
      </w:pPr>
      <w:r>
        <w:tab/>
      </w:r>
      <w:r w:rsidRPr="00927103">
        <w:t>Для того чтобы привлечь больше мужчин к участию в борьбе с насилием в отношении женщин, НКГР под патронатом президента Монголии и в пар</w:t>
      </w:r>
      <w:r w:rsidRPr="00927103">
        <w:t>т</w:t>
      </w:r>
      <w:r w:rsidRPr="00927103">
        <w:t>нерстве с Министерством развития и социальной защиты населения и Мин</w:t>
      </w:r>
      <w:r w:rsidRPr="00927103">
        <w:t>и</w:t>
      </w:r>
      <w:r w:rsidRPr="00927103">
        <w:t xml:space="preserve">стерством здравоохранения организовали в 2013 году Национальный форум под названием </w:t>
      </w:r>
      <w:r>
        <w:t>«</w:t>
      </w:r>
      <w:r w:rsidRPr="00927103">
        <w:t>Роль мужчин в процессе развития</w:t>
      </w:r>
      <w:r>
        <w:t>»</w:t>
      </w:r>
      <w:r w:rsidRPr="00927103">
        <w:t>, на котором одной из с</w:t>
      </w:r>
      <w:r w:rsidRPr="00927103">
        <w:t>а</w:t>
      </w:r>
      <w:r w:rsidRPr="00927103">
        <w:t>мых главных тем в повестке дня была борьба с насилием в семье.</w:t>
      </w:r>
    </w:p>
    <w:p w:rsidR="00927103" w:rsidRPr="00927103" w:rsidRDefault="00927103" w:rsidP="00927103">
      <w:pPr>
        <w:pStyle w:val="SingleTxt"/>
      </w:pPr>
      <w:r>
        <w:tab/>
      </w:r>
      <w:r w:rsidRPr="00927103">
        <w:t>В результате общественных дебатов и обсуждений, состоявшихся в 1999–2008 годах, в 2008 году был отменен перечень работ, которыми женщинам б</w:t>
      </w:r>
      <w:r w:rsidRPr="00927103">
        <w:t>ы</w:t>
      </w:r>
      <w:r w:rsidRPr="00927103">
        <w:t>ло запрещено заниматься; согласно перечню, в соответствии с Кодексом зак</w:t>
      </w:r>
      <w:r w:rsidRPr="00927103">
        <w:t>о</w:t>
      </w:r>
      <w:r w:rsidRPr="00927103">
        <w:t>нов о труде 1999 года, женщинам в прошлом воспрещалось выполнять опред</w:t>
      </w:r>
      <w:r w:rsidRPr="00927103">
        <w:t>е</w:t>
      </w:r>
      <w:r w:rsidRPr="00927103">
        <w:t xml:space="preserve">ленные виды работ, связанные с физической нагрузкой. Этот перечень поощрял </w:t>
      </w:r>
      <w:r>
        <w:t>«</w:t>
      </w:r>
      <w:r w:rsidRPr="00927103">
        <w:t>позитивную дискриминацию</w:t>
      </w:r>
      <w:r>
        <w:t>»</w:t>
      </w:r>
      <w:r w:rsidRPr="00927103">
        <w:t xml:space="preserve"> в отношении женщин и ограничивал их поте</w:t>
      </w:r>
      <w:r w:rsidRPr="00927103">
        <w:t>н</w:t>
      </w:r>
      <w:r w:rsidRPr="00927103">
        <w:t>циал и возможности работать, например, в горнодобывающем секторе, где з</w:t>
      </w:r>
      <w:r w:rsidRPr="00927103">
        <w:t>а</w:t>
      </w:r>
      <w:r w:rsidRPr="00927103">
        <w:t>работная плата, как правило, гораздо выше.</w:t>
      </w:r>
    </w:p>
    <w:p w:rsidR="00927103" w:rsidRPr="00927103" w:rsidRDefault="00927103" w:rsidP="00927103">
      <w:pPr>
        <w:pStyle w:val="SingleTxt"/>
      </w:pPr>
      <w:r>
        <w:tab/>
      </w:r>
      <w:r w:rsidRPr="00927103">
        <w:t>В применяемом в настоящее время законодательстве, например в Законе о семье и Законе о труде, есть положения, в которых стереотипно представлена или подчеркивается роль женщин в воспитании детей и их ответственность за это. Поэтому в составляемых в настоящее время вариантах новых скоррект</w:t>
      </w:r>
      <w:r w:rsidRPr="00927103">
        <w:t>и</w:t>
      </w:r>
      <w:r w:rsidRPr="00927103">
        <w:t>рованных законов упор делается на равные обязанности и роли родителей в воспитании детей.</w:t>
      </w:r>
    </w:p>
    <w:p w:rsidR="00927103" w:rsidRPr="00927103" w:rsidRDefault="00927103" w:rsidP="00927103">
      <w:pPr>
        <w:pStyle w:val="SingleTxt"/>
      </w:pPr>
      <w:r>
        <w:tab/>
      </w:r>
      <w:r w:rsidRPr="00927103">
        <w:t>Для того чтобы включить основную концепцию и принципы прав челов</w:t>
      </w:r>
      <w:r w:rsidRPr="00927103">
        <w:t>е</w:t>
      </w:r>
      <w:r w:rsidRPr="00927103">
        <w:t xml:space="preserve">ка и гендерного равенства в учебные программы образовательных учреждений всех уровней, с 2014/15 учебного года в учебные программы университетов и колледжей вводится новая система зачетных единиц, при которой у студентов будет возможность выбрать </w:t>
      </w:r>
      <w:r>
        <w:t>«</w:t>
      </w:r>
      <w:r w:rsidRPr="00927103">
        <w:t>курс гендерной проблематики</w:t>
      </w:r>
      <w:r>
        <w:t>»</w:t>
      </w:r>
      <w:r w:rsidRPr="00927103">
        <w:t>.</w:t>
      </w:r>
    </w:p>
    <w:p w:rsidR="00927103" w:rsidRDefault="00927103" w:rsidP="00927103">
      <w:pPr>
        <w:pStyle w:val="SingleTxt"/>
      </w:pPr>
      <w:r>
        <w:tab/>
      </w:r>
      <w:r w:rsidRPr="00927103">
        <w:t xml:space="preserve">Помимо проведения вышеупомянутых мероприятий в целях разрушения общепринятого необъективного стереотипа в отношении обязанностей мужчин и женщин, а также дискриминации в отношении женщин, предстоит еще много сделать в плане улучшения соответствующих стратегий, программ и планов действий, укрепления потенциала экспертов и институтов, систематического проведения анализа и оценки, мобилизации средств и выделения бюджетных ассигнований, а также определения конкретной </w:t>
      </w:r>
      <w:r>
        <w:t>«</w:t>
      </w:r>
      <w:r w:rsidRPr="00927103">
        <w:t>культурной</w:t>
      </w:r>
      <w:r>
        <w:t>»</w:t>
      </w:r>
      <w:r w:rsidRPr="00927103">
        <w:t xml:space="preserve"> политики.</w:t>
      </w:r>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19" w:name="_Toc413159910"/>
      <w:r w:rsidRPr="00927103">
        <w:t>1.3.</w:t>
      </w:r>
      <w:r w:rsidRPr="00927103">
        <w:tab/>
        <w:t>Меры по предупреждению и пресечению всех видов торговли женщинами и детьми и эксплуатации женщин в рамках проституции</w:t>
      </w:r>
      <w:bookmarkEnd w:id="19"/>
    </w:p>
    <w:p w:rsidR="00927103" w:rsidRPr="00927103" w:rsidRDefault="00927103" w:rsidP="00927103">
      <w:pPr>
        <w:pStyle w:val="SingleTxt"/>
        <w:spacing w:after="0" w:line="120" w:lineRule="exact"/>
        <w:rPr>
          <w:sz w:val="10"/>
        </w:rPr>
      </w:pPr>
    </w:p>
    <w:p w:rsidR="00927103" w:rsidRDefault="00927103" w:rsidP="00927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rPr>
          <w:b/>
        </w:rPr>
        <w:tab/>
      </w:r>
      <w:r w:rsidRPr="00927103">
        <w:rPr>
          <w:b/>
        </w:rPr>
        <w:tab/>
      </w:r>
      <w:bookmarkStart w:id="20" w:name="_Toc413159911"/>
      <w:r w:rsidRPr="00927103">
        <w:t>(Статья 6)</w:t>
      </w:r>
      <w:bookmarkEnd w:id="20"/>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В 2005 году правительство Монголии приняло Национальную программу, которая обеспечивает недопущение торговли всеми гражданами вообще и з</w:t>
      </w:r>
      <w:r w:rsidRPr="00927103">
        <w:t>а</w:t>
      </w:r>
      <w:r w:rsidRPr="00927103">
        <w:t>щиту женщин и детей от сексуальной эксплуатации. В дополнение к этой Национальной программе в 2012 году парламент принял Закон о борьбе с то</w:t>
      </w:r>
      <w:r w:rsidRPr="00927103">
        <w:t>р</w:t>
      </w:r>
      <w:r w:rsidRPr="00927103">
        <w:t>говлей людьми, который запрещает все формы эксплуатации женщин и детей и то</w:t>
      </w:r>
      <w:r w:rsidRPr="00927103">
        <w:t>р</w:t>
      </w:r>
      <w:r w:rsidRPr="00927103">
        <w:t>говлю людьми. В 2008 году Монголия присоединилась к Конвенции против транснациональной организованной преступности и Протоколу о предупр</w:t>
      </w:r>
      <w:r w:rsidRPr="00927103">
        <w:t>е</w:t>
      </w:r>
      <w:r w:rsidRPr="00927103">
        <w:t>ждении и пресечении торговли людьми, особенно женщинами и детьми, и наказании за нее.</w:t>
      </w:r>
    </w:p>
    <w:p w:rsidR="00927103" w:rsidRPr="00927103" w:rsidRDefault="00927103" w:rsidP="00927103">
      <w:pPr>
        <w:pStyle w:val="SingleTxt"/>
      </w:pPr>
      <w:r>
        <w:tab/>
      </w:r>
      <w:r w:rsidRPr="00927103">
        <w:t xml:space="preserve">В 2013 году в соответствии с Постановлением № 58 Национальный совет по стандартизации издал </w:t>
      </w:r>
      <w:r>
        <w:t>«</w:t>
      </w:r>
      <w:r w:rsidRPr="00927103">
        <w:t>Общие нормы предоставления социальных услуг жертвам торговли людьми</w:t>
      </w:r>
      <w:r>
        <w:t>»</w:t>
      </w:r>
      <w:r w:rsidRPr="00927103">
        <w:t>. Цель этих новых норм состоит в оказании пом</w:t>
      </w:r>
      <w:r w:rsidRPr="00927103">
        <w:t>о</w:t>
      </w:r>
      <w:r w:rsidRPr="00927103">
        <w:t>щи и удовлетворении потребностей жертв торговли людьми в необходимых соц</w:t>
      </w:r>
      <w:r w:rsidRPr="00927103">
        <w:t>и</w:t>
      </w:r>
      <w:r w:rsidRPr="00927103">
        <w:t xml:space="preserve">альных услугах, а также улучшении качества этих услуг. Соответствующие процедуры по </w:t>
      </w:r>
      <w:r>
        <w:t>«</w:t>
      </w:r>
      <w:r w:rsidRPr="00927103">
        <w:t>комплексной защите и оказанию услуг по уходу для жертв то</w:t>
      </w:r>
      <w:r w:rsidRPr="00927103">
        <w:t>р</w:t>
      </w:r>
      <w:r w:rsidRPr="00927103">
        <w:t>говли людьми</w:t>
      </w:r>
      <w:r>
        <w:t>»</w:t>
      </w:r>
      <w:r w:rsidRPr="00927103">
        <w:t xml:space="preserve"> опубликованы в Постановлении </w:t>
      </w:r>
      <w:hyperlink r:id="rId17" w:history="1">
        <w:r w:rsidRPr="00064820">
          <w:rPr>
            <w:rStyle w:val="Hyperlink"/>
          </w:rPr>
          <w:t>А/93</w:t>
        </w:r>
      </w:hyperlink>
      <w:r w:rsidRPr="00927103">
        <w:t xml:space="preserve"> в 2013 году.</w:t>
      </w:r>
    </w:p>
    <w:p w:rsidR="00927103" w:rsidRPr="00927103" w:rsidRDefault="00927103" w:rsidP="00927103">
      <w:pPr>
        <w:pStyle w:val="SingleTxt"/>
      </w:pPr>
      <w:r>
        <w:tab/>
      </w:r>
      <w:r w:rsidRPr="00927103">
        <w:t>Согласно данным исследования, проведенного Департаментом по борьбе с организованной преступностью, за последние 8 лет (2006–2013 годы) было зарегистрировано 95 случаев торговли людьми, в которых пострадали 226 человек. За последние 12 лет (2003–2014 годы), по данным Центра по в</w:t>
      </w:r>
      <w:r w:rsidRPr="00927103">
        <w:t>о</w:t>
      </w:r>
      <w:r w:rsidRPr="00927103">
        <w:t>просам гендерного равенства (НПО), всего жертвами торговли людьми стали 554 человека. Хотя в раскрытии преступлений, связанных с торговлей людьми, с последующим вынесением соответствующих судебных решений наметился определенный прогресс, преступления такого рода все еще являются трудно раскрыва</w:t>
      </w:r>
      <w:r w:rsidRPr="00927103">
        <w:t>е</w:t>
      </w:r>
      <w:r w:rsidRPr="00927103">
        <w:t xml:space="preserve">мыми из-за транснационального характера. Данное НПО сообщило в качестве примера о следующем случае: </w:t>
      </w:r>
      <w:r>
        <w:t>«</w:t>
      </w:r>
      <w:r w:rsidRPr="00927103">
        <w:t>В 2009 году некто П. по прозвищу Джиджи в составе банды похитил несколько девушек и посредством запугив</w:t>
      </w:r>
      <w:r w:rsidRPr="00927103">
        <w:t>а</w:t>
      </w:r>
      <w:r w:rsidRPr="00927103">
        <w:t>ния и угроз заставлял их заниматься проституцией в арендованных комнатах в квартирах и номерах в гостиницах. Четверо из этих преступников были пр</w:t>
      </w:r>
      <w:r w:rsidRPr="00927103">
        <w:t>и</w:t>
      </w:r>
      <w:r w:rsidRPr="00927103">
        <w:t>влечены к уг</w:t>
      </w:r>
      <w:r w:rsidRPr="00927103">
        <w:t>о</w:t>
      </w:r>
      <w:r w:rsidRPr="00927103">
        <w:t>ловной ответственности</w:t>
      </w:r>
      <w:r>
        <w:t>»</w:t>
      </w:r>
      <w:r w:rsidRPr="00927103">
        <w:t>.</w:t>
      </w:r>
    </w:p>
    <w:p w:rsidR="00927103" w:rsidRPr="00927103" w:rsidRDefault="00927103" w:rsidP="00927103">
      <w:pPr>
        <w:pStyle w:val="SingleTxt"/>
      </w:pPr>
      <w:r>
        <w:tab/>
      </w:r>
      <w:r w:rsidRPr="00927103">
        <w:t>Правительство прилагает усилия по ликвидации всех видов торговли и сексуальной эксплуатации женщин и детей посредством улучшения нормати</w:t>
      </w:r>
      <w:r w:rsidRPr="00927103">
        <w:t>в</w:t>
      </w:r>
      <w:r w:rsidRPr="00927103">
        <w:t>ной базы и укрепления национального потенциала по предупреждению, борьбе и пресечению торговли людьми, а также защите жертв торговли людьми.</w:t>
      </w:r>
    </w:p>
    <w:p w:rsidR="00927103" w:rsidRPr="00927103" w:rsidRDefault="00927103" w:rsidP="00927103">
      <w:pPr>
        <w:pStyle w:val="SingleTxt"/>
      </w:pPr>
      <w:r>
        <w:tab/>
      </w:r>
      <w:r w:rsidRPr="00927103">
        <w:t>В сотрудничестве с основными заинтересованными сторонами, предста</w:t>
      </w:r>
      <w:r w:rsidRPr="00927103">
        <w:t>в</w:t>
      </w:r>
      <w:r w:rsidRPr="00927103">
        <w:t>ляющими различные организации гражданского общества и международные организации, правительство провело с использованием СМИ и различных учреждений кампании по информированию общественности о предупрежд</w:t>
      </w:r>
      <w:r w:rsidRPr="00927103">
        <w:t>е</w:t>
      </w:r>
      <w:r>
        <w:t>нии торговли людьми.</w:t>
      </w:r>
    </w:p>
    <w:p w:rsidR="00927103" w:rsidRPr="00927103" w:rsidRDefault="00927103" w:rsidP="00927103">
      <w:pPr>
        <w:pStyle w:val="SingleTxt"/>
      </w:pPr>
      <w:r>
        <w:tab/>
      </w:r>
      <w:r w:rsidRPr="00927103">
        <w:t>В соответствии с Законом о борьбе с торговлей людьми Министерство юстиции создало подкомитет, в котором представлены государственные орг</w:t>
      </w:r>
      <w:r w:rsidRPr="00927103">
        <w:t>а</w:t>
      </w:r>
      <w:r w:rsidRPr="00927103">
        <w:t>низации и организации гражданского общества, и, кроме того, при Отделе уг</w:t>
      </w:r>
      <w:r w:rsidRPr="00927103">
        <w:t>о</w:t>
      </w:r>
      <w:r w:rsidRPr="00927103">
        <w:t>ловного розыска Главного полицейского управления было создано специальное подразделение по борьбе с торговлей людьми.</w:t>
      </w:r>
    </w:p>
    <w:p w:rsidR="00927103" w:rsidRPr="00927103" w:rsidRDefault="00927103" w:rsidP="00927103">
      <w:pPr>
        <w:pStyle w:val="SingleTxt"/>
      </w:pPr>
      <w:r>
        <w:tab/>
      </w:r>
      <w:r w:rsidRPr="00927103">
        <w:t>Десять лет назад только несколько НПО работали над проблемами, св</w:t>
      </w:r>
      <w:r w:rsidRPr="00927103">
        <w:t>я</w:t>
      </w:r>
      <w:r w:rsidRPr="00927103">
        <w:t>занными с торговлей людьми, в настоящее время этим вопросом занимаются более 30 НПО и 12 донорских организаций. Две из этих организаций специ</w:t>
      </w:r>
      <w:r w:rsidRPr="00927103">
        <w:t>а</w:t>
      </w:r>
      <w:r w:rsidRPr="00927103">
        <w:t>лизируются на предотвращении торговли людьми, пять предоставляют юрид</w:t>
      </w:r>
      <w:r w:rsidRPr="00927103">
        <w:t>и</w:t>
      </w:r>
      <w:r w:rsidRPr="00927103">
        <w:t>ческие ко</w:t>
      </w:r>
      <w:r w:rsidRPr="00927103">
        <w:t>н</w:t>
      </w:r>
      <w:r w:rsidRPr="00927103">
        <w:t>сультации и более десяти из них предоставляют услуги по обучению и нар</w:t>
      </w:r>
      <w:r w:rsidRPr="00927103">
        <w:t>а</w:t>
      </w:r>
      <w:r w:rsidRPr="00927103">
        <w:t>щиванию потенциала.</w:t>
      </w:r>
    </w:p>
    <w:p w:rsidR="00927103" w:rsidRPr="00927103" w:rsidRDefault="00927103" w:rsidP="00927103">
      <w:pPr>
        <w:pStyle w:val="SingleTxt"/>
      </w:pPr>
      <w:r>
        <w:tab/>
      </w:r>
      <w:r w:rsidRPr="00927103">
        <w:t>В течение первой половины 2014 года правительству Монголии, Мин</w:t>
      </w:r>
      <w:r w:rsidRPr="00927103">
        <w:t>и</w:t>
      </w:r>
      <w:r w:rsidRPr="00927103">
        <w:t>стерству иностранных дел, Разведывательной службе Монголии, Центру по в</w:t>
      </w:r>
      <w:r w:rsidRPr="00927103">
        <w:t>о</w:t>
      </w:r>
      <w:r w:rsidRPr="00927103">
        <w:t>просам гендерного равенства (НПО) удалось вернуть на родину из-за рубежа 36 женщин</w:t>
      </w:r>
      <w:r>
        <w:t>-</w:t>
      </w:r>
      <w:r w:rsidRPr="00927103">
        <w:t>жертв торговли людьми и пострадавших от насилия в семье. Расх</w:t>
      </w:r>
      <w:r w:rsidRPr="00927103">
        <w:t>о</w:t>
      </w:r>
      <w:r w:rsidRPr="00927103">
        <w:t>ды на эти действия взял на себя Фонд помощи отдельным гражданам. В 2013 году бюджет этого фонда составлял 280 млн. монгольских тугриков, а на 2014 год был утвержден бюджет только на 224 млн. монгольских тугриков.</w:t>
      </w:r>
    </w:p>
    <w:p w:rsidR="00927103" w:rsidRPr="00927103" w:rsidRDefault="00927103" w:rsidP="00927103">
      <w:pPr>
        <w:pStyle w:val="SingleTxt"/>
      </w:pPr>
      <w:r>
        <w:tab/>
      </w:r>
      <w:r w:rsidRPr="00927103">
        <w:t>Министерство юстиции организовало ряд программ по борьбе с торго</w:t>
      </w:r>
      <w:r w:rsidRPr="00927103">
        <w:t>в</w:t>
      </w:r>
      <w:r w:rsidRPr="00927103">
        <w:t xml:space="preserve">лей людьми, предназначенных для обучения сотрудников полиции, а также начало исследование под названием </w:t>
      </w:r>
      <w:r>
        <w:t>«</w:t>
      </w:r>
      <w:r w:rsidRPr="00927103">
        <w:t>Причины и условия, способствующие торговле людьми, и ее предупреждение</w:t>
      </w:r>
      <w:r>
        <w:t>»</w:t>
      </w:r>
      <w:r w:rsidRPr="00927103">
        <w:t>.</w:t>
      </w:r>
    </w:p>
    <w:p w:rsidR="00927103" w:rsidRPr="00927103" w:rsidRDefault="00927103" w:rsidP="00927103">
      <w:pPr>
        <w:pStyle w:val="SingleTxt"/>
      </w:pPr>
      <w:r>
        <w:br w:type="page"/>
      </w:r>
      <w:r>
        <w:tab/>
      </w:r>
      <w:r w:rsidRPr="00927103">
        <w:t>В 2010 году правительство Монголии и руководство Специального адм</w:t>
      </w:r>
      <w:r w:rsidRPr="00927103">
        <w:t>и</w:t>
      </w:r>
      <w:r w:rsidRPr="00927103">
        <w:t>нистративного района Китая Макао подписали Соглашение о сотрудничестве в борьбе с торговлей людьми. Это даст возможность создать функциональный механизм обмена информацией по проблемам торговли людьми. С 2011 года на уровне консульств Российской Федерации, Китайский Народной Республики, Республики Корея, Республики Казахстан и Турецкой Республики проводятся ежегодные консультативные совещания для обсуждения вопросов, касающихся торговли людьми, транспортировки наркотиков и организованной преступн</w:t>
      </w:r>
      <w:r w:rsidRPr="00927103">
        <w:t>о</w:t>
      </w:r>
      <w:r w:rsidRPr="00927103">
        <w:t>сти, обмена информацией/данными, обеспечения поддержки и сотрудничества в рамках согласованной правовой основы, а также оценки результатов деятел</w:t>
      </w:r>
      <w:r w:rsidRPr="00927103">
        <w:t>ь</w:t>
      </w:r>
      <w:r w:rsidRPr="00927103">
        <w:t>ности по этому соглашению.</w:t>
      </w:r>
    </w:p>
    <w:p w:rsidR="00927103" w:rsidRPr="00927103" w:rsidRDefault="00927103" w:rsidP="00927103">
      <w:pPr>
        <w:pStyle w:val="SingleTxt"/>
      </w:pPr>
      <w:r>
        <w:tab/>
      </w:r>
      <w:r w:rsidRPr="00927103">
        <w:t>За последние 10 лет национальные НПО эффективно сотрудничали с з</w:t>
      </w:r>
      <w:r w:rsidRPr="00927103">
        <w:t>а</w:t>
      </w:r>
      <w:r w:rsidRPr="00927103">
        <w:t>интересованными международными организациями в борьбе с торговлей людьми. С 2006 года в Центре по вопросам гендерного равенства (НПО) при поддержке Азиатского фонда действует горячая линия – 1903. Эта служба предоставляет информацию, относящуюся к вопросам торговли людьми, ко</w:t>
      </w:r>
      <w:r w:rsidRPr="00927103">
        <w:t>н</w:t>
      </w:r>
      <w:r w:rsidRPr="00927103">
        <w:t>сультированию жертв торговли людьми, а также сотрудничеству с правоохр</w:t>
      </w:r>
      <w:r w:rsidRPr="00927103">
        <w:t>а</w:t>
      </w:r>
      <w:r w:rsidRPr="00927103">
        <w:t>нительными органами в случаях торговли людьми на внутреннем и междун</w:t>
      </w:r>
      <w:r w:rsidRPr="00927103">
        <w:t>а</w:t>
      </w:r>
      <w:r w:rsidRPr="00927103">
        <w:t>родном уровнях. Центр исследования безопасности человека (НПО) при ф</w:t>
      </w:r>
      <w:r w:rsidRPr="00927103">
        <w:t>и</w:t>
      </w:r>
      <w:r w:rsidRPr="00927103">
        <w:t>нансовой поддержке Швейцарского агентства в поддержку развития и сотру</w:t>
      </w:r>
      <w:r w:rsidRPr="00927103">
        <w:t>д</w:t>
      </w:r>
      <w:r w:rsidRPr="00927103">
        <w:t>ничества создал в Улан-Баторе и Замын-Уудэ (поселение на границе с Китаем) приюты для жертв торговли людьми и обеспечивает их психологическое ко</w:t>
      </w:r>
      <w:r w:rsidRPr="00927103">
        <w:t>н</w:t>
      </w:r>
      <w:r w:rsidRPr="00927103">
        <w:t>сультирование. Эта НПО активно участвовала в подготовке и лоббировании З</w:t>
      </w:r>
      <w:r w:rsidRPr="00927103">
        <w:t>а</w:t>
      </w:r>
      <w:r w:rsidRPr="00927103">
        <w:t>кона о борьбе с торговлей людьми, и это одно из лучших партнерств между государством и гра</w:t>
      </w:r>
      <w:r w:rsidRPr="00927103">
        <w:t>ж</w:t>
      </w:r>
      <w:r w:rsidRPr="00927103">
        <w:t>данским обществом в целях развития.</w:t>
      </w:r>
    </w:p>
    <w:p w:rsidR="00927103" w:rsidRDefault="00927103" w:rsidP="00927103">
      <w:pPr>
        <w:pStyle w:val="SingleTxt"/>
      </w:pPr>
      <w:r>
        <w:tab/>
      </w:r>
      <w:r w:rsidRPr="00927103">
        <w:t>В последнее время было выделено более 7 млн. монгольских тугриков для обеспечения правовой поддержки и оказания услуг по профессиональной з</w:t>
      </w:r>
      <w:r w:rsidRPr="00927103">
        <w:t>а</w:t>
      </w:r>
      <w:r w:rsidRPr="00927103">
        <w:t>щите жертв торговли людьми, а также их нуждающихся семей.</w:t>
      </w:r>
    </w:p>
    <w:p w:rsidR="00927103" w:rsidRPr="00927103" w:rsidRDefault="00927103" w:rsidP="00927103">
      <w:pPr>
        <w:pStyle w:val="SingleTxt"/>
        <w:spacing w:after="0" w:line="120" w:lineRule="exact"/>
        <w:rPr>
          <w:sz w:val="10"/>
        </w:rPr>
      </w:pPr>
    </w:p>
    <w:p w:rsidR="00927103" w:rsidRPr="00927103" w:rsidRDefault="00927103" w:rsidP="00927103">
      <w:pPr>
        <w:pStyle w:val="SingleTxt"/>
        <w:spacing w:after="0" w:line="120" w:lineRule="exact"/>
        <w:rPr>
          <w:sz w:val="10"/>
        </w:rPr>
      </w:pPr>
    </w:p>
    <w:p w:rsidR="00927103" w:rsidRDefault="00927103" w:rsidP="009271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r w:rsidRPr="00927103">
        <w:tab/>
      </w:r>
      <w:bookmarkStart w:id="21" w:name="_Toc413159912"/>
      <w:r w:rsidRPr="00927103">
        <w:t>Часть 2</w:t>
      </w:r>
      <w:bookmarkEnd w:id="21"/>
    </w:p>
    <w:p w:rsidR="00927103" w:rsidRPr="00927103" w:rsidRDefault="00927103" w:rsidP="00927103">
      <w:pPr>
        <w:pStyle w:val="SingleTxt"/>
        <w:spacing w:after="0" w:line="120" w:lineRule="exact"/>
        <w:rPr>
          <w:sz w:val="10"/>
        </w:rPr>
      </w:pPr>
    </w:p>
    <w:p w:rsid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tab/>
      </w:r>
      <w:bookmarkStart w:id="22" w:name="_Toc413159913"/>
      <w:r w:rsidRPr="00927103">
        <w:t>2.1.</w:t>
      </w:r>
      <w:r w:rsidRPr="00927103">
        <w:tab/>
        <w:t>Обеспечение равного участия женщин и мужчин в политической и общественной жизни страны</w:t>
      </w:r>
      <w:bookmarkEnd w:id="22"/>
    </w:p>
    <w:p w:rsidR="00927103" w:rsidRPr="00927103" w:rsidRDefault="00927103" w:rsidP="00927103">
      <w:pPr>
        <w:pStyle w:val="SingleTxt"/>
        <w:spacing w:after="0" w:line="120" w:lineRule="exact"/>
        <w:rPr>
          <w:sz w:val="10"/>
        </w:rPr>
      </w:pPr>
    </w:p>
    <w:p w:rsidR="00927103" w:rsidRDefault="00927103" w:rsidP="00927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7103">
        <w:rPr>
          <w:b/>
        </w:rPr>
        <w:tab/>
      </w:r>
      <w:r w:rsidRPr="00927103">
        <w:rPr>
          <w:b/>
        </w:rPr>
        <w:tab/>
      </w:r>
      <w:bookmarkStart w:id="23" w:name="_Toc413159914"/>
      <w:r w:rsidRPr="00927103">
        <w:t>(Статьи 7 и 8)</w:t>
      </w:r>
      <w:bookmarkEnd w:id="23"/>
    </w:p>
    <w:p w:rsidR="00927103" w:rsidRPr="00927103" w:rsidRDefault="00927103" w:rsidP="00927103">
      <w:pPr>
        <w:pStyle w:val="SingleTxt"/>
        <w:spacing w:after="0" w:line="120" w:lineRule="exact"/>
        <w:rPr>
          <w:sz w:val="10"/>
        </w:rPr>
      </w:pPr>
    </w:p>
    <w:p w:rsidR="00927103" w:rsidRPr="00927103" w:rsidRDefault="00927103" w:rsidP="00927103">
      <w:pPr>
        <w:pStyle w:val="SingleTxt"/>
      </w:pPr>
      <w:r>
        <w:tab/>
      </w:r>
      <w:r w:rsidRPr="00927103">
        <w:t>Закон о поощрении гендерного равенства (ЗПГР) запрещает дискримин</w:t>
      </w:r>
      <w:r w:rsidRPr="00927103">
        <w:t>а</w:t>
      </w:r>
      <w:r w:rsidRPr="00927103">
        <w:t>цию по признаку пола в политической и общественной жизни.</w:t>
      </w:r>
    </w:p>
    <w:p w:rsidR="00927103" w:rsidRPr="00927103" w:rsidRDefault="00927103" w:rsidP="00927103">
      <w:pPr>
        <w:pStyle w:val="SingleTxt"/>
      </w:pPr>
      <w:r>
        <w:tab/>
      </w:r>
      <w:r w:rsidRPr="00927103">
        <w:t>Политической системой Монголии является парламентская демократия, при которой каждый гражданин обладает правом избирать и быть избранным. Народ может осуществлять государственную власть либо путем непосре</w:t>
      </w:r>
      <w:r w:rsidRPr="00927103">
        <w:t>д</w:t>
      </w:r>
      <w:r w:rsidRPr="00927103">
        <w:t>ственного участия в деятельности государства, либо через избранные им орг</w:t>
      </w:r>
      <w:r w:rsidRPr="00927103">
        <w:t>а</w:t>
      </w:r>
      <w:r w:rsidRPr="00927103">
        <w:t>ны представительной власти. Люди имеют право на добровольной основе с</w:t>
      </w:r>
      <w:r w:rsidRPr="00927103">
        <w:t>о</w:t>
      </w:r>
      <w:r w:rsidRPr="00927103">
        <w:t>здавать неправительственные и другие организации.</w:t>
      </w:r>
    </w:p>
    <w:p w:rsidR="00927103" w:rsidRPr="00927103" w:rsidRDefault="00927103" w:rsidP="00927103">
      <w:pPr>
        <w:pStyle w:val="SingleTxt"/>
      </w:pPr>
      <w:r>
        <w:tab/>
      </w:r>
      <w:r w:rsidRPr="00927103">
        <w:t>Хотя участие женщин в экономической, социальной и политической жи</w:t>
      </w:r>
      <w:r w:rsidRPr="00927103">
        <w:t>з</w:t>
      </w:r>
      <w:r w:rsidRPr="00927103">
        <w:t>ни за последние 10 лет значительно возросло, доля их участия в процессе пр</w:t>
      </w:r>
      <w:r w:rsidRPr="00927103">
        <w:t>и</w:t>
      </w:r>
      <w:r w:rsidRPr="00927103">
        <w:t>нятия решений все еще остается низкой. Правительство Монголии приняло на себя обязательство к 2015 году расширить до 30 процентов участие женщин в процессе принятия решений (ЦРТ 3). В 2011 году в рамках достижения этой цели в Законе Монголии о парламентских выборах (статья 27.2) было пред</w:t>
      </w:r>
      <w:r w:rsidRPr="00927103">
        <w:t>у</w:t>
      </w:r>
      <w:r w:rsidRPr="00927103">
        <w:t xml:space="preserve">смотрено, что </w:t>
      </w:r>
      <w:r>
        <w:t>«</w:t>
      </w:r>
      <w:r w:rsidRPr="00927103">
        <w:t>женщины должны составлять не менее 20 процентов всех ка</w:t>
      </w:r>
      <w:r w:rsidRPr="00927103">
        <w:t>н</w:t>
      </w:r>
      <w:r w:rsidRPr="00927103">
        <w:t>дидатов, выдвинутых политическими партиями и объединениями</w:t>
      </w:r>
      <w:r>
        <w:t>»</w:t>
      </w:r>
      <w:r w:rsidRPr="00927103">
        <w:t>. В результ</w:t>
      </w:r>
      <w:r w:rsidRPr="00927103">
        <w:t>а</w:t>
      </w:r>
      <w:r w:rsidRPr="00927103">
        <w:t>те на выборах в парламент в 2012 году женщины составили 32 процента всех выдвинутых кандидатов и в настоящее время составляют 14,47 процента всех избранных членов Великого Государственно Хурала.</w:t>
      </w:r>
    </w:p>
    <w:p w:rsidR="00927103" w:rsidRDefault="00927103" w:rsidP="00927103">
      <w:pPr>
        <w:pStyle w:val="SingleTxt"/>
      </w:pPr>
      <w:r>
        <w:tab/>
      </w:r>
      <w:r w:rsidRPr="00927103">
        <w:t>Пересмотренный Закон о выборах внес свой заметный вклад</w:t>
      </w:r>
      <w:r>
        <w:t xml:space="preserve"> — </w:t>
      </w:r>
      <w:r w:rsidRPr="00927103">
        <w:t>из 76 членов парламента, избранных на период с 2012 по 2016 год, 11 законо</w:t>
      </w:r>
      <w:r>
        <w:softHyphen/>
      </w:r>
      <w:r w:rsidRPr="00927103">
        <w:t>дателей являются женщинами. Женщины-парламентарии образовали свою фракцию в вы</w:t>
      </w:r>
      <w:r w:rsidRPr="00927103">
        <w:t>с</w:t>
      </w:r>
      <w:r w:rsidRPr="00927103">
        <w:t>шем органе власти.</w:t>
      </w:r>
    </w:p>
    <w:p w:rsidR="00927103" w:rsidRPr="00927103" w:rsidRDefault="00927103" w:rsidP="00927103">
      <w:pPr>
        <w:pStyle w:val="SingleTxt"/>
        <w:spacing w:after="0" w:line="120" w:lineRule="exact"/>
        <w:rPr>
          <w:sz w:val="10"/>
        </w:rPr>
      </w:pPr>
    </w:p>
    <w:p w:rsidR="00927103" w:rsidRDefault="00927103" w:rsidP="0092710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27103">
        <w:t>Рисунок 1</w:t>
      </w:r>
    </w:p>
    <w:p w:rsidR="00927103" w:rsidRPr="00927103" w:rsidRDefault="00927103" w:rsidP="009271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27103">
        <w:t>Доля женщин-парламентариев (в процентах)</w:t>
      </w:r>
    </w:p>
    <w:p w:rsidR="007244B5" w:rsidRPr="00927103" w:rsidRDefault="007244B5" w:rsidP="00927103">
      <w:pPr>
        <w:pStyle w:val="SingleTxt"/>
        <w:spacing w:after="0" w:line="120" w:lineRule="exact"/>
        <w:rPr>
          <w:sz w:val="10"/>
        </w:rPr>
      </w:pPr>
    </w:p>
    <w:p w:rsidR="00927103" w:rsidRPr="00927103" w:rsidRDefault="00927103" w:rsidP="00927103">
      <w:pPr>
        <w:pStyle w:val="SingleTxt"/>
        <w:spacing w:after="0" w:line="120" w:lineRule="exact"/>
        <w:rPr>
          <w:sz w:val="10"/>
        </w:rPr>
      </w:pPr>
    </w:p>
    <w:p w:rsidR="00927103" w:rsidRDefault="00927103" w:rsidP="0092710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Периоды избрания</w:t>
      </w:r>
    </w:p>
    <w:p w:rsidR="00927103" w:rsidRPr="00927103" w:rsidRDefault="00927103" w:rsidP="00927103">
      <w:pPr>
        <w:pStyle w:val="SingleTxt"/>
        <w:spacing w:after="0" w:line="120" w:lineRule="exact"/>
        <w:rPr>
          <w:sz w:val="10"/>
        </w:rPr>
      </w:pPr>
    </w:p>
    <w:p w:rsidR="00927103" w:rsidRDefault="00927103" w:rsidP="00A61AB8">
      <w:pPr>
        <w:pStyle w:val="SingleTxt"/>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45pt;margin-top:2.6pt;width:428.9pt;height:97.1pt;z-index:1">
            <v:imagedata r:id="rId18" o:title=""/>
          </v:shape>
        </w:pict>
      </w:r>
    </w:p>
    <w:p w:rsidR="00927103" w:rsidRDefault="00927103" w:rsidP="00A61AB8">
      <w:pPr>
        <w:pStyle w:val="SingleTxt"/>
      </w:pPr>
    </w:p>
    <w:p w:rsidR="00927103" w:rsidRDefault="00927103" w:rsidP="00A61AB8">
      <w:pPr>
        <w:pStyle w:val="SingleTxt"/>
      </w:pPr>
    </w:p>
    <w:p w:rsidR="00927103" w:rsidRDefault="00927103" w:rsidP="00A61AB8">
      <w:pPr>
        <w:pStyle w:val="SingleTxt"/>
      </w:pPr>
    </w:p>
    <w:p w:rsidR="00927103" w:rsidRDefault="00927103" w:rsidP="00A61AB8">
      <w:pPr>
        <w:pStyle w:val="SingleTxt"/>
      </w:pPr>
    </w:p>
    <w:p w:rsidR="00927103" w:rsidRDefault="00927103" w:rsidP="00A61AB8">
      <w:pPr>
        <w:pStyle w:val="SingleTxt"/>
      </w:pPr>
    </w:p>
    <w:p w:rsidR="00927103" w:rsidRPr="00927103" w:rsidRDefault="00927103" w:rsidP="00927103">
      <w:pPr>
        <w:pStyle w:val="SingleTxt"/>
        <w:spacing w:after="0" w:line="120" w:lineRule="exact"/>
        <w:rPr>
          <w:sz w:val="10"/>
        </w:rPr>
      </w:pPr>
    </w:p>
    <w:p w:rsidR="00927103" w:rsidRDefault="00927103" w:rsidP="00927103">
      <w:pPr>
        <w:pStyle w:val="FootnoteText"/>
        <w:tabs>
          <w:tab w:val="right" w:pos="1476"/>
          <w:tab w:val="left" w:pos="1548"/>
          <w:tab w:val="right" w:pos="1836"/>
          <w:tab w:val="left" w:pos="1908"/>
        </w:tabs>
        <w:ind w:left="1548" w:hanging="288"/>
      </w:pPr>
      <w:r w:rsidRPr="00927103">
        <w:rPr>
          <w:i/>
        </w:rPr>
        <w:t>Источник</w:t>
      </w:r>
      <w:r w:rsidRPr="00A10DDF">
        <w:t>: Главный избирательный комитет, 2012 год.</w:t>
      </w:r>
    </w:p>
    <w:p w:rsidR="00927103" w:rsidRPr="00927103" w:rsidRDefault="00927103" w:rsidP="00927103">
      <w:pPr>
        <w:pStyle w:val="SingleTxt"/>
        <w:spacing w:after="0" w:line="120" w:lineRule="exact"/>
        <w:rPr>
          <w:sz w:val="10"/>
        </w:rPr>
      </w:pPr>
    </w:p>
    <w:p w:rsidR="00927103" w:rsidRPr="00927103" w:rsidRDefault="00927103" w:rsidP="00927103">
      <w:pPr>
        <w:pStyle w:val="SingleTxt"/>
        <w:spacing w:after="0" w:line="120" w:lineRule="exact"/>
        <w:rPr>
          <w:sz w:val="10"/>
        </w:rPr>
      </w:pPr>
    </w:p>
    <w:p w:rsidR="00AB0676" w:rsidRPr="00AB0676" w:rsidRDefault="00AB0676" w:rsidP="00AB0676">
      <w:pPr>
        <w:pStyle w:val="SingleTxt"/>
      </w:pPr>
      <w:r>
        <w:tab/>
      </w:r>
      <w:r w:rsidRPr="00AB0676">
        <w:t>За последние 20 лет постоянные усилия и участие организаций гражда</w:t>
      </w:r>
      <w:r w:rsidRPr="00AB0676">
        <w:t>н</w:t>
      </w:r>
      <w:r w:rsidRPr="00AB0676">
        <w:t>ского общества, а именно Движения монгольских женщин, внесли решающий вклад в вышеприведенные результаты. Свою долю в этот успех также внес с</w:t>
      </w:r>
      <w:r w:rsidRPr="00AB0676">
        <w:t>о</w:t>
      </w:r>
      <w:r w:rsidRPr="00AB0676">
        <w:t>зданный в 2005 году НКГР, который предпринял ряд мер, направленных на с</w:t>
      </w:r>
      <w:r w:rsidRPr="00AB0676">
        <w:t>о</w:t>
      </w:r>
      <w:r w:rsidRPr="00AB0676">
        <w:t>действие расширению прав и возможностей женщин и эффективной реализ</w:t>
      </w:r>
      <w:r w:rsidRPr="00AB0676">
        <w:t>а</w:t>
      </w:r>
      <w:r w:rsidRPr="00AB0676">
        <w:t>ции ЗПГР.</w:t>
      </w:r>
    </w:p>
    <w:p w:rsidR="00AB0676" w:rsidRPr="00AB0676" w:rsidRDefault="00AB0676" w:rsidP="00AB0676">
      <w:pPr>
        <w:pStyle w:val="SingleTxt"/>
      </w:pPr>
      <w:r>
        <w:tab/>
      </w:r>
      <w:r w:rsidRPr="00AB0676">
        <w:t>Прежде чем будет достигнут надлежащей уровень участия женщин в п</w:t>
      </w:r>
      <w:r w:rsidRPr="00AB0676">
        <w:t>о</w:t>
      </w:r>
      <w:r w:rsidRPr="00AB0676">
        <w:t>литической жизни и принятии решений, необходимо будет преодолеть мног</w:t>
      </w:r>
      <w:r w:rsidRPr="00AB0676">
        <w:t>о</w:t>
      </w:r>
      <w:r w:rsidRPr="00AB0676">
        <w:t>численные оставшиеся препятствия. С одной стороны, на некоторые политич</w:t>
      </w:r>
      <w:r w:rsidRPr="00AB0676">
        <w:t>е</w:t>
      </w:r>
      <w:r w:rsidRPr="00AB0676">
        <w:t>ские партии оказывают влияние финансовые группы, слаба внутрипартийная демократия, низка активность членов и недостаточна прозрачность СМИ. С другой стороны, результаты исследований и данные обзоров, проведенных женскими НПО, показали, что среди населения все еще сохраняются сильные традицио</w:t>
      </w:r>
      <w:r w:rsidRPr="00AB0676">
        <w:t>н</w:t>
      </w:r>
      <w:r w:rsidRPr="00AB0676">
        <w:t>ные патриархальные стереотипы, касающиеся статуса женщин.</w:t>
      </w:r>
    </w:p>
    <w:p w:rsidR="00AB0676" w:rsidRPr="00AB0676" w:rsidRDefault="00AB0676" w:rsidP="00AB0676">
      <w:pPr>
        <w:pStyle w:val="SingleTxt"/>
      </w:pPr>
      <w:r>
        <w:tab/>
      </w:r>
      <w:r w:rsidRPr="00AB0676">
        <w:t>По-прежнему невелика доля женщин и их представленность в директи</w:t>
      </w:r>
      <w:r w:rsidRPr="00AB0676">
        <w:t>в</w:t>
      </w:r>
      <w:r w:rsidRPr="00AB0676">
        <w:t>ных органах на уровнях аймака, сомона, города, района и хорона. Поэтому правительство прилагает усилия по повышению потенциала избранных же</w:t>
      </w:r>
      <w:r w:rsidRPr="00AB0676">
        <w:t>н</w:t>
      </w:r>
      <w:r w:rsidRPr="00AB0676">
        <w:t>щин-представителей на уровнях местных общин. Принимаются также меры по установлению 40-процентной квоты для женщин на уровне хуралов в аймаках, городах и районах.</w:t>
      </w:r>
    </w:p>
    <w:p w:rsidR="00AB0676" w:rsidRPr="00AB0676" w:rsidRDefault="00AB0676" w:rsidP="00AB0676">
      <w:pPr>
        <w:pStyle w:val="SingleTxt"/>
        <w:spacing w:after="0" w:line="120" w:lineRule="exact"/>
        <w:rPr>
          <w:b/>
          <w:sz w:val="10"/>
        </w:rPr>
      </w:pPr>
    </w:p>
    <w:p w:rsidR="00AB0676" w:rsidRDefault="00AB0676" w:rsidP="00AB067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0676">
        <w:t>Рисунок 2</w:t>
      </w:r>
    </w:p>
    <w:p w:rsidR="00AB0676" w:rsidRP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0676">
        <w:t>Доля женщин, избранных в местные хуралы представителей граждан (в процентах)</w:t>
      </w:r>
    </w:p>
    <w:p w:rsidR="00927103" w:rsidRPr="00AB0676" w:rsidRDefault="00927103"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Годы проведения выборов: 2004, 2008 и 2012.</w:t>
      </w:r>
    </w:p>
    <w:p w:rsidR="00AB0676" w:rsidRPr="00AB0676" w:rsidRDefault="00AB0676" w:rsidP="00AB0676">
      <w:pPr>
        <w:pStyle w:val="SingleTxt"/>
        <w:spacing w:after="0" w:line="120" w:lineRule="exact"/>
        <w:rPr>
          <w:sz w:val="10"/>
        </w:rPr>
      </w:pPr>
    </w:p>
    <w:p w:rsidR="00AB0676" w:rsidRDefault="00AB0676" w:rsidP="00AB0676">
      <w:pPr>
        <w:pStyle w:val="SingleTxt"/>
      </w:pPr>
      <w:r>
        <w:rPr>
          <w:noProof/>
          <w:w w:val="100"/>
          <w:lang w:val="en-US"/>
        </w:rPr>
        <w:pict>
          <v:group id="_x0000_s1029" style="position:absolute;left:0;text-align:left;margin-left:60.95pt;margin-top:2.5pt;width:429.1pt;height:250.7pt;z-index:2" coordorigin="2454,7262" coordsize="8582,5014">
            <v:shape id="_x0000_s1030" type="#_x0000_t75" style="position:absolute;left:2454;top:7262;width:8582;height:5014">
              <v:imagedata r:id="rId19" o:title=""/>
            </v:shape>
            <v:shapetype id="_x0000_t202" coordsize="21600,21600" o:spt="202" path="m,l,21600r21600,l21600,xe">
              <v:stroke joinstyle="miter"/>
              <v:path gradientshapeok="t" o:connecttype="rect"/>
            </v:shapetype>
            <v:shape id="_x0000_s1031" type="#_x0000_t202" style="position:absolute;left:4040;top:10967;width:1020;height:230" fillcolor="#ffe6cd" stroked="f">
              <v:textbox inset="0,0,0,0">
                <w:txbxContent>
                  <w:p w:rsidR="00AB0676" w:rsidRPr="006A5CEB" w:rsidRDefault="00AB0676" w:rsidP="00AB0676">
                    <w:pPr>
                      <w:spacing w:line="240" w:lineRule="auto"/>
                      <w:jc w:val="center"/>
                      <w:rPr>
                        <w:rFonts w:ascii="Arial" w:hAnsi="Arial" w:cs="Arial"/>
                        <w:sz w:val="18"/>
                        <w:szCs w:val="18"/>
                      </w:rPr>
                    </w:pPr>
                    <w:r w:rsidRPr="00F3100D">
                      <w:rPr>
                        <w:rFonts w:ascii="Arial" w:hAnsi="Arial" w:cs="Arial"/>
                        <w:sz w:val="18"/>
                        <w:szCs w:val="18"/>
                      </w:rPr>
                      <w:t>Аймак</w:t>
                    </w:r>
                  </w:p>
                </w:txbxContent>
              </v:textbox>
            </v:shape>
            <v:shape id="_x0000_s1032" type="#_x0000_t202" style="position:absolute;left:5950;top:10957;width:820;height:230" fillcolor="#ffe6cd" stroked="f">
              <v:textbox inset="0,0,0,0">
                <w:txbxContent>
                  <w:p w:rsidR="00AB0676" w:rsidRPr="00F3100D" w:rsidRDefault="00AB0676" w:rsidP="00AB0676">
                    <w:pPr>
                      <w:spacing w:line="240" w:lineRule="auto"/>
                      <w:jc w:val="center"/>
                      <w:rPr>
                        <w:rFonts w:ascii="Arial" w:hAnsi="Arial" w:cs="Arial"/>
                        <w:sz w:val="18"/>
                        <w:szCs w:val="18"/>
                      </w:rPr>
                    </w:pPr>
                    <w:r w:rsidRPr="00F3100D">
                      <w:rPr>
                        <w:rFonts w:ascii="Arial" w:hAnsi="Arial" w:cs="Arial"/>
                        <w:sz w:val="18"/>
                        <w:szCs w:val="18"/>
                      </w:rPr>
                      <w:t>Сомон</w:t>
                    </w:r>
                  </w:p>
                </w:txbxContent>
              </v:textbox>
            </v:shape>
            <v:shape id="_x0000_s1033" type="#_x0000_t202" style="position:absolute;left:7620;top:10967;width:820;height:230" fillcolor="#ffe6cd" stroked="f">
              <v:textbox inset="0,0,0,0">
                <w:txbxContent>
                  <w:p w:rsidR="00AB0676" w:rsidRPr="00F3100D" w:rsidRDefault="00AB0676" w:rsidP="00AB0676">
                    <w:pPr>
                      <w:spacing w:line="240" w:lineRule="auto"/>
                      <w:jc w:val="center"/>
                      <w:rPr>
                        <w:rFonts w:ascii="Arial" w:hAnsi="Arial" w:cs="Arial"/>
                        <w:sz w:val="18"/>
                        <w:szCs w:val="18"/>
                      </w:rPr>
                    </w:pPr>
                    <w:r>
                      <w:rPr>
                        <w:rFonts w:ascii="Arial" w:hAnsi="Arial" w:cs="Arial"/>
                        <w:sz w:val="18"/>
                        <w:szCs w:val="18"/>
                      </w:rPr>
                      <w:t>Г</w:t>
                    </w:r>
                    <w:r w:rsidRPr="00F3100D">
                      <w:rPr>
                        <w:rFonts w:ascii="Arial" w:hAnsi="Arial" w:cs="Arial"/>
                        <w:sz w:val="18"/>
                        <w:szCs w:val="18"/>
                      </w:rPr>
                      <w:t>ород</w:t>
                    </w:r>
                  </w:p>
                </w:txbxContent>
              </v:textbox>
            </v:shape>
            <v:shape id="_x0000_s1034" type="#_x0000_t202" style="position:absolute;left:9460;top:10967;width:1100;height:210" fillcolor="#ffe6cd" stroked="f">
              <v:textbox inset="0,0,0,0">
                <w:txbxContent>
                  <w:p w:rsidR="00AB0676" w:rsidRPr="00F3100D" w:rsidRDefault="00AB0676" w:rsidP="00AB0676">
                    <w:pPr>
                      <w:spacing w:line="240" w:lineRule="auto"/>
                      <w:jc w:val="center"/>
                      <w:rPr>
                        <w:rFonts w:ascii="Arial" w:hAnsi="Arial" w:cs="Arial"/>
                        <w:sz w:val="18"/>
                        <w:szCs w:val="18"/>
                      </w:rPr>
                    </w:pPr>
                    <w:r>
                      <w:rPr>
                        <w:rFonts w:ascii="Arial" w:hAnsi="Arial" w:cs="Arial"/>
                        <w:sz w:val="18"/>
                        <w:szCs w:val="18"/>
                      </w:rPr>
                      <w:t>Р</w:t>
                    </w:r>
                    <w:r w:rsidRPr="00F3100D">
                      <w:rPr>
                        <w:rFonts w:ascii="Arial" w:hAnsi="Arial" w:cs="Arial"/>
                        <w:sz w:val="18"/>
                        <w:szCs w:val="18"/>
                      </w:rPr>
                      <w:t>айон</w:t>
                    </w:r>
                  </w:p>
                </w:txbxContent>
              </v:textbox>
            </v:shape>
            <v:shape id="_x0000_s1035" type="#_x0000_t202" style="position:absolute;left:3340;top:7427;width:7370;height:530" fillcolor="#ffe6cd" stroked="f">
              <v:textbox inset="0,0,0,0">
                <w:txbxContent>
                  <w:p w:rsidR="00AB0676" w:rsidRPr="006A5CEB" w:rsidRDefault="00AB0676" w:rsidP="00AB0676">
                    <w:pPr>
                      <w:jc w:val="center"/>
                      <w:rPr>
                        <w:rFonts w:ascii="Arial" w:hAnsi="Arial" w:cs="Arial"/>
                        <w:b/>
                        <w:spacing w:val="0"/>
                        <w:w w:val="100"/>
                        <w:sz w:val="16"/>
                        <w:szCs w:val="16"/>
                      </w:rPr>
                    </w:pPr>
                    <w:r w:rsidRPr="006A5CEB">
                      <w:rPr>
                        <w:rFonts w:ascii="Arial" w:hAnsi="Arial" w:cs="Arial"/>
                        <w:b/>
                        <w:spacing w:val="0"/>
                        <w:w w:val="100"/>
                        <w:sz w:val="16"/>
                        <w:szCs w:val="16"/>
                      </w:rPr>
                      <w:t>Доля женщин, избранных в местные хуралы представителей граждан, в процентах</w:t>
                    </w:r>
                  </w:p>
                  <w:p w:rsidR="00AB0676" w:rsidRPr="006A5CEB" w:rsidRDefault="00AB0676" w:rsidP="00AB0676">
                    <w:pPr>
                      <w:jc w:val="center"/>
                      <w:rPr>
                        <w:rFonts w:ascii="Arial" w:hAnsi="Arial" w:cs="Arial"/>
                        <w:i/>
                        <w:spacing w:val="0"/>
                        <w:w w:val="100"/>
                        <w:sz w:val="16"/>
                        <w:szCs w:val="16"/>
                      </w:rPr>
                    </w:pPr>
                    <w:r w:rsidRPr="006A5CEB">
                      <w:rPr>
                        <w:rFonts w:ascii="Arial" w:hAnsi="Arial" w:cs="Arial"/>
                        <w:i/>
                        <w:spacing w:val="0"/>
                        <w:w w:val="100"/>
                        <w:sz w:val="16"/>
                        <w:szCs w:val="16"/>
                      </w:rPr>
                      <w:t>Годы проведения выборов: 2004, 2008 и 2012</w:t>
                    </w:r>
                  </w:p>
                </w:txbxContent>
              </v:textbox>
            </v:shape>
          </v:group>
        </w:pict>
      </w: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Pr="00AB0676" w:rsidRDefault="00AB0676" w:rsidP="00AB0676">
      <w:pPr>
        <w:pStyle w:val="SingleTxt"/>
        <w:spacing w:after="0" w:line="120" w:lineRule="exact"/>
        <w:rPr>
          <w:sz w:val="10"/>
        </w:rPr>
      </w:pPr>
    </w:p>
    <w:p w:rsidR="00AB0676" w:rsidRDefault="00AB0676" w:rsidP="00AB0676">
      <w:pPr>
        <w:pStyle w:val="FootnoteText"/>
        <w:tabs>
          <w:tab w:val="right" w:pos="1476"/>
          <w:tab w:val="left" w:pos="1548"/>
          <w:tab w:val="right" w:pos="1836"/>
          <w:tab w:val="left" w:pos="1908"/>
        </w:tabs>
        <w:ind w:left="1548" w:hanging="288"/>
      </w:pPr>
      <w:r w:rsidRPr="00AB0676">
        <w:rPr>
          <w:i/>
        </w:rPr>
        <w:t>Источник</w:t>
      </w:r>
      <w:r w:rsidRPr="00AB0676">
        <w:t>: Главный избирательный комитет, 2012 год.</w:t>
      </w:r>
    </w:p>
    <w:p w:rsidR="00AB0676" w:rsidRPr="00AB0676" w:rsidRDefault="00AB0676" w:rsidP="00AB0676">
      <w:pPr>
        <w:pStyle w:val="FootnoteText"/>
        <w:tabs>
          <w:tab w:val="right" w:pos="1476"/>
          <w:tab w:val="left" w:pos="1548"/>
          <w:tab w:val="right" w:pos="1836"/>
          <w:tab w:val="left" w:pos="1908"/>
        </w:tabs>
        <w:spacing w:line="120" w:lineRule="exact"/>
        <w:ind w:left="1548" w:hanging="288"/>
        <w:rPr>
          <w:sz w:val="10"/>
        </w:rPr>
      </w:pPr>
    </w:p>
    <w:p w:rsidR="00AB0676" w:rsidRPr="00AB0676" w:rsidRDefault="00AB0676" w:rsidP="00AB0676">
      <w:pPr>
        <w:pStyle w:val="FootnoteText"/>
        <w:tabs>
          <w:tab w:val="right" w:pos="1476"/>
          <w:tab w:val="left" w:pos="1548"/>
          <w:tab w:val="right" w:pos="1836"/>
          <w:tab w:val="left" w:pos="1908"/>
        </w:tabs>
        <w:spacing w:line="120" w:lineRule="exact"/>
        <w:ind w:left="1548" w:hanging="288"/>
        <w:rPr>
          <w:sz w:val="10"/>
        </w:rPr>
      </w:pPr>
    </w:p>
    <w:p w:rsidR="00AB0676" w:rsidRPr="00AB0676" w:rsidRDefault="00AB0676" w:rsidP="00AB0676">
      <w:pPr>
        <w:pStyle w:val="SingleTxt"/>
      </w:pPr>
      <w:r>
        <w:tab/>
      </w:r>
      <w:r w:rsidRPr="00AB0676">
        <w:t>Статья 10 ЗПГР предусматривает, что представительство женщин на о</w:t>
      </w:r>
      <w:r w:rsidRPr="00AB0676">
        <w:t>т</w:t>
      </w:r>
      <w:r w:rsidRPr="00AB0676">
        <w:t>ветственных должностях в центральных и местных государственных админ</w:t>
      </w:r>
      <w:r w:rsidRPr="00AB0676">
        <w:t>и</w:t>
      </w:r>
      <w:r w:rsidRPr="00AB0676">
        <w:t>стративных органах не должно быть ниже 15–40 процентов. В настоящее время женщины составляют до 57,4 процента от всех 17 900 государственных сл</w:t>
      </w:r>
      <w:r w:rsidRPr="00AB0676">
        <w:t>у</w:t>
      </w:r>
      <w:r w:rsidRPr="00AB0676">
        <w:t>жащих и 27,6 процента из них являются руководящими работниками.</w:t>
      </w:r>
    </w:p>
    <w:p w:rsidR="00AB0676" w:rsidRPr="00AB0676" w:rsidRDefault="00AB0676" w:rsidP="00AB0676">
      <w:pPr>
        <w:pStyle w:val="SingleTxt"/>
      </w:pPr>
      <w:r>
        <w:tab/>
      </w:r>
      <w:r w:rsidRPr="00AB0676">
        <w:t>По состоянию на 2014 год три женщины являются членами Кабинета м</w:t>
      </w:r>
      <w:r w:rsidRPr="00AB0676">
        <w:t>и</w:t>
      </w:r>
      <w:r w:rsidRPr="00AB0676">
        <w:t>нистров и две</w:t>
      </w:r>
      <w:r>
        <w:t xml:space="preserve"> — </w:t>
      </w:r>
      <w:r w:rsidRPr="00AB0676">
        <w:t>заместителями министра. Мужчины составляют 81 процент всех государственных секретарей и женщины (3)</w:t>
      </w:r>
      <w:r>
        <w:t xml:space="preserve"> — </w:t>
      </w:r>
      <w:r w:rsidRPr="00AB0676">
        <w:t>19 процентов. 74 процента всех министров, заместителей министров, государственных секретарей, глав департаментов и отделений</w:t>
      </w:r>
      <w:r>
        <w:t xml:space="preserve"> — </w:t>
      </w:r>
      <w:r w:rsidRPr="00AB0676">
        <w:t>мужчины, тогда как женщины занимают 26 про</w:t>
      </w:r>
      <w:r>
        <w:softHyphen/>
      </w:r>
      <w:r w:rsidRPr="00AB0676">
        <w:t>центов руководящих постов. До сих пор ни одна женщина не назнач</w:t>
      </w:r>
      <w:r w:rsidRPr="00AB0676">
        <w:t>а</w:t>
      </w:r>
      <w:r w:rsidRPr="00AB0676">
        <w:t>лась и не избир</w:t>
      </w:r>
      <w:r w:rsidRPr="00AB0676">
        <w:t>а</w:t>
      </w:r>
      <w:r w:rsidRPr="00AB0676">
        <w:t>лась на долж</w:t>
      </w:r>
      <w:r>
        <w:t>ность префекта аймака и города.</w:t>
      </w:r>
    </w:p>
    <w:p w:rsidR="00AB0676" w:rsidRPr="00AB0676" w:rsidRDefault="00AB0676" w:rsidP="00AB0676">
      <w:pPr>
        <w:pStyle w:val="SingleTxt"/>
      </w:pPr>
      <w:r>
        <w:tab/>
      </w:r>
      <w:r w:rsidRPr="00AB0676">
        <w:t>Монголия поддерживает дипломатические отношения с 173 государ</w:t>
      </w:r>
      <w:r>
        <w:softHyphen/>
      </w:r>
      <w:r w:rsidRPr="00AB0676">
        <w:t>ствами, имеет посольства в 32 странах, два постоянных представительства, д</w:t>
      </w:r>
      <w:r w:rsidRPr="00AB0676">
        <w:t>е</w:t>
      </w:r>
      <w:r w:rsidRPr="00AB0676">
        <w:t>вять генеральных консульств и три консульства. Из общего числа 32 работаю</w:t>
      </w:r>
      <w:r>
        <w:softHyphen/>
      </w:r>
      <w:r w:rsidRPr="00AB0676">
        <w:t>щих за рубежом послов четверо</w:t>
      </w:r>
      <w:r>
        <w:t xml:space="preserve"> — </w:t>
      </w:r>
      <w:r w:rsidRPr="00AB0676">
        <w:t>женщины.</w:t>
      </w:r>
    </w:p>
    <w:p w:rsidR="00AB0676" w:rsidRPr="00AB0676" w:rsidRDefault="00AB0676" w:rsidP="00AB0676">
      <w:pPr>
        <w:pStyle w:val="SingleTxt"/>
      </w:pPr>
      <w:r>
        <w:tab/>
      </w:r>
      <w:r w:rsidRPr="00AB0676">
        <w:t>Д-р С. Ойюн, член Кабинета министров, депутат Хурала, министр по в</w:t>
      </w:r>
      <w:r w:rsidRPr="00AB0676">
        <w:t>о</w:t>
      </w:r>
      <w:r w:rsidRPr="00AB0676">
        <w:t xml:space="preserve">просам окружающей среды и </w:t>
      </w:r>
      <w:r>
        <w:t>«</w:t>
      </w:r>
      <w:r w:rsidRPr="00AB0676">
        <w:t>зеленого</w:t>
      </w:r>
      <w:r>
        <w:t>»</w:t>
      </w:r>
      <w:r w:rsidRPr="00AB0676">
        <w:t xml:space="preserve"> развития, недавно была избрана пе</w:t>
      </w:r>
      <w:r w:rsidRPr="00AB0676">
        <w:t>р</w:t>
      </w:r>
      <w:r w:rsidRPr="00AB0676">
        <w:t>вым Председателем Ассамблеи Организации Объединенных Наций по окр</w:t>
      </w:r>
      <w:r w:rsidRPr="00AB0676">
        <w:t>у</w:t>
      </w:r>
      <w:r w:rsidRPr="00AB0676">
        <w:t>жающей среде (ЮНЕА).</w:t>
      </w:r>
    </w:p>
    <w:p w:rsidR="00AB0676" w:rsidRDefault="00AB0676" w:rsidP="00AB0676">
      <w:pPr>
        <w:pStyle w:val="SingleTxt"/>
      </w:pPr>
      <w:r>
        <w:tab/>
      </w:r>
      <w:r w:rsidRPr="00AB0676">
        <w:t>В Монголии 458 судей и 65,9 процента из них</w:t>
      </w:r>
      <w:r>
        <w:t xml:space="preserve"> — </w:t>
      </w:r>
      <w:r w:rsidRPr="00AB0676">
        <w:t>женщины. Двое из пяти членов Генерального судебного совета</w:t>
      </w:r>
      <w:r>
        <w:t xml:space="preserve"> — </w:t>
      </w:r>
      <w:r w:rsidRPr="00AB0676">
        <w:t>женщины. Из 25 судей Верховного суда 12 женщин. Пост главного судьи в столице страны также занимает же</w:t>
      </w:r>
      <w:r w:rsidRPr="00AB0676">
        <w:t>н</w:t>
      </w:r>
      <w:r w:rsidRPr="00AB0676">
        <w:t>щина.</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24" w:name="_Toc413159915"/>
      <w:r w:rsidRPr="00AB0676">
        <w:t>2.2.</w:t>
      </w:r>
      <w:r w:rsidRPr="00AB0676">
        <w:tab/>
        <w:t>Равные права в отношении гражданства для женщин, мужчин и детей</w:t>
      </w:r>
      <w:bookmarkEnd w:id="24"/>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rPr>
          <w:b/>
        </w:rPr>
        <w:tab/>
      </w:r>
      <w:bookmarkStart w:id="25" w:name="_Toc413159916"/>
      <w:r w:rsidRPr="00AB0676">
        <w:t>(Статья 9)</w:t>
      </w:r>
      <w:bookmarkEnd w:id="25"/>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Согласно Конституции Монголии (15.1) основания и порядок, касающи</w:t>
      </w:r>
      <w:r w:rsidRPr="00AB0676">
        <w:t>е</w:t>
      </w:r>
      <w:r w:rsidRPr="00AB0676">
        <w:t>ся гражданства Монголии, его приобретения или лишения, регулируются тол</w:t>
      </w:r>
      <w:r w:rsidRPr="00AB0676">
        <w:t>ь</w:t>
      </w:r>
      <w:r w:rsidRPr="00AB0676">
        <w:t>ко законом. Поэтому лишение гражданства Монголии, высылка монгольских граждан из страны или выдача их другому государству запрещаются.</w:t>
      </w:r>
    </w:p>
    <w:p w:rsidR="00AB0676" w:rsidRPr="00AB0676" w:rsidRDefault="00AB0676" w:rsidP="00AB0676">
      <w:pPr>
        <w:pStyle w:val="SingleTxt"/>
      </w:pPr>
      <w:r>
        <w:tab/>
      </w:r>
      <w:r w:rsidRPr="00AB0676">
        <w:t>В последнее время возросла тенденция межкультурных браков монгол</w:t>
      </w:r>
      <w:r w:rsidRPr="00AB0676">
        <w:t>ь</w:t>
      </w:r>
      <w:r w:rsidRPr="00AB0676">
        <w:t>ских граждан; 90 процентов граждан, состоящих в браке с иностранцами, женщины. Возникла новая проблема – вопросы, связанные с брачными ко</w:t>
      </w:r>
      <w:r w:rsidRPr="00AB0676">
        <w:t>н</w:t>
      </w:r>
      <w:r w:rsidRPr="00AB0676">
        <w:t>трактами, со</w:t>
      </w:r>
      <w:r w:rsidRPr="00AB0676">
        <w:t>б</w:t>
      </w:r>
      <w:r w:rsidRPr="00AB0676">
        <w:t>ственностью на имущество и гражданством детей.</w:t>
      </w:r>
    </w:p>
    <w:p w:rsidR="00AB0676" w:rsidRDefault="00AB0676" w:rsidP="00AB0676">
      <w:pPr>
        <w:pStyle w:val="SingleTxt"/>
      </w:pPr>
      <w:r>
        <w:tab/>
      </w:r>
      <w:r w:rsidRPr="00AB0676">
        <w:t>Согласно обзорам, проведенным НПО, различные брачные агентства з</w:t>
      </w:r>
      <w:r w:rsidRPr="00AB0676">
        <w:t>а</w:t>
      </w:r>
      <w:r w:rsidRPr="00AB0676">
        <w:t xml:space="preserve">нимаются выдачей монгольских девушек и женщин замуж за иностранцев за деньги. Многие из этих </w:t>
      </w:r>
      <w:r>
        <w:t>«</w:t>
      </w:r>
      <w:r w:rsidRPr="00AB0676">
        <w:t>замужних жен</w:t>
      </w:r>
      <w:r>
        <w:t>»</w:t>
      </w:r>
      <w:r w:rsidRPr="00AB0676">
        <w:t xml:space="preserve"> могут столкнуться с высоким риском стать жертвами насилия, сексуальной эксплуатации или торговли людьми. К</w:t>
      </w:r>
      <w:r w:rsidRPr="00AB0676">
        <w:t>а</w:t>
      </w:r>
      <w:r w:rsidRPr="00AB0676">
        <w:t>кой-либо специальный механизм, координирующий деятельность этих брачных агентств, отсутствует.</w:t>
      </w:r>
    </w:p>
    <w:p w:rsidR="00AB0676" w:rsidRPr="00AB0676" w:rsidRDefault="00AB0676"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r w:rsidRPr="00AB0676">
        <w:tab/>
      </w:r>
      <w:bookmarkStart w:id="26" w:name="_Toc413159917"/>
      <w:r w:rsidRPr="00AB0676">
        <w:t>Часть 3</w:t>
      </w:r>
      <w:bookmarkEnd w:id="26"/>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27" w:name="_Toc413159918"/>
      <w:r w:rsidRPr="00AB0676">
        <w:t>3.1.</w:t>
      </w:r>
      <w:r w:rsidRPr="00AB0676">
        <w:tab/>
        <w:t>Гендерное равенство в области образования</w:t>
      </w:r>
      <w:bookmarkEnd w:id="27"/>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tab/>
      </w:r>
      <w:bookmarkStart w:id="28" w:name="_Toc413159919"/>
      <w:r w:rsidRPr="00AB0676">
        <w:t>(Статья 10)</w:t>
      </w:r>
      <w:bookmarkEnd w:id="28"/>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Конституция Монголии (16.7) предусматривает, что каждый гражданин имеет право на образование, и из этого следует, что государство обеспечивает бесплатное базовое общее образование. И в Законе об образовании (2002 год), и в ЗПГР (2011 год) говорится, что девочки и мальчики, женщины и мужчины в Монголии имеют равный доступ к начальным, неполным средним, средним учебным заведениям, профессионально-техническим училищам, высшим учебным заведениям, научным и техническим институтам. Государственная политика в области образования и ЦРТ (2005 год) выполняются в полном об</w:t>
      </w:r>
      <w:r w:rsidRPr="00AB0676">
        <w:t>ъ</w:t>
      </w:r>
      <w:r w:rsidRPr="00AB0676">
        <w:t>еме.</w:t>
      </w:r>
    </w:p>
    <w:p w:rsidR="00AB0676" w:rsidRPr="00AB0676" w:rsidRDefault="00AB0676" w:rsidP="00AB0676">
      <w:pPr>
        <w:pStyle w:val="SingleTxt"/>
      </w:pPr>
      <w:r>
        <w:tab/>
      </w:r>
      <w:r w:rsidRPr="00AB0676">
        <w:t>В докладах ЮНЕСКО подчеркивается сравнительно высокий уровень грамотности в Монголии. Согласно статистике 95,4 процента населения в во</w:t>
      </w:r>
      <w:r w:rsidRPr="00AB0676">
        <w:t>з</w:t>
      </w:r>
      <w:r w:rsidRPr="00AB0676">
        <w:t>расте старше 10 лет является грамотным, среди женщин грамотность составл</w:t>
      </w:r>
      <w:r w:rsidRPr="00AB0676">
        <w:t>я</w:t>
      </w:r>
      <w:r w:rsidRPr="00AB0676">
        <w:t>ет 95,5 процента, а среди мужского населения</w:t>
      </w:r>
      <w:r>
        <w:t xml:space="preserve"> — </w:t>
      </w:r>
      <w:r w:rsidRPr="00AB0676">
        <w:t>95,3 процента.</w:t>
      </w:r>
    </w:p>
    <w:p w:rsidR="00AB0676" w:rsidRPr="00AB0676" w:rsidRDefault="00AB0676" w:rsidP="00AB0676">
      <w:pPr>
        <w:pStyle w:val="SingleTxt"/>
      </w:pPr>
      <w:r>
        <w:tab/>
      </w:r>
      <w:r w:rsidRPr="00AB0676">
        <w:t>Хотя все граждане Монголии имеют доступ к образованию, юные матери подросткового возраста сталкиваются со сложностями в доступе к образов</w:t>
      </w:r>
      <w:r w:rsidRPr="00AB0676">
        <w:t>а</w:t>
      </w:r>
      <w:r w:rsidRPr="00AB0676">
        <w:t>нию из-за недостаточности средств к существованию и проблем со здоровьем. Министерство образования поощряет женщин всех возрастов обращаться в центры непрерывного образования, которые предназначены для оказания п</w:t>
      </w:r>
      <w:r w:rsidRPr="00AB0676">
        <w:t>о</w:t>
      </w:r>
      <w:r w:rsidRPr="00AB0676">
        <w:t>мощи женщинам с ограниченными возможностями получения образования.</w:t>
      </w:r>
    </w:p>
    <w:p w:rsidR="00AB0676" w:rsidRPr="00AB0676" w:rsidRDefault="00AB0676" w:rsidP="00AB0676">
      <w:pPr>
        <w:pStyle w:val="SingleTxt"/>
      </w:pPr>
      <w:r>
        <w:tab/>
      </w:r>
      <w:r w:rsidRPr="00AB0676">
        <w:t>Доля выпускников средних школ составляет 59,8 процента, выпускники профессиональных училищ составляют 15,5 процента выпускников учебных заведений всех уровней и 24,7 процента приходится на выпускников универс</w:t>
      </w:r>
      <w:r w:rsidRPr="00AB0676">
        <w:t>и</w:t>
      </w:r>
      <w:r w:rsidRPr="00AB0676">
        <w:t>тетов. Из 174 000 студентов высших учебных заведений Монголии женщины составляют 58,5 процента. Гендерное соотношение на уровне начального обр</w:t>
      </w:r>
      <w:r w:rsidRPr="00AB0676">
        <w:t>а</w:t>
      </w:r>
      <w:r w:rsidRPr="00AB0676">
        <w:t>зования составляет 1,0, общего среднего</w:t>
      </w:r>
      <w:r>
        <w:t xml:space="preserve"> — </w:t>
      </w:r>
      <w:r w:rsidRPr="00AB0676">
        <w:t>1,2, высшего</w:t>
      </w:r>
      <w:r>
        <w:t xml:space="preserve"> — </w:t>
      </w:r>
      <w:r w:rsidRPr="00AB0676">
        <w:t>1,4. Есть статист</w:t>
      </w:r>
      <w:r w:rsidRPr="00AB0676">
        <w:t>и</w:t>
      </w:r>
      <w:r w:rsidRPr="00AB0676">
        <w:t>ческие данные с разбивкой по полу о работниках образовательного сектора и учащихся всех уровней образовательных учреждений. 78 процентов сотрудн</w:t>
      </w:r>
      <w:r w:rsidRPr="00AB0676">
        <w:t>и</w:t>
      </w:r>
      <w:r w:rsidRPr="00AB0676">
        <w:t>ков в научном и образовательном секторе</w:t>
      </w:r>
      <w:r>
        <w:t xml:space="preserve"> — </w:t>
      </w:r>
      <w:r w:rsidRPr="00AB0676">
        <w:t>женщины.</w:t>
      </w:r>
    </w:p>
    <w:p w:rsidR="00AB0676" w:rsidRPr="00AB0676" w:rsidRDefault="00AB0676" w:rsidP="00AB0676">
      <w:pPr>
        <w:pStyle w:val="SingleTxt"/>
        <w:spacing w:after="0" w:line="120" w:lineRule="exact"/>
        <w:rPr>
          <w:sz w:val="10"/>
        </w:rPr>
      </w:pPr>
    </w:p>
    <w:p w:rsidR="00AB0676" w:rsidRDefault="00AB0676" w:rsidP="00AB067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Рисунок 3</w:t>
      </w: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Учащиеся высших учебных заведений, с разбивкой по полу и типу образования</w:t>
      </w:r>
    </w:p>
    <w:p w:rsidR="00AB0676" w:rsidRPr="00AB0676" w:rsidRDefault="00AB0676"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SingleTxt"/>
      </w:pPr>
      <w:r>
        <w:rPr>
          <w:noProof/>
          <w:w w:val="100"/>
          <w:lang w:val="en-US"/>
        </w:rPr>
        <w:pict>
          <v:group id="_x0000_s1037" style="position:absolute;left:0;text-align:left;margin-left:59.95pt;margin-top:2pt;width:428.2pt;height:267.35pt;z-index:3" coordorigin="2454,7872" coordsize="8564,5347">
            <v:shape id="_x0000_s1038" type="#_x0000_t75" style="position:absolute;left:2454;top:7872;width:8564;height:5347">
              <v:imagedata r:id="rId20" o:title=""/>
            </v:shape>
            <v:group id="_x0000_s1039" style="position:absolute;left:3370;top:12100;width:7390;height:1050" coordorigin="3370,12100" coordsize="7390,1050">
              <v:shape id="_x0000_s1040" type="#_x0000_t202" style="position:absolute;left:3370;top:12110;width:1780;height:230" stroked="f">
                <v:textbox inset="0,0,0,0">
                  <w:txbxContent>
                    <w:p w:rsidR="00AB0676" w:rsidRPr="00D52F2C" w:rsidRDefault="00AB0676" w:rsidP="00AB0676">
                      <w:pPr>
                        <w:spacing w:line="240" w:lineRule="auto"/>
                        <w:jc w:val="center"/>
                        <w:rPr>
                          <w:rFonts w:ascii="Arial" w:hAnsi="Arial" w:cs="Arial"/>
                          <w:sz w:val="16"/>
                          <w:szCs w:val="16"/>
                        </w:rPr>
                      </w:pPr>
                      <w:r>
                        <w:rPr>
                          <w:rFonts w:ascii="Arial" w:hAnsi="Arial" w:cs="Arial"/>
                          <w:sz w:val="16"/>
                          <w:szCs w:val="16"/>
                        </w:rPr>
                        <w:t>ж</w:t>
                      </w:r>
                      <w:r w:rsidRPr="00D52F2C">
                        <w:rPr>
                          <w:rFonts w:ascii="Arial" w:hAnsi="Arial" w:cs="Arial"/>
                          <w:sz w:val="16"/>
                          <w:szCs w:val="16"/>
                        </w:rPr>
                        <w:t>енщины</w:t>
                      </w:r>
                      <w:r>
                        <w:rPr>
                          <w:rFonts w:ascii="Arial" w:hAnsi="Arial" w:cs="Arial"/>
                          <w:sz w:val="16"/>
                          <w:szCs w:val="16"/>
                        </w:rPr>
                        <w:t xml:space="preserve"> </w:t>
                      </w:r>
                      <w:r w:rsidRPr="00D52F2C">
                        <w:rPr>
                          <w:rFonts w:ascii="Arial" w:hAnsi="Arial" w:cs="Arial"/>
                          <w:sz w:val="16"/>
                          <w:szCs w:val="16"/>
                        </w:rPr>
                        <w:t xml:space="preserve"> </w:t>
                      </w:r>
                      <w:r>
                        <w:rPr>
                          <w:rFonts w:ascii="Arial" w:hAnsi="Arial" w:cs="Arial"/>
                          <w:sz w:val="16"/>
                          <w:szCs w:val="16"/>
                        </w:rPr>
                        <w:t xml:space="preserve"> </w:t>
                      </w:r>
                      <w:r w:rsidRPr="00D52F2C">
                        <w:rPr>
                          <w:rFonts w:ascii="Arial" w:hAnsi="Arial" w:cs="Arial"/>
                          <w:sz w:val="16"/>
                          <w:szCs w:val="16"/>
                        </w:rPr>
                        <w:t>мужчины</w:t>
                      </w:r>
                    </w:p>
                  </w:txbxContent>
                </v:textbox>
              </v:shape>
              <v:shape id="_x0000_s1041" type="#_x0000_t202" style="position:absolute;left:5290;top:12840;width:360;height:190" stroked="f">
                <v:textbox inset="0,0,0,0">
                  <w:txbxContent>
                    <w:p w:rsidR="00AB0676" w:rsidRPr="00D52F2C" w:rsidRDefault="00AB0676" w:rsidP="00AB0676">
                      <w:pPr>
                        <w:spacing w:line="240" w:lineRule="auto"/>
                        <w:rPr>
                          <w:rFonts w:ascii="Arial" w:hAnsi="Arial" w:cs="Arial"/>
                          <w:sz w:val="12"/>
                          <w:szCs w:val="12"/>
                        </w:rPr>
                      </w:pPr>
                      <w:r w:rsidRPr="00D52F2C">
                        <w:rPr>
                          <w:rFonts w:ascii="Arial" w:hAnsi="Arial" w:cs="Arial"/>
                          <w:sz w:val="12"/>
                          <w:szCs w:val="12"/>
                        </w:rPr>
                        <w:t>Все</w:t>
                      </w:r>
                    </w:p>
                  </w:txbxContent>
                </v:textbox>
              </v:shape>
              <v:shape id="_x0000_s1042" type="#_x0000_t202" style="position:absolute;left:5820;top:12860;width:740;height:270" stroked="f">
                <v:textbox inset="0,0,0,0">
                  <w:txbxContent>
                    <w:p w:rsidR="00AB0676" w:rsidRPr="00D52F2C" w:rsidRDefault="00AB0676" w:rsidP="00AB0676">
                      <w:pPr>
                        <w:spacing w:line="240" w:lineRule="auto"/>
                        <w:rPr>
                          <w:rFonts w:ascii="Arial" w:hAnsi="Arial" w:cs="Arial"/>
                          <w:sz w:val="12"/>
                          <w:szCs w:val="12"/>
                        </w:rPr>
                      </w:pPr>
                      <w:r w:rsidRPr="00D52F2C">
                        <w:rPr>
                          <w:rFonts w:ascii="Arial" w:hAnsi="Arial" w:cs="Arial"/>
                          <w:sz w:val="12"/>
                          <w:szCs w:val="12"/>
                        </w:rPr>
                        <w:t>Бакалав</w:t>
                      </w:r>
                      <w:r>
                        <w:rPr>
                          <w:rFonts w:ascii="Arial" w:hAnsi="Arial" w:cs="Arial"/>
                          <w:sz w:val="12"/>
                          <w:szCs w:val="12"/>
                        </w:rPr>
                        <w:t>-</w:t>
                      </w:r>
                      <w:r>
                        <w:rPr>
                          <w:rFonts w:ascii="Arial" w:hAnsi="Arial" w:cs="Arial"/>
                          <w:sz w:val="12"/>
                          <w:szCs w:val="12"/>
                        </w:rPr>
                        <w:br/>
                      </w:r>
                      <w:r w:rsidRPr="00D52F2C">
                        <w:rPr>
                          <w:rFonts w:ascii="Arial" w:hAnsi="Arial" w:cs="Arial"/>
                          <w:sz w:val="12"/>
                          <w:szCs w:val="12"/>
                        </w:rPr>
                        <w:t>риат</w:t>
                      </w:r>
                    </w:p>
                  </w:txbxContent>
                </v:textbox>
              </v:shape>
              <v:shape id="_x0000_s1043" type="#_x0000_t202" style="position:absolute;left:6790;top:12860;width:600;height:290" stroked="f">
                <v:textbox inset="0,0,0,0">
                  <w:txbxContent>
                    <w:p w:rsidR="00AB0676" w:rsidRPr="00D52F2C" w:rsidRDefault="00AB0676" w:rsidP="00AB0676">
                      <w:pPr>
                        <w:spacing w:line="240" w:lineRule="auto"/>
                        <w:rPr>
                          <w:rFonts w:ascii="Arial" w:hAnsi="Arial" w:cs="Arial"/>
                          <w:sz w:val="12"/>
                          <w:szCs w:val="12"/>
                        </w:rPr>
                      </w:pPr>
                      <w:r w:rsidRPr="00D52F2C">
                        <w:rPr>
                          <w:rFonts w:ascii="Arial" w:hAnsi="Arial" w:cs="Arial"/>
                          <w:sz w:val="12"/>
                          <w:szCs w:val="12"/>
                        </w:rPr>
                        <w:t>Магист</w:t>
                      </w:r>
                      <w:r>
                        <w:rPr>
                          <w:rFonts w:ascii="Arial" w:hAnsi="Arial" w:cs="Arial"/>
                          <w:sz w:val="12"/>
                          <w:szCs w:val="12"/>
                        </w:rPr>
                        <w:t>-</w:t>
                      </w:r>
                      <w:r>
                        <w:rPr>
                          <w:rFonts w:ascii="Arial" w:hAnsi="Arial" w:cs="Arial"/>
                          <w:sz w:val="12"/>
                          <w:szCs w:val="12"/>
                        </w:rPr>
                        <w:br/>
                      </w:r>
                      <w:r w:rsidRPr="00D52F2C">
                        <w:rPr>
                          <w:rFonts w:ascii="Arial" w:hAnsi="Arial" w:cs="Arial"/>
                          <w:sz w:val="12"/>
                          <w:szCs w:val="12"/>
                        </w:rPr>
                        <w:t>ратура</w:t>
                      </w:r>
                    </w:p>
                  </w:txbxContent>
                </v:textbox>
              </v:shape>
              <v:shape id="_x0000_s1044" type="#_x0000_t202" style="position:absolute;left:7640;top:12850;width:870;height:270" stroked="f">
                <v:textbox inset="0,0,0,0">
                  <w:txbxContent>
                    <w:p w:rsidR="00AB0676" w:rsidRPr="00D52F2C" w:rsidRDefault="00AB0676" w:rsidP="00AB0676">
                      <w:pPr>
                        <w:spacing w:line="240" w:lineRule="auto"/>
                        <w:rPr>
                          <w:rFonts w:ascii="Arial" w:hAnsi="Arial" w:cs="Arial"/>
                          <w:sz w:val="12"/>
                          <w:szCs w:val="12"/>
                        </w:rPr>
                      </w:pPr>
                      <w:r w:rsidRPr="00D52F2C">
                        <w:rPr>
                          <w:rFonts w:ascii="Arial" w:hAnsi="Arial" w:cs="Arial"/>
                          <w:sz w:val="12"/>
                          <w:szCs w:val="12"/>
                        </w:rPr>
                        <w:t>Докторантура</w:t>
                      </w:r>
                    </w:p>
                  </w:txbxContent>
                </v:textbox>
              </v:shape>
              <v:shape id="_x0000_s1045" type="#_x0000_t202" style="position:absolute;left:5230;top:12110;width:1780;height:230" stroked="f">
                <v:textbox inset="0,0,0,0">
                  <w:txbxContent>
                    <w:p w:rsidR="00AB0676" w:rsidRPr="00D52F2C" w:rsidRDefault="00AB0676" w:rsidP="00AB0676">
                      <w:pPr>
                        <w:spacing w:line="240" w:lineRule="auto"/>
                        <w:jc w:val="center"/>
                        <w:rPr>
                          <w:rFonts w:ascii="Arial" w:hAnsi="Arial" w:cs="Arial"/>
                          <w:sz w:val="16"/>
                          <w:szCs w:val="16"/>
                        </w:rPr>
                      </w:pPr>
                      <w:r>
                        <w:rPr>
                          <w:rFonts w:ascii="Arial" w:hAnsi="Arial" w:cs="Arial"/>
                          <w:sz w:val="16"/>
                          <w:szCs w:val="16"/>
                        </w:rPr>
                        <w:t>ж</w:t>
                      </w:r>
                      <w:r w:rsidRPr="00D52F2C">
                        <w:rPr>
                          <w:rFonts w:ascii="Arial" w:hAnsi="Arial" w:cs="Arial"/>
                          <w:sz w:val="16"/>
                          <w:szCs w:val="16"/>
                        </w:rPr>
                        <w:t>енщины</w:t>
                      </w:r>
                      <w:r>
                        <w:rPr>
                          <w:rFonts w:ascii="Arial" w:hAnsi="Arial" w:cs="Arial"/>
                          <w:sz w:val="16"/>
                          <w:szCs w:val="16"/>
                        </w:rPr>
                        <w:t xml:space="preserve"> </w:t>
                      </w:r>
                      <w:r w:rsidRPr="00D52F2C">
                        <w:rPr>
                          <w:rFonts w:ascii="Arial" w:hAnsi="Arial" w:cs="Arial"/>
                          <w:sz w:val="16"/>
                          <w:szCs w:val="16"/>
                        </w:rPr>
                        <w:t xml:space="preserve"> </w:t>
                      </w:r>
                      <w:r>
                        <w:rPr>
                          <w:rFonts w:ascii="Arial" w:hAnsi="Arial" w:cs="Arial"/>
                          <w:sz w:val="16"/>
                          <w:szCs w:val="16"/>
                        </w:rPr>
                        <w:t xml:space="preserve"> </w:t>
                      </w:r>
                      <w:r w:rsidRPr="00D52F2C">
                        <w:rPr>
                          <w:rFonts w:ascii="Arial" w:hAnsi="Arial" w:cs="Arial"/>
                          <w:sz w:val="16"/>
                          <w:szCs w:val="16"/>
                        </w:rPr>
                        <w:t>мужчины</w:t>
                      </w:r>
                    </w:p>
                  </w:txbxContent>
                </v:textbox>
              </v:shape>
              <v:shape id="_x0000_s1046" type="#_x0000_t202" style="position:absolute;left:7110;top:12100;width:1780;height:230" stroked="f">
                <v:textbox inset="0,0,0,0">
                  <w:txbxContent>
                    <w:p w:rsidR="00AB0676" w:rsidRPr="00D52F2C" w:rsidRDefault="00AB0676" w:rsidP="00AB0676">
                      <w:pPr>
                        <w:spacing w:line="240" w:lineRule="auto"/>
                        <w:jc w:val="center"/>
                        <w:rPr>
                          <w:rFonts w:ascii="Arial" w:hAnsi="Arial" w:cs="Arial"/>
                          <w:sz w:val="16"/>
                          <w:szCs w:val="16"/>
                        </w:rPr>
                      </w:pPr>
                      <w:r>
                        <w:rPr>
                          <w:rFonts w:ascii="Arial" w:hAnsi="Arial" w:cs="Arial"/>
                          <w:sz w:val="16"/>
                          <w:szCs w:val="16"/>
                        </w:rPr>
                        <w:t>ж</w:t>
                      </w:r>
                      <w:r w:rsidRPr="00D52F2C">
                        <w:rPr>
                          <w:rFonts w:ascii="Arial" w:hAnsi="Arial" w:cs="Arial"/>
                          <w:sz w:val="16"/>
                          <w:szCs w:val="16"/>
                        </w:rPr>
                        <w:t>енщины</w:t>
                      </w:r>
                      <w:r>
                        <w:rPr>
                          <w:rFonts w:ascii="Arial" w:hAnsi="Arial" w:cs="Arial"/>
                          <w:sz w:val="16"/>
                          <w:szCs w:val="16"/>
                        </w:rPr>
                        <w:t xml:space="preserve"> </w:t>
                      </w:r>
                      <w:r w:rsidRPr="00D52F2C">
                        <w:rPr>
                          <w:rFonts w:ascii="Arial" w:hAnsi="Arial" w:cs="Arial"/>
                          <w:sz w:val="16"/>
                          <w:szCs w:val="16"/>
                        </w:rPr>
                        <w:t xml:space="preserve"> </w:t>
                      </w:r>
                      <w:r>
                        <w:rPr>
                          <w:rFonts w:ascii="Arial" w:hAnsi="Arial" w:cs="Arial"/>
                          <w:sz w:val="16"/>
                          <w:szCs w:val="16"/>
                        </w:rPr>
                        <w:t xml:space="preserve"> </w:t>
                      </w:r>
                      <w:r w:rsidRPr="00D52F2C">
                        <w:rPr>
                          <w:rFonts w:ascii="Arial" w:hAnsi="Arial" w:cs="Arial"/>
                          <w:sz w:val="16"/>
                          <w:szCs w:val="16"/>
                        </w:rPr>
                        <w:t>мужчины</w:t>
                      </w:r>
                    </w:p>
                  </w:txbxContent>
                </v:textbox>
              </v:shape>
              <v:shape id="_x0000_s1047" type="#_x0000_t202" style="position:absolute;left:8980;top:12100;width:1780;height:230" stroked="f">
                <v:textbox inset="0,0,0,0">
                  <w:txbxContent>
                    <w:p w:rsidR="00AB0676" w:rsidRPr="00D52F2C" w:rsidRDefault="00AB0676" w:rsidP="00AB0676">
                      <w:pPr>
                        <w:spacing w:line="240" w:lineRule="auto"/>
                        <w:jc w:val="center"/>
                        <w:rPr>
                          <w:rFonts w:ascii="Arial" w:hAnsi="Arial" w:cs="Arial"/>
                          <w:sz w:val="16"/>
                          <w:szCs w:val="16"/>
                        </w:rPr>
                      </w:pPr>
                      <w:r>
                        <w:rPr>
                          <w:rFonts w:ascii="Arial" w:hAnsi="Arial" w:cs="Arial"/>
                          <w:sz w:val="16"/>
                          <w:szCs w:val="16"/>
                        </w:rPr>
                        <w:t>ж</w:t>
                      </w:r>
                      <w:r w:rsidRPr="00D52F2C">
                        <w:rPr>
                          <w:rFonts w:ascii="Arial" w:hAnsi="Arial" w:cs="Arial"/>
                          <w:sz w:val="16"/>
                          <w:szCs w:val="16"/>
                        </w:rPr>
                        <w:t>енщины</w:t>
                      </w:r>
                      <w:r>
                        <w:rPr>
                          <w:rFonts w:ascii="Arial" w:hAnsi="Arial" w:cs="Arial"/>
                          <w:sz w:val="16"/>
                          <w:szCs w:val="16"/>
                        </w:rPr>
                        <w:t xml:space="preserve"> </w:t>
                      </w:r>
                      <w:r w:rsidRPr="00D52F2C">
                        <w:rPr>
                          <w:rFonts w:ascii="Arial" w:hAnsi="Arial" w:cs="Arial"/>
                          <w:sz w:val="16"/>
                          <w:szCs w:val="16"/>
                        </w:rPr>
                        <w:t xml:space="preserve"> </w:t>
                      </w:r>
                      <w:r>
                        <w:rPr>
                          <w:rFonts w:ascii="Arial" w:hAnsi="Arial" w:cs="Arial"/>
                          <w:sz w:val="16"/>
                          <w:szCs w:val="16"/>
                        </w:rPr>
                        <w:t xml:space="preserve"> </w:t>
                      </w:r>
                      <w:r w:rsidRPr="00D52F2C">
                        <w:rPr>
                          <w:rFonts w:ascii="Arial" w:hAnsi="Arial" w:cs="Arial"/>
                          <w:sz w:val="16"/>
                          <w:szCs w:val="16"/>
                        </w:rPr>
                        <w:t>мужчины</w:t>
                      </w:r>
                    </w:p>
                  </w:txbxContent>
                </v:textbox>
              </v:shape>
            </v:group>
          </v:group>
        </w:pict>
      </w: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Pr="00AB0676" w:rsidRDefault="00AB0676"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SingleTxt"/>
      </w:pPr>
      <w:r>
        <w:tab/>
      </w:r>
      <w:r w:rsidRPr="00AB0676">
        <w:t xml:space="preserve">Растет число женщин-студенток, обучающихся по специальностям </w:t>
      </w:r>
      <w:r>
        <w:t>«</w:t>
      </w:r>
      <w:r w:rsidRPr="00AB0676">
        <w:t>го</w:t>
      </w:r>
      <w:r w:rsidRPr="00AB0676">
        <w:t>р</w:t>
      </w:r>
      <w:r w:rsidRPr="00AB0676">
        <w:t>ное дело</w:t>
      </w:r>
      <w:r>
        <w:t>»</w:t>
      </w:r>
      <w:r w:rsidRPr="00AB0676">
        <w:t xml:space="preserve"> и </w:t>
      </w:r>
      <w:r>
        <w:t>«</w:t>
      </w:r>
      <w:r w:rsidRPr="00AB0676">
        <w:t>строительство</w:t>
      </w:r>
      <w:r>
        <w:t>»</w:t>
      </w:r>
      <w:r w:rsidRPr="00AB0676">
        <w:t>, где обычно преобладают студенты-мужчины. Женщины составляют 21 процент квалифицированных строительных рабочих, окончивших 57 профессионально-технических училищ; в то же время бол</w:t>
      </w:r>
      <w:r w:rsidRPr="00AB0676">
        <w:t>ь</w:t>
      </w:r>
      <w:r w:rsidRPr="00AB0676">
        <w:t xml:space="preserve">шинство женщин по-прежнему заняты в низкооплачиваемых традиционных </w:t>
      </w:r>
      <w:r>
        <w:t>«</w:t>
      </w:r>
      <w:r w:rsidRPr="00AB0676">
        <w:t>мягких</w:t>
      </w:r>
      <w:r>
        <w:t>»</w:t>
      </w:r>
      <w:r w:rsidRPr="00AB0676">
        <w:t xml:space="preserve"> отраслях.</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AB0676">
        <w:tab/>
      </w:r>
      <w:bookmarkStart w:id="29" w:name="_Toc413159920"/>
      <w:r w:rsidRPr="00AB0676">
        <w:t>3.2.</w:t>
      </w:r>
      <w:r w:rsidRPr="00AB0676">
        <w:tab/>
        <w:t>Гендерное равенство в области занятости</w:t>
      </w:r>
      <w:bookmarkEnd w:id="29"/>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tab/>
      </w:r>
      <w:bookmarkStart w:id="30" w:name="_Toc413159921"/>
      <w:r w:rsidRPr="00AB0676">
        <w:t>(Статья 11)</w:t>
      </w:r>
      <w:bookmarkEnd w:id="30"/>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В Монголии гарантируется применение недискриминационных принц</w:t>
      </w:r>
      <w:r w:rsidRPr="00AB0676">
        <w:t>и</w:t>
      </w:r>
      <w:r w:rsidRPr="00AB0676">
        <w:t>пов в отношении занятости, и Конституция 1992 года предусматривает, что каждый гражданин имеет право на свободный выбор профессии и квалифик</w:t>
      </w:r>
      <w:r w:rsidRPr="00AB0676">
        <w:t>а</w:t>
      </w:r>
      <w:r w:rsidRPr="00AB0676">
        <w:t>ции, обеспечение хорошими условиями труда, достойную заработную плату и ведение собственной хозяйственной деятельности. Политика правительства направлена не только на поощрение граждан к использованию своих констит</w:t>
      </w:r>
      <w:r w:rsidRPr="00AB0676">
        <w:t>у</w:t>
      </w:r>
      <w:r w:rsidRPr="00AB0676">
        <w:t>ционных прав на занятость, но также и на осуществление конкретных пр</w:t>
      </w:r>
      <w:r w:rsidRPr="00AB0676">
        <w:t>о</w:t>
      </w:r>
      <w:r w:rsidRPr="00AB0676">
        <w:t>грамм, кас</w:t>
      </w:r>
      <w:r w:rsidRPr="00AB0676">
        <w:t>а</w:t>
      </w:r>
      <w:r w:rsidRPr="00AB0676">
        <w:t>ющихся этого вопроса.</w:t>
      </w:r>
    </w:p>
    <w:p w:rsidR="00AB0676" w:rsidRPr="00AB0676" w:rsidRDefault="00AB0676" w:rsidP="00AB0676">
      <w:pPr>
        <w:pStyle w:val="SingleTxt"/>
      </w:pPr>
      <w:r>
        <w:tab/>
      </w:r>
      <w:r w:rsidRPr="00AB0676">
        <w:t>Закон о труде</w:t>
      </w:r>
      <w:r w:rsidRPr="00AB0676">
        <w:rPr>
          <w:i/>
        </w:rPr>
        <w:t xml:space="preserve"> </w:t>
      </w:r>
      <w:r w:rsidRPr="00AB0676">
        <w:t>1999 года гарантировал одинаковые условия для женщин и мужчин в плане трудовых отношений; недискриминационные принципы пр</w:t>
      </w:r>
      <w:r w:rsidRPr="00AB0676">
        <w:t>и</w:t>
      </w:r>
      <w:r w:rsidRPr="00AB0676">
        <w:t>водятся в статье 7 этого закона. Разрешением вопросов, касающихся наруш</w:t>
      </w:r>
      <w:r w:rsidRPr="00AB0676">
        <w:t>е</w:t>
      </w:r>
      <w:r w:rsidRPr="00AB0676">
        <w:t>ния положений Закона о труде, занимаются инспектора и специалисты Гос</w:t>
      </w:r>
      <w:r w:rsidRPr="00AB0676">
        <w:t>у</w:t>
      </w:r>
      <w:r w:rsidRPr="00AB0676">
        <w:t>дарстве</w:t>
      </w:r>
      <w:r w:rsidRPr="00AB0676">
        <w:t>н</w:t>
      </w:r>
      <w:r w:rsidRPr="00AB0676">
        <w:t>ного инспекционного управления.</w:t>
      </w:r>
    </w:p>
    <w:p w:rsidR="00AB0676" w:rsidRPr="00AB0676" w:rsidRDefault="00AB0676" w:rsidP="00AB0676">
      <w:pPr>
        <w:pStyle w:val="SingleTxt"/>
      </w:pPr>
      <w:r>
        <w:tab/>
      </w:r>
      <w:r w:rsidRPr="00AB0676">
        <w:t>Закон о содействии занятости 2001 года сыграл решающую роль в улу</w:t>
      </w:r>
      <w:r w:rsidRPr="00AB0676">
        <w:t>ч</w:t>
      </w:r>
      <w:r w:rsidRPr="00AB0676">
        <w:t>шении государственной политики в этой области, ее принципов, выявлении финансовых источников и снижении уровня безработицы. Этот закон пред</w:t>
      </w:r>
      <w:r w:rsidRPr="00AB0676">
        <w:t>у</w:t>
      </w:r>
      <w:r w:rsidRPr="00AB0676">
        <w:t>сматривал, что работодателям, которые обеспечивают устойчивую занятость в течение более 6 месяцев для лиц, подверженных высокому риску потерять р</w:t>
      </w:r>
      <w:r w:rsidRPr="00AB0676">
        <w:t>а</w:t>
      </w:r>
      <w:r w:rsidRPr="00AB0676">
        <w:t>боту, например женщин, являющихся главами домохозяйств и имеющих четв</w:t>
      </w:r>
      <w:r w:rsidRPr="00AB0676">
        <w:t>е</w:t>
      </w:r>
      <w:r w:rsidRPr="00AB0676">
        <w:t>рых или более детей в возрасте до 16 лет, инвалидов, отдельных граждан в возрасте старше 45 лет, будет возмещаться из Фонда содействия занятости 60 процентов заработка, который они выплачивали вышеупомянутым категор</w:t>
      </w:r>
      <w:r w:rsidRPr="00AB0676">
        <w:t>и</w:t>
      </w:r>
      <w:r w:rsidRPr="00AB0676">
        <w:t>ям рабо</w:t>
      </w:r>
      <w:r>
        <w:t>тников.</w:t>
      </w:r>
    </w:p>
    <w:p w:rsidR="00AB0676" w:rsidRPr="00AB0676" w:rsidRDefault="00AB0676" w:rsidP="00AB0676">
      <w:pPr>
        <w:pStyle w:val="SingleTxt"/>
      </w:pPr>
      <w:r>
        <w:tab/>
      </w:r>
      <w:r w:rsidRPr="00AB0676">
        <w:t>Закон о безопасности и гигиене труда 2008 года координирует области, касающиеся охраны труда, здоровья и санитарно-гигиенических условий, и р</w:t>
      </w:r>
      <w:r w:rsidRPr="00AB0676">
        <w:t>е</w:t>
      </w:r>
      <w:r w:rsidRPr="00AB0676">
        <w:t>гулирует другие смежные вопросы. Учреждения, специализирующиеся на обеспечении безопасности и создании здоровых условий труда, регулярно пр</w:t>
      </w:r>
      <w:r w:rsidRPr="00AB0676">
        <w:t>о</w:t>
      </w:r>
      <w:r w:rsidRPr="00AB0676">
        <w:t>водят необходимый анализ и оценку в целях предупреждения профессионал</w:t>
      </w:r>
      <w:r w:rsidRPr="00AB0676">
        <w:t>ь</w:t>
      </w:r>
      <w:r w:rsidRPr="00AB0676">
        <w:t>ных заболеваний и производственных травм. Решающее значение для эффе</w:t>
      </w:r>
      <w:r w:rsidRPr="00AB0676">
        <w:t>к</w:t>
      </w:r>
      <w:r w:rsidRPr="00AB0676">
        <w:t>тивного выполнения Закона о безопасности и гигиене труда 2008 года имела Национальная программа по улучшению безопасности и гигиены труда на 2005–2010 годы.</w:t>
      </w:r>
    </w:p>
    <w:p w:rsidR="00AB0676" w:rsidRPr="00AB0676" w:rsidRDefault="00AB0676" w:rsidP="00AB0676">
      <w:pPr>
        <w:pStyle w:val="SingleTxt"/>
      </w:pPr>
      <w:r>
        <w:tab/>
      </w:r>
      <w:r w:rsidRPr="00AB0676">
        <w:t>ЗПГР 2011 года придал законную силу принципам гендерного равенства в отношении создания мужчинами и женщинами ассоциаций и участия в пол</w:t>
      </w:r>
      <w:r w:rsidRPr="00AB0676">
        <w:t>и</w:t>
      </w:r>
      <w:r w:rsidRPr="00AB0676">
        <w:t>тической, экономической, социальной, культурной жизни, а также в домашней среде. Этот закон не только гарантирует равенство женщин и мужчин в труд</w:t>
      </w:r>
      <w:r w:rsidRPr="00AB0676">
        <w:t>о</w:t>
      </w:r>
      <w:r w:rsidRPr="00AB0676">
        <w:t>вых отношениях и в области трудоустройства, но также не позволяет увольнять беременных женщин и матерей, имеющих малолетних детей, и способствует предупреждению сексуального домогательства на рабочем месте. За координ</w:t>
      </w:r>
      <w:r w:rsidRPr="00AB0676">
        <w:t>а</w:t>
      </w:r>
      <w:r w:rsidRPr="00AB0676">
        <w:t>цию межсекторальной политики отвечает НКГР, а контрольные функции будет осуществлять Национальная комиссия по правам человека.</w:t>
      </w:r>
    </w:p>
    <w:p w:rsidR="00AB0676" w:rsidRPr="00AB0676" w:rsidRDefault="00AB0676" w:rsidP="00AB0676">
      <w:pPr>
        <w:pStyle w:val="SingleTxt"/>
      </w:pPr>
      <w:r>
        <w:tab/>
      </w:r>
      <w:r w:rsidRPr="00AB0676">
        <w:t>Закон о профессиональном обучении и подготовке (2009 год) законод</w:t>
      </w:r>
      <w:r w:rsidRPr="00AB0676">
        <w:t>а</w:t>
      </w:r>
      <w:r w:rsidRPr="00AB0676">
        <w:t>тельно оформил отношения в области приобретения профессиональных нав</w:t>
      </w:r>
      <w:r w:rsidRPr="00AB0676">
        <w:t>ы</w:t>
      </w:r>
      <w:r w:rsidRPr="00AB0676">
        <w:t>ков и технической подготовки. Ввиду появления в последнее время расшире</w:t>
      </w:r>
      <w:r w:rsidRPr="00AB0676">
        <w:t>н</w:t>
      </w:r>
      <w:r w:rsidRPr="00AB0676">
        <w:t>ного спроса на рабочую силу в связи с диверсификацией операций по разведке и добыче полезных ископаемых, было создано несколько центров професси</w:t>
      </w:r>
      <w:r w:rsidRPr="00AB0676">
        <w:t>о</w:t>
      </w:r>
      <w:r w:rsidRPr="00AB0676">
        <w:t>нальной подготовки для обучения квалифицированных рабочих в вышеупом</w:t>
      </w:r>
      <w:r w:rsidRPr="00AB0676">
        <w:t>я</w:t>
      </w:r>
      <w:r w:rsidRPr="00AB0676">
        <w:t>нутых областях.</w:t>
      </w:r>
    </w:p>
    <w:p w:rsidR="00AB0676" w:rsidRPr="00AB0676" w:rsidRDefault="00AB0676" w:rsidP="00AB0676">
      <w:pPr>
        <w:pStyle w:val="SingleTxt"/>
      </w:pPr>
      <w:r>
        <w:tab/>
      </w:r>
      <w:r w:rsidRPr="00AB0676">
        <w:t>В НПГР (2002–2015 годы) основное внимание сосредоточено на ликвид</w:t>
      </w:r>
      <w:r w:rsidRPr="00AB0676">
        <w:t>а</w:t>
      </w:r>
      <w:r w:rsidRPr="00AB0676">
        <w:t>ции дискриминации по признаку пола в трудовых отношениях, улучшении правовой базы для тех, кто работает в неформальном секторе, изменении н</w:t>
      </w:r>
      <w:r w:rsidRPr="00AB0676">
        <w:t>е</w:t>
      </w:r>
      <w:r w:rsidRPr="00AB0676">
        <w:t>объективного гендерного стереотипа на рынке труда на всех уровнях и привл</w:t>
      </w:r>
      <w:r w:rsidRPr="00AB0676">
        <w:t>е</w:t>
      </w:r>
      <w:r w:rsidRPr="00AB0676">
        <w:t>чении внимания к тяжелым условиям, в которых находятся женщины, особе</w:t>
      </w:r>
      <w:r w:rsidRPr="00AB0676">
        <w:t>н</w:t>
      </w:r>
      <w:r w:rsidRPr="00AB0676">
        <w:t>но в сельской местности, работающие без оплаты. Государственная политика в области неформальной занятости (2006 год) направлена на смещение отнош</w:t>
      </w:r>
      <w:r w:rsidRPr="00AB0676">
        <w:t>е</w:t>
      </w:r>
      <w:r w:rsidRPr="00AB0676">
        <w:t>ний в секторе неформальной занятости в сторону официальных стандартов и прак</w:t>
      </w:r>
      <w:r>
        <w:t>тики.</w:t>
      </w:r>
    </w:p>
    <w:p w:rsidR="00AB0676" w:rsidRPr="00AB0676" w:rsidRDefault="00AB0676" w:rsidP="00AB0676">
      <w:pPr>
        <w:pStyle w:val="SingleTxt"/>
      </w:pPr>
      <w:r>
        <w:tab/>
      </w:r>
      <w:r w:rsidRPr="00AB0676">
        <w:t>Хотя Конституция и трудовое законодательство поощряют недискримин</w:t>
      </w:r>
      <w:r w:rsidRPr="00AB0676">
        <w:t>а</w:t>
      </w:r>
      <w:r w:rsidRPr="00AB0676">
        <w:t>ционные принципы и отношения, какого-либо механизма координации и по</w:t>
      </w:r>
      <w:r w:rsidRPr="00AB0676">
        <w:t>д</w:t>
      </w:r>
      <w:r w:rsidRPr="00AB0676">
        <w:t>отчетности для тех, кто хотел бы пожаловаться относительно дискриминац</w:t>
      </w:r>
      <w:r w:rsidRPr="00AB0676">
        <w:t>и</w:t>
      </w:r>
      <w:r w:rsidRPr="00AB0676">
        <w:t>онной практики, не существует. Маргинализация и дискриминация людей по признаку возраста в объявлениях о работе в газетах и других СМИ являются свидетельством продолжения дискриминационной практики на рынках труда.</w:t>
      </w:r>
    </w:p>
    <w:p w:rsidR="00AB0676" w:rsidRPr="00AB0676" w:rsidRDefault="00AB0676" w:rsidP="00AB0676">
      <w:pPr>
        <w:pStyle w:val="SingleTxt"/>
      </w:pPr>
      <w:r>
        <w:tab/>
      </w:r>
      <w:r w:rsidRPr="00AB0676">
        <w:t>Законы, политика и программы, координирующие трудовые отношения, запрещают дискриминацию по признаку пола и требуют от всех работодателей ос</w:t>
      </w:r>
      <w:r w:rsidRPr="00AB0676">
        <w:t>у</w:t>
      </w:r>
      <w:r w:rsidRPr="00AB0676">
        <w:t>ществления широкого спектра гендерно нейтральных действий и инициатив на рабочем месте. В обычной практической ситуации, когда, например, делае</w:t>
      </w:r>
      <w:r w:rsidRPr="00AB0676">
        <w:t>т</w:t>
      </w:r>
      <w:r w:rsidRPr="00AB0676">
        <w:t>ся попытка проследить за соблюдением законов, запрещающих дискримин</w:t>
      </w:r>
      <w:r w:rsidRPr="00AB0676">
        <w:t>а</w:t>
      </w:r>
      <w:r w:rsidRPr="00AB0676">
        <w:t>цию в отношении беременных женщин и женщин, воспитывающих маленьких детей, у людей не хватает знаний и из-за этого они не могут правильно исто</w:t>
      </w:r>
      <w:r w:rsidRPr="00AB0676">
        <w:t>л</w:t>
      </w:r>
      <w:r w:rsidRPr="00AB0676">
        <w:t>ковать закон и добиться справедливости. Большинство людей все еще не знают о своем праве требовать одинаковую плату за работу одинакового качества, выполняемую мужчинами и женщинами, а также о запрете на сексуальное д</w:t>
      </w:r>
      <w:r w:rsidRPr="00AB0676">
        <w:t>о</w:t>
      </w:r>
      <w:r w:rsidRPr="00AB0676">
        <w:t>могательство на рабочем месте и т. д.</w:t>
      </w:r>
    </w:p>
    <w:p w:rsidR="00AB0676" w:rsidRPr="00AB0676" w:rsidRDefault="00AB0676" w:rsidP="00AB0676">
      <w:pPr>
        <w:pStyle w:val="SingleTxt"/>
      </w:pPr>
      <w:r>
        <w:tab/>
      </w:r>
      <w:r w:rsidRPr="00AB0676">
        <w:t>В 2005 году Национальная комиссия по правам человека указывала, что существует тенденция подвергать людей дискриминации по признаку возраста и национальности, что считается нарушением статьи 7 Закона о труде. Коми</w:t>
      </w:r>
      <w:r w:rsidRPr="00AB0676">
        <w:t>с</w:t>
      </w:r>
      <w:r w:rsidRPr="00AB0676">
        <w:t>сия рекомендовала внести поправку, запрещающую дискриминацию по пр</w:t>
      </w:r>
      <w:r w:rsidRPr="00AB0676">
        <w:t>и</w:t>
      </w:r>
      <w:r w:rsidRPr="00AB0676">
        <w:t>знаку возраста и национальности в трудовых отношениях.</w:t>
      </w:r>
    </w:p>
    <w:p w:rsidR="00AB0676" w:rsidRPr="00AB0676" w:rsidRDefault="00AB0676" w:rsidP="00AB0676">
      <w:pPr>
        <w:pStyle w:val="SingleTxt"/>
      </w:pPr>
      <w:r>
        <w:tab/>
      </w:r>
      <w:r w:rsidRPr="00AB0676">
        <w:t>В 2005 году правительство Монголии приняло Национальную программу по повышению безопасности и гигиены труда, а три года спустя, в 2008 году, парламент утвердил Закон о безопасности и гигиене труда. В 2010 году были приняты Руководящие принципы мониторинга производственной безопасн</w:t>
      </w:r>
      <w:r w:rsidRPr="00AB0676">
        <w:t>о</w:t>
      </w:r>
      <w:r w:rsidRPr="00AB0676">
        <w:t>сти, которые предоставили равные правовые возможности для организаций – социальных партнеров осуществлять оценку соблюдения равенства в трудовых отношениях. Согласно информации, полученной от Главного инспекционного управления, в 2006–2010 годах ежегодно происходило 420–480 несчастных случаев на производстве, в которых в среднем пострадало 450–500 человек и 15–20 процентов из них погибли. Ежегодно более 2000 человек теряют работу из-за профессиональных заболеваний. При этом данные с разбивкой по полу о людях, потерявших работу по этой причине, отсутствуют.</w:t>
      </w:r>
    </w:p>
    <w:p w:rsidR="00AB0676" w:rsidRPr="00AB0676" w:rsidRDefault="00AB0676" w:rsidP="00AB0676">
      <w:pPr>
        <w:pStyle w:val="SingleTxt"/>
      </w:pPr>
      <w:r>
        <w:tab/>
      </w:r>
      <w:r w:rsidRPr="00AB0676">
        <w:t>Согласно статистике за 2013 год из общей численности работающих</w:t>
      </w:r>
      <w:r>
        <w:t xml:space="preserve"> — </w:t>
      </w:r>
      <w:r w:rsidRPr="00AB0676">
        <w:t>1 103 600 человек</w:t>
      </w:r>
      <w:r>
        <w:t xml:space="preserve"> — </w:t>
      </w:r>
      <w:r w:rsidRPr="00AB0676">
        <w:t>в возрасте от 15 лет и старше женщины составляют 47,5 процента, а мужчины</w:t>
      </w:r>
      <w:r>
        <w:t xml:space="preserve"> — </w:t>
      </w:r>
      <w:r w:rsidRPr="00AB0676">
        <w:t>52,5 процента. Это указывает на то, что показ</w:t>
      </w:r>
      <w:r w:rsidRPr="00AB0676">
        <w:t>а</w:t>
      </w:r>
      <w:r w:rsidRPr="00AB0676">
        <w:t>тель работающих женщин снизился на 3 процента, в то время как у мужчин наблюдается обратная тенденция</w:t>
      </w:r>
      <w:r>
        <w:t xml:space="preserve"> — </w:t>
      </w:r>
      <w:r w:rsidRPr="00AB0676">
        <w:t>рост на 3 процента. Женщины составляют 47,8 процента всех получающих заработную плату работников, без учета сел</w:t>
      </w:r>
      <w:r w:rsidRPr="00AB0676">
        <w:t>ь</w:t>
      </w:r>
      <w:r w:rsidRPr="00AB0676">
        <w:t>скохозяйственного сектора. Это свидетельствует о том, что Монголия достигла цели, поставленной в ЦРТ.</w:t>
      </w:r>
    </w:p>
    <w:p w:rsidR="00AB0676" w:rsidRPr="00AB0676" w:rsidRDefault="00AB0676" w:rsidP="00AB0676">
      <w:pPr>
        <w:pStyle w:val="SingleTxt"/>
      </w:pPr>
      <w:r>
        <w:tab/>
      </w:r>
      <w:r w:rsidRPr="00AB0676">
        <w:t>Существует небольшое различие в показателях участия женщин и мужчин в трудовой деятельности, но разрыв в заработной плате гораздо заметнее. Средняя заработная плата мужчин по стране на 14,3 процента выше заработной платы женщин. Среднемесячная заработная плата (557 600 монгольских тугр</w:t>
      </w:r>
      <w:r w:rsidRPr="00AB0676">
        <w:t>и</w:t>
      </w:r>
      <w:r w:rsidRPr="00AB0676">
        <w:t>ков в 2012 году) в разных секторах различается. В вышеупомянутых секторах, где предоставляется более высокая заработная плата, преобладают работники-мужчины.</w:t>
      </w:r>
    </w:p>
    <w:p w:rsidR="00AB0676" w:rsidRPr="00AB0676" w:rsidRDefault="00AB0676" w:rsidP="00AB0676">
      <w:pPr>
        <w:pStyle w:val="SingleTxt"/>
      </w:pPr>
      <w:r>
        <w:tab/>
      </w:r>
      <w:r w:rsidRPr="00AB0676">
        <w:t>Сельские женщины несут дополнительное бремя неоплачиваемой и п</w:t>
      </w:r>
      <w:r w:rsidRPr="00AB0676">
        <w:t>о</w:t>
      </w:r>
      <w:r w:rsidRPr="00AB0676">
        <w:t>стоянной тяжелой работы. В сравнении с городскими женщинами и сельскими и г</w:t>
      </w:r>
      <w:r w:rsidRPr="00AB0676">
        <w:t>о</w:t>
      </w:r>
      <w:r w:rsidRPr="00AB0676">
        <w:t>родскими мужчинами вместе взятыми сельские женщины тратят в день на 2,5 часа больше на неоплачиваемый труд.</w:t>
      </w:r>
    </w:p>
    <w:p w:rsidR="00AB0676" w:rsidRPr="00AB0676" w:rsidRDefault="00AB0676" w:rsidP="00AB0676">
      <w:pPr>
        <w:pStyle w:val="SingleTxt"/>
      </w:pPr>
      <w:r>
        <w:tab/>
      </w:r>
      <w:r w:rsidRPr="00AB0676">
        <w:t>В 2013 году уровень представленности в составе национальной рабочей силы составлял 61,9 процента, из которых 56,3 процента женщин и 68,1 про</w:t>
      </w:r>
      <w:r>
        <w:softHyphen/>
      </w:r>
      <w:r w:rsidRPr="00AB0676">
        <w:t>цента мужчин. В течение последних 10 лет показатель участия в трудовой де</w:t>
      </w:r>
      <w:r w:rsidRPr="00AB0676">
        <w:t>я</w:t>
      </w:r>
      <w:r w:rsidRPr="00AB0676">
        <w:t>тельности оставался стабильным, несмотря на текущий экономический спад. Это может быть связано с осуществляемыми правительством программами, к</w:t>
      </w:r>
      <w:r w:rsidRPr="00AB0676">
        <w:t>о</w:t>
      </w:r>
      <w:r w:rsidRPr="00AB0676">
        <w:t>торые направлены на поддержание стабильности коэффициента занятости за счет обеспечения возможностей для работы на условиях неполной занятости, а та</w:t>
      </w:r>
      <w:r w:rsidRPr="00AB0676">
        <w:t>к</w:t>
      </w:r>
      <w:r w:rsidRPr="00AB0676">
        <w:t>же поощрения возможностей для создания новых рабочих мест.</w:t>
      </w:r>
    </w:p>
    <w:p w:rsidR="00AB0676" w:rsidRDefault="00AB0676" w:rsidP="00AB0676">
      <w:pPr>
        <w:pStyle w:val="SingleTxt"/>
      </w:pPr>
      <w:r>
        <w:tab/>
      </w:r>
      <w:r w:rsidRPr="00AB0676">
        <w:t>По-прежнему вызывает серьезную обеспокоенность уровень безработицы в стране, составляющий 7,9 процента. В 2004 году численность зарегистрир</w:t>
      </w:r>
      <w:r w:rsidRPr="00AB0676">
        <w:t>о</w:t>
      </w:r>
      <w:r w:rsidRPr="00AB0676">
        <w:t>ванных безработных в стране составляла 35 500 человек (44,8 процента из них составляли мужчины и 55,2 процента</w:t>
      </w:r>
      <w:r>
        <w:t xml:space="preserve"> — </w:t>
      </w:r>
      <w:r w:rsidRPr="00AB0676">
        <w:t>женщины); в 2013 году этот показ</w:t>
      </w:r>
      <w:r w:rsidRPr="00AB0676">
        <w:t>а</w:t>
      </w:r>
      <w:r w:rsidRPr="00AB0676">
        <w:t>тель вырос до 42 700 человек (45,2 процента</w:t>
      </w:r>
      <w:r>
        <w:t xml:space="preserve"> — </w:t>
      </w:r>
      <w:r w:rsidRPr="00AB0676">
        <w:t>мужчины и 54,8 процента</w:t>
      </w:r>
      <w:r>
        <w:t xml:space="preserve"> — </w:t>
      </w:r>
      <w:r w:rsidRPr="00AB0676">
        <w:t>женщины).</w:t>
      </w:r>
    </w:p>
    <w:p w:rsidR="00AB0676" w:rsidRPr="00AB0676" w:rsidRDefault="00AB0676" w:rsidP="00AB0676">
      <w:pPr>
        <w:pStyle w:val="SingleTxt"/>
        <w:spacing w:after="0" w:line="120" w:lineRule="exact"/>
        <w:rPr>
          <w:sz w:val="10"/>
        </w:rPr>
      </w:pPr>
    </w:p>
    <w:p w:rsidR="00AB0676" w:rsidRDefault="00AB0676" w:rsidP="00AB0676">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sidRPr="00AB0676">
        <w:t>Рисунок 4</w:t>
      </w: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B0676">
        <w:t xml:space="preserve">Уровень участия в трудовой деятельности, уровень безработицы, </w:t>
      </w:r>
      <w:r>
        <w:t>с разбивкой по полу и годам</w:t>
      </w:r>
    </w:p>
    <w:p w:rsidR="00AB0676" w:rsidRPr="00AB0676" w:rsidRDefault="00AB0676"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SingleTxt"/>
      </w:pPr>
      <w:r w:rsidRPr="00AB0676">
        <w:rPr>
          <w:i/>
          <w:lang w:val="en-US"/>
        </w:rPr>
        <w:pict>
          <v:group id="_x0000_s1058" style="position:absolute;left:0;text-align:left;margin-left:54.6pt;margin-top:3.55pt;width:428.2pt;height:239.45pt;z-index:5" coordorigin="1936,2443" coordsize="8564,4789">
            <v:shape id="_x0000_s1059" type="#_x0000_t75" style="position:absolute;left:1936;top:2443;width:8564;height:4789">
              <v:imagedata r:id="rId21" o:title=""/>
            </v:shape>
            <v:group id="_x0000_s1060" style="position:absolute;left:2691;top:6329;width:2075;height:798" coordorigin="2691,6329" coordsize="2075,798">
              <v:shape id="_x0000_s1061" type="#_x0000_t202" style="position:absolute;left:2711;top:6329;width:2035;height:248" stroked="f">
                <v:textbox inset="0,0,0,0">
                  <w:txbxContent>
                    <w:p w:rsidR="00AB0676" w:rsidRPr="00D701E8" w:rsidRDefault="00AB0676" w:rsidP="00AB0676">
                      <w:pPr>
                        <w:rPr>
                          <w:rFonts w:ascii="Arial" w:hAnsi="Arial" w:cs="Arial"/>
                          <w:spacing w:val="0"/>
                          <w:w w:val="100"/>
                          <w:sz w:val="18"/>
                          <w:szCs w:val="18"/>
                        </w:rPr>
                      </w:pPr>
                      <w:r w:rsidRPr="00D701E8">
                        <w:rPr>
                          <w:rFonts w:ascii="Arial" w:hAnsi="Arial" w:cs="Arial"/>
                          <w:spacing w:val="0"/>
                          <w:w w:val="100"/>
                          <w:sz w:val="18"/>
                          <w:szCs w:val="18"/>
                        </w:rPr>
                        <w:t>Уровень безработицы</w:t>
                      </w:r>
                    </w:p>
                  </w:txbxContent>
                </v:textbox>
              </v:shape>
              <v:shape id="_x0000_s1062" type="#_x0000_t202" style="position:absolute;left:2691;top:6679;width:2075;height:448" stroked="f">
                <v:textbox inset="0,0,0,0">
                  <w:txbxContent>
                    <w:p w:rsidR="00AB0676" w:rsidRPr="00D701E8" w:rsidRDefault="00AB0676" w:rsidP="00AB0676">
                      <w:pPr>
                        <w:spacing w:line="240" w:lineRule="auto"/>
                        <w:rPr>
                          <w:rFonts w:ascii="Arial" w:hAnsi="Arial" w:cs="Arial"/>
                          <w:spacing w:val="0"/>
                          <w:w w:val="100"/>
                          <w:sz w:val="18"/>
                          <w:szCs w:val="18"/>
                        </w:rPr>
                      </w:pPr>
                      <w:r w:rsidRPr="00D701E8">
                        <w:rPr>
                          <w:rFonts w:ascii="Arial" w:hAnsi="Arial" w:cs="Arial"/>
                          <w:spacing w:val="0"/>
                          <w:w w:val="100"/>
                          <w:sz w:val="18"/>
                          <w:szCs w:val="18"/>
                        </w:rPr>
                        <w:t>Уровень участия в тр</w:t>
                      </w:r>
                      <w:r w:rsidRPr="00D701E8">
                        <w:rPr>
                          <w:rFonts w:ascii="Arial" w:hAnsi="Arial" w:cs="Arial"/>
                          <w:spacing w:val="0"/>
                          <w:w w:val="100"/>
                          <w:sz w:val="18"/>
                          <w:szCs w:val="18"/>
                        </w:rPr>
                        <w:t>у</w:t>
                      </w:r>
                      <w:r w:rsidRPr="00D701E8">
                        <w:rPr>
                          <w:rFonts w:ascii="Arial" w:hAnsi="Arial" w:cs="Arial"/>
                          <w:spacing w:val="0"/>
                          <w:w w:val="100"/>
                          <w:sz w:val="18"/>
                          <w:szCs w:val="18"/>
                        </w:rPr>
                        <w:t>довой деятельности</w:t>
                      </w:r>
                    </w:p>
                  </w:txbxContent>
                </v:textbox>
              </v:shape>
            </v:group>
          </v:group>
        </w:pict>
      </w:r>
      <w:r>
        <w:rPr>
          <w:noProof/>
          <w:w w:val="100"/>
          <w:lang w:val="en-US"/>
        </w:rPr>
        <w:pict>
          <v:group id="_x0000_s1048" style="position:absolute;left:0;text-align:left;margin-left:59.05pt;margin-top:2.55pt;width:428.2pt;height:239.45pt;z-index:4" coordorigin="1936,2443" coordsize="8564,4789">
            <v:shape id="_x0000_s1049" type="#_x0000_t75" style="position:absolute;left:1936;top:2443;width:8564;height:4789">
              <v:imagedata r:id="rId21" o:title=""/>
            </v:shape>
            <v:group id="_x0000_s1050" style="position:absolute;left:2691;top:6329;width:2075;height:798" coordorigin="2691,6329" coordsize="2075,798">
              <v:shape id="_x0000_s1051" type="#_x0000_t202" style="position:absolute;left:2711;top:6329;width:2035;height:248" stroked="f">
                <v:textbox inset="0,0,0,0">
                  <w:txbxContent>
                    <w:p w:rsidR="00AB0676" w:rsidRPr="00D701E8" w:rsidRDefault="00AB0676" w:rsidP="00AB0676">
                      <w:pPr>
                        <w:rPr>
                          <w:rFonts w:ascii="Arial" w:hAnsi="Arial" w:cs="Arial"/>
                          <w:spacing w:val="0"/>
                          <w:w w:val="100"/>
                          <w:sz w:val="18"/>
                          <w:szCs w:val="18"/>
                        </w:rPr>
                      </w:pPr>
                      <w:r w:rsidRPr="00D701E8">
                        <w:rPr>
                          <w:rFonts w:ascii="Arial" w:hAnsi="Arial" w:cs="Arial"/>
                          <w:spacing w:val="0"/>
                          <w:w w:val="100"/>
                          <w:sz w:val="18"/>
                          <w:szCs w:val="18"/>
                        </w:rPr>
                        <w:t>Уровень безработицы</w:t>
                      </w:r>
                    </w:p>
                  </w:txbxContent>
                </v:textbox>
              </v:shape>
              <v:shape id="_x0000_s1052" type="#_x0000_t202" style="position:absolute;left:2691;top:6679;width:2075;height:448" stroked="f">
                <v:textbox inset="0,0,0,0">
                  <w:txbxContent>
                    <w:p w:rsidR="00AB0676" w:rsidRPr="00D701E8" w:rsidRDefault="00AB0676" w:rsidP="00AB0676">
                      <w:pPr>
                        <w:spacing w:line="240" w:lineRule="auto"/>
                        <w:rPr>
                          <w:rFonts w:ascii="Arial" w:hAnsi="Arial" w:cs="Arial"/>
                          <w:spacing w:val="0"/>
                          <w:w w:val="100"/>
                          <w:sz w:val="18"/>
                          <w:szCs w:val="18"/>
                        </w:rPr>
                      </w:pPr>
                      <w:r w:rsidRPr="00D701E8">
                        <w:rPr>
                          <w:rFonts w:ascii="Arial" w:hAnsi="Arial" w:cs="Arial"/>
                          <w:spacing w:val="0"/>
                          <w:w w:val="100"/>
                          <w:sz w:val="18"/>
                          <w:szCs w:val="18"/>
                        </w:rPr>
                        <w:t>Уровень участия в тр</w:t>
                      </w:r>
                      <w:r w:rsidRPr="00D701E8">
                        <w:rPr>
                          <w:rFonts w:ascii="Arial" w:hAnsi="Arial" w:cs="Arial"/>
                          <w:spacing w:val="0"/>
                          <w:w w:val="100"/>
                          <w:sz w:val="18"/>
                          <w:szCs w:val="18"/>
                        </w:rPr>
                        <w:t>у</w:t>
                      </w:r>
                      <w:r w:rsidRPr="00D701E8">
                        <w:rPr>
                          <w:rFonts w:ascii="Arial" w:hAnsi="Arial" w:cs="Arial"/>
                          <w:spacing w:val="0"/>
                          <w:w w:val="100"/>
                          <w:sz w:val="18"/>
                          <w:szCs w:val="18"/>
                        </w:rPr>
                        <w:t>довой деятельности</w:t>
                      </w:r>
                    </w:p>
                  </w:txbxContent>
                </v:textbox>
              </v:shape>
            </v:group>
          </v:group>
        </w:pict>
      </w: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Default="00AB0676" w:rsidP="00AB0676">
      <w:pPr>
        <w:pStyle w:val="SingleTxt"/>
      </w:pPr>
    </w:p>
    <w:p w:rsidR="00AB0676" w:rsidRPr="00AB0676" w:rsidRDefault="00AB0676" w:rsidP="00AB0676">
      <w:pPr>
        <w:pStyle w:val="SingleTxt"/>
        <w:spacing w:after="0" w:line="120" w:lineRule="exact"/>
        <w:rPr>
          <w:sz w:val="10"/>
        </w:rPr>
      </w:pPr>
    </w:p>
    <w:p w:rsidR="00AB0676" w:rsidRPr="00AB0676" w:rsidRDefault="00AB0676" w:rsidP="00AB0676">
      <w:pPr>
        <w:pStyle w:val="SingleTxt"/>
        <w:rPr>
          <w:i/>
        </w:rPr>
      </w:pPr>
      <w:r>
        <w:tab/>
      </w:r>
      <w:r w:rsidRPr="00AB0676">
        <w:t>Различие в заработной плате женщин и мужчин можно объяснить тем, что больше мужчин занято на высокооплачиваемой работе, тогда как женщины, как правило, работают на низкооплачиваемых должностях. Женщины уходят на пенсию на 5–10 лет раньше мужчин, многодетные женщины уходят на пенсию раньше. Обычно женщины, имеющие малолетних детей, не работают и ухаж</w:t>
      </w:r>
      <w:r w:rsidRPr="00AB0676">
        <w:t>и</w:t>
      </w:r>
      <w:r w:rsidRPr="00AB0676">
        <w:t>вают не только за непосредственными членами своей семьи, но и за членами расширенной семьи. Даже несмотря на то что многие женщины успевают о</w:t>
      </w:r>
      <w:r w:rsidRPr="00AB0676">
        <w:t>д</w:t>
      </w:r>
      <w:r w:rsidRPr="00AB0676">
        <w:t>новременно работать и нести двойную или даже тройную нагрузку, необход</w:t>
      </w:r>
      <w:r w:rsidRPr="00AB0676">
        <w:t>и</w:t>
      </w:r>
      <w:r w:rsidRPr="00AB0676">
        <w:t>мо отметить, что это может серьезно ограничить их карьерный рост и соотве</w:t>
      </w:r>
      <w:r w:rsidRPr="00AB0676">
        <w:t>т</w:t>
      </w:r>
      <w:r w:rsidRPr="00AB0676">
        <w:t>ствующее продвижение по службе (</w:t>
      </w:r>
      <w:r w:rsidRPr="00AB0676">
        <w:rPr>
          <w:i/>
        </w:rPr>
        <w:t>«Содействие достижению гендерного р</w:t>
      </w:r>
      <w:r w:rsidRPr="00AB0676">
        <w:rPr>
          <w:i/>
        </w:rPr>
        <w:t>а</w:t>
      </w:r>
      <w:r w:rsidRPr="00AB0676">
        <w:rPr>
          <w:i/>
        </w:rPr>
        <w:t>венства посредством недискриминационного трудового законодательства</w:t>
      </w:r>
      <w:r>
        <w:rPr>
          <w:i/>
        </w:rPr>
        <w:t>»</w:t>
      </w:r>
      <w:r w:rsidRPr="00AB0676">
        <w:rPr>
          <w:i/>
        </w:rPr>
        <w:t>, обзор, проведенный Гендерным центром устойчивого развития, НПО, 2012 год).</w:t>
      </w:r>
    </w:p>
    <w:p w:rsidR="00AB0676" w:rsidRPr="00AB0676" w:rsidRDefault="00AB0676" w:rsidP="00AB0676">
      <w:pPr>
        <w:pStyle w:val="SingleTxt"/>
      </w:pPr>
      <w:r>
        <w:tab/>
      </w:r>
      <w:r w:rsidRPr="00AB0676">
        <w:t>Большинству работающих родителей приходится вести достаточно сло</w:t>
      </w:r>
      <w:r w:rsidRPr="00AB0676">
        <w:t>ж</w:t>
      </w:r>
      <w:r w:rsidRPr="00AB0676">
        <w:t>ную жизнь, поскольку им приходится сочетать родительские обязанности, р</w:t>
      </w:r>
      <w:r w:rsidRPr="00AB0676">
        <w:t>а</w:t>
      </w:r>
      <w:r w:rsidRPr="00AB0676">
        <w:t>боту/карьеру и общественную жизнь. Количества детских садов и яслей нед</w:t>
      </w:r>
      <w:r w:rsidRPr="00AB0676">
        <w:t>о</w:t>
      </w:r>
      <w:r w:rsidRPr="00AB0676">
        <w:t>статочно для обеспечения удовлетворительных условий и для детей и для р</w:t>
      </w:r>
      <w:r w:rsidRPr="00AB0676">
        <w:t>о</w:t>
      </w:r>
      <w:r w:rsidRPr="00AB0676">
        <w:t>дителей; с 2008/09 учебного года срок обучения в общеобразовательных сре</w:t>
      </w:r>
      <w:r w:rsidRPr="00AB0676">
        <w:t>д</w:t>
      </w:r>
      <w:r w:rsidRPr="00AB0676">
        <w:t>них школах был продлен с 10 до 12 лет. В связи с этим начальную школу нач</w:t>
      </w:r>
      <w:r w:rsidRPr="00AB0676">
        <w:t>а</w:t>
      </w:r>
      <w:r w:rsidRPr="00AB0676">
        <w:t>ли посещать шестилетние дети, что удвоило нагрузку на их матерей. В сущ</w:t>
      </w:r>
      <w:r w:rsidRPr="00AB0676">
        <w:t>е</w:t>
      </w:r>
      <w:r w:rsidRPr="00AB0676">
        <w:t>ствующем Законе о труде отсутствует координационная схема по этому вопр</w:t>
      </w:r>
      <w:r w:rsidRPr="00AB0676">
        <w:t>о</w:t>
      </w:r>
      <w:r w:rsidRPr="00AB0676">
        <w:t>су. В последнее время многие сельские женщины из кочевых семей предпоч</w:t>
      </w:r>
      <w:r w:rsidRPr="00AB0676">
        <w:t>и</w:t>
      </w:r>
      <w:r w:rsidRPr="00AB0676">
        <w:t>тают во время учебного года переезжать в сомонные центры, чтобы отправлять своих детей в начальные классы, тогда как их мужья и старшие члены семьи продолжают кочевать. Правительство ищет возможности введения гибкого р</w:t>
      </w:r>
      <w:r w:rsidRPr="00AB0676">
        <w:t>е</w:t>
      </w:r>
      <w:r w:rsidRPr="00AB0676">
        <w:t xml:space="preserve">жима работы, </w:t>
      </w:r>
      <w:r>
        <w:t>«</w:t>
      </w:r>
      <w:r w:rsidRPr="00AB0676">
        <w:t>графика, учитывающего баланс между работой и личной жи</w:t>
      </w:r>
      <w:r w:rsidRPr="00AB0676">
        <w:t>з</w:t>
      </w:r>
      <w:r w:rsidRPr="00AB0676">
        <w:t>нью</w:t>
      </w:r>
      <w:r>
        <w:t>»</w:t>
      </w:r>
      <w:r w:rsidRPr="00AB0676">
        <w:t>, и увеличения количества учреждений для ухода за детьми и их развития.</w:t>
      </w:r>
    </w:p>
    <w:p w:rsidR="00AB0676" w:rsidRPr="00AB0676" w:rsidRDefault="00AB0676" w:rsidP="00AB0676">
      <w:pPr>
        <w:pStyle w:val="SingleTxt"/>
      </w:pPr>
      <w:r>
        <w:tab/>
      </w:r>
      <w:r w:rsidRPr="00AB0676">
        <w:t>В статье 40.1.3 Закона о труде говорится, что работники, достигшие 60-летнего возраста, могут уходить на пенсию. В Законе о пенсиях (1994 год), м</w:t>
      </w:r>
      <w:r w:rsidRPr="00AB0676">
        <w:t>а</w:t>
      </w:r>
      <w:r w:rsidRPr="00AB0676">
        <w:t>териальное обеспечение которого осуществляет фонд социального страхов</w:t>
      </w:r>
      <w:r w:rsidRPr="00AB0676">
        <w:t>а</w:t>
      </w:r>
      <w:r w:rsidRPr="00AB0676">
        <w:t>ния, пре</w:t>
      </w:r>
      <w:r w:rsidRPr="00AB0676">
        <w:t>д</w:t>
      </w:r>
      <w:r w:rsidRPr="00AB0676">
        <w:t>лагается пенсионное пособие работникам (мужчинам старше 60 лет и женщинам старше 55 лет), которые имеют как минимум 20 лет трудового ст</w:t>
      </w:r>
      <w:r w:rsidRPr="00AB0676">
        <w:t>а</w:t>
      </w:r>
      <w:r w:rsidRPr="00AB0676">
        <w:t>жа. Женщины, которые вырастили четверых или более детей и вносили взносы в пенсионный фонд в течение не менее 20 лет, имеют право уходить на пенсию в 50 лет.</w:t>
      </w:r>
    </w:p>
    <w:p w:rsidR="00AB0676" w:rsidRPr="00AB0676" w:rsidRDefault="00AB0676" w:rsidP="00AB0676">
      <w:pPr>
        <w:pStyle w:val="SingleTxt"/>
      </w:pPr>
      <w:r>
        <w:tab/>
      </w:r>
      <w:r w:rsidRPr="00AB0676">
        <w:t>Женские НПО заявляют, что досрочный выход женщин на пенсию огр</w:t>
      </w:r>
      <w:r w:rsidRPr="00AB0676">
        <w:t>а</w:t>
      </w:r>
      <w:r w:rsidRPr="00AB0676">
        <w:t>ничивает перспективы их карьерного роста, лишает права воспользоваться п</w:t>
      </w:r>
      <w:r w:rsidRPr="00AB0676">
        <w:t>о</w:t>
      </w:r>
      <w:r w:rsidRPr="00AB0676">
        <w:t xml:space="preserve">литической свободой и служит своего рода </w:t>
      </w:r>
      <w:r>
        <w:t>«</w:t>
      </w:r>
      <w:r w:rsidRPr="00AB0676">
        <w:t>невидимым барьером</w:t>
      </w:r>
      <w:r>
        <w:t>»</w:t>
      </w:r>
      <w:r w:rsidRPr="00AB0676">
        <w:t>. В обзоре трудовых ресурсов, проведенном в 2009 году, разъяснялось, что досрочный в</w:t>
      </w:r>
      <w:r w:rsidRPr="00AB0676">
        <w:t>ы</w:t>
      </w:r>
      <w:r w:rsidRPr="00AB0676">
        <w:t>ход женщин на пенсию является главной причиной безработицы среди женщин в возрасте 50 лет и старше. Почти 30 процентов из них возглавляют домох</w:t>
      </w:r>
      <w:r w:rsidRPr="00AB0676">
        <w:t>о</w:t>
      </w:r>
      <w:r w:rsidRPr="00AB0676">
        <w:t>зяйства, и таким образом досрочный выход на пенсию, конечно, не представл</w:t>
      </w:r>
      <w:r w:rsidRPr="00AB0676">
        <w:t>я</w:t>
      </w:r>
      <w:r w:rsidRPr="00AB0676">
        <w:t>ется удачной альтернативой, поскольку отражается на их доходах.</w:t>
      </w:r>
    </w:p>
    <w:p w:rsidR="00AB0676" w:rsidRPr="00AB0676" w:rsidRDefault="00AB0676" w:rsidP="00AB0676">
      <w:pPr>
        <w:pStyle w:val="SingleTxt"/>
      </w:pPr>
      <w:r>
        <w:tab/>
      </w:r>
      <w:r w:rsidRPr="00AB0676">
        <w:t>По состоянию на июнь 2014 года минимальная трудовая пенсия составл</w:t>
      </w:r>
      <w:r w:rsidRPr="00AB0676">
        <w:t>я</w:t>
      </w:r>
      <w:r w:rsidRPr="00AB0676">
        <w:t>ла 207 300 монгольских тугриков в месяц, пропорционально рассчитанная м</w:t>
      </w:r>
      <w:r w:rsidRPr="00AB0676">
        <w:t>и</w:t>
      </w:r>
      <w:r w:rsidRPr="00AB0676">
        <w:t>нимальная пенсия равнялась 172 200 монгольским тугрикам, а пенсия, выпл</w:t>
      </w:r>
      <w:r w:rsidRPr="00AB0676">
        <w:t>а</w:t>
      </w:r>
      <w:r w:rsidRPr="00AB0676">
        <w:t>чиваемая из фонда социального обеспечения, составляла 168 000 монгольских тугриков.</w:t>
      </w:r>
    </w:p>
    <w:p w:rsidR="00AB0676" w:rsidRPr="00AB0676" w:rsidRDefault="00AB0676" w:rsidP="00AB0676">
      <w:pPr>
        <w:pStyle w:val="SingleTxt"/>
      </w:pPr>
      <w:r>
        <w:tab/>
      </w:r>
      <w:r w:rsidRPr="00AB0676">
        <w:t xml:space="preserve">В декабре 2012 года правительство приняло решение </w:t>
      </w:r>
      <w:r>
        <w:t>«</w:t>
      </w:r>
      <w:r w:rsidRPr="00AB0676">
        <w:t>учитывать пос</w:t>
      </w:r>
      <w:r w:rsidRPr="00AB0676">
        <w:t>о</w:t>
      </w:r>
      <w:r w:rsidRPr="00AB0676">
        <w:t>бия по пенсионному страхованию и годы службы</w:t>
      </w:r>
      <w:r>
        <w:t>»</w:t>
      </w:r>
      <w:r w:rsidRPr="00AB0676">
        <w:t>, чтобы урегулировать ситу</w:t>
      </w:r>
      <w:r w:rsidRPr="00AB0676">
        <w:t>а</w:t>
      </w:r>
      <w:r w:rsidRPr="00AB0676">
        <w:t>цию для тех лиц, которые потеряли работу и не имели возможности трудоустро</w:t>
      </w:r>
      <w:r w:rsidRPr="00AB0676">
        <w:t>й</w:t>
      </w:r>
      <w:r w:rsidRPr="00AB0676">
        <w:t>ства из-за переходной ситуации в экономике в период с 1990 по 2000 год. В р</w:t>
      </w:r>
      <w:r w:rsidRPr="00AB0676">
        <w:t>е</w:t>
      </w:r>
      <w:r w:rsidRPr="00AB0676">
        <w:t>зультате в прошлом году 494 800 человек воспользовались этим выгодным в</w:t>
      </w:r>
      <w:r w:rsidRPr="00AB0676">
        <w:t>а</w:t>
      </w:r>
      <w:r w:rsidRPr="00AB0676">
        <w:t>риантом.</w:t>
      </w:r>
    </w:p>
    <w:p w:rsidR="00AB0676" w:rsidRPr="00AB0676" w:rsidRDefault="00AB0676" w:rsidP="00AB0676">
      <w:pPr>
        <w:pStyle w:val="SingleTxt"/>
      </w:pPr>
      <w:r>
        <w:tab/>
      </w:r>
      <w:r w:rsidRPr="00AB0676">
        <w:t>В 2014 году к вышеупомянутому решению было добавлено еще одно пр</w:t>
      </w:r>
      <w:r w:rsidRPr="00AB0676">
        <w:t>а</w:t>
      </w:r>
      <w:r w:rsidRPr="00AB0676">
        <w:t>вило, по которому этот льготный вариант будет распространен на тех, кто д</w:t>
      </w:r>
      <w:r w:rsidRPr="00AB0676">
        <w:t>о</w:t>
      </w:r>
      <w:r w:rsidRPr="00AB0676">
        <w:t>срочно вышел на пенсию в 1991–1994 годах, а также на досрочно вышедших на пенсию женщин, имеющих четверых или более детей. В 1991–1994 годах же</w:t>
      </w:r>
      <w:r w:rsidRPr="00AB0676">
        <w:t>н</w:t>
      </w:r>
      <w:r w:rsidRPr="00AB0676">
        <w:t>щины, имевшие четверых или более детей, и лица, проработавшие 27 лет, им</w:t>
      </w:r>
      <w:r w:rsidRPr="00AB0676">
        <w:t>е</w:t>
      </w:r>
      <w:r w:rsidRPr="00AB0676">
        <w:t>ли право выйти на пенсию независимо от возраста. В переходный период в 1990-е годы многие предприятия и хозяйственные объекты были закрыты, п</w:t>
      </w:r>
      <w:r w:rsidRPr="00AB0676">
        <w:t>о</w:t>
      </w:r>
      <w:r w:rsidRPr="00AB0676">
        <w:t>скольку страна переходила от централизованного планового хозяйства к св</w:t>
      </w:r>
      <w:r w:rsidRPr="00AB0676">
        <w:t>о</w:t>
      </w:r>
      <w:r w:rsidRPr="00AB0676">
        <w:t>бодной рыночной экономике. В течение этого периода пришлось уволиться с работы мн</w:t>
      </w:r>
      <w:r w:rsidRPr="00AB0676">
        <w:t>о</w:t>
      </w:r>
      <w:r w:rsidRPr="00AB0676">
        <w:t>гим 30-летним женщинам, и в настоящее время они имеют право на минимальное пенсионное обеспечение. Согласно предварительным данным примерно 41 000 человек были зарегистрированы по этой дополнительно ур</w:t>
      </w:r>
      <w:r w:rsidRPr="00AB0676">
        <w:t>е</w:t>
      </w:r>
      <w:r w:rsidRPr="00AB0676">
        <w:t>гулированной схеме, из которых 82 процента составляют женщины. Таким о</w:t>
      </w:r>
      <w:r w:rsidRPr="00AB0676">
        <w:t>б</w:t>
      </w:r>
      <w:r w:rsidRPr="00AB0676">
        <w:t>разом, это несоответствие в размерах пенсий по старости будет компенсир</w:t>
      </w:r>
      <w:r w:rsidRPr="00AB0676">
        <w:t>о</w:t>
      </w:r>
      <w:r w:rsidRPr="00AB0676">
        <w:t>ваться нач</w:t>
      </w:r>
      <w:r w:rsidRPr="00AB0676">
        <w:t>и</w:t>
      </w:r>
      <w:r w:rsidRPr="00AB0676">
        <w:t>ная с января 2015 года.</w:t>
      </w:r>
    </w:p>
    <w:p w:rsidR="00AB0676" w:rsidRDefault="00AB0676" w:rsidP="00AB0676">
      <w:pPr>
        <w:pStyle w:val="SingleTxt"/>
      </w:pPr>
      <w:r>
        <w:br w:type="page"/>
      </w:r>
      <w:r>
        <w:tab/>
      </w:r>
      <w:r w:rsidRPr="00AB0676">
        <w:t xml:space="preserve">В докладе </w:t>
      </w:r>
      <w:r>
        <w:t>«</w:t>
      </w:r>
      <w:r w:rsidRPr="00AB0676">
        <w:t>Воздействие глобального экономического и финансового кр</w:t>
      </w:r>
      <w:r w:rsidRPr="00AB0676">
        <w:t>и</w:t>
      </w:r>
      <w:r w:rsidRPr="00AB0676">
        <w:t>зиса на экономику Монголии: рынок труда, социальная незащищенность и н</w:t>
      </w:r>
      <w:r w:rsidRPr="00AB0676">
        <w:t>и</w:t>
      </w:r>
      <w:r w:rsidRPr="00AB0676">
        <w:t>щета</w:t>
      </w:r>
      <w:r>
        <w:t>»</w:t>
      </w:r>
      <w:r w:rsidRPr="00AB0676">
        <w:t xml:space="preserve"> говорится, что 30–35 процентов рабочей силы страны заняты в нефо</w:t>
      </w:r>
      <w:r w:rsidRPr="00AB0676">
        <w:t>р</w:t>
      </w:r>
      <w:r w:rsidRPr="00AB0676">
        <w:t>мальном секторе. Женщины в основном работают в небольших торговых пре</w:t>
      </w:r>
      <w:r w:rsidRPr="00AB0676">
        <w:t>д</w:t>
      </w:r>
      <w:r w:rsidRPr="00AB0676">
        <w:t>приятиях, которые требуют скромных начальных капиталовложений; норм</w:t>
      </w:r>
      <w:r w:rsidRPr="00AB0676">
        <w:t>а</w:t>
      </w:r>
      <w:r w:rsidRPr="00AB0676">
        <w:t>тивная база для защиты их прав пока еще не создана.</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31" w:name="_Toc413159922"/>
      <w:r w:rsidRPr="00AB0676">
        <w:t>3.3.</w:t>
      </w:r>
      <w:r w:rsidRPr="00AB0676">
        <w:tab/>
        <w:t>Гендерное равенство в секторе здравоохранения</w:t>
      </w:r>
      <w:bookmarkEnd w:id="31"/>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rPr>
          <w:b/>
        </w:rPr>
        <w:tab/>
      </w:r>
      <w:bookmarkStart w:id="32" w:name="_Toc413159923"/>
      <w:r w:rsidRPr="00AB0676">
        <w:t>(Статьи 4, 12)</w:t>
      </w:r>
      <w:bookmarkEnd w:id="32"/>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В Конституции Монголии (16.6) говорится, что каждый гражданин имеет право на защиту здоровья и медицинскую помощь. В связи с этим статья 4 З</w:t>
      </w:r>
      <w:r w:rsidRPr="00AB0676">
        <w:t>а</w:t>
      </w:r>
      <w:r w:rsidRPr="00AB0676">
        <w:t>кона о здравоохранении предусматривает, что население получает медици</w:t>
      </w:r>
      <w:r w:rsidRPr="00AB0676">
        <w:t>н</w:t>
      </w:r>
      <w:r w:rsidRPr="00AB0676">
        <w:t>скую помощь и услуги без какой-либо дискриминации. В настоящее время в этом секторе осуществляются три государственные программы, действуют 13 законов, генеральный план в области здравоохранения и свыше 20 стратегических д</w:t>
      </w:r>
      <w:r w:rsidRPr="00AB0676">
        <w:t>о</w:t>
      </w:r>
      <w:r w:rsidRPr="00AB0676">
        <w:t>кументов.</w:t>
      </w:r>
    </w:p>
    <w:p w:rsidR="00AB0676" w:rsidRPr="00AB0676" w:rsidRDefault="00AB0676" w:rsidP="00AB0676">
      <w:pPr>
        <w:pStyle w:val="SingleTxt"/>
      </w:pPr>
      <w:r>
        <w:tab/>
      </w:r>
      <w:r w:rsidRPr="00AB0676">
        <w:t xml:space="preserve">С 1997 года </w:t>
      </w:r>
      <w:r>
        <w:t>«</w:t>
      </w:r>
      <w:r w:rsidRPr="00AB0676">
        <w:t>государственная программа по репродуктивному здоровью</w:t>
      </w:r>
      <w:r>
        <w:t>»</w:t>
      </w:r>
      <w:r w:rsidRPr="00AB0676">
        <w:t xml:space="preserve"> включает вопросы, связанные с планированием размера семьи. Позже была утверждена </w:t>
      </w:r>
      <w:r>
        <w:t>«</w:t>
      </w:r>
      <w:r w:rsidRPr="00AB0676">
        <w:t>государственная стратегия по лекарственным средствам для р</w:t>
      </w:r>
      <w:r w:rsidRPr="00AB0676">
        <w:t>е</w:t>
      </w:r>
      <w:r w:rsidRPr="00AB0676">
        <w:t>продуктивного здоровья, безопасности медицинского оборудования и устойч</w:t>
      </w:r>
      <w:r w:rsidRPr="00AB0676">
        <w:t>и</w:t>
      </w:r>
      <w:r w:rsidRPr="00AB0676">
        <w:t>вому снабжению</w:t>
      </w:r>
      <w:r>
        <w:t>»</w:t>
      </w:r>
      <w:r w:rsidRPr="00AB0676">
        <w:t>. Правительство выделило 85 млн. монгольских тугриков в 2010 году, 100 млн.</w:t>
      </w:r>
      <w:r>
        <w:t xml:space="preserve"> — </w:t>
      </w:r>
      <w:r w:rsidRPr="00AB0676">
        <w:t>в 2011 году, 150 млн.</w:t>
      </w:r>
      <w:r>
        <w:t xml:space="preserve"> — </w:t>
      </w:r>
      <w:r w:rsidRPr="00AB0676">
        <w:t>в 2012 году, 180 млн.</w:t>
      </w:r>
      <w:r>
        <w:t xml:space="preserve"> — </w:t>
      </w:r>
      <w:r w:rsidRPr="00AB0676">
        <w:t>в 2013 году и 210 млн.</w:t>
      </w:r>
      <w:r>
        <w:t xml:space="preserve"> — </w:t>
      </w:r>
      <w:r w:rsidRPr="00AB0676">
        <w:t>в 2014 году соответственно в распоряжение Министе</w:t>
      </w:r>
      <w:r w:rsidRPr="00AB0676">
        <w:t>р</w:t>
      </w:r>
      <w:r w:rsidRPr="00AB0676">
        <w:t>ства здравоохранения на поставки наиболее востребованных лекарств и обор</w:t>
      </w:r>
      <w:r w:rsidRPr="00AB0676">
        <w:t>у</w:t>
      </w:r>
      <w:r w:rsidRPr="00AB0676">
        <w:t>дования для целей охраны репродуктивного здоровья.</w:t>
      </w:r>
    </w:p>
    <w:p w:rsidR="00AB0676" w:rsidRPr="00AB0676" w:rsidRDefault="00AB0676" w:rsidP="00AB0676">
      <w:pPr>
        <w:pStyle w:val="SingleTxt"/>
      </w:pPr>
      <w:r>
        <w:tab/>
      </w:r>
      <w:r w:rsidRPr="00AB0676">
        <w:t>ЮНФПА ежегодно выделяет 300 000 долл. США Министерству здрав</w:t>
      </w:r>
      <w:r w:rsidRPr="00AB0676">
        <w:t>о</w:t>
      </w:r>
      <w:r w:rsidRPr="00AB0676">
        <w:t>охранения для необходимой закупки и распространения препаратов и единиц обор</w:t>
      </w:r>
      <w:r w:rsidRPr="00AB0676">
        <w:t>у</w:t>
      </w:r>
      <w:r w:rsidRPr="00AB0676">
        <w:t>дования в целях охраны репродуктивного здоровья, предназначенных для уя</w:t>
      </w:r>
      <w:r w:rsidRPr="00AB0676">
        <w:t>з</w:t>
      </w:r>
      <w:r w:rsidRPr="00AB0676">
        <w:t>вимых групп населения.</w:t>
      </w:r>
    </w:p>
    <w:p w:rsidR="00AB0676" w:rsidRPr="00AB0676" w:rsidRDefault="00AB0676" w:rsidP="00AB0676">
      <w:pPr>
        <w:pStyle w:val="SingleTxt"/>
      </w:pPr>
      <w:r>
        <w:tab/>
      </w:r>
      <w:r w:rsidRPr="00AB0676">
        <w:t>Национальная статистическая служба (НСС) ежегодно проводит общен</w:t>
      </w:r>
      <w:r w:rsidRPr="00AB0676">
        <w:t>а</w:t>
      </w:r>
      <w:r w:rsidRPr="00AB0676">
        <w:t>циональный обзор по охране репродуктивного здоровья, и результаты обзора, проведенного в 2008 году, показали, что 96–98 процентов респондентов, кот</w:t>
      </w:r>
      <w:r w:rsidRPr="00AB0676">
        <w:t>о</w:t>
      </w:r>
      <w:r w:rsidRPr="00AB0676">
        <w:t>рые представляли сельские и городские районы, независимо от их образования, уровня доходов и возраста, говорили, что они знают об общепринятых методах регулирования рождаемости. Несмотря на широкую доступность информации о методах планирования размера семьи, многие люди не используют эти зн</w:t>
      </w:r>
      <w:r w:rsidRPr="00AB0676">
        <w:t>а</w:t>
      </w:r>
      <w:r w:rsidRPr="00AB0676">
        <w:t>ния, и вследствие этого сохраняется высокий уровень абортов. Почти 70 процентов абортов являются повторными. Отмечается, что доступность и качество консультирования по вопросам планирования семьи для целевых групп по-прежнему нуждаются в улучшении.</w:t>
      </w:r>
    </w:p>
    <w:p w:rsidR="00AB0676" w:rsidRPr="00AB0676" w:rsidRDefault="00AB0676" w:rsidP="00AB0676">
      <w:pPr>
        <w:pStyle w:val="SingleTxt"/>
      </w:pPr>
      <w:r>
        <w:tab/>
      </w:r>
      <w:r w:rsidRPr="00AB0676">
        <w:t>Осуществление двух национальных стратегий по снижению материнской смертности (2001–2005 годы, 2006–2010 годы), национальной стратегии по профилактике дефицита питательных микроэлементов у младенцев (2005 год) и национальной стратегии по охране здоровья матерей и младенцев (2011–2015 годы) способствовало повышению доступности и улучшению качества медико-санитарного обслуживания матерей и младенцев. В 2000 году матери</w:t>
      </w:r>
      <w:r w:rsidRPr="00AB0676">
        <w:t>н</w:t>
      </w:r>
      <w:r w:rsidRPr="00AB0676">
        <w:t>ская смертность составляла 166,2, к 2008 году она снизилась до 96,7, и тем с</w:t>
      </w:r>
      <w:r w:rsidRPr="00AB0676">
        <w:t>а</w:t>
      </w:r>
      <w:r w:rsidRPr="00AB0676">
        <w:t>мым уровень материнской смертности в стране сместился с высокого до сре</w:t>
      </w:r>
      <w:r w:rsidRPr="00AB0676">
        <w:t>д</w:t>
      </w:r>
      <w:r w:rsidRPr="00AB0676">
        <w:t>него уровня. В 2013 году этот показатель составил 46,2, что свидетельствует о его снижении в 4,7 раза по сравнению с 1990 годом. К 2015 году мы стремимся достичь нашей цели по ЦРТ. В стране 341 родильный дом, которые обслуж</w:t>
      </w:r>
      <w:r w:rsidRPr="00AB0676">
        <w:t>и</w:t>
      </w:r>
      <w:r w:rsidRPr="00AB0676">
        <w:t>вают 74,9 процента беременных женщин.</w:t>
      </w:r>
    </w:p>
    <w:p w:rsidR="00AB0676" w:rsidRPr="00AB0676" w:rsidRDefault="00AB0676" w:rsidP="00AB0676">
      <w:pPr>
        <w:pStyle w:val="SingleTxt"/>
      </w:pPr>
      <w:r>
        <w:tab/>
      </w:r>
      <w:r w:rsidRPr="00AB0676">
        <w:t>На показатель материнской смертности оказали влияние следующие фа</w:t>
      </w:r>
      <w:r w:rsidRPr="00AB0676">
        <w:t>к</w:t>
      </w:r>
      <w:r w:rsidRPr="00AB0676">
        <w:t>торы: информированность женщин и мужчин о процессах беременности и р</w:t>
      </w:r>
      <w:r w:rsidRPr="00AB0676">
        <w:t>о</w:t>
      </w:r>
      <w:r w:rsidRPr="00AB0676">
        <w:t>дов, осложнениях, связанных с родами, общей профилактике и охране здор</w:t>
      </w:r>
      <w:r w:rsidRPr="00AB0676">
        <w:t>о</w:t>
      </w:r>
      <w:r w:rsidRPr="00AB0676">
        <w:t>вья. Иногда советы врача невозможно выполнить из-за обстоятельств матер</w:t>
      </w:r>
      <w:r w:rsidRPr="00AB0676">
        <w:t>и</w:t>
      </w:r>
      <w:r w:rsidRPr="00AB0676">
        <w:t>ального характера.</w:t>
      </w:r>
    </w:p>
    <w:p w:rsidR="00AB0676" w:rsidRPr="00AB0676" w:rsidRDefault="00AB0676" w:rsidP="00AB0676">
      <w:pPr>
        <w:pStyle w:val="SingleTxt"/>
      </w:pPr>
      <w:r>
        <w:tab/>
      </w:r>
      <w:r w:rsidRPr="00AB0676">
        <w:t>В законах об охране здоровья, труде и социальной защите дается общее руководство по оказанию медицинских услуг в дородовой и послеродовой п</w:t>
      </w:r>
      <w:r w:rsidRPr="00AB0676">
        <w:t>е</w:t>
      </w:r>
      <w:r w:rsidRPr="00AB0676">
        <w:t>риоды, приведены конкретные соображения относительно бесплатной мед</w:t>
      </w:r>
      <w:r w:rsidRPr="00AB0676">
        <w:t>и</w:t>
      </w:r>
      <w:r w:rsidRPr="00AB0676">
        <w:t>цинской помощи и предусматриваются услуги и положения, касающиеся ко</w:t>
      </w:r>
      <w:r w:rsidRPr="00AB0676">
        <w:t>р</w:t>
      </w:r>
      <w:r w:rsidRPr="00AB0676">
        <w:t>мящих матерей и младенцев, испытывающих недостаток в необходимых пит</w:t>
      </w:r>
      <w:r w:rsidRPr="00AB0676">
        <w:t>а</w:t>
      </w:r>
      <w:r w:rsidRPr="00AB0676">
        <w:t>тельных веществах. Государство берет на себя расходы на медицинские обсл</w:t>
      </w:r>
      <w:r w:rsidRPr="00AB0676">
        <w:t>е</w:t>
      </w:r>
      <w:r w:rsidRPr="00AB0676">
        <w:t>дования, анализы и лечение (относящееся к беременности и рождению ребе</w:t>
      </w:r>
      <w:r w:rsidRPr="00AB0676">
        <w:t>н</w:t>
      </w:r>
      <w:r w:rsidRPr="00AB0676">
        <w:t>ка) бер</w:t>
      </w:r>
      <w:r w:rsidRPr="00AB0676">
        <w:t>е</w:t>
      </w:r>
      <w:r w:rsidRPr="00AB0676">
        <w:t>менных женщин до родов и в течение 45 дней в послеродовой период. Женщины имеют право на получение ежемесячных пособий в течение 12 месяцев начиная с 5</w:t>
      </w:r>
      <w:r w:rsidRPr="00AB0676">
        <w:noBreakHyphen/>
        <w:t>го месяца беременности.</w:t>
      </w:r>
    </w:p>
    <w:p w:rsidR="00AB0676" w:rsidRPr="00AB0676" w:rsidRDefault="00AB0676" w:rsidP="00AB0676">
      <w:pPr>
        <w:pStyle w:val="SingleTxt"/>
      </w:pPr>
      <w:r>
        <w:tab/>
      </w:r>
      <w:r w:rsidRPr="00AB0676">
        <w:t>Пособия, финансируемые через систему медицинского страхования, часто не покрывают стоимости предоставляемых медицинских услуг. Беременные женщины и кормящие матери нередко испытывают нехватку необходимых п</w:t>
      </w:r>
      <w:r w:rsidRPr="00AB0676">
        <w:t>и</w:t>
      </w:r>
      <w:r w:rsidRPr="00AB0676">
        <w:t>тательных микроэлементов, если не имеют какого-либо другого дохода помимо социальных пособий; такая ситуация различается в разных регионах.</w:t>
      </w:r>
    </w:p>
    <w:p w:rsidR="00AB0676" w:rsidRDefault="00AB0676" w:rsidP="00AB0676">
      <w:pPr>
        <w:pStyle w:val="SingleTxt"/>
      </w:pPr>
      <w:r>
        <w:tab/>
      </w:r>
      <w:r w:rsidRPr="00AB0676">
        <w:t>По состоянию на 2013 год на деятельность сектора здравоохранения в</w:t>
      </w:r>
      <w:r w:rsidRPr="00AB0676">
        <w:t>ы</w:t>
      </w:r>
      <w:r w:rsidRPr="00AB0676">
        <w:t>деляется 20 процентов государственного бюджета; общая численность рабо</w:t>
      </w:r>
      <w:r w:rsidRPr="00AB0676">
        <w:t>т</w:t>
      </w:r>
      <w:r w:rsidRPr="00AB0676">
        <w:t>ников сектора здравоохранения составляет 45 000 человек, из которых 36 300 человек</w:t>
      </w:r>
      <w:r>
        <w:t xml:space="preserve"> — </w:t>
      </w:r>
      <w:r w:rsidRPr="00AB0676">
        <w:t>женщины.</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33" w:name="_Toc413159924"/>
      <w:r w:rsidRPr="00AB0676">
        <w:t>3.4.</w:t>
      </w:r>
      <w:r w:rsidRPr="00AB0676">
        <w:tab/>
        <w:t>Ликвидация дискриминации в отношении женщин в экономической и социальной жизни</w:t>
      </w:r>
      <w:bookmarkEnd w:id="33"/>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tab/>
      </w:r>
      <w:bookmarkStart w:id="34" w:name="_Toc413159925"/>
      <w:r w:rsidRPr="00AB0676">
        <w:t>(Статья 13)</w:t>
      </w:r>
      <w:bookmarkEnd w:id="34"/>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Закон о поощрении гендерного равенства запрещает гендерную дискр</w:t>
      </w:r>
      <w:r w:rsidRPr="00AB0676">
        <w:t>и</w:t>
      </w:r>
      <w:r w:rsidRPr="00AB0676">
        <w:t>минацию в экономической и социальной сферах.</w:t>
      </w:r>
    </w:p>
    <w:p w:rsidR="00AB0676" w:rsidRPr="00AB0676" w:rsidRDefault="00AB0676" w:rsidP="00AB0676">
      <w:pPr>
        <w:pStyle w:val="SingleTxt"/>
      </w:pPr>
      <w:r>
        <w:tab/>
      </w:r>
      <w:r w:rsidRPr="00AB0676">
        <w:t>Статья 9 ЗПГР гарантирует равные права в экономической сфере. НКГР объявил 2014 год Годом расширения экономических прав женщин и развития у них лидерских качеств; в рамках этой кампании были организованы обсужд</w:t>
      </w:r>
      <w:r w:rsidRPr="00AB0676">
        <w:t>е</w:t>
      </w:r>
      <w:r w:rsidRPr="00AB0676">
        <w:t>ния с участием женщин, занимающихся малым и средним предпринимател</w:t>
      </w:r>
      <w:r w:rsidRPr="00AB0676">
        <w:t>ь</w:t>
      </w:r>
      <w:r w:rsidRPr="00AB0676">
        <w:t>ством, а также участвующих в деятельности гражданского общества. В июне 2014 года была принята субстратегия по расширению экономических возмо</w:t>
      </w:r>
      <w:r w:rsidRPr="00AB0676">
        <w:t>ж</w:t>
      </w:r>
      <w:r w:rsidRPr="00AB0676">
        <w:t>ностей для женщин и развитию у них лидерских качеств. НКГР осуществляет серию мероприятий, направленных на повышение доходов домашних хозяйств, сокращение масштабов нищеты и улучшение экономического положения же</w:t>
      </w:r>
      <w:r w:rsidRPr="00AB0676">
        <w:t>н</w:t>
      </w:r>
      <w:r w:rsidRPr="00AB0676">
        <w:t>щин посредством принятия субстратегии и выработки соответствующих пр</w:t>
      </w:r>
      <w:r w:rsidRPr="00AB0676">
        <w:t>о</w:t>
      </w:r>
      <w:r w:rsidRPr="00AB0676">
        <w:t>грамм.</w:t>
      </w:r>
    </w:p>
    <w:p w:rsidR="00AB0676" w:rsidRPr="00AB0676" w:rsidRDefault="00AB0676" w:rsidP="00AB0676">
      <w:pPr>
        <w:pStyle w:val="SingleTxt"/>
      </w:pPr>
      <w:r>
        <w:tab/>
      </w:r>
      <w:r w:rsidRPr="00AB0676">
        <w:t>Существующий темп экономического роста не способствует ликвидации нищеты, при этом разрыв между богатыми и малоимущими вырос, что делает положение большинства женщин и детей еще более уязвимым. По состоянию на 2014 год женщины возглавляют 17 процентов всех домохозяйств. Прав</w:t>
      </w:r>
      <w:r w:rsidRPr="00AB0676">
        <w:t>и</w:t>
      </w:r>
      <w:r w:rsidRPr="00AB0676">
        <w:t>тельство работает над тем, чтобы диверсифицировать экономические возмо</w:t>
      </w:r>
      <w:r w:rsidRPr="00AB0676">
        <w:t>ж</w:t>
      </w:r>
      <w:r w:rsidRPr="00AB0676">
        <w:t>ности и обеспечить социальное благополучие домохозяйствам с низким уро</w:t>
      </w:r>
      <w:r w:rsidRPr="00AB0676">
        <w:t>в</w:t>
      </w:r>
      <w:r w:rsidRPr="00AB0676">
        <w:t>нем д</w:t>
      </w:r>
      <w:r w:rsidRPr="00AB0676">
        <w:t>о</w:t>
      </w:r>
      <w:r w:rsidRPr="00AB0676">
        <w:t>ходов.</w:t>
      </w:r>
    </w:p>
    <w:p w:rsidR="00AB0676" w:rsidRPr="00AB0676" w:rsidRDefault="00AB0676" w:rsidP="00AB0676">
      <w:pPr>
        <w:pStyle w:val="SingleTxt"/>
      </w:pPr>
      <w:r>
        <w:tab/>
      </w:r>
      <w:r w:rsidRPr="00AB0676">
        <w:t>Происходящий в последнее время интенсивный поток внутренней мигр</w:t>
      </w:r>
      <w:r w:rsidRPr="00AB0676">
        <w:t>а</w:t>
      </w:r>
      <w:r w:rsidRPr="00AB0676">
        <w:t>ции из сельских районов в городские поселения наиболее отрицательно ск</w:t>
      </w:r>
      <w:r w:rsidRPr="00AB0676">
        <w:t>а</w:t>
      </w:r>
      <w:r w:rsidRPr="00AB0676">
        <w:t>зался на инфраструктуре Улан-Батора, столице страны, усилив нагрузку на с</w:t>
      </w:r>
      <w:r w:rsidRPr="00AB0676">
        <w:t>о</w:t>
      </w:r>
      <w:r w:rsidRPr="00AB0676">
        <w:t>циальные службы, и негативно повлиял на уровень загрязнения воздуха и по</w:t>
      </w:r>
      <w:r w:rsidRPr="00AB0676">
        <w:t>ч</w:t>
      </w:r>
      <w:r w:rsidRPr="00AB0676">
        <w:t>вы. Эта миграция стала средством улучшения жизни для многих женщин и мужчин. Решающую роль в усилении потока мигрантов в последние годы сы</w:t>
      </w:r>
      <w:r w:rsidRPr="00AB0676">
        <w:t>г</w:t>
      </w:r>
      <w:r w:rsidRPr="00AB0676">
        <w:t>рали неравенство между уровнями социально-экономического положения г</w:t>
      </w:r>
      <w:r w:rsidRPr="00AB0676">
        <w:t>о</w:t>
      </w:r>
      <w:r w:rsidRPr="00AB0676">
        <w:t>родских и сельских районов и природные катастрофы. 64 процента лиц, ста</w:t>
      </w:r>
      <w:r w:rsidRPr="00AB0676">
        <w:t>в</w:t>
      </w:r>
      <w:r w:rsidRPr="00AB0676">
        <w:t>ших мигрантами в последнее время, сопровождали членов своих семей или присоединились к ним и большинство из них (69 процентов)</w:t>
      </w:r>
      <w:r>
        <w:t xml:space="preserve"> — </w:t>
      </w:r>
      <w:r w:rsidRPr="00AB0676">
        <w:t>женщины. Женщины-мигранты более уязвимы и подвержены любым формам дискрим</w:t>
      </w:r>
      <w:r w:rsidRPr="00AB0676">
        <w:t>и</w:t>
      </w:r>
      <w:r w:rsidRPr="00AB0676">
        <w:t>нации, им нередко приходится браться за любую работу, а это иногда приводит к тому, что они становятся жертвами гендерного насилия.</w:t>
      </w:r>
    </w:p>
    <w:p w:rsidR="00AB0676" w:rsidRDefault="00AB0676" w:rsidP="00AB0676">
      <w:pPr>
        <w:pStyle w:val="SingleTxt"/>
      </w:pPr>
      <w:r>
        <w:tab/>
      </w:r>
      <w:r w:rsidRPr="00AB0676">
        <w:t>Проблемы, имеющие отношение к женщинам и мужчинам с ограниче</w:t>
      </w:r>
      <w:r w:rsidRPr="00AB0676">
        <w:t>н</w:t>
      </w:r>
      <w:r w:rsidRPr="00AB0676">
        <w:t>ными возможностями, разрешаются благодаря политике социальной защиты. В стране 96 300 граждан, или 3,8 процента населения, являются инвалидами; 52 700 из них мужчины и 34 500</w:t>
      </w:r>
      <w:r>
        <w:t xml:space="preserve"> — </w:t>
      </w:r>
      <w:r w:rsidRPr="00AB0676">
        <w:t>женщины. Трудоустройство и социальная интеграция инвалидов являются приоритетными вопросами, требующими ра</w:t>
      </w:r>
      <w:r w:rsidRPr="00AB0676">
        <w:t>з</w:t>
      </w:r>
      <w:r w:rsidRPr="00AB0676">
        <w:t>решения.</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35" w:name="_Toc413159926"/>
      <w:r w:rsidRPr="00AB0676">
        <w:t>3.5.</w:t>
      </w:r>
      <w:r w:rsidRPr="00AB0676">
        <w:tab/>
        <w:t>Положение женщин, проживающих в сельской местности</w:t>
      </w:r>
      <w:bookmarkEnd w:id="35"/>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rPr>
          <w:b/>
        </w:rPr>
        <w:tab/>
      </w:r>
      <w:bookmarkStart w:id="36" w:name="_Toc413159927"/>
      <w:r w:rsidRPr="00AB0676">
        <w:t>(Статья 14)</w:t>
      </w:r>
      <w:bookmarkEnd w:id="36"/>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В 2004–2009 годах сельское население составляло 39,3 процента, с 2009 года оно снизилось до 34,9 процента.</w:t>
      </w:r>
    </w:p>
    <w:p w:rsidR="00AB0676" w:rsidRPr="00AB0676" w:rsidRDefault="00AB0676" w:rsidP="00AB0676">
      <w:pPr>
        <w:pStyle w:val="SingleTxt"/>
      </w:pPr>
      <w:r>
        <w:tab/>
      </w:r>
      <w:r w:rsidRPr="00AB0676">
        <w:t>Сельские женщины в Монголии традиционно занимаются кочевым скот</w:t>
      </w:r>
      <w:r w:rsidRPr="00AB0676">
        <w:t>о</w:t>
      </w:r>
      <w:r w:rsidRPr="00AB0676">
        <w:t xml:space="preserve">водством в суровых климатических условиях, справляясь с многообразием культурных и географических особенностей. Скотоводство в большой степени зависит от климатических и природных условий, включая сильную засуху и </w:t>
      </w:r>
      <w:r>
        <w:t>«</w:t>
      </w:r>
      <w:r w:rsidRPr="00AB0676">
        <w:t>зуд</w:t>
      </w:r>
      <w:r>
        <w:t>»</w:t>
      </w:r>
      <w:r w:rsidRPr="00AB0676">
        <w:t xml:space="preserve"> (сильный снегопад). Антропогенные изменения экосистемы отрицател</w:t>
      </w:r>
      <w:r w:rsidRPr="00AB0676">
        <w:t>ь</w:t>
      </w:r>
      <w:r w:rsidRPr="00AB0676">
        <w:t>но повлияли на уровень жизни пастухов-кочевников, особенно на жизнь сел</w:t>
      </w:r>
      <w:r w:rsidRPr="00AB0676">
        <w:t>ь</w:t>
      </w:r>
      <w:r w:rsidRPr="00AB0676">
        <w:t>ских женщин и их дальнейшее обнищание, и привели к дефициту пас</w:t>
      </w:r>
      <w:r w:rsidRPr="00AB0676">
        <w:t>т</w:t>
      </w:r>
      <w:r w:rsidRPr="00AB0676">
        <w:t>бищных земель, миграции населения, а также к изъянам в планировании разработок и расширения районов добычи полезных ископаемых в местах их прожив</w:t>
      </w:r>
      <w:r w:rsidRPr="00AB0676">
        <w:t>а</w:t>
      </w:r>
      <w:r w:rsidRPr="00AB0676">
        <w:t>ния/</w:t>
      </w:r>
      <w:r>
        <w:br/>
      </w:r>
      <w:r w:rsidRPr="00AB0676">
        <w:t>общинах.</w:t>
      </w:r>
    </w:p>
    <w:p w:rsidR="00AB0676" w:rsidRPr="00AB0676" w:rsidRDefault="00AB0676" w:rsidP="00AB0676">
      <w:pPr>
        <w:pStyle w:val="SingleTxt"/>
      </w:pPr>
      <w:r>
        <w:tab/>
      </w:r>
      <w:r w:rsidRPr="00AB0676">
        <w:t>Монголия предложила для рассмотрения на шестидесятой сессии Ген</w:t>
      </w:r>
      <w:r w:rsidRPr="00AB0676">
        <w:t>е</w:t>
      </w:r>
      <w:r w:rsidRPr="00AB0676">
        <w:t xml:space="preserve">ральной Ассамблеи Организации Объединенных Наций резолюцию </w:t>
      </w:r>
      <w:r>
        <w:t>«</w:t>
      </w:r>
      <w:r w:rsidRPr="00AB0676">
        <w:t>Улучш</w:t>
      </w:r>
      <w:r w:rsidRPr="00AB0676">
        <w:t>е</w:t>
      </w:r>
      <w:r w:rsidRPr="00AB0676">
        <w:t>ние условий жизни сельских женщин</w:t>
      </w:r>
      <w:r>
        <w:t>»</w:t>
      </w:r>
      <w:r w:rsidRPr="00AB0676">
        <w:t xml:space="preserve"> и с тех пор прилагает усилия по ее пр</w:t>
      </w:r>
      <w:r w:rsidRPr="00AB0676">
        <w:t>о</w:t>
      </w:r>
      <w:r w:rsidRPr="00AB0676">
        <w:t>движению.</w:t>
      </w:r>
    </w:p>
    <w:p w:rsidR="00AB0676" w:rsidRPr="00AB0676" w:rsidRDefault="00AB0676" w:rsidP="00AB0676">
      <w:pPr>
        <w:pStyle w:val="SingleTxt"/>
      </w:pPr>
      <w:r>
        <w:br w:type="page"/>
      </w:r>
      <w:r>
        <w:tab/>
      </w:r>
      <w:r w:rsidRPr="00AB0676">
        <w:t>Женщины в сельских районах внос</w:t>
      </w:r>
      <w:r>
        <w:t>ят вклад в среднем в виде 12–14</w:t>
      </w:r>
      <w:r>
        <w:noBreakHyphen/>
      </w:r>
      <w:r w:rsidRPr="00AB0676">
        <w:t>часового ежедневного неоплачиваемого труда по уходу за членами семьи и ведению домашнего хозяйства. Правительство работает над возможностью включения женщин и мужчин</w:t>
      </w:r>
      <w:r>
        <w:t xml:space="preserve"> — </w:t>
      </w:r>
      <w:r w:rsidRPr="00AB0676">
        <w:t>скотоводов в систему социального страхов</w:t>
      </w:r>
      <w:r w:rsidRPr="00AB0676">
        <w:t>а</w:t>
      </w:r>
      <w:r w:rsidRPr="00AB0676">
        <w:t>ния на добр</w:t>
      </w:r>
      <w:r w:rsidRPr="00AB0676">
        <w:t>о</w:t>
      </w:r>
      <w:r w:rsidRPr="00AB0676">
        <w:t>вольной основе.</w:t>
      </w:r>
    </w:p>
    <w:p w:rsidR="00AB0676" w:rsidRPr="00AB0676" w:rsidRDefault="00AB0676" w:rsidP="00AB0676">
      <w:pPr>
        <w:pStyle w:val="SingleTxt"/>
      </w:pPr>
      <w:r>
        <w:tab/>
      </w:r>
      <w:r w:rsidRPr="00AB0676">
        <w:t>Предметом внимания правительства является предоставление женщинам-пастухам доступа к медицинскому обслуживанию, при этом особые усилия прилагаются к тому, чтобы упростить доступ к услугам по дородовому уходу беременным женщинам и будущим матерям и услугам родильных домов. Со времени предыдущего режима особое внимание уделяется обеспечению сел</w:t>
      </w:r>
      <w:r w:rsidRPr="00AB0676">
        <w:t>ь</w:t>
      </w:r>
      <w:r w:rsidRPr="00AB0676">
        <w:t>ских женщин профессиональными медицинскими услугами; кроме того, нео</w:t>
      </w:r>
      <w:r w:rsidRPr="00AB0676">
        <w:t>б</w:t>
      </w:r>
      <w:r w:rsidRPr="00AB0676">
        <w:t>ходимые условия были созданы в родильных домах. 60–80 процентов береме</w:t>
      </w:r>
      <w:r w:rsidRPr="00AB0676">
        <w:t>н</w:t>
      </w:r>
      <w:r w:rsidRPr="00AB0676">
        <w:t>ных женщин в сомонах и багах имеют доступ к родильным домам и соотве</w:t>
      </w:r>
      <w:r w:rsidRPr="00AB0676">
        <w:t>т</w:t>
      </w:r>
      <w:r w:rsidRPr="00AB0676">
        <w:t>ствующим медицинским услугам, что привело к значительному снижению уровня материнской смертности.</w:t>
      </w:r>
    </w:p>
    <w:p w:rsidR="00AB0676" w:rsidRPr="00AB0676" w:rsidRDefault="00AB0676" w:rsidP="00AB0676">
      <w:pPr>
        <w:pStyle w:val="SingleTxt"/>
      </w:pPr>
      <w:r>
        <w:tab/>
      </w:r>
      <w:r w:rsidRPr="00AB0676">
        <w:t>По состоянию на 2013 год все аймаки получили возможность устанавл</w:t>
      </w:r>
      <w:r w:rsidRPr="00AB0676">
        <w:t>и</w:t>
      </w:r>
      <w:r w:rsidRPr="00AB0676">
        <w:t>вать оборудование для дистанционной диагностики, а также готовить лечащих врачей и технический персонал. Полезным ресурсом для женщин, грудных младенцев и детей, проживающих в отдаленных районах, стала сеть телемед</w:t>
      </w:r>
      <w:r w:rsidRPr="00AB0676">
        <w:t>и</w:t>
      </w:r>
      <w:r w:rsidRPr="00AB0676">
        <w:t>цинских услуг, обеспечивающая доступ к профессиональному современному медицинскому обслуживанию без потери времени на дорогу.</w:t>
      </w:r>
    </w:p>
    <w:p w:rsidR="00AB0676" w:rsidRPr="00AB0676" w:rsidRDefault="00AB0676" w:rsidP="00AB0676">
      <w:pPr>
        <w:pStyle w:val="SingleTxt"/>
      </w:pPr>
      <w:r>
        <w:tab/>
      </w:r>
      <w:r w:rsidRPr="00AB0676">
        <w:t>С 2009 года организуются целевые учебные курсы для сельских женщин по улучшению условий их жизни и повышению дохода домохозяйств. С 2012 года увеличивается количество кооперативов для сельских женщин и женщин-пастухов. Министерство сельского хозяйства ввело новую практ</w:t>
      </w:r>
      <w:r w:rsidRPr="00AB0676">
        <w:t>и</w:t>
      </w:r>
      <w:r w:rsidRPr="00AB0676">
        <w:t>ку</w:t>
      </w:r>
      <w:r>
        <w:t xml:space="preserve"> — </w:t>
      </w:r>
      <w:r w:rsidRPr="00AB0676">
        <w:t>выплачивать 2000 монгольских тугриков за килограмм шерсти, что спосо</w:t>
      </w:r>
      <w:r w:rsidRPr="00AB0676">
        <w:t>б</w:t>
      </w:r>
      <w:r w:rsidRPr="00AB0676">
        <w:t>ствовало повышению заинтересованности сельских женщин в сборе и обр</w:t>
      </w:r>
      <w:r w:rsidRPr="00AB0676">
        <w:t>а</w:t>
      </w:r>
      <w:r w:rsidRPr="00AB0676">
        <w:t>ботке шерсти и расширению их знаний, навыков и потенциала в этом напра</w:t>
      </w:r>
      <w:r w:rsidRPr="00AB0676">
        <w:t>в</w:t>
      </w:r>
      <w:r w:rsidRPr="00AB0676">
        <w:t>лении.</w:t>
      </w:r>
    </w:p>
    <w:p w:rsidR="00AB0676" w:rsidRPr="00AB0676" w:rsidRDefault="00AB0676" w:rsidP="00AB0676">
      <w:pPr>
        <w:pStyle w:val="SingleTxt"/>
      </w:pPr>
      <w:r>
        <w:tab/>
      </w:r>
      <w:r w:rsidRPr="00AB0676">
        <w:t>Правительство поощряет создание кооперативов, занимающихся полево</w:t>
      </w:r>
      <w:r w:rsidRPr="00AB0676">
        <w:t>д</w:t>
      </w:r>
      <w:r w:rsidRPr="00AB0676">
        <w:t>ством и выращиванием овощей; с 2012 года в Улан-Баторе и других крупных городах организуются ярмарки урожая, которые дают возможность полеводам реализовать свой товар, а городским жителям</w:t>
      </w:r>
      <w:r>
        <w:t xml:space="preserve"> — </w:t>
      </w:r>
      <w:r w:rsidRPr="00AB0676">
        <w:t>насладиться свежей отеч</w:t>
      </w:r>
      <w:r w:rsidRPr="00AB0676">
        <w:t>е</w:t>
      </w:r>
      <w:r w:rsidRPr="00AB0676">
        <w:t>ственной продукцией с полей.</w:t>
      </w:r>
    </w:p>
    <w:p w:rsidR="00AB0676" w:rsidRDefault="00AB0676" w:rsidP="00AB0676">
      <w:pPr>
        <w:pStyle w:val="SingleTxt"/>
      </w:pPr>
      <w:r>
        <w:tab/>
      </w:r>
      <w:r w:rsidRPr="00AB0676">
        <w:t xml:space="preserve">Министерство по вопросам окружающей среды и </w:t>
      </w:r>
      <w:r>
        <w:t>«</w:t>
      </w:r>
      <w:r w:rsidRPr="00AB0676">
        <w:t>зеленого</w:t>
      </w:r>
      <w:r>
        <w:t>»</w:t>
      </w:r>
      <w:r w:rsidRPr="00AB0676">
        <w:t xml:space="preserve"> развития приняло первую отраслевую гендерную стратегию, которая поможет сельским женщинам и их семьям предотвратить деградацию и оскудение окружающей среды, сохранить экологически безвредную и сбалансированную экономику.</w:t>
      </w:r>
    </w:p>
    <w:p w:rsidR="00AB0676" w:rsidRPr="00AB0676" w:rsidRDefault="00AB0676" w:rsidP="00AB0676">
      <w:pPr>
        <w:pStyle w:val="SingleTxt"/>
        <w:spacing w:after="0" w:line="120" w:lineRule="exact"/>
        <w:rPr>
          <w:sz w:val="10"/>
        </w:rPr>
      </w:pPr>
    </w:p>
    <w:p w:rsidR="00AB0676" w:rsidRPr="00AB0676" w:rsidRDefault="00AB0676" w:rsidP="00AB0676">
      <w:pPr>
        <w:pStyle w:val="SingleTxt"/>
        <w:spacing w:after="0" w:line="120" w:lineRule="exact"/>
        <w:rPr>
          <w:sz w:val="10"/>
        </w:rPr>
      </w:pPr>
    </w:p>
    <w:p w:rsidR="00AB0676" w:rsidRDefault="00AB0676" w:rsidP="00AB06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r w:rsidRPr="00AB0676">
        <w:tab/>
      </w:r>
      <w:bookmarkStart w:id="37" w:name="_Toc413159928"/>
      <w:r w:rsidRPr="00AB0676">
        <w:t>Часть 4</w:t>
      </w:r>
      <w:bookmarkEnd w:id="37"/>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38" w:name="_Toc413159929"/>
      <w:r w:rsidRPr="00AB0676">
        <w:t>4.1.</w:t>
      </w:r>
      <w:r w:rsidRPr="00AB0676">
        <w:tab/>
        <w:t>Равенство женщин и мужчин перед законом</w:t>
      </w:r>
      <w:bookmarkEnd w:id="38"/>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rPr>
          <w:b/>
        </w:rPr>
        <w:tab/>
      </w:r>
      <w:bookmarkStart w:id="39" w:name="_Toc413159930"/>
      <w:r w:rsidRPr="00AB0676">
        <w:t>(Статья 15)</w:t>
      </w:r>
      <w:bookmarkEnd w:id="39"/>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 xml:space="preserve">В Конституции Монголии 1992 года говорится, что </w:t>
      </w:r>
      <w:r>
        <w:t>«</w:t>
      </w:r>
      <w:r w:rsidRPr="00AB0676">
        <w:t>мужчины и женщины имеют право владеть землей и другими видами собственности</w:t>
      </w:r>
      <w:r>
        <w:t>»</w:t>
      </w:r>
      <w:r w:rsidRPr="00AB0676">
        <w:t>. Закон о прив</w:t>
      </w:r>
      <w:r w:rsidRPr="00AB0676">
        <w:t>а</w:t>
      </w:r>
      <w:r w:rsidRPr="00AB0676">
        <w:t>тизации земли 2005 года дает возможность каждому домохозяйству иметь свой участок земли (каша), однако этот участок земли регистрируется на имя ко</w:t>
      </w:r>
      <w:r w:rsidRPr="00AB0676">
        <w:t>р</w:t>
      </w:r>
      <w:r w:rsidRPr="00AB0676">
        <w:t>мильца семьи, часто на имя мужчины. Позже, в 2008 году, в закон была вн</w:t>
      </w:r>
      <w:r w:rsidRPr="00AB0676">
        <w:t>е</w:t>
      </w:r>
      <w:r w:rsidRPr="00AB0676">
        <w:t>сена поправка, дающая возможность каждому гражданину иметь свой участок зе</w:t>
      </w:r>
      <w:r w:rsidRPr="00AB0676">
        <w:t>м</w:t>
      </w:r>
      <w:r w:rsidRPr="00AB0676">
        <w:t>ли и зарегистрировать его на себя. Таким образом, женщины смогли участв</w:t>
      </w:r>
      <w:r w:rsidRPr="00AB0676">
        <w:t>о</w:t>
      </w:r>
      <w:r w:rsidRPr="00AB0676">
        <w:t>вать в приватизации земли и получить участок земли во владение. В насто</w:t>
      </w:r>
      <w:r w:rsidRPr="00AB0676">
        <w:t>я</w:t>
      </w:r>
      <w:r w:rsidRPr="00AB0676">
        <w:t>щее время каждый гражданин Монголии имеет право владеть 0,07 гектара земли и арендовать для хозяйственных целей до 1 гектара земли.</w:t>
      </w:r>
    </w:p>
    <w:p w:rsidR="00AB0676" w:rsidRPr="00AB0676" w:rsidRDefault="00AB0676" w:rsidP="00AB0676">
      <w:pPr>
        <w:pStyle w:val="SingleTxt"/>
      </w:pPr>
      <w:r>
        <w:tab/>
      </w:r>
      <w:r w:rsidRPr="00AB0676">
        <w:t>В то же время земля, которая сдается в аренду для хозяйственных целей, зачастую регистрируется на мужчин. По данным обследования, проведенного в восьми провинциях, 65 процентов земли было зарегистрировано на мужчин, остальные 35 процентов</w:t>
      </w:r>
      <w:r>
        <w:t xml:space="preserve"> — </w:t>
      </w:r>
      <w:r w:rsidRPr="00AB0676">
        <w:t>на женщин. Согласно результатам оценки, каса</w:t>
      </w:r>
      <w:r w:rsidRPr="00AB0676">
        <w:t>ю</w:t>
      </w:r>
      <w:r w:rsidRPr="00AB0676">
        <w:t>щейся прав собственности, выявить неприватизированные участки, оформить на них документацию, огородить территорию и т. д. достаточно дорого. Дор</w:t>
      </w:r>
      <w:r w:rsidRPr="00AB0676">
        <w:t>о</w:t>
      </w:r>
      <w:r w:rsidRPr="00AB0676">
        <w:t>говизна этого мероприятия может стать помехой для участия женщин в пр</w:t>
      </w:r>
      <w:r w:rsidRPr="00AB0676">
        <w:t>о</w:t>
      </w:r>
      <w:r w:rsidRPr="00AB0676">
        <w:t>цессах пр</w:t>
      </w:r>
      <w:r w:rsidRPr="00AB0676">
        <w:t>и</w:t>
      </w:r>
      <w:r w:rsidRPr="00AB0676">
        <w:t>ватизации земли.</w:t>
      </w:r>
    </w:p>
    <w:p w:rsidR="00AB0676" w:rsidRPr="00AB0676" w:rsidRDefault="00AB0676" w:rsidP="00AB0676">
      <w:pPr>
        <w:pStyle w:val="SingleTxt"/>
      </w:pPr>
      <w:r>
        <w:tab/>
      </w:r>
      <w:r w:rsidRPr="00AB0676">
        <w:t>Существующее гендерное неравенство в приватизационном процессе л</w:t>
      </w:r>
      <w:r w:rsidRPr="00AB0676">
        <w:t>ю</w:t>
      </w:r>
      <w:r w:rsidRPr="00AB0676">
        <w:t>бой формы собственности может помешать женщинам начать свое частное д</w:t>
      </w:r>
      <w:r w:rsidRPr="00AB0676">
        <w:t>е</w:t>
      </w:r>
      <w:r w:rsidRPr="00AB0676">
        <w:t>ло или вести предпринимательскую деятельность. С 2008 года правительство содействует реализации программы развития малого и среднего бизнеса и пр</w:t>
      </w:r>
      <w:r w:rsidRPr="00AB0676">
        <w:t>о</w:t>
      </w:r>
      <w:r w:rsidRPr="00AB0676">
        <w:t>ведению соответствующих кампаний; однако участие в этом процессе женщин все еще остается скромным.</w:t>
      </w:r>
    </w:p>
    <w:p w:rsidR="00AB0676" w:rsidRDefault="00AB0676" w:rsidP="00AB0676">
      <w:pPr>
        <w:pStyle w:val="SingleTxt"/>
      </w:pPr>
      <w:r>
        <w:tab/>
      </w:r>
      <w:r w:rsidRPr="00AB0676">
        <w:t>Статья 126 Гражданского кодекса рассматривает дивиденды и ценные б</w:t>
      </w:r>
      <w:r w:rsidRPr="00AB0676">
        <w:t>у</w:t>
      </w:r>
      <w:r w:rsidRPr="00AB0676">
        <w:t>маги как имущество, находящееся в общей собственности членов домох</w:t>
      </w:r>
      <w:r w:rsidRPr="00AB0676">
        <w:t>о</w:t>
      </w:r>
      <w:r w:rsidRPr="00AB0676">
        <w:t>зяйств. О</w:t>
      </w:r>
      <w:r w:rsidRPr="00AB0676">
        <w:t>д</w:t>
      </w:r>
      <w:r w:rsidRPr="00AB0676">
        <w:t>нако во время бракоразводных процессов, дивиденды, заработанные супругами в результате деятельности их совместного предприятия, могут быть определены или скоординированы согласно корпоративному праву. В таких случаях права супругов и других членов семьи, которые совместно владеют собстве</w:t>
      </w:r>
      <w:r w:rsidRPr="00AB0676">
        <w:t>н</w:t>
      </w:r>
      <w:r w:rsidRPr="00AB0676">
        <w:t>ностью, могут оказаться под угрозой. Для предупреждения подобных ситуаций правительство работает над исправлением подобной практики.</w:t>
      </w:r>
    </w:p>
    <w:p w:rsidR="00AB0676" w:rsidRPr="00AB0676" w:rsidRDefault="00AB0676" w:rsidP="00AB0676">
      <w:pPr>
        <w:pStyle w:val="SingleTxt"/>
        <w:spacing w:after="0" w:line="120" w:lineRule="exact"/>
        <w:rPr>
          <w:sz w:val="10"/>
        </w:rPr>
      </w:pPr>
    </w:p>
    <w:p w:rsidR="00AB0676" w:rsidRDefault="00AB0676" w:rsidP="00AB06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tab/>
      </w:r>
      <w:bookmarkStart w:id="40" w:name="_Toc413159931"/>
      <w:r w:rsidRPr="00AB0676">
        <w:t>4.2.</w:t>
      </w:r>
      <w:r w:rsidRPr="00AB0676">
        <w:tab/>
        <w:t>Гендерное равенство в вопросах брака и семейных отношений</w:t>
      </w:r>
      <w:bookmarkEnd w:id="40"/>
    </w:p>
    <w:p w:rsidR="00AB0676" w:rsidRPr="00AB0676" w:rsidRDefault="00AB0676" w:rsidP="00AB0676">
      <w:pPr>
        <w:pStyle w:val="SingleTxt"/>
        <w:spacing w:after="0" w:line="120" w:lineRule="exact"/>
        <w:rPr>
          <w:sz w:val="10"/>
        </w:rPr>
      </w:pPr>
    </w:p>
    <w:p w:rsidR="00AB0676" w:rsidRDefault="00AB0676" w:rsidP="00AB067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B0676">
        <w:rPr>
          <w:b/>
        </w:rPr>
        <w:tab/>
      </w:r>
      <w:r w:rsidRPr="00AB0676">
        <w:rPr>
          <w:b/>
        </w:rPr>
        <w:tab/>
      </w:r>
      <w:bookmarkStart w:id="41" w:name="_Toc413159932"/>
      <w:r w:rsidRPr="00AB0676">
        <w:t>(Статья 16)</w:t>
      </w:r>
      <w:bookmarkEnd w:id="41"/>
    </w:p>
    <w:p w:rsidR="00AB0676" w:rsidRPr="00AB0676" w:rsidRDefault="00AB0676" w:rsidP="00AB0676">
      <w:pPr>
        <w:pStyle w:val="SingleTxt"/>
        <w:spacing w:after="0" w:line="120" w:lineRule="exact"/>
        <w:rPr>
          <w:sz w:val="10"/>
        </w:rPr>
      </w:pPr>
    </w:p>
    <w:p w:rsidR="00AB0676" w:rsidRPr="00AB0676" w:rsidRDefault="00AB0676" w:rsidP="00AB0676">
      <w:pPr>
        <w:pStyle w:val="SingleTxt"/>
      </w:pPr>
      <w:r>
        <w:tab/>
      </w:r>
      <w:r w:rsidRPr="00AB0676">
        <w:t>В Конституции Монголии говорится, что женщины и мужчины, являющ</w:t>
      </w:r>
      <w:r w:rsidRPr="00AB0676">
        <w:t>и</w:t>
      </w:r>
      <w:r w:rsidRPr="00AB0676">
        <w:t>еся гражданами Монголии, достигшие 18 лет, могут вступать в брак на основе обоюдного согласия. Закон о семье гарантирует равноправные семейные отн</w:t>
      </w:r>
      <w:r w:rsidRPr="00AB0676">
        <w:t>о</w:t>
      </w:r>
      <w:r w:rsidRPr="00AB0676">
        <w:t>шения супружеской пары. Согласно этому закону брак должен быть равн</w:t>
      </w:r>
      <w:r w:rsidRPr="00AB0676">
        <w:t>о</w:t>
      </w:r>
      <w:r w:rsidRPr="00AB0676">
        <w:t>правным и добровольным. Государство защищает интересы семей, матерей, младенцев и детей. Будущие супруги должны зарегистрировать свой брак в официальных государственных учреждениях.</w:t>
      </w:r>
    </w:p>
    <w:p w:rsidR="00AB0676" w:rsidRPr="00AB0676" w:rsidRDefault="00AB0676" w:rsidP="00AB0676">
      <w:pPr>
        <w:pStyle w:val="SingleTxt"/>
      </w:pPr>
      <w:r>
        <w:tab/>
      </w:r>
      <w:r w:rsidRPr="00AB0676">
        <w:t>Закон гласит, что семейные отношения свободны от дискриминации по признаку национальности, социального происхождения, языка, расовой пр</w:t>
      </w:r>
      <w:r w:rsidRPr="00AB0676">
        <w:t>и</w:t>
      </w:r>
      <w:r w:rsidRPr="00AB0676">
        <w:t>надлежности, материального благосостояния, религии, мировоззрения, образ</w:t>
      </w:r>
      <w:r w:rsidRPr="00AB0676">
        <w:t>о</w:t>
      </w:r>
      <w:r w:rsidRPr="00AB0676">
        <w:t>вания и другим признакам. Кроме того, в нем говорится, что мужчина должен иметь одну жену, а женщина одного мужа.</w:t>
      </w:r>
    </w:p>
    <w:p w:rsidR="00AB0676" w:rsidRPr="00AB0676" w:rsidRDefault="00AB0676" w:rsidP="00AB0676">
      <w:pPr>
        <w:pStyle w:val="SingleTxt"/>
      </w:pPr>
      <w:r>
        <w:tab/>
      </w:r>
      <w:r w:rsidRPr="00AB0676">
        <w:t>Средний возраст впервые вступающих в брак составляет 24,2 года для женщин и 26,2 года для мужчин, что является более поздними сроками по сравнению с данными десятилетней давности. Количество браков снижается. По данным за 2013 год, было зарегистрировано 15 800 браков и заведено 3500 дел о разводе, что означало снижение количества браков на 67,8 процента в сравнении с наивысшим показателем количества заключенных браков в 2006 году и рост разводов на 2,5 процента.</w:t>
      </w:r>
    </w:p>
    <w:p w:rsidR="00AB0676" w:rsidRPr="00AB0676" w:rsidRDefault="00AB0676" w:rsidP="00AB0676">
      <w:pPr>
        <w:pStyle w:val="SingleTxt"/>
      </w:pPr>
      <w:r>
        <w:tab/>
      </w:r>
      <w:r w:rsidRPr="00AB0676">
        <w:t>В Законе о семье и других соответствующих законах говорится, что с</w:t>
      </w:r>
      <w:r w:rsidRPr="00AB0676">
        <w:t>у</w:t>
      </w:r>
      <w:r w:rsidRPr="00AB0676">
        <w:t>пружеские пары должны принимать свои решения относительно рождения д</w:t>
      </w:r>
      <w:r w:rsidRPr="00AB0676">
        <w:t>е</w:t>
      </w:r>
      <w:r w:rsidRPr="00AB0676">
        <w:t>тей на равноправной и добровольной основе, используя необходимую инфо</w:t>
      </w:r>
      <w:r w:rsidRPr="00AB0676">
        <w:t>р</w:t>
      </w:r>
      <w:r w:rsidRPr="00AB0676">
        <w:t>мацию; они должны пользоваться равными правами в браке, планировании размера семьи, принятии решения о числе детей, промежутках между их ро</w:t>
      </w:r>
      <w:r w:rsidRPr="00AB0676">
        <w:t>ж</w:t>
      </w:r>
      <w:r w:rsidRPr="00AB0676">
        <w:t>дением, м</w:t>
      </w:r>
      <w:r w:rsidRPr="00AB0676">
        <w:t>е</w:t>
      </w:r>
      <w:r w:rsidRPr="00AB0676">
        <w:t xml:space="preserve">сте их рождения, типе медико-санитарных услуг. В Законе о семье с внесенными в него поправками говорится, что </w:t>
      </w:r>
      <w:r>
        <w:t>«</w:t>
      </w:r>
      <w:r w:rsidRPr="00AB0676">
        <w:t>родители несут ответстве</w:t>
      </w:r>
      <w:r w:rsidRPr="00AB0676">
        <w:t>н</w:t>
      </w:r>
      <w:r w:rsidRPr="00AB0676">
        <w:t>ность за своих детей</w:t>
      </w:r>
      <w:r>
        <w:t>»</w:t>
      </w:r>
      <w:r w:rsidRPr="00AB0676">
        <w:t>, тем самым узаконивается сохранение родительской оп</w:t>
      </w:r>
      <w:r w:rsidRPr="00AB0676">
        <w:t>е</w:t>
      </w:r>
      <w:r w:rsidRPr="00AB0676">
        <w:t>ки над детьми после развода.</w:t>
      </w:r>
    </w:p>
    <w:p w:rsidR="00AB0676" w:rsidRPr="00AB0676" w:rsidRDefault="00AB0676" w:rsidP="00AB0676">
      <w:pPr>
        <w:pStyle w:val="SingleTxt"/>
      </w:pPr>
      <w:r>
        <w:tab/>
      </w:r>
      <w:r w:rsidRPr="00AB0676">
        <w:t>Согласно проведенному в 2013 году обследованию методом случайной выборки 98,6 процента мужчин в возрасте 15–49 лет и 99,6 процента женщин той же возрастной группы знают о некоторых методах регулирования рожда</w:t>
      </w:r>
      <w:r w:rsidRPr="00AB0676">
        <w:t>е</w:t>
      </w:r>
      <w:r w:rsidRPr="00AB0676">
        <w:t>мости. 45,4 процента мужчин и 52,4 процента женщин сказали, что они узнали о пл</w:t>
      </w:r>
      <w:r w:rsidRPr="00AB0676">
        <w:t>а</w:t>
      </w:r>
      <w:r w:rsidRPr="00AB0676">
        <w:t>нировании размера семьи из средств массовой информации.</w:t>
      </w:r>
    </w:p>
    <w:p w:rsidR="00AB0676" w:rsidRPr="00AB0676" w:rsidRDefault="00AB0676" w:rsidP="00AB0676">
      <w:pPr>
        <w:pStyle w:val="SingleTxt"/>
      </w:pPr>
      <w:r>
        <w:tab/>
      </w:r>
      <w:r w:rsidRPr="00AB0676">
        <w:t>Для того чтобы сформулировать надлежащую демографическую политику с учетом того, что в различных типах расширенной семьи среди ее членов м</w:t>
      </w:r>
      <w:r w:rsidRPr="00AB0676">
        <w:t>о</w:t>
      </w:r>
      <w:r w:rsidRPr="00AB0676">
        <w:t>гут быть инвалиды и семьи, в которых совместно проживают два или более п</w:t>
      </w:r>
      <w:r w:rsidRPr="00AB0676">
        <w:t>о</w:t>
      </w:r>
      <w:r w:rsidRPr="00AB0676">
        <w:t>колений, домохозяйства, возглавляемые женщинами, и т. д., необходимо тщ</w:t>
      </w:r>
      <w:r w:rsidRPr="00AB0676">
        <w:t>а</w:t>
      </w:r>
      <w:r w:rsidRPr="00AB0676">
        <w:t>тельно проанализировать гендерные отношения и структурное изменение с</w:t>
      </w:r>
      <w:r w:rsidRPr="00AB0676">
        <w:t>о</w:t>
      </w:r>
      <w:r>
        <w:t>временных семей.</w:t>
      </w:r>
    </w:p>
    <w:p w:rsidR="00AB0676" w:rsidRPr="00AB0676" w:rsidRDefault="00AB0676" w:rsidP="00AB0676">
      <w:pPr>
        <w:pStyle w:val="SingleTxt"/>
      </w:pPr>
      <w:r>
        <w:tab/>
      </w:r>
      <w:r w:rsidRPr="00AB0676">
        <w:t>Поэтому Министерство развития и социальной защиты населения пре</w:t>
      </w:r>
      <w:r w:rsidRPr="00AB0676">
        <w:t>д</w:t>
      </w:r>
      <w:r w:rsidRPr="00AB0676">
        <w:t xml:space="preserve">ставило для рассмотрения парламентом </w:t>
      </w:r>
      <w:r>
        <w:t>«</w:t>
      </w:r>
      <w:r w:rsidRPr="00AB0676">
        <w:t>Комплексную политику в области развития населения</w:t>
      </w:r>
      <w:r>
        <w:t>»</w:t>
      </w:r>
      <w:r w:rsidRPr="00AB0676">
        <w:t>, в которой основное внимание уделяется вопросам разв</w:t>
      </w:r>
      <w:r w:rsidRPr="00AB0676">
        <w:t>и</w:t>
      </w:r>
      <w:r w:rsidRPr="00AB0676">
        <w:t>тия семьи. В новой редакции Закона о семье с внесенными в него поправками предлагалось изменить подходы к вопросам развития семьи и прав ребенка. Предлагается повысить значимость существующего Центра взыскания алиме</w:t>
      </w:r>
      <w:r w:rsidRPr="00AB0676">
        <w:t>н</w:t>
      </w:r>
      <w:r w:rsidRPr="00AB0676">
        <w:t>тов на содержание детей до уровня Государственного управления с отделени</w:t>
      </w:r>
      <w:r w:rsidRPr="00AB0676">
        <w:t>я</w:t>
      </w:r>
      <w:r w:rsidRPr="00AB0676">
        <w:t>ми и ф</w:t>
      </w:r>
      <w:r w:rsidRPr="00AB0676">
        <w:t>и</w:t>
      </w:r>
      <w:r w:rsidRPr="00AB0676">
        <w:t>лиалами на уровне аймаков и местных территориальных образований.</w:t>
      </w:r>
    </w:p>
    <w:p w:rsidR="00AB0676" w:rsidRPr="00AB0676" w:rsidRDefault="00AB0676" w:rsidP="00AB0676">
      <w:pPr>
        <w:pStyle w:val="SingleTxt"/>
      </w:pPr>
      <w:r>
        <w:tab/>
      </w:r>
      <w:r w:rsidRPr="00AB0676">
        <w:t xml:space="preserve">В 2013 году были согласованы общие стандарты просветительской работы с семьями, создание консультационных центров по семейным проблемам и смежной тематике, планы действий, методические руководства и правила для персонала. Следующий домен </w:t>
      </w:r>
      <w:hyperlink r:id="rId22" w:history="1">
        <w:r w:rsidRPr="00AB0676">
          <w:rPr>
            <w:rStyle w:val="Hyperlink"/>
            <w:lang w:val="en-US"/>
          </w:rPr>
          <w:t>www</w:t>
        </w:r>
        <w:r w:rsidRPr="00AB0676">
          <w:rPr>
            <w:rStyle w:val="Hyperlink"/>
          </w:rPr>
          <w:t>.</w:t>
        </w:r>
        <w:r w:rsidRPr="00AB0676">
          <w:rPr>
            <w:rStyle w:val="Hyperlink"/>
            <w:lang w:val="en-US"/>
          </w:rPr>
          <w:t>ger</w:t>
        </w:r>
        <w:r w:rsidRPr="00AB0676">
          <w:rPr>
            <w:rStyle w:val="Hyperlink"/>
          </w:rPr>
          <w:t>-</w:t>
        </w:r>
        <w:r w:rsidRPr="00AB0676">
          <w:rPr>
            <w:rStyle w:val="Hyperlink"/>
            <w:lang w:val="en-US"/>
          </w:rPr>
          <w:t>bul</w:t>
        </w:r>
        <w:r w:rsidRPr="00AB0676">
          <w:rPr>
            <w:rStyle w:val="Hyperlink"/>
          </w:rPr>
          <w:t>.</w:t>
        </w:r>
        <w:r w:rsidRPr="00AB0676">
          <w:rPr>
            <w:rStyle w:val="Hyperlink"/>
            <w:lang w:val="en-US"/>
          </w:rPr>
          <w:t>info</w:t>
        </w:r>
      </w:hyperlink>
      <w:r w:rsidRPr="00AB0676">
        <w:t xml:space="preserve"> создан для предоставления и</w:t>
      </w:r>
      <w:r w:rsidRPr="00AB0676">
        <w:t>н</w:t>
      </w:r>
      <w:r w:rsidRPr="00AB0676">
        <w:t>формации по вопросам семьи и распространения онлайн-услуг социальной з</w:t>
      </w:r>
      <w:r w:rsidRPr="00AB0676">
        <w:t>а</w:t>
      </w:r>
      <w:r w:rsidRPr="00AB0676">
        <w:t>щиты, предназначенных для удовлетворения потребностей семей.</w:t>
      </w:r>
    </w:p>
    <w:p w:rsidR="00AB0676" w:rsidRPr="00AB0676" w:rsidRDefault="00AB0676" w:rsidP="00AB0676">
      <w:pPr>
        <w:pStyle w:val="SingleTxt"/>
        <w:spacing w:after="0" w:line="240" w:lineRule="auto"/>
      </w:pPr>
      <w:r>
        <w:rPr>
          <w:noProof/>
          <w:w w:val="100"/>
          <w:lang w:val="en-US"/>
        </w:rPr>
        <w:pict>
          <v:line id="_x0000_s1063" style="position:absolute;left:0;text-align:left;z-index:6" from="210.2pt,30pt" to="282.2pt,30pt" strokecolor="#010000" strokeweight=".25pt"/>
        </w:pict>
      </w:r>
    </w:p>
    <w:sectPr w:rsidR="00AB0676" w:rsidRPr="00AB0676" w:rsidSect="007244B5">
      <w:type w:val="continuous"/>
      <w:pgSz w:w="12240" w:h="15840"/>
      <w:pgMar w:top="1742" w:right="1195" w:bottom="1898" w:left="1195" w:header="576" w:footer="1030"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24T11:04:00Z" w:initials="Start">
    <w:p w:rsidR="007244B5" w:rsidRPr="00A61AB8" w:rsidRDefault="007244B5">
      <w:pPr>
        <w:pStyle w:val="CommentText"/>
        <w:rPr>
          <w:lang w:val="en-US"/>
        </w:rPr>
      </w:pPr>
      <w:r>
        <w:fldChar w:fldCharType="begin"/>
      </w:r>
      <w:r w:rsidRPr="00A61AB8">
        <w:rPr>
          <w:rStyle w:val="CommentReference"/>
          <w:lang w:val="en-US"/>
        </w:rPr>
        <w:instrText xml:space="preserve"> </w:instrText>
      </w:r>
      <w:r w:rsidRPr="00A61AB8">
        <w:rPr>
          <w:lang w:val="en-US"/>
        </w:rPr>
        <w:instrText>PAGE \# "'Page: '#'</w:instrText>
      </w:r>
      <w:r w:rsidRPr="00A61AB8">
        <w:rPr>
          <w:lang w:val="en-US"/>
        </w:rPr>
        <w:br/>
        <w:instrText>'"</w:instrText>
      </w:r>
      <w:r w:rsidRPr="00A61AB8">
        <w:rPr>
          <w:rStyle w:val="CommentReference"/>
          <w:lang w:val="en-US"/>
        </w:rPr>
        <w:instrText xml:space="preserve"> </w:instrText>
      </w:r>
      <w:r>
        <w:fldChar w:fldCharType="end"/>
      </w:r>
      <w:r>
        <w:rPr>
          <w:rStyle w:val="CommentReference"/>
        </w:rPr>
        <w:annotationRef/>
      </w:r>
      <w:r w:rsidRPr="00A61AB8">
        <w:rPr>
          <w:lang w:val="en-US"/>
        </w:rPr>
        <w:t>&lt;&lt;ODS JOB NO&gt;&gt;N1466905R&lt;&lt;ODS JOB NO&gt;&gt;</w:t>
      </w:r>
    </w:p>
    <w:p w:rsidR="007244B5" w:rsidRPr="00A61AB8" w:rsidRDefault="007244B5">
      <w:pPr>
        <w:pStyle w:val="CommentText"/>
        <w:rPr>
          <w:lang w:val="en-US"/>
        </w:rPr>
      </w:pPr>
      <w:r w:rsidRPr="00A61AB8">
        <w:rPr>
          <w:lang w:val="en-US"/>
        </w:rPr>
        <w:t>&lt;&lt;ODS DOC SYMBOL1&gt;&gt;CEDAW/C/MNG/8-9&lt;&lt;ODS DOC SYMBOL1&gt;&gt;</w:t>
      </w:r>
    </w:p>
    <w:p w:rsidR="007244B5" w:rsidRPr="00A61AB8" w:rsidRDefault="007244B5">
      <w:pPr>
        <w:pStyle w:val="CommentText"/>
        <w:rPr>
          <w:lang w:val="en-US"/>
        </w:rPr>
      </w:pPr>
      <w:r w:rsidRPr="00A61AB8">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096" w:rsidRDefault="00520096" w:rsidP="008A1A7A">
      <w:pPr>
        <w:spacing w:line="240" w:lineRule="auto"/>
      </w:pPr>
      <w:r>
        <w:separator/>
      </w:r>
    </w:p>
  </w:endnote>
  <w:endnote w:type="continuationSeparator" w:id="0">
    <w:p w:rsidR="00520096" w:rsidRDefault="00520096" w:rsidP="008A1A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7244B5" w:rsidTr="007244B5">
      <w:tblPrEx>
        <w:tblCellMar>
          <w:top w:w="0" w:type="dxa"/>
          <w:bottom w:w="0" w:type="dxa"/>
        </w:tblCellMar>
      </w:tblPrEx>
      <w:tc>
        <w:tcPr>
          <w:tcW w:w="5033" w:type="dxa"/>
          <w:shd w:val="clear" w:color="auto" w:fill="auto"/>
          <w:vAlign w:val="bottom"/>
        </w:tcPr>
        <w:p w:rsidR="007244B5" w:rsidRPr="00313790" w:rsidRDefault="007244B5" w:rsidP="007244B5">
          <w:pPr>
            <w:pStyle w:val="Footer"/>
            <w:rPr>
              <w:color w:val="000000"/>
              <w:szCs w:val="22"/>
              <w:lang w:eastAsia="en-US"/>
            </w:rPr>
          </w:pPr>
          <w:r w:rsidRPr="00313790">
            <w:rPr>
              <w:szCs w:val="22"/>
              <w:lang w:eastAsia="en-US"/>
            </w:rPr>
            <w:fldChar w:fldCharType="begin"/>
          </w:r>
          <w:r w:rsidRPr="00313790">
            <w:rPr>
              <w:szCs w:val="22"/>
              <w:lang w:eastAsia="en-US"/>
            </w:rPr>
            <w:instrText xml:space="preserve"> PAGE  \* Arabic  \* MERGEFORMAT </w:instrText>
          </w:r>
          <w:r w:rsidRPr="00313790">
            <w:rPr>
              <w:szCs w:val="22"/>
              <w:lang w:eastAsia="en-US"/>
            </w:rPr>
            <w:fldChar w:fldCharType="separate"/>
          </w:r>
          <w:r w:rsidR="009A514F" w:rsidRPr="00313790">
            <w:rPr>
              <w:noProof/>
              <w:szCs w:val="22"/>
              <w:lang w:eastAsia="en-US"/>
            </w:rPr>
            <w:t>2</w:t>
          </w:r>
          <w:r w:rsidRPr="00313790">
            <w:rPr>
              <w:szCs w:val="22"/>
              <w:lang w:eastAsia="en-US"/>
            </w:rPr>
            <w:fldChar w:fldCharType="end"/>
          </w:r>
          <w:r w:rsidRPr="00313790">
            <w:rPr>
              <w:szCs w:val="22"/>
              <w:lang w:eastAsia="en-US"/>
            </w:rPr>
            <w:t>/</w:t>
          </w:r>
          <w:fldSimple w:instr=" NUMPAGES  \* Arabic  \* MERGEFORMAT ">
            <w:r w:rsidR="009A514F" w:rsidRPr="00313790">
              <w:rPr>
                <w:noProof/>
                <w:szCs w:val="22"/>
                <w:lang w:eastAsia="en-US"/>
              </w:rPr>
              <w:t>2</w:t>
            </w:r>
          </w:fldSimple>
        </w:p>
      </w:tc>
      <w:tc>
        <w:tcPr>
          <w:tcW w:w="5033" w:type="dxa"/>
          <w:shd w:val="clear" w:color="auto" w:fill="auto"/>
          <w:vAlign w:val="bottom"/>
        </w:tcPr>
        <w:p w:rsidR="007244B5" w:rsidRPr="00313790" w:rsidRDefault="007244B5" w:rsidP="007244B5">
          <w:pPr>
            <w:pStyle w:val="Footer"/>
            <w:jc w:val="right"/>
            <w:rPr>
              <w:b w:val="0"/>
              <w:color w:val="000000"/>
              <w:sz w:val="14"/>
              <w:szCs w:val="22"/>
              <w:lang w:val="en-US" w:eastAsia="en-US"/>
            </w:rPr>
          </w:pPr>
          <w:fldSimple w:instr=" DOCVARIABLE &quot;FooterJN&quot; \* MERGEFORMAT ">
            <w:r w:rsidR="00916D7B" w:rsidRPr="00313790">
              <w:rPr>
                <w:b w:val="0"/>
                <w:color w:val="000000"/>
                <w:sz w:val="14"/>
                <w:szCs w:val="22"/>
                <w:lang w:eastAsia="en-US"/>
              </w:rPr>
              <w:t>14-66067</w:t>
            </w:r>
          </w:fldSimple>
          <w:r w:rsidR="00AB0676" w:rsidRPr="00313790">
            <w:rPr>
              <w:b w:val="0"/>
              <w:color w:val="000000"/>
              <w:sz w:val="14"/>
              <w:szCs w:val="22"/>
              <w:lang w:val="en-US" w:eastAsia="en-US"/>
            </w:rPr>
            <w:t>X</w:t>
          </w:r>
        </w:p>
      </w:tc>
    </w:tr>
  </w:tbl>
  <w:p w:rsidR="007244B5" w:rsidRPr="007244B5" w:rsidRDefault="007244B5" w:rsidP="00724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5033"/>
    </w:tblGrid>
    <w:tr w:rsidR="007244B5" w:rsidTr="007244B5">
      <w:tblPrEx>
        <w:tblCellMar>
          <w:top w:w="0" w:type="dxa"/>
          <w:bottom w:w="0" w:type="dxa"/>
        </w:tblCellMar>
      </w:tblPrEx>
      <w:tc>
        <w:tcPr>
          <w:tcW w:w="5033" w:type="dxa"/>
          <w:shd w:val="clear" w:color="auto" w:fill="auto"/>
          <w:vAlign w:val="bottom"/>
        </w:tcPr>
        <w:p w:rsidR="007244B5" w:rsidRPr="00313790" w:rsidRDefault="007244B5" w:rsidP="007244B5">
          <w:pPr>
            <w:pStyle w:val="Footer"/>
            <w:rPr>
              <w:b w:val="0"/>
              <w:color w:val="000000"/>
              <w:sz w:val="14"/>
              <w:szCs w:val="22"/>
              <w:lang w:val="en-US" w:eastAsia="en-US"/>
            </w:rPr>
          </w:pPr>
          <w:fldSimple w:instr=" DOCVARIABLE &quot;FooterJN&quot; \* MERGEFORMAT ">
            <w:r w:rsidR="00916D7B" w:rsidRPr="00313790">
              <w:rPr>
                <w:b w:val="0"/>
                <w:color w:val="000000"/>
                <w:sz w:val="14"/>
                <w:szCs w:val="22"/>
                <w:lang w:eastAsia="en-US"/>
              </w:rPr>
              <w:t>14-66067</w:t>
            </w:r>
          </w:fldSimple>
          <w:r w:rsidR="00AB0676" w:rsidRPr="00313790">
            <w:rPr>
              <w:b w:val="0"/>
              <w:color w:val="000000"/>
              <w:sz w:val="14"/>
              <w:szCs w:val="22"/>
              <w:lang w:val="en-US" w:eastAsia="en-US"/>
            </w:rPr>
            <w:t>X</w:t>
          </w:r>
        </w:p>
      </w:tc>
      <w:tc>
        <w:tcPr>
          <w:tcW w:w="5033" w:type="dxa"/>
          <w:shd w:val="clear" w:color="auto" w:fill="auto"/>
          <w:vAlign w:val="bottom"/>
        </w:tcPr>
        <w:p w:rsidR="007244B5" w:rsidRPr="00313790" w:rsidRDefault="007244B5" w:rsidP="007244B5">
          <w:pPr>
            <w:pStyle w:val="Footer"/>
            <w:jc w:val="right"/>
            <w:rPr>
              <w:szCs w:val="22"/>
              <w:lang w:eastAsia="en-US"/>
            </w:rPr>
          </w:pPr>
          <w:r w:rsidRPr="00313790">
            <w:rPr>
              <w:szCs w:val="22"/>
              <w:lang w:eastAsia="en-US"/>
            </w:rPr>
            <w:fldChar w:fldCharType="begin"/>
          </w:r>
          <w:r w:rsidRPr="00313790">
            <w:rPr>
              <w:szCs w:val="22"/>
              <w:lang w:eastAsia="en-US"/>
            </w:rPr>
            <w:instrText xml:space="preserve"> PAGE  \* Arabic  \* MERGEFORMAT </w:instrText>
          </w:r>
          <w:r w:rsidRPr="00313790">
            <w:rPr>
              <w:szCs w:val="22"/>
              <w:lang w:eastAsia="en-US"/>
            </w:rPr>
            <w:fldChar w:fldCharType="separate"/>
          </w:r>
          <w:r w:rsidR="00916D7B" w:rsidRPr="00313790">
            <w:rPr>
              <w:noProof/>
              <w:szCs w:val="22"/>
              <w:lang w:eastAsia="en-US"/>
            </w:rPr>
            <w:t>27</w:t>
          </w:r>
          <w:r w:rsidRPr="00313790">
            <w:rPr>
              <w:szCs w:val="22"/>
              <w:lang w:eastAsia="en-US"/>
            </w:rPr>
            <w:fldChar w:fldCharType="end"/>
          </w:r>
          <w:r w:rsidRPr="00313790">
            <w:rPr>
              <w:szCs w:val="22"/>
              <w:lang w:eastAsia="en-US"/>
            </w:rPr>
            <w:t>/</w:t>
          </w:r>
          <w:fldSimple w:instr=" NUMPAGES  \* Arabic  \* MERGEFORMAT ">
            <w:r w:rsidR="00916D7B" w:rsidRPr="00313790">
              <w:rPr>
                <w:noProof/>
                <w:szCs w:val="22"/>
                <w:lang w:eastAsia="en-US"/>
              </w:rPr>
              <w:t>28</w:t>
            </w:r>
          </w:fldSimple>
        </w:p>
      </w:tc>
    </w:tr>
  </w:tbl>
  <w:p w:rsidR="007244B5" w:rsidRPr="007244B5" w:rsidRDefault="007244B5" w:rsidP="00724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B5" w:rsidRDefault="007244B5">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6.35pt;margin-top:684.15pt;width:54.85pt;height:54.85pt;z-index:1;mso-position-horizontal-relative:page;mso-position-vertical-relative:page" o:preferrelative="f">
          <v:imagedata r:id="rId1" o:title="8-9&amp;Size =1&amp;Lang = R"/>
          <w10:wrap anchorx="page" anchory="page"/>
        </v:shape>
      </w:pict>
    </w:r>
  </w:p>
  <w:tbl>
    <w:tblPr>
      <w:tblW w:w="0" w:type="auto"/>
      <w:tblLayout w:type="fixed"/>
      <w:tblLook w:val="0000"/>
    </w:tblPr>
    <w:tblGrid>
      <w:gridCol w:w="3830"/>
      <w:gridCol w:w="5033"/>
    </w:tblGrid>
    <w:tr w:rsidR="007244B5" w:rsidTr="007244B5">
      <w:tblPrEx>
        <w:tblCellMar>
          <w:top w:w="0" w:type="dxa"/>
          <w:bottom w:w="0" w:type="dxa"/>
        </w:tblCellMar>
      </w:tblPrEx>
      <w:tc>
        <w:tcPr>
          <w:tcW w:w="3830" w:type="dxa"/>
        </w:tcPr>
        <w:p w:rsidR="007244B5" w:rsidRDefault="007244B5" w:rsidP="007244B5">
          <w:pPr>
            <w:pStyle w:val="ReleaseDate"/>
            <w:rPr>
              <w:color w:val="010000"/>
            </w:rPr>
          </w:pPr>
          <w:r>
            <w:t>14-66067</w:t>
          </w:r>
          <w:r w:rsidR="00AB0676">
            <w:rPr>
              <w:lang w:val="en-US"/>
            </w:rPr>
            <w:t>X</w:t>
          </w:r>
          <w:r>
            <w:t xml:space="preserve"> (R)</w:t>
          </w:r>
          <w:r>
            <w:rPr>
              <w:color w:val="010000"/>
            </w:rPr>
            <w:t xml:space="preserve">    </w:t>
          </w:r>
          <w:r w:rsidR="00A61AB8">
            <w:rPr>
              <w:color w:val="010000"/>
              <w:lang w:val="en-US"/>
            </w:rPr>
            <w:t>03</w:t>
          </w:r>
          <w:r>
            <w:rPr>
              <w:color w:val="010000"/>
            </w:rPr>
            <w:t>0315    240315</w:t>
          </w:r>
        </w:p>
        <w:p w:rsidR="007244B5" w:rsidRPr="007244B5" w:rsidRDefault="007244B5" w:rsidP="007244B5">
          <w:pPr>
            <w:spacing w:before="80" w:line="210" w:lineRule="exact"/>
            <w:rPr>
              <w:rFonts w:ascii="Barcode 3 of 9 by request" w:hAnsi="Barcode 3 of 9 by request"/>
              <w:w w:val="100"/>
              <w:sz w:val="24"/>
            </w:rPr>
          </w:pPr>
          <w:r>
            <w:rPr>
              <w:rFonts w:ascii="Barcode 3 of 9 by request" w:hAnsi="Barcode 3 of 9 by request"/>
              <w:w w:val="100"/>
              <w:sz w:val="24"/>
            </w:rPr>
            <w:t>*1466067(R)*</w:t>
          </w:r>
        </w:p>
      </w:tc>
      <w:tc>
        <w:tcPr>
          <w:tcW w:w="5033" w:type="dxa"/>
        </w:tcPr>
        <w:p w:rsidR="007244B5" w:rsidRPr="00313790" w:rsidRDefault="007244B5" w:rsidP="007244B5">
          <w:pPr>
            <w:pStyle w:val="Footer"/>
            <w:spacing w:line="240" w:lineRule="atLeast"/>
            <w:jc w:val="right"/>
            <w:rPr>
              <w:b w:val="0"/>
              <w:sz w:val="20"/>
              <w:szCs w:val="22"/>
              <w:lang w:eastAsia="en-US"/>
            </w:rPr>
          </w:pPr>
          <w:r w:rsidRPr="00313790">
            <w:rPr>
              <w:b w:val="0"/>
              <w:sz w:val="20"/>
              <w:szCs w:val="22"/>
              <w:lang w:eastAsia="en-US"/>
            </w:rPr>
            <w:pict>
              <v:shape id="_x0000_i1026" type="#_x0000_t75" style="width:213pt;height:18pt">
                <v:imagedata r:id="rId2" o:title="recycle_Russian"/>
              </v:shape>
            </w:pict>
          </w:r>
        </w:p>
      </w:tc>
    </w:tr>
  </w:tbl>
  <w:p w:rsidR="007244B5" w:rsidRPr="007244B5" w:rsidRDefault="007244B5" w:rsidP="007244B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096" w:rsidRPr="00A61AB8" w:rsidRDefault="00520096" w:rsidP="00A61AB8">
      <w:pPr>
        <w:pStyle w:val="Footer"/>
        <w:spacing w:after="80"/>
        <w:ind w:left="792"/>
        <w:rPr>
          <w:sz w:val="16"/>
        </w:rPr>
      </w:pPr>
      <w:r w:rsidRPr="00A61AB8">
        <w:rPr>
          <w:sz w:val="16"/>
        </w:rPr>
        <w:t>__________________</w:t>
      </w:r>
    </w:p>
  </w:footnote>
  <w:footnote w:type="continuationSeparator" w:id="0">
    <w:p w:rsidR="00520096" w:rsidRPr="00A61AB8" w:rsidRDefault="00520096" w:rsidP="00A61AB8">
      <w:pPr>
        <w:pStyle w:val="Footer"/>
        <w:spacing w:after="80"/>
        <w:ind w:left="792"/>
        <w:rPr>
          <w:sz w:val="16"/>
        </w:rPr>
      </w:pPr>
      <w:r w:rsidRPr="00A61AB8">
        <w:rPr>
          <w:sz w:val="16"/>
        </w:rPr>
        <w:t>__________________</w:t>
      </w:r>
    </w:p>
  </w:footnote>
  <w:footnote w:id="1">
    <w:p w:rsidR="00A61AB8" w:rsidRDefault="00A61AB8" w:rsidP="00A61AB8">
      <w:pPr>
        <w:pStyle w:val="FootnoteText"/>
        <w:tabs>
          <w:tab w:val="right" w:pos="1195"/>
          <w:tab w:val="left" w:pos="1267"/>
          <w:tab w:val="left" w:pos="1742"/>
          <w:tab w:val="left" w:pos="2218"/>
          <w:tab w:val="left" w:pos="2693"/>
        </w:tabs>
        <w:ind w:left="1267" w:right="1260" w:hanging="432"/>
      </w:pPr>
      <w:r>
        <w:rPr>
          <w:rStyle w:val="FootnoteReference"/>
        </w:rPr>
        <w:tab/>
        <w:t>*</w:t>
      </w:r>
      <w:r>
        <w:tab/>
      </w:r>
      <w:r w:rsidRPr="00A61AB8">
        <w:t>Настоящий документ выпускается без официального редактирования.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244B5" w:rsidTr="007244B5">
      <w:tblPrEx>
        <w:tblCellMar>
          <w:top w:w="0" w:type="dxa"/>
          <w:bottom w:w="0" w:type="dxa"/>
        </w:tblCellMar>
      </w:tblPrEx>
      <w:trPr>
        <w:trHeight w:hRule="exact" w:val="864"/>
      </w:trPr>
      <w:tc>
        <w:tcPr>
          <w:tcW w:w="4838" w:type="dxa"/>
          <w:shd w:val="clear" w:color="auto" w:fill="auto"/>
          <w:vAlign w:val="bottom"/>
        </w:tcPr>
        <w:p w:rsidR="007244B5" w:rsidRPr="00313790" w:rsidRDefault="007244B5" w:rsidP="007244B5">
          <w:pPr>
            <w:pStyle w:val="Header"/>
            <w:spacing w:after="80"/>
            <w:rPr>
              <w:b/>
              <w:szCs w:val="22"/>
              <w:lang w:eastAsia="en-US"/>
            </w:rPr>
          </w:pPr>
          <w:fldSimple w:instr=" DOCVARIABLE &quot;sss1&quot; \* MERGEFORMAT ">
            <w:r w:rsidR="00916D7B" w:rsidRPr="00313790">
              <w:rPr>
                <w:b/>
                <w:szCs w:val="22"/>
                <w:lang w:eastAsia="en-US"/>
              </w:rPr>
              <w:t>CEDAW/C/MNG/8-9</w:t>
            </w:r>
          </w:fldSimple>
        </w:p>
      </w:tc>
      <w:tc>
        <w:tcPr>
          <w:tcW w:w="5033" w:type="dxa"/>
          <w:shd w:val="clear" w:color="auto" w:fill="auto"/>
          <w:vAlign w:val="bottom"/>
        </w:tcPr>
        <w:p w:rsidR="007244B5" w:rsidRPr="00313790" w:rsidRDefault="007244B5" w:rsidP="007244B5">
          <w:pPr>
            <w:pStyle w:val="Header"/>
            <w:rPr>
              <w:szCs w:val="22"/>
              <w:lang w:eastAsia="en-US"/>
            </w:rPr>
          </w:pPr>
        </w:p>
      </w:tc>
    </w:tr>
  </w:tbl>
  <w:p w:rsidR="007244B5" w:rsidRPr="007244B5" w:rsidRDefault="007244B5" w:rsidP="00724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244B5" w:rsidTr="007244B5">
      <w:tblPrEx>
        <w:tblCellMar>
          <w:top w:w="0" w:type="dxa"/>
          <w:bottom w:w="0" w:type="dxa"/>
        </w:tblCellMar>
      </w:tblPrEx>
      <w:trPr>
        <w:trHeight w:hRule="exact" w:val="864"/>
      </w:trPr>
      <w:tc>
        <w:tcPr>
          <w:tcW w:w="4838" w:type="dxa"/>
          <w:shd w:val="clear" w:color="auto" w:fill="auto"/>
          <w:vAlign w:val="bottom"/>
        </w:tcPr>
        <w:p w:rsidR="007244B5" w:rsidRPr="00313790" w:rsidRDefault="007244B5" w:rsidP="007244B5">
          <w:pPr>
            <w:pStyle w:val="Header"/>
            <w:rPr>
              <w:szCs w:val="22"/>
              <w:lang w:eastAsia="en-US"/>
            </w:rPr>
          </w:pPr>
        </w:p>
      </w:tc>
      <w:tc>
        <w:tcPr>
          <w:tcW w:w="5033" w:type="dxa"/>
          <w:shd w:val="clear" w:color="auto" w:fill="auto"/>
          <w:vAlign w:val="bottom"/>
        </w:tcPr>
        <w:p w:rsidR="007244B5" w:rsidRPr="00313790" w:rsidRDefault="007244B5" w:rsidP="007244B5">
          <w:pPr>
            <w:pStyle w:val="Header"/>
            <w:spacing w:after="80"/>
            <w:jc w:val="right"/>
            <w:rPr>
              <w:b/>
              <w:szCs w:val="22"/>
              <w:lang w:eastAsia="en-US"/>
            </w:rPr>
          </w:pPr>
          <w:fldSimple w:instr=" DOCVARIABLE &quot;sss1&quot; \* MERGEFORMAT ">
            <w:r w:rsidR="00916D7B" w:rsidRPr="00313790">
              <w:rPr>
                <w:b/>
                <w:szCs w:val="22"/>
                <w:lang w:eastAsia="en-US"/>
              </w:rPr>
              <w:t>CEDAW/C/MNG/8-9</w:t>
            </w:r>
          </w:fldSimple>
        </w:p>
      </w:tc>
    </w:tr>
  </w:tbl>
  <w:p w:rsidR="007244B5" w:rsidRPr="007244B5" w:rsidRDefault="007244B5" w:rsidP="00724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3154"/>
      <w:gridCol w:w="245"/>
      <w:gridCol w:w="1828"/>
      <w:gridCol w:w="245"/>
      <w:gridCol w:w="3140"/>
    </w:tblGrid>
    <w:tr w:rsidR="007244B5" w:rsidTr="007244B5">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7244B5" w:rsidRPr="007244B5" w:rsidRDefault="007244B5" w:rsidP="007244B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244B5" w:rsidRPr="00313790" w:rsidRDefault="007244B5" w:rsidP="007244B5">
          <w:pPr>
            <w:pStyle w:val="Header"/>
            <w:spacing w:after="120"/>
            <w:rPr>
              <w:szCs w:val="22"/>
              <w:lang w:eastAsia="en-US"/>
            </w:rPr>
          </w:pPr>
        </w:p>
      </w:tc>
      <w:tc>
        <w:tcPr>
          <w:tcW w:w="5213" w:type="dxa"/>
          <w:gridSpan w:val="3"/>
          <w:tcBorders>
            <w:bottom w:val="single" w:sz="4" w:space="0" w:color="auto"/>
          </w:tcBorders>
          <w:shd w:val="clear" w:color="auto" w:fill="auto"/>
          <w:vAlign w:val="bottom"/>
        </w:tcPr>
        <w:p w:rsidR="007244B5" w:rsidRPr="00313790" w:rsidRDefault="007244B5" w:rsidP="007244B5">
          <w:pPr>
            <w:pStyle w:val="Header"/>
            <w:spacing w:after="20"/>
            <w:jc w:val="right"/>
            <w:rPr>
              <w:sz w:val="20"/>
              <w:szCs w:val="22"/>
              <w:lang w:eastAsia="en-US"/>
            </w:rPr>
          </w:pPr>
          <w:r w:rsidRPr="00313790">
            <w:rPr>
              <w:sz w:val="40"/>
              <w:szCs w:val="22"/>
              <w:lang w:eastAsia="en-US"/>
            </w:rPr>
            <w:t>CEDAW</w:t>
          </w:r>
          <w:r w:rsidRPr="00313790">
            <w:rPr>
              <w:sz w:val="20"/>
              <w:szCs w:val="22"/>
              <w:lang w:eastAsia="en-US"/>
            </w:rPr>
            <w:t>/C/MNG/8-9</w:t>
          </w:r>
        </w:p>
      </w:tc>
    </w:tr>
    <w:tr w:rsidR="007244B5" w:rsidRPr="00A61AB8" w:rsidTr="007244B5">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244B5" w:rsidRPr="00313790" w:rsidRDefault="007244B5" w:rsidP="007244B5">
          <w:pPr>
            <w:pStyle w:val="Header"/>
            <w:spacing w:before="109"/>
            <w:rPr>
              <w:szCs w:val="22"/>
              <w:lang w:eastAsia="en-US"/>
            </w:rPr>
          </w:pPr>
          <w:r w:rsidRPr="00313790">
            <w:rPr>
              <w:szCs w:val="22"/>
              <w:lang w:eastAsia="en-US"/>
            </w:rPr>
            <w:t xml:space="preserve"> </w:t>
          </w:r>
          <w:r w:rsidRPr="00313790">
            <w:rPr>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244B5" w:rsidRPr="00313790" w:rsidRDefault="007244B5" w:rsidP="007244B5">
          <w:pPr>
            <w:pStyle w:val="Header"/>
            <w:spacing w:before="109"/>
            <w:rPr>
              <w:szCs w:val="22"/>
              <w:lang w:eastAsia="en-US"/>
            </w:rPr>
          </w:pPr>
        </w:p>
      </w:tc>
      <w:tc>
        <w:tcPr>
          <w:tcW w:w="5227" w:type="dxa"/>
          <w:gridSpan w:val="3"/>
          <w:tcBorders>
            <w:top w:val="single" w:sz="4" w:space="0" w:color="auto"/>
            <w:bottom w:val="single" w:sz="12" w:space="0" w:color="auto"/>
          </w:tcBorders>
          <w:shd w:val="clear" w:color="auto" w:fill="auto"/>
        </w:tcPr>
        <w:p w:rsidR="007244B5" w:rsidRPr="007244B5" w:rsidRDefault="007244B5" w:rsidP="007244B5">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top w:val="single" w:sz="4" w:space="0" w:color="auto"/>
            <w:bottom w:val="single" w:sz="12" w:space="0" w:color="auto"/>
          </w:tcBorders>
          <w:shd w:val="clear" w:color="auto" w:fill="auto"/>
        </w:tcPr>
        <w:p w:rsidR="007244B5" w:rsidRPr="00313790" w:rsidRDefault="007244B5" w:rsidP="007244B5">
          <w:pPr>
            <w:pStyle w:val="Header"/>
            <w:spacing w:before="109"/>
            <w:rPr>
              <w:szCs w:val="22"/>
              <w:lang w:eastAsia="en-US"/>
            </w:rPr>
          </w:pPr>
        </w:p>
      </w:tc>
      <w:tc>
        <w:tcPr>
          <w:tcW w:w="3140" w:type="dxa"/>
          <w:tcBorders>
            <w:top w:val="single" w:sz="4" w:space="0" w:color="auto"/>
            <w:bottom w:val="single" w:sz="12" w:space="0" w:color="auto"/>
          </w:tcBorders>
          <w:shd w:val="clear" w:color="auto" w:fill="auto"/>
        </w:tcPr>
        <w:p w:rsidR="007244B5" w:rsidRPr="00A61AB8" w:rsidRDefault="007244B5" w:rsidP="007244B5">
          <w:pPr>
            <w:pStyle w:val="Distribution"/>
            <w:rPr>
              <w:color w:val="000000"/>
              <w:lang w:val="en-US"/>
            </w:rPr>
          </w:pPr>
          <w:r w:rsidRPr="00A61AB8">
            <w:rPr>
              <w:color w:val="000000"/>
              <w:lang w:val="en-US"/>
            </w:rPr>
            <w:t>Distr.: General</w:t>
          </w:r>
        </w:p>
        <w:p w:rsidR="007244B5" w:rsidRPr="00A61AB8" w:rsidRDefault="007244B5" w:rsidP="007244B5">
          <w:pPr>
            <w:pStyle w:val="Publication"/>
            <w:rPr>
              <w:color w:val="000000"/>
              <w:lang w:val="en-US"/>
            </w:rPr>
          </w:pPr>
          <w:r w:rsidRPr="00A61AB8">
            <w:rPr>
              <w:color w:val="000000"/>
              <w:lang w:val="en-US"/>
            </w:rPr>
            <w:t>3 December 2014</w:t>
          </w:r>
        </w:p>
        <w:p w:rsidR="007244B5" w:rsidRPr="00A61AB8" w:rsidRDefault="007244B5" w:rsidP="007244B5">
          <w:pPr>
            <w:rPr>
              <w:color w:val="000000"/>
              <w:lang w:val="en-US"/>
            </w:rPr>
          </w:pPr>
          <w:r w:rsidRPr="00A61AB8">
            <w:rPr>
              <w:color w:val="000000"/>
              <w:lang w:val="en-US"/>
            </w:rPr>
            <w:t>Russian</w:t>
          </w:r>
        </w:p>
        <w:p w:rsidR="007244B5" w:rsidRPr="00A61AB8" w:rsidRDefault="007244B5" w:rsidP="007244B5">
          <w:pPr>
            <w:pStyle w:val="Original"/>
            <w:rPr>
              <w:color w:val="000000"/>
              <w:lang w:val="en-US"/>
            </w:rPr>
          </w:pPr>
          <w:r w:rsidRPr="00A61AB8">
            <w:rPr>
              <w:color w:val="000000"/>
              <w:lang w:val="en-US"/>
            </w:rPr>
            <w:t>Original: English</w:t>
          </w:r>
        </w:p>
        <w:p w:rsidR="007244B5" w:rsidRPr="00A61AB8" w:rsidRDefault="007244B5" w:rsidP="007244B5">
          <w:pPr>
            <w:rPr>
              <w:lang w:val="en-US"/>
            </w:rPr>
          </w:pPr>
        </w:p>
      </w:tc>
    </w:tr>
  </w:tbl>
  <w:p w:rsidR="007244B5" w:rsidRPr="00A61AB8" w:rsidRDefault="007244B5" w:rsidP="007244B5">
    <w:pPr>
      <w:pStyle w:val="Header"/>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16667731"/>
    <w:multiLevelType w:val="multilevel"/>
    <w:tmpl w:val="7234B6D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visionView w:markup="0"/>
  <w:doNotTrackMoves/>
  <w:defaultTabStop w:val="475"/>
  <w:autoHyphenation/>
  <w:hyphenationZone w:val="220"/>
  <w:doNotHyphenateCaps/>
  <w:evenAndOddHeaders/>
  <w:drawingGridHorizontalSpacing w:val="209"/>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6067*"/>
    <w:docVar w:name="CreationDt" w:val="24/03/2015 11:04 AM"/>
    <w:docVar w:name="DocCategory" w:val="Doc"/>
    <w:docVar w:name="DocType" w:val="Final"/>
    <w:docVar w:name="FooterJN" w:val="14-66067"/>
    <w:docVar w:name="jobn" w:val="14-66067 (R)"/>
    <w:docVar w:name="jobnDT" w:val="14-66067 (R)   240315"/>
    <w:docVar w:name="jobnDTDT" w:val="14-66067 (R)   240315   240315"/>
    <w:docVar w:name="JobNo" w:val="1466067R"/>
    <w:docVar w:name="JobNo2" w:val="1466905R"/>
    <w:docVar w:name="OandT" w:val=" "/>
    <w:docVar w:name="sss1" w:val="CEDAW/C/MNG/8-9"/>
    <w:docVar w:name="sss2" w:val="-"/>
    <w:docVar w:name="Symbol1" w:val="CEDAW/C/MNG/8-9"/>
    <w:docVar w:name="Symbol2" w:val="-"/>
  </w:docVars>
  <w:rsids>
    <w:rsidRoot w:val="005E78F2"/>
    <w:rsid w:val="00004615"/>
    <w:rsid w:val="00004756"/>
    <w:rsid w:val="00024A67"/>
    <w:rsid w:val="00033C1F"/>
    <w:rsid w:val="000513EF"/>
    <w:rsid w:val="0005420D"/>
    <w:rsid w:val="00055EA2"/>
    <w:rsid w:val="00064820"/>
    <w:rsid w:val="00067A90"/>
    <w:rsid w:val="00070C37"/>
    <w:rsid w:val="000A111E"/>
    <w:rsid w:val="000C67BC"/>
    <w:rsid w:val="000E4411"/>
    <w:rsid w:val="000F1ACD"/>
    <w:rsid w:val="000F5D07"/>
    <w:rsid w:val="00105B0E"/>
    <w:rsid w:val="001444A3"/>
    <w:rsid w:val="00153645"/>
    <w:rsid w:val="00153E8C"/>
    <w:rsid w:val="00161F29"/>
    <w:rsid w:val="00162E88"/>
    <w:rsid w:val="001726A4"/>
    <w:rsid w:val="00177361"/>
    <w:rsid w:val="001A39EE"/>
    <w:rsid w:val="001A6777"/>
    <w:rsid w:val="001C54CE"/>
    <w:rsid w:val="001D1749"/>
    <w:rsid w:val="001E25A2"/>
    <w:rsid w:val="001E61AD"/>
    <w:rsid w:val="00211A7E"/>
    <w:rsid w:val="00217A24"/>
    <w:rsid w:val="00223C57"/>
    <w:rsid w:val="002535D8"/>
    <w:rsid w:val="00254046"/>
    <w:rsid w:val="00261386"/>
    <w:rsid w:val="00261C41"/>
    <w:rsid w:val="00264A43"/>
    <w:rsid w:val="00277697"/>
    <w:rsid w:val="002B6E2A"/>
    <w:rsid w:val="002C66D0"/>
    <w:rsid w:val="002D4606"/>
    <w:rsid w:val="002E1F79"/>
    <w:rsid w:val="002F5C45"/>
    <w:rsid w:val="002F6149"/>
    <w:rsid w:val="00313790"/>
    <w:rsid w:val="00326F5F"/>
    <w:rsid w:val="00337D91"/>
    <w:rsid w:val="00350756"/>
    <w:rsid w:val="003658B0"/>
    <w:rsid w:val="0039505F"/>
    <w:rsid w:val="003A150E"/>
    <w:rsid w:val="003C2842"/>
    <w:rsid w:val="003D0825"/>
    <w:rsid w:val="003D2003"/>
    <w:rsid w:val="003D5DA2"/>
    <w:rsid w:val="003E5193"/>
    <w:rsid w:val="00427FE5"/>
    <w:rsid w:val="00433222"/>
    <w:rsid w:val="00436F13"/>
    <w:rsid w:val="004420FB"/>
    <w:rsid w:val="004504A6"/>
    <w:rsid w:val="00460D23"/>
    <w:rsid w:val="004645DD"/>
    <w:rsid w:val="00482473"/>
    <w:rsid w:val="004A7499"/>
    <w:rsid w:val="004B1314"/>
    <w:rsid w:val="004D275F"/>
    <w:rsid w:val="004D656E"/>
    <w:rsid w:val="004E6443"/>
    <w:rsid w:val="005121DC"/>
    <w:rsid w:val="00513113"/>
    <w:rsid w:val="00515869"/>
    <w:rsid w:val="00520096"/>
    <w:rsid w:val="005214BA"/>
    <w:rsid w:val="00524A24"/>
    <w:rsid w:val="005251C4"/>
    <w:rsid w:val="00526E12"/>
    <w:rsid w:val="00533411"/>
    <w:rsid w:val="0054563F"/>
    <w:rsid w:val="005469E1"/>
    <w:rsid w:val="00552E08"/>
    <w:rsid w:val="0056579C"/>
    <w:rsid w:val="00567706"/>
    <w:rsid w:val="005734C2"/>
    <w:rsid w:val="00574AA1"/>
    <w:rsid w:val="0057633B"/>
    <w:rsid w:val="00590EDF"/>
    <w:rsid w:val="005933CB"/>
    <w:rsid w:val="005A1D01"/>
    <w:rsid w:val="005D38B6"/>
    <w:rsid w:val="005D7642"/>
    <w:rsid w:val="005E0A46"/>
    <w:rsid w:val="005E78F2"/>
    <w:rsid w:val="005E7DCF"/>
    <w:rsid w:val="005F6E5C"/>
    <w:rsid w:val="00602F9D"/>
    <w:rsid w:val="00616B8D"/>
    <w:rsid w:val="006261A6"/>
    <w:rsid w:val="0063491E"/>
    <w:rsid w:val="00635AF8"/>
    <w:rsid w:val="00646363"/>
    <w:rsid w:val="00655212"/>
    <w:rsid w:val="00657EE4"/>
    <w:rsid w:val="006A1698"/>
    <w:rsid w:val="006A1D06"/>
    <w:rsid w:val="006A3F10"/>
    <w:rsid w:val="006F3683"/>
    <w:rsid w:val="00700738"/>
    <w:rsid w:val="00705549"/>
    <w:rsid w:val="0071210D"/>
    <w:rsid w:val="00716BC5"/>
    <w:rsid w:val="00723115"/>
    <w:rsid w:val="007244B5"/>
    <w:rsid w:val="00724550"/>
    <w:rsid w:val="00736A19"/>
    <w:rsid w:val="00745258"/>
    <w:rsid w:val="00781ACA"/>
    <w:rsid w:val="00787B44"/>
    <w:rsid w:val="00795A5A"/>
    <w:rsid w:val="007B098D"/>
    <w:rsid w:val="007B1DE5"/>
    <w:rsid w:val="007B5785"/>
    <w:rsid w:val="007B5CF3"/>
    <w:rsid w:val="007C62D1"/>
    <w:rsid w:val="007C706F"/>
    <w:rsid w:val="007E0E39"/>
    <w:rsid w:val="007E2B60"/>
    <w:rsid w:val="00803EC5"/>
    <w:rsid w:val="00821CE2"/>
    <w:rsid w:val="00830FF8"/>
    <w:rsid w:val="00844407"/>
    <w:rsid w:val="00853E2A"/>
    <w:rsid w:val="008541E9"/>
    <w:rsid w:val="00856EEB"/>
    <w:rsid w:val="008776BB"/>
    <w:rsid w:val="00877B9E"/>
    <w:rsid w:val="00880540"/>
    <w:rsid w:val="0088396E"/>
    <w:rsid w:val="008A1A7A"/>
    <w:rsid w:val="008B08A3"/>
    <w:rsid w:val="008B709D"/>
    <w:rsid w:val="008C2A03"/>
    <w:rsid w:val="008C6372"/>
    <w:rsid w:val="008D0CE3"/>
    <w:rsid w:val="008F12FD"/>
    <w:rsid w:val="008F13EA"/>
    <w:rsid w:val="00904F3C"/>
    <w:rsid w:val="00907EDB"/>
    <w:rsid w:val="009110C5"/>
    <w:rsid w:val="00915944"/>
    <w:rsid w:val="00916D7B"/>
    <w:rsid w:val="00927103"/>
    <w:rsid w:val="009327BF"/>
    <w:rsid w:val="00935F33"/>
    <w:rsid w:val="0094745A"/>
    <w:rsid w:val="0095649D"/>
    <w:rsid w:val="00984EE4"/>
    <w:rsid w:val="0099354F"/>
    <w:rsid w:val="009A4279"/>
    <w:rsid w:val="009A514F"/>
    <w:rsid w:val="009B3444"/>
    <w:rsid w:val="009B5DCD"/>
    <w:rsid w:val="009D6E3D"/>
    <w:rsid w:val="009F0808"/>
    <w:rsid w:val="00A14F1D"/>
    <w:rsid w:val="00A1703F"/>
    <w:rsid w:val="00A61AB8"/>
    <w:rsid w:val="00A63339"/>
    <w:rsid w:val="00A90F41"/>
    <w:rsid w:val="00A9600A"/>
    <w:rsid w:val="00A96C80"/>
    <w:rsid w:val="00AA0ABF"/>
    <w:rsid w:val="00AA27C2"/>
    <w:rsid w:val="00AB0676"/>
    <w:rsid w:val="00AD6322"/>
    <w:rsid w:val="00AD78B1"/>
    <w:rsid w:val="00AF0B91"/>
    <w:rsid w:val="00B33139"/>
    <w:rsid w:val="00B5129B"/>
    <w:rsid w:val="00B56376"/>
    <w:rsid w:val="00B606B7"/>
    <w:rsid w:val="00B77FC0"/>
    <w:rsid w:val="00BB052D"/>
    <w:rsid w:val="00BB1F92"/>
    <w:rsid w:val="00BB5B7F"/>
    <w:rsid w:val="00BD2F16"/>
    <w:rsid w:val="00BE448A"/>
    <w:rsid w:val="00BE531D"/>
    <w:rsid w:val="00BF3D60"/>
    <w:rsid w:val="00BF5FCB"/>
    <w:rsid w:val="00C16B93"/>
    <w:rsid w:val="00C2210E"/>
    <w:rsid w:val="00C2524E"/>
    <w:rsid w:val="00C32802"/>
    <w:rsid w:val="00C40B0B"/>
    <w:rsid w:val="00C60105"/>
    <w:rsid w:val="00C623BF"/>
    <w:rsid w:val="00C70D59"/>
    <w:rsid w:val="00C7432F"/>
    <w:rsid w:val="00C77473"/>
    <w:rsid w:val="00C82592"/>
    <w:rsid w:val="00CA2CF3"/>
    <w:rsid w:val="00CB519E"/>
    <w:rsid w:val="00CC5B37"/>
    <w:rsid w:val="00CD2ED3"/>
    <w:rsid w:val="00CD3C62"/>
    <w:rsid w:val="00CF021B"/>
    <w:rsid w:val="00CF066B"/>
    <w:rsid w:val="00CF07BE"/>
    <w:rsid w:val="00D028FF"/>
    <w:rsid w:val="00D05963"/>
    <w:rsid w:val="00D1470E"/>
    <w:rsid w:val="00D20AA4"/>
    <w:rsid w:val="00D434AF"/>
    <w:rsid w:val="00D61BB7"/>
    <w:rsid w:val="00D7165D"/>
    <w:rsid w:val="00D75705"/>
    <w:rsid w:val="00D961D6"/>
    <w:rsid w:val="00D97B17"/>
    <w:rsid w:val="00DA1A4A"/>
    <w:rsid w:val="00DC1E7E"/>
    <w:rsid w:val="00DC7A5F"/>
    <w:rsid w:val="00DD6A66"/>
    <w:rsid w:val="00DF1CF0"/>
    <w:rsid w:val="00E04C73"/>
    <w:rsid w:val="00E079A3"/>
    <w:rsid w:val="00E15D7D"/>
    <w:rsid w:val="00E17234"/>
    <w:rsid w:val="00E261F5"/>
    <w:rsid w:val="00E6111E"/>
    <w:rsid w:val="00E616D0"/>
    <w:rsid w:val="00E62CCE"/>
    <w:rsid w:val="00E65C07"/>
    <w:rsid w:val="00E8225E"/>
    <w:rsid w:val="00E90547"/>
    <w:rsid w:val="00E970B0"/>
    <w:rsid w:val="00EA1656"/>
    <w:rsid w:val="00EA1819"/>
    <w:rsid w:val="00EB646E"/>
    <w:rsid w:val="00EC6F5D"/>
    <w:rsid w:val="00EF1FBD"/>
    <w:rsid w:val="00F07DDF"/>
    <w:rsid w:val="00F16256"/>
    <w:rsid w:val="00F231E8"/>
    <w:rsid w:val="00F33544"/>
    <w:rsid w:val="00F35ACF"/>
    <w:rsid w:val="00F624BD"/>
    <w:rsid w:val="00F62A5E"/>
    <w:rsid w:val="00F74A39"/>
    <w:rsid w:val="00F85203"/>
    <w:rsid w:val="00F92676"/>
    <w:rsid w:val="00F94262"/>
    <w:rsid w:val="00F979A8"/>
    <w:rsid w:val="00FA1B93"/>
    <w:rsid w:val="00FA5551"/>
    <w:rsid w:val="00FA7C7A"/>
    <w:rsid w:val="00FD213B"/>
    <w:rsid w:val="00FD3CE8"/>
    <w:rsid w:val="00FE26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line="240" w:lineRule="exact"/>
    </w:pPr>
    <w:rPr>
      <w:rFonts w:ascii="Times New Roman" w:hAnsi="Times New Roman" w:cs="Times New Roman"/>
      <w:spacing w:val="4"/>
      <w:w w:val="103"/>
      <w:kern w:val="14"/>
      <w:szCs w:val="22"/>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SimSun" w:hAnsi="Arial"/>
      <w:b/>
      <w:bCs/>
      <w:sz w:val="32"/>
      <w:szCs w:val="28"/>
      <w:lang/>
    </w:rPr>
  </w:style>
  <w:style w:type="paragraph" w:styleId="Heading2">
    <w:name w:val="heading 2"/>
    <w:basedOn w:val="Normal"/>
    <w:next w:val="Normal"/>
    <w:link w:val="Heading2Char"/>
    <w:uiPriority w:val="9"/>
    <w:rsid w:val="0088396E"/>
    <w:pPr>
      <w:keepNext/>
      <w:spacing w:before="240" w:after="60"/>
      <w:outlineLvl w:val="1"/>
    </w:pPr>
    <w:rPr>
      <w:rFonts w:ascii="Arial" w:eastAsia="SimSun" w:hAnsi="Arial"/>
      <w:b/>
      <w:bCs/>
      <w:i/>
      <w:sz w:val="28"/>
      <w:szCs w:val="26"/>
      <w:lang/>
    </w:rPr>
  </w:style>
  <w:style w:type="paragraph" w:styleId="Heading3">
    <w:name w:val="heading 3"/>
    <w:basedOn w:val="Normal"/>
    <w:next w:val="Normal"/>
    <w:link w:val="Heading3Char"/>
    <w:uiPriority w:val="9"/>
    <w:qFormat/>
    <w:rsid w:val="0071210D"/>
    <w:pPr>
      <w:keepNext/>
      <w:spacing w:before="240" w:after="60"/>
      <w:outlineLvl w:val="2"/>
    </w:pPr>
    <w:rPr>
      <w:rFonts w:ascii="Arial" w:eastAsia="SimSun" w:hAnsi="Arial"/>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rPr>
      <w:rFonts w:ascii="Times New Roman" w:hAnsi="Times New Roman"/>
      <w:spacing w:val="4"/>
      <w:w w:val="103"/>
      <w:kern w:val="14"/>
      <w:szCs w:val="22"/>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SingleTxt"/>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szCs w:val="20"/>
      <w:lang/>
    </w:rPr>
  </w:style>
  <w:style w:type="character" w:customStyle="1" w:styleId="FooterChar">
    <w:name w:val="Footer Char"/>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szCs w:val="20"/>
      <w:lang/>
    </w:rPr>
  </w:style>
  <w:style w:type="character" w:customStyle="1" w:styleId="HeaderChar">
    <w:name w:val="Header Char"/>
    <w:link w:val="Header"/>
    <w:uiPriority w:val="2"/>
    <w:rsid w:val="00BE531D"/>
    <w:rPr>
      <w:rFonts w:ascii="Times New Roman" w:hAnsi="Times New Roman"/>
      <w:sz w:val="17"/>
      <w:lang w:val="ru-RU"/>
    </w:rPr>
  </w:style>
  <w:style w:type="character" w:customStyle="1" w:styleId="Heading1Char">
    <w:name w:val="Heading 1 Char"/>
    <w:link w:val="Heading1"/>
    <w:uiPriority w:val="9"/>
    <w:rsid w:val="0088396E"/>
    <w:rPr>
      <w:rFonts w:ascii="Arial" w:eastAsia="SimSun" w:hAnsi="Arial" w:cs="Times New Roman"/>
      <w:b/>
      <w:bCs/>
      <w:spacing w:val="4"/>
      <w:w w:val="103"/>
      <w:kern w:val="14"/>
      <w:sz w:val="32"/>
      <w:szCs w:val="28"/>
    </w:rPr>
  </w:style>
  <w:style w:type="character" w:customStyle="1" w:styleId="Heading2Char">
    <w:name w:val="Heading 2 Char"/>
    <w:link w:val="Heading2"/>
    <w:uiPriority w:val="9"/>
    <w:rsid w:val="0088396E"/>
    <w:rPr>
      <w:rFonts w:ascii="Arial" w:eastAsia="SimSun" w:hAnsi="Arial" w:cs="Times New Roman"/>
      <w:b/>
      <w:bCs/>
      <w:i/>
      <w:spacing w:val="4"/>
      <w:w w:val="103"/>
      <w:kern w:val="14"/>
      <w:sz w:val="28"/>
      <w:szCs w:val="26"/>
    </w:rPr>
  </w:style>
  <w:style w:type="character" w:customStyle="1" w:styleId="Heading3Char">
    <w:name w:val="Heading 3 Char"/>
    <w:link w:val="Heading3"/>
    <w:uiPriority w:val="9"/>
    <w:rsid w:val="0071210D"/>
    <w:rPr>
      <w:rFonts w:ascii="Arial" w:eastAsia="SimSun" w:hAnsi="Arial" w:cs="Times New Roman"/>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lang/>
    </w:rPr>
  </w:style>
  <w:style w:type="character" w:customStyle="1" w:styleId="FootnoteTextChar">
    <w:name w:val="Footnote Text Char"/>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lang/>
    </w:rPr>
  </w:style>
  <w:style w:type="character" w:customStyle="1" w:styleId="EndnoteTextChar">
    <w:name w:val="Endnote Text Char"/>
    <w:link w:val="EndnoteText"/>
    <w:uiPriority w:val="1"/>
    <w:semiHidden/>
    <w:rsid w:val="00515869"/>
    <w:rPr>
      <w:rFonts w:ascii="Times New Roman" w:hAnsi="Times New Roman"/>
      <w:spacing w:val="5"/>
      <w:w w:val="104"/>
      <w:kern w:val="14"/>
      <w:sz w:val="20"/>
      <w:szCs w:val="20"/>
      <w:lang w:val="ru-RU"/>
    </w:rPr>
  </w:style>
  <w:style w:type="character" w:styleId="CommentReference">
    <w:name w:val="annotation reference"/>
    <w:uiPriority w:val="1"/>
    <w:semiHidden/>
    <w:unhideWhenUsed/>
    <w:rsid w:val="007244B5"/>
    <w:rPr>
      <w:sz w:val="16"/>
      <w:szCs w:val="16"/>
    </w:rPr>
  </w:style>
  <w:style w:type="paragraph" w:styleId="CommentText">
    <w:name w:val="annotation text"/>
    <w:basedOn w:val="Normal"/>
    <w:link w:val="CommentTextChar"/>
    <w:uiPriority w:val="99"/>
    <w:semiHidden/>
    <w:unhideWhenUsed/>
    <w:rsid w:val="007244B5"/>
    <w:rPr>
      <w:szCs w:val="20"/>
      <w:lang/>
    </w:rPr>
  </w:style>
  <w:style w:type="character" w:customStyle="1" w:styleId="CommentTextChar">
    <w:name w:val="Comment Text Char"/>
    <w:link w:val="CommentText"/>
    <w:uiPriority w:val="99"/>
    <w:semiHidden/>
    <w:rsid w:val="007244B5"/>
    <w:rPr>
      <w:rFonts w:ascii="Times New Roman" w:hAnsi="Times New Roman" w:cs="Times New Roman"/>
      <w:spacing w:val="4"/>
      <w:w w:val="103"/>
      <w:kern w:val="14"/>
      <w:lang w:val="ru-RU"/>
    </w:rPr>
  </w:style>
  <w:style w:type="paragraph" w:styleId="CommentSubject">
    <w:name w:val="annotation subject"/>
    <w:basedOn w:val="CommentText"/>
    <w:next w:val="CommentText"/>
    <w:link w:val="CommentSubjectChar"/>
    <w:uiPriority w:val="99"/>
    <w:semiHidden/>
    <w:unhideWhenUsed/>
    <w:rsid w:val="007244B5"/>
    <w:rPr>
      <w:b/>
      <w:bCs/>
    </w:rPr>
  </w:style>
  <w:style w:type="character" w:customStyle="1" w:styleId="CommentSubjectChar">
    <w:name w:val="Comment Subject Char"/>
    <w:link w:val="CommentSubject"/>
    <w:uiPriority w:val="99"/>
    <w:semiHidden/>
    <w:rsid w:val="007244B5"/>
    <w:rPr>
      <w:rFonts w:ascii="Times New Roman" w:hAnsi="Times New Roman" w:cs="Times New Roman"/>
      <w:b/>
      <w:bCs/>
      <w:spacing w:val="4"/>
      <w:w w:val="103"/>
      <w:kern w:val="14"/>
      <w:lang w:val="ru-RU"/>
    </w:rPr>
  </w:style>
  <w:style w:type="character" w:styleId="Hyperlink">
    <w:name w:val="Hyperlink"/>
    <w:uiPriority w:val="99"/>
    <w:unhideWhenUsed/>
    <w:rsid w:val="00927103"/>
    <w:rPr>
      <w:color w:val="0000FF"/>
      <w:u w:val="none"/>
    </w:rPr>
  </w:style>
  <w:style w:type="paragraph" w:styleId="BalloonText">
    <w:name w:val="Balloon Text"/>
    <w:basedOn w:val="Normal"/>
    <w:link w:val="BalloonTextChar"/>
    <w:uiPriority w:val="99"/>
    <w:semiHidden/>
    <w:unhideWhenUsed/>
    <w:rsid w:val="00AB0676"/>
    <w:pPr>
      <w:spacing w:line="240" w:lineRule="auto"/>
    </w:pPr>
    <w:rPr>
      <w:rFonts w:ascii="Tahoma" w:hAnsi="Tahoma"/>
      <w:sz w:val="16"/>
      <w:szCs w:val="16"/>
      <w:lang/>
    </w:rPr>
  </w:style>
  <w:style w:type="character" w:customStyle="1" w:styleId="BalloonTextChar">
    <w:name w:val="Balloon Text Char"/>
    <w:link w:val="BalloonText"/>
    <w:uiPriority w:val="99"/>
    <w:semiHidden/>
    <w:rsid w:val="00AB0676"/>
    <w:rPr>
      <w:rFonts w:ascii="Tahoma" w:hAnsi="Tahoma" w:cs="Tahoma"/>
      <w:spacing w:val="4"/>
      <w:w w:val="103"/>
      <w:kern w:val="14"/>
      <w:sz w:val="16"/>
      <w:szCs w:val="16"/>
      <w:lang w:val="ru-RU"/>
    </w:rPr>
  </w:style>
  <w:style w:type="character" w:styleId="FollowedHyperlink">
    <w:name w:val="FollowedHyperlink"/>
    <w:uiPriority w:val="99"/>
    <w:semiHidden/>
    <w:unhideWhenUsed/>
    <w:rsid w:val="00064820"/>
    <w:rPr>
      <w:color w:val="0000FF"/>
      <w:u w:val="none"/>
    </w:rPr>
  </w:style>
  <w:style w:type="paragraph" w:styleId="Revision">
    <w:name w:val="Revision"/>
    <w:hidden/>
    <w:uiPriority w:val="99"/>
    <w:semiHidden/>
    <w:rsid w:val="00916D7B"/>
    <w:rPr>
      <w:rFonts w:ascii="Times New Roman" w:hAnsi="Times New Roman" w:cs="Times New Roman"/>
      <w:spacing w:val="4"/>
      <w:w w:val="103"/>
      <w:kern w:val="14"/>
      <w:szCs w:val="22"/>
      <w:lang w:val="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ru/&#1040;/93" TargetMode="External"/><Relationship Id="rId2" Type="http://schemas.openxmlformats.org/officeDocument/2006/relationships/styles" Target="styles.xml"/><Relationship Id="rId16" Type="http://schemas.openxmlformats.org/officeDocument/2006/relationships/hyperlink" Target="http://www.gender.gov.mn" TargetMode="Externa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ru/CEDAW/C/MNG/&#1057;&#1054;/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ru/CEDAW/C/MNG/7" TargetMode="External"/><Relationship Id="rId22" Type="http://schemas.openxmlformats.org/officeDocument/2006/relationships/hyperlink" Target="http://www.ger-bul.info"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10769</Words>
  <Characters>61385</Characters>
  <Application>Microsoft Office Outlook</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Revised 27-02-14 8:37am</vt:lpstr>
    </vt:vector>
  </TitlesOfParts>
  <Company>United Nations</Company>
  <LinksUpToDate>false</LinksUpToDate>
  <CharactersWithSpaces>72010</CharactersWithSpaces>
  <SharedDoc>false</SharedDoc>
  <HLinks>
    <vt:vector size="30" baseType="variant">
      <vt:variant>
        <vt:i4>1048642</vt:i4>
      </vt:variant>
      <vt:variant>
        <vt:i4>12</vt:i4>
      </vt:variant>
      <vt:variant>
        <vt:i4>0</vt:i4>
      </vt:variant>
      <vt:variant>
        <vt:i4>5</vt:i4>
      </vt:variant>
      <vt:variant>
        <vt:lpwstr>http://www.ger-bul.info/</vt:lpwstr>
      </vt:variant>
      <vt:variant>
        <vt:lpwstr/>
      </vt:variant>
      <vt:variant>
        <vt:i4>72744961</vt:i4>
      </vt:variant>
      <vt:variant>
        <vt:i4>9</vt:i4>
      </vt:variant>
      <vt:variant>
        <vt:i4>0</vt:i4>
      </vt:variant>
      <vt:variant>
        <vt:i4>5</vt:i4>
      </vt:variant>
      <vt:variant>
        <vt:lpwstr>http://undocs.org/ru/А/93</vt:lpwstr>
      </vt:variant>
      <vt:variant>
        <vt:lpwstr/>
      </vt:variant>
      <vt:variant>
        <vt:i4>4587615</vt:i4>
      </vt:variant>
      <vt:variant>
        <vt:i4>6</vt:i4>
      </vt:variant>
      <vt:variant>
        <vt:i4>0</vt:i4>
      </vt:variant>
      <vt:variant>
        <vt:i4>5</vt:i4>
      </vt:variant>
      <vt:variant>
        <vt:lpwstr>http://www.gender.gov.mn/</vt:lpwstr>
      </vt:variant>
      <vt:variant>
        <vt:lpwstr/>
      </vt:variant>
      <vt:variant>
        <vt:i4>69731413</vt:i4>
      </vt:variant>
      <vt:variant>
        <vt:i4>3</vt:i4>
      </vt:variant>
      <vt:variant>
        <vt:i4>0</vt:i4>
      </vt:variant>
      <vt:variant>
        <vt:i4>5</vt:i4>
      </vt:variant>
      <vt:variant>
        <vt:lpwstr>http://undocs.org/ru/CEDAW/C/MNG/СО/7</vt:lpwstr>
      </vt:variant>
      <vt:variant>
        <vt:lpwstr/>
      </vt:variant>
      <vt:variant>
        <vt:i4>7405675</vt:i4>
      </vt:variant>
      <vt:variant>
        <vt:i4>0</vt:i4>
      </vt:variant>
      <vt:variant>
        <vt:i4>0</vt:i4>
      </vt:variant>
      <vt:variant>
        <vt:i4>5</vt:i4>
      </vt:variant>
      <vt:variant>
        <vt:lpwstr>http://undocs.org/ru/CEDAW/C/MNG/7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27-02-14 8:37am</dc:title>
  <dc:subject/>
  <dc:creator>Olga Fedorova</dc:creator>
  <cp:keywords/>
  <cp:lastModifiedBy>Front Desk</cp:lastModifiedBy>
  <cp:revision>5</cp:revision>
  <cp:lastPrinted>2015-03-24T10:07:00Z</cp:lastPrinted>
  <dcterms:created xsi:type="dcterms:W3CDTF">2015-03-24T10:06:00Z</dcterms:created>
  <dcterms:modified xsi:type="dcterms:W3CDTF">2015-03-24T10:11:00Z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1466067R</vt:lpwstr>
  </property>
  <property fmtid="{D5CDD505-2E9C-101B-9397-08002B2CF9AE}" pid="3" name="ODSRefJobNo">
    <vt:lpwstr>1466905R</vt:lpwstr>
  </property>
  <property fmtid="{D5CDD505-2E9C-101B-9397-08002B2CF9AE}" pid="4" name="Symbol1">
    <vt:lpwstr>CEDAW/C/MNG/8-9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December 2014</vt:lpwstr>
  </property>
  <property fmtid="{D5CDD505-2E9C-101B-9397-08002B2CF9AE}" pid="9" name="Original">
    <vt:lpwstr>English</vt:lpwstr>
  </property>
  <property fmtid="{D5CDD505-2E9C-101B-9397-08002B2CF9AE}" pid="10" name="Release Date">
    <vt:lpwstr>240315</vt:lpwstr>
  </property>
  <property fmtid="{D5CDD505-2E9C-101B-9397-08002B2CF9AE}" pid="11" name="Comment">
    <vt:lpwstr/>
  </property>
  <property fmtid="{D5CDD505-2E9C-101B-9397-08002B2CF9AE}" pid="12" name="DraftPages">
    <vt:lpwstr> 28</vt:lpwstr>
  </property>
  <property fmtid="{D5CDD505-2E9C-101B-9397-08002B2CF9AE}" pid="13" name="Operator">
    <vt:lpwstr>Fedorova</vt:lpwstr>
  </property>
</Properties>
</file>