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пятая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15 мая — 2 июня 2006 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Малайзия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Комитет рассмотрел сводный первоначальный и второй периодический доклад Малайзии (CEDAW/C/MYS/1–2) на своих 731</w:t>
      </w:r>
      <w:r>
        <w:noBreakHyphen/>
        <w:t>м и 732</w:t>
      </w:r>
      <w:r>
        <w:noBreakHyphen/>
        <w:t>м заседаниях 24 мая 2006 года (см. CEDAW/C/SR. 731 и 732). Перечень тем и вопросов К</w:t>
      </w:r>
      <w:r>
        <w:t>о</w:t>
      </w:r>
      <w:r>
        <w:t>митета содержится в документе CEDAW/C/MYS/Q/2, а ответы Малайзии — в документе CEDAW/C/MYS/Q/2/Add.1.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2.</w:t>
      </w:r>
      <w:r>
        <w:tab/>
        <w:t>Комитет выражает признательность государству-участнику за его сводный первоначальный и второй доклад, сожалея при этом, что доклады представл</w:t>
      </w:r>
      <w:r>
        <w:t>е</w:t>
      </w:r>
      <w:r>
        <w:t>ны с опозданием и не вполне соответствуют руководящим принципам Комит</w:t>
      </w:r>
      <w:r>
        <w:t>е</w:t>
      </w:r>
      <w:r>
        <w:t>та, касающимся подготовки докладов, и общим рекомендациям Комитета. К</w:t>
      </w:r>
      <w:r>
        <w:t>о</w:t>
      </w:r>
      <w:r>
        <w:t>митет признателен государству-участнику за представление в письменном виде ответов на перечень тем и вопросов, поднятых предсессионной рабочей гру</w:t>
      </w:r>
      <w:r>
        <w:t>п</w:t>
      </w:r>
      <w:r>
        <w:t>пой, и за устные сообщения и дополнительные пояснения, данные в ответ на устные вопросы членов Комитета.</w:t>
      </w:r>
    </w:p>
    <w:p w:rsidR="00000000" w:rsidRDefault="00000000">
      <w:pPr>
        <w:pStyle w:val="SingleTxt"/>
      </w:pPr>
      <w:r>
        <w:t>3.</w:t>
      </w:r>
      <w:r>
        <w:tab/>
        <w:t>Комитет признателен государству-участнику за направление делегации во главе с генеральным секретарем министерства по делам женщин, семьи и о</w:t>
      </w:r>
      <w:r>
        <w:t>б</w:t>
      </w:r>
      <w:r>
        <w:t>щественного развития, в состав которой вошли также представители других министерств, ответственных за осуществление Конвенции. Комитет признат</w:t>
      </w:r>
      <w:r>
        <w:t>е</w:t>
      </w:r>
      <w:r>
        <w:t>лен за откровенный и конструктивный диалог, который состоялся между дел</w:t>
      </w:r>
      <w:r>
        <w:t>е</w:t>
      </w:r>
      <w:r>
        <w:t>гацией и членами Комитета и позволил лучше узнать действительное полож</w:t>
      </w:r>
      <w:r>
        <w:t>е</w:t>
      </w:r>
      <w:r>
        <w:t>ние женщин в Малайзии.</w:t>
      </w:r>
    </w:p>
    <w:p w:rsidR="00000000" w:rsidRDefault="00000000">
      <w:pPr>
        <w:pStyle w:val="SingleTxt"/>
      </w:pPr>
      <w:r>
        <w:t>4.</w:t>
      </w:r>
      <w:r>
        <w:tab/>
        <w:t>Комитет удовлетворен тем, что государство-участник сняло оговорки, сделанные при ратификации Конвенции в отношении статей 2(f), 9(l), 16(b), (d), (e) и (h). Комитет принимает к сведению, что государство-участник ра</w:t>
      </w:r>
      <w:r>
        <w:t>с</w:t>
      </w:r>
      <w:r>
        <w:t>сматривает возможность того, чтобы снять свои оговорки в отношении ст</w:t>
      </w:r>
      <w:r>
        <w:t>а</w:t>
      </w:r>
      <w:r>
        <w:t>тей 5(а) и 7(b).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Положительные аспекты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5.</w:t>
      </w:r>
      <w:r>
        <w:tab/>
        <w:t>Комитет удовлетворен тем, что государство-участник добилось успехов в области образования женщин. Он поздравляет государство-участник с создан</w:t>
      </w:r>
      <w:r>
        <w:t>и</w:t>
      </w:r>
      <w:r>
        <w:t>ем комитета кабинета министров по вопросам гендерного равенства и должн</w:t>
      </w:r>
      <w:r>
        <w:t>о</w:t>
      </w:r>
      <w:r>
        <w:t>стей координаторов по гендерным вопросам в различных министерствах; а также с поправками, внесенными в i) Закон о пенсиях, для того чтобы вдовы гражданских служащих не теряли свои пенсии при повторном вступлении в брак; ii) Закон о земле (районы групповых поселений), который позволяет су</w:t>
      </w:r>
      <w:r>
        <w:t>п</w:t>
      </w:r>
      <w:r>
        <w:t>ругам или бывшим супругам поселенцев стать совместными собственниками поселений; и iii) Уголовный кодекс с целью ужесточения наказаний за изнас</w:t>
      </w:r>
      <w:r>
        <w:t>и</w:t>
      </w:r>
      <w:r>
        <w:t>лование и кр</w:t>
      </w:r>
      <w:r>
        <w:t>о</w:t>
      </w:r>
      <w:r>
        <w:t>восмесительство.</w:t>
      </w:r>
    </w:p>
    <w:p w:rsidR="00000000" w:rsidRDefault="00000000">
      <w:pPr>
        <w:pStyle w:val="SingleTxt"/>
      </w:pPr>
      <w:r>
        <w:t>6.</w:t>
      </w:r>
      <w:r>
        <w:tab/>
        <w:t>Комитет также отдает должное государству-участнику за его неустанные усилия по реформе законодательства, касающегося насилия в отношении же</w:t>
      </w:r>
      <w:r>
        <w:t>н</w:t>
      </w:r>
      <w:r>
        <w:t>щин, в том числе за предпринятые им инициативы по изменению i) Закона о насилии в семье, чтобы расширить определение насилия в семье и усилить м</w:t>
      </w:r>
      <w:r>
        <w:t>е</w:t>
      </w:r>
      <w:r>
        <w:t>ры по защите жертв; ii) Закона о занятости 1955 года, Закона о производстве</w:t>
      </w:r>
      <w:r>
        <w:t>н</w:t>
      </w:r>
      <w:r>
        <w:t>ных отношениях 1967 года и Закона о технике безопасности на производстве и охране здоровья 1994 года, добавив в них положения, запрещающие сексуал</w:t>
      </w:r>
      <w:r>
        <w:t>ь</w:t>
      </w:r>
      <w:r>
        <w:t>ные домогательс</w:t>
      </w:r>
      <w:r>
        <w:t>т</w:t>
      </w:r>
      <w:r>
        <w:t>ва.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области озабоченности и рекомендации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7.</w:t>
      </w:r>
      <w:r>
        <w:tab/>
        <w:t>Комитет обеспокоен тем, что Конвенция еще не стала частью законод</w:t>
      </w:r>
      <w:r>
        <w:t>а</w:t>
      </w:r>
      <w:r>
        <w:t>тельства Малайзии, в результате чего национальные суды не могут обеспечить осуществление ее положений. Отдавая должное государству-участнику за вн</w:t>
      </w:r>
      <w:r>
        <w:t>е</w:t>
      </w:r>
      <w:r>
        <w:t>сенные в 2001 году поправки в статью 8(2) Федеральной конституции с целью запретить дискриминацию по признаку пола, Комитет все же обеспокоен тем, что малазийские суды слишком узко толкуют положения этой статьи. Комитет озабочен тем, что ни в Федеральной конституции, ни в каких</w:t>
      </w:r>
      <w:r>
        <w:noBreakHyphen/>
        <w:t>либо иных зак</w:t>
      </w:r>
      <w:r>
        <w:t>о</w:t>
      </w:r>
      <w:r>
        <w:t>нах государства-участника нет определения дискриминации в отношении же</w:t>
      </w:r>
      <w:r>
        <w:t>н</w:t>
      </w:r>
      <w:r>
        <w:t>щин в соответствии со статьей 1 Конвенции или принципом равенства мужчин и женщин согласно статье 2(а) Конвенции.</w:t>
      </w:r>
    </w:p>
    <w:p w:rsidR="00000000" w:rsidRDefault="00000000">
      <w:pPr>
        <w:pStyle w:val="SingleTxt"/>
      </w:pPr>
      <w:r>
        <w:t>8.</w:t>
      </w:r>
      <w:r>
        <w:rPr>
          <w:b/>
        </w:rPr>
        <w:tab/>
        <w:t>Комитет призывает государство-участник безотлагательно принять меры для того, чтобы сделать Конвенцию и ее положения частью наци</w:t>
      </w:r>
      <w:r>
        <w:rPr>
          <w:b/>
        </w:rPr>
        <w:t>о</w:t>
      </w:r>
      <w:r>
        <w:rPr>
          <w:b/>
        </w:rPr>
        <w:t>нального законодательства и чтобы они были полностью применимы во внутренней правовой системе. Комитет настоятельно призывает госуда</w:t>
      </w:r>
      <w:r>
        <w:rPr>
          <w:b/>
        </w:rPr>
        <w:t>р</w:t>
      </w:r>
      <w:r>
        <w:rPr>
          <w:b/>
        </w:rPr>
        <w:t>ство-участник включить в свою Конституции и/или иные соответству</w:t>
      </w:r>
      <w:r>
        <w:rPr>
          <w:b/>
        </w:rPr>
        <w:t>ю</w:t>
      </w:r>
      <w:r>
        <w:rPr>
          <w:b/>
        </w:rPr>
        <w:t>щие внутренние законы определение дискриминации, включающее как прямую, так и косвенную дискриминацию, в соответствии со статьей 1 Конвенции. Комитет далее рекомендует, чтобы государство-участник пр</w:t>
      </w:r>
      <w:r>
        <w:rPr>
          <w:b/>
        </w:rPr>
        <w:t>и</w:t>
      </w:r>
      <w:r>
        <w:rPr>
          <w:b/>
        </w:rPr>
        <w:t>няло и осуществляло всеобъемлющий закон, в котором было бы зафикс</w:t>
      </w:r>
      <w:r>
        <w:rPr>
          <w:b/>
        </w:rPr>
        <w:t>и</w:t>
      </w:r>
      <w:r>
        <w:rPr>
          <w:b/>
        </w:rPr>
        <w:t>ровано фактическое равенство женщин и мужчин как в государственной, так и в частной сферах  жизни. Он также рекомендует, чтобы гос</w:t>
      </w:r>
      <w:r>
        <w:rPr>
          <w:b/>
        </w:rPr>
        <w:t>у</w:t>
      </w:r>
      <w:r>
        <w:rPr>
          <w:b/>
        </w:rPr>
        <w:t>дарство-участник установило соответствующие санкции за акты дискриминации в отношении женщин и обеспечило эффективные средства правовой защиты для женщин, права которых нарушаются.</w:t>
      </w:r>
    </w:p>
    <w:p w:rsidR="00000000" w:rsidRDefault="00000000">
      <w:pPr>
        <w:pStyle w:val="SingleTxt"/>
      </w:pPr>
      <w:r>
        <w:t>9.</w:t>
      </w:r>
      <w:r>
        <w:tab/>
        <w:t xml:space="preserve">Приветствуя заверения государства-участника, что оно рассматривает возможность снятия оговорок в отношении статей 5(a) и 7(b), Комитет в то же время обеспокоен тем, что государство-участник не готово вновь рассмотреть и снять оговорки в отношении статей  9(2), 16(1)(a), 16(1)(c), 16(1)(f), 16(1)(g) и 16(2). Особое беспокойство Комитета вызывает позиция государства-участника, считающего, что законы шариата не подлежат изменению. </w:t>
      </w:r>
    </w:p>
    <w:p w:rsidR="00000000" w:rsidRDefault="00000000">
      <w:pPr>
        <w:pStyle w:val="SingleTxt"/>
      </w:pPr>
      <w:r>
        <w:t>10.</w:t>
      </w:r>
      <w:r>
        <w:tab/>
      </w:r>
      <w:r>
        <w:rPr>
          <w:b/>
        </w:rPr>
        <w:t>Комитет настоятельно призывает государство-участник провести о</w:t>
      </w:r>
      <w:r>
        <w:rPr>
          <w:b/>
        </w:rPr>
        <w:t>б</w:t>
      </w:r>
      <w:r>
        <w:rPr>
          <w:b/>
        </w:rPr>
        <w:t>зор всех своих оставшихся поправок, для того чтобы снять их, и прежде всего поправок к статье 16, которые противоречат предмету и цели Ко</w:t>
      </w:r>
      <w:r>
        <w:rPr>
          <w:b/>
        </w:rPr>
        <w:t>н</w:t>
      </w:r>
      <w:r>
        <w:rPr>
          <w:b/>
        </w:rPr>
        <w:t xml:space="preserve">венции. </w:t>
      </w:r>
    </w:p>
    <w:p w:rsidR="00000000" w:rsidRDefault="00000000">
      <w:pPr>
        <w:pStyle w:val="SingleTxt"/>
      </w:pPr>
      <w:r>
        <w:t>11.</w:t>
      </w:r>
      <w:r>
        <w:tab/>
        <w:t>Приветствуя тот факт, что текст Конвенции переведен на бахаса-малайзия, китайский и тамильские языки и распространен среди различных женских н</w:t>
      </w:r>
      <w:r>
        <w:t>е</w:t>
      </w:r>
      <w:r>
        <w:t>правительственных организаций, и выражая удовлетворение тем, что госуда</w:t>
      </w:r>
      <w:r>
        <w:t>р</w:t>
      </w:r>
      <w:r>
        <w:t>ство-участник решило подготовить детскую книжку-справочник по Конвенции, Комитет при этом выражает свое беспокойство тем, что судьи, адвокаты и пр</w:t>
      </w:r>
      <w:r>
        <w:t>о</w:t>
      </w:r>
      <w:r>
        <w:t>куроры плохо знают положения Конвенции.</w:t>
      </w:r>
    </w:p>
    <w:p w:rsidR="00000000" w:rsidRDefault="00000000">
      <w:pPr>
        <w:pStyle w:val="SingleTxt"/>
        <w:rPr>
          <w:b/>
        </w:rPr>
      </w:pPr>
      <w:r>
        <w:t>12.</w:t>
      </w:r>
      <w:r>
        <w:tab/>
      </w:r>
      <w:r>
        <w:rPr>
          <w:b/>
        </w:rPr>
        <w:t>Комитет призывает государство-участник обеспечить, чтобы Конве</w:t>
      </w:r>
      <w:r>
        <w:rPr>
          <w:b/>
        </w:rPr>
        <w:t>н</w:t>
      </w:r>
      <w:r>
        <w:rPr>
          <w:b/>
        </w:rPr>
        <w:t>ция и соответствующие внутренние законы были включены в программы правового просвещения и профессиональной подготовки работников с</w:t>
      </w:r>
      <w:r>
        <w:rPr>
          <w:b/>
        </w:rPr>
        <w:t>у</w:t>
      </w:r>
      <w:r>
        <w:rPr>
          <w:b/>
        </w:rPr>
        <w:t>дебной системы, в том числе судей, адвокатов и прокуроров, чтобы прочно утвердить в стране правовую культуру, признающую равенство женщин и не приемлющую дискр</w:t>
      </w:r>
      <w:r>
        <w:rPr>
          <w:b/>
        </w:rPr>
        <w:t>и</w:t>
      </w:r>
      <w:r>
        <w:rPr>
          <w:b/>
        </w:rPr>
        <w:t xml:space="preserve">минацию. </w:t>
      </w:r>
    </w:p>
    <w:p w:rsidR="00000000" w:rsidRDefault="00000000">
      <w:pPr>
        <w:pStyle w:val="SingleTxt"/>
      </w:pPr>
      <w:r>
        <w:t>13.</w:t>
      </w:r>
      <w:r>
        <w:tab/>
        <w:t>Комитет обеспокоен существованием двойной юридической системы гражданского права и многочисленных вариантов шариатского права, что пр</w:t>
      </w:r>
      <w:r>
        <w:t>и</w:t>
      </w:r>
      <w:r>
        <w:t>водит к сохранению дискриминации в отношении женщин, особенно в вопр</w:t>
      </w:r>
      <w:r>
        <w:t>о</w:t>
      </w:r>
      <w:r>
        <w:t>сах брака и семейных отношений. Комитет обеспокоен также ограничител</w:t>
      </w:r>
      <w:r>
        <w:t>ь</w:t>
      </w:r>
      <w:r>
        <w:t>ным толкованием государством-участником шариатского права, в частности в недавно принятом Законе об изменении исламского семейного права (Фед</w:t>
      </w:r>
      <w:r>
        <w:t>е</w:t>
      </w:r>
      <w:r>
        <w:t>ральные территории) 2005 года, что ущемляет права мусульманских женщин. Комитет обеспокоен также отсутствием ясности в правовой системе, в частн</w:t>
      </w:r>
      <w:r>
        <w:t>о</w:t>
      </w:r>
      <w:r>
        <w:t>сти в вопросе о том, какое право — гражданское или шариатское — регулирует вопросы бр</w:t>
      </w:r>
      <w:r>
        <w:t>а</w:t>
      </w:r>
      <w:r>
        <w:t>ка женщин-немусульманок, чьи мужья принимают ислам.</w:t>
      </w:r>
    </w:p>
    <w:p w:rsidR="00000000" w:rsidRDefault="00000000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настоятельно призывает государство-участник осуществить реформу законодательства, чтобы устранить несоответствия, которые с</w:t>
      </w:r>
      <w:r>
        <w:rPr>
          <w:b/>
        </w:rPr>
        <w:t>у</w:t>
      </w:r>
      <w:r>
        <w:rPr>
          <w:b/>
        </w:rPr>
        <w:t>ществуют между гражданским правом и шариатским правом, в том числе приняв меры для обеспечения того, чтобы любые правовые коллизии, к</w:t>
      </w:r>
      <w:r>
        <w:rPr>
          <w:b/>
        </w:rPr>
        <w:t>а</w:t>
      </w:r>
      <w:r>
        <w:rPr>
          <w:b/>
        </w:rPr>
        <w:t>сающиеся прав женщин на равенство и недискриминацию, урегулиров</w:t>
      </w:r>
      <w:r>
        <w:rPr>
          <w:b/>
        </w:rPr>
        <w:t>а</w:t>
      </w:r>
      <w:r>
        <w:rPr>
          <w:b/>
        </w:rPr>
        <w:t>лись в полном соответствии с Конституцией и положениями Конвенции и общими рекомендациями Комитета, в частности общей рекомендацией 21, касающейся равенства в браке и семейных отношений. В этой связи он н</w:t>
      </w:r>
      <w:r>
        <w:rPr>
          <w:b/>
        </w:rPr>
        <w:t>а</w:t>
      </w:r>
      <w:r>
        <w:rPr>
          <w:b/>
        </w:rPr>
        <w:t>стоятельно призывает государство-участник найти информацию о сравн</w:t>
      </w:r>
      <w:r>
        <w:rPr>
          <w:b/>
        </w:rPr>
        <w:t>и</w:t>
      </w:r>
      <w:r>
        <w:rPr>
          <w:b/>
        </w:rPr>
        <w:t>тельных юриспруденции и законодательстве, в котором, благодаря пров</w:t>
      </w:r>
      <w:r>
        <w:rPr>
          <w:b/>
        </w:rPr>
        <w:t>е</w:t>
      </w:r>
      <w:r>
        <w:rPr>
          <w:b/>
        </w:rPr>
        <w:t>дению соответствующих законодательных реформ, дано более прогресси</w:t>
      </w:r>
      <w:r>
        <w:rPr>
          <w:b/>
        </w:rPr>
        <w:t>в</w:t>
      </w:r>
      <w:r>
        <w:rPr>
          <w:b/>
        </w:rPr>
        <w:t>ное то</w:t>
      </w:r>
      <w:r>
        <w:rPr>
          <w:b/>
        </w:rPr>
        <w:t>л</w:t>
      </w:r>
      <w:r>
        <w:rPr>
          <w:b/>
        </w:rPr>
        <w:t>кование исламского права. Он также призывает государство-участник принять все необходимые меры для оказания более активной поддержки реформе законодательства, в том числе на основе партнерств и сотрудничества с исламскими правоведческими исследовательскими о</w:t>
      </w:r>
      <w:r>
        <w:rPr>
          <w:b/>
        </w:rPr>
        <w:t>р</w:t>
      </w:r>
      <w:r>
        <w:rPr>
          <w:b/>
        </w:rPr>
        <w:t>ганизациями, организациями гражданского общества, женскими неправ</w:t>
      </w:r>
      <w:r>
        <w:rPr>
          <w:b/>
        </w:rPr>
        <w:t>и</w:t>
      </w:r>
      <w:r>
        <w:rPr>
          <w:b/>
        </w:rPr>
        <w:t>тельственными организациями и общинными лидерами. Комитет далее рекомендует создать влиятельный федеральный механизм в целях обесп</w:t>
      </w:r>
      <w:r>
        <w:rPr>
          <w:b/>
        </w:rPr>
        <w:t>е</w:t>
      </w:r>
      <w:r>
        <w:rPr>
          <w:b/>
        </w:rPr>
        <w:t>чения единообразного и последовательного применения шариатских зак</w:t>
      </w:r>
      <w:r>
        <w:rPr>
          <w:b/>
        </w:rPr>
        <w:t>о</w:t>
      </w:r>
      <w:r>
        <w:rPr>
          <w:b/>
        </w:rPr>
        <w:t>нов во всех государствах.</w:t>
      </w:r>
    </w:p>
    <w:p w:rsidR="00000000" w:rsidRDefault="00000000">
      <w:pPr>
        <w:pStyle w:val="SingleTxt"/>
      </w:pPr>
      <w:r>
        <w:t>15.</w:t>
      </w:r>
      <w:r>
        <w:tab/>
        <w:t>Принимая к сведению работу министерства образования, которое орие</w:t>
      </w:r>
      <w:r>
        <w:t>н</w:t>
      </w:r>
      <w:r>
        <w:t>тирует писателей и издателей школьных учебников на то, чтобы исключить из них гендерные стереотипы, Комитет вместе с тем выражает беспокойство в связи с сохранением патриархальных отношений и глубоко укоренившихся стереотипов, касающихся роли и ответственности женщин и мужчин в семье и обществе. Эти стереотипы значительно затрудняют осуществление Конвенции и являются одной из коренных причин неблагоприятного положения женщин в целом ряде областей, в том числе на рынке труда, а также в политической и г</w:t>
      </w:r>
      <w:r>
        <w:t>о</w:t>
      </w:r>
      <w:r>
        <w:t>сударственной сферах.</w:t>
      </w:r>
    </w:p>
    <w:p w:rsidR="00000000" w:rsidRDefault="00000000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призывает государство-участник принять всеобъемлющие меры, которые способствовали бы изменению широко распространенных стереотипов, касающихся роли мужчин и женщин. Такие меры должны предусматривать проведение информационно-пропагандистских и просв</w:t>
      </w:r>
      <w:r>
        <w:rPr>
          <w:b/>
        </w:rPr>
        <w:t>е</w:t>
      </w:r>
      <w:r>
        <w:rPr>
          <w:b/>
        </w:rPr>
        <w:t>тительских кампаний, рассчитанных на женщин и мужчин, девочек и мальчиков, а также религиозных деятелей, с тем чтобы добиться ликв</w:t>
      </w:r>
      <w:r>
        <w:rPr>
          <w:b/>
        </w:rPr>
        <w:t>и</w:t>
      </w:r>
      <w:r>
        <w:rPr>
          <w:b/>
        </w:rPr>
        <w:t>дации стереотипов, касающихся традиционной роли полов в семье и в о</w:t>
      </w:r>
      <w:r>
        <w:rPr>
          <w:b/>
        </w:rPr>
        <w:t>б</w:t>
      </w:r>
      <w:r>
        <w:rPr>
          <w:b/>
        </w:rPr>
        <w:t>ществе, в соответствии со статьями 2(f) и 5(a) Конвенции.</w:t>
      </w:r>
    </w:p>
    <w:p w:rsidR="00000000" w:rsidRDefault="00000000">
      <w:pPr>
        <w:pStyle w:val="SingleTxt"/>
      </w:pPr>
      <w:r>
        <w:t>17.</w:t>
      </w:r>
      <w:r>
        <w:tab/>
        <w:t>Выражая удовлетворение политикой государства-участника, направле</w:t>
      </w:r>
      <w:r>
        <w:t>н</w:t>
      </w:r>
      <w:r>
        <w:t>ной на обеспечение по меньшей мере 30</w:t>
      </w:r>
      <w:r>
        <w:noBreakHyphen/>
        <w:t>процентного представительства же</w:t>
      </w:r>
      <w:r>
        <w:t>н</w:t>
      </w:r>
      <w:r>
        <w:t>щин на директивных должностях в государственном секторе, и принимая к сведению тот факт, что министерство по делам женщин, семьи и общественн</w:t>
      </w:r>
      <w:r>
        <w:t>о</w:t>
      </w:r>
      <w:r>
        <w:t>го развития занимается, совместно с Программой развития Организации Объ</w:t>
      </w:r>
      <w:r>
        <w:t>е</w:t>
      </w:r>
      <w:r>
        <w:t>диненных Наций, разработкой плана действий для реализации этой политики, Комитет вместе с тем обеспокоен слабой представленностью женщин в гос</w:t>
      </w:r>
      <w:r>
        <w:t>у</w:t>
      </w:r>
      <w:r>
        <w:t>дарственных и политических институтах, а также на директивных должностях, в том числе на дипломатической службе. Комитет обеспокоен также уровнем представленности женщин на руководящих должностях в частном се</w:t>
      </w:r>
      <w:r>
        <w:t>к</w:t>
      </w:r>
      <w:r>
        <w:t>торе.</w:t>
      </w:r>
    </w:p>
    <w:p w:rsidR="00000000" w:rsidRDefault="00000000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призывает государство-участник неустанно принимать м</w:t>
      </w:r>
      <w:r>
        <w:rPr>
          <w:b/>
        </w:rPr>
        <w:t>е</w:t>
      </w:r>
      <w:r>
        <w:rPr>
          <w:b/>
        </w:rPr>
        <w:t>ры, включая временные специальные меры в соответствии с пунктом 1 статьи 4 Конвенции и общей рекомендацией 25 Комитета, и установить конкретные цели и сроки, для того чтобы добиться скорейшего увелич</w:t>
      </w:r>
      <w:r>
        <w:rPr>
          <w:b/>
        </w:rPr>
        <w:t>е</w:t>
      </w:r>
      <w:r>
        <w:rPr>
          <w:b/>
        </w:rPr>
        <w:t>ния представленности женщин на выборных и назначаемых должностях во всех сферах жизни государства, в том числе на международном уровне. Комитет предлагает также государству-участнику содействовать тому, чтобы политические партии установили соответствующие квоты. Он р</w:t>
      </w:r>
      <w:r>
        <w:rPr>
          <w:b/>
        </w:rPr>
        <w:t>е</w:t>
      </w:r>
      <w:r>
        <w:rPr>
          <w:b/>
        </w:rPr>
        <w:t>комендует государству-участнику организовать программы професси</w:t>
      </w:r>
      <w:r>
        <w:rPr>
          <w:b/>
        </w:rPr>
        <w:t>о</w:t>
      </w:r>
      <w:r>
        <w:rPr>
          <w:b/>
        </w:rPr>
        <w:t>нальной подготовки, для того чтобы научить будущих женщин-лидеров искусству руководства и ведения переговоров. Он также призывает гос</w:t>
      </w:r>
      <w:r>
        <w:rPr>
          <w:b/>
        </w:rPr>
        <w:t>у</w:t>
      </w:r>
      <w:r>
        <w:rPr>
          <w:b/>
        </w:rPr>
        <w:t>дарство-участник принять меры, которые обеспечили бы увеличение чи</w:t>
      </w:r>
      <w:r>
        <w:rPr>
          <w:b/>
        </w:rPr>
        <w:t>с</w:t>
      </w:r>
      <w:r>
        <w:rPr>
          <w:b/>
        </w:rPr>
        <w:t>ла женщин на руководящих должностях в структурах частного сектора. Он далее настоятельно призывает государство-участник организовать и</w:t>
      </w:r>
      <w:r>
        <w:rPr>
          <w:b/>
        </w:rPr>
        <w:t>н</w:t>
      </w:r>
      <w:r>
        <w:rPr>
          <w:b/>
        </w:rPr>
        <w:t>формационно-пропагандистскую кампанию для разъяснения важности участия женщин в процессе принятия решений на всех уровнях общ</w:t>
      </w:r>
      <w:r>
        <w:rPr>
          <w:b/>
        </w:rPr>
        <w:t>е</w:t>
      </w:r>
      <w:r>
        <w:rPr>
          <w:b/>
        </w:rPr>
        <w:t xml:space="preserve">ства. </w:t>
      </w:r>
    </w:p>
    <w:p w:rsidR="00000000" w:rsidRDefault="00000000">
      <w:pPr>
        <w:pStyle w:val="SingleTxt"/>
      </w:pPr>
      <w:r>
        <w:t>19.</w:t>
      </w:r>
      <w:r>
        <w:tab/>
        <w:t>Выражая удовлетворение тем, что в девятом плане развития Малайзии (2006–2010 годы) поставлена цель увеличить долю женщин на рынке труда, Комитет вместе с тем обеспокоен отсутствием возможностей для трудоустро</w:t>
      </w:r>
      <w:r>
        <w:t>й</w:t>
      </w:r>
      <w:r>
        <w:t>ства женщин, несмотря на высокий уровень образования девочек и женщин. Комитет также обеспокоен тем, что предварительные результаты исследования, проведенного для того, чтобы выявить факторы, которые усугубляют несоо</w:t>
      </w:r>
      <w:r>
        <w:t>т</w:t>
      </w:r>
      <w:r>
        <w:t>ветствие между уровнем образования женщин и их возможностями для труд</w:t>
      </w:r>
      <w:r>
        <w:t>о</w:t>
      </w:r>
      <w:r>
        <w:t>устройства, свидетельствуют о том, что работодатели отдают предпочтение р</w:t>
      </w:r>
      <w:r>
        <w:t>а</w:t>
      </w:r>
      <w:r>
        <w:t>ботникам-мужчинам в силу глубоко укоренившегося мнения о том, будто му</w:t>
      </w:r>
      <w:r>
        <w:t>ж</w:t>
      </w:r>
      <w:r>
        <w:t xml:space="preserve">чины — работники более самостоятельные и надежные. В этой связи Комитет с сожалением отмечает, что существующие ограничения для трудоустройства женщин, а также законодательство, политика и льготы, призванные обеспечить защиту интересов женщин в том, что касается трудоустройства, способствуют увековечению традиционных стереотипов в отношении роли и обязанностей женщин в обществе и семье. </w:t>
      </w:r>
    </w:p>
    <w:p w:rsidR="00000000" w:rsidRDefault="00000000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свои усилия по скорейшему обеспечению фактического равенства возможностей для женщин и мужчин в сфере трудоустройства путем, в ч</w:t>
      </w:r>
      <w:r>
        <w:rPr>
          <w:b/>
        </w:rPr>
        <w:t>а</w:t>
      </w:r>
      <w:r>
        <w:rPr>
          <w:b/>
        </w:rPr>
        <w:t>стности, использования временных специальных мер в соответствии с пунктом 1 статьи 4 Конвенции и общей рекомендацией 25. Комитет рек</w:t>
      </w:r>
      <w:r>
        <w:rPr>
          <w:b/>
        </w:rPr>
        <w:t>о</w:t>
      </w:r>
      <w:r>
        <w:rPr>
          <w:b/>
        </w:rPr>
        <w:t>мендует установить меры контроля, чтобы обеспечить эффективное ос</w:t>
      </w:r>
      <w:r>
        <w:rPr>
          <w:b/>
        </w:rPr>
        <w:t>у</w:t>
      </w:r>
      <w:r>
        <w:rPr>
          <w:b/>
        </w:rPr>
        <w:t>ществление усилий, которые помогли бы изменить укоренившееся мнение о роли женщин и обеспечить справедливое распределение домашних и с</w:t>
      </w:r>
      <w:r>
        <w:rPr>
          <w:b/>
        </w:rPr>
        <w:t>е</w:t>
      </w:r>
      <w:r>
        <w:rPr>
          <w:b/>
        </w:rPr>
        <w:t>мейных обязанностей между женщинами и мужчинами, в частности уст</w:t>
      </w:r>
      <w:r>
        <w:rPr>
          <w:b/>
        </w:rPr>
        <w:t>а</w:t>
      </w:r>
      <w:r>
        <w:rPr>
          <w:b/>
        </w:rPr>
        <w:t>новив с этой целью гибкий график работы, как это предусмотрено в дев</w:t>
      </w:r>
      <w:r>
        <w:rPr>
          <w:b/>
        </w:rPr>
        <w:t>я</w:t>
      </w:r>
      <w:r>
        <w:rPr>
          <w:b/>
        </w:rPr>
        <w:t>том плане развития Малайзии, как для женщин, так и для мужчин.</w:t>
      </w:r>
    </w:p>
    <w:p w:rsidR="00000000" w:rsidRDefault="00000000">
      <w:pPr>
        <w:pStyle w:val="SingleTxt"/>
      </w:pPr>
      <w:r>
        <w:t>21.</w:t>
      </w:r>
      <w:r>
        <w:tab/>
        <w:t>Принимая к сведению различные инициативы, предпринятые государс</w:t>
      </w:r>
      <w:r>
        <w:t>т</w:t>
      </w:r>
      <w:r>
        <w:t>вом-участником для борьбы с насилием в отношении женщин, Комитет, вместе с тем, выражает озабоченность в связи с нежеланием государства-участника установить уголовное наказание за изнасилование в браке. В частности, Ком</w:t>
      </w:r>
      <w:r>
        <w:t>и</w:t>
      </w:r>
      <w:r>
        <w:t>тет обеспокоен тем, что направленное в парламент предложение по этому в</w:t>
      </w:r>
      <w:r>
        <w:t>о</w:t>
      </w:r>
      <w:r>
        <w:t>просу устанавливает уголовную ответственность за сексуальное насилие тол</w:t>
      </w:r>
      <w:r>
        <w:t>ь</w:t>
      </w:r>
      <w:r>
        <w:t>ко в тех случаях, когда муж применяет силу или угрожает расправой, а не в случаях и</w:t>
      </w:r>
      <w:r>
        <w:t>з</w:t>
      </w:r>
      <w:r>
        <w:t>насилования в браке, когда жена против сексуальных отношений.</w:t>
      </w:r>
    </w:p>
    <w:p w:rsidR="00000000" w:rsidRDefault="00000000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просит государство-участник принять законодательство, предусматривающее уголовную ответственность за изнасилование в браке, установив, что факт изнасилования возникает в случае отсутствия соо</w:t>
      </w:r>
      <w:r>
        <w:rPr>
          <w:b/>
        </w:rPr>
        <w:t>т</w:t>
      </w:r>
      <w:r>
        <w:rPr>
          <w:b/>
        </w:rPr>
        <w:t>ветствующего согласия супруги.</w:t>
      </w:r>
    </w:p>
    <w:p w:rsidR="00000000" w:rsidRDefault="00000000">
      <w:pPr>
        <w:pStyle w:val="SingleTxt"/>
      </w:pPr>
      <w:r>
        <w:t>23.</w:t>
      </w:r>
      <w:r>
        <w:tab/>
        <w:t>Комитет обеспокоен тем, что государство-участник не приняло закона о борьбе с торговлей людьми и не разработало всеобъемлющий план для предо</w:t>
      </w:r>
      <w:r>
        <w:t>т</w:t>
      </w:r>
      <w:r>
        <w:t>вращения и искоренения торговли женщинами и обеспечения защиты для жертв. Он обеспокоен также</w:t>
      </w:r>
      <w:r>
        <w:rPr>
          <w:b/>
        </w:rPr>
        <w:t xml:space="preserve"> </w:t>
      </w:r>
      <w:r>
        <w:t>тем, что женщины и девочки, ставшие объектом торговли, могут быть наказаны за нарушение иммиграционного законодател</w:t>
      </w:r>
      <w:r>
        <w:t>ь</w:t>
      </w:r>
      <w:r>
        <w:t>ства и снова оказаться, таким образом, жертвами. Кроме того, Комитет обесп</w:t>
      </w:r>
      <w:r>
        <w:t>о</w:t>
      </w:r>
      <w:r>
        <w:t>коен тем, что никакого систематического сбора данных об этом явлении не в</w:t>
      </w:r>
      <w:r>
        <w:t>е</w:t>
      </w:r>
      <w:r>
        <w:t>дется.</w:t>
      </w:r>
    </w:p>
    <w:p w:rsidR="00000000" w:rsidRDefault="00000000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настоятельно призывает государство-участник рассмотреть вопрос о ратификации Протокола о предупреждении и пресечении торго</w:t>
      </w:r>
      <w:r>
        <w:rPr>
          <w:b/>
        </w:rPr>
        <w:t>в</w:t>
      </w:r>
      <w:r>
        <w:rPr>
          <w:b/>
        </w:rPr>
        <w:t>ли людьми</w:t>
      </w:r>
      <w:r>
        <w:t xml:space="preserve">, </w:t>
      </w:r>
      <w:r>
        <w:rPr>
          <w:b/>
        </w:rPr>
        <w:t>особенно женщинами и детьми, и наказании за нее, допо</w:t>
      </w:r>
      <w:r>
        <w:rPr>
          <w:b/>
        </w:rPr>
        <w:t>л</w:t>
      </w:r>
      <w:r>
        <w:rPr>
          <w:b/>
        </w:rPr>
        <w:t>няющего Конвенцию Организации Объединенных Наций против трансн</w:t>
      </w:r>
      <w:r>
        <w:rPr>
          <w:b/>
        </w:rPr>
        <w:t>а</w:t>
      </w:r>
      <w:r>
        <w:rPr>
          <w:b/>
        </w:rPr>
        <w:t>циональной организованной преступности, и активизировать свои усилия по борьбе со всеми формами торговли женщинами и девочками, в том числе принять конкретное и всеобъемлющее законодательство в связи с этим явлением. Комитет далее призывает государство-участник активиз</w:t>
      </w:r>
      <w:r>
        <w:rPr>
          <w:b/>
        </w:rPr>
        <w:t>и</w:t>
      </w:r>
      <w:r>
        <w:rPr>
          <w:b/>
        </w:rPr>
        <w:t>ровать свои усилия по сотрудничеству на международном, региональном и двустороннем уровнях со странами происхождения и транзита, чтобы б</w:t>
      </w:r>
      <w:r>
        <w:rPr>
          <w:b/>
        </w:rPr>
        <w:t>о</w:t>
      </w:r>
      <w:r>
        <w:rPr>
          <w:b/>
        </w:rPr>
        <w:t>лее эффективно добиваться ликвидации причин такой торговли и усилить меры по предупреждению торговли людьми с помощью обмена информ</w:t>
      </w:r>
      <w:r>
        <w:rPr>
          <w:b/>
        </w:rPr>
        <w:t>а</w:t>
      </w:r>
      <w:r>
        <w:rPr>
          <w:b/>
        </w:rPr>
        <w:t>цией. Комитет настоятельно призывает государство-участник осущест</w:t>
      </w:r>
      <w:r>
        <w:rPr>
          <w:b/>
        </w:rPr>
        <w:t>в</w:t>
      </w:r>
      <w:r>
        <w:rPr>
          <w:b/>
        </w:rPr>
        <w:t>лять сбор и анализ данных из полицейских и международных источников, подвергать торговцев судебному преследованию и наказанию и обеспечить защиту прав человека женщин и девочек, которые стали жертвами то</w:t>
      </w:r>
      <w:r>
        <w:rPr>
          <w:b/>
        </w:rPr>
        <w:t>р</w:t>
      </w:r>
      <w:r>
        <w:rPr>
          <w:b/>
        </w:rPr>
        <w:t>говли. Комитет настоятельно призывает государство-участник обеспечить, чтобы женщины и девочки, которые оказались жертвами торговли, не подвергались наказанию за нарушение иммиграционных законов и чтобы им была обеспечена надлежащая поддержка для того, чтобы они могли дать свидетельские п</w:t>
      </w:r>
      <w:r>
        <w:rPr>
          <w:b/>
        </w:rPr>
        <w:t>о</w:t>
      </w:r>
      <w:r>
        <w:rPr>
          <w:b/>
        </w:rPr>
        <w:t xml:space="preserve">казания против торговцев. </w:t>
      </w:r>
    </w:p>
    <w:p w:rsidR="00000000" w:rsidRDefault="00000000">
      <w:pPr>
        <w:pStyle w:val="SingleTxt"/>
      </w:pPr>
      <w:r>
        <w:t>25.</w:t>
      </w:r>
      <w:r>
        <w:tab/>
        <w:t>Принимая к сведению наличие меморандума о взаимопонимании между государством-участником и правительством Индонезии, который регулирует права индонезийских трудящихся-мигрантов в Малайзии, и создание комитета кабинета министров по делам трудящихся-мигрантов, Комитет выражает обе</w:t>
      </w:r>
      <w:r>
        <w:t>с</w:t>
      </w:r>
      <w:r>
        <w:t>покоенность отсутствием законодательства и политики в защиту прав труд</w:t>
      </w:r>
      <w:r>
        <w:t>я</w:t>
      </w:r>
      <w:r>
        <w:t>щихся-мигрантов, в частности мигрантов, которые выполняют функции д</w:t>
      </w:r>
      <w:r>
        <w:t>о</w:t>
      </w:r>
      <w:r>
        <w:t>машней прислуги — в большинстве своем женщин, в том числе прав на труд</w:t>
      </w:r>
      <w:r>
        <w:t>о</w:t>
      </w:r>
      <w:r>
        <w:t xml:space="preserve">устройство и прав на компенсацию ущерба в случаях злоупотреблений. </w:t>
      </w:r>
    </w:p>
    <w:p w:rsidR="00000000" w:rsidRDefault="00000000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настоятельно призывает государство-участник принять вс</w:t>
      </w:r>
      <w:r>
        <w:rPr>
          <w:b/>
        </w:rPr>
        <w:t>е</w:t>
      </w:r>
      <w:r>
        <w:rPr>
          <w:b/>
        </w:rPr>
        <w:t>объемлющее законодательство и установить процедуры для обеспечения гарантий прав трудящихся-мигрантов, в том числе мигрантов, выпо</w:t>
      </w:r>
      <w:r>
        <w:rPr>
          <w:b/>
        </w:rPr>
        <w:t>л</w:t>
      </w:r>
      <w:r>
        <w:rPr>
          <w:b/>
        </w:rPr>
        <w:t>няющих функции домашней прислуги. Комитет призывает государство-участник обеспечить для трудящихся-мигрантов реальные средства пр</w:t>
      </w:r>
      <w:r>
        <w:rPr>
          <w:b/>
        </w:rPr>
        <w:t>а</w:t>
      </w:r>
      <w:r>
        <w:rPr>
          <w:b/>
        </w:rPr>
        <w:t>вовой защиты от злоупотреблений со стороны нанимателей и позволить им оставаться в стране, пока они добиваются возмещения ущерба.</w:t>
      </w:r>
      <w:r>
        <w:t xml:space="preserve"> </w:t>
      </w:r>
      <w:r>
        <w:rPr>
          <w:b/>
        </w:rPr>
        <w:t>Ком</w:t>
      </w:r>
      <w:r>
        <w:rPr>
          <w:b/>
        </w:rPr>
        <w:t>и</w:t>
      </w:r>
      <w:r>
        <w:rPr>
          <w:b/>
        </w:rPr>
        <w:t>тет далее настоятельно призывает государство-участник информировать трудящихся-мигрантов о таких правах.</w:t>
      </w:r>
    </w:p>
    <w:p w:rsidR="00000000" w:rsidRDefault="00000000">
      <w:pPr>
        <w:pStyle w:val="SingleTxt"/>
      </w:pPr>
      <w:r>
        <w:t>27.</w:t>
      </w:r>
      <w:r>
        <w:tab/>
        <w:t>Комитет обеспокоен тем, что государство-участник не приняло никаких законов или нормативных актов, касающихся статуса лиц, ищущих убежище, и беженцев. В частности, Комитет обеспокоен тем, что лица, ищущие убежище, и беженцы, в том числе женщины, подвергаются судебному преследованию за нарушение иммиграционного законодательства, и могут в течение неопред</w:t>
      </w:r>
      <w:r>
        <w:t>е</w:t>
      </w:r>
      <w:r>
        <w:t>ленного срока содержаться под стражей в иммиграционных центрах или быть высланы из страны.</w:t>
      </w:r>
    </w:p>
    <w:p w:rsidR="00000000" w:rsidRDefault="00000000">
      <w:pPr>
        <w:pStyle w:val="SingleTxt"/>
      </w:pPr>
      <w:r>
        <w:t>28.</w:t>
      </w:r>
      <w:r>
        <w:tab/>
      </w:r>
      <w:r>
        <w:rPr>
          <w:b/>
        </w:rPr>
        <w:t>Комитет рекомендует, чтобы государство-участник приняло законы и нормативные акты, касающиеся статуса лиц, ищущих убежище, и беже</w:t>
      </w:r>
      <w:r>
        <w:rPr>
          <w:b/>
        </w:rPr>
        <w:t>н</w:t>
      </w:r>
      <w:r>
        <w:rPr>
          <w:b/>
        </w:rPr>
        <w:t>цев в Малайзии, в соответствии с международными стандартами с целью обеспечить защиту женщин, ищущих убежище, и беженок и их детей. К</w:t>
      </w:r>
      <w:r>
        <w:rPr>
          <w:b/>
        </w:rPr>
        <w:t>о</w:t>
      </w:r>
      <w:r>
        <w:rPr>
          <w:b/>
        </w:rPr>
        <w:t>митет далее рекомендует, чтобы государство-участник полностью инте</w:t>
      </w:r>
      <w:r>
        <w:rPr>
          <w:b/>
        </w:rPr>
        <w:t>г</w:t>
      </w:r>
      <w:r>
        <w:rPr>
          <w:b/>
        </w:rPr>
        <w:t>рировало подход, предусматривающий учет гендерной проблематики, в процесс предоставления статуса лица, ищущего убежище, или беженца в тесном сотрудничестве с соответствующими международными учрежд</w:t>
      </w:r>
      <w:r>
        <w:rPr>
          <w:b/>
        </w:rPr>
        <w:t>е</w:t>
      </w:r>
      <w:r>
        <w:rPr>
          <w:b/>
        </w:rPr>
        <w:t>ниями, занимающимися вопросами защиты беженцев, в частности с Управлением Верховного комиссара по делам б</w:t>
      </w:r>
      <w:r>
        <w:rPr>
          <w:b/>
        </w:rPr>
        <w:t>е</w:t>
      </w:r>
      <w:r>
        <w:rPr>
          <w:b/>
        </w:rPr>
        <w:t>женцев.</w:t>
      </w:r>
    </w:p>
    <w:p w:rsidR="00000000" w:rsidRDefault="00000000">
      <w:pPr>
        <w:pStyle w:val="SingleTxt"/>
      </w:pPr>
      <w:r>
        <w:t>29.</w:t>
      </w:r>
      <w:r>
        <w:tab/>
        <w:t>Комитет обеспокоен тем, что в докладе не содержится никакой информ</w:t>
      </w:r>
      <w:r>
        <w:t>а</w:t>
      </w:r>
      <w:r>
        <w:t>ции о положении женщин различных этнических групп во всех областях, охв</w:t>
      </w:r>
      <w:r>
        <w:t>а</w:t>
      </w:r>
      <w:r>
        <w:t>тываемых Конвенцией. Кроме того, Комитет сожалеет в связи с тем, что о сельских женщинах была представлена устаревшая информация, не отража</w:t>
      </w:r>
      <w:r>
        <w:t>ю</w:t>
      </w:r>
      <w:r>
        <w:t>щая их нынешнего положения.</w:t>
      </w:r>
    </w:p>
    <w:p w:rsidR="00000000" w:rsidRDefault="00000000">
      <w:pPr>
        <w:pStyle w:val="SingleTxt"/>
      </w:pPr>
      <w:r>
        <w:t>30.</w:t>
      </w:r>
      <w:r>
        <w:tab/>
      </w:r>
      <w:r>
        <w:rPr>
          <w:b/>
        </w:rPr>
        <w:t>Комитет настоятельно призывает государство-участник включить в свой следующий доклад дезагрегированные по признаку пола и этнич</w:t>
      </w:r>
      <w:r>
        <w:rPr>
          <w:b/>
        </w:rPr>
        <w:t>е</w:t>
      </w:r>
      <w:r>
        <w:rPr>
          <w:b/>
        </w:rPr>
        <w:t>ской принадлежности данные по всем областям, охватываемым Конве</w:t>
      </w:r>
      <w:r>
        <w:rPr>
          <w:b/>
        </w:rPr>
        <w:t>н</w:t>
      </w:r>
      <w:r>
        <w:rPr>
          <w:b/>
        </w:rPr>
        <w:t>цией, и современные дезагрегированные по признаку пола данные и и</w:t>
      </w:r>
      <w:r>
        <w:rPr>
          <w:b/>
        </w:rPr>
        <w:t>н</w:t>
      </w:r>
      <w:r>
        <w:rPr>
          <w:b/>
        </w:rPr>
        <w:t>формацию о фактическом положении сельских женщин по всем сект</w:t>
      </w:r>
      <w:r>
        <w:rPr>
          <w:b/>
        </w:rPr>
        <w:t>о</w:t>
      </w:r>
      <w:r>
        <w:rPr>
          <w:b/>
        </w:rPr>
        <w:t>рам.</w:t>
      </w:r>
    </w:p>
    <w:p w:rsidR="00000000" w:rsidRDefault="00000000">
      <w:pPr>
        <w:pStyle w:val="SingleTxt"/>
      </w:pPr>
      <w:r>
        <w:t>31.</w:t>
      </w:r>
      <w:r>
        <w:tab/>
      </w:r>
      <w:r>
        <w:rPr>
          <w:b/>
        </w:rPr>
        <w:t>Комитет призывает государство-участник ратифицировать Факул</w:t>
      </w:r>
      <w:r>
        <w:rPr>
          <w:b/>
        </w:rPr>
        <w:t>ь</w:t>
      </w:r>
      <w:r>
        <w:rPr>
          <w:b/>
        </w:rPr>
        <w:t>тативный протокол к Конвенции о ликвидации всех форм дискриминации в отношении женщин и как можно скорее принять поправку к пункту 1 статьи 20 Конвенции, касающуюся сроков проведения заседаний Комит</w:t>
      </w:r>
      <w:r>
        <w:rPr>
          <w:b/>
        </w:rPr>
        <w:t>е</w:t>
      </w:r>
      <w:r>
        <w:rPr>
          <w:b/>
        </w:rPr>
        <w:t>та.</w:t>
      </w:r>
    </w:p>
    <w:p w:rsidR="00000000" w:rsidRDefault="00000000">
      <w:pPr>
        <w:pStyle w:val="SingleTxt"/>
      </w:pPr>
      <w:r>
        <w:t>32.</w:t>
      </w:r>
      <w:r>
        <w:tab/>
      </w:r>
      <w:r>
        <w:rPr>
          <w:b/>
        </w:rPr>
        <w:t>Комитет просит государство-участник обеспечить широкое участие всех министерств и государственных ведомств в подготовке своего сл</w:t>
      </w:r>
      <w:r>
        <w:rPr>
          <w:b/>
        </w:rPr>
        <w:t>е</w:t>
      </w:r>
      <w:r>
        <w:rPr>
          <w:b/>
        </w:rPr>
        <w:t>дующего доклада, а также продолжать проводить консультации с непр</w:t>
      </w:r>
      <w:r>
        <w:rPr>
          <w:b/>
        </w:rPr>
        <w:t>а</w:t>
      </w:r>
      <w:r>
        <w:rPr>
          <w:b/>
        </w:rPr>
        <w:t>вительственными организациями в ходе его подготовки. Он призывает г</w:t>
      </w:r>
      <w:r>
        <w:rPr>
          <w:b/>
        </w:rPr>
        <w:t>о</w:t>
      </w:r>
      <w:r>
        <w:rPr>
          <w:b/>
        </w:rPr>
        <w:t>сударство-участник организовать обсуждение доклада в парламенте до его представления Комитету.</w:t>
      </w:r>
    </w:p>
    <w:p w:rsidR="00000000" w:rsidRDefault="00000000">
      <w:pPr>
        <w:pStyle w:val="SingleTxt"/>
      </w:pPr>
      <w:r>
        <w:t>33.</w:t>
      </w:r>
      <w:r>
        <w:tab/>
      </w:r>
      <w:r>
        <w:rPr>
          <w:b/>
        </w:rPr>
        <w:t>Комитет настоятельно призывает государство-участник при выпо</w:t>
      </w:r>
      <w:r>
        <w:rPr>
          <w:b/>
        </w:rPr>
        <w:t>л</w:t>
      </w:r>
      <w:r>
        <w:rPr>
          <w:b/>
        </w:rPr>
        <w:t>нении своих обязательств по Конвенции в полной мере учитывать Пеки</w:t>
      </w:r>
      <w:r>
        <w:rPr>
          <w:b/>
        </w:rPr>
        <w:t>н</w:t>
      </w:r>
      <w:r>
        <w:rPr>
          <w:b/>
        </w:rPr>
        <w:t>скую декларацию и Платформу действий, которые дополняют положения Конвенции, и просит государство-участник включить соответствующую информацию в свой следующий периодический доклад.</w:t>
      </w:r>
    </w:p>
    <w:p w:rsidR="00000000" w:rsidRDefault="00000000">
      <w:pPr>
        <w:pStyle w:val="SingleTxt"/>
      </w:pPr>
      <w:r>
        <w:t>34.</w:t>
      </w:r>
      <w:r>
        <w:tab/>
      </w:r>
      <w:r>
        <w:rPr>
          <w:b/>
        </w:rPr>
        <w:t>Комитет также подчеркивает, что всеобъемлющее и эффективное осуществление Конвенции является непременным условием достижения целей в области развития, сформулированных в Декларации тысячелетия. Он призывает учитывать гендерную проблематику и в полной мере рук</w:t>
      </w:r>
      <w:r>
        <w:rPr>
          <w:b/>
        </w:rPr>
        <w:t>о</w:t>
      </w:r>
      <w:r>
        <w:rPr>
          <w:b/>
        </w:rPr>
        <w:t>водствоваться положениями Конвенции при принятии любых мер, н</w:t>
      </w:r>
      <w:r>
        <w:rPr>
          <w:b/>
        </w:rPr>
        <w:t>а</w:t>
      </w:r>
      <w:r>
        <w:rPr>
          <w:b/>
        </w:rPr>
        <w:t>правленных на достижение целей в области развития, сформулированных в Декларации тысячелетия, и просит государство-участник включить с</w:t>
      </w:r>
      <w:r>
        <w:rPr>
          <w:b/>
        </w:rPr>
        <w:t>о</w:t>
      </w:r>
      <w:r>
        <w:rPr>
          <w:b/>
        </w:rPr>
        <w:t>ответствующую информацию в свой следующий периодический доклад.</w:t>
      </w:r>
    </w:p>
    <w:p w:rsidR="00000000" w:rsidRDefault="00000000">
      <w:pPr>
        <w:pStyle w:val="SingleTxt"/>
      </w:pPr>
      <w:r>
        <w:t>35.</w:t>
      </w:r>
      <w:r>
        <w:tab/>
      </w:r>
      <w:r>
        <w:rPr>
          <w:b/>
        </w:rPr>
        <w:t>Комитет отмечает, что присоединение государств к семи основным международным договорам по правам человека</w:t>
      </w:r>
      <w:r>
        <w:rPr>
          <w:rStyle w:val="FootnoteReference"/>
        </w:rPr>
        <w:footnoteReference w:id="1"/>
      </w:r>
      <w:r>
        <w:rPr>
          <w:b/>
        </w:rPr>
        <w:t xml:space="preserve"> позволяет обеспечить права человека и основные свободы женщин во всех сферах жизни. П</w:t>
      </w:r>
      <w:r>
        <w:rPr>
          <w:b/>
        </w:rPr>
        <w:t>о</w:t>
      </w:r>
      <w:r>
        <w:rPr>
          <w:b/>
        </w:rPr>
        <w:t>этому Комитет призывает правительство Малайзии рассмотреть вопрос о ратификации договоров, участниками которых она пока не является, а именно Международного пакта об экономических, социальных и культу</w:t>
      </w:r>
      <w:r>
        <w:rPr>
          <w:b/>
        </w:rPr>
        <w:t>р</w:t>
      </w:r>
      <w:r>
        <w:rPr>
          <w:b/>
        </w:rPr>
        <w:t>ных правах, Международного пакта о гражданских и политических пр</w:t>
      </w:r>
      <w:r>
        <w:rPr>
          <w:b/>
        </w:rPr>
        <w:t>а</w:t>
      </w:r>
      <w:r>
        <w:rPr>
          <w:b/>
        </w:rPr>
        <w:t>вах, Международной конвенции о ликвидации всех форм расовой дискр</w:t>
      </w:r>
      <w:r>
        <w:rPr>
          <w:b/>
        </w:rPr>
        <w:t>и</w:t>
      </w:r>
      <w:r>
        <w:rPr>
          <w:b/>
        </w:rPr>
        <w:t>минации, Конвенции против пыток и других жестоких, бесчеловечных или унижающих достоинство видов обращения или наказания и Междунаро</w:t>
      </w:r>
      <w:r>
        <w:rPr>
          <w:b/>
        </w:rPr>
        <w:t>д</w:t>
      </w:r>
      <w:r>
        <w:rPr>
          <w:b/>
        </w:rPr>
        <w:t>ной конвенции о защите прав всех трудящихся-мигрантов и членов их с</w:t>
      </w:r>
      <w:r>
        <w:rPr>
          <w:b/>
        </w:rPr>
        <w:t>е</w:t>
      </w:r>
      <w:r>
        <w:rPr>
          <w:b/>
        </w:rPr>
        <w:t>мей.</w:t>
      </w:r>
    </w:p>
    <w:p w:rsidR="00000000" w:rsidRDefault="00000000">
      <w:pPr>
        <w:pStyle w:val="SingleTxt"/>
      </w:pPr>
      <w:r>
        <w:t>36.</w:t>
      </w:r>
      <w:r>
        <w:tab/>
      </w:r>
      <w:r>
        <w:rPr>
          <w:b/>
        </w:rPr>
        <w:t>Комитет просит обеспечить широкое распространение в Малайзии настоящих заключительных замечаний, с тем чтобы информировать нас</w:t>
      </w:r>
      <w:r>
        <w:rPr>
          <w:b/>
        </w:rPr>
        <w:t>е</w:t>
      </w:r>
      <w:r>
        <w:rPr>
          <w:b/>
        </w:rPr>
        <w:t>ление Малайзии, в том числе государственных должностных лиц, полит</w:t>
      </w:r>
      <w:r>
        <w:rPr>
          <w:b/>
        </w:rPr>
        <w:t>и</w:t>
      </w:r>
      <w:r>
        <w:rPr>
          <w:b/>
        </w:rPr>
        <w:t>ков, парламентариев и членов женских и правозащитных организаций, о мерах, принимаемых для обеспечения юридического и фактического р</w:t>
      </w:r>
      <w:r>
        <w:rPr>
          <w:b/>
        </w:rPr>
        <w:t>а</w:t>
      </w:r>
      <w:r>
        <w:rPr>
          <w:b/>
        </w:rPr>
        <w:t>венства женщин, а также о дополнительных мерах, которые требуется принять в этой области. Комитет просит государство-участник продолжать широко распространять, особенно среди членов женских и правозащи</w:t>
      </w:r>
      <w:r>
        <w:rPr>
          <w:b/>
        </w:rPr>
        <w:t>т</w:t>
      </w:r>
      <w:r>
        <w:rPr>
          <w:b/>
        </w:rPr>
        <w:t>ных организаций, информацию о Конвенции, Факультативном протоколе к ней, общих рекомендациях Комитета, Пекинской декларации и Пла</w:t>
      </w:r>
      <w:r>
        <w:rPr>
          <w:b/>
        </w:rPr>
        <w:t>т</w:t>
      </w:r>
      <w:r>
        <w:rPr>
          <w:b/>
        </w:rPr>
        <w:t>форме действий и итоговом документе двадцатой третьей специальной сессии Генеральной Ассамблеи под названием «Женщины в 2000 году: р</w:t>
      </w:r>
      <w:r>
        <w:rPr>
          <w:b/>
        </w:rPr>
        <w:t>а</w:t>
      </w:r>
      <w:r>
        <w:rPr>
          <w:b/>
        </w:rPr>
        <w:t>венство между мужчинами и женщинами, развитие и мир в XXI веке».</w:t>
      </w:r>
    </w:p>
    <w:p w:rsidR="00000000" w:rsidRDefault="00000000">
      <w:pPr>
        <w:pStyle w:val="SingleTxt"/>
      </w:pPr>
      <w:r>
        <w:t>37.</w:t>
      </w:r>
      <w:r>
        <w:tab/>
      </w:r>
      <w:r>
        <w:rPr>
          <w:b/>
        </w:rPr>
        <w:t>Комитет просит государство-участник дать ответы на вопросы, по</w:t>
      </w:r>
      <w:r>
        <w:rPr>
          <w:b/>
        </w:rPr>
        <w:t>д</w:t>
      </w:r>
      <w:r>
        <w:rPr>
          <w:b/>
        </w:rPr>
        <w:t>нятые в настоящих заключительных замечаниях, в своем следующем п</w:t>
      </w:r>
      <w:r>
        <w:rPr>
          <w:b/>
        </w:rPr>
        <w:t>е</w:t>
      </w:r>
      <w:r>
        <w:rPr>
          <w:b/>
        </w:rPr>
        <w:t>риодическом докладе в соответствии со статьей 18 Конвенции. Комитет предлагает государству-участнику представить свой третий периодич</w:t>
      </w:r>
      <w:r>
        <w:rPr>
          <w:b/>
        </w:rPr>
        <w:t>е</w:t>
      </w:r>
      <w:r>
        <w:rPr>
          <w:b/>
        </w:rPr>
        <w:t>ский доклад (срок представления — август 2004 года) и свой четвертый периодический доклад (срок представления — август 2008 года) в виде сводного доклада в 2008 году.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NO&gt;&gt;N0638442R&lt;&lt;ODS JOB NO&gt;&gt;</w:t>
      </w:r>
    </w:p>
    <w:p w:rsidR="00000000" w:rsidRDefault="00000000">
      <w:pPr>
        <w:pStyle w:val="CommentText"/>
      </w:pPr>
      <w:r>
        <w:t>&lt;&lt;ODS DOC SYMBOL1&gt;&gt;CEDAW/C/MYS/CO/2&lt;&lt;ODS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06-38442 (R)    150606    150606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*0638442*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CEDAW/C/MYS/CO/2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CEDAW/C/MYS/CO/2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/C/MYS/CO/2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31 May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5/06/2006 23:59:09"/>
    <w:docVar w:name="DocCategory" w:val="Doc"/>
    <w:docVar w:name="DocType" w:val="Final"/>
    <w:docVar w:name="JobNo" w:val="0638442R"/>
    <w:docVar w:name="OandT" w:val=" "/>
    <w:docVar w:name="Symbol1" w:val="CEDAW/C/MYS/CO/2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3164</Words>
  <Characters>18036</Characters>
  <Application>Microsoft Office Word</Application>
  <DocSecurity>4</DocSecurity>
  <Lines>150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22149</CharactersWithSpaces>
  <SharedDoc>false</SharedDoc>
  <HLinks>
    <vt:vector size="6" baseType="variant">
      <vt:variant>
        <vt:i4>4522087</vt:i4>
      </vt:variant>
      <vt:variant>
        <vt:i4>46068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5</cp:revision>
  <cp:lastPrinted>2006-06-15T23:05:00Z</cp:lastPrinted>
  <dcterms:created xsi:type="dcterms:W3CDTF">2006-06-15T23:05:00Z</dcterms:created>
  <dcterms:modified xsi:type="dcterms:W3CDTF">2006-06-15T23:16:00Z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0638442</vt:lpwstr>
  </property>
  <property fmtid="{D5CDD505-2E9C-101B-9397-08002B2CF9AE}" pid="3" name="Symbol1">
    <vt:lpwstr>CEDAW/C/MYS/CO/2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8 </vt:lpwstr>
  </property>
  <property fmtid="{D5CDD505-2E9C-101B-9397-08002B2CF9AE}" pid="8" name="Operator">
    <vt:lpwstr>Petrichenko</vt:lpwstr>
  </property>
</Properties>
</file>