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F315" w14:textId="77777777" w:rsidR="00685710" w:rsidRDefault="00685710" w:rsidP="00685710">
      <w:pPr>
        <w:spacing w:line="60" w:lineRule="exact"/>
        <w:rPr>
          <w:color w:val="010000"/>
          <w:sz w:val="2"/>
        </w:rPr>
        <w:sectPr w:rsidR="00685710" w:rsidSect="00C237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7EEC918F" w14:textId="77777777" w:rsidR="00C237A1" w:rsidRPr="006E5432" w:rsidRDefault="00C237A1" w:rsidP="00C237A1">
      <w:pPr>
        <w:pStyle w:val="H1"/>
        <w:ind w:right="4080"/>
      </w:pPr>
      <w:bookmarkStart w:id="1" w:name="_Hlk19261794"/>
      <w:r>
        <w:rPr>
          <w:bCs/>
        </w:rPr>
        <w:t>Комитет по ликвидации дискриминации в</w:t>
      </w:r>
      <w:r>
        <w:rPr>
          <w:bCs/>
          <w:lang w:val="en-US"/>
        </w:rPr>
        <w:t> </w:t>
      </w:r>
      <w:r>
        <w:rPr>
          <w:bCs/>
        </w:rPr>
        <w:t>отношении женщин</w:t>
      </w:r>
    </w:p>
    <w:p w14:paraId="54990B91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E5D93D1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36FC801C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FCB7B15" w14:textId="77777777" w:rsidR="00C237A1" w:rsidRPr="006E5432" w:rsidRDefault="00C237A1" w:rsidP="005C71CD">
      <w:pPr>
        <w:pStyle w:val="TitleHCH"/>
      </w:pPr>
      <w:r>
        <w:tab/>
      </w:r>
      <w:r>
        <w:tab/>
        <w:t>Заключительные замечания по объединенным третьему, четвертому и пятому периодическим докладам Мозамбика</w:t>
      </w:r>
      <w:r w:rsidRPr="00C237A1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14:paraId="0C3D7DFE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2E1736F1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4BA381D5" w14:textId="479A3DA2" w:rsidR="00C237A1" w:rsidRPr="00D043FB" w:rsidRDefault="00C237A1" w:rsidP="00C237A1">
      <w:pPr>
        <w:pStyle w:val="SingleTxt"/>
      </w:pPr>
      <w:r>
        <w:t>1.</w:t>
      </w:r>
      <w:r>
        <w:tab/>
        <w:t>Комитет рассмотрел объединенные третий, четвертый и пятый периоди</w:t>
      </w:r>
      <w:r w:rsidRPr="00D043FB">
        <w:t>ческие доклады Мозамбика (</w:t>
      </w:r>
      <w:hyperlink r:id="rId15" w:history="1">
        <w:r w:rsidRPr="00585196">
          <w:rPr>
            <w:rStyle w:val="Hyperlink"/>
          </w:rPr>
          <w:t>CEDAW/C/MOZ/3</w:t>
        </w:r>
        <w:r w:rsidR="00962CA9" w:rsidRPr="00962CA9">
          <w:rPr>
            <w:rStyle w:val="Hyperlink"/>
          </w:rPr>
          <w:t>–</w:t>
        </w:r>
        <w:r w:rsidRPr="00585196">
          <w:rPr>
            <w:rStyle w:val="Hyperlink"/>
          </w:rPr>
          <w:t>5</w:t>
        </w:r>
      </w:hyperlink>
      <w:r w:rsidRPr="00D043FB">
        <w:t>) на своих 1692</w:t>
      </w:r>
      <w:r w:rsidRPr="002530F3">
        <w:noBreakHyphen/>
      </w:r>
      <w:r w:rsidRPr="00D043FB">
        <w:t>м и 1693</w:t>
      </w:r>
      <w:r w:rsidRPr="002530F3">
        <w:noBreakHyphen/>
      </w:r>
      <w:r w:rsidRPr="00D043FB">
        <w:t>м заседаниях (см.</w:t>
      </w:r>
      <w:r>
        <w:rPr>
          <w:lang w:val="en-US"/>
        </w:rPr>
        <w:t> </w:t>
      </w:r>
      <w:hyperlink r:id="rId16" w:history="1">
        <w:r w:rsidRPr="00585196">
          <w:rPr>
            <w:rStyle w:val="Hyperlink"/>
          </w:rPr>
          <w:t>CEDAW/C/SR.1692</w:t>
        </w:r>
      </w:hyperlink>
      <w:r w:rsidRPr="00D043FB">
        <w:t xml:space="preserve"> и </w:t>
      </w:r>
      <w:hyperlink r:id="rId17" w:history="1">
        <w:r w:rsidRPr="00585196">
          <w:rPr>
            <w:rStyle w:val="Hyperlink"/>
          </w:rPr>
          <w:t>CEDAW/C/SR.1693</w:t>
        </w:r>
      </w:hyperlink>
      <w:r w:rsidRPr="00D043FB">
        <w:t xml:space="preserve">), </w:t>
      </w:r>
      <w:r>
        <w:t>состоявши</w:t>
      </w:r>
      <w:r w:rsidRPr="00D043FB">
        <w:t>х</w:t>
      </w:r>
      <w:r>
        <w:t>ся</w:t>
      </w:r>
      <w:r w:rsidRPr="00D043FB">
        <w:t xml:space="preserve"> 3</w:t>
      </w:r>
      <w:r>
        <w:t> </w:t>
      </w:r>
      <w:r w:rsidRPr="00D043FB">
        <w:t>июля 2019</w:t>
      </w:r>
      <w:r>
        <w:t> </w:t>
      </w:r>
      <w:r w:rsidRPr="00D043FB">
        <w:t xml:space="preserve">года. Перечень тем и вопросов, </w:t>
      </w:r>
      <w:r>
        <w:t xml:space="preserve">сформулированных </w:t>
      </w:r>
      <w:r w:rsidRPr="00D043FB">
        <w:t>предсессионной рабочей группой, содержится в</w:t>
      </w:r>
      <w:r>
        <w:t xml:space="preserve"> документе </w:t>
      </w:r>
      <w:hyperlink r:id="rId18" w:history="1">
        <w:r w:rsidRPr="00585196">
          <w:rPr>
            <w:rStyle w:val="Hyperlink"/>
          </w:rPr>
          <w:t>CEDAW/C/MOZ/Q/3</w:t>
        </w:r>
        <w:r w:rsidR="00962CA9" w:rsidRPr="00962CA9">
          <w:rPr>
            <w:rStyle w:val="Hyperlink"/>
          </w:rPr>
          <w:t>–</w:t>
        </w:r>
        <w:r w:rsidRPr="00585196">
          <w:rPr>
            <w:rStyle w:val="Hyperlink"/>
          </w:rPr>
          <w:t>5</w:t>
        </w:r>
      </w:hyperlink>
      <w:r w:rsidRPr="00D043FB">
        <w:t>, а ответы государства-участника</w:t>
      </w:r>
      <w:r>
        <w:t> — в документе </w:t>
      </w:r>
      <w:hyperlink r:id="rId19" w:history="1">
        <w:r w:rsidRPr="00585196">
          <w:rPr>
            <w:rStyle w:val="Hyperlink"/>
          </w:rPr>
          <w:t>CEDAW/C/MOZ/Q/3</w:t>
        </w:r>
        <w:r w:rsidR="00962CA9" w:rsidRPr="00F03D16">
          <w:rPr>
            <w:rStyle w:val="Hyperlink"/>
          </w:rPr>
          <w:t>–</w:t>
        </w:r>
        <w:bookmarkStart w:id="2" w:name="_GoBack"/>
        <w:bookmarkEnd w:id="2"/>
        <w:r w:rsidRPr="00585196">
          <w:rPr>
            <w:rStyle w:val="Hyperlink"/>
          </w:rPr>
          <w:t>5/Add.1</w:t>
        </w:r>
      </w:hyperlink>
      <w:r w:rsidRPr="00D043FB">
        <w:t>.</w:t>
      </w:r>
    </w:p>
    <w:p w14:paraId="5AB8B0C1" w14:textId="77777777" w:rsidR="00C237A1" w:rsidRPr="00D043FB" w:rsidRDefault="00C237A1" w:rsidP="00C237A1">
      <w:pPr>
        <w:pStyle w:val="SingleTxt"/>
        <w:spacing w:after="0" w:line="120" w:lineRule="exact"/>
        <w:rPr>
          <w:sz w:val="10"/>
        </w:rPr>
      </w:pPr>
    </w:p>
    <w:p w14:paraId="7A61B6EC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1B381A2" w14:textId="77777777" w:rsidR="00C237A1" w:rsidRPr="006E5432" w:rsidRDefault="00C237A1" w:rsidP="00C237A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043FB">
        <w:tab/>
      </w:r>
      <w:r>
        <w:t>A.</w:t>
      </w:r>
      <w:r>
        <w:tab/>
        <w:t>Введение</w:t>
      </w:r>
    </w:p>
    <w:p w14:paraId="2E80EE1B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233B5BE0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37406097" w14:textId="77777777" w:rsidR="00C237A1" w:rsidRPr="006E5432" w:rsidRDefault="00C237A1" w:rsidP="00C237A1">
      <w:pPr>
        <w:pStyle w:val="SingleTxt"/>
      </w:pPr>
      <w:r>
        <w:t>2.</w:t>
      </w:r>
      <w:r>
        <w:tab/>
        <w:t xml:space="preserve">Комитет выражает признательность государству-участнику за представление его объединенных третьего, четвертого и пятого периодических докладов и его письменных ответов на перечень тем и вопросов, а также за устное выступление делегации и дополнительные разъяснения, представленные в ответ на вопросы членов Комитета, озвученные в ходе диалога. </w:t>
      </w:r>
    </w:p>
    <w:p w14:paraId="3BC64DE2" w14:textId="77777777" w:rsidR="00C237A1" w:rsidRPr="006E5432" w:rsidRDefault="00C237A1" w:rsidP="00C237A1">
      <w:pPr>
        <w:pStyle w:val="SingleTxt"/>
      </w:pPr>
      <w:r>
        <w:t>3.</w:t>
      </w:r>
      <w:r>
        <w:tab/>
        <w:t>Комитет выражает признательность государству-участнику за направление авторитетной делегации во главе с Советником по вопросам здравоохранения Постоянного представительства Мозамбика при Отделении Организации Объединенных Наций и других международных организациях в Женеве, Франселиной Ромао, в состав которой также вошли представители Национального управления по вопросам гендерного равенства и Департамента по поощрению гендерного равенства, принимавшие участие в конструктивном диалоге с Комитетом в формате видеоконференции.</w:t>
      </w:r>
    </w:p>
    <w:p w14:paraId="41A6A673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314C7154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CA47E67" w14:textId="77777777" w:rsidR="00C237A1" w:rsidRPr="006E5432" w:rsidRDefault="00C237A1" w:rsidP="00C237A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043FB">
        <w:tab/>
      </w:r>
      <w:r>
        <w:t>B.</w:t>
      </w:r>
      <w:r>
        <w:tab/>
        <w:t xml:space="preserve">Позитивные аспекты </w:t>
      </w:r>
    </w:p>
    <w:p w14:paraId="2D921BEC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945F2CB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6B802937" w14:textId="77777777" w:rsidR="00C237A1" w:rsidRPr="006E5432" w:rsidRDefault="00C237A1" w:rsidP="00C237A1">
      <w:pPr>
        <w:pStyle w:val="SingleTxt"/>
      </w:pPr>
      <w:r>
        <w:t>4.</w:t>
      </w:r>
      <w:r>
        <w:tab/>
        <w:t xml:space="preserve">Комитет приветствует прогресс, достигнутый государством-участником в реформировании законодательства за период после рассмотрения в 2007 году </w:t>
      </w:r>
      <w:r>
        <w:lastRenderedPageBreak/>
        <w:t>его второго доклада, в частности принятие или учреждение таких документов и органов, как:</w:t>
      </w:r>
    </w:p>
    <w:p w14:paraId="2EBA0A28" w14:textId="27A7FE58" w:rsidR="00C237A1" w:rsidRPr="006E5432" w:rsidRDefault="00C237A1" w:rsidP="00C237A1">
      <w:pPr>
        <w:pStyle w:val="SingleTxt"/>
      </w:pPr>
      <w:r w:rsidRPr="00D043FB">
        <w:tab/>
      </w:r>
      <w:r>
        <w:t>а)</w:t>
      </w:r>
      <w:r>
        <w:tab/>
        <w:t xml:space="preserve">Уголовный (поправка) кодекс </w:t>
      </w:r>
      <w:r w:rsidRPr="002530F3">
        <w:t xml:space="preserve">— </w:t>
      </w:r>
      <w:r>
        <w:t>в 2014 году на основании Закона №</w:t>
      </w:r>
      <w:r>
        <w:rPr>
          <w:lang w:val="en-US"/>
        </w:rPr>
        <w:t> </w:t>
      </w:r>
      <w:r w:rsidRPr="00052232">
        <w:t>35/201</w:t>
      </w:r>
      <w:r>
        <w:t>4, предусматривающего декриминализацию абортов и ужесточающего наказание за сексуальное насилие в отношении детей;</w:t>
      </w:r>
    </w:p>
    <w:p w14:paraId="32247F04" w14:textId="72D54072" w:rsidR="00C237A1" w:rsidRPr="006E5432" w:rsidRDefault="00C237A1" w:rsidP="00C237A1">
      <w:pPr>
        <w:pStyle w:val="SingleTxt"/>
      </w:pPr>
      <w:r>
        <w:tab/>
        <w:t>b)</w:t>
      </w:r>
      <w:r>
        <w:tab/>
        <w:t>Национальная комиссия по правам человека</w:t>
      </w:r>
      <w:r w:rsidRPr="002530F3">
        <w:t xml:space="preserve"> —</w:t>
      </w:r>
      <w:r>
        <w:t xml:space="preserve"> в 2012 году на основании Закона № </w:t>
      </w:r>
      <w:r w:rsidRPr="00052232">
        <w:t>33/200</w:t>
      </w:r>
      <w:r>
        <w:t>9;</w:t>
      </w:r>
    </w:p>
    <w:p w14:paraId="3D29982A" w14:textId="7A164461" w:rsidR="00C237A1" w:rsidRPr="006E5432" w:rsidRDefault="00C237A1" w:rsidP="00C237A1">
      <w:pPr>
        <w:pStyle w:val="SingleTxt"/>
      </w:pPr>
      <w:r>
        <w:tab/>
        <w:t>c)</w:t>
      </w:r>
      <w:r>
        <w:tab/>
        <w:t>Закон о бытовом насилии в отношении женщин (№ </w:t>
      </w:r>
      <w:r w:rsidRPr="00052232">
        <w:t>29/200</w:t>
      </w:r>
      <w:r>
        <w:t>9);</w:t>
      </w:r>
    </w:p>
    <w:p w14:paraId="7FBF69AE" w14:textId="1C7392D0" w:rsidR="00C237A1" w:rsidRPr="006E5432" w:rsidRDefault="00C237A1" w:rsidP="00C237A1">
      <w:pPr>
        <w:pStyle w:val="SingleTxt"/>
      </w:pPr>
      <w:r>
        <w:tab/>
        <w:t>d)</w:t>
      </w:r>
      <w:r>
        <w:tab/>
        <w:t>Закон о ликвидации дискриминации в отношении лиц, живущих с ВИЧ/СПИДом (№ </w:t>
      </w:r>
      <w:r w:rsidRPr="00052232">
        <w:t>12/200</w:t>
      </w:r>
      <w:r>
        <w:t xml:space="preserve">9); </w:t>
      </w:r>
    </w:p>
    <w:p w14:paraId="6D464406" w14:textId="18D401EB" w:rsidR="00C237A1" w:rsidRPr="006E5432" w:rsidRDefault="00C237A1" w:rsidP="00C237A1">
      <w:pPr>
        <w:pStyle w:val="SingleTxt"/>
      </w:pPr>
      <w:r>
        <w:tab/>
        <w:t>e)</w:t>
      </w:r>
      <w:r>
        <w:tab/>
        <w:t>Закон о поощрении и защите прав ребенка (№ </w:t>
      </w:r>
      <w:r w:rsidRPr="00052232">
        <w:t>7/200</w:t>
      </w:r>
      <w:r>
        <w:t>8), запрещающий отказ в приеме детей в школы по признаку пола;</w:t>
      </w:r>
    </w:p>
    <w:p w14:paraId="3BAC9849" w14:textId="185A4B5F" w:rsidR="00C237A1" w:rsidRPr="006E5432" w:rsidRDefault="00C237A1" w:rsidP="00C237A1">
      <w:pPr>
        <w:pStyle w:val="SingleTxt"/>
      </w:pPr>
      <w:r>
        <w:tab/>
        <w:t>f)</w:t>
      </w:r>
      <w:r>
        <w:tab/>
        <w:t>Закон о торговле людьми (№ </w:t>
      </w:r>
      <w:r w:rsidRPr="00052232">
        <w:t>6/200</w:t>
      </w:r>
      <w:r>
        <w:t>8), предусматривающий уголовную ответственность за торговлю людьми, в частности женщинами и детьми, в целях сексуальной эксплуатации и принудительного труда;</w:t>
      </w:r>
    </w:p>
    <w:p w14:paraId="675AF6F8" w14:textId="5B0A3B6D" w:rsidR="00C237A1" w:rsidRPr="006E5432" w:rsidRDefault="00C237A1" w:rsidP="00C237A1">
      <w:pPr>
        <w:pStyle w:val="SingleTxt"/>
      </w:pPr>
      <w:r>
        <w:tab/>
        <w:t>g)</w:t>
      </w:r>
      <w:r>
        <w:tab/>
        <w:t>Закон о труде (№ </w:t>
      </w:r>
      <w:r w:rsidRPr="00052232">
        <w:t>23/200</w:t>
      </w:r>
      <w:r>
        <w:t>7), гарантирующий соблюдение принципа равенства и запрещающий дискриминацию по признаку пола.</w:t>
      </w:r>
    </w:p>
    <w:p w14:paraId="27C168C1" w14:textId="77777777" w:rsidR="00C237A1" w:rsidRPr="006E5432" w:rsidRDefault="00C237A1" w:rsidP="00C237A1">
      <w:pPr>
        <w:pStyle w:val="SingleTxt"/>
      </w:pPr>
      <w:r>
        <w:t>5.</w:t>
      </w:r>
      <w:r>
        <w:tab/>
        <w:t>Комитет приветствует усилия государства-участника по совершенствованию его институциональной и нормативной базы, направленные на ускорение процесса ликвидации дискриминации в отношении женщин и поощрение гендерного равенства, в частности принятие документов или учреждение органов, таких как:</w:t>
      </w:r>
    </w:p>
    <w:p w14:paraId="41DC73BA" w14:textId="32969C1D" w:rsidR="00C237A1" w:rsidRPr="006E5432" w:rsidRDefault="00C237A1" w:rsidP="00C237A1">
      <w:pPr>
        <w:pStyle w:val="SingleTxt"/>
      </w:pPr>
      <w:r>
        <w:tab/>
        <w:t>а)</w:t>
      </w:r>
      <w:r>
        <w:tab/>
        <w:t>национальный план действий по вопросу о женщинах и мире и безопасности, охватывающий период 2018–2022 годов;</w:t>
      </w:r>
    </w:p>
    <w:p w14:paraId="41508894" w14:textId="67FA991E" w:rsidR="00C237A1" w:rsidRPr="006E5432" w:rsidRDefault="00C237A1" w:rsidP="00C237A1">
      <w:pPr>
        <w:pStyle w:val="SingleTxt"/>
      </w:pPr>
      <w:r>
        <w:tab/>
        <w:t>b)</w:t>
      </w:r>
      <w:r>
        <w:tab/>
        <w:t xml:space="preserve">третий и четвертый национальные планы по улучшению положения </w:t>
      </w:r>
      <w:r w:rsidR="00213A02">
        <w:t>женщин</w:t>
      </w:r>
      <w:r>
        <w:t>, охватывающие периоды 2010–2014 годов и 2018–2024 годов;</w:t>
      </w:r>
    </w:p>
    <w:p w14:paraId="49945FB8" w14:textId="6EF81D80" w:rsidR="00C237A1" w:rsidRPr="006E5432" w:rsidRDefault="00C237A1" w:rsidP="00C237A1">
      <w:pPr>
        <w:pStyle w:val="SingleTxt"/>
      </w:pPr>
      <w:r>
        <w:tab/>
        <w:t>c)</w:t>
      </w:r>
      <w:r>
        <w:tab/>
        <w:t>первый и второй национальные планы по борьбе с насилием в отношении женщин, охватывающие периоды 2008–2012 годов и 2018–2021 годов;</w:t>
      </w:r>
    </w:p>
    <w:p w14:paraId="5C28FA65" w14:textId="3F90A3B2" w:rsidR="00C237A1" w:rsidRPr="006E5432" w:rsidRDefault="00C237A1" w:rsidP="00C237A1">
      <w:pPr>
        <w:pStyle w:val="SingleTxt"/>
      </w:pPr>
      <w:r>
        <w:tab/>
        <w:t>d)</w:t>
      </w:r>
      <w:r>
        <w:tab/>
        <w:t>национальная стратегия по предотвращению детских браков, охватывающая период 2015–2019 годов;</w:t>
      </w:r>
    </w:p>
    <w:p w14:paraId="2B1AEBC1" w14:textId="2AE4C898" w:rsidR="00C237A1" w:rsidRPr="006E5432" w:rsidRDefault="00C237A1" w:rsidP="00C237A1">
      <w:pPr>
        <w:pStyle w:val="SingleTxt"/>
      </w:pPr>
      <w:r>
        <w:tab/>
        <w:t>e)</w:t>
      </w:r>
      <w:r>
        <w:tab/>
        <w:t>национальные стратегические планы по борьбе с ВИЧ/СПИДом, охватывающие периоды 2010–2014 годов и 2015–2019 годов и расширяющие программы и услуги по профилактике ВИЧ для беременных женщин;</w:t>
      </w:r>
    </w:p>
    <w:p w14:paraId="42D316A4" w14:textId="25F03C66" w:rsidR="00C237A1" w:rsidRPr="006E5432" w:rsidRDefault="00C237A1" w:rsidP="00C237A1">
      <w:pPr>
        <w:pStyle w:val="SingleTxt"/>
      </w:pPr>
      <w:r>
        <w:tab/>
        <w:t>f)</w:t>
      </w:r>
      <w:r>
        <w:tab/>
        <w:t>национальный стратегический план по вопросам образования и культуры на период 2012–2016</w:t>
      </w:r>
      <w:r>
        <w:rPr>
          <w:lang w:val="en-US"/>
        </w:rPr>
        <w:t> </w:t>
      </w:r>
      <w:r>
        <w:t xml:space="preserve">годов, направленный на уменьшение гендерной асимметрии в доступе к образованию; </w:t>
      </w:r>
    </w:p>
    <w:p w14:paraId="37186F04" w14:textId="0C49CBFB" w:rsidR="00C237A1" w:rsidRPr="006E5432" w:rsidRDefault="00C237A1" w:rsidP="00C237A1">
      <w:pPr>
        <w:pStyle w:val="SingleTxt"/>
      </w:pPr>
      <w:r>
        <w:tab/>
        <w:t>g)</w:t>
      </w:r>
      <w:r>
        <w:tab/>
        <w:t>Канцелярия омбудсмена, в 2012 году;</w:t>
      </w:r>
    </w:p>
    <w:p w14:paraId="3F67B356" w14:textId="06231522" w:rsidR="00C237A1" w:rsidRPr="006E5432" w:rsidRDefault="00C237A1" w:rsidP="00C237A1">
      <w:pPr>
        <w:pStyle w:val="SingleTxt"/>
      </w:pPr>
      <w:r>
        <w:tab/>
        <w:t>h)</w:t>
      </w:r>
      <w:r>
        <w:tab/>
        <w:t>национальная политика в области здравоохранения и сексуальных и репродуктивных прав — в 2012 году, направленная на обеспечение сексуального и репродуктивного образования для мальчиков и девочек, а также доступа к услугам по охране сексуального и репродуктивного здоровья, включая планирование семьи;</w:t>
      </w:r>
    </w:p>
    <w:p w14:paraId="0857BDA4" w14:textId="0AEE6EA1" w:rsidR="00C237A1" w:rsidRPr="006E5432" w:rsidRDefault="00C237A1" w:rsidP="00C237A1">
      <w:pPr>
        <w:pStyle w:val="SingleTxt"/>
      </w:pPr>
      <w:r>
        <w:tab/>
        <w:t>i)</w:t>
      </w:r>
      <w:r>
        <w:tab/>
        <w:t>стратегия гендерного равноправия в секторе здравоохранения, охватывающая период 2009–2013 годов.</w:t>
      </w:r>
    </w:p>
    <w:p w14:paraId="2912F66D" w14:textId="77777777" w:rsidR="00C237A1" w:rsidRPr="006E5432" w:rsidRDefault="00C237A1" w:rsidP="00C237A1">
      <w:pPr>
        <w:pStyle w:val="SingleTxt"/>
      </w:pPr>
      <w:r>
        <w:lastRenderedPageBreak/>
        <w:t>6.</w:t>
      </w:r>
      <w:r>
        <w:tab/>
        <w:t>Комитет приветствует тот факт, что за время, прошедшее после рассмотрения предыдущего доклада, государство-участник ратифицировало следующие или присоединилось к таким международным документам, как:</w:t>
      </w:r>
    </w:p>
    <w:p w14:paraId="57846FC4" w14:textId="7816CF95" w:rsidR="00C237A1" w:rsidRPr="006E5432" w:rsidRDefault="00C237A1" w:rsidP="00C237A1">
      <w:pPr>
        <w:pStyle w:val="SingleTxt"/>
      </w:pPr>
      <w:r>
        <w:tab/>
        <w:t>а)</w:t>
      </w:r>
      <w:r>
        <w:tab/>
        <w:t xml:space="preserve">Международная конвенция о защите прав всех трудящихся-мигрантов и членов их семей — в 2013 году; </w:t>
      </w:r>
    </w:p>
    <w:p w14:paraId="0EC08693" w14:textId="1E2670B5" w:rsidR="00C237A1" w:rsidRPr="006E5432" w:rsidRDefault="00C237A1" w:rsidP="00C237A1">
      <w:pPr>
        <w:pStyle w:val="SingleTxt"/>
      </w:pPr>
      <w:r>
        <w:tab/>
        <w:t>b)</w:t>
      </w:r>
      <w:r>
        <w:tab/>
        <w:t>Конвенция о правах инвалидов и Факультативный протокол к ней — в 2012 году;</w:t>
      </w:r>
    </w:p>
    <w:p w14:paraId="0AF77D1D" w14:textId="43BE80AF" w:rsidR="00C237A1" w:rsidRPr="006E5432" w:rsidRDefault="00C237A1" w:rsidP="00C237A1">
      <w:pPr>
        <w:pStyle w:val="SingleTxt"/>
      </w:pPr>
      <w:r>
        <w:tab/>
        <w:t>c)</w:t>
      </w:r>
      <w:r>
        <w:tab/>
        <w:t>Факультативный протокол к Конвенции о ликвидации всех форм дискриминации в отношении женщин — в 2008 году.</w:t>
      </w:r>
    </w:p>
    <w:p w14:paraId="53876E7E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DA6B104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4EE1A6BE" w14:textId="77777777" w:rsidR="00C237A1" w:rsidRPr="006E5432" w:rsidRDefault="00C237A1" w:rsidP="00C237A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043FB">
        <w:tab/>
      </w:r>
      <w:r>
        <w:t>C.</w:t>
      </w:r>
      <w:r>
        <w:tab/>
        <w:t>Цели в области устойчивого развития</w:t>
      </w:r>
    </w:p>
    <w:p w14:paraId="41C69B05" w14:textId="77777777" w:rsidR="00C237A1" w:rsidRPr="006E5432" w:rsidRDefault="00C237A1" w:rsidP="00C237A1">
      <w:pPr>
        <w:pStyle w:val="SingleTxt"/>
        <w:keepNext/>
        <w:keepLines/>
        <w:spacing w:after="0" w:line="120" w:lineRule="exact"/>
        <w:rPr>
          <w:sz w:val="10"/>
        </w:rPr>
      </w:pPr>
    </w:p>
    <w:p w14:paraId="7B35DA0B" w14:textId="77777777" w:rsidR="00C237A1" w:rsidRPr="006E5432" w:rsidRDefault="00C237A1" w:rsidP="00C237A1">
      <w:pPr>
        <w:pStyle w:val="SingleTxt"/>
        <w:keepNext/>
        <w:keepLines/>
        <w:spacing w:after="0" w:line="120" w:lineRule="exact"/>
        <w:rPr>
          <w:sz w:val="10"/>
        </w:rPr>
      </w:pPr>
    </w:p>
    <w:p w14:paraId="5BFABFEC" w14:textId="77777777" w:rsidR="00C237A1" w:rsidRPr="006E5432" w:rsidRDefault="00C237A1" w:rsidP="00C237A1">
      <w:pPr>
        <w:pStyle w:val="SingleTxt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приветствует международную поддержку целей в области устойчивого развития и призывает к обеспечению гендерного равенства де-юре (юридически) и де-факто (фактически) в соответствии с положениями Конвенции в рамках процесса претворения в жизнь Повестки дня в области устойчивого развития на период до 2030 года.</w:t>
      </w:r>
      <w:r>
        <w:t xml:space="preserve"> </w:t>
      </w:r>
      <w:r>
        <w:rPr>
          <w:b/>
          <w:bCs/>
        </w:rPr>
        <w:t>Комитет напоминает о важном значении цели 5, а также о придании магистрального значения принципам равенства и недискриминации в рамках всего комплекса из 17 целей.</w:t>
      </w:r>
      <w:r>
        <w:t xml:space="preserve"> </w:t>
      </w:r>
      <w:r>
        <w:rPr>
          <w:b/>
          <w:bCs/>
        </w:rPr>
        <w:t>Он настоятельно призывает государство-участника признать роль женщин в качестве движущей силы устойчивого развития государства-участника, а также принять в связи с этим соответствующие программы и стратегии.</w:t>
      </w:r>
      <w:r>
        <w:t xml:space="preserve"> </w:t>
      </w:r>
    </w:p>
    <w:p w14:paraId="3DA1982D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7B57CF36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72B534CA" w14:textId="77777777" w:rsidR="00C237A1" w:rsidRPr="006E5432" w:rsidRDefault="00C237A1" w:rsidP="00C237A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043FB">
        <w:tab/>
      </w:r>
      <w:r>
        <w:t>D.</w:t>
      </w:r>
      <w:r>
        <w:tab/>
        <w:t>Парламент</w:t>
      </w:r>
    </w:p>
    <w:p w14:paraId="2CB7120F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63C99DA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DE6EFD9" w14:textId="434082A7" w:rsidR="00C237A1" w:rsidRPr="00052232" w:rsidRDefault="00C237A1" w:rsidP="00C237A1">
      <w:pPr>
        <w:pStyle w:val="SingleTxt"/>
        <w:rPr>
          <w:b/>
          <w:bCs/>
        </w:rPr>
      </w:pPr>
      <w:r w:rsidRPr="00052232">
        <w:t>8.</w:t>
      </w:r>
      <w:r w:rsidRPr="00052232">
        <w:tab/>
      </w:r>
      <w:r w:rsidRPr="00052232">
        <w:rPr>
          <w:b/>
          <w:bCs/>
        </w:rPr>
        <w:t xml:space="preserve">Комитет подчеркивает </w:t>
      </w:r>
      <w:r>
        <w:rPr>
          <w:b/>
          <w:bCs/>
        </w:rPr>
        <w:t xml:space="preserve">ключевую </w:t>
      </w:r>
      <w:r w:rsidRPr="00052232">
        <w:rPr>
          <w:b/>
          <w:bCs/>
        </w:rPr>
        <w:t xml:space="preserve">роль законодательной власти в обеспечении </w:t>
      </w:r>
      <w:r>
        <w:rPr>
          <w:b/>
          <w:bCs/>
        </w:rPr>
        <w:t xml:space="preserve">всестороннего </w:t>
      </w:r>
      <w:r w:rsidRPr="00052232">
        <w:rPr>
          <w:b/>
          <w:bCs/>
        </w:rPr>
        <w:t>осуществления Конвенции (см.</w:t>
      </w:r>
      <w:r>
        <w:rPr>
          <w:b/>
          <w:bCs/>
        </w:rPr>
        <w:t> </w:t>
      </w:r>
      <w:hyperlink r:id="rId20" w:history="1">
        <w:r w:rsidRPr="00585196">
          <w:rPr>
            <w:rStyle w:val="Hyperlink"/>
            <w:b/>
            <w:bCs/>
          </w:rPr>
          <w:t>A/65/38</w:t>
        </w:r>
      </w:hyperlink>
      <w:r w:rsidRPr="00052232">
        <w:rPr>
          <w:b/>
          <w:bCs/>
        </w:rPr>
        <w:t xml:space="preserve">, часть </w:t>
      </w:r>
      <w:r>
        <w:rPr>
          <w:b/>
          <w:bCs/>
        </w:rPr>
        <w:t>вторая</w:t>
      </w:r>
      <w:r w:rsidRPr="00052232">
        <w:rPr>
          <w:b/>
          <w:bCs/>
        </w:rPr>
        <w:t>, приложение</w:t>
      </w:r>
      <w:r>
        <w:rPr>
          <w:b/>
          <w:bCs/>
        </w:rPr>
        <w:t> </w:t>
      </w:r>
      <w:r w:rsidRPr="00052232">
        <w:rPr>
          <w:b/>
          <w:bCs/>
        </w:rPr>
        <w:t>VI).</w:t>
      </w:r>
      <w:r w:rsidRPr="00052232">
        <w:t xml:space="preserve"> </w:t>
      </w:r>
      <w:r w:rsidRPr="00052232">
        <w:rPr>
          <w:b/>
          <w:bCs/>
        </w:rPr>
        <w:t>Он предлагает Собранию Республики</w:t>
      </w:r>
      <w:r>
        <w:rPr>
          <w:b/>
          <w:bCs/>
        </w:rPr>
        <w:t>, действуя в соответствии</w:t>
      </w:r>
      <w:r w:rsidRPr="00052232">
        <w:rPr>
          <w:b/>
          <w:bCs/>
        </w:rPr>
        <w:t xml:space="preserve"> </w:t>
      </w:r>
      <w:r>
        <w:rPr>
          <w:b/>
          <w:bCs/>
        </w:rPr>
        <w:t xml:space="preserve">со своим мандатом, предпринять </w:t>
      </w:r>
      <w:r w:rsidRPr="00052232">
        <w:rPr>
          <w:b/>
          <w:bCs/>
        </w:rPr>
        <w:t xml:space="preserve">необходимые </w:t>
      </w:r>
      <w:r>
        <w:rPr>
          <w:b/>
          <w:bCs/>
        </w:rPr>
        <w:t>шаги</w:t>
      </w:r>
      <w:r w:rsidRPr="00052232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Pr="00052232">
        <w:rPr>
          <w:b/>
          <w:bCs/>
        </w:rPr>
        <w:t>претворени</w:t>
      </w:r>
      <w:r>
        <w:rPr>
          <w:b/>
          <w:bCs/>
        </w:rPr>
        <w:t>ю</w:t>
      </w:r>
      <w:r w:rsidRPr="00052232">
        <w:rPr>
          <w:b/>
          <w:bCs/>
        </w:rPr>
        <w:t xml:space="preserve"> в жизнь настоящих заключительных замечаний в период до представления следующего периодического доклада </w:t>
      </w:r>
      <w:r>
        <w:rPr>
          <w:b/>
          <w:bCs/>
        </w:rPr>
        <w:t>в</w:t>
      </w:r>
      <w:r w:rsidRPr="00052232">
        <w:rPr>
          <w:b/>
          <w:bCs/>
        </w:rPr>
        <w:t xml:space="preserve"> </w:t>
      </w:r>
      <w:r>
        <w:rPr>
          <w:b/>
          <w:bCs/>
        </w:rPr>
        <w:t xml:space="preserve">соответствии с </w:t>
      </w:r>
      <w:r w:rsidRPr="00052232">
        <w:rPr>
          <w:b/>
          <w:bCs/>
        </w:rPr>
        <w:t>Конвенци</w:t>
      </w:r>
      <w:r>
        <w:rPr>
          <w:b/>
          <w:bCs/>
        </w:rPr>
        <w:t>ей</w:t>
      </w:r>
      <w:r w:rsidRPr="00052232">
        <w:rPr>
          <w:b/>
          <w:bCs/>
        </w:rPr>
        <w:t>.</w:t>
      </w:r>
    </w:p>
    <w:p w14:paraId="7F8C45C0" w14:textId="77777777" w:rsidR="00C237A1" w:rsidRPr="00052232" w:rsidRDefault="00C237A1" w:rsidP="00C237A1">
      <w:pPr>
        <w:pStyle w:val="SingleTxt"/>
        <w:spacing w:after="0" w:line="120" w:lineRule="exact"/>
        <w:rPr>
          <w:sz w:val="10"/>
        </w:rPr>
      </w:pPr>
    </w:p>
    <w:p w14:paraId="435CC27F" w14:textId="77777777" w:rsidR="00C237A1" w:rsidRPr="00052232" w:rsidRDefault="00C237A1" w:rsidP="00C237A1">
      <w:pPr>
        <w:pStyle w:val="SingleTxt"/>
        <w:spacing w:after="0" w:line="120" w:lineRule="exact"/>
        <w:rPr>
          <w:sz w:val="10"/>
        </w:rPr>
      </w:pPr>
    </w:p>
    <w:p w14:paraId="589E63C4" w14:textId="77777777" w:rsidR="00C237A1" w:rsidRPr="00052232" w:rsidRDefault="00C237A1" w:rsidP="00C237A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2232">
        <w:tab/>
        <w:t>E.</w:t>
      </w:r>
      <w:r w:rsidRPr="00052232">
        <w:tab/>
        <w:t>Основные вопросы, вызывающие обеспокоенность, и</w:t>
      </w:r>
      <w:r w:rsidRPr="00052232">
        <w:rPr>
          <w:lang w:val="en-US"/>
        </w:rPr>
        <w:t> </w:t>
      </w:r>
      <w:r w:rsidRPr="00052232">
        <w:t>рекомендации</w:t>
      </w:r>
    </w:p>
    <w:p w14:paraId="4F664A0B" w14:textId="77777777" w:rsidR="00C237A1" w:rsidRPr="00052232" w:rsidRDefault="00C237A1" w:rsidP="00C237A1">
      <w:pPr>
        <w:pStyle w:val="SingleTxt"/>
        <w:spacing w:after="0" w:line="120" w:lineRule="exact"/>
        <w:rPr>
          <w:sz w:val="10"/>
        </w:rPr>
      </w:pPr>
    </w:p>
    <w:p w14:paraId="22335ACB" w14:textId="77777777" w:rsidR="00C237A1" w:rsidRPr="00052232" w:rsidRDefault="00C237A1" w:rsidP="00C237A1">
      <w:pPr>
        <w:pStyle w:val="SingleTxt"/>
        <w:spacing w:after="0" w:line="120" w:lineRule="exact"/>
        <w:rPr>
          <w:sz w:val="10"/>
        </w:rPr>
      </w:pPr>
    </w:p>
    <w:p w14:paraId="272EEC93" w14:textId="77777777" w:rsidR="00C237A1" w:rsidRPr="000522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2232">
        <w:tab/>
      </w:r>
      <w:r w:rsidRPr="00052232">
        <w:tab/>
        <w:t>Конституционная, законодательная и нормативная база</w:t>
      </w:r>
    </w:p>
    <w:p w14:paraId="4E367A2D" w14:textId="77777777" w:rsidR="00C237A1" w:rsidRPr="00052232" w:rsidRDefault="00C237A1" w:rsidP="00C237A1">
      <w:pPr>
        <w:pStyle w:val="SingleTxt"/>
        <w:spacing w:after="0" w:line="120" w:lineRule="exact"/>
        <w:rPr>
          <w:sz w:val="10"/>
        </w:rPr>
      </w:pPr>
    </w:p>
    <w:p w14:paraId="1AF9E1B9" w14:textId="77777777" w:rsidR="00C237A1" w:rsidRPr="00052232" w:rsidRDefault="00C237A1" w:rsidP="00C237A1">
      <w:pPr>
        <w:pStyle w:val="SingleTxt"/>
      </w:pPr>
      <w:r w:rsidRPr="00052232">
        <w:t>9.</w:t>
      </w:r>
      <w:r w:rsidRPr="00052232">
        <w:tab/>
        <w:t xml:space="preserve">Комитет принимает к сведению прогресс, достигнутый в </w:t>
      </w:r>
      <w:r>
        <w:t>провед</w:t>
      </w:r>
      <w:r w:rsidRPr="00052232">
        <w:t xml:space="preserve">ении законодательной реформы за период после рассмотрения предыдущего периодического доклада, но при этом с обеспокоенностью отмечает </w:t>
      </w:r>
      <w:r>
        <w:t xml:space="preserve">препятствия на пути </w:t>
      </w:r>
      <w:r w:rsidRPr="00052232">
        <w:t>эффективн</w:t>
      </w:r>
      <w:r>
        <w:t>ого</w:t>
      </w:r>
      <w:r w:rsidRPr="00052232">
        <w:t xml:space="preserve"> осуществлени</w:t>
      </w:r>
      <w:r>
        <w:t>я</w:t>
      </w:r>
      <w:r w:rsidRPr="00052232">
        <w:t xml:space="preserve"> законодательной базы </w:t>
      </w:r>
      <w:r>
        <w:t xml:space="preserve">в целях </w:t>
      </w:r>
      <w:r w:rsidRPr="00052232">
        <w:t>защиты прав женщин и остающи</w:t>
      </w:r>
      <w:r>
        <w:t>е</w:t>
      </w:r>
      <w:r w:rsidRPr="00052232">
        <w:t>ся дискриминационны</w:t>
      </w:r>
      <w:r>
        <w:t>е</w:t>
      </w:r>
      <w:r w:rsidRPr="00052232">
        <w:t xml:space="preserve"> положения в законодательстве государства-участника, в том числе положения о правах наследования.</w:t>
      </w:r>
    </w:p>
    <w:p w14:paraId="7F5533B8" w14:textId="3B45F98D" w:rsidR="00C237A1" w:rsidRPr="00052232" w:rsidRDefault="00C237A1" w:rsidP="00C237A1">
      <w:pPr>
        <w:pStyle w:val="SingleTxt"/>
      </w:pPr>
      <w:r w:rsidRPr="00052232">
        <w:t>10.</w:t>
      </w:r>
      <w:r w:rsidRPr="00052232">
        <w:tab/>
      </w:r>
      <w:r w:rsidRPr="00052232">
        <w:rPr>
          <w:b/>
          <w:spacing w:val="2"/>
        </w:rPr>
        <w:t>Ссылаясь на свою общую рекомендацию</w:t>
      </w:r>
      <w:r>
        <w:rPr>
          <w:b/>
          <w:spacing w:val="2"/>
          <w:lang w:val="en-US"/>
        </w:rPr>
        <w:t> </w:t>
      </w:r>
      <w:r w:rsidRPr="00052232">
        <w:rPr>
          <w:b/>
          <w:spacing w:val="2"/>
        </w:rPr>
        <w:t>№</w:t>
      </w:r>
      <w:r>
        <w:rPr>
          <w:b/>
          <w:spacing w:val="2"/>
          <w:lang w:val="en-US"/>
        </w:rPr>
        <w:t> </w:t>
      </w:r>
      <w:r w:rsidRPr="00052232">
        <w:rPr>
          <w:b/>
          <w:spacing w:val="2"/>
        </w:rPr>
        <w:t>28 (2010), касающуюся основных обязательств государств-участников по статье</w:t>
      </w:r>
      <w:r>
        <w:rPr>
          <w:b/>
          <w:spacing w:val="2"/>
          <w:lang w:val="en-US"/>
        </w:rPr>
        <w:t> </w:t>
      </w:r>
      <w:r w:rsidRPr="00052232">
        <w:rPr>
          <w:b/>
          <w:spacing w:val="2"/>
        </w:rPr>
        <w:t xml:space="preserve">2 Конвенции, Комитет </w:t>
      </w:r>
      <w:r>
        <w:rPr>
          <w:b/>
          <w:spacing w:val="2"/>
        </w:rPr>
        <w:t>напомин</w:t>
      </w:r>
      <w:r w:rsidRPr="00052232">
        <w:rPr>
          <w:b/>
          <w:spacing w:val="2"/>
        </w:rPr>
        <w:t xml:space="preserve">ает </w:t>
      </w:r>
      <w:r>
        <w:rPr>
          <w:b/>
          <w:spacing w:val="2"/>
        </w:rPr>
        <w:t xml:space="preserve">о </w:t>
      </w:r>
      <w:r w:rsidRPr="00052232">
        <w:rPr>
          <w:b/>
          <w:spacing w:val="2"/>
        </w:rPr>
        <w:t>сво</w:t>
      </w:r>
      <w:r>
        <w:rPr>
          <w:b/>
          <w:spacing w:val="2"/>
        </w:rPr>
        <w:t>их</w:t>
      </w:r>
      <w:r w:rsidRPr="00052232">
        <w:rPr>
          <w:b/>
          <w:spacing w:val="2"/>
        </w:rPr>
        <w:t xml:space="preserve"> предыдущ</w:t>
      </w:r>
      <w:r>
        <w:rPr>
          <w:b/>
          <w:spacing w:val="2"/>
        </w:rPr>
        <w:t>их</w:t>
      </w:r>
      <w:r w:rsidRPr="00052232">
        <w:rPr>
          <w:b/>
          <w:spacing w:val="2"/>
        </w:rPr>
        <w:t xml:space="preserve"> рекомендаци</w:t>
      </w:r>
      <w:r>
        <w:rPr>
          <w:b/>
          <w:spacing w:val="2"/>
        </w:rPr>
        <w:t>ях</w:t>
      </w:r>
      <w:r w:rsidRPr="00052232">
        <w:rPr>
          <w:b/>
          <w:spacing w:val="2"/>
        </w:rPr>
        <w:t xml:space="preserve"> (</w:t>
      </w:r>
      <w:hyperlink r:id="rId21" w:history="1">
        <w:r w:rsidRPr="00585196">
          <w:rPr>
            <w:rStyle w:val="Hyperlink"/>
            <w:b/>
            <w:bCs/>
            <w:spacing w:val="2"/>
          </w:rPr>
          <w:t>CEDAW/C/MOZ/CO/2</w:t>
        </w:r>
      </w:hyperlink>
      <w:r w:rsidRPr="00052232">
        <w:rPr>
          <w:b/>
          <w:spacing w:val="2"/>
        </w:rPr>
        <w:t>, пункт</w:t>
      </w:r>
      <w:r w:rsidRPr="00052232">
        <w:rPr>
          <w:b/>
          <w:spacing w:val="2"/>
          <w:lang w:val="en-US"/>
        </w:rPr>
        <w:t> </w:t>
      </w:r>
      <w:r w:rsidRPr="00052232">
        <w:rPr>
          <w:b/>
          <w:spacing w:val="2"/>
        </w:rPr>
        <w:t xml:space="preserve">13) и </w:t>
      </w:r>
      <w:r>
        <w:rPr>
          <w:b/>
          <w:spacing w:val="2"/>
        </w:rPr>
        <w:t>рекоменду</w:t>
      </w:r>
      <w:r w:rsidRPr="00052232">
        <w:rPr>
          <w:b/>
          <w:spacing w:val="2"/>
        </w:rPr>
        <w:t>ет государств</w:t>
      </w:r>
      <w:r>
        <w:rPr>
          <w:b/>
          <w:spacing w:val="2"/>
        </w:rPr>
        <w:t>у</w:t>
      </w:r>
      <w:r w:rsidRPr="00052232">
        <w:rPr>
          <w:b/>
          <w:spacing w:val="2"/>
        </w:rPr>
        <w:t>-участник</w:t>
      </w:r>
      <w:r>
        <w:rPr>
          <w:b/>
          <w:spacing w:val="2"/>
        </w:rPr>
        <w:t>у</w:t>
      </w:r>
      <w:r w:rsidRPr="00052232">
        <w:rPr>
          <w:b/>
          <w:spacing w:val="2"/>
        </w:rPr>
        <w:t>:</w:t>
      </w:r>
    </w:p>
    <w:p w14:paraId="02AE1EEC" w14:textId="7E5B8480" w:rsidR="00C237A1" w:rsidRPr="006E5432" w:rsidRDefault="00C237A1" w:rsidP="00C237A1">
      <w:pPr>
        <w:pStyle w:val="SingleTxt"/>
      </w:pPr>
      <w:r w:rsidRPr="00052232">
        <w:tab/>
        <w:t>а)</w:t>
      </w:r>
      <w:r w:rsidRPr="00052232">
        <w:tab/>
      </w:r>
      <w:r w:rsidRPr="00052232">
        <w:rPr>
          <w:b/>
        </w:rPr>
        <w:t xml:space="preserve">активизировать свои усилия по </w:t>
      </w:r>
      <w:r>
        <w:rPr>
          <w:b/>
        </w:rPr>
        <w:t xml:space="preserve">предоставлению достаточных </w:t>
      </w:r>
      <w:r w:rsidRPr="00052232">
        <w:rPr>
          <w:b/>
        </w:rPr>
        <w:t>люд</w:t>
      </w:r>
      <w:r w:rsidRPr="00064E3D">
        <w:rPr>
          <w:b/>
        </w:rPr>
        <w:t>ских, технических и финансовых ресурсов для осуществления законодательства в области прав женщин и гендерного равенства в соответствии с Конвенцией</w:t>
      </w:r>
      <w:r>
        <w:t>;</w:t>
      </w:r>
    </w:p>
    <w:p w14:paraId="6CE4E79F" w14:textId="704553B2" w:rsidR="00C237A1" w:rsidRPr="006E5432" w:rsidRDefault="00C237A1" w:rsidP="00C237A1">
      <w:pPr>
        <w:pStyle w:val="SingleTxt"/>
      </w:pPr>
      <w:r>
        <w:tab/>
        <w:t>b)</w:t>
      </w:r>
      <w:r>
        <w:tab/>
      </w:r>
      <w:r>
        <w:rPr>
          <w:b/>
        </w:rPr>
        <w:t>и</w:t>
      </w:r>
      <w:r w:rsidRPr="00064E3D">
        <w:rPr>
          <w:b/>
        </w:rPr>
        <w:t>зменить или отменить все оста</w:t>
      </w:r>
      <w:r>
        <w:rPr>
          <w:b/>
        </w:rPr>
        <w:t xml:space="preserve">ющиеся </w:t>
      </w:r>
      <w:r w:rsidRPr="00064E3D">
        <w:rPr>
          <w:b/>
        </w:rPr>
        <w:t xml:space="preserve">дискриминационные </w:t>
      </w:r>
      <w:r>
        <w:rPr>
          <w:b/>
        </w:rPr>
        <w:t xml:space="preserve">по признаку пола </w:t>
      </w:r>
      <w:r w:rsidRPr="00064E3D">
        <w:rPr>
          <w:b/>
        </w:rPr>
        <w:t>положения, в том числе в отношении прав наследования, и завершить проводимый им пересмотр Закона о семье (№</w:t>
      </w:r>
      <w:r>
        <w:rPr>
          <w:b/>
        </w:rPr>
        <w:t> </w:t>
      </w:r>
      <w:r w:rsidRPr="00052232">
        <w:rPr>
          <w:b/>
        </w:rPr>
        <w:t>10/200</w:t>
      </w:r>
      <w:r w:rsidRPr="00064E3D">
        <w:rPr>
          <w:b/>
        </w:rPr>
        <w:t>4), Уголовного кодекса (№</w:t>
      </w:r>
      <w:r>
        <w:rPr>
          <w:b/>
        </w:rPr>
        <w:t> </w:t>
      </w:r>
      <w:r w:rsidRPr="00052232">
        <w:rPr>
          <w:b/>
        </w:rPr>
        <w:t>35/201</w:t>
      </w:r>
      <w:r w:rsidRPr="00064E3D">
        <w:rPr>
          <w:b/>
        </w:rPr>
        <w:t xml:space="preserve">4) и Закона о </w:t>
      </w:r>
      <w:r>
        <w:rPr>
          <w:b/>
        </w:rPr>
        <w:t>торговле</w:t>
      </w:r>
      <w:r w:rsidRPr="00064E3D">
        <w:rPr>
          <w:b/>
        </w:rPr>
        <w:t xml:space="preserve"> людьми (№</w:t>
      </w:r>
      <w:r>
        <w:rPr>
          <w:b/>
        </w:rPr>
        <w:t> </w:t>
      </w:r>
      <w:r w:rsidRPr="00052232">
        <w:rPr>
          <w:b/>
        </w:rPr>
        <w:t>6/200</w:t>
      </w:r>
      <w:r w:rsidRPr="00064E3D">
        <w:rPr>
          <w:b/>
        </w:rPr>
        <w:t>8)</w:t>
      </w:r>
      <w:r>
        <w:t xml:space="preserve">. </w:t>
      </w:r>
    </w:p>
    <w:p w14:paraId="2496BF31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46319218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Определение дискриминации в отношении женщин</w:t>
      </w:r>
    </w:p>
    <w:p w14:paraId="76BE6DA5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281455C" w14:textId="77777777" w:rsidR="00C237A1" w:rsidRPr="006E5432" w:rsidRDefault="00C237A1" w:rsidP="00C237A1">
      <w:pPr>
        <w:pStyle w:val="SingleTxt"/>
      </w:pPr>
      <w:r>
        <w:t>11.</w:t>
      </w:r>
      <w:r>
        <w:tab/>
        <w:t>Комитет обеспокоен тем, что определения равенства и недискриминации в статьях 35 и 36 Конституции не охватывают все формы дискриминации в отношении женщин в соответствии со статьей 1 Конвенции.</w:t>
      </w:r>
    </w:p>
    <w:p w14:paraId="344E9BFC" w14:textId="77777777" w:rsidR="00C237A1" w:rsidRPr="006E5432" w:rsidRDefault="00C237A1" w:rsidP="00C237A1">
      <w:pPr>
        <w:pStyle w:val="SingleTxt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 принять всеобъемлющее определение дискриминации в отношении женщин в соответствии со статьей 1 Конвенции и задачей 5.1 целей в области устойчивого развития, охватывающее все запрещенные основания для дискриминации, в том числе прямую и косвенную дискриминацию в публичной и частной сферах, а также пересекающиеся формы дискриминации.</w:t>
      </w:r>
    </w:p>
    <w:p w14:paraId="46C2E9EA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3E949EE8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Доступ к правосудию</w:t>
      </w:r>
    </w:p>
    <w:p w14:paraId="66A10F82" w14:textId="77777777" w:rsidR="00C237A1" w:rsidRPr="006E5432" w:rsidRDefault="00C237A1" w:rsidP="00C237A1">
      <w:pPr>
        <w:pStyle w:val="SingleTxt"/>
        <w:keepNext/>
        <w:keepLines/>
        <w:spacing w:after="0" w:line="120" w:lineRule="exact"/>
        <w:rPr>
          <w:sz w:val="10"/>
        </w:rPr>
      </w:pPr>
    </w:p>
    <w:p w14:paraId="4BDCD747" w14:textId="77777777" w:rsidR="00C237A1" w:rsidRPr="006E5432" w:rsidRDefault="00C237A1" w:rsidP="00C237A1">
      <w:pPr>
        <w:pStyle w:val="SingleTxt"/>
      </w:pPr>
      <w:r>
        <w:t>13.</w:t>
      </w:r>
      <w:r>
        <w:tab/>
        <w:t>Комитет обеспокоен тем, что Институт по оказанию правовой помощи, обеспечивающий профессиональную подготовку для сотрудников судебных органов и правовую поддержку физическим лицам, не имеет отделений в семи административных районах государства-участника и не предоставляет услуг на местных языках. Он также обеспокоен отсутствием информации о:</w:t>
      </w:r>
    </w:p>
    <w:p w14:paraId="723B8B97" w14:textId="2EA8DA29" w:rsidR="00C237A1" w:rsidRPr="006E5432" w:rsidRDefault="00C237A1" w:rsidP="00C237A1">
      <w:pPr>
        <w:pStyle w:val="SingleTxt"/>
      </w:pPr>
      <w:r>
        <w:tab/>
        <w:t>а)</w:t>
      </w:r>
      <w:r>
        <w:tab/>
        <w:t>доступе к правовой помощи для женщин, не имеющих достаточных средств;</w:t>
      </w:r>
    </w:p>
    <w:p w14:paraId="71672706" w14:textId="1EC63289" w:rsidR="00C237A1" w:rsidRPr="006E5432" w:rsidRDefault="00C237A1" w:rsidP="00C237A1">
      <w:pPr>
        <w:pStyle w:val="SingleTxt"/>
      </w:pPr>
      <w:r>
        <w:tab/>
        <w:t>b)</w:t>
      </w:r>
      <w:r>
        <w:tab/>
        <w:t xml:space="preserve">мерах, принимаемых в целях повышения правовой грамотности женщин, особенно в сельских районах; </w:t>
      </w:r>
    </w:p>
    <w:p w14:paraId="1D510519" w14:textId="348D6ADE" w:rsidR="00C237A1" w:rsidRPr="006E5432" w:rsidRDefault="00C237A1" w:rsidP="00C237A1">
      <w:pPr>
        <w:pStyle w:val="SingleTxt"/>
      </w:pPr>
      <w:r>
        <w:tab/>
        <w:t>c)</w:t>
      </w:r>
      <w:r>
        <w:tab/>
        <w:t>количестве и результатах расследований случаев дискриминации в отношении женщин.</w:t>
      </w:r>
    </w:p>
    <w:p w14:paraId="483D438F" w14:textId="77777777" w:rsidR="00C237A1" w:rsidRPr="006E5432" w:rsidRDefault="00C237A1" w:rsidP="00C237A1">
      <w:pPr>
        <w:pStyle w:val="SingleTxt"/>
        <w:rPr>
          <w:b/>
          <w:bCs/>
        </w:rPr>
      </w:pPr>
      <w:r>
        <w:t>14.</w:t>
      </w:r>
      <w:r>
        <w:tab/>
      </w:r>
      <w:r>
        <w:rPr>
          <w:b/>
          <w:bCs/>
        </w:rPr>
        <w:t>В соответствии со своей общей рекомендацией № 33 (2015), касающейся доступа женщин к правосудию, Комитет рекомендует государству-участнику:</w:t>
      </w:r>
    </w:p>
    <w:p w14:paraId="7155969E" w14:textId="304989DC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обеспечить наличие и доступность правовой помощи для всех женщин, в частности для женщин, живущих в условиях нищеты, женщин-инвалидов и сельских женщин, во всех административных районах государства-участника и на основных местных языках, в том числе предусматривая процессуальные и соответствующие возрасту коррективы;</w:t>
      </w:r>
    </w:p>
    <w:p w14:paraId="7B802B26" w14:textId="103A9424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повышать осведомленность женщин и девочек, в частности сельских женщин и девочек, об их правах согласно Конвенции и об имеющихся в их распоряжении средствах правовой защиты для подачи жалоб о нарушениях этих прав в сотрудничестве с организациями гражданского общества;</w:t>
      </w:r>
    </w:p>
    <w:p w14:paraId="7F044577" w14:textId="3251ED0A" w:rsidR="00C237A1" w:rsidRPr="006E5432" w:rsidRDefault="00C237A1" w:rsidP="00C237A1">
      <w:pPr>
        <w:pStyle w:val="SingleTxt"/>
        <w:rPr>
          <w:sz w:val="10"/>
        </w:rPr>
      </w:pPr>
      <w:r>
        <w:tab/>
        <w:t>c)</w:t>
      </w:r>
      <w:r>
        <w:tab/>
      </w:r>
      <w:r>
        <w:rPr>
          <w:b/>
          <w:bCs/>
        </w:rPr>
        <w:t>обеспечить профессиональную подготовку сотрудников правоохранительных органов по вопросам прав женщин и методам расследования с учетом гендерных факторов в целях предотвращения повторной виктимизации женщин и гарантировать женщинам эффективный доступ к правосудию.</w:t>
      </w:r>
    </w:p>
    <w:p w14:paraId="61E9DF63" w14:textId="60648E4F" w:rsidR="00C237A1" w:rsidRPr="00C237A1" w:rsidRDefault="00C237A1" w:rsidP="00C237A1">
      <w:pPr>
        <w:spacing w:line="120" w:lineRule="exact"/>
        <w:rPr>
          <w:b/>
          <w:spacing w:val="2"/>
          <w:sz w:val="10"/>
        </w:rPr>
      </w:pPr>
    </w:p>
    <w:p w14:paraId="642BCE3A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мир и безопасность</w:t>
      </w:r>
    </w:p>
    <w:p w14:paraId="7F936B2C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5836A99" w14:textId="77777777" w:rsidR="00C237A1" w:rsidRPr="006E5432" w:rsidRDefault="00C237A1" w:rsidP="00C237A1">
      <w:pPr>
        <w:pStyle w:val="SingleTxt"/>
      </w:pPr>
      <w:r>
        <w:t>15.</w:t>
      </w:r>
      <w:r>
        <w:tab/>
        <w:t>Комитет приветствует принятие национального плана действий по вопросу о женщинах и мире и безопасности, охватывающего период 2018–2022 годов. Тем не менее он выражает обеспокоенность по поводу отсутствия информации о том, обеспечивает ли этот план участие женщин и организаций гражданского общества на всех этапах процесса постконфликтного восстановления в соответствии с проблематикой женщин и мира и безопасности в повестке дня Совета Безопасности. Комитет также испытывает обеспокоенность по поводу продолжающегося насилия в Кабу-Делгаду и отсутствия информации о мерах, принятых государством-участником для обеспечения того, чтобы затронутые конфликтом женщины имели доступ к правосудию, в том числе к средствам правовой защиты и помощи.</w:t>
      </w:r>
    </w:p>
    <w:p w14:paraId="2D9D53EA" w14:textId="77777777" w:rsidR="00C237A1" w:rsidRPr="006E5432" w:rsidRDefault="00C237A1" w:rsidP="00C237A1">
      <w:pPr>
        <w:pStyle w:val="SingleTxt"/>
        <w:rPr>
          <w:b/>
          <w:bCs/>
        </w:rPr>
      </w:pPr>
      <w:r>
        <w:t>16.</w:t>
      </w:r>
      <w:r>
        <w:tab/>
      </w:r>
      <w:r>
        <w:rPr>
          <w:b/>
          <w:bCs/>
        </w:rPr>
        <w:t>В соответствии со своей общей рекомендацией № 30 (2013), касающейся положения женщин в условиях предотвращения конфликтов, в конфликтных и постконфликтных ситуациях, Комитет рекомендует государству-участнику:</w:t>
      </w:r>
      <w:r>
        <w:t xml:space="preserve"> </w:t>
      </w:r>
    </w:p>
    <w:p w14:paraId="07A8F3CE" w14:textId="7FDF95CE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выделить достаточные ресурсы для реализации национального плана действий по вопросу о женщинах и мире и безопасности на период 2018–2022 годов, создавать механизмы контроля и оценки, а также представить информацию о результатах этого плана в его следующем периодическом докладе;</w:t>
      </w:r>
      <w:r>
        <w:t xml:space="preserve"> </w:t>
      </w:r>
    </w:p>
    <w:p w14:paraId="779DD75C" w14:textId="3F82EBE2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женщинам и девочкам, затронутым конфликтом в Кабу-Делгаду, доступ к эффективным средствам правовой защиты и надлежащее расследование случаев нарушения их прав или прав членов их семей и привлечение к ответственности и соразмерное наказание виновных;</w:t>
      </w:r>
    </w:p>
    <w:p w14:paraId="7D5BE718" w14:textId="198D2FCD" w:rsidR="00C237A1" w:rsidRPr="00D97CAD" w:rsidRDefault="00C237A1" w:rsidP="00C237A1">
      <w:pPr>
        <w:pStyle w:val="SingleTxt"/>
      </w:pPr>
      <w:r>
        <w:tab/>
        <w:t>c)</w:t>
      </w:r>
      <w:r>
        <w:tab/>
      </w:r>
      <w:r>
        <w:rPr>
          <w:b/>
          <w:bCs/>
        </w:rPr>
        <w:t>обеспечить полномасштабное участие женщин на всех этапах процесса постконфликтного восстановления, в том числе в принятии реше</w:t>
      </w:r>
      <w:r w:rsidRPr="00D97CAD">
        <w:rPr>
          <w:b/>
          <w:bCs/>
        </w:rPr>
        <w:t>ний, в соответствии с резолюцией</w:t>
      </w:r>
      <w:r>
        <w:rPr>
          <w:b/>
          <w:bCs/>
        </w:rPr>
        <w:t> </w:t>
      </w:r>
      <w:hyperlink r:id="rId22" w:history="1">
        <w:r w:rsidRPr="00585196">
          <w:rPr>
            <w:rStyle w:val="Hyperlink"/>
            <w:b/>
            <w:bCs/>
          </w:rPr>
          <w:t>1325 (2000)</w:t>
        </w:r>
      </w:hyperlink>
      <w:r w:rsidRPr="00D97CAD">
        <w:rPr>
          <w:b/>
          <w:bCs/>
        </w:rPr>
        <w:t xml:space="preserve">, и </w:t>
      </w:r>
      <w:r>
        <w:rPr>
          <w:b/>
          <w:bCs/>
        </w:rPr>
        <w:t>учитыва</w:t>
      </w:r>
      <w:r w:rsidRPr="00D97CAD">
        <w:rPr>
          <w:b/>
          <w:bCs/>
        </w:rPr>
        <w:t>ть в</w:t>
      </w:r>
      <w:r>
        <w:rPr>
          <w:b/>
          <w:bCs/>
        </w:rPr>
        <w:t>се</w:t>
      </w:r>
      <w:r w:rsidRPr="00D97CAD">
        <w:rPr>
          <w:b/>
          <w:bCs/>
        </w:rPr>
        <w:t xml:space="preserve"> </w:t>
      </w:r>
      <w:r>
        <w:rPr>
          <w:b/>
          <w:bCs/>
        </w:rPr>
        <w:t xml:space="preserve">пункты повестки дня Совета Безопасности по вопросу о </w:t>
      </w:r>
      <w:r w:rsidRPr="00D97CAD">
        <w:rPr>
          <w:b/>
          <w:bCs/>
        </w:rPr>
        <w:t>женщин</w:t>
      </w:r>
      <w:r>
        <w:rPr>
          <w:b/>
          <w:bCs/>
        </w:rPr>
        <w:t>ах</w:t>
      </w:r>
      <w:r w:rsidRPr="00D97CAD">
        <w:rPr>
          <w:b/>
          <w:bCs/>
        </w:rPr>
        <w:t xml:space="preserve"> и мир</w:t>
      </w:r>
      <w:r>
        <w:rPr>
          <w:b/>
          <w:bCs/>
        </w:rPr>
        <w:t>е</w:t>
      </w:r>
      <w:r w:rsidRPr="00D97CAD">
        <w:rPr>
          <w:b/>
          <w:bCs/>
        </w:rPr>
        <w:t xml:space="preserve"> и безопасности, </w:t>
      </w:r>
      <w:r>
        <w:rPr>
          <w:b/>
          <w:bCs/>
        </w:rPr>
        <w:t xml:space="preserve">отраженные </w:t>
      </w:r>
      <w:r w:rsidRPr="00D97CAD">
        <w:rPr>
          <w:b/>
          <w:bCs/>
        </w:rPr>
        <w:t>в его резолюциях</w:t>
      </w:r>
      <w:r>
        <w:rPr>
          <w:b/>
          <w:bCs/>
        </w:rPr>
        <w:t> </w:t>
      </w:r>
      <w:hyperlink r:id="rId23" w:history="1">
        <w:r w:rsidRPr="00585196">
          <w:rPr>
            <w:rStyle w:val="Hyperlink"/>
            <w:b/>
            <w:bCs/>
          </w:rPr>
          <w:t>1820 (2008)</w:t>
        </w:r>
      </w:hyperlink>
      <w:r w:rsidRPr="00D97CAD">
        <w:rPr>
          <w:b/>
          <w:bCs/>
        </w:rPr>
        <w:t xml:space="preserve">, </w:t>
      </w:r>
      <w:hyperlink r:id="rId24" w:history="1">
        <w:r w:rsidRPr="00585196">
          <w:rPr>
            <w:rStyle w:val="Hyperlink"/>
            <w:b/>
            <w:bCs/>
          </w:rPr>
          <w:t>1888 (2009)</w:t>
        </w:r>
      </w:hyperlink>
      <w:r w:rsidRPr="00D97CAD">
        <w:rPr>
          <w:b/>
          <w:bCs/>
        </w:rPr>
        <w:t xml:space="preserve">, </w:t>
      </w:r>
      <w:hyperlink r:id="rId25" w:history="1">
        <w:r w:rsidRPr="00585196">
          <w:rPr>
            <w:rStyle w:val="Hyperlink"/>
            <w:b/>
            <w:bCs/>
          </w:rPr>
          <w:t>1889 (2009)</w:t>
        </w:r>
      </w:hyperlink>
      <w:r w:rsidRPr="00D97CAD">
        <w:rPr>
          <w:b/>
          <w:bCs/>
        </w:rPr>
        <w:t xml:space="preserve">, </w:t>
      </w:r>
      <w:hyperlink r:id="rId26" w:history="1">
        <w:r w:rsidRPr="00585196">
          <w:rPr>
            <w:rStyle w:val="Hyperlink"/>
            <w:b/>
            <w:bCs/>
          </w:rPr>
          <w:t>2122 (2013)</w:t>
        </w:r>
      </w:hyperlink>
      <w:r w:rsidRPr="00D97CAD">
        <w:rPr>
          <w:b/>
          <w:bCs/>
        </w:rPr>
        <w:t xml:space="preserve"> и </w:t>
      </w:r>
      <w:hyperlink r:id="rId27" w:history="1">
        <w:r w:rsidRPr="00585196">
          <w:rPr>
            <w:rStyle w:val="Hyperlink"/>
            <w:b/>
            <w:bCs/>
          </w:rPr>
          <w:t>2242 (2015)</w:t>
        </w:r>
      </w:hyperlink>
      <w:r w:rsidRPr="00D97CAD">
        <w:rPr>
          <w:b/>
          <w:bCs/>
        </w:rPr>
        <w:t>.</w:t>
      </w:r>
    </w:p>
    <w:p w14:paraId="49BD7B87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538D4F8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Национальные механизмы по улучшению положения женщин</w:t>
      </w:r>
    </w:p>
    <w:p w14:paraId="704EE949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E588265" w14:textId="77777777" w:rsidR="00C237A1" w:rsidRPr="006E5432" w:rsidRDefault="00C237A1" w:rsidP="00C237A1">
      <w:pPr>
        <w:pStyle w:val="SingleTxt"/>
      </w:pPr>
      <w:r>
        <w:t>17.</w:t>
      </w:r>
      <w:r>
        <w:tab/>
        <w:t>Комитет с удовлетворением отмечает расширение охвата деятельности национальных механизмов по улучшению положения женщин, в частности национальных и районных советов по вопросам улучшения положения женщин. Вместе с тем он с обеспокоенностью отмечает:</w:t>
      </w:r>
    </w:p>
    <w:p w14:paraId="448F0D52" w14:textId="443571E1" w:rsidR="00C237A1" w:rsidRPr="006E5432" w:rsidRDefault="00C237A1" w:rsidP="00C237A1">
      <w:pPr>
        <w:pStyle w:val="SingleTxt"/>
      </w:pPr>
      <w:r>
        <w:tab/>
        <w:t>а)</w:t>
      </w:r>
      <w:r>
        <w:tab/>
        <w:t xml:space="preserve">раздробленность национальных механизмов по улучшению положения женщин, учитывая наличие двух департаментов в Национальном управлении по гендерным вопросам, национальных и районных советов по улучшению положения женщин, Координационной группы по гендерным вопросам и координаторов по гендерным вопросам в отраслевых министерствах; </w:t>
      </w:r>
    </w:p>
    <w:p w14:paraId="3EFED835" w14:textId="515E9908" w:rsidR="00C237A1" w:rsidRPr="006E5432" w:rsidRDefault="00C237A1" w:rsidP="00C237A1">
      <w:pPr>
        <w:pStyle w:val="SingleTxt"/>
      </w:pPr>
      <w:r>
        <w:tab/>
        <w:t>b)</w:t>
      </w:r>
      <w:r>
        <w:tab/>
        <w:t xml:space="preserve">недостаточный объем людских, технических и финансовых ресурсов для осуществления законодательства, политики и планов по вопросам гендерного равенства; </w:t>
      </w:r>
    </w:p>
    <w:p w14:paraId="51B945CA" w14:textId="3521AF02" w:rsidR="00C237A1" w:rsidRPr="006E5432" w:rsidRDefault="00C237A1" w:rsidP="00C237A1">
      <w:pPr>
        <w:pStyle w:val="SingleTxt"/>
      </w:pPr>
      <w:r>
        <w:tab/>
        <w:t>c)</w:t>
      </w:r>
      <w:r>
        <w:tab/>
        <w:t>отсутствие информации об оценке третьего национального плана действий по улучшению положения женщин, охватывающего период 2010–2014 годов;</w:t>
      </w:r>
    </w:p>
    <w:p w14:paraId="4BB73CBC" w14:textId="6843B72A" w:rsidR="00C237A1" w:rsidRPr="006E5432" w:rsidRDefault="00C237A1" w:rsidP="00C237A1">
      <w:pPr>
        <w:pStyle w:val="SingleTxt"/>
      </w:pPr>
      <w:r>
        <w:tab/>
        <w:t>d)</w:t>
      </w:r>
      <w:r>
        <w:tab/>
        <w:t xml:space="preserve">отсутствие скоординированного подхода к вопросам планирования и составления бюджета с учетом гендерных аспектов, который определяется по усмотрению соответствующих министерств; </w:t>
      </w:r>
    </w:p>
    <w:p w14:paraId="4FA1D6C8" w14:textId="08D6C57D" w:rsidR="00C237A1" w:rsidRPr="006E5432" w:rsidRDefault="00C237A1" w:rsidP="00C237A1">
      <w:pPr>
        <w:pStyle w:val="SingleTxt"/>
      </w:pPr>
      <w:r>
        <w:tab/>
        <w:t>e)</w:t>
      </w:r>
      <w:r>
        <w:tab/>
        <w:t>незначительность поддающегося измерению воздействия гендерных стратегий, политики и планов и деятельности национальных механизмов по улучшению положения женщин.</w:t>
      </w:r>
    </w:p>
    <w:p w14:paraId="0EB9925F" w14:textId="77777777" w:rsidR="00C237A1" w:rsidRPr="006E5432" w:rsidRDefault="00C237A1" w:rsidP="00C237A1">
      <w:pPr>
        <w:pStyle w:val="SingleTxt"/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</w:t>
      </w:r>
      <w:r w:rsidRPr="0054052C">
        <w:rPr>
          <w:b/>
        </w:rPr>
        <w:t>:</w:t>
      </w:r>
    </w:p>
    <w:p w14:paraId="00310694" w14:textId="32631039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обеспечить координацию деятельности всех компонентов национального механизма по улучшению положения женщин и укрепление их сотрудничества;</w:t>
      </w:r>
    </w:p>
    <w:p w14:paraId="73D61ADA" w14:textId="1D721CF2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Министерство по вопросам гендерного равенства, детства и социальной политики и национальные и районные советы по улучшению положения женщин достаточными людскими, техническими и финансовыми ресурсами, с тем чтобы они могли эффективно выполнять свои мандаты;</w:t>
      </w:r>
    </w:p>
    <w:p w14:paraId="77D11B26" w14:textId="2C011716" w:rsidR="00C237A1" w:rsidRPr="006E5432" w:rsidRDefault="00C237A1" w:rsidP="00C237A1">
      <w:pPr>
        <w:pStyle w:val="SingleTxt"/>
      </w:pPr>
      <w:r>
        <w:tab/>
        <w:t>c)</w:t>
      </w:r>
      <w:r>
        <w:tab/>
      </w:r>
      <w:r>
        <w:rPr>
          <w:b/>
          <w:bCs/>
        </w:rPr>
        <w:t>ускорить осуществление четвертого национального плана по улучшению положения женщин, охватывающего период 2018–2024 годов, и обеспечить мониторинг и оценку результатов этого плана;</w:t>
      </w:r>
      <w:r>
        <w:t xml:space="preserve"> </w:t>
      </w:r>
    </w:p>
    <w:p w14:paraId="2C0B7612" w14:textId="40DF7957" w:rsidR="00C237A1" w:rsidRPr="006E5432" w:rsidRDefault="00C237A1" w:rsidP="00C237A1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продолжать поддерживать деятельность координаторов по гендерным вопросам в отраслевых министерствах в целях обеспечения эффективного учета гендерной проблематики и составления бюджета с учетом гендерных факторов и укреплять потенциал Национального совета по улучшению положения женщин в области мониторинга скоординированного подхода к планированию и составлению бюджетов в министерствах с учетом гендерных аспектов;</w:t>
      </w:r>
      <w:r>
        <w:t xml:space="preserve"> </w:t>
      </w:r>
    </w:p>
    <w:p w14:paraId="4EBD4E5B" w14:textId="583EC9FB" w:rsidR="00C237A1" w:rsidRPr="006E5432" w:rsidRDefault="00C237A1" w:rsidP="00C237A1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инкорпорировать подход, ориентированный на достижение конкретных результатов, в гендерные стратегии, политику и планы на основе конкретных показателей и целей для оценки результатов и прогресса, достигнутых в деле их осуществления.</w:t>
      </w:r>
      <w:r>
        <w:t xml:space="preserve"> </w:t>
      </w:r>
    </w:p>
    <w:p w14:paraId="4F73CD47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2896FCED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Национальные правозащитные учреждения</w:t>
      </w:r>
    </w:p>
    <w:p w14:paraId="4371EBA9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46A8AE4" w14:textId="77777777" w:rsidR="00C237A1" w:rsidRPr="006E5432" w:rsidRDefault="00C237A1" w:rsidP="00C237A1">
      <w:pPr>
        <w:pStyle w:val="SingleTxt"/>
      </w:pPr>
      <w:r>
        <w:t>19.</w:t>
      </w:r>
      <w:r>
        <w:tab/>
        <w:t>Комитет с удовлетворением отмечает создание Национальной комиссии по правам человека и назначение омбудсмена в 2012 году, однако выражает обеспокоенность в связи с:</w:t>
      </w:r>
    </w:p>
    <w:p w14:paraId="065EEDCD" w14:textId="7BD7980B" w:rsidR="00C237A1" w:rsidRPr="006E5432" w:rsidRDefault="00C237A1" w:rsidP="00C237A1">
      <w:pPr>
        <w:pStyle w:val="SingleTxt"/>
      </w:pPr>
      <w:r>
        <w:tab/>
        <w:t>а)</w:t>
      </w:r>
      <w:r>
        <w:tab/>
        <w:t>недостаточностью ресурсов, выделяемых Комиссии для обеспечения ее деятельности, отсутствием ее независимости и четко определенного мандата, касающегося прав женщин;</w:t>
      </w:r>
    </w:p>
    <w:p w14:paraId="02D581F5" w14:textId="18F0D37D" w:rsidR="00C237A1" w:rsidRPr="00EB64D9" w:rsidRDefault="00C237A1" w:rsidP="00C237A1">
      <w:pPr>
        <w:pStyle w:val="SingleTxt"/>
        <w:rPr>
          <w:spacing w:val="2"/>
        </w:rPr>
      </w:pPr>
      <w:r>
        <w:tab/>
      </w:r>
      <w:r w:rsidRPr="00EB64D9">
        <w:rPr>
          <w:spacing w:val="2"/>
        </w:rPr>
        <w:t>b)</w:t>
      </w:r>
      <w:r w:rsidRPr="00EB64D9">
        <w:rPr>
          <w:spacing w:val="2"/>
        </w:rPr>
        <w:tab/>
        <w:t>отсутствием информации о количестве полученных Комиссией жалоб;</w:t>
      </w:r>
    </w:p>
    <w:p w14:paraId="53E7351F" w14:textId="69EE0EB1" w:rsidR="00C237A1" w:rsidRPr="006E5432" w:rsidRDefault="00C237A1" w:rsidP="00C237A1">
      <w:pPr>
        <w:pStyle w:val="SingleTxt"/>
      </w:pPr>
      <w:r>
        <w:tab/>
        <w:t>c)</w:t>
      </w:r>
      <w:r>
        <w:tab/>
        <w:t xml:space="preserve">ограниченностью </w:t>
      </w:r>
      <w:r w:rsidRPr="0051421A">
        <w:rPr>
          <w:spacing w:val="2"/>
        </w:rPr>
        <w:t>последующих</w:t>
      </w:r>
      <w:r>
        <w:t xml:space="preserve"> мер, принятых государством-участником в отношении рекомендаций омбудсмена в случаях дискриминации в отношении женщин. </w:t>
      </w:r>
    </w:p>
    <w:p w14:paraId="67EDCB0A" w14:textId="77777777" w:rsidR="00C237A1" w:rsidRPr="006E5432" w:rsidRDefault="00C237A1" w:rsidP="00C237A1">
      <w:pPr>
        <w:pStyle w:val="SingleTxt"/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8933B3E" w14:textId="6CB6838D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обеспечить независимость Национальной комиссии по правам человека в соответствии с принципами, касающимися статуса национальных учреждений, занимающихся поощрением и защитой прав человека (Парижские принципы), четко определить ее мандат по поощрению и защите прав женщин и предоставить ей достаточные людские, технические и финансовые ресурсы;</w:t>
      </w:r>
      <w:r>
        <w:t xml:space="preserve"> </w:t>
      </w:r>
    </w:p>
    <w:p w14:paraId="33546F9F" w14:textId="30E19D9A" w:rsidR="00C237A1" w:rsidRPr="006E5432" w:rsidRDefault="00C237A1" w:rsidP="00C237A1">
      <w:pPr>
        <w:pStyle w:val="SingleTxt"/>
      </w:pPr>
      <w:r>
        <w:tab/>
        <w:t>b)</w:t>
      </w:r>
      <w:r>
        <w:tab/>
      </w:r>
      <w:r>
        <w:rPr>
          <w:b/>
          <w:bCs/>
        </w:rPr>
        <w:t>наделить Комиссию полномочиями получать жалобы от женщин по поводу нарушения их прав и представить информацию о количестве таких жалоб и результатах их рассмотрения в следующем периодическом докладе;</w:t>
      </w:r>
      <w:r>
        <w:t xml:space="preserve"> </w:t>
      </w:r>
    </w:p>
    <w:p w14:paraId="494B0625" w14:textId="5A67EDA4" w:rsidR="00C237A1" w:rsidRPr="006E5432" w:rsidRDefault="00C237A1" w:rsidP="00C237A1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усиливать рекомендации омбудсмена по борьбе с дискриминацией в отношении женщин на государственной службе, в том числе путем обеспечения эффективного контроля за выполнением таких рекомендаций.</w:t>
      </w:r>
    </w:p>
    <w:p w14:paraId="5E379C0C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66A53B3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Временные специальные меры</w:t>
      </w:r>
    </w:p>
    <w:p w14:paraId="0819BD9E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E8C03BB" w14:textId="77777777" w:rsidR="00C237A1" w:rsidRPr="006E5432" w:rsidRDefault="00C237A1" w:rsidP="00C237A1">
      <w:pPr>
        <w:pStyle w:val="SingleTxt"/>
      </w:pPr>
      <w:r>
        <w:t>21.</w:t>
      </w:r>
      <w:r>
        <w:tab/>
        <w:t xml:space="preserve">Комитет с обеспокоенностью отмечает ограниченное понимание государством-участником временных специальных мер по обеспечению фактического равенства между женщинами и мужчинами во всех областях, в которых женщины недостаточно представлены или находятся в неблагоприятном положении. </w:t>
      </w:r>
    </w:p>
    <w:p w14:paraId="3C77F2A7" w14:textId="13261ECF" w:rsidR="00C237A1" w:rsidRPr="003F705D" w:rsidRDefault="00C237A1" w:rsidP="00C237A1">
      <w:pPr>
        <w:pStyle w:val="SingleTxt"/>
        <w:rPr>
          <w:b/>
          <w:bCs/>
          <w:spacing w:val="2"/>
        </w:rPr>
      </w:pPr>
      <w:r w:rsidRPr="003F705D">
        <w:rPr>
          <w:spacing w:val="2"/>
        </w:rPr>
        <w:t>22.</w:t>
      </w:r>
      <w:r w:rsidRPr="003F705D">
        <w:rPr>
          <w:spacing w:val="2"/>
        </w:rPr>
        <w:tab/>
      </w:r>
      <w:r w:rsidRPr="003F705D">
        <w:rPr>
          <w:b/>
          <w:bCs/>
          <w:spacing w:val="2"/>
        </w:rPr>
        <w:t>В соответствии со статьей 4 (1) Конвенции и общей рекомендацией Комитета</w:t>
      </w:r>
      <w:r>
        <w:rPr>
          <w:b/>
          <w:bCs/>
          <w:spacing w:val="2"/>
        </w:rPr>
        <w:t> </w:t>
      </w:r>
      <w:r w:rsidRPr="003F705D">
        <w:rPr>
          <w:b/>
          <w:bCs/>
          <w:spacing w:val="2"/>
        </w:rPr>
        <w:t>№</w:t>
      </w:r>
      <w:r>
        <w:rPr>
          <w:b/>
          <w:bCs/>
          <w:spacing w:val="2"/>
        </w:rPr>
        <w:t> </w:t>
      </w:r>
      <w:r w:rsidRPr="003F705D">
        <w:rPr>
          <w:b/>
          <w:bCs/>
          <w:spacing w:val="2"/>
        </w:rPr>
        <w:t>25 (2004) о временных специальных мерах Комитет ссылается на свои предыдущие заключительные замечания (</w:t>
      </w:r>
      <w:hyperlink r:id="rId28" w:history="1">
        <w:r w:rsidRPr="00585196">
          <w:rPr>
            <w:rStyle w:val="Hyperlink"/>
            <w:b/>
            <w:bCs/>
            <w:spacing w:val="2"/>
          </w:rPr>
          <w:t>CEDAW/C/MOZ/CO/2</w:t>
        </w:r>
      </w:hyperlink>
      <w:r w:rsidRPr="003F705D">
        <w:rPr>
          <w:b/>
          <w:bCs/>
          <w:spacing w:val="2"/>
        </w:rPr>
        <w:t>, п</w:t>
      </w:r>
      <w:r>
        <w:rPr>
          <w:b/>
          <w:bCs/>
          <w:spacing w:val="2"/>
        </w:rPr>
        <w:t>ункты </w:t>
      </w:r>
      <w:r w:rsidRPr="003F705D">
        <w:rPr>
          <w:b/>
          <w:bCs/>
          <w:spacing w:val="2"/>
        </w:rPr>
        <w:t>29 и 35) и рекомендует государству-участнику:</w:t>
      </w:r>
    </w:p>
    <w:p w14:paraId="60A4C2B6" w14:textId="60149E78" w:rsidR="00C237A1" w:rsidRPr="006E5432" w:rsidRDefault="00C237A1" w:rsidP="00C237A1">
      <w:pPr>
        <w:pStyle w:val="SingleTxt"/>
      </w:pPr>
      <w:r>
        <w:tab/>
        <w:t>а)</w:t>
      </w:r>
      <w:r>
        <w:tab/>
      </w:r>
      <w:r>
        <w:rPr>
          <w:b/>
          <w:bCs/>
        </w:rPr>
        <w:t>принимать и осуществлять временные специальные меры, включая цели с указанием конкретных сроков, квоты или преференциальный режим, для достижения фактического равенства или равенства по существу между женщинами и мужчинами в областях, в которых женщины недостаточно представлены или находятся в неблагоприятном положении;</w:t>
      </w:r>
      <w:r>
        <w:t xml:space="preserve"> </w:t>
      </w:r>
    </w:p>
    <w:p w14:paraId="2BCEBC5A" w14:textId="12103F08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воспользоваться международной или региональной технической помощью для обеспечения того, чтобы соответствующие государственные должностные лица имели четкое понимание концепции временных специальных мер по смыслу статьи 4 (1) Конвенции и общей рекомендации Комитета № 25.</w:t>
      </w:r>
    </w:p>
    <w:p w14:paraId="351C8251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21C02B0E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Стереотипы и вредные виды практики</w:t>
      </w:r>
    </w:p>
    <w:p w14:paraId="64407274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773B917" w14:textId="77777777" w:rsidR="00C237A1" w:rsidRPr="006E5432" w:rsidRDefault="00C237A1" w:rsidP="00C237A1">
      <w:pPr>
        <w:pStyle w:val="SingleTxt"/>
      </w:pPr>
      <w:r>
        <w:t>23.</w:t>
      </w:r>
      <w:r>
        <w:tab/>
        <w:t xml:space="preserve">Комитет, ссылаясь на свои предыдущие заключительные замечания (там же, пункт 21), вновь выражает обеспокоенность по поводу сохранения дискриминационных гендерных стереотипов и пагубной практики, включая полигамию, детские браки, калечащие операции на женских половых органах и обвинения женщин в колдовстве. Он особенно обеспокоен в связи с широко распространенной безнаказанностью за такие виды вредной практики и отсутствием обвинительных приговоров по делам о детских браках. </w:t>
      </w:r>
    </w:p>
    <w:p w14:paraId="4D905EE0" w14:textId="77777777" w:rsidR="00C237A1" w:rsidRPr="006E5432" w:rsidRDefault="00C237A1" w:rsidP="00C237A1">
      <w:pPr>
        <w:pStyle w:val="SingleTxt"/>
        <w:rPr>
          <w:b/>
          <w:bCs/>
        </w:rPr>
      </w:pPr>
      <w:r>
        <w:t>24.</w:t>
      </w:r>
      <w:r>
        <w:tab/>
      </w:r>
      <w:r>
        <w:rPr>
          <w:b/>
          <w:bCs/>
        </w:rPr>
        <w:t>Ссылаясь на совместную общую рекомендацию № 31 Комитета по ликвидации дискриминации в отношении женщин/замечание общего порядка № 18 (2019) Комитета по правам ребенка по вредной практике и руководствуясь задачей 5.3 целей в области устойчивого развития, Комитет рекомендует государству-участнику:</w:t>
      </w:r>
    </w:p>
    <w:p w14:paraId="3694A811" w14:textId="144EDCCB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безотлагательно принять всеобъемлющую стратегию по искоренению дискриминационных стереотипов в отношении роли и обязанностей женщин и мужчин в семье и в обществе, как это было рекомендовано Комитетом в его предыдущих заключительных замечаниях (там же);</w:t>
      </w:r>
      <w:r>
        <w:t xml:space="preserve"> </w:t>
      </w:r>
    </w:p>
    <w:p w14:paraId="00007536" w14:textId="307904C7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поощрять позитивное и нестереотипное изображение женщин в средствах массовой информации и школьных учебных материалах;</w:t>
      </w:r>
    </w:p>
    <w:p w14:paraId="2C9D54B6" w14:textId="2DB92681" w:rsidR="00C237A1" w:rsidRPr="006E5432" w:rsidRDefault="00C237A1" w:rsidP="00C237A1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в целях осуществления девочками их прав продолжать взаимодействовать с общинами, включая лидеров общин и родителей и родственников девочек, по поводу негативных последствий ранних браков;</w:t>
      </w:r>
    </w:p>
    <w:p w14:paraId="2AC79785" w14:textId="3306DF08" w:rsidR="00C237A1" w:rsidRPr="006E5432" w:rsidRDefault="00C237A1" w:rsidP="00C237A1">
      <w:pPr>
        <w:pStyle w:val="SingleTxt"/>
      </w:pPr>
      <w:r>
        <w:tab/>
        <w:t>d)</w:t>
      </w:r>
      <w:r>
        <w:tab/>
      </w:r>
      <w:r>
        <w:rPr>
          <w:b/>
          <w:bCs/>
        </w:rPr>
        <w:t xml:space="preserve">ввести уголовную ответственность за все виды вредной практики, в том числе за обвинения женщин в колдовстве, а также привлекать к </w:t>
      </w:r>
      <w:r w:rsidRPr="00EB64D9">
        <w:rPr>
          <w:b/>
          <w:bCs/>
          <w:spacing w:val="2"/>
        </w:rPr>
        <w:t>ответственности и адекватно наказывать лиц, совершивших такие деяния.</w:t>
      </w:r>
    </w:p>
    <w:p w14:paraId="460CA2EE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6DD36797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Гендерное насилие в отношении женщин</w:t>
      </w:r>
    </w:p>
    <w:p w14:paraId="6239F19B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63F6BAEC" w14:textId="77777777" w:rsidR="00C237A1" w:rsidRPr="006E5432" w:rsidRDefault="00C237A1" w:rsidP="00C237A1">
      <w:pPr>
        <w:pStyle w:val="SingleTxt"/>
      </w:pPr>
      <w:r>
        <w:t>25.</w:t>
      </w:r>
      <w:r>
        <w:tab/>
        <w:t>Комитет приветствует принятые государством-участником меры по борьбе с насилием в отношении женщин, в частности принятие Закона о бытовом насилии в отношении женщин (№ </w:t>
      </w:r>
      <w:r w:rsidRPr="005A2325">
        <w:t>29/200</w:t>
      </w:r>
      <w:r>
        <w:t>9) и внесение поправки в Уголовный кодекс, в соответствии с которой было отменено положение, освобождавшее агрессора от уголовной ответственности в случае вступления в брак с жертвой сексуального насилия. Вместе с тем есть ряд моментов, которые вызывают обеспокоенность Комитета, а именно:</w:t>
      </w:r>
    </w:p>
    <w:p w14:paraId="0B6DD3FE" w14:textId="29A70A47" w:rsidR="00C237A1" w:rsidRPr="006E5432" w:rsidRDefault="00C237A1" w:rsidP="00C237A1">
      <w:pPr>
        <w:pStyle w:val="SingleTxt"/>
      </w:pPr>
      <w:r>
        <w:tab/>
        <w:t>а)</w:t>
      </w:r>
      <w:r>
        <w:tab/>
        <w:t>угрожающие масштабы гендерного насилия в отношении женщин и девочек в публичной и частной сферах на всей территории государства-участника;</w:t>
      </w:r>
    </w:p>
    <w:p w14:paraId="0F6A6C1A" w14:textId="08420D81" w:rsidR="00C237A1" w:rsidRPr="006E5432" w:rsidRDefault="00C237A1" w:rsidP="00C237A1">
      <w:pPr>
        <w:pStyle w:val="SingleTxt"/>
      </w:pPr>
      <w:r>
        <w:tab/>
        <w:t>b)</w:t>
      </w:r>
      <w:r>
        <w:tab/>
        <w:t xml:space="preserve">занижение данных о случаях гендерного насилия в отношении женщин, в частности бытового насилия; </w:t>
      </w:r>
    </w:p>
    <w:p w14:paraId="00C1D719" w14:textId="690CBAD1" w:rsidR="00C237A1" w:rsidRPr="006E5432" w:rsidRDefault="00C237A1" w:rsidP="00C237A1">
      <w:pPr>
        <w:pStyle w:val="SingleTxt"/>
      </w:pPr>
      <w:r>
        <w:tab/>
        <w:t>c)</w:t>
      </w:r>
      <w:r>
        <w:tab/>
        <w:t xml:space="preserve">социальная легитимизация бытого насилия и частые случаи примирения в рамках расширенной семьи; </w:t>
      </w:r>
    </w:p>
    <w:p w14:paraId="27658FA8" w14:textId="2867E388" w:rsidR="00C237A1" w:rsidRPr="006E5432" w:rsidRDefault="00C237A1" w:rsidP="00C237A1">
      <w:pPr>
        <w:pStyle w:val="SingleTxt"/>
      </w:pPr>
      <w:r>
        <w:tab/>
        <w:t>d)</w:t>
      </w:r>
      <w:r>
        <w:tab/>
        <w:t>отсутствие согласования положений Уголовного кодекса с положениями Закона о бытовом насилии в отношении женщин (№ </w:t>
      </w:r>
      <w:r w:rsidRPr="005A2325">
        <w:t>29/200</w:t>
      </w:r>
      <w:r>
        <w:t>9), включая средства защиты, имеющиеся в распоряжении жертв бытового насилия, санкции в отношении виновных и введение уголовной ответственности за изнасилование в браке;</w:t>
      </w:r>
    </w:p>
    <w:p w14:paraId="7E44F4FF" w14:textId="349098B2" w:rsidR="00C237A1" w:rsidRPr="006E5432" w:rsidRDefault="00C237A1" w:rsidP="00C237A1">
      <w:pPr>
        <w:pStyle w:val="SingleTxt"/>
      </w:pPr>
      <w:r>
        <w:tab/>
        <w:t>e)</w:t>
      </w:r>
      <w:r>
        <w:tab/>
        <w:t>отсутствие данных о количестве расследований и судебных преследований в случаях гендерного насилия в отношении женщин и о приговорах, вынесенных в отношении виновных.</w:t>
      </w:r>
    </w:p>
    <w:p w14:paraId="3677E598" w14:textId="77777777" w:rsidR="00C237A1" w:rsidRPr="006E5432" w:rsidRDefault="00C237A1" w:rsidP="00C237A1">
      <w:pPr>
        <w:pStyle w:val="SingleTxt"/>
      </w:pPr>
      <w:r>
        <w:t>26.</w:t>
      </w:r>
      <w:r>
        <w:tab/>
      </w:r>
      <w:r>
        <w:rPr>
          <w:b/>
          <w:bCs/>
        </w:rPr>
        <w:t>Ссылаясь на свою общую рекомендацию № 35 (2017) о гендерном насилии в отношении женщин, в которой была обновлена общая рекомендация № 19, Комитет рекомендует государству-участнику:</w:t>
      </w:r>
    </w:p>
    <w:p w14:paraId="30AFB955" w14:textId="2A3EB8A9" w:rsidR="00C237A1" w:rsidRPr="006E5432" w:rsidRDefault="00C237A1" w:rsidP="00C237A1">
      <w:pPr>
        <w:pStyle w:val="SingleTxt"/>
      </w:pPr>
      <w:r>
        <w:tab/>
        <w:t>а)</w:t>
      </w:r>
      <w:r>
        <w:tab/>
      </w:r>
      <w:r>
        <w:rPr>
          <w:b/>
          <w:bCs/>
        </w:rPr>
        <w:t>выделить достаточные людские, технические и финансовые ресурсы и создать механизмы контроля и оценки осуществления второго национального плана по борьбе с насилием в отношении женщин, охватывающего период 2018–2021 годов;</w:t>
      </w:r>
    </w:p>
    <w:p w14:paraId="6065C5CC" w14:textId="433EF69F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посредством проведения информационно-просветительских кампаний о преступном характере всех форм гендерного насилия и его серьезных последствиях для осуществления женщинами своих прав решить проблему стигмы, препятствующей тому, чтобы женщины и девочки, ставшие жертвами такого насилия, сообщали о нем;</w:t>
      </w:r>
    </w:p>
    <w:p w14:paraId="3B620DBC" w14:textId="618819AF" w:rsidR="00C237A1" w:rsidRPr="006E5432" w:rsidRDefault="00C237A1" w:rsidP="00C237A1">
      <w:pPr>
        <w:pStyle w:val="SingleTxt"/>
      </w:pPr>
      <w:r>
        <w:tab/>
        <w:t>c)</w:t>
      </w:r>
      <w:r>
        <w:tab/>
      </w:r>
      <w:r>
        <w:rPr>
          <w:b/>
          <w:bCs/>
        </w:rPr>
        <w:t>обеспечить женщинам и девочкам, ставшим жертвами гендерного насилия, доступ к эффективным средствам правовой защиты, немедленным мерам защиты, включая предоставление жилья, а также оказать надлежащую поддержку в отношении существующих услуг, предоставляемых жертвам со стороны неправительственных организаций;</w:t>
      </w:r>
    </w:p>
    <w:p w14:paraId="3BB5AAFB" w14:textId="3D4E4C4E" w:rsidR="00C237A1" w:rsidRPr="006E5432" w:rsidRDefault="00C237A1" w:rsidP="00C237A1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ускорить пересмотр Уголовного кодекса в целях приведения его положений в соответствие с Законом о бытовом насилии в отношении женщин (№ </w:t>
      </w:r>
      <w:r w:rsidRPr="005A2325">
        <w:rPr>
          <w:b/>
          <w:bCs/>
        </w:rPr>
        <w:t>29/200</w:t>
      </w:r>
      <w:r>
        <w:rPr>
          <w:b/>
          <w:bCs/>
        </w:rPr>
        <w:t>9) в целях обеспечения эффективной защиты жертв бытового насилия и надлежащих санкций в отношении лиц, виновных в совершении таких преступлений, в том числе изнасилования в браке;</w:t>
      </w:r>
    </w:p>
    <w:p w14:paraId="436D362D" w14:textId="7FD21E3B" w:rsidR="00C237A1" w:rsidRPr="006E5432" w:rsidRDefault="00C237A1" w:rsidP="00C237A1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обеспечить систематический сбор данных о количестве жалоб, расследований, судебных преследований, судимостей и приговоров лицам, виновным в гендерном насилии в отношении женщин.</w:t>
      </w:r>
    </w:p>
    <w:p w14:paraId="4FC431C4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34B608BE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Торговля людьми и эксплуатация проституции</w:t>
      </w:r>
      <w:r>
        <w:t xml:space="preserve"> </w:t>
      </w:r>
    </w:p>
    <w:p w14:paraId="467A2103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6514E93" w14:textId="77777777" w:rsidR="00C237A1" w:rsidRPr="006E5432" w:rsidRDefault="00C237A1" w:rsidP="00C237A1">
      <w:pPr>
        <w:pStyle w:val="SingleTxt"/>
      </w:pPr>
      <w:r>
        <w:t>27.</w:t>
      </w:r>
      <w:r>
        <w:tab/>
        <w:t xml:space="preserve">Комитет с обеспокоенностью отмечает, что женщины и девочки становятся жертвами торговли людьми в целях бытового рабства, принудительного труда и сексуальной эксплуатации. Особую обеспокоенность вызывают: </w:t>
      </w:r>
    </w:p>
    <w:p w14:paraId="0840391E" w14:textId="3ADEABBB" w:rsidR="00C237A1" w:rsidRPr="006E5432" w:rsidRDefault="00C237A1" w:rsidP="00C237A1">
      <w:pPr>
        <w:pStyle w:val="SingleTxt"/>
      </w:pPr>
      <w:r>
        <w:tab/>
        <w:t>а)</w:t>
      </w:r>
      <w:r>
        <w:tab/>
        <w:t>недостаточный потенциал и отсутствие эффективных процедур для раннего выявления жертв торговли людьми и оказания им помощи, в том числе не имеющим документов мигрантам;</w:t>
      </w:r>
    </w:p>
    <w:p w14:paraId="22DBF3F7" w14:textId="0B6EE6CD" w:rsidR="00C237A1" w:rsidRPr="006E5432" w:rsidRDefault="00C237A1" w:rsidP="00C237A1">
      <w:pPr>
        <w:pStyle w:val="SingleTxt"/>
      </w:pPr>
      <w:r>
        <w:tab/>
        <w:t>b)</w:t>
      </w:r>
      <w:r>
        <w:tab/>
        <w:t>отсутствие данных о случаях торговли женщинами и девочками, в том числе их органами, о количестве расследований, судебных преследований и судимостей и приговоров, вынесенных в отношении лиц, занимающихся торговлей людьми;</w:t>
      </w:r>
    </w:p>
    <w:p w14:paraId="6B2B09D1" w14:textId="3898ECFD" w:rsidR="00C237A1" w:rsidRPr="006E5432" w:rsidRDefault="00C237A1" w:rsidP="00C237A1">
      <w:pPr>
        <w:pStyle w:val="SingleTxt"/>
      </w:pPr>
      <w:r>
        <w:tab/>
        <w:t>c)</w:t>
      </w:r>
      <w:r>
        <w:tab/>
        <w:t xml:space="preserve">сообщения о случаях сексуального насилия в отношении женщин и девочек, ставших жертвами торговли людьми, со стороны государственных должностных лиц; </w:t>
      </w:r>
    </w:p>
    <w:p w14:paraId="6D2494E1" w14:textId="5DC86752" w:rsidR="00C237A1" w:rsidRPr="006E5432" w:rsidRDefault="00C237A1" w:rsidP="00C237A1">
      <w:pPr>
        <w:pStyle w:val="SingleTxt"/>
      </w:pPr>
      <w:r>
        <w:tab/>
        <w:t>d)</w:t>
      </w:r>
      <w:r>
        <w:tab/>
        <w:t>тот факт, что определение торговли людьми в Законе о торговле людьми</w:t>
      </w:r>
      <w:r w:rsidRPr="002530F3">
        <w:t xml:space="preserve"> </w:t>
      </w:r>
      <w:r>
        <w:t>(№ </w:t>
      </w:r>
      <w:r w:rsidRPr="005A2325">
        <w:t>6/200</w:t>
      </w:r>
      <w:r>
        <w:t>8) не соответствует международным нормам, а предусмотренная этим законом защита жертв и свидетелей крайне слаба;</w:t>
      </w:r>
    </w:p>
    <w:p w14:paraId="2F70629E" w14:textId="6C30A494" w:rsidR="00C237A1" w:rsidRPr="006E5432" w:rsidRDefault="00C237A1" w:rsidP="00C237A1">
      <w:pPr>
        <w:pStyle w:val="SingleTxt"/>
      </w:pPr>
      <w:r>
        <w:tab/>
        <w:t>e)</w:t>
      </w:r>
      <w:r>
        <w:tab/>
        <w:t>отсутствие государственных приютов для женщин и девочек, ставших жертвами торговли людьми и эксплуатации проституции, а также недостаточная поддержка государством приютов, находящихся в ведении частных ассоциаций;</w:t>
      </w:r>
    </w:p>
    <w:p w14:paraId="05840A03" w14:textId="2126C245" w:rsidR="00C237A1" w:rsidRPr="006E5432" w:rsidRDefault="00C237A1" w:rsidP="00C237A1">
      <w:pPr>
        <w:pStyle w:val="SingleTxt"/>
      </w:pPr>
      <w:r>
        <w:tab/>
        <w:t>f)</w:t>
      </w:r>
      <w:r>
        <w:tab/>
        <w:t>немногочисленность случаев привлечения к уголовной ответственности по делам о гендерном насилии в отношении женщин, занимающихся проституцией.</w:t>
      </w:r>
    </w:p>
    <w:p w14:paraId="3580DAED" w14:textId="77777777" w:rsidR="00C237A1" w:rsidRPr="006E5432" w:rsidRDefault="00C237A1" w:rsidP="00C237A1">
      <w:pPr>
        <w:pStyle w:val="SingleTxt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B5B74AA" w14:textId="66F79852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продолжать обеспечивать учебную подготовку для сотрудников миграционных служб и пограничных органов по вопросам борьбы с торговлей женщинами и девочками и раннему выявлению жертв торговли людьми и создать механизм для направления жертв в соответствующие службы;</w:t>
      </w:r>
      <w:r>
        <w:t xml:space="preserve"> </w:t>
      </w:r>
    </w:p>
    <w:p w14:paraId="6E976AEE" w14:textId="439B7807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активизировать свои усилия по расследованию, уголовному преследованию и надлежащему наказанию лиц, виновных в торговле женщинами и девочками, в том числе государственных должностных лиц, причастных к таким деяниям, обеспечить, чтобы жертвы торговли людьми и проституции освобождались от уголовной ответственности, а также представить данные о числе таких случаев и распространенности торговли органами в следующем периодическом докладе;</w:t>
      </w:r>
    </w:p>
    <w:p w14:paraId="41EE301C" w14:textId="3E587025" w:rsidR="00C237A1" w:rsidRPr="006E5432" w:rsidRDefault="00C237A1" w:rsidP="00C237A1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ускорить пересмотр Закона о торговле людьми (№ 6/2008), обеспечить определение торговли людьми в соответствии с международными нормами, усилить защиту жертв и свидетелей и принять план действий для осуществления пересмотренного закона;</w:t>
      </w:r>
    </w:p>
    <w:p w14:paraId="69B8818E" w14:textId="61D31FD8" w:rsidR="00C237A1" w:rsidRPr="006E5432" w:rsidRDefault="00C237A1" w:rsidP="00C237A1">
      <w:pPr>
        <w:pStyle w:val="SingleTxt"/>
      </w:pPr>
      <w:r>
        <w:tab/>
        <w:t>d)</w:t>
      </w:r>
      <w:r>
        <w:tab/>
      </w:r>
      <w:r>
        <w:rPr>
          <w:b/>
          <w:bCs/>
        </w:rPr>
        <w:t>создать государственные приюты и оказывать надлежащую поддержку существующим приютам, находящимся в ведении неправительственных организаций;</w:t>
      </w:r>
    </w:p>
    <w:p w14:paraId="664F0731" w14:textId="6D3741B6" w:rsidR="00C237A1" w:rsidRPr="006E5432" w:rsidRDefault="00C237A1" w:rsidP="00C237A1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предоставлять консультативные и правовые услуги, программы по реабилитации и социальной интеграции женщин и девочек, ставших жертвами торговли людьми, и лиц, подвергающихся эксплуатации в целях проституции;</w:t>
      </w:r>
    </w:p>
    <w:p w14:paraId="00D3BE24" w14:textId="7BE0DEAC" w:rsidR="00C237A1" w:rsidRPr="006E5432" w:rsidRDefault="00C237A1" w:rsidP="00C237A1">
      <w:pPr>
        <w:pStyle w:val="SingleTxt"/>
      </w:pPr>
      <w:r>
        <w:tab/>
        <w:t>f)</w:t>
      </w:r>
      <w:r>
        <w:tab/>
      </w:r>
      <w:r>
        <w:rPr>
          <w:b/>
          <w:bCs/>
        </w:rPr>
        <w:t>предоставлять специальные программы для женщин и девочек, желающих прекратить заниматься проституцией, наряду с профессиональной подготовкой сотрудников полиции в целях ликвидации дискриминации в отношении женщин, занимающихся проституцией.</w:t>
      </w:r>
    </w:p>
    <w:p w14:paraId="56322EAA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E350374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Участие в политической и общественной жизни</w:t>
      </w:r>
    </w:p>
    <w:p w14:paraId="32D25A53" w14:textId="77777777" w:rsidR="00C237A1" w:rsidRPr="006E5432" w:rsidRDefault="00C237A1" w:rsidP="00C237A1">
      <w:pPr>
        <w:pStyle w:val="SingleTxt"/>
        <w:keepNext/>
        <w:keepLines/>
        <w:spacing w:after="0" w:line="120" w:lineRule="exact"/>
        <w:rPr>
          <w:sz w:val="10"/>
        </w:rPr>
      </w:pPr>
    </w:p>
    <w:p w14:paraId="4ADFEC2E" w14:textId="77777777" w:rsidR="00C237A1" w:rsidRPr="006E5432" w:rsidRDefault="00C237A1" w:rsidP="00C237A1">
      <w:pPr>
        <w:pStyle w:val="SingleTxt"/>
      </w:pPr>
      <w:r>
        <w:t>29.</w:t>
      </w:r>
      <w:r>
        <w:tab/>
        <w:t xml:space="preserve">Комитет с удовлетворением отмечает рост представленности женщин в политической жизни, в том числе количества женщин — парламентариев и министров. Тем не менее он выражает обеспокоенность в связи с тем, что не был достигнут гендерный паритет на таких должностях, а также в судебных органах и на дипломатической службе. Комитет особенно обеспокоен тем, что женщины, проживающие в сельских районах, сталкиваются с препятствиями, такими как транспортные расходы и обязанности по уходу за детьми, которые не позволяют им участвовать в районных консультативных советах, несмотря на наличие квот для их представительства. Кроме того, он выражает сожаление в связи с отсутствием данных о числе женщин в полиции и вооруженных силах. </w:t>
      </w:r>
    </w:p>
    <w:p w14:paraId="0B748C3D" w14:textId="77777777" w:rsidR="00C237A1" w:rsidRPr="006E5432" w:rsidRDefault="00C237A1" w:rsidP="00C237A1">
      <w:pPr>
        <w:pStyle w:val="SingleTxt"/>
      </w:pPr>
      <w:r>
        <w:t>30.</w:t>
      </w:r>
      <w:r>
        <w:tab/>
      </w:r>
      <w:r>
        <w:rPr>
          <w:b/>
          <w:bCs/>
        </w:rPr>
        <w:t>В соответствии со своей общей рекомендацией № 23 (1997) об участии женщин в политической и общественной жизни и задачей 5.5 в области устойчивого развития Комитет рекомендует государству-участнику:</w:t>
      </w:r>
    </w:p>
    <w:p w14:paraId="1134A660" w14:textId="7CCB5A8D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устранить коренные причины, препятствующие участию женщин в общественной и политической жизни на национальном и местном уровнях, и принять меры для преодоления таких препятствий;</w:t>
      </w:r>
      <w:r>
        <w:t xml:space="preserve"> </w:t>
      </w:r>
    </w:p>
    <w:p w14:paraId="2BDF7CC7" w14:textId="205DCCFC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принять дополнительные законодательные, политические и институциональные меры, в том числе временные специальные меры, такие как минимальная квота, в соответствии со статьей 4 (1) Конвенции и общей рекомендацией Комитета № 25 в целях расширения конструктивного участия женщин и достижения гендерного равенства;</w:t>
      </w:r>
      <w:r>
        <w:t xml:space="preserve"> </w:t>
      </w:r>
    </w:p>
    <w:p w14:paraId="37C2B835" w14:textId="498D9977" w:rsidR="00C237A1" w:rsidRPr="006E5432" w:rsidRDefault="00C237A1" w:rsidP="00C237A1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представить данные о числе женщин в полиции и вооруженных силах, а также принять меры по поощрению женщин к избранию этих профессий.</w:t>
      </w:r>
    </w:p>
    <w:p w14:paraId="4421A1E5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94CA375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Образование</w:t>
      </w:r>
    </w:p>
    <w:p w14:paraId="6C27B477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4A4327D3" w14:textId="77777777" w:rsidR="00C237A1" w:rsidRPr="006E5432" w:rsidRDefault="00C237A1" w:rsidP="00C237A1">
      <w:pPr>
        <w:pStyle w:val="SingleTxt"/>
      </w:pPr>
      <w:r>
        <w:t>31.</w:t>
      </w:r>
      <w:r>
        <w:tab/>
        <w:t>Комитет признает усилия государства-участника по сокращению показателя отсева из школ девочек и детских браков. Вместе с тем он с обеспокоенностью отмечает:</w:t>
      </w:r>
    </w:p>
    <w:p w14:paraId="0D5BA764" w14:textId="584553BA" w:rsidR="00C237A1" w:rsidRPr="006E5432" w:rsidRDefault="00C237A1" w:rsidP="00C237A1">
      <w:pPr>
        <w:pStyle w:val="SingleTxt"/>
      </w:pPr>
      <w:r>
        <w:tab/>
        <w:t>а)</w:t>
      </w:r>
      <w:r>
        <w:tab/>
        <w:t>высокий показатель отсева из школ девочек по причине детских браков и/или беременности;</w:t>
      </w:r>
    </w:p>
    <w:p w14:paraId="103163B9" w14:textId="76A9FD2E" w:rsidR="00C237A1" w:rsidRPr="006E5432" w:rsidRDefault="00C237A1" w:rsidP="00C237A1">
      <w:pPr>
        <w:pStyle w:val="SingleTxt"/>
      </w:pPr>
      <w:r>
        <w:tab/>
        <w:t>b)</w:t>
      </w:r>
      <w:r>
        <w:tab/>
        <w:t>непропорционально высокий уровень неграмотности среди женщин и девочек;</w:t>
      </w:r>
    </w:p>
    <w:p w14:paraId="51CB731E" w14:textId="7262BC27" w:rsidR="00C237A1" w:rsidRPr="006E5432" w:rsidRDefault="00C237A1" w:rsidP="00C237A1">
      <w:pPr>
        <w:pStyle w:val="SingleTxt"/>
      </w:pPr>
      <w:r>
        <w:tab/>
        <w:t>c)</w:t>
      </w:r>
      <w:r>
        <w:tab/>
        <w:t>нехватку квалифицированных преподавателей, в том числе женщин, особенно в сельских районах;</w:t>
      </w:r>
    </w:p>
    <w:p w14:paraId="050C279C" w14:textId="50D91A7B" w:rsidR="00C237A1" w:rsidRPr="006E5432" w:rsidRDefault="00C237A1" w:rsidP="00C237A1">
      <w:pPr>
        <w:pStyle w:val="SingleTxt"/>
      </w:pPr>
      <w:r>
        <w:tab/>
        <w:t>d)</w:t>
      </w:r>
      <w:r>
        <w:tab/>
        <w:t>сообщения о сексуальных надругательствах и домогательствах в отношении девочек в школах и безнаказанности лиц, виновных в их совершении;</w:t>
      </w:r>
    </w:p>
    <w:p w14:paraId="3E5839C1" w14:textId="33D9B355" w:rsidR="00C237A1" w:rsidRPr="006E5432" w:rsidRDefault="00C237A1" w:rsidP="00C237A1">
      <w:pPr>
        <w:pStyle w:val="SingleTxt"/>
      </w:pPr>
      <w:r>
        <w:tab/>
        <w:t>e)</w:t>
      </w:r>
      <w:r>
        <w:tab/>
        <w:t xml:space="preserve">отсутствие в школьной программе всеобъемлющих и соответствующих возрасту предметов обучения по вопросам сексуального и репродуктивного здоровья и прав в этой области; </w:t>
      </w:r>
    </w:p>
    <w:p w14:paraId="59AC6FC9" w14:textId="41C184C4" w:rsidR="00C237A1" w:rsidRPr="006E5432" w:rsidRDefault="00C237A1" w:rsidP="00C237A1">
      <w:pPr>
        <w:pStyle w:val="SingleTxt"/>
      </w:pPr>
      <w:r>
        <w:tab/>
        <w:t>f)</w:t>
      </w:r>
      <w:r>
        <w:tab/>
        <w:t>низкий коэффициент охвата обучением девочек и женщин в традиционно мужских областях образования.</w:t>
      </w:r>
    </w:p>
    <w:p w14:paraId="47496795" w14:textId="77777777" w:rsidR="00C237A1" w:rsidRPr="006E5432" w:rsidRDefault="00C237A1" w:rsidP="00C237A1">
      <w:pPr>
        <w:pStyle w:val="SingleTxt"/>
        <w:rPr>
          <w:b/>
          <w:bCs/>
        </w:rPr>
      </w:pPr>
      <w:r>
        <w:t>32.</w:t>
      </w:r>
      <w:r>
        <w:tab/>
      </w:r>
      <w:r>
        <w:rPr>
          <w:b/>
          <w:bCs/>
        </w:rPr>
        <w:t>В соответствии с Конвенцией и общей рекомендацией № 36 (2017) о праве девочек и женщин на образование, а также с задачей 4.1 целей в области устойчивого развития Комитет рекомендует государству-участнику:</w:t>
      </w:r>
    </w:p>
    <w:p w14:paraId="661798BE" w14:textId="380F3895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активизировать усилия по сокращению показателя отчисления девочек из школы и обеспечить упрощение повторного приема в школу молодых матерей после рождения ребенка;</w:t>
      </w:r>
    </w:p>
    <w:p w14:paraId="324B9428" w14:textId="7015328F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укреплять инклюзивные и доступные программы повышения грамотности среди взрослого населения, особенно для женщин в сельских районах;</w:t>
      </w:r>
    </w:p>
    <w:p w14:paraId="187F81EC" w14:textId="3AFA7CC1" w:rsidR="00C237A1" w:rsidRPr="006E5432" w:rsidRDefault="00C237A1" w:rsidP="00C237A1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продолжить работу по смягчению последствий экономического кризиса для бюджетных ассигнований на цели образования, активизировать усилия по обеспечению программ создания потенциала для преподавателей, а также регулярно проводить оценку качества образования в сотрудничестве с организациями гражданского общества и соответствующими учреждениями Организации Объединенных Наций;</w:t>
      </w:r>
    </w:p>
    <w:p w14:paraId="6EA807D5" w14:textId="3690BCAC" w:rsidR="00C237A1" w:rsidRPr="006E5432" w:rsidRDefault="00C237A1" w:rsidP="00C237A1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разработать эффективные процедуры для расследования случаев сексуальных надругательств и домогательств в отношении девочек в школах, в том числе в специальных школах, привлечения к ответственности виновных, особенно преподавателей и школьных администраторов, и обеспечивать жертвам медицинскую помощь, психосоциальное консультирование и реабилитацию;</w:t>
      </w:r>
    </w:p>
    <w:p w14:paraId="3F41730F" w14:textId="52DCA0EA" w:rsidR="00C237A1" w:rsidRPr="006E5432" w:rsidRDefault="00C237A1" w:rsidP="00C237A1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 xml:space="preserve">включить в школьную программу учитывающий возрастные особенности обязательный учебный курс по вопросам сексуального и репродуктивного здоровья и соответствующим правам и выделить достаточные средства для осуществления </w:t>
      </w:r>
      <w:r w:rsidR="00213A02" w:rsidRPr="00213A02">
        <w:rPr>
          <w:b/>
          <w:bCs/>
        </w:rPr>
        <w:t>“</w:t>
      </w:r>
      <w:r>
        <w:rPr>
          <w:b/>
          <w:bCs/>
        </w:rPr>
        <w:t>Geração Biz</w:t>
      </w:r>
      <w:r w:rsidR="00213A02" w:rsidRPr="00213A02">
        <w:rPr>
          <w:b/>
          <w:bCs/>
        </w:rPr>
        <w:t>”</w:t>
      </w:r>
      <w:r>
        <w:rPr>
          <w:b/>
          <w:bCs/>
        </w:rPr>
        <w:t xml:space="preserve"> — программы охраны сексуального и репродуктивного здоровья;</w:t>
      </w:r>
    </w:p>
    <w:p w14:paraId="4CE7E9E1" w14:textId="69A2F40A" w:rsidR="00C237A1" w:rsidRPr="006E5432" w:rsidRDefault="00C237A1" w:rsidP="00C237A1">
      <w:pPr>
        <w:pStyle w:val="SingleTxt"/>
        <w:rPr>
          <w:b/>
          <w:bCs/>
        </w:rPr>
      </w:pPr>
      <w:r>
        <w:tab/>
        <w:t>f)</w:t>
      </w:r>
      <w:r>
        <w:tab/>
      </w:r>
      <w:r>
        <w:rPr>
          <w:b/>
          <w:bCs/>
        </w:rPr>
        <w:t>поощрять женщин и девочек к выбору нетрадиционных областей образования и профессий, в том числе в области науки, техники, машиностроения и математики;</w:t>
      </w:r>
    </w:p>
    <w:p w14:paraId="780437FF" w14:textId="2B791081" w:rsidR="00C237A1" w:rsidRPr="006E5432" w:rsidRDefault="00C237A1" w:rsidP="00C237A1">
      <w:pPr>
        <w:pStyle w:val="SingleTxt"/>
      </w:pPr>
      <w:r>
        <w:tab/>
        <w:t>g)</w:t>
      </w:r>
      <w:r>
        <w:tab/>
      </w:r>
      <w:r>
        <w:rPr>
          <w:b/>
          <w:bCs/>
        </w:rPr>
        <w:t>ратифицировать Конвенцию Организации Объединенных Наций по вопросам образования, науки и культуры о борьбе с дискриминацией в области образования.</w:t>
      </w:r>
    </w:p>
    <w:p w14:paraId="54E53AFB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79148712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Занятость</w:t>
      </w:r>
      <w:r>
        <w:t xml:space="preserve"> </w:t>
      </w:r>
    </w:p>
    <w:p w14:paraId="238EC037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3670CF6E" w14:textId="77777777" w:rsidR="00C237A1" w:rsidRPr="006E5432" w:rsidRDefault="00C237A1" w:rsidP="00C237A1">
      <w:pPr>
        <w:pStyle w:val="SingleTxt"/>
      </w:pPr>
      <w:r>
        <w:t>33.</w:t>
      </w:r>
      <w:r>
        <w:tab/>
        <w:t>Комитет с удовлетворением отмечает внесение в 2019 году поправок в Закон о труде в целях продления отпуска по беременности и родам с 60 до 90 дней в государственном и частном секторах и введения уголовного наказания за сексуальные домогательства на рабочем месте. Вместе с тем есть ряд моментов, которые вызывают обеспокоенность Комитета, а именно:</w:t>
      </w:r>
    </w:p>
    <w:p w14:paraId="20D27373" w14:textId="2F19F61C" w:rsidR="00C237A1" w:rsidRPr="006E5432" w:rsidRDefault="00C237A1" w:rsidP="00C237A1">
      <w:pPr>
        <w:pStyle w:val="SingleTxt"/>
      </w:pPr>
      <w:r>
        <w:tab/>
        <w:t>а)</w:t>
      </w:r>
      <w:r>
        <w:tab/>
        <w:t xml:space="preserve">отсутствие обеспечения соблюдения законов, закрепляющих принцип равной оплаты за труд равной ценности; </w:t>
      </w:r>
    </w:p>
    <w:p w14:paraId="44A3B701" w14:textId="12034A78" w:rsidR="00C237A1" w:rsidRPr="006E5432" w:rsidRDefault="00C237A1" w:rsidP="00C237A1">
      <w:pPr>
        <w:pStyle w:val="SingleTxt"/>
      </w:pPr>
      <w:r>
        <w:tab/>
        <w:t>b)</w:t>
      </w:r>
      <w:r>
        <w:tab/>
        <w:t>ограниченное наличие доступных по цене учреждений по уходу за детьми и условий для грудного вскармливания, особенно в частном секторе;</w:t>
      </w:r>
    </w:p>
    <w:p w14:paraId="57B06BFE" w14:textId="234C9D36" w:rsidR="00C237A1" w:rsidRPr="006E5432" w:rsidRDefault="00C237A1" w:rsidP="00C237A1">
      <w:pPr>
        <w:pStyle w:val="SingleTxt"/>
      </w:pPr>
      <w:r>
        <w:tab/>
        <w:t>c)</w:t>
      </w:r>
      <w:r>
        <w:tab/>
        <w:t>тот факт, что занятые в неформальном секторе женщины по-прежнему исключены из системы социальной защиты, в том числе речь идет о праве на декретный отпуск и пенсионные пособия;</w:t>
      </w:r>
    </w:p>
    <w:p w14:paraId="262BC5D1" w14:textId="4D37DC42" w:rsidR="00C237A1" w:rsidRPr="006E5432" w:rsidRDefault="00C237A1" w:rsidP="00C237A1">
      <w:pPr>
        <w:pStyle w:val="SingleTxt"/>
      </w:pPr>
      <w:r>
        <w:tab/>
        <w:t>d)</w:t>
      </w:r>
      <w:r>
        <w:tab/>
        <w:t>труд девочек в качестве домашней прислуги в соответствии со статьей 4 Указа о домашнем наемном труде (№ </w:t>
      </w:r>
      <w:r w:rsidRPr="005A2325">
        <w:t>40/200</w:t>
      </w:r>
      <w:r>
        <w:t xml:space="preserve">8), которая позволяет несовершеннолетним в возрасте от 12 до 15 лет работать в качестве домашней прислуги; </w:t>
      </w:r>
    </w:p>
    <w:p w14:paraId="7850B4E5" w14:textId="7309C04B" w:rsidR="00C237A1" w:rsidRPr="006E5432" w:rsidRDefault="00C237A1" w:rsidP="00C237A1">
      <w:pPr>
        <w:pStyle w:val="SingleTxt"/>
      </w:pPr>
      <w:r>
        <w:tab/>
        <w:t>e)</w:t>
      </w:r>
      <w:r>
        <w:tab/>
        <w:t xml:space="preserve">сообщения о частых случаях сексуальных домогательств в отношении женщин на рабочем месте, несмотря на положения пересмотренного Закона о труде. </w:t>
      </w:r>
    </w:p>
    <w:p w14:paraId="4B38AA74" w14:textId="77777777" w:rsidR="00C237A1" w:rsidRPr="006E5432" w:rsidRDefault="00C237A1" w:rsidP="00C237A1">
      <w:pPr>
        <w:pStyle w:val="SingleTxt"/>
      </w:pPr>
      <w:r>
        <w:t>34.</w:t>
      </w:r>
      <w:r>
        <w:tab/>
      </w:r>
      <w:r>
        <w:rPr>
          <w:b/>
          <w:bCs/>
        </w:rPr>
        <w:t>Комитет обращает внимание на задачу</w:t>
      </w:r>
      <w:r>
        <w:rPr>
          <w:b/>
          <w:bCs/>
          <w:lang w:val="en-US"/>
        </w:rPr>
        <w:t> </w:t>
      </w:r>
      <w:r>
        <w:rPr>
          <w:b/>
          <w:bCs/>
        </w:rPr>
        <w:t>8.5 целей в области устойчивого развития и рекомендует государству-участнику:</w:t>
      </w:r>
    </w:p>
    <w:p w14:paraId="57F00852" w14:textId="5822E1CC" w:rsidR="00C237A1" w:rsidRPr="006E5432" w:rsidRDefault="00C237A1" w:rsidP="00C237A1">
      <w:pPr>
        <w:pStyle w:val="SingleTxt"/>
      </w:pPr>
      <w:r>
        <w:tab/>
        <w:t>а)</w:t>
      </w:r>
      <w:r>
        <w:tab/>
      </w:r>
      <w:r>
        <w:rPr>
          <w:b/>
          <w:bCs/>
        </w:rPr>
        <w:t>проводить регулярные инспекции условий труда во всех секторах занятости, направленные на исполнение трудового законодательства, сокращение гендерного разрыва в оплате труда и обеспечение достойных условий труда в неформальном секторе;</w:t>
      </w:r>
    </w:p>
    <w:p w14:paraId="2E7C0603" w14:textId="4D3D4652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увеличить количество доступных по цене учреждений по уходу за детьми и внедрить гибкие условия труда для женщин и мужчин;</w:t>
      </w:r>
    </w:p>
    <w:p w14:paraId="66FF5ADC" w14:textId="42BF9141" w:rsidR="00C237A1" w:rsidRPr="006E5432" w:rsidRDefault="00C237A1" w:rsidP="00C237A1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создать механизмы, обеспечивающие равные льготы и пособия в виде пенсий и социальной защиты для женщин и мужчин и охват ими неформального сектора экономики;</w:t>
      </w:r>
    </w:p>
    <w:p w14:paraId="6D4D857B" w14:textId="4A343FCE" w:rsidR="00C237A1" w:rsidRPr="006E5432" w:rsidRDefault="00C237A1" w:rsidP="00C237A1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изменить или отменить статью</w:t>
      </w:r>
      <w:r>
        <w:rPr>
          <w:b/>
          <w:bCs/>
          <w:lang w:val="en-US"/>
        </w:rPr>
        <w:t> </w:t>
      </w:r>
      <w:r>
        <w:rPr>
          <w:b/>
          <w:bCs/>
        </w:rPr>
        <w:t>4 Указа о труде домашней прислуги (№ </w:t>
      </w:r>
      <w:r w:rsidRPr="005A2325">
        <w:rPr>
          <w:b/>
          <w:bCs/>
        </w:rPr>
        <w:t>40/200</w:t>
      </w:r>
      <w:r>
        <w:rPr>
          <w:b/>
          <w:bCs/>
        </w:rPr>
        <w:t>8) в целях запрещения труда, в том числе работы в качестве домашней прислуги, детей в возрасте до 15</w:t>
      </w:r>
      <w:r>
        <w:rPr>
          <w:b/>
          <w:bCs/>
          <w:lang w:val="en-US"/>
        </w:rPr>
        <w:t> </w:t>
      </w:r>
      <w:r>
        <w:rPr>
          <w:b/>
          <w:bCs/>
        </w:rPr>
        <w:t>лет в соответствии с Конвенцией Международной организации труда № 138 о минимальном возрасте 1973 года;</w:t>
      </w:r>
    </w:p>
    <w:p w14:paraId="5206BE89" w14:textId="5180AFD4" w:rsidR="00C237A1" w:rsidRPr="006E5432" w:rsidRDefault="00C237A1" w:rsidP="00C237A1">
      <w:pPr>
        <w:pStyle w:val="SingleTxt"/>
      </w:pPr>
      <w:r>
        <w:tab/>
        <w:t>e)</w:t>
      </w:r>
      <w:r>
        <w:tab/>
      </w:r>
      <w:r>
        <w:rPr>
          <w:b/>
          <w:bCs/>
        </w:rPr>
        <w:t>обеспечить эффективное осуществление положений пересмотренного Закона о труде, запрещающих сексуальные домогательства на рабочем месте, и создать механизмы для расследования всех жалоб, назначения соответствующего наказания за совершение таких деяний и предоставления возмещения нанесенного жертвам вреда.</w:t>
      </w:r>
      <w:r>
        <w:t xml:space="preserve"> </w:t>
      </w:r>
    </w:p>
    <w:p w14:paraId="67C87B8A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1383AF2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Здравоохранение</w:t>
      </w:r>
    </w:p>
    <w:p w14:paraId="353A1947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0E87796" w14:textId="77777777" w:rsidR="00C237A1" w:rsidRPr="006E5432" w:rsidRDefault="00C237A1" w:rsidP="00C237A1">
      <w:pPr>
        <w:pStyle w:val="SingleTxt"/>
      </w:pPr>
      <w:r>
        <w:t>35.</w:t>
      </w:r>
      <w:r>
        <w:tab/>
        <w:t>Комитет выражает признательность государству-участнику за принятие национального плана развития людских ресурсов в области здравоохранения на период 2016–2025 годов и стратегического плана развития сектора здравоохранения на период 2014–2019 годов в целях обеспечения здоровья матери и ребенка. Вместе с тем Комитет с обеспокоенностью отмечает такие факты, как:</w:t>
      </w:r>
    </w:p>
    <w:p w14:paraId="41407136" w14:textId="50E64ABB" w:rsidR="00C237A1" w:rsidRPr="006E5432" w:rsidRDefault="00C237A1" w:rsidP="00C237A1">
      <w:pPr>
        <w:pStyle w:val="SingleTxt"/>
      </w:pPr>
      <w:r>
        <w:tab/>
        <w:t>а)</w:t>
      </w:r>
      <w:r>
        <w:tab/>
        <w:t xml:space="preserve">высокая распространенность ВИЧ среди женщин, несмотря на усилия, предпринятые в рамках национального стратегического плана борьбы с ВИЧ/СПИДом; </w:t>
      </w:r>
    </w:p>
    <w:p w14:paraId="6043F58A" w14:textId="2DCDC54C" w:rsidR="00C237A1" w:rsidRPr="006E5432" w:rsidRDefault="00C237A1" w:rsidP="00C237A1">
      <w:pPr>
        <w:pStyle w:val="SingleTxt"/>
      </w:pPr>
      <w:r>
        <w:tab/>
        <w:t>b)</w:t>
      </w:r>
      <w:r>
        <w:tab/>
        <w:t>сохраняющиеся высокие показатели материнской смертности и ограниченный доступ к безопасным и законным услугам по искусственному прерыванию беременности в государстве-участнике, нехватка квалифицированного медицинского персонала, включая акушерок, в сельских районах и отсутствие конфиденциальности в отношении абортов;</w:t>
      </w:r>
    </w:p>
    <w:p w14:paraId="2A2F8F91" w14:textId="4A16B486" w:rsidR="00C237A1" w:rsidRPr="006E5432" w:rsidRDefault="00C237A1" w:rsidP="00C237A1">
      <w:pPr>
        <w:pStyle w:val="SingleTxt"/>
      </w:pPr>
      <w:r>
        <w:tab/>
        <w:t>c)</w:t>
      </w:r>
      <w:r>
        <w:tab/>
        <w:t>низкий уровень использования современных методов контрацепции, особенно в сельских районах, а также ограниченность информации о сексуальном и репродуктивном здоровье и соответствующих правах, в том числе о сексуальной автономности женщин;</w:t>
      </w:r>
    </w:p>
    <w:p w14:paraId="7DA37EBF" w14:textId="64185032" w:rsidR="00C237A1" w:rsidRPr="006E5432" w:rsidRDefault="00C237A1" w:rsidP="00C237A1">
      <w:pPr>
        <w:pStyle w:val="SingleTxt"/>
      </w:pPr>
      <w:r>
        <w:tab/>
        <w:t>d)</w:t>
      </w:r>
      <w:r>
        <w:tab/>
        <w:t>отсутствие информации о доступе женщин к механизмам подачи жалоб в случае принудительного медицинского лечения в психиатрических больницах;</w:t>
      </w:r>
    </w:p>
    <w:p w14:paraId="044253C3" w14:textId="13C96E00" w:rsidR="00C237A1" w:rsidRPr="006E5432" w:rsidRDefault="00C237A1" w:rsidP="00C237A1">
      <w:pPr>
        <w:pStyle w:val="SingleTxt"/>
      </w:pPr>
      <w:r>
        <w:tab/>
        <w:t>e)</w:t>
      </w:r>
      <w:r>
        <w:tab/>
        <w:t>высокая распространенность инфекционных заболеваний, в том числе холеры и туберкулеза, среди женщин и девочек.</w:t>
      </w:r>
    </w:p>
    <w:p w14:paraId="7F940261" w14:textId="77777777" w:rsidR="00C237A1" w:rsidRPr="006E5432" w:rsidRDefault="00C237A1" w:rsidP="00C237A1">
      <w:pPr>
        <w:pStyle w:val="SingleTxt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 в соответствии с общей рекомендацией Комитета № 24 (1999), касающейся женщин и здравоохранения, и задач 3.1 и 3.7 целей в области устойчивого развития, направленных на снижение глобального коэффициента материнской смертности и обеспечение всеобщего доступа к услугам по охране сексуального и репродуктивного здоровья:</w:t>
      </w:r>
    </w:p>
    <w:p w14:paraId="6C2C3953" w14:textId="318DB5B1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активизировать осуществление национального стратегического плана по борьбе с ВИЧ/СПИДом и обеспечить доступ к программам профилактики и ранней диагностики для женщин и девочек, подверженных риску заражения ВИЧ, в том числе женщин и девочек с инвалидностью и альбинизмом;</w:t>
      </w:r>
    </w:p>
    <w:p w14:paraId="77A0092E" w14:textId="248009EA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активизировать усилия по увеличению числа медицинских учреждений и квалифицированных медицинских работников в сельских районах, в том числе посредством осуществления национального плана по развитию людских ресурсов в области здравоохранения, охватывающего период 2016–2025 годов, и обеспечить, чтобы женщины имели конфиденциальный доступ к безопасному аборту и уходу после аборта;</w:t>
      </w:r>
    </w:p>
    <w:p w14:paraId="518D166E" w14:textId="5F091BD7" w:rsidR="00C237A1" w:rsidRPr="006E5432" w:rsidRDefault="00C237A1" w:rsidP="00C237A1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обеспечить женщинам и девочкам надлежащий доступ к современным видам контрацепции, в том числе в сельских районах, и активизировать ориентированные как на женщин, так и на мужчин усилия по повышению осведомленности о применении противозачаточных средств и сексуальном и репродуктивном здоровье и соответствующих правах;</w:t>
      </w:r>
    </w:p>
    <w:p w14:paraId="2CA26961" w14:textId="7B7DEC08" w:rsidR="00C237A1" w:rsidRPr="006E5432" w:rsidRDefault="00C237A1" w:rsidP="00C237A1">
      <w:pPr>
        <w:pStyle w:val="SingleTxt"/>
      </w:pPr>
      <w:r>
        <w:tab/>
        <w:t>d)</w:t>
      </w:r>
      <w:r>
        <w:tab/>
      </w:r>
      <w:r>
        <w:rPr>
          <w:b/>
          <w:bCs/>
        </w:rPr>
        <w:t>обеспечить проведение всех медицинских процедур исключительно на основе свободно выраженного и информированного согласия всех заинтересованных сторон в соответствии с международными нормами и улучшить доступ женщин к механизмам подачи жалоб в случае принудительного медицинского лечения в психиатрических больницах, а также оказывать им надлежащую поддержку;</w:t>
      </w:r>
    </w:p>
    <w:p w14:paraId="6DB18BE5" w14:textId="5A4A3B9A" w:rsidR="00C237A1" w:rsidRPr="006E5432" w:rsidRDefault="00C237A1" w:rsidP="00C237A1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повышать уровень осведомленности женщин и девочек о способах профилактики инфекционных заболеваний и укреплять межсекторальное сотрудничество в целях уменьшения их распространенности, в том числе путем улучшения гигиены и санитарии, особенно в сельских районах.</w:t>
      </w:r>
    </w:p>
    <w:p w14:paraId="4F50D257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48ACDB2" w14:textId="77777777" w:rsidR="00C237A1" w:rsidRDefault="00C237A1">
      <w:pPr>
        <w:spacing w:after="200" w:line="276" w:lineRule="auto"/>
        <w:rPr>
          <w:b/>
          <w:spacing w:val="2"/>
        </w:rPr>
      </w:pPr>
      <w:r>
        <w:br w:type="page"/>
      </w:r>
    </w:p>
    <w:p w14:paraId="6AA24113" w14:textId="6CDD6579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Экономические и социальные льготы</w:t>
      </w:r>
    </w:p>
    <w:p w14:paraId="6DA75E33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48D5C4BC" w14:textId="77777777" w:rsidR="00C237A1" w:rsidRPr="006E5432" w:rsidRDefault="00C237A1" w:rsidP="00C237A1">
      <w:pPr>
        <w:pStyle w:val="SingleTxt"/>
      </w:pPr>
      <w:r>
        <w:t>37.</w:t>
      </w:r>
      <w:r>
        <w:tab/>
        <w:t>Комитет с озабоченностью отмечает непропорционально высокий уровень нищеты среди женщин. Особую обеспокоенность вызывают:</w:t>
      </w:r>
    </w:p>
    <w:p w14:paraId="4BE94407" w14:textId="5C01C728" w:rsidR="00C237A1" w:rsidRPr="006E5432" w:rsidRDefault="00C237A1" w:rsidP="00C237A1">
      <w:pPr>
        <w:pStyle w:val="SingleTxt"/>
      </w:pPr>
      <w:r>
        <w:tab/>
        <w:t>а)</w:t>
      </w:r>
      <w:r>
        <w:tab/>
        <w:t>сохраняющаяся уязвимость в отношении стихийных бедствий и отсутствие надежной системы социального обеспечения и защиты, способной уберечь женщин от жизни в нищете;</w:t>
      </w:r>
    </w:p>
    <w:p w14:paraId="4EE39151" w14:textId="4B422ACA" w:rsidR="00C237A1" w:rsidRPr="006E5432" w:rsidRDefault="00C237A1" w:rsidP="00C237A1">
      <w:pPr>
        <w:pStyle w:val="SingleTxt"/>
      </w:pPr>
      <w:r>
        <w:tab/>
        <w:t>b)</w:t>
      </w:r>
      <w:r>
        <w:tab/>
        <w:t>нехватка информации о наличии систем социальной защиты и программ расширения экономических прав и возможностей, чтобы вывести женщин из нищеты.</w:t>
      </w:r>
    </w:p>
    <w:p w14:paraId="0B4AA2ED" w14:textId="77777777" w:rsidR="00C237A1" w:rsidRPr="006E5432" w:rsidRDefault="00C237A1" w:rsidP="00C237A1">
      <w:pPr>
        <w:pStyle w:val="SingleTxt"/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959110C" w14:textId="44705861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выделить достаточные людские, технические и финансовые ресурсы, с тем чтобы не предусматривающие взносов схемы социальной защиты предоставляли социальное обеспечение и пособия для женщин, живущих в нищете, безработных женщин и женщин, занимающихся неоплачиваемой работой;</w:t>
      </w:r>
    </w:p>
    <w:p w14:paraId="78EFE6FA" w14:textId="24FB68A4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эффективное осуществление национальной программы в области расширения экономических прав и возможностей женщин в целях создания благоприятных условий для женщин, прежде всего для женщин, являющихся безработными либо занятых в неформальном секторе, в целях обеспечения возможностей для выхода из нищеты, уменьшения зависимости от социальных пособий и шансов стать экономически независимыми;</w:t>
      </w:r>
    </w:p>
    <w:p w14:paraId="267CFB0F" w14:textId="5BEA2887" w:rsidR="00C237A1" w:rsidRPr="006E5432" w:rsidRDefault="00C237A1" w:rsidP="00C237A1">
      <w:pPr>
        <w:pStyle w:val="SingleTxt"/>
      </w:pPr>
      <w:r>
        <w:tab/>
        <w:t>c)</w:t>
      </w:r>
      <w:r>
        <w:tab/>
      </w:r>
      <w:r>
        <w:rPr>
          <w:b/>
          <w:bCs/>
        </w:rPr>
        <w:t>оказывать надлежащую поддержку предпринимательской деятельности женщин путем упрощения им доступа к финансовым услугам, включая механизмы предоставления низкопроцентных кредитов, начальный капитал и другие экономические возможности.</w:t>
      </w:r>
    </w:p>
    <w:p w14:paraId="23B83A34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6D9DA8DE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Сельские женщины</w:t>
      </w:r>
      <w:r>
        <w:t xml:space="preserve"> </w:t>
      </w:r>
    </w:p>
    <w:p w14:paraId="54642D88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22338F01" w14:textId="77777777" w:rsidR="00C237A1" w:rsidRPr="006E5432" w:rsidRDefault="00C237A1" w:rsidP="00C237A1">
      <w:pPr>
        <w:pStyle w:val="SingleTxt"/>
      </w:pPr>
      <w:r>
        <w:t>39.</w:t>
      </w:r>
      <w:r>
        <w:tab/>
        <w:t>Комитет приветствует усилия государства-участника по упрощению доступа женщин к земле и услугам микрофинансирования в сельских районах. Тем не менее он выражает обеспокоенность по поводу непропорционально высоких уровней нищеты среди сельских женщин, которые составляют большинство женского населения в государстве-участнике. Он также с обеспокоенностью отмечает воздействие стихийных бедствий на наличие услуг и доступ к ним, в том числе в сферах образования, здравоохранения, правосудия, жилья, водоснабжения, санитарии, электроэнергии и других объектов инфраструктуры. Кроме того, Комитет обеспокоен ограниченным доступом сельских женщин к земельной собственности, официальным кредитам и займам и переселением и перемещением женщин в северной части государства-участника, осуществляемыми горнодобывающими компаниями.</w:t>
      </w:r>
    </w:p>
    <w:p w14:paraId="2F01CF9D" w14:textId="77777777" w:rsidR="00C237A1" w:rsidRPr="006E5432" w:rsidRDefault="00C237A1" w:rsidP="00C237A1">
      <w:pPr>
        <w:pStyle w:val="SingleTxt"/>
        <w:rPr>
          <w:b/>
          <w:bCs/>
        </w:rPr>
      </w:pPr>
      <w:r>
        <w:t>40.</w:t>
      </w:r>
      <w:r>
        <w:tab/>
      </w:r>
      <w:r>
        <w:rPr>
          <w:b/>
          <w:bCs/>
        </w:rPr>
        <w:t>В соответствии с Конвенцией, общей рекомендацией № 34 (2016), касающейся прав сельских женщин, и задачей 5.А целей в области устойчивого развития Комитет рекомендует государству-участнику:</w:t>
      </w:r>
    </w:p>
    <w:p w14:paraId="738680FD" w14:textId="4121B1CA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активизировать усилия, направленные на расширение экономических прав и возможностей сельских женщин, в том числе путем предоставления финансовых кредитов и займов, и обеспечение сельским женщинам доступа к правосудию, образованию, здравоохранению, безопасной с санитарной точки зрения воде, жилью, электроэнергии, другим объектам инфраструктуры и собственности на землю;</w:t>
      </w:r>
    </w:p>
    <w:p w14:paraId="0A0F6AA4" w14:textId="44AE57B1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осуществлять контроль за соблюдением горнодобывающими компаниями политики корпоративной социальной ответственности в добывающей промышленности (резолюция </w:t>
      </w:r>
      <w:r w:rsidRPr="005A2325">
        <w:rPr>
          <w:b/>
          <w:bCs/>
        </w:rPr>
        <w:t>12/201</w:t>
      </w:r>
      <w:r>
        <w:rPr>
          <w:b/>
          <w:bCs/>
        </w:rPr>
        <w:t>4), налагать штрафы в случае ее несоблюдения и обеспечить, чтобы выселенные со своих земель женщины и их семьи получали адекватное альтернативное жилье и соответствующую компенсацию.</w:t>
      </w:r>
      <w:r>
        <w:t xml:space="preserve"> </w:t>
      </w:r>
    </w:p>
    <w:p w14:paraId="0C7ACB74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DDBEB9E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Группы женщин, находящиеся в неблагоприятном положении</w:t>
      </w:r>
    </w:p>
    <w:p w14:paraId="58EAFB5E" w14:textId="77777777" w:rsidR="00C237A1" w:rsidRPr="006E5432" w:rsidRDefault="00C237A1" w:rsidP="00C237A1">
      <w:pPr>
        <w:pStyle w:val="SingleTxt"/>
        <w:keepNext/>
        <w:keepLines/>
        <w:spacing w:after="0" w:line="120" w:lineRule="exact"/>
        <w:rPr>
          <w:sz w:val="10"/>
        </w:rPr>
      </w:pPr>
    </w:p>
    <w:p w14:paraId="49BA1F5D" w14:textId="77777777" w:rsidR="00C237A1" w:rsidRPr="006E5432" w:rsidRDefault="00C237A1" w:rsidP="00C237A1">
      <w:pPr>
        <w:pStyle w:val="SingleTxt"/>
      </w:pPr>
      <w:r>
        <w:t>41.</w:t>
      </w:r>
      <w:r>
        <w:tab/>
        <w:t>Комитет признает усилия, предпринятые государством-участником в целях борьбы с пересекающимися формами дискриминации в отношении групп женщин, находящихся в неблагоприятном положении, в том числе посредством принятия национального плана действий в интересах пожилых людей на период 2015–2019 годов и национального плана действий по вопросам инвалидности на период 2012–2019 годов. Вместе с тем есть ряд моментов, которые вызывают обеспокоенность Комитета, а именно:</w:t>
      </w:r>
    </w:p>
    <w:p w14:paraId="045200F0" w14:textId="6F66FBD0" w:rsidR="00C237A1" w:rsidRPr="006E5432" w:rsidRDefault="00C237A1" w:rsidP="00C237A1">
      <w:pPr>
        <w:pStyle w:val="SingleTxt"/>
      </w:pPr>
      <w:r>
        <w:tab/>
        <w:t>а)</w:t>
      </w:r>
      <w:r>
        <w:tab/>
        <w:t>насилие и жестокое обращение в отношении пожилых женщин и женщин и девочек с инвалидностью и отсутствие информации о воздействии этого плана и национального плана действий по вопросу о положении пожилых женщин и женщин и девочек с инвалидностью соответственно;</w:t>
      </w:r>
    </w:p>
    <w:p w14:paraId="58FABBF8" w14:textId="5CD74496" w:rsidR="00C237A1" w:rsidRPr="006E5432" w:rsidRDefault="00C237A1" w:rsidP="00C237A1">
      <w:pPr>
        <w:pStyle w:val="SingleTxt"/>
      </w:pPr>
      <w:r>
        <w:tab/>
        <w:t>b)</w:t>
      </w:r>
      <w:r>
        <w:tab/>
        <w:t>непрекращающееся насилие и вредные виды практики в отношении женщин и девочек с альбинизмом;</w:t>
      </w:r>
    </w:p>
    <w:p w14:paraId="260A0F8F" w14:textId="496F093B" w:rsidR="00C237A1" w:rsidRPr="006E5432" w:rsidRDefault="00C237A1" w:rsidP="00C237A1">
      <w:pPr>
        <w:pStyle w:val="SingleTxt"/>
      </w:pPr>
      <w:r>
        <w:tab/>
        <w:t>c)</w:t>
      </w:r>
      <w:r>
        <w:tab/>
        <w:t>сообщения о задержании женщин с маленькими детьми и сексуальном домогательстве и насилии в отношении женщин, содержащихся под стражей, в том числе из числа лесбиянок, бисексуалок и женщин из числа трансгендеров и интерсексов.</w:t>
      </w:r>
    </w:p>
    <w:p w14:paraId="6B039B17" w14:textId="5A6172C0" w:rsidR="00C237A1" w:rsidRPr="006E5432" w:rsidRDefault="00C237A1" w:rsidP="00C237A1">
      <w:pPr>
        <w:pStyle w:val="SingleTxt"/>
        <w:rPr>
          <w:b/>
          <w:bCs/>
        </w:rPr>
      </w:pPr>
      <w:r>
        <w:t>42.</w:t>
      </w:r>
      <w:r>
        <w:tab/>
      </w:r>
      <w:r>
        <w:rPr>
          <w:b/>
          <w:bCs/>
        </w:rPr>
        <w:t>Комитет, подтверждая свои предыдущие рекомендации (</w:t>
      </w:r>
      <w:hyperlink r:id="rId29" w:history="1">
        <w:r w:rsidRPr="00585196">
          <w:rPr>
            <w:rStyle w:val="Hyperlink"/>
            <w:b/>
            <w:bCs/>
            <w:spacing w:val="2"/>
          </w:rPr>
          <w:t>CEDAW/C/MOZ/CO/2</w:t>
        </w:r>
      </w:hyperlink>
      <w:r>
        <w:rPr>
          <w:b/>
          <w:bCs/>
        </w:rPr>
        <w:t>, пункт 43), рекомендует государству-участнику:</w:t>
      </w:r>
    </w:p>
    <w:p w14:paraId="0461BFC3" w14:textId="06D65192" w:rsidR="00C237A1" w:rsidRPr="006E5432" w:rsidRDefault="00C237A1" w:rsidP="00C237A1">
      <w:pPr>
        <w:pStyle w:val="SingleTxt"/>
      </w:pPr>
      <w:r>
        <w:tab/>
        <w:t>а)</w:t>
      </w:r>
      <w:r>
        <w:tab/>
      </w:r>
      <w:r>
        <w:rPr>
          <w:b/>
          <w:bCs/>
        </w:rPr>
        <w:t>провести оценку результатов национального плана в интересах пожилых людей, охватывающего период 2015–2019 годов, и национального плана действий по вопросам инвалидности, охватывающего период 2012–2019 годов, относительно того, как пожилые женщины и женщины-инвалиды осуществляют свои права, а также разработать и осуществить последующие планы;</w:t>
      </w:r>
      <w:r>
        <w:t xml:space="preserve"> </w:t>
      </w:r>
    </w:p>
    <w:p w14:paraId="35065FCD" w14:textId="670406AF" w:rsidR="00C237A1" w:rsidRPr="006E5432" w:rsidRDefault="00C237A1" w:rsidP="00C237A1">
      <w:pPr>
        <w:pStyle w:val="SingleTxt"/>
      </w:pPr>
      <w:r>
        <w:tab/>
        <w:t>b)</w:t>
      </w:r>
      <w:r>
        <w:tab/>
      </w:r>
      <w:r>
        <w:rPr>
          <w:b/>
          <w:bCs/>
        </w:rPr>
        <w:t>обеспечить надлежащую защиту и поддержку для пожилых женщин и женщин и девочек с инвалидностью, содействовать их доступу к системе правосудия и наказанию лиц, виновных в совершении гендерного насилия в отношении них;</w:t>
      </w:r>
      <w:r>
        <w:t xml:space="preserve"> </w:t>
      </w:r>
    </w:p>
    <w:p w14:paraId="50960BA5" w14:textId="20814DB4" w:rsidR="00C237A1" w:rsidRPr="006E5432" w:rsidRDefault="00C237A1" w:rsidP="00C237A1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провести информационно-просветительские кампании в целях изменения негативного отношения к женщинам и девочкам, с альбинизмом, и ликвидировать вредную практику и другие формы насилия в отношении них;</w:t>
      </w:r>
    </w:p>
    <w:p w14:paraId="2749A06B" w14:textId="1B8EBBF9" w:rsidR="00C237A1" w:rsidRPr="006E5432" w:rsidRDefault="00C237A1" w:rsidP="00C237A1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улучшить условия содержания женщин в местах лишения свободы в соответствии с Правилами Организации Объединенных Наций, касающимися обращения с женщинами-заключенными и мер наказания для женщин-правонарушителей, не связанных с лишением свободы (Бангкокские правила), и активизировать усилия по предупреждению гендерного насилия в отношении женщин, содержащихся под стражей, в том числе лесбиянок, бисексуалок и женщин из числа трансгендеров и интерсексов;</w:t>
      </w:r>
    </w:p>
    <w:p w14:paraId="4E9BFCCA" w14:textId="4DCE012B" w:rsidR="00C237A1" w:rsidRPr="006E5432" w:rsidRDefault="00C237A1" w:rsidP="00C237A1">
      <w:pPr>
        <w:pStyle w:val="SingleTxt"/>
      </w:pPr>
      <w:r>
        <w:tab/>
        <w:t>e)</w:t>
      </w:r>
      <w:r>
        <w:tab/>
      </w:r>
      <w:r>
        <w:rPr>
          <w:b/>
          <w:bCs/>
        </w:rPr>
        <w:t>поощрять применение мер, альтернативных содержанию под стражей, в том числе содержанию под стражей до суда, особенно для беременных женщин, матерей, имеющих малолетних детей, и женщин, возглавляющих домашние хозяйства.</w:t>
      </w:r>
    </w:p>
    <w:p w14:paraId="513DBC01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48625E69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Гендерная проблематика и изменение климата</w:t>
      </w:r>
    </w:p>
    <w:p w14:paraId="00CCB924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48E74922" w14:textId="77777777" w:rsidR="00C237A1" w:rsidRPr="006E5432" w:rsidRDefault="00C237A1" w:rsidP="00C237A1">
      <w:pPr>
        <w:pStyle w:val="SingleTxt"/>
      </w:pPr>
      <w:r>
        <w:t>43.</w:t>
      </w:r>
      <w:r>
        <w:tab/>
        <w:t xml:space="preserve">Комитет выражает обеспокоенность в связи с непропорционально значительными негативными последствиями циклонов, таких как циклон «Идай» в марте 2019 года, и наводнений для женщин и девочек из-за возрастающего риска их подверженности гендерному насилию и отсутствия продовольственной безопасности. Он также обеспокоен отсутствием информации о плане действий и стратегии по гендерной проблематике, охране окружающей среды и борьбе с изменением климата в 2010 году, в том числе включают ли они гендерные аспекты и обеспечивают ли участие женщин на всех этапах разработки и осуществления. </w:t>
      </w:r>
    </w:p>
    <w:p w14:paraId="6BED79E3" w14:textId="77777777" w:rsidR="00C237A1" w:rsidRPr="006E5432" w:rsidRDefault="00C237A1" w:rsidP="00C237A1">
      <w:pPr>
        <w:pStyle w:val="SingleTxt"/>
      </w:pPr>
      <w:r>
        <w:t>44.</w:t>
      </w:r>
      <w:r>
        <w:tab/>
      </w:r>
      <w:r>
        <w:rPr>
          <w:b/>
          <w:bCs/>
        </w:rPr>
        <w:t>В соответствии с общей рекомендацией № 37 (2018) о гендерных аспектах снижения риска бедствий в условиях изменения климата Комитет рекомендует государству-участнику:</w:t>
      </w:r>
    </w:p>
    <w:p w14:paraId="1069EB49" w14:textId="730FB3EC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обеспечить учет гендерной проблематики при разработке и осуществлении политики и программ по снижению риска бедствий и изменению климата, провести оценку и устранение последствий циклона «Идай» и циклона «Кеннет» для женщин и девочек в государстве-участнике, рассмотреть вопрос о последствиях внешней задолженности для полного осуществления прав женщин и принять новый план действий по гендерной проблематике, охране окружающей среды и борьбе с изменением климата;</w:t>
      </w:r>
    </w:p>
    <w:p w14:paraId="4A73FFB3" w14:textId="3C7654C1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участие женщин в планировании и осуществлении политики по предотвращению стихийных бедствий и ликвидации их последствий и снижению риска бедствий.</w:t>
      </w:r>
    </w:p>
    <w:p w14:paraId="5F2547FF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3447F6E7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Брак и семейные отношения</w:t>
      </w:r>
    </w:p>
    <w:p w14:paraId="47D7B9A9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39FA55A5" w14:textId="77777777" w:rsidR="00C237A1" w:rsidRPr="006E5432" w:rsidRDefault="00C237A1" w:rsidP="00C237A1">
      <w:pPr>
        <w:pStyle w:val="SingleTxt"/>
      </w:pPr>
      <w:r>
        <w:t>45.</w:t>
      </w:r>
      <w:r>
        <w:tab/>
        <w:t>Комитет по-прежнему обеспокоен тем, что в государстве-участнике дискриминационные нормы обычного права и практика продолжают регулировать брачные и семейные отношения, в том числе детские браки, а также доступ к имуществу, хотя в случае коллизии гражданское право имеет преимущественную силу перед нормами обычного права. Особую обеспокоенность вызывают:</w:t>
      </w:r>
    </w:p>
    <w:p w14:paraId="53B47F32" w14:textId="229E38DF" w:rsidR="00C237A1" w:rsidRPr="006E5432" w:rsidRDefault="00C237A1" w:rsidP="00C237A1">
      <w:pPr>
        <w:pStyle w:val="SingleTxt"/>
      </w:pPr>
      <w:r>
        <w:tab/>
        <w:t>а)</w:t>
      </w:r>
      <w:r>
        <w:tab/>
        <w:t>сохраняющиеся дискриминационные законы о наследовании и отсутствие положения о защите прав вдов в Законе о семье (№ </w:t>
      </w:r>
      <w:r w:rsidRPr="005A2325">
        <w:t>10/201</w:t>
      </w:r>
      <w:r>
        <w:t>4);</w:t>
      </w:r>
    </w:p>
    <w:p w14:paraId="4E807C5A" w14:textId="2AF884CD" w:rsidR="00C237A1" w:rsidRPr="006E5432" w:rsidRDefault="00C237A1" w:rsidP="00C237A1">
      <w:pPr>
        <w:pStyle w:val="SingleTxt"/>
      </w:pPr>
      <w:r>
        <w:tab/>
        <w:t>b)</w:t>
      </w:r>
      <w:r>
        <w:tab/>
        <w:t>отсутствие информации о том, принимаются ли во внимание случаи бытового насилия в отношении матери при принятии судебных решений об опеке над ребенком;</w:t>
      </w:r>
    </w:p>
    <w:p w14:paraId="322F64B5" w14:textId="1B0B7262" w:rsidR="00C237A1" w:rsidRPr="006E5432" w:rsidRDefault="00C237A1" w:rsidP="00C237A1">
      <w:pPr>
        <w:pStyle w:val="SingleTxt"/>
      </w:pPr>
      <w:r>
        <w:tab/>
        <w:t>c)</w:t>
      </w:r>
      <w:r>
        <w:tab/>
        <w:t>не отвечающий потребностям доступ женщин к регистрации рождения в отсутствие достаточного числа регистрационных пунктов в сельских районах и требование об уплате регистрационного сбора после 120 дней с момента рождения ребенка в дополнение к негативному воздействию на доступ детей к образованию, здравоохранению и землевладению.</w:t>
      </w:r>
    </w:p>
    <w:p w14:paraId="5F374FB0" w14:textId="31088DD2" w:rsidR="00C237A1" w:rsidRPr="006E5432" w:rsidRDefault="00C237A1" w:rsidP="00C237A1">
      <w:pPr>
        <w:pStyle w:val="SingleTxt"/>
      </w:pPr>
      <w:r>
        <w:t>46.</w:t>
      </w:r>
      <w:r>
        <w:tab/>
      </w:r>
      <w:r>
        <w:rPr>
          <w:b/>
          <w:bCs/>
        </w:rPr>
        <w:t>Ссылаясь на свою общую рекомендацию № </w:t>
      </w:r>
      <w:hyperlink r:id="rId30" w:history="1">
        <w:r w:rsidRPr="00585196">
          <w:rPr>
            <w:rStyle w:val="Hyperlink"/>
            <w:b/>
            <w:bCs/>
          </w:rPr>
          <w:t>21 (1994)</w:t>
        </w:r>
      </w:hyperlink>
      <w:r>
        <w:rPr>
          <w:b/>
          <w:bCs/>
        </w:rPr>
        <w:t>, касающуюся равенства в браке и семейных отношениях, Комитет рекомендует государству-участнику:</w:t>
      </w:r>
    </w:p>
    <w:p w14:paraId="67F90E44" w14:textId="212FDF23" w:rsidR="00C237A1" w:rsidRPr="006E5432" w:rsidRDefault="00C237A1" w:rsidP="00C237A1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ускорить пересмотр Закона о семье в целях установления минимального возраста вступления в брак — 18 лет без каких-либо исключений и изъять из него дискриминационные положения, касающиеся прав наследования, которые ставят женщин, в том числе вдов, в неблагоприятное положение по сравнению с мужчинами;</w:t>
      </w:r>
      <w:r>
        <w:t xml:space="preserve"> </w:t>
      </w:r>
    </w:p>
    <w:p w14:paraId="58A54628" w14:textId="44900AC5" w:rsidR="00C237A1" w:rsidRPr="006E5432" w:rsidRDefault="00C237A1" w:rsidP="00C237A1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учет бытового насилия в отношении женщин в делах, связанных с установлением опеки над детьми;</w:t>
      </w:r>
    </w:p>
    <w:p w14:paraId="5781453F" w14:textId="64FA053A" w:rsidR="00C237A1" w:rsidRPr="001A2677" w:rsidRDefault="00C237A1" w:rsidP="00C237A1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увеличить число отделов регистрации в государстве-участнике, в частности в сельских районах, в целях обеспечения своевременной регистрации рождения детей и отменить плату за позднюю регистрацию.</w:t>
      </w:r>
    </w:p>
    <w:p w14:paraId="154A5E20" w14:textId="77777777" w:rsidR="00C237A1" w:rsidRPr="001A2677" w:rsidRDefault="00C237A1" w:rsidP="00C237A1">
      <w:pPr>
        <w:pStyle w:val="SingleTxt"/>
        <w:spacing w:after="0" w:line="120" w:lineRule="exact"/>
        <w:rPr>
          <w:sz w:val="10"/>
        </w:rPr>
      </w:pPr>
    </w:p>
    <w:p w14:paraId="6109BC1A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Сбор и анализ данных</w:t>
      </w:r>
    </w:p>
    <w:p w14:paraId="4D82206A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4225CB9" w14:textId="77777777" w:rsidR="00C237A1" w:rsidRPr="006E5432" w:rsidRDefault="00C237A1" w:rsidP="00C237A1">
      <w:pPr>
        <w:pStyle w:val="SingleTxt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 улучшить сбор, анализ и распространение всеобъемлющих данных, дезагрегированных по полу, возрасту, инвалидности, этнической принадлежности, месту проживания и социально-экономическому статусу.</w:t>
      </w:r>
      <w:r>
        <w:t xml:space="preserve"> </w:t>
      </w:r>
      <w:r>
        <w:rPr>
          <w:b/>
          <w:bCs/>
        </w:rPr>
        <w:t>Он также рекомендует, чтобы государство-участник контролировало, с использованием поддающихся измерению показателей, эффективность законов, политических мер и планов действий и проводило оценку тенденций в области положения женщин и прогресса в достижении фактического равенства женщин и мужчин во всех областях, охватываемых Конвенцией.</w:t>
      </w:r>
      <w:r>
        <w:t xml:space="preserve"> </w:t>
      </w:r>
    </w:p>
    <w:p w14:paraId="054BF35C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4DC3D535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Поправка к пункту 1 статьи 20 Конвенции</w:t>
      </w:r>
      <w:r>
        <w:t xml:space="preserve"> </w:t>
      </w:r>
    </w:p>
    <w:p w14:paraId="6CD7225A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44DB735" w14:textId="77777777" w:rsidR="00C237A1" w:rsidRPr="006E5432" w:rsidRDefault="00C237A1" w:rsidP="00C237A1">
      <w:pPr>
        <w:pStyle w:val="SingleTxt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призывает государство-участника как можно скорее принять поправку к пункту 1 статьи 20 Конвенции, касающуюся сроков проведения сессий Комитета.</w:t>
      </w:r>
    </w:p>
    <w:p w14:paraId="047A1DEF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5BDB1DB5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Пекинская декларация и Платформа действий</w:t>
      </w:r>
      <w:r>
        <w:t xml:space="preserve"> </w:t>
      </w:r>
    </w:p>
    <w:p w14:paraId="000F9854" w14:textId="77777777" w:rsidR="00C237A1" w:rsidRPr="006E5432" w:rsidRDefault="00C237A1" w:rsidP="00C237A1">
      <w:pPr>
        <w:pStyle w:val="SingleTxt"/>
        <w:keepNext/>
        <w:keepLines/>
        <w:spacing w:after="0" w:line="120" w:lineRule="exact"/>
        <w:rPr>
          <w:sz w:val="10"/>
        </w:rPr>
      </w:pPr>
    </w:p>
    <w:p w14:paraId="71536D62" w14:textId="77777777" w:rsidR="00C237A1" w:rsidRPr="006E5432" w:rsidRDefault="00C237A1" w:rsidP="00C237A1">
      <w:pPr>
        <w:pStyle w:val="SingleTxt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призывает государство-участника использовать Пекинскую декларацию и Платформу действий и провести дополнительную оценку осуществления закрепленных в Конвенции прав в контексте 25-летнего обзора осуществления Пекинской декларации и Платформы в целях достижения фактического равенства между женщинами и мужчинами.</w:t>
      </w:r>
    </w:p>
    <w:p w14:paraId="28984283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743C7115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Распространение</w:t>
      </w:r>
      <w:r>
        <w:t xml:space="preserve"> </w:t>
      </w:r>
    </w:p>
    <w:p w14:paraId="4DCB1622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31CF896" w14:textId="77777777" w:rsidR="00C237A1" w:rsidRPr="006E5432" w:rsidRDefault="00C237A1" w:rsidP="00C237A1">
      <w:pPr>
        <w:pStyle w:val="SingleTxt"/>
      </w:pPr>
      <w:r>
        <w:t>50.</w:t>
      </w:r>
      <w:r>
        <w:tab/>
      </w:r>
      <w:r>
        <w:rPr>
          <w:b/>
          <w:bCs/>
        </w:rPr>
        <w:t>Комитет просит государство-участника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в правительстве, министерствах, Собрании Республики и судебных органах, в целях обеспечения их полного осуществления.</w:t>
      </w:r>
    </w:p>
    <w:p w14:paraId="09794AFE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0D3EA41B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Техническая помощь</w:t>
      </w:r>
      <w:r>
        <w:t xml:space="preserve"> </w:t>
      </w:r>
    </w:p>
    <w:p w14:paraId="372A6243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70087357" w14:textId="77777777" w:rsidR="00C237A1" w:rsidRPr="006E5432" w:rsidRDefault="00C237A1" w:rsidP="00C237A1">
      <w:pPr>
        <w:pStyle w:val="SingleTxt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увязывать процесс осуществления Конвенции со своими усилиями в области развития и пользоваться в связи с этим региональной или международной технической помощью.</w:t>
      </w:r>
    </w:p>
    <w:p w14:paraId="0F3DC319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3DC887F4" w14:textId="77777777" w:rsidR="00C237A1" w:rsidRDefault="00C237A1">
      <w:pPr>
        <w:spacing w:after="200" w:line="276" w:lineRule="auto"/>
        <w:rPr>
          <w:b/>
          <w:spacing w:val="2"/>
        </w:rPr>
      </w:pPr>
      <w:r>
        <w:br w:type="page"/>
      </w:r>
    </w:p>
    <w:p w14:paraId="4F725E89" w14:textId="66A75DDB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Ратификация других договоров</w:t>
      </w:r>
      <w:r>
        <w:t xml:space="preserve"> </w:t>
      </w:r>
    </w:p>
    <w:p w14:paraId="71A1A068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6093B289" w14:textId="77777777" w:rsidR="00C237A1" w:rsidRPr="006E5432" w:rsidRDefault="00C237A1" w:rsidP="00C237A1">
      <w:pPr>
        <w:pStyle w:val="SingleTxt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C237A1">
        <w:rPr>
          <w:rStyle w:val="FootnoteReference"/>
        </w:rPr>
        <w:footnoteReference w:id="2"/>
      </w:r>
      <w:r>
        <w:rPr>
          <w:b/>
          <w:bCs/>
        </w:rPr>
        <w:t xml:space="preserve"> будет способствовать более полному осуществлению женщинами их прав человека и основных свобод во всех аспектах жизни.</w:t>
      </w:r>
      <w:r>
        <w:t xml:space="preserve"> </w:t>
      </w:r>
      <w:r>
        <w:rPr>
          <w:b/>
          <w:bCs/>
        </w:rPr>
        <w:t>В связи с этим Комитет рекомендует государству-участнику ратифицировать Международную конвенцию для защиты всех лиц от насильственных исчезновений и Международный пакт об экономических, социальных и культурных правах, участником которых оно пока не является.</w:t>
      </w:r>
    </w:p>
    <w:p w14:paraId="1D351C3F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98954A3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Последующая деятельность по выполнению заключительных замечаний</w:t>
      </w:r>
    </w:p>
    <w:p w14:paraId="4480AA16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1709E2AA" w14:textId="3881130E" w:rsidR="00C237A1" w:rsidRPr="006E5432" w:rsidRDefault="00C237A1" w:rsidP="00C237A1">
      <w:pPr>
        <w:pStyle w:val="SingleTxt"/>
      </w:pPr>
      <w:r>
        <w:t>53.</w:t>
      </w:r>
      <w:r>
        <w:tab/>
      </w:r>
      <w:r>
        <w:rPr>
          <w:b/>
          <w:bCs/>
        </w:rPr>
        <w:t>Комитет просит государство-участника представить в течение двух лет письменную информацию о мерах, принятых в целях выполнения рекомендаций, изложенных выше в пунктах 10 b), 26 а) и с) и 46 а).</w:t>
      </w:r>
    </w:p>
    <w:p w14:paraId="714950F9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24B449A9" w14:textId="77777777" w:rsidR="00C237A1" w:rsidRPr="006E5432" w:rsidRDefault="00C237A1" w:rsidP="00C237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  <w:r>
        <w:t xml:space="preserve"> </w:t>
      </w:r>
    </w:p>
    <w:p w14:paraId="337A8CC5" w14:textId="77777777" w:rsidR="00C237A1" w:rsidRPr="006E5432" w:rsidRDefault="00C237A1" w:rsidP="00C237A1">
      <w:pPr>
        <w:pStyle w:val="SingleTxt"/>
        <w:spacing w:after="0" w:line="120" w:lineRule="exact"/>
        <w:rPr>
          <w:sz w:val="10"/>
        </w:rPr>
      </w:pPr>
    </w:p>
    <w:p w14:paraId="7F773A21" w14:textId="77777777" w:rsidR="00C237A1" w:rsidRPr="006E5432" w:rsidRDefault="00C237A1" w:rsidP="00C237A1">
      <w:pPr>
        <w:pStyle w:val="SingleTxt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предлагает государству-участнику представить свой шестой периодический доклад в июле 2023 года.</w:t>
      </w:r>
      <w:r>
        <w:t xml:space="preserve"> </w:t>
      </w:r>
      <w:r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6EEC6BB3" w14:textId="148A1131" w:rsidR="00C237A1" w:rsidRDefault="00C237A1" w:rsidP="00C237A1">
      <w:pPr>
        <w:pStyle w:val="SingleTxt"/>
        <w:rPr>
          <w:b/>
        </w:rPr>
      </w:pPr>
      <w:r>
        <w:t>55.</w:t>
      </w:r>
      <w:r>
        <w:tab/>
      </w:r>
      <w:r w:rsidRPr="009E130D">
        <w:rPr>
          <w:b/>
        </w:rPr>
        <w:t>Комитет просит государство-участника следовать согласованным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</w:t>
      </w:r>
      <w:hyperlink r:id="rId31" w:history="1">
        <w:r w:rsidRPr="00585196">
          <w:rPr>
            <w:rStyle w:val="Hyperlink"/>
            <w:b/>
          </w:rPr>
          <w:t>HRI/GEN/2/Rev.6</w:t>
        </w:r>
      </w:hyperlink>
      <w:r w:rsidRPr="009E130D">
        <w:rPr>
          <w:b/>
        </w:rPr>
        <w:t>, глава</w:t>
      </w:r>
      <w:r>
        <w:rPr>
          <w:b/>
        </w:rPr>
        <w:t> </w:t>
      </w:r>
      <w:r w:rsidRPr="009E130D">
        <w:rPr>
          <w:b/>
        </w:rPr>
        <w:t>I).</w:t>
      </w:r>
      <w:bookmarkEnd w:id="1"/>
    </w:p>
    <w:p w14:paraId="44B72B22" w14:textId="5F59A7DB" w:rsidR="005C3BED" w:rsidRPr="005C3BED" w:rsidRDefault="005C3BED" w:rsidP="005C3BED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76FF" wp14:editId="490D671B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02F6F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5C3BED" w:rsidRPr="005C3BED" w:rsidSect="00C237A1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9-13T10:13:00Z" w:initials="Start">
    <w:p w14:paraId="4C78186D" w14:textId="77777777" w:rsidR="00685710" w:rsidRPr="00C237A1" w:rsidRDefault="00685710">
      <w:pPr>
        <w:pStyle w:val="CommentText"/>
        <w:rPr>
          <w:lang w:val="en-US"/>
        </w:rPr>
      </w:pPr>
      <w:r>
        <w:fldChar w:fldCharType="begin"/>
      </w:r>
      <w:r w:rsidRPr="00C237A1">
        <w:rPr>
          <w:rStyle w:val="CommentReference"/>
          <w:lang w:val="en-US"/>
        </w:rPr>
        <w:instrText xml:space="preserve"> </w:instrText>
      </w:r>
      <w:r w:rsidRPr="00C237A1">
        <w:rPr>
          <w:lang w:val="en-US"/>
        </w:rPr>
        <w:instrText>PAGE \# "'Page: '#'</w:instrText>
      </w:r>
      <w:r w:rsidRPr="00C237A1">
        <w:rPr>
          <w:lang w:val="en-US"/>
        </w:rPr>
        <w:br/>
        <w:instrText>'"</w:instrText>
      </w:r>
      <w:r w:rsidRPr="00C237A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237A1">
        <w:rPr>
          <w:lang w:val="en-US"/>
        </w:rPr>
        <w:t>&lt;&lt;ODS JOB NO&gt;&gt;N1923700R&lt;&lt;ODS JOB NO&gt;&gt;</w:t>
      </w:r>
    </w:p>
    <w:p w14:paraId="364DF407" w14:textId="77777777" w:rsidR="00685710" w:rsidRPr="00C237A1" w:rsidRDefault="00685710">
      <w:pPr>
        <w:pStyle w:val="CommentText"/>
        <w:rPr>
          <w:lang w:val="en-US"/>
        </w:rPr>
      </w:pPr>
      <w:r w:rsidRPr="00C237A1">
        <w:rPr>
          <w:lang w:val="en-US"/>
        </w:rPr>
        <w:t>&lt;&lt;ODS DOC SYMBOL1&gt;&gt;CEDAW/C/MOZ/CO/3-5&lt;&lt;ODS DOC SYMBOL1&gt;&gt;</w:t>
      </w:r>
    </w:p>
    <w:p w14:paraId="67976FA1" w14:textId="77777777" w:rsidR="00685710" w:rsidRDefault="00685710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76FA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9E91" w14:textId="77777777" w:rsidR="008569C9" w:rsidRDefault="008569C9" w:rsidP="001824A1">
      <w:pPr>
        <w:spacing w:line="240" w:lineRule="auto"/>
      </w:pPr>
      <w:r>
        <w:separator/>
      </w:r>
    </w:p>
  </w:endnote>
  <w:endnote w:type="continuationSeparator" w:id="0">
    <w:p w14:paraId="7841DD99" w14:textId="77777777" w:rsidR="008569C9" w:rsidRDefault="008569C9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85710" w14:paraId="34744DA5" w14:textId="77777777" w:rsidTr="00685710">
      <w:tc>
        <w:tcPr>
          <w:tcW w:w="4920" w:type="dxa"/>
          <w:shd w:val="clear" w:color="auto" w:fill="auto"/>
          <w:vAlign w:val="bottom"/>
        </w:tcPr>
        <w:p w14:paraId="1CD68B75" w14:textId="77777777" w:rsidR="00685710" w:rsidRPr="00685710" w:rsidRDefault="00685710" w:rsidP="0068571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F03D16">
            <w:fldChar w:fldCharType="begin"/>
          </w:r>
          <w:r w:rsidR="00F03D16">
            <w:instrText xml:space="preserve"> NUMPAGES  \* Arabic  \* MERGEFORMAT </w:instrText>
          </w:r>
          <w:r w:rsidR="00F03D16">
            <w:fldChar w:fldCharType="separate"/>
          </w:r>
          <w:r>
            <w:rPr>
              <w:noProof/>
            </w:rPr>
            <w:t>4</w:t>
          </w:r>
          <w:r w:rsidR="00F03D16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DB0D8A6" w14:textId="46F91786" w:rsidR="00685710" w:rsidRPr="00C237A1" w:rsidRDefault="00685710" w:rsidP="00C237A1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t>19-12978</w:t>
          </w:r>
          <w:r w:rsidR="00C237A1">
            <w:rPr>
              <w:b w:val="0"/>
              <w:color w:val="000000"/>
              <w:sz w:val="14"/>
              <w:lang w:val="en-US"/>
            </w:rPr>
            <w:t xml:space="preserve"> X </w:t>
          </w:r>
        </w:p>
      </w:tc>
    </w:tr>
  </w:tbl>
  <w:p w14:paraId="6CD377CC" w14:textId="77777777" w:rsidR="00685710" w:rsidRPr="00685710" w:rsidRDefault="00685710" w:rsidP="00685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85710" w14:paraId="704FFA70" w14:textId="77777777" w:rsidTr="00685710">
      <w:tc>
        <w:tcPr>
          <w:tcW w:w="4920" w:type="dxa"/>
          <w:shd w:val="clear" w:color="auto" w:fill="auto"/>
          <w:vAlign w:val="bottom"/>
        </w:tcPr>
        <w:p w14:paraId="4B11ECAB" w14:textId="2753457C" w:rsidR="00685710" w:rsidRPr="00C237A1" w:rsidRDefault="00685710" w:rsidP="00685710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t>19-12978</w:t>
          </w:r>
          <w:r w:rsidR="00C237A1">
            <w:rPr>
              <w:b w:val="0"/>
              <w:color w:val="000000"/>
              <w:sz w:val="14"/>
              <w:lang w:val="en-US"/>
            </w:rPr>
            <w:t xml:space="preserve"> X</w:t>
          </w:r>
        </w:p>
      </w:tc>
      <w:tc>
        <w:tcPr>
          <w:tcW w:w="4920" w:type="dxa"/>
          <w:shd w:val="clear" w:color="auto" w:fill="auto"/>
          <w:vAlign w:val="bottom"/>
        </w:tcPr>
        <w:p w14:paraId="09B1427A" w14:textId="77777777" w:rsidR="00685710" w:rsidRPr="00685710" w:rsidRDefault="00685710" w:rsidP="0068571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F03D16">
            <w:fldChar w:fldCharType="begin"/>
          </w:r>
          <w:r w:rsidR="00F03D16">
            <w:instrText xml:space="preserve"> NUMPAGES  \* Arabic  \* MERGEFORMAT </w:instrText>
          </w:r>
          <w:r w:rsidR="00F03D16">
            <w:fldChar w:fldCharType="separate"/>
          </w:r>
          <w:r>
            <w:rPr>
              <w:noProof/>
            </w:rPr>
            <w:t>4</w:t>
          </w:r>
          <w:r w:rsidR="00F03D16">
            <w:rPr>
              <w:noProof/>
            </w:rPr>
            <w:fldChar w:fldCharType="end"/>
          </w:r>
        </w:p>
      </w:tc>
    </w:tr>
  </w:tbl>
  <w:p w14:paraId="47479CC3" w14:textId="77777777" w:rsidR="00685710" w:rsidRPr="00685710" w:rsidRDefault="00685710" w:rsidP="00685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685710" w14:paraId="3F5AB748" w14:textId="77777777" w:rsidTr="00685710">
      <w:tc>
        <w:tcPr>
          <w:tcW w:w="3830" w:type="dxa"/>
        </w:tcPr>
        <w:p w14:paraId="03AC66E8" w14:textId="3287B6CD" w:rsidR="00685710" w:rsidRDefault="00685710" w:rsidP="00685710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6C66E13" wp14:editId="1579B016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6" name="Picture 6" descr="https://undocs.org/m2/QRCode2.ashx?DS=CEDAW/C/MOZ/CO/3-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MOZ/CO/3-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19-12978 (R)</w:t>
          </w:r>
          <w:r>
            <w:rPr>
              <w:color w:val="010000"/>
            </w:rPr>
            <w:t xml:space="preserve"> </w:t>
          </w:r>
          <w:r w:rsidR="00C237A1">
            <w:rPr>
              <w:color w:val="010000"/>
              <w:lang w:val="en-US"/>
            </w:rPr>
            <w:t>X</w:t>
          </w:r>
          <w:r>
            <w:rPr>
              <w:color w:val="010000"/>
            </w:rPr>
            <w:t xml:space="preserve">   </w:t>
          </w:r>
          <w:r w:rsidR="00C237A1">
            <w:rPr>
              <w:color w:val="010000"/>
              <w:lang w:val="en-US"/>
            </w:rPr>
            <w:t>06</w:t>
          </w:r>
          <w:r>
            <w:rPr>
              <w:color w:val="010000"/>
            </w:rPr>
            <w:t>0919    130919</w:t>
          </w:r>
        </w:p>
        <w:p w14:paraId="07F47B6C" w14:textId="77777777" w:rsidR="00685710" w:rsidRPr="00685710" w:rsidRDefault="00685710" w:rsidP="0068571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*1912978*</w:t>
          </w:r>
        </w:p>
      </w:tc>
      <w:tc>
        <w:tcPr>
          <w:tcW w:w="4920" w:type="dxa"/>
        </w:tcPr>
        <w:p w14:paraId="492F86FF" w14:textId="77777777" w:rsidR="00685710" w:rsidRDefault="00685710" w:rsidP="0068571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78650605" wp14:editId="56A4D956">
                <wp:extent cx="2703582" cy="231648"/>
                <wp:effectExtent l="0" t="0" r="1905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362C69" w14:textId="77777777" w:rsidR="00685710" w:rsidRPr="00685710" w:rsidRDefault="00685710" w:rsidP="0068571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E2DA" w14:textId="19D53B1E" w:rsidR="008569C9" w:rsidRPr="00C237A1" w:rsidRDefault="00C237A1" w:rsidP="00C237A1">
      <w:pPr>
        <w:pStyle w:val="Footer"/>
        <w:spacing w:after="80"/>
        <w:ind w:left="792"/>
      </w:pPr>
      <w:r w:rsidRPr="00C237A1">
        <w:t>__________________</w:t>
      </w:r>
    </w:p>
  </w:footnote>
  <w:footnote w:type="continuationSeparator" w:id="0">
    <w:p w14:paraId="1AAD600D" w14:textId="37A3F2D7" w:rsidR="008569C9" w:rsidRPr="00C237A1" w:rsidRDefault="00C237A1" w:rsidP="00C237A1">
      <w:pPr>
        <w:pStyle w:val="Footer"/>
        <w:spacing w:after="80"/>
        <w:ind w:left="792"/>
      </w:pPr>
      <w:r w:rsidRPr="00C237A1">
        <w:t>__________________</w:t>
      </w:r>
    </w:p>
  </w:footnote>
  <w:footnote w:id="1">
    <w:p w14:paraId="7938F176" w14:textId="77777777" w:rsidR="00C237A1" w:rsidRPr="00AF0135" w:rsidRDefault="00C237A1" w:rsidP="00C237A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20A76">
        <w:tab/>
      </w:r>
      <w:r w:rsidRPr="00AF0135">
        <w:t>*</w:t>
      </w:r>
      <w:r w:rsidRPr="00AF0135">
        <w:tab/>
      </w:r>
      <w:r>
        <w:t>Приняты Комитетом на его семьдесят третьей сессии (1–19 июля 2019 года).</w:t>
      </w:r>
    </w:p>
  </w:footnote>
  <w:footnote w:id="2">
    <w:p w14:paraId="1894310F" w14:textId="77777777" w:rsidR="00C237A1" w:rsidRPr="00D929FE" w:rsidRDefault="00C237A1" w:rsidP="00C237A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D929FE">
        <w:t xml:space="preserve"> </w:t>
      </w:r>
      <w:r w:rsidRPr="00D929FE">
        <w:tab/>
      </w:r>
      <w:r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85710" w14:paraId="1329748F" w14:textId="77777777" w:rsidTr="0068571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6B5F189" w14:textId="1E297C59" w:rsidR="00685710" w:rsidRPr="00685710" w:rsidRDefault="00685710" w:rsidP="0068571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03D16">
            <w:rPr>
              <w:b/>
            </w:rPr>
            <w:t>CEDAW/C/MOZ/CO/3-5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CFFFA12" w14:textId="77777777" w:rsidR="00685710" w:rsidRDefault="00685710" w:rsidP="00685710">
          <w:pPr>
            <w:pStyle w:val="Header"/>
          </w:pPr>
        </w:p>
      </w:tc>
    </w:tr>
  </w:tbl>
  <w:p w14:paraId="38695AA1" w14:textId="77777777" w:rsidR="00685710" w:rsidRPr="00685710" w:rsidRDefault="00685710" w:rsidP="00685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85710" w14:paraId="7922ED1C" w14:textId="77777777" w:rsidTr="0068571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DE79784" w14:textId="77777777" w:rsidR="00685710" w:rsidRDefault="00685710" w:rsidP="0068571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8AC681D" w14:textId="245D54A4" w:rsidR="00685710" w:rsidRPr="00685710" w:rsidRDefault="00685710" w:rsidP="0068571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03D16">
            <w:rPr>
              <w:b/>
            </w:rPr>
            <w:t>CEDAW/C/MOZ/CO/3-5</w:t>
          </w:r>
          <w:r>
            <w:rPr>
              <w:b/>
            </w:rPr>
            <w:fldChar w:fldCharType="end"/>
          </w:r>
        </w:p>
      </w:tc>
    </w:tr>
  </w:tbl>
  <w:p w14:paraId="4BEF3D70" w14:textId="77777777" w:rsidR="00685710" w:rsidRPr="00685710" w:rsidRDefault="00685710" w:rsidP="00685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685710" w14:paraId="2D5D329E" w14:textId="77777777" w:rsidTr="0068571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7363D527" w14:textId="77777777" w:rsidR="00685710" w:rsidRPr="00685710" w:rsidRDefault="00685710" w:rsidP="0068571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7F5371F" w14:textId="77777777" w:rsidR="00685710" w:rsidRDefault="00685710" w:rsidP="00685710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5508723" w14:textId="77777777" w:rsidR="00685710" w:rsidRPr="00685710" w:rsidRDefault="00685710" w:rsidP="0068571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/C/MOZ/CO/3-5</w:t>
          </w:r>
        </w:p>
      </w:tc>
    </w:tr>
    <w:tr w:rsidR="00685710" w:rsidRPr="00585196" w14:paraId="0F0C0CE2" w14:textId="77777777" w:rsidTr="00685710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B6B9643" w14:textId="77777777" w:rsidR="00685710" w:rsidRPr="00685710" w:rsidRDefault="00685710" w:rsidP="0068571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C7F42F5" wp14:editId="09387AA9">
                <wp:extent cx="713232" cy="597103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707164" w14:textId="77777777" w:rsidR="00685710" w:rsidRPr="00685710" w:rsidRDefault="00685710" w:rsidP="0068571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9BAD648" w14:textId="77777777" w:rsidR="00685710" w:rsidRPr="00685710" w:rsidRDefault="00685710" w:rsidP="00685710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FBB5089" w14:textId="77777777" w:rsidR="00685710" w:rsidRPr="00C237A1" w:rsidRDefault="00685710" w:rsidP="00685710">
          <w:pPr>
            <w:pStyle w:val="Distribution"/>
            <w:rPr>
              <w:color w:val="000000"/>
              <w:lang w:val="en-US"/>
            </w:rPr>
          </w:pPr>
          <w:r w:rsidRPr="00C237A1">
            <w:rPr>
              <w:color w:val="000000"/>
              <w:lang w:val="en-US"/>
            </w:rPr>
            <w:t>Distr.: General</w:t>
          </w:r>
        </w:p>
        <w:p w14:paraId="300D8371" w14:textId="77777777" w:rsidR="00685710" w:rsidRPr="00C237A1" w:rsidRDefault="00685710" w:rsidP="00685710">
          <w:pPr>
            <w:pStyle w:val="Publication"/>
            <w:rPr>
              <w:color w:val="000000"/>
              <w:lang w:val="en-US"/>
            </w:rPr>
          </w:pPr>
          <w:r w:rsidRPr="00C237A1">
            <w:rPr>
              <w:color w:val="000000"/>
              <w:lang w:val="en-US"/>
            </w:rPr>
            <w:t>30 July 2019</w:t>
          </w:r>
        </w:p>
        <w:p w14:paraId="11786091" w14:textId="77777777" w:rsidR="00685710" w:rsidRPr="00C237A1" w:rsidRDefault="00685710" w:rsidP="00685710">
          <w:pPr>
            <w:rPr>
              <w:color w:val="000000"/>
              <w:lang w:val="en-US"/>
            </w:rPr>
          </w:pPr>
          <w:r w:rsidRPr="00C237A1">
            <w:rPr>
              <w:color w:val="000000"/>
              <w:lang w:val="en-US"/>
            </w:rPr>
            <w:t>Russian</w:t>
          </w:r>
        </w:p>
        <w:p w14:paraId="521D5E56" w14:textId="77777777" w:rsidR="00685710" w:rsidRPr="00C237A1" w:rsidRDefault="00685710" w:rsidP="00685710">
          <w:pPr>
            <w:pStyle w:val="Original"/>
            <w:rPr>
              <w:color w:val="000000"/>
              <w:lang w:val="en-US"/>
            </w:rPr>
          </w:pPr>
          <w:r w:rsidRPr="00C237A1">
            <w:rPr>
              <w:color w:val="000000"/>
              <w:lang w:val="en-US"/>
            </w:rPr>
            <w:t>Original: English</w:t>
          </w:r>
        </w:p>
        <w:p w14:paraId="4BB8E3E8" w14:textId="77777777" w:rsidR="00685710" w:rsidRPr="00C237A1" w:rsidRDefault="00685710" w:rsidP="00685710">
          <w:pPr>
            <w:rPr>
              <w:lang w:val="en-US"/>
            </w:rPr>
          </w:pPr>
        </w:p>
      </w:tc>
    </w:tr>
  </w:tbl>
  <w:p w14:paraId="5C56E628" w14:textId="77777777" w:rsidR="00685710" w:rsidRPr="00C237A1" w:rsidRDefault="00685710" w:rsidP="0068571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C08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defaultTabStop w:val="720"/>
  <w:autoHyphenation/>
  <w:doNotHyphenateCaps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2978*"/>
    <w:docVar w:name="CreationDt" w:val="13/09/2019 10:12 AM"/>
    <w:docVar w:name="DocCategory" w:val="Doc"/>
    <w:docVar w:name="DocType" w:val="Final"/>
    <w:docVar w:name="DutyStation" w:val="New York"/>
    <w:docVar w:name="FooterJN" w:val="19-12978"/>
    <w:docVar w:name="jobn" w:val="19-12978 (R)"/>
    <w:docVar w:name="jobnDT" w:val="19-12978 (R)   130919"/>
    <w:docVar w:name="jobnDTDT" w:val="19-12978 (R)   130919   130919"/>
    <w:docVar w:name="JobNo" w:val="1912978R"/>
    <w:docVar w:name="JobNo2" w:val="1923700R"/>
    <w:docVar w:name="LocalDrive" w:val="0"/>
    <w:docVar w:name="OandT" w:val=" "/>
    <w:docVar w:name="sss1" w:val="CEDAW/C/MOZ/CO/3-5"/>
    <w:docVar w:name="sss2" w:val="-"/>
    <w:docVar w:name="Symbol1" w:val="CEDAW/C/MOZ/CO/3-5"/>
    <w:docVar w:name="Symbol2" w:val="-"/>
  </w:docVars>
  <w:rsids>
    <w:rsidRoot w:val="008569C9"/>
    <w:rsid w:val="00057473"/>
    <w:rsid w:val="000A1A1B"/>
    <w:rsid w:val="000F34D2"/>
    <w:rsid w:val="0016711E"/>
    <w:rsid w:val="001824A1"/>
    <w:rsid w:val="001B0786"/>
    <w:rsid w:val="001F427A"/>
    <w:rsid w:val="001F7371"/>
    <w:rsid w:val="00210AF4"/>
    <w:rsid w:val="00213A02"/>
    <w:rsid w:val="00215A7D"/>
    <w:rsid w:val="002C029D"/>
    <w:rsid w:val="002D2C61"/>
    <w:rsid w:val="003218EF"/>
    <w:rsid w:val="00323373"/>
    <w:rsid w:val="00333059"/>
    <w:rsid w:val="0037412F"/>
    <w:rsid w:val="003807EF"/>
    <w:rsid w:val="0038495D"/>
    <w:rsid w:val="003F7347"/>
    <w:rsid w:val="004240B1"/>
    <w:rsid w:val="004275D7"/>
    <w:rsid w:val="004279A5"/>
    <w:rsid w:val="00431502"/>
    <w:rsid w:val="0047137E"/>
    <w:rsid w:val="004731F9"/>
    <w:rsid w:val="00542D6F"/>
    <w:rsid w:val="005644C2"/>
    <w:rsid w:val="00571999"/>
    <w:rsid w:val="00585196"/>
    <w:rsid w:val="005A2266"/>
    <w:rsid w:val="005B58D8"/>
    <w:rsid w:val="005C3BED"/>
    <w:rsid w:val="005C71CD"/>
    <w:rsid w:val="00635FF0"/>
    <w:rsid w:val="00643F79"/>
    <w:rsid w:val="00685710"/>
    <w:rsid w:val="006B0972"/>
    <w:rsid w:val="006D4969"/>
    <w:rsid w:val="006E5CA5"/>
    <w:rsid w:val="00705A84"/>
    <w:rsid w:val="007D2E54"/>
    <w:rsid w:val="0080025F"/>
    <w:rsid w:val="00824E97"/>
    <w:rsid w:val="00840363"/>
    <w:rsid w:val="00843551"/>
    <w:rsid w:val="008569C9"/>
    <w:rsid w:val="008E0493"/>
    <w:rsid w:val="008E3D70"/>
    <w:rsid w:val="00962CA9"/>
    <w:rsid w:val="0096420F"/>
    <w:rsid w:val="009A1A35"/>
    <w:rsid w:val="009C4F1A"/>
    <w:rsid w:val="009F077A"/>
    <w:rsid w:val="00A03D74"/>
    <w:rsid w:val="00A57ABA"/>
    <w:rsid w:val="00A72FF5"/>
    <w:rsid w:val="00A95F0D"/>
    <w:rsid w:val="00AA54FF"/>
    <w:rsid w:val="00B306AF"/>
    <w:rsid w:val="00B535EE"/>
    <w:rsid w:val="00B745E4"/>
    <w:rsid w:val="00BB2450"/>
    <w:rsid w:val="00BD3468"/>
    <w:rsid w:val="00C0440C"/>
    <w:rsid w:val="00C237A1"/>
    <w:rsid w:val="00C26FCC"/>
    <w:rsid w:val="00C41769"/>
    <w:rsid w:val="00C45C26"/>
    <w:rsid w:val="00C54064"/>
    <w:rsid w:val="00CA4BB0"/>
    <w:rsid w:val="00D57DBD"/>
    <w:rsid w:val="00D70B5B"/>
    <w:rsid w:val="00D760D3"/>
    <w:rsid w:val="00D82BC5"/>
    <w:rsid w:val="00D96F14"/>
    <w:rsid w:val="00DF78D1"/>
    <w:rsid w:val="00E144A8"/>
    <w:rsid w:val="00E25037"/>
    <w:rsid w:val="00E26F1C"/>
    <w:rsid w:val="00E600EA"/>
    <w:rsid w:val="00E720E8"/>
    <w:rsid w:val="00E7414B"/>
    <w:rsid w:val="00EA0934"/>
    <w:rsid w:val="00EC2A36"/>
    <w:rsid w:val="00ED31CE"/>
    <w:rsid w:val="00F03D16"/>
    <w:rsid w:val="00F115FC"/>
    <w:rsid w:val="00F2422B"/>
    <w:rsid w:val="00F63321"/>
    <w:rsid w:val="00F81CC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D32AB43"/>
  <w15:chartTrackingRefBased/>
  <w15:docId w15:val="{430B5805-15F1-4240-B827-4714E1E0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9C4F1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C4F1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9C4F1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4F1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9C4F1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9C4F1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9C4F1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C4F1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C4F1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C4F1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9C4F1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C4F1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C4F1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9C4F1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9C4F1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9C4F1A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9C4F1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9C4F1A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9C4F1A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9C4F1A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9C4F1A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9C4F1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9C4F1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9C4F1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9C4F1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9C4F1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9C4F1A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"/>
    <w:basedOn w:val="DefaultParagraphFont"/>
    <w:qFormat/>
    <w:rsid w:val="009C4F1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9C4F1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qFormat/>
    <w:rsid w:val="009C4F1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9C4F1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9C4F1A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4F1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4F1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C4F1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9C4F1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9C4F1A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9C4F1A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9C4F1A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9C4F1A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9C4F1A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9C4F1A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9C4F1A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9C4F1A"/>
    <w:rPr>
      <w:szCs w:val="20"/>
    </w:rPr>
  </w:style>
  <w:style w:type="paragraph" w:customStyle="1" w:styleId="Publication">
    <w:name w:val="Publication"/>
    <w:basedOn w:val="Normal"/>
    <w:next w:val="Normal"/>
    <w:qFormat/>
    <w:rsid w:val="009C4F1A"/>
  </w:style>
  <w:style w:type="paragraph" w:customStyle="1" w:styleId="ReleaseDate">
    <w:name w:val="ReleaseDate"/>
    <w:basedOn w:val="Normal"/>
    <w:next w:val="Normal"/>
    <w:qFormat/>
    <w:rsid w:val="009C4F1A"/>
    <w:rPr>
      <w:szCs w:val="20"/>
    </w:rPr>
  </w:style>
  <w:style w:type="paragraph" w:customStyle="1" w:styleId="Small">
    <w:name w:val="Small"/>
    <w:basedOn w:val="Normal"/>
    <w:next w:val="Normal"/>
    <w:qFormat/>
    <w:rsid w:val="009C4F1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9C4F1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9C4F1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9C4F1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9C4F1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9C4F1A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B306AF"/>
  </w:style>
  <w:style w:type="paragraph" w:customStyle="1" w:styleId="SRMeetingInfo">
    <w:name w:val="SR_Meeting_Info"/>
    <w:next w:val="Normal"/>
    <w:qFormat/>
    <w:rsid w:val="0080025F"/>
    <w:pPr>
      <w:spacing w:after="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7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71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1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rsid w:val="00C237A1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237A1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2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MOZ/Q/3-5" TargetMode="External"/><Relationship Id="rId26" Type="http://schemas.openxmlformats.org/officeDocument/2006/relationships/hyperlink" Target="https://undocs.org/ru/S/RES/2122%20(2013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MOZ/CO/2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SR.1693" TargetMode="External"/><Relationship Id="rId25" Type="http://schemas.openxmlformats.org/officeDocument/2006/relationships/hyperlink" Target="https://undocs.org/ru/S/RES/1889%20(2009)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692" TargetMode="External"/><Relationship Id="rId20" Type="http://schemas.openxmlformats.org/officeDocument/2006/relationships/hyperlink" Target="https://undocs.org/ru/A/65/38" TargetMode="External"/><Relationship Id="rId29" Type="http://schemas.openxmlformats.org/officeDocument/2006/relationships/hyperlink" Target="https://undocs.org/ru/CEDAW/C/MOZ/CO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S/RES/1888%20(2009)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MOZ/3-5" TargetMode="External"/><Relationship Id="rId23" Type="http://schemas.openxmlformats.org/officeDocument/2006/relationships/hyperlink" Target="https://undocs.org/ru/S/RES/1820%20(2008)" TargetMode="External"/><Relationship Id="rId28" Type="http://schemas.openxmlformats.org/officeDocument/2006/relationships/hyperlink" Target="https://undocs.org/ru/CEDAW/C/MOZ/CO/2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MOZ/Q/3-5/Add.1" TargetMode="External"/><Relationship Id="rId31" Type="http://schemas.openxmlformats.org/officeDocument/2006/relationships/hyperlink" Target="https://undocs.org/ru/HRI/GEN/2/Rev.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S/RES/1325%20(2000)" TargetMode="External"/><Relationship Id="rId27" Type="http://schemas.openxmlformats.org/officeDocument/2006/relationships/hyperlink" Target="https://undocs.org/ru/S/RES/2242%20(2015)" TargetMode="External"/><Relationship Id="rId30" Type="http://schemas.openxmlformats.org/officeDocument/2006/relationships/hyperlink" Target="https://undocs.org/ru/S/RES/21%20(1994)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6598</Words>
  <Characters>40582</Characters>
  <Application>Microsoft Office Word</Application>
  <DocSecurity>0</DocSecurity>
  <Lines>1193</Lines>
  <Paragraphs>320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Комитет по ликвидации дискриминации в отношении женщин</vt:lpstr>
      <vt:lpstr>Заключительные замечания по объединенным третьему, четвертому и пятому периоди</vt:lpstr>
      <vt:lpstr>A.	Введение</vt:lpstr>
      <vt:lpstr>B.	Позитивные аспекты </vt:lpstr>
      <vt:lpstr>C.	Цели в области устойчивого развития</vt:lpstr>
      <vt:lpstr>D.	Парламент</vt:lpstr>
      <vt:lpstr>E.	Основные вопросы, вызывающие обеспокоенность, и рекомендации</vt:lpstr>
      <vt:lpstr>    Конституционная, законодательная и нормативная база</vt:lpstr>
      <vt:lpstr>    Определение дискриминации в отношении женщин</vt:lpstr>
      <vt:lpstr>    Доступ к правосудию</vt:lpstr>
      <vt:lpstr>    Женщины и мир и безопасность</vt:lpstr>
      <vt:lpstr>    Национальные механизмы по улучшению положения женщин</vt:lpstr>
      <vt:lpstr>    Национальные правозащитные учреждения</vt:lpstr>
      <vt:lpstr>    Временные специальные меры</vt:lpstr>
      <vt:lpstr>    Стереотипы и вредные виды практики</vt:lpstr>
      <vt:lpstr>    Гендерное насилие в отношении женщин</vt:lpstr>
      <vt:lpstr>    Торговля людьми и эксплуатация проституции </vt:lpstr>
      <vt:lpstr>    Участие в политической и общественной жизни</vt:lpstr>
      <vt:lpstr>    Образование</vt:lpstr>
      <vt:lpstr>    Занятость </vt:lpstr>
      <vt:lpstr>    Здравоохранение</vt:lpstr>
      <vt:lpstr>    Экономические и социальные льготы</vt:lpstr>
      <vt:lpstr>    Сельские женщины </vt:lpstr>
      <vt:lpstr>    Группы женщин, находящиеся в неблагоприятном положении</vt:lpstr>
      <vt:lpstr>    Гендерная проблематика и изменение климата</vt:lpstr>
      <vt:lpstr>    Брак и семейные отношения</vt:lpstr>
      <vt:lpstr>    Сбор и анализ данных</vt:lpstr>
      <vt:lpstr>    Поправка к пункту 1 статьи 20 Конвенции </vt:lpstr>
      <vt:lpstr>    Пекинская декларация и Платформа действий </vt:lpstr>
      <vt:lpstr>    Распространение </vt:lpstr>
      <vt:lpstr>    Техническая помощь </vt:lpstr>
      <vt:lpstr>    Ратификация других договоров </vt:lpstr>
      <vt:lpstr>    Последующая деятельность по выполнению заключительных замечаний</vt:lpstr>
      <vt:lpstr>    Подготовка следующего периодического доклада </vt:lpstr>
    </vt:vector>
  </TitlesOfParts>
  <Company/>
  <LinksUpToDate>false</LinksUpToDate>
  <CharactersWithSpaces>46860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Korshunova</dc:creator>
  <cp:keywords/>
  <dc:description/>
  <cp:lastModifiedBy>Natalia Korshunova</cp:lastModifiedBy>
  <cp:revision>9</cp:revision>
  <cp:lastPrinted>2019-09-13T15:20:00Z</cp:lastPrinted>
  <dcterms:created xsi:type="dcterms:W3CDTF">2019-09-13T14:22:00Z</dcterms:created>
  <dcterms:modified xsi:type="dcterms:W3CDTF">2019-09-13T15:20:00Z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1912978R</vt:lpwstr>
  </property>
  <property fmtid="{D5CDD505-2E9C-101B-9397-08002B2CF9AE}" pid="3" name="ODSRefJobNo">
    <vt:lpwstr>1923700R</vt:lpwstr>
  </property>
  <property fmtid="{D5CDD505-2E9C-101B-9397-08002B2CF9AE}" pid="4" name="Symbol1">
    <vt:lpwstr>CEDAW/C/MOZ/CO/3-5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30 July 2019</vt:lpwstr>
  </property>
  <property fmtid="{D5CDD505-2E9C-101B-9397-08002B2CF9AE}" pid="14" name="Original">
    <vt:lpwstr>English</vt:lpwstr>
  </property>
  <property fmtid="{D5CDD505-2E9C-101B-9397-08002B2CF9AE}" pid="15" name="Release Date">
    <vt:lpwstr>130919</vt:lpwstr>
  </property>
  <property fmtid="{D5CDD505-2E9C-101B-9397-08002B2CF9AE}" pid="16" name="Title1">
    <vt:lpwstr>		Заключительные замечания по объединенным третьему, четвертому и пятому периодическим докладам Мозамбика*_x000d_</vt:lpwstr>
  </property>
</Properties>
</file>