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019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01954" w:rsidP="00201954">
            <w:pPr>
              <w:jc w:val="right"/>
            </w:pPr>
            <w:r w:rsidRPr="00201954">
              <w:rPr>
                <w:sz w:val="40"/>
              </w:rPr>
              <w:t>CERD</w:t>
            </w:r>
            <w:r>
              <w:t>/C/KGZ/CO/8-10</w:t>
            </w:r>
          </w:p>
        </w:tc>
      </w:tr>
      <w:tr w:rsidR="002D5AAC" w:rsidRPr="008A16AA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01954" w:rsidRDefault="00201954" w:rsidP="008D2AAD">
            <w:pPr>
              <w:spacing w:before="240"/>
              <w:rPr>
                <w:lang w:val="en-US"/>
              </w:rPr>
            </w:pPr>
            <w:r w:rsidRPr="00201954">
              <w:rPr>
                <w:lang w:val="en-US"/>
              </w:rPr>
              <w:t>Distr.: General</w:t>
            </w:r>
          </w:p>
          <w:p w:rsidR="00201954" w:rsidRPr="00201954" w:rsidRDefault="00201954" w:rsidP="00201954">
            <w:pPr>
              <w:spacing w:line="240" w:lineRule="exact"/>
              <w:rPr>
                <w:lang w:val="en-US"/>
              </w:rPr>
            </w:pPr>
            <w:r w:rsidRPr="00201954">
              <w:rPr>
                <w:lang w:val="en-US"/>
              </w:rPr>
              <w:t>30 May 2018</w:t>
            </w:r>
          </w:p>
          <w:p w:rsidR="00201954" w:rsidRPr="00201954" w:rsidRDefault="00201954" w:rsidP="00201954">
            <w:pPr>
              <w:spacing w:line="240" w:lineRule="exact"/>
              <w:rPr>
                <w:lang w:val="en-US"/>
              </w:rPr>
            </w:pPr>
            <w:r w:rsidRPr="00201954">
              <w:rPr>
                <w:lang w:val="en-US"/>
              </w:rPr>
              <w:t>Russian</w:t>
            </w:r>
          </w:p>
          <w:p w:rsidR="00201954" w:rsidRPr="00201954" w:rsidRDefault="00201954" w:rsidP="00201954">
            <w:pPr>
              <w:spacing w:line="240" w:lineRule="exact"/>
              <w:rPr>
                <w:lang w:val="en-US"/>
              </w:rPr>
            </w:pPr>
            <w:r w:rsidRPr="00201954">
              <w:rPr>
                <w:lang w:val="en-US"/>
              </w:rPr>
              <w:t>Original: English</w:t>
            </w:r>
          </w:p>
        </w:tc>
      </w:tr>
    </w:tbl>
    <w:p w:rsidR="00201954" w:rsidRPr="00201954" w:rsidRDefault="00201954" w:rsidP="00201954">
      <w:pPr>
        <w:pStyle w:val="SingleTxtGR"/>
        <w:spacing w:before="120"/>
        <w:ind w:hanging="1134"/>
        <w:rPr>
          <w:b/>
          <w:bCs/>
        </w:rPr>
      </w:pPr>
      <w:r w:rsidRPr="00201954">
        <w:rPr>
          <w:b/>
          <w:sz w:val="24"/>
        </w:rPr>
        <w:t>Комитет по ликвидации расовой дискриминации</w:t>
      </w:r>
      <w:r w:rsidRPr="00201954">
        <w:rPr>
          <w:b/>
        </w:rPr>
        <w:t xml:space="preserve"> </w:t>
      </w:r>
    </w:p>
    <w:p w:rsidR="00201954" w:rsidRPr="00201954" w:rsidRDefault="00201954" w:rsidP="00201954">
      <w:pPr>
        <w:pStyle w:val="HChGR"/>
      </w:pPr>
      <w:r w:rsidRPr="00201954">
        <w:tab/>
      </w:r>
      <w:r w:rsidRPr="00201954">
        <w:tab/>
        <w:t>Заключительные замечания по объединенным восьмому</w:t>
      </w:r>
      <w:r w:rsidR="008A16AA" w:rsidRPr="008A16AA">
        <w:t>–</w:t>
      </w:r>
      <w:r w:rsidRPr="00201954">
        <w:t>десятому периодическим докладам Кыргызстана</w:t>
      </w:r>
      <w:r w:rsidRPr="00201954">
        <w:rPr>
          <w:b w:val="0"/>
          <w:bCs/>
          <w:sz w:val="20"/>
        </w:rPr>
        <w:footnoteReference w:customMarkFollows="1" w:id="1"/>
        <w:t>*</w:t>
      </w:r>
    </w:p>
    <w:p w:rsidR="00201954" w:rsidRPr="00201954" w:rsidRDefault="00201954" w:rsidP="00201954">
      <w:pPr>
        <w:pStyle w:val="SingleTxtGR"/>
      </w:pPr>
      <w:r w:rsidRPr="00201954">
        <w:t>1.</w:t>
      </w:r>
      <w:r w:rsidRPr="00201954">
        <w:tab/>
        <w:t>Комитет рассмотрел объединенные восьмой</w:t>
      </w:r>
      <w:r w:rsidR="008A16AA" w:rsidRPr="008A16AA">
        <w:t>–</w:t>
      </w:r>
      <w:r w:rsidRPr="00201954">
        <w:t>десятый периодические доклады Кыргызстана (CERD/C/KGZ/8-10), представленные в одном документе, на своих</w:t>
      </w:r>
      <w:r>
        <w:br/>
      </w:r>
      <w:r w:rsidRPr="00201954">
        <w:t xml:space="preserve">2618-м и 2619-м заседаниях (см. CERD/C/SR.2618 и 2619), состоявшихся </w:t>
      </w:r>
      <w:r>
        <w:br/>
      </w:r>
      <w:r w:rsidRPr="00201954">
        <w:t>24 и 25 апреля 2018 года. На своем 2632-м заседании, состоявшемся 3 мая 2018 года, он принял следующие заключительные замечания.</w:t>
      </w:r>
    </w:p>
    <w:p w:rsidR="00201954" w:rsidRPr="00201954" w:rsidRDefault="00201954" w:rsidP="00201954">
      <w:pPr>
        <w:pStyle w:val="H1GR"/>
      </w:pPr>
      <w:r>
        <w:tab/>
      </w:r>
      <w:r w:rsidRPr="00201954">
        <w:t>A.</w:t>
      </w:r>
      <w:r w:rsidRPr="00201954">
        <w:tab/>
        <w:t>Введение</w:t>
      </w:r>
    </w:p>
    <w:p w:rsidR="00201954" w:rsidRPr="00201954" w:rsidRDefault="00201954" w:rsidP="00201954">
      <w:pPr>
        <w:pStyle w:val="SingleTxtGR"/>
      </w:pPr>
      <w:r w:rsidRPr="00201954">
        <w:t>2.</w:t>
      </w:r>
      <w:r w:rsidRPr="00201954">
        <w:tab/>
        <w:t>Комитет приветствует своевременное представление восьмого</w:t>
      </w:r>
      <w:r w:rsidR="008A16AA" w:rsidRPr="008A16AA">
        <w:t>–</w:t>
      </w:r>
      <w:r w:rsidRPr="00201954">
        <w:t>десятого периодических докладов государства-участника, в которых содержатся ответы в связи с озабоченностями, высказанными Комитетом в его предыдущих заключительных замечаниях (CERD/C/KGZ/CO/5-7). Комитет приветствует открытый и конструктивный диалог, состоявшийся с делегацией государства-участника.</w:t>
      </w:r>
    </w:p>
    <w:p w:rsidR="00201954" w:rsidRPr="00201954" w:rsidRDefault="00201954" w:rsidP="00201954">
      <w:pPr>
        <w:pStyle w:val="H1GR"/>
      </w:pPr>
      <w:r>
        <w:tab/>
      </w:r>
      <w:r w:rsidRPr="00201954">
        <w:t>B.</w:t>
      </w:r>
      <w:r w:rsidRPr="00201954">
        <w:tab/>
        <w:t>Позитивные аспекты</w:t>
      </w:r>
    </w:p>
    <w:p w:rsidR="00201954" w:rsidRPr="00201954" w:rsidRDefault="00201954" w:rsidP="00201954">
      <w:pPr>
        <w:pStyle w:val="SingleTxtGR"/>
      </w:pPr>
      <w:r w:rsidRPr="00201954">
        <w:t>3.</w:t>
      </w:r>
      <w:r w:rsidRPr="00201954">
        <w:tab/>
        <w:t>Комитет приветствует следующие меры, принятые государством-участником:</w:t>
      </w:r>
    </w:p>
    <w:p w:rsidR="00201954" w:rsidRPr="00201954" w:rsidRDefault="00201954" w:rsidP="00201954">
      <w:pPr>
        <w:pStyle w:val="SingleTxtGR"/>
      </w:pPr>
      <w:r w:rsidRPr="00201954">
        <w:tab/>
        <w:t>а)</w:t>
      </w:r>
      <w:r w:rsidRPr="00201954">
        <w:tab/>
        <w:t>усилия, предпринятые в период 2014–2017 годов с целью сокращения числа лиц без гражданства, в том числе путем уменьшения срока проживания в стране, требуемого для натурализации признанных беженцев, с пяти до трех лет;</w:t>
      </w:r>
    </w:p>
    <w:p w:rsidR="00201954" w:rsidRPr="00201954" w:rsidRDefault="00201954" w:rsidP="00201954">
      <w:pPr>
        <w:pStyle w:val="SingleTxtGR"/>
      </w:pPr>
      <w:r w:rsidRPr="00201954">
        <w:tab/>
        <w:t>b)</w:t>
      </w:r>
      <w:r w:rsidRPr="00201954">
        <w:tab/>
        <w:t>осуществление Национальной стратеги</w:t>
      </w:r>
      <w:r>
        <w:t xml:space="preserve">и устойчивого развития </w:t>
      </w:r>
      <w:r>
        <w:br/>
        <w:t>(на 2013–</w:t>
      </w:r>
      <w:r w:rsidRPr="00201954">
        <w:t>2017 годы);</w:t>
      </w:r>
    </w:p>
    <w:p w:rsidR="00201954" w:rsidRPr="00201954" w:rsidRDefault="00201954" w:rsidP="00201954">
      <w:pPr>
        <w:pStyle w:val="SingleTxtGR"/>
      </w:pPr>
      <w:r w:rsidRPr="00201954">
        <w:tab/>
        <w:t>c)</w:t>
      </w:r>
      <w:r w:rsidRPr="00201954">
        <w:tab/>
        <w:t>разработку Концепции укрепления единства народа и межэтнических отношений в Кыргызской Республике на период 2013–2017 годов и создание Государственного агентства по делам местного самоуправления и межэтнических отношений для осуществления 36 приоритетных мер, определенных в Концепции.</w:t>
      </w:r>
    </w:p>
    <w:p w:rsidR="00201954" w:rsidRPr="00201954" w:rsidRDefault="00201954" w:rsidP="00201954">
      <w:pPr>
        <w:pStyle w:val="H1GR"/>
      </w:pPr>
      <w:r>
        <w:tab/>
      </w:r>
      <w:r w:rsidRPr="00201954">
        <w:t>C.</w:t>
      </w:r>
      <w:r w:rsidRPr="00201954">
        <w:tab/>
        <w:t>Вопросы, вызывающие обеспокоенность, и рекомендации</w:t>
      </w:r>
      <w:r w:rsidRPr="00201954">
        <w:tab/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Применимость Конвенции</w:t>
      </w:r>
    </w:p>
    <w:p w:rsidR="00201954" w:rsidRPr="00201954" w:rsidRDefault="00201954" w:rsidP="00201954">
      <w:pPr>
        <w:pStyle w:val="SingleTxtGR"/>
      </w:pPr>
      <w:r w:rsidRPr="00201954">
        <w:t>4.</w:t>
      </w:r>
      <w:r w:rsidRPr="00201954">
        <w:tab/>
        <w:t xml:space="preserve">Комитет принимает к сведению заявление государства-участника о том, что Конвенция имеет прямое применение в национальной правовой системе, но выражает обеспокоенность по поводу отсутствия примеров дел о расовой дискриминации, в </w:t>
      </w:r>
      <w:r w:rsidRPr="00201954">
        <w:lastRenderedPageBreak/>
        <w:t>рамках рассмотрения которых национальные суды ссылались на положения Конвенции или применяли их (статья 1).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5.</w:t>
      </w:r>
      <w:r w:rsidRPr="00201954">
        <w:tab/>
      </w:r>
      <w:r w:rsidRPr="00201954">
        <w:rPr>
          <w:b/>
        </w:rPr>
        <w:t>Комитет рекомендует государству-участнику активизировать усилия по обеспечению прохождения судьями, прокурорами и адвокатами подготовки по положениям Конвенции, с тем чтобы они могли применять их в рамках соответствующих дел. Комитет просит государство-участник включить в свой следующий периодический доклад конкретную информацию о случаях применения Конвенции национальными судами и получении физическими лицами доступа к средствам правовой защиты в связи с нарушениями прав, закрепленных в Конвенции.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Национальное правозащитное учреждение</w:t>
      </w:r>
    </w:p>
    <w:p w:rsidR="00201954" w:rsidRPr="00201954" w:rsidRDefault="00201954" w:rsidP="00201954">
      <w:pPr>
        <w:pStyle w:val="SingleTxtGR"/>
      </w:pPr>
      <w:r w:rsidRPr="00201954">
        <w:t>6.</w:t>
      </w:r>
      <w:r w:rsidRPr="00201954">
        <w:tab/>
        <w:t>Комитет обеспокоен тем, что Управление Омбудсмена Кыргызской Республики (Акыйкатчы) еще не полностью соответствует принципам, касающимся статуса национальных учреждений по поощрению и защите прав человека (Парижские принципы). Комитет также обеспокоен незначительным количеством жалоб на дискриминацию по признаку расы или этнического происхождения, которые были поданы в это Управление (статья 2).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7.</w:t>
      </w:r>
      <w:r w:rsidRPr="00201954">
        <w:tab/>
      </w:r>
      <w:r w:rsidRPr="00201954">
        <w:rPr>
          <w:b/>
        </w:rPr>
        <w:t>Комитет рекомендует государству-участнику ускорить законодательный процесс с целью приведения Управления Омбудсмена в полное соответствие с Парижскими принципами. Кроме того, Комитет рекомендует государству-участнику принять эффективные меры по повышению уровня информированности о работе, проводимой Управлением, и возможности подачи жалоб на дискриминацию по признаку расы или этнического происхождения, а также обеспечить, чтобы оно располагало необходимыми ресурсами для эффективного выполнения своей роли. Комитет обращает внимание государства-участника на свою общую рекомендацию № 17 (1993) о создании национальных институтов по содействию осуществлению Конвенции.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Правозащитники и организации гражданского общества</w:t>
      </w:r>
    </w:p>
    <w:p w:rsidR="00201954" w:rsidRPr="00201954" w:rsidRDefault="00201954" w:rsidP="00201954">
      <w:pPr>
        <w:pStyle w:val="SingleTxtGR"/>
      </w:pPr>
      <w:r w:rsidRPr="00201954">
        <w:t>8.</w:t>
      </w:r>
      <w:r w:rsidRPr="00201954">
        <w:tab/>
        <w:t xml:space="preserve">Комитет обеспокоен участившимися случаями преследования организаций гражданского общества, правозащитников и журналистов, в том числе тех, которые следят за положением этнических меньшинств и представляют соответствующую информацию, в результате чего им приходится работать в крайне неблагоприятных условиях. Комитет также обеспокоен тем, что государство-участник до сих пор не восстановило права Азимжана Аскарова, отбывающего наказание в виде пожизненного тюремного заключения после повторного слушания дела в суде, которое, как сообщается, было проведено без соблюдения международных стандартов, касающихся справедливого судебного разбирательства. Кроме того, Комитет обеспокоен включением некоторых правозащитных организаций в список экстремистских организаций (статья 2).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9.</w:t>
      </w:r>
      <w:r w:rsidRPr="00201954">
        <w:tab/>
      </w:r>
      <w:r w:rsidRPr="00201954">
        <w:rPr>
          <w:b/>
        </w:rPr>
        <w:t>Комитет рекомендует государству-участнику: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а)</w:t>
      </w:r>
      <w:r w:rsidRPr="00201954">
        <w:rPr>
          <w:b/>
        </w:rPr>
        <w:tab/>
        <w:t>обеспечивать оперативное и тщательное расследование всех сообщений о случаях запугивания и преследования организаций гражданского общества, правозащитников и журналистов и привлекать виновных к ответственности;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b)</w:t>
      </w:r>
      <w:r w:rsidRPr="00201954">
        <w:rPr>
          <w:b/>
        </w:rPr>
        <w:tab/>
        <w:t>принять эффективные меры для обеспечения того, чтобы организации гражданского общества, правозащитники и журналисты, включая тех, кто занимается правами этнических меньшинств, могли эффективно выполнять свою работу, не опасаясь репрессий;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c)</w:t>
      </w:r>
      <w:r w:rsidRPr="00201954">
        <w:rPr>
          <w:b/>
        </w:rPr>
        <w:tab/>
        <w:t xml:space="preserve">выполнить Соображения Комитета по правам человека по делу Азимжана Аскарова (CCPR/C/116/D/2231/2012) и рассмотреть возможность его помилования по гуманитарным соображениям, приняв во внимание его возраст и ухудшение состояния здоровья;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lastRenderedPageBreak/>
        <w:tab/>
        <w:t>d)</w:t>
      </w:r>
      <w:r w:rsidRPr="00201954">
        <w:rPr>
          <w:b/>
        </w:rPr>
        <w:tab/>
        <w:t xml:space="preserve">воздерживаться от включения организаций, занимающихся поощрением и защитой прав человека, в список экстремистских организаций, а также обеспечить наличие эффективных процессуальных гарантий от произвольного включения в этот список, в том числе путем внесения необходимых поправок в </w:t>
      </w:r>
      <w:r w:rsidR="008A16AA">
        <w:rPr>
          <w:b/>
        </w:rPr>
        <w:t>з</w:t>
      </w:r>
      <w:r w:rsidRPr="00201954">
        <w:rPr>
          <w:b/>
        </w:rPr>
        <w:t xml:space="preserve">акон «О противодействии экстремистской деятельности». </w:t>
      </w:r>
    </w:p>
    <w:p w:rsidR="00201954" w:rsidRPr="00201954" w:rsidRDefault="00201954" w:rsidP="00201954">
      <w:pPr>
        <w:pStyle w:val="H23GR"/>
        <w:rPr>
          <w:bCs/>
        </w:rPr>
      </w:pPr>
      <w:r w:rsidRPr="00201954">
        <w:tab/>
      </w:r>
      <w:r w:rsidRPr="00201954">
        <w:tab/>
        <w:t>Законодательство о борьбе с дискриминацией</w:t>
      </w:r>
    </w:p>
    <w:p w:rsidR="00201954" w:rsidRPr="00201954" w:rsidRDefault="00201954" w:rsidP="00201954">
      <w:pPr>
        <w:pStyle w:val="SingleTxtGR"/>
      </w:pPr>
      <w:r w:rsidRPr="00201954">
        <w:t>10.</w:t>
      </w:r>
      <w:r w:rsidRPr="00201954">
        <w:tab/>
        <w:t>Комитет отмечает, что делегация государства-участника не возражала против его рекомендации разработать закон</w:t>
      </w:r>
      <w:r>
        <w:t xml:space="preserve"> о борьбе с дискриминацией (см. </w:t>
      </w:r>
      <w:r w:rsidRPr="00201954">
        <w:t>CERD/C/KGZ/CO/5-7, пункт 15), но обеспокоен тем, что общее антидискриминационное законодательство и какие-либо положения, конкретно запрещающие расовую дискриминацию, все еще отсутствуют (статьи 1 и 4).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11.</w:t>
      </w:r>
      <w:r w:rsidRPr="00201954">
        <w:tab/>
      </w:r>
      <w:r w:rsidRPr="00201954">
        <w:rPr>
          <w:b/>
        </w:rPr>
        <w:t xml:space="preserve">Комитет рекомендует государству-участнику принять всеобъемлющее антидискриминационное законодательство, которое бы: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а)</w:t>
      </w:r>
      <w:r w:rsidRPr="00201954">
        <w:rPr>
          <w:b/>
        </w:rPr>
        <w:tab/>
        <w:t>давало определение прямой и косвенной дискриминации, охватывало все признаки дискриминации и запрещало все формы расовой дискриминации в соответствии с пунктом 1 статьи 1 Конвенции;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b)</w:t>
      </w:r>
      <w:r w:rsidRPr="00201954">
        <w:rPr>
          <w:b/>
        </w:rPr>
        <w:tab/>
        <w:t>квалифицировало различные проявления расовой дискриминации в качестве наказуемых деяний в соответствии со статьей 4 Конвенции;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c)</w:t>
      </w:r>
      <w:r w:rsidRPr="00201954">
        <w:rPr>
          <w:b/>
        </w:rPr>
        <w:tab/>
        <w:t xml:space="preserve">предусматривало возможность принятия особых мер в целях поощрения равных возможностей и борьбы со структурной дискриминацией.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12.</w:t>
      </w:r>
      <w:r w:rsidRPr="00201954">
        <w:tab/>
      </w:r>
      <w:r w:rsidRPr="00201954">
        <w:rPr>
          <w:b/>
        </w:rPr>
        <w:t>Комитет рекомендует государству-участнику при подготовке такого закона обратиться за технической помощью к Управлению Верховного комиссара Организации Объединенных Наций по правам человека и в полной мере использовать Конвенцию и общие рек</w:t>
      </w:r>
      <w:r w:rsidR="008A16AA">
        <w:rPr>
          <w:b/>
        </w:rPr>
        <w:t>омендации Комитета № 1 (1972) в </w:t>
      </w:r>
      <w:r w:rsidRPr="00201954">
        <w:rPr>
          <w:b/>
        </w:rPr>
        <w:t>отношении обязательств государств-участников в соответствии со статьей 4 Конвенции, № 7 (1985) об осуществлении статьи 4 Конвенции и № 15 (1993) относительно статьи 4 Конвенции.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Жалобы на расовую дискриминацию</w:t>
      </w:r>
    </w:p>
    <w:p w:rsidR="00201954" w:rsidRPr="00201954" w:rsidRDefault="00201954" w:rsidP="00201954">
      <w:pPr>
        <w:pStyle w:val="SingleTxtGR"/>
      </w:pPr>
      <w:r w:rsidRPr="00201954">
        <w:t>13.</w:t>
      </w:r>
      <w:r w:rsidRPr="00201954">
        <w:tab/>
        <w:t>Комитет обеспокоен ограниченным количеством жалоб на дискриминацию по признаку расы или этнического происхождения, полученных центрами приема жалоб Государственного агентства по делам местного самоуправления и межэтнических отношений, что обусловлено, как сообщается, недостаточной осведомленностью населения о деятельности государственных учреждений или низким уровнем доверия к ним. Кроме того, Комитет обеспокоен представленной государством-участником информацией о том, что ни одна из жалоб, поданных в полицию в последние годы, не была связана с дискриминацией по признаку расы или этнического происхождения (статьи 4 и 6).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14.</w:t>
      </w:r>
      <w:r w:rsidRPr="00201954">
        <w:tab/>
      </w:r>
      <w:r w:rsidRPr="00201954">
        <w:rPr>
          <w:b/>
        </w:rPr>
        <w:t xml:space="preserve">Ссылаясь на свою общую рекомендацию № 31 (2005) о предупреждении расовой дискриминации в процессе отправления и функционирования системы уголовного правосудия, Комитет напоминает государству-участнику, что отсутствие жалоб и исков со стороны жертв расовой дискриминации может свидетельствовать о размытости правовых норм в этой сфере, ненадлежащей осведомленности об имеющихся средствах правовой защиты, низком уровне доверия к судебной системе, боязни репрессий или нежелании компетентных органов привлекать виновных к ответственности. Поэтому Комитет рекомендует государству-участнику: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а)</w:t>
      </w:r>
      <w:r w:rsidRPr="00201954">
        <w:rPr>
          <w:b/>
        </w:rPr>
        <w:tab/>
        <w:t>принять все необходимые меры для обеспечения меньшинствам доступа к правосудию;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b)</w:t>
      </w:r>
      <w:r w:rsidRPr="00201954">
        <w:rPr>
          <w:b/>
        </w:rPr>
        <w:tab/>
        <w:t>ускорить принятие закона о борьбе с дискриминацией и обеспечить его широкое распространение;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lastRenderedPageBreak/>
        <w:tab/>
        <w:t>c)</w:t>
      </w:r>
      <w:r w:rsidRPr="00201954">
        <w:rPr>
          <w:b/>
        </w:rPr>
        <w:tab/>
        <w:t xml:space="preserve">информировать население, проживающее на его территории, о всех имеющихся средствах правовой защиты, а также о возможности получения юридической помощи;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d)</w:t>
      </w:r>
      <w:r w:rsidRPr="00201954">
        <w:rPr>
          <w:b/>
        </w:rPr>
        <w:tab/>
        <w:t>представить в разбивке по возрасту, полу и этнической принадлежности жертв статистические данные о количестве жалоб на расовую дискриминацию, а также о проведенных расследованиях, судебных преследованиях и вынесенных обвинительных приговорах.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Перекрестные формы дискриминации</w:t>
      </w:r>
    </w:p>
    <w:p w:rsidR="00201954" w:rsidRPr="00201954" w:rsidRDefault="00201954" w:rsidP="00201954">
      <w:pPr>
        <w:pStyle w:val="SingleTxtGR"/>
      </w:pPr>
      <w:r w:rsidRPr="00201954">
        <w:t>15.</w:t>
      </w:r>
      <w:r w:rsidRPr="00201954">
        <w:tab/>
        <w:t>Несмотря на шаги, предпринятые государством-участником для борьбы с дискриминацией по признакам сексуальной ориентации и гендерной идентичности, Комитет обеспокоен тем, что лесбиянки, гомосексуалисты, бисексуалы и трансгендеры, принадлежащи</w:t>
      </w:r>
      <w:r w:rsidR="008A16AA">
        <w:t>е</w:t>
      </w:r>
      <w:r w:rsidRPr="00201954">
        <w:t xml:space="preserve"> к этническим меньшинствам, подвергаются множественным формам дискриминации и страдают от нарушений прав человека со стороны государственных и негосударственных субъектов, которые зачастую остаются безнаказанными. Кроме того, Комитет обеспокоен тем фактом, что женщины и дети из числа этнических меньшинств подвергаются перекрестным формам дискриминации по признакам пола, расы, этнической принадлежности и возраста, а также появлением вредных видов практики, таких как детские браки и полигамия (статья 5).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16.</w:t>
      </w:r>
      <w:r w:rsidRPr="00201954">
        <w:tab/>
      </w:r>
      <w:r w:rsidRPr="00201954">
        <w:rPr>
          <w:b/>
        </w:rPr>
        <w:t>Комитет рекомендует государству-участнику принять необходимые меры для борьбы со множественными формами дискриминации, с которыми сталкиваются лесбиянки, гомосексуалисты, бисексуалы и трансгендеры, женщины и дети, принадлежащие к этническим меньшинствам, в том числе путем учета гендерных аспектов и аспектов сексуальной ориентации и гендерной идентичности в своих мерах по борьбе с расовой дискриминацией. Кроме того, Комитет рекомендует государству-участнику принять эффективные меры в целях расследования нарушений прав человека лесбиянок, гомосексуалистов, бисексуалов и трансгендеров, совершенных, в частности, сотрудниками правоохранительных органов, судебного преследования виновных и предоставления компенсации жертвам. Ссыл</w:t>
      </w:r>
      <w:r w:rsidR="008A16AA">
        <w:rPr>
          <w:b/>
        </w:rPr>
        <w:t>аясь на свою общую рекомендацию </w:t>
      </w:r>
      <w:r w:rsidRPr="00201954">
        <w:rPr>
          <w:b/>
        </w:rPr>
        <w:t>№ 25 (2000) о гендерных аспектах расовой дискриминации, Комитет призывает государство-участник уделять особое внимание положению женщин и детей, принадлежащих к этническим меньшинствам, и принять эффективные меры по борьбе с детскими браками и полигамией.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 xml:space="preserve">Ненавистнические высказывания и этническое профилирование </w:t>
      </w:r>
    </w:p>
    <w:p w:rsidR="00201954" w:rsidRPr="00201954" w:rsidRDefault="00201954" w:rsidP="00201954">
      <w:pPr>
        <w:pStyle w:val="SingleTxtGR"/>
      </w:pPr>
      <w:r w:rsidRPr="00201954">
        <w:t>17.</w:t>
      </w:r>
      <w:r w:rsidRPr="00201954">
        <w:tab/>
        <w:t>Комитет обеспокоен сохранением стереотипов и стигматизацией в отношении этнических меньшинств, включая узбеков, турков, уйгуров и мугатов, а также ненавистническими высказываниями, которые звучат в их адрес в средствах массовой информации и со стороны общественных и политических деятелей. Кроме того, Комитет обеспокоен этническим профилированием этих общин, особенно узбеков, со стороны сотрудников правоохранительных органов (статьи 2 и 4</w:t>
      </w:r>
      <w:r w:rsidR="008A16AA">
        <w:t>–</w:t>
      </w:r>
      <w:r w:rsidRPr="00201954">
        <w:t>6).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18.</w:t>
      </w:r>
      <w:r w:rsidRPr="00201954">
        <w:tab/>
      </w:r>
      <w:r w:rsidRPr="00201954">
        <w:rPr>
          <w:b/>
        </w:rPr>
        <w:t xml:space="preserve">Ссылаясь на свою общую рекомендацию № 35 (2013) о борьбе с ненавистническими высказываниями расистского толка, Комитет настоятельно призывает государство-участник: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а)</w:t>
      </w:r>
      <w:r w:rsidRPr="00201954">
        <w:rPr>
          <w:b/>
        </w:rPr>
        <w:tab/>
        <w:t>активизировать свои усилия по борьбе с этническими или расовыми стереотипами и стигматизацией, в частности путем проведения образовательных, культурных и информационно-просветительских кампаний в целях поощрения терпимости и понимания;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b)</w:t>
      </w:r>
      <w:r w:rsidRPr="00201954">
        <w:rPr>
          <w:b/>
        </w:rPr>
        <w:tab/>
        <w:t>принять необходимые меры для борьбы с расистским освещением событий в средствах массовой информации и употреблением разжигающих ненависть высказываний, в том числе политиками и другими общественными деятелями, и обеспечить тщательное расследование таких случаев и применение, при необходимости, мер наказания;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lastRenderedPageBreak/>
        <w:tab/>
        <w:t>c)</w:t>
      </w:r>
      <w:r w:rsidRPr="00201954">
        <w:rPr>
          <w:b/>
        </w:rPr>
        <w:tab/>
        <w:t xml:space="preserve">положить конец практике расового и этнического профилирования со стороны полиции, проводить эффективные расследования всех утверждений о расовом профилировании, привлекать виновных к ответственности и предоставлять жертвам эффективные средства правовой защиты;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d)</w:t>
      </w:r>
      <w:r w:rsidRPr="00201954">
        <w:rPr>
          <w:b/>
        </w:rPr>
        <w:tab/>
        <w:t>разработать программы подготовки по проблематике расовой дискриминации для сотрудников правоохранительных органов, в частности для сотрудников полиции, прокуратуры и судебной системы, и в том числе по проблематике расового профилирования и по надлежащим методам выявления, регистрации, расследования и преследования расистских инцидентов, преступлений на почве ненависти и случаев ненавистнической риторики.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Межэтническая напряженность</w:t>
      </w:r>
    </w:p>
    <w:p w:rsidR="00201954" w:rsidRPr="00201954" w:rsidRDefault="00201954" w:rsidP="00201954">
      <w:pPr>
        <w:pStyle w:val="SingleTxtGR"/>
      </w:pPr>
      <w:r w:rsidRPr="00201954">
        <w:t>19.</w:t>
      </w:r>
      <w:r w:rsidRPr="00201954">
        <w:tab/>
        <w:t>Комитет отмечает, что в отчетный период государство-участник приняло ряд мер с целью решения проблемы межэтнической напряженности, в частности Концепцию укрепления единства народа и межэтнических отношений в Кыргызской Республике. Вместе с тем он обеспокоен сохранением такой напряженности, в частности между кыргызским большинством и узбекским меньшинством. Комитет обеспокоен тем, что эта Концепция направлена на создание национальной идентичности, которая эксплицитно не включает все этнические группы и может привести к разжиганию прошлых конфликтов. Национальная идентичность должна строиться на признании всех существующих в стране общин. Кроме того, Комитет обеспокоен низким уровнем представленности этнических меньшинств в Государственном агентстве по делам местного самоуправления и межэтнических отношений и сообщениями о неэффективности этого органа.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20.</w:t>
      </w:r>
      <w:r w:rsidRPr="00201954">
        <w:tab/>
      </w:r>
      <w:r w:rsidRPr="00201954">
        <w:rPr>
          <w:b/>
        </w:rPr>
        <w:t xml:space="preserve">Комитет рекомендует государству-участнику активизировать меры, которые призваны содействовать созданию инклюзивной среды и поощрять различные этнические группы жить в согласии. Комитет настоятельно призывает государство-участник: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а)</w:t>
      </w:r>
      <w:r w:rsidRPr="00201954">
        <w:rPr>
          <w:b/>
        </w:rPr>
        <w:tab/>
        <w:t xml:space="preserve">обеспечить, чтобы новая государственная политика на период </w:t>
      </w:r>
      <w:r w:rsidR="008A16AA">
        <w:rPr>
          <w:b/>
        </w:rPr>
        <w:br/>
      </w:r>
      <w:r w:rsidRPr="00201954">
        <w:rPr>
          <w:b/>
        </w:rPr>
        <w:t>2018</w:t>
      </w:r>
      <w:r w:rsidR="008A16AA">
        <w:rPr>
          <w:b/>
        </w:rPr>
        <w:t>–</w:t>
      </w:r>
      <w:r w:rsidRPr="00201954">
        <w:rPr>
          <w:b/>
        </w:rPr>
        <w:t>2023 годов под названием «Я кыргызстанец</w:t>
      </w:r>
      <w:r w:rsidR="008A16AA">
        <w:rPr>
          <w:b/>
        </w:rPr>
        <w:t>»</w:t>
      </w:r>
      <w:r w:rsidRPr="00201954">
        <w:rPr>
          <w:b/>
        </w:rPr>
        <w:t xml:space="preserve"> не выказывала предпочтения какой-либо этнической идентичности, всеобъемлющим образом учитывала озабоченности всех этнических групп, существующих в государстве-участнике, и позволяла действенно устранять коренные причины межэтнической напряженности;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b)</w:t>
      </w:r>
      <w:r w:rsidRPr="00201954">
        <w:rPr>
          <w:b/>
        </w:rPr>
        <w:tab/>
        <w:t xml:space="preserve">обеспечить эффективное участие всех соответствующих этнических групп и организаций гражданского общества, в частности тех, которые занимаются вопросами ликвидации расовой дискриминации, в разработке, осуществлении и оценке государственной политики;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rPr>
          <w:b/>
        </w:rPr>
        <w:tab/>
        <w:t>c)</w:t>
      </w:r>
      <w:r w:rsidRPr="00201954">
        <w:rPr>
          <w:b/>
        </w:rPr>
        <w:tab/>
        <w:t>укреплять структуры Государственного агентства по делам местного самоуправления и межэтнических отношений и выделять ему больше ресурсов с целью повышения эффективности его деятельности и принять меры для обеспечения надлежащей представленности этнических меньшинств в Агентстве.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Расследование актов насилия, совершенных в 2010 году</w:t>
      </w:r>
    </w:p>
    <w:p w:rsidR="00201954" w:rsidRPr="00201954" w:rsidRDefault="00201954" w:rsidP="00201954">
      <w:pPr>
        <w:pStyle w:val="SingleTxtGR"/>
      </w:pPr>
      <w:r w:rsidRPr="00201954">
        <w:t>21.</w:t>
      </w:r>
      <w:r w:rsidRPr="00201954">
        <w:tab/>
        <w:t xml:space="preserve">Комитет обеспокоен тем, что расследования нарушений прав человека, совершенных во время и после вспышки межэтнического насилия, которая имела место в июне 2010 года на юге Кыргызстана, были неэффективными, являлись этнически предвзятыми и не основывались на уважении гарантий справедливого судебного разбирательства и надлежащих правовых процедур. Комитет особенно обеспокоен тем, что уголовные дела были возбуждены в основном против лиц узбекского происхождения, при том что жертвами нарушений прав человека в своем большинстве также являлись узбеки. Кроме того, согласно информации, представленной в ходе диалога, узбекам, ставшим жертвами судебных ошибок при рассмотрении дел в связи с этими событиями, не было предоставлено никакой компенсации. Комитет вновь выражает обеспокоенность по поводу сообщений о </w:t>
      </w:r>
      <w:r w:rsidRPr="00201954">
        <w:lastRenderedPageBreak/>
        <w:t xml:space="preserve">применении пыток сотрудниками правоохранительных органов и использовании в судах показаний, полученных под принуждением, особенно в отношении узбеков, причастных к насилию в 2010 году, а также того, что государство-участник не привлекло к ответственности предполагаемых виновных и не предоставило компенсацию жертвам.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22.</w:t>
      </w:r>
      <w:r w:rsidRPr="00201954">
        <w:tab/>
      </w:r>
      <w:r w:rsidRPr="00201954">
        <w:rPr>
          <w:b/>
        </w:rPr>
        <w:t xml:space="preserve">Ссылаясь на свою общую рекомендацию № 31 (2005) о предупреждении расовой дискриминации в процессе отправления и функционирования системы уголовного правосудия и на свою предыдущую рекомендацию в этом отношении (см. CERD/C/KGZ/CO/5-7, пункт 6), Комитет призывает государство-участник: 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а)</w:t>
      </w:r>
      <w:r w:rsidRPr="00201954">
        <w:rPr>
          <w:b/>
        </w:rPr>
        <w:tab/>
        <w:t>создать смешанный национальный/международный механизм для рассмотрения дел всех лиц, которые были осуждены в связи с актами насилия, совершенными в июне 2010 года;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b)</w:t>
      </w:r>
      <w:r w:rsidRPr="00201954">
        <w:rPr>
          <w:b/>
        </w:rPr>
        <w:tab/>
        <w:t xml:space="preserve">эффективно расследовать все нарушения прав человека с целью привлечения виновных к ответственности, назначения им, в случае осуждения, соразмерных мер наказания и предоставления компенсации жертвам; 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c)</w:t>
      </w:r>
      <w:r w:rsidRPr="00201954">
        <w:rPr>
          <w:b/>
        </w:rPr>
        <w:tab/>
        <w:t>расследовать все утверждения о применении пыток сотрудниками правоохранительных органов, привлекать к ответственности и наказывать виновных и предоставлять компенсацию жертвам. В этой связи Комитет настоятельно призывает государство-участник активизировать свои усилия по реформированию судебной системы и сил безопасности и полиции.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Социально-экономическое положение этнических меньшинств</w:t>
      </w:r>
    </w:p>
    <w:p w:rsidR="00201954" w:rsidRPr="00201954" w:rsidRDefault="00201954" w:rsidP="00201954">
      <w:pPr>
        <w:pStyle w:val="SingleTxtGR"/>
      </w:pPr>
      <w:r w:rsidRPr="00201954">
        <w:t>23.</w:t>
      </w:r>
      <w:r w:rsidRPr="00201954">
        <w:tab/>
        <w:t>Комитет обеспокоен низким уровнем реализации экономических и социальных прав определенных этнических групп в государстве-участнике. В частности, Комитет обеспокоен:</w:t>
      </w:r>
    </w:p>
    <w:p w:rsidR="00201954" w:rsidRPr="00201954" w:rsidRDefault="00201954" w:rsidP="00201954">
      <w:pPr>
        <w:pStyle w:val="SingleTxtGR"/>
      </w:pPr>
      <w:r w:rsidRPr="00201954">
        <w:tab/>
        <w:t>а)</w:t>
      </w:r>
      <w:r w:rsidRPr="00201954">
        <w:tab/>
        <w:t>чрезвычайно низким уровнем жизни мугатов, положение которых характеризуется высоким уровнем безработицы, низкой посещаемостью школ и высоким уровнем отсева из школ, особенно среди девочек, и ограниченным доступом к социальным услугам, что в значительной мере обусловлено отсутствием документов, в том числе свидетельств о рождении;</w:t>
      </w:r>
    </w:p>
    <w:p w:rsidR="00201954" w:rsidRPr="00201954" w:rsidRDefault="00201954" w:rsidP="00201954">
      <w:pPr>
        <w:pStyle w:val="SingleTxtGR"/>
      </w:pPr>
      <w:r w:rsidRPr="00201954">
        <w:tab/>
        <w:t>b)</w:t>
      </w:r>
      <w:r w:rsidRPr="00201954">
        <w:tab/>
        <w:t xml:space="preserve">экспроприацией земель, сносом домов и насильственными выселениями, которые особенно затрагивают узбеков в Оше и Джалал-Абаде и зачастую производятся без гарантий надлежащей правовой процедуры; </w:t>
      </w:r>
    </w:p>
    <w:p w:rsidR="00201954" w:rsidRPr="00201954" w:rsidRDefault="00201954" w:rsidP="00201954">
      <w:pPr>
        <w:pStyle w:val="SingleTxtGR"/>
      </w:pPr>
      <w:r w:rsidRPr="00201954">
        <w:tab/>
        <w:t>c)</w:t>
      </w:r>
      <w:r w:rsidRPr="00201954">
        <w:tab/>
        <w:t>дискриминацией узбеков в части доступа к работе и отсутствием средств правовой защиты для лиц, произвольно уволенных после событий 2010 года (статьи 2 и 5).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24.</w:t>
      </w:r>
      <w:r w:rsidRPr="00201954">
        <w:tab/>
      </w:r>
      <w:r w:rsidRPr="00201954">
        <w:rPr>
          <w:b/>
        </w:rPr>
        <w:t>Комитет рекомендует государству-участнику принять эффективные меры, включая особые меры, в целях ликвидации этнического неравенства в области осуществления экономических и социальных прав. Комитет рекомендует государству-участнику уделять особое внимание положению этнических меньшинств мугатов и узбеков и обеспечению их участия в разработке и осуществлении новой национальной стратегии устойчивого развития. Ссылаясь на свою общую рекомендацию № 27 (2000) о дискриминации в отношении рома, Комитет рекомендует государству-участнику: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а)</w:t>
      </w:r>
      <w:r w:rsidRPr="00201954">
        <w:rPr>
          <w:b/>
        </w:rPr>
        <w:tab/>
        <w:t xml:space="preserve">принять и осуществлять при участии представителей мугатов подкрепленную достаточным объемом ресурсов стратегию по борьбе со структурной дискриминацией, с которой сталкиваются мугаты во всех сферах жизни; 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b)</w:t>
      </w:r>
      <w:r w:rsidRPr="00201954">
        <w:rPr>
          <w:b/>
        </w:rPr>
        <w:tab/>
        <w:t>принять незамедлительные меры по улучшению доступа мугатов к качественному и инклюзивному образованию в целях расширения их охвата школьным образованием, борьбы с отсевом из школ и повышения успеваемости среди соответствующих детей;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lastRenderedPageBreak/>
        <w:tab/>
        <w:t>c)</w:t>
      </w:r>
      <w:r w:rsidRPr="00201954">
        <w:rPr>
          <w:b/>
        </w:rPr>
        <w:tab/>
        <w:t>принять эффективные меры для обеспечения того, чтобы все лица, в частности мугаты, имели в своем распоряжении документы, удостоверяющие личность, и чтобы все дети, рожденные в государстве-участнике, быстро и без какой-либо дискриминации получали свидетельства о рождении;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d)</w:t>
      </w:r>
      <w:r w:rsidRPr="00201954">
        <w:rPr>
          <w:b/>
        </w:rPr>
        <w:tab/>
        <w:t>принять необходимые меры, с тем чтобы гарантировать наличие эффективных правовых гарантий от произвольной экспроприации земель и принудительных выселений, а также обеспечить, чтобы население знало о таких гарантиях и могло пользоваться ими, и одновременно с этим включить в национальное законодательство положения о компенсации и предоставлении альтернативного жилья, а также обеспечить, чтобы снос домов и принудительные выселения использовались лишь в качестве крайней меры;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е)</w:t>
      </w:r>
      <w:r w:rsidRPr="00201954">
        <w:rPr>
          <w:b/>
        </w:rPr>
        <w:tab/>
        <w:t>эффективно устранять трудности, с которыми сталкиваются узбеки при получении доступа к работе, в том числе путем принятия особых мер по борьбе с этнически мотивированной дискриминационной практик</w:t>
      </w:r>
      <w:r w:rsidR="008A16AA">
        <w:rPr>
          <w:b/>
        </w:rPr>
        <w:t>ой найма на работу, в частности</w:t>
      </w:r>
      <w:r w:rsidRPr="00201954">
        <w:rPr>
          <w:b/>
        </w:rPr>
        <w:t xml:space="preserve"> посредством применения дисциплинарных или иных мер наказания в отношении работодателей, использующих такую практику, и предпринять конкретные шаги для обеспечения средств правовой защиты узбекам, произвольно уволенным в результате событий 2010 года. 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Участие этнических групп в общественной и политической жизни</w:t>
      </w:r>
    </w:p>
    <w:p w:rsidR="00201954" w:rsidRPr="00201954" w:rsidRDefault="00201954" w:rsidP="00201954">
      <w:pPr>
        <w:pStyle w:val="SingleTxtGR"/>
      </w:pPr>
      <w:r w:rsidRPr="00201954">
        <w:t>25.</w:t>
      </w:r>
      <w:r w:rsidRPr="00201954">
        <w:tab/>
        <w:t>Комитет отмечает, что в 2015 году государство-участник ввело систему квот в целях улучшения представленности этнических меньшинств в Жогорку Кенеше и в местных органах власти. Вместе с тем он обеспокоен тем, что этнические меньшинства, в особенности узбеки, по-прежнему крайне недостаточно представлены во многих областях политической и общественной жизни, в том числе в местных советах в регионах, где узбеки составляют большинство населения. Кроме того, этнические меньшинства почти не представлены среди сотрудников полиции и сил безопасности, а также в судебных органах (статьи 2 и 5).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26.</w:t>
      </w:r>
      <w:r w:rsidRPr="00201954">
        <w:tab/>
      </w:r>
      <w:r w:rsidRPr="00201954">
        <w:rPr>
          <w:b/>
        </w:rPr>
        <w:t>Комитет рекомендует государству-участнику обеспечить эффективное функционирование системы квот и принять другие меры, направленные на повышение уровня представленности этнических меньшинств во всех сферах общественной и политической жизни в государстве-участнике. Комитет просит государство-участник включить в свой следующий периодический доклад подробную информацию о представленности этнических меньшинств в Жогорку Кенеше, местных органах власти, органах исполнительной власти, органах прокуратуры, судебных органах, полиции и силах безопасности. Комитет обращает внимание государства-участника на свою общую рекомендацию № 32 (2009) о значении и сфере применения особых мер в Конвенции.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Доступ к образованию на языках меньшинств</w:t>
      </w:r>
    </w:p>
    <w:p w:rsidR="00201954" w:rsidRPr="00201954" w:rsidRDefault="00201954" w:rsidP="00201954">
      <w:pPr>
        <w:pStyle w:val="SingleTxtGR"/>
      </w:pPr>
      <w:r w:rsidRPr="00201954">
        <w:t>27.</w:t>
      </w:r>
      <w:r w:rsidRPr="00201954">
        <w:tab/>
        <w:t xml:space="preserve">Комитет обеспокоен существенным сокращением масштабов преподавания узбекского языка в школах и сохраняющейся тенденцией к выделению ненадлежащих технических и людских ресурсов для этих целей. Кроме того, Комитет обеспокоен тем, что отмена в 2015 году вступительных экзаменов в вузы на узбекском языке привела к дискриминации детей, обучение которых велось частично на этом языке (статья 5). 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28.</w:t>
      </w:r>
      <w:r w:rsidRPr="00201954">
        <w:tab/>
      </w:r>
      <w:r w:rsidRPr="00201954">
        <w:rPr>
          <w:b/>
        </w:rPr>
        <w:t xml:space="preserve">Комитет настоятельно призывает государство-участник обеспечить, чтобы его политика в области использования языков в системе образования не приводила к прямой или косвенной дискриминации по признаку этнической принадлежности. В частности, он рекомендует государству-участнику вновь ввести преподавание узбекского языка в школах и с этой целью выделить из бюджета целевые ресурсы, необходимые для предоставления качественного образования на родном языке, и пересмотреть свое решение об отмене вступительных экзаменов в вузы на узбекском языке с учетом его дискриминационных последствий для учащихся из числа узбеков. </w:t>
      </w:r>
    </w:p>
    <w:p w:rsidR="00201954" w:rsidRPr="00201954" w:rsidRDefault="00201954" w:rsidP="00201954">
      <w:pPr>
        <w:pStyle w:val="H23GR"/>
      </w:pPr>
      <w:r w:rsidRPr="00201954">
        <w:lastRenderedPageBreak/>
        <w:tab/>
      </w:r>
      <w:r w:rsidRPr="00201954">
        <w:tab/>
        <w:t>Лица без гражданства и просители убежища</w:t>
      </w:r>
    </w:p>
    <w:p w:rsidR="00201954" w:rsidRPr="00201954" w:rsidRDefault="00201954" w:rsidP="00201954">
      <w:pPr>
        <w:pStyle w:val="SingleTxtGR"/>
      </w:pPr>
      <w:r w:rsidRPr="00201954">
        <w:t>29.</w:t>
      </w:r>
      <w:r w:rsidRPr="00201954">
        <w:tab/>
        <w:t>Комитет, отмечая меры, принятые с целью сокращению числа лиц без гражданства в государстве-участнике, вновь выражает обеспокоенность по поводу того, что по-прежнему остаются неурегулированными дела более 800 лиц с неопределенным гражданством. Он также обеспокоен тем, что существующие процедуры определения безгражданства не соответствуют международным стандартам. Кроме того, Комитет обеспокоен тем, что положения о лишении гражданства, включенные в проект закона о гражданстве, не содержат гарантий для защиты от безгражданства. Комитет обеспокоен полученной информацией о том, что в соответствии с измененными положениями Закона о внешней миграции принудительная депортация может производиться без судебного приказа, если соответствующее лицо неоднократно обвинялось в незаконном пребывании на территории страны (статья 5).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30.</w:t>
      </w:r>
      <w:r w:rsidRPr="00201954">
        <w:tab/>
      </w:r>
      <w:r w:rsidRPr="00201954">
        <w:rPr>
          <w:b/>
        </w:rPr>
        <w:t>Комитет рекомендует государству-участнику продолжить и усилить работу по урегулированию оставшихся дел, связанных с безгражданством. Ссылаясь на свои общие рекомендации № 30 (2004) о дискриминации неграждан и № 22 (1996) по статье 5 Конвенции применительно к беженцам и перемещенным лицам, Комитет также рекомендует государству-участнику: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а)</w:t>
      </w:r>
      <w:r w:rsidRPr="00201954">
        <w:rPr>
          <w:b/>
        </w:rPr>
        <w:tab/>
        <w:t xml:space="preserve">установить официальную и простую процедуру определения безгражданства, с тем чтобы все лица без гражданства могли без какой-либо дискриминации добиваться подтверждения своего статуса; 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b)</w:t>
      </w:r>
      <w:r w:rsidRPr="00201954">
        <w:rPr>
          <w:b/>
        </w:rPr>
        <w:tab/>
        <w:t>обеспечить, чтобы новый проект закона о гражданстве включал гарантии против безгражданства в случае лишения гражданства, а также предусмотреть гарантии надлежащей правовой процедуры, включая возможность обжалования решения о лишении гражданства;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c)</w:t>
      </w:r>
      <w:r w:rsidRPr="00201954">
        <w:rPr>
          <w:b/>
        </w:rPr>
        <w:tab/>
        <w:t>внести поправки в Закон о внешней миграции для обеспечения того, чтобы положения, касающиеся выведения неграждан из-под юрисдикции государства, не допускали дискриминации по признакам расы, цвета кожи, этнического или национального происхождения, и чтобы неграждане имели равную защиту от принудительного возвращения;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rPr>
          <w:b/>
        </w:rPr>
        <w:tab/>
        <w:t>d)</w:t>
      </w:r>
      <w:r w:rsidRPr="00201954">
        <w:rPr>
          <w:b/>
        </w:rPr>
        <w:tab/>
        <w:t xml:space="preserve">рассмотреть вопрос о присоединении к Конвенции 1954 года о статусе апатридов и Конвенции 1961 года о сокращении безгражданства. </w:t>
      </w:r>
    </w:p>
    <w:p w:rsidR="00201954" w:rsidRPr="00201954" w:rsidRDefault="00201954" w:rsidP="00201954">
      <w:pPr>
        <w:pStyle w:val="H1GR"/>
      </w:pPr>
      <w:r>
        <w:tab/>
      </w:r>
      <w:r w:rsidRPr="00201954">
        <w:t>D.</w:t>
      </w:r>
      <w:r w:rsidRPr="00201954">
        <w:tab/>
        <w:t xml:space="preserve">Прочие рекомендации 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Ратификация других договоров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31.</w:t>
      </w:r>
      <w:r w:rsidRPr="00201954">
        <w:tab/>
      </w:r>
      <w:r w:rsidRPr="00201954">
        <w:rPr>
          <w:b/>
        </w:rPr>
        <w:t>Памятуя о неделимости всех прав человека, Комитет призывает государство-участник рассмотреть вопрос о ратификации международных договоров о правах человека, которые оно еще не ратифицировало, особенно договоров, чьи положения имеют прямое отношение к общинам, которые могут подвергаться расовой дискриминации, включая Международную конвенцию о правах инвалидов и Международную конвенцию для защиты всех лиц от насильственных исчезновений.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Последующие меры в связи с Дурбанской декларацией и Программой действий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32.</w:t>
      </w:r>
      <w:r w:rsidRPr="00201954">
        <w:tab/>
      </w:r>
      <w:r w:rsidRPr="00201954">
        <w:rPr>
          <w:b/>
        </w:rPr>
        <w:t xml:space="preserve"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ввести в действие Дурбанскую декларацию и Программу действий, принятые в сентябре 2001 года Всемирной конференцией против расизма, расовой дискриминации, ксенофобии и связанной с ними нетерпимости, учитывая при этом итоговый документ Конференции по обзору Дурбанского процесса, состоявшейся в Женеве в апреле 2009 года. Комитет просит государство-участник включить в свой следующий периодический доклад конкретную информацию о планах действий и других принятых мерах по </w:t>
      </w:r>
      <w:r w:rsidRPr="00201954">
        <w:rPr>
          <w:b/>
        </w:rPr>
        <w:lastRenderedPageBreak/>
        <w:t>осуществлению Дурбанской декларации и Программы действий на национальном уровне.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 xml:space="preserve">Международное десятилетие лиц африканского происхождения 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33.</w:t>
      </w:r>
      <w:r w:rsidRPr="00201954">
        <w:tab/>
      </w:r>
      <w:r w:rsidRPr="00201954">
        <w:rPr>
          <w:b/>
        </w:rPr>
        <w:t xml:space="preserve">В свете резолюции 68/237 Генеральной Ассамблеи Комитет просит государство-участник включить в свой следующий периодический доклад подробную информацию о конкретных мерах, принятых в рамках Международного десятилетия лиц африканского происхождения с учетом общей рекомендации Комитета № 34 (2011), касающейся расовой дискриминации в отношении лиц африканского происхождения. 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Консультации с гражданским обществом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34.</w:t>
      </w:r>
      <w:r w:rsidRPr="00201954">
        <w:tab/>
      </w:r>
      <w:r w:rsidRPr="00201954">
        <w:rPr>
          <w:b/>
        </w:rPr>
        <w:t>Комитет рекомендует государству-участнику продолжать проводить консультации и расширить свой диалог с организациями гражданского общества, занимающимися защитой прав человека, в частности с теми, которые ведут борьбу с расовой дискриминацией, в рамках подготовки следующего периодического доклада и осуществления последующей деятельности в связи с настоящими заключительными замечаниями.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Заявление в соответствии со статьей 14 Конвенции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35.</w:t>
      </w:r>
      <w:r w:rsidRPr="00201954">
        <w:tab/>
      </w:r>
      <w:r w:rsidRPr="00201954">
        <w:rPr>
          <w:b/>
        </w:rPr>
        <w:t xml:space="preserve">Комитет призывает государство-участник сделать предусмотренное статьей 14 Конвенции факультативное заявление о признании компетенции Комитета принимать и рассматривать индивидуальные сообщения. 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Поправка к статье 8 Конвенции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36.</w:t>
      </w:r>
      <w:r w:rsidRPr="00201954">
        <w:tab/>
      </w:r>
      <w:r w:rsidRPr="00201954">
        <w:rPr>
          <w:b/>
        </w:rPr>
        <w:t xml:space="preserve"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 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Общий базовый документ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37.</w:t>
      </w:r>
      <w:r w:rsidRPr="00201954">
        <w:tab/>
      </w:r>
      <w:r w:rsidRPr="00201954">
        <w:rPr>
          <w:b/>
        </w:rPr>
        <w:t xml:space="preserve">Комитет призывает государство-участник обновить свой общий базовый документ в соответствии с согласованными руководящими принципами представления докладов по международным договорам о правах человека, в частности с руководящими принципами подготовки общего базового документа, которые были приняты на пятом межкомитетском совещании договорных органов по правам человека, состоявшемся в июне 2006 года (HRI/GEN.2/Rev.6, глава I). 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 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Последующие меры в связи с настоящими заключительными замечаниями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38.</w:t>
      </w:r>
      <w:r w:rsidRPr="00201954">
        <w:tab/>
      </w:r>
      <w:r w:rsidRPr="00201954">
        <w:rPr>
          <w:b/>
        </w:rPr>
        <w:t xml:space="preserve"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9 c), 22 а) и 28 выше. 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Пункты, имеющие особое значение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39.</w:t>
      </w:r>
      <w:r w:rsidRPr="00201954">
        <w:tab/>
      </w:r>
      <w:r w:rsidRPr="00201954">
        <w:rPr>
          <w:b/>
        </w:rPr>
        <w:t xml:space="preserve">Комитет хотел бы обратить внимание государства-участника на особое значение рекомендаций, содержащихся в пунктах 11, 24 и 26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 </w:t>
      </w:r>
    </w:p>
    <w:p w:rsidR="00201954" w:rsidRPr="00201954" w:rsidRDefault="00201954" w:rsidP="00201954">
      <w:pPr>
        <w:pStyle w:val="H23GR"/>
      </w:pPr>
      <w:r w:rsidRPr="00201954">
        <w:lastRenderedPageBreak/>
        <w:tab/>
      </w:r>
      <w:r w:rsidRPr="00201954">
        <w:tab/>
        <w:t>Распространение информации</w:t>
      </w:r>
    </w:p>
    <w:p w:rsidR="00201954" w:rsidRPr="00201954" w:rsidRDefault="00201954" w:rsidP="00201954">
      <w:pPr>
        <w:pStyle w:val="SingleTxtGR"/>
        <w:rPr>
          <w:b/>
          <w:bCs/>
        </w:rPr>
      </w:pPr>
      <w:r w:rsidRPr="00201954">
        <w:t>40.</w:t>
      </w:r>
      <w:r w:rsidRPr="00201954">
        <w:tab/>
      </w:r>
      <w:r w:rsidRPr="00201954">
        <w:rPr>
          <w:b/>
        </w:rPr>
        <w:t>Комитет рекомендует обеспечить, чтобы доклады государства-участника имелись в наличии и были доступны для обществен</w:t>
      </w:r>
      <w:r w:rsidR="008A16AA">
        <w:rPr>
          <w:b/>
        </w:rPr>
        <w:t>ности в момент их представления</w:t>
      </w:r>
      <w:r w:rsidRPr="00201954">
        <w:rPr>
          <w:b/>
        </w:rPr>
        <w:t xml:space="preserve"> и чтобы заключительные замечания Комитета по этим докладам также в надлежащем порядке доводились до всеобщего сведения на официальном и других широко используемых языках. </w:t>
      </w:r>
    </w:p>
    <w:p w:rsidR="00201954" w:rsidRPr="00201954" w:rsidRDefault="00201954" w:rsidP="00201954">
      <w:pPr>
        <w:pStyle w:val="H23GR"/>
      </w:pPr>
      <w:r w:rsidRPr="00201954">
        <w:tab/>
      </w:r>
      <w:r w:rsidRPr="00201954">
        <w:tab/>
        <w:t>Подготовка следующего периодического доклада</w:t>
      </w:r>
    </w:p>
    <w:p w:rsidR="00201954" w:rsidRPr="00201954" w:rsidRDefault="00201954" w:rsidP="00201954">
      <w:pPr>
        <w:pStyle w:val="SingleTxtGR"/>
        <w:rPr>
          <w:b/>
        </w:rPr>
      </w:pPr>
      <w:r w:rsidRPr="00201954">
        <w:t>41.</w:t>
      </w:r>
      <w:r w:rsidRPr="00201954">
        <w:tab/>
      </w:r>
      <w:r w:rsidRPr="00201954">
        <w:rPr>
          <w:b/>
        </w:rPr>
        <w:t>Комитет рекомендует государству-участнику представить свои объединенные одиннадцатый и двенадцатый периодические доклады в одном документе к 5 октября 2022 года, приняв во внимание руководящие принципы подготовки и представления докладов, утвержденные Комитетом на его семьдесят первой сессии (CERD/C/2007/1), и отразив в нем все вопросы, поднятые в настоящих заключительных замечаниях. В соответствии с резолюцией 68/268 Генеральной Ассамблеи Коми</w:t>
      </w:r>
      <w:bookmarkStart w:id="0" w:name="_GoBack"/>
      <w:bookmarkEnd w:id="0"/>
      <w:r w:rsidRPr="00201954">
        <w:rPr>
          <w:b/>
        </w:rPr>
        <w:t>тет настоятельно призывает государство-участник соблюдать установленное для объема периодич</w:t>
      </w:r>
      <w:r w:rsidR="008A16AA">
        <w:rPr>
          <w:b/>
        </w:rPr>
        <w:t>еских докладов ограничение в 21 </w:t>
      </w:r>
      <w:r w:rsidRPr="00201954">
        <w:rPr>
          <w:b/>
        </w:rPr>
        <w:t>200 слов.</w:t>
      </w:r>
    </w:p>
    <w:p w:rsidR="00201954" w:rsidRDefault="00201954" w:rsidP="0020195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201954" w:rsidRDefault="00381C24" w:rsidP="002E5067"/>
    <w:sectPr w:rsidR="00381C24" w:rsidRPr="00201954" w:rsidSect="002019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C6" w:rsidRPr="00A312BC" w:rsidRDefault="001407C6" w:rsidP="00A312BC"/>
  </w:endnote>
  <w:endnote w:type="continuationSeparator" w:id="0">
    <w:p w:rsidR="001407C6" w:rsidRPr="00A312BC" w:rsidRDefault="001407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54" w:rsidRPr="00201954" w:rsidRDefault="00201954">
    <w:pPr>
      <w:pStyle w:val="a8"/>
    </w:pPr>
    <w:r w:rsidRPr="00201954">
      <w:rPr>
        <w:b/>
        <w:sz w:val="18"/>
      </w:rPr>
      <w:fldChar w:fldCharType="begin"/>
    </w:r>
    <w:r w:rsidRPr="00201954">
      <w:rPr>
        <w:b/>
        <w:sz w:val="18"/>
      </w:rPr>
      <w:instrText xml:space="preserve"> PAGE  \* MERGEFORMAT </w:instrText>
    </w:r>
    <w:r w:rsidRPr="00201954">
      <w:rPr>
        <w:b/>
        <w:sz w:val="18"/>
      </w:rPr>
      <w:fldChar w:fldCharType="separate"/>
    </w:r>
    <w:r w:rsidR="003C5F2B">
      <w:rPr>
        <w:b/>
        <w:noProof/>
        <w:sz w:val="18"/>
      </w:rPr>
      <w:t>10</w:t>
    </w:r>
    <w:r w:rsidRPr="00201954">
      <w:rPr>
        <w:b/>
        <w:sz w:val="18"/>
      </w:rPr>
      <w:fldChar w:fldCharType="end"/>
    </w:r>
    <w:r>
      <w:rPr>
        <w:b/>
        <w:sz w:val="18"/>
      </w:rPr>
      <w:tab/>
    </w:r>
    <w:r>
      <w:t>GE.18-08632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54" w:rsidRPr="00201954" w:rsidRDefault="00201954" w:rsidP="00201954">
    <w:pPr>
      <w:pStyle w:val="a8"/>
      <w:tabs>
        <w:tab w:val="clear" w:pos="9639"/>
        <w:tab w:val="right" w:pos="9638"/>
      </w:tabs>
      <w:rPr>
        <w:b/>
        <w:sz w:val="18"/>
      </w:rPr>
    </w:pPr>
    <w:r>
      <w:t>GE.18-08632</w:t>
    </w:r>
    <w:r>
      <w:tab/>
    </w:r>
    <w:r w:rsidRPr="00201954">
      <w:rPr>
        <w:b/>
        <w:sz w:val="18"/>
      </w:rPr>
      <w:fldChar w:fldCharType="begin"/>
    </w:r>
    <w:r w:rsidRPr="00201954">
      <w:rPr>
        <w:b/>
        <w:sz w:val="18"/>
      </w:rPr>
      <w:instrText xml:space="preserve"> PAGE  \* MERGEFORMAT </w:instrText>
    </w:r>
    <w:r w:rsidRPr="00201954">
      <w:rPr>
        <w:b/>
        <w:sz w:val="18"/>
      </w:rPr>
      <w:fldChar w:fldCharType="separate"/>
    </w:r>
    <w:r w:rsidR="003C5F2B">
      <w:rPr>
        <w:b/>
        <w:noProof/>
        <w:sz w:val="18"/>
      </w:rPr>
      <w:t>9</w:t>
    </w:r>
    <w:r w:rsidRPr="002019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01954" w:rsidRDefault="00201954" w:rsidP="0020195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18-08632  (R)</w:t>
    </w:r>
    <w:r w:rsidR="008A16AA">
      <w:rPr>
        <w:lang w:val="en-US"/>
      </w:rPr>
      <w:t xml:space="preserve">   040618  060618</w:t>
    </w:r>
    <w:r>
      <w:br/>
    </w:r>
    <w:r w:rsidRPr="00201954">
      <w:rPr>
        <w:rFonts w:ascii="C39T30Lfz" w:hAnsi="C39T30Lfz"/>
        <w:kern w:val="14"/>
        <w:sz w:val="56"/>
      </w:rPr>
      <w:t></w:t>
    </w:r>
    <w:r w:rsidRPr="00201954">
      <w:rPr>
        <w:rFonts w:ascii="C39T30Lfz" w:hAnsi="C39T30Lfz"/>
        <w:kern w:val="14"/>
        <w:sz w:val="56"/>
      </w:rPr>
      <w:t></w:t>
    </w:r>
    <w:r w:rsidRPr="00201954">
      <w:rPr>
        <w:rFonts w:ascii="C39T30Lfz" w:hAnsi="C39T30Lfz"/>
        <w:kern w:val="14"/>
        <w:sz w:val="56"/>
      </w:rPr>
      <w:t></w:t>
    </w:r>
    <w:r w:rsidRPr="00201954">
      <w:rPr>
        <w:rFonts w:ascii="C39T30Lfz" w:hAnsi="C39T30Lfz"/>
        <w:kern w:val="14"/>
        <w:sz w:val="56"/>
      </w:rPr>
      <w:t></w:t>
    </w:r>
    <w:r w:rsidRPr="00201954">
      <w:rPr>
        <w:rFonts w:ascii="C39T30Lfz" w:hAnsi="C39T30Lfz"/>
        <w:kern w:val="14"/>
        <w:sz w:val="56"/>
      </w:rPr>
      <w:t></w:t>
    </w:r>
    <w:r w:rsidRPr="00201954">
      <w:rPr>
        <w:rFonts w:ascii="C39T30Lfz" w:hAnsi="C39T30Lfz"/>
        <w:kern w:val="14"/>
        <w:sz w:val="56"/>
      </w:rPr>
      <w:t></w:t>
    </w:r>
    <w:r w:rsidRPr="00201954">
      <w:rPr>
        <w:rFonts w:ascii="C39T30Lfz" w:hAnsi="C39T30Lfz"/>
        <w:kern w:val="14"/>
        <w:sz w:val="56"/>
      </w:rPr>
      <w:t></w:t>
    </w:r>
    <w:r w:rsidRPr="00201954">
      <w:rPr>
        <w:rFonts w:ascii="C39T30Lfz" w:hAnsi="C39T30Lfz"/>
        <w:kern w:val="14"/>
        <w:sz w:val="56"/>
      </w:rPr>
      <w:t></w:t>
    </w:r>
    <w:r w:rsidRPr="00201954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KGZ/CO/8-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KGZ/CO/8-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C6" w:rsidRPr="001075E9" w:rsidRDefault="001407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07C6" w:rsidRDefault="001407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01954" w:rsidRPr="00401700" w:rsidRDefault="00201954" w:rsidP="00201954">
      <w:pPr>
        <w:pStyle w:val="ad"/>
      </w:pPr>
      <w:r>
        <w:tab/>
        <w:t>*</w:t>
      </w:r>
      <w:r>
        <w:tab/>
        <w:t>Приняты Комитетом на его девяносто пятой сессии (23 апреля – 11 мая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54" w:rsidRPr="00201954" w:rsidRDefault="003C5F2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CERD/C/KGZ/CO/8-10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54" w:rsidRPr="00201954" w:rsidRDefault="003C5F2B" w:rsidP="0020195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CERD/C/KGZ/CO/8-10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6"/>
    <w:rsid w:val="00033EE1"/>
    <w:rsid w:val="00042B72"/>
    <w:rsid w:val="000558BD"/>
    <w:rsid w:val="000B57E7"/>
    <w:rsid w:val="000B6373"/>
    <w:rsid w:val="000F09DF"/>
    <w:rsid w:val="000F61B2"/>
    <w:rsid w:val="001075E9"/>
    <w:rsid w:val="001407C6"/>
    <w:rsid w:val="00180183"/>
    <w:rsid w:val="0018024D"/>
    <w:rsid w:val="0018649F"/>
    <w:rsid w:val="001955E7"/>
    <w:rsid w:val="00196389"/>
    <w:rsid w:val="001B3EF6"/>
    <w:rsid w:val="001C7A89"/>
    <w:rsid w:val="00201954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C5F2B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306A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825F8D"/>
    <w:rsid w:val="00834B71"/>
    <w:rsid w:val="0086445C"/>
    <w:rsid w:val="00894693"/>
    <w:rsid w:val="008A08D7"/>
    <w:rsid w:val="008A16AA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30B0F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87C903"/>
  <w15:docId w15:val="{651D53EA-E74E-428D-8D33-A384CCDA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10</Pages>
  <Words>3626</Words>
  <Characters>25966</Characters>
  <Application>Microsoft Office Word</Application>
  <DocSecurity>0</DocSecurity>
  <Lines>472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CERD/C/KGZ/CO/8-10</vt:lpstr>
      <vt:lpstr>A/</vt:lpstr>
      <vt:lpstr>A/</vt:lpstr>
    </vt:vector>
  </TitlesOfParts>
  <Company>DCM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CERD/C/KGZ/CO/8-10</dc:title>
  <dc:subject/>
  <dc:creator>Anna BLAGODATSKIKH</dc:creator>
  <cp:keywords/>
  <cp:lastModifiedBy>Anna Blagodatskikh</cp:lastModifiedBy>
  <cp:revision>3</cp:revision>
  <cp:lastPrinted>2018-06-06T13:34:00Z</cp:lastPrinted>
  <dcterms:created xsi:type="dcterms:W3CDTF">2018-06-06T13:34:00Z</dcterms:created>
  <dcterms:modified xsi:type="dcterms:W3CDTF">2018-06-06T13:36:00Z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