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9013" w14:textId="77777777" w:rsidR="00FD308B" w:rsidRPr="0076115A" w:rsidRDefault="00FD308B" w:rsidP="00FD308B">
      <w:pPr>
        <w:spacing w:line="240" w:lineRule="auto"/>
        <w:rPr>
          <w:sz w:val="2"/>
          <w:lang w:val="fr-FR"/>
        </w:rPr>
        <w:sectPr w:rsidR="00FD308B" w:rsidRPr="0076115A" w:rsidSect="00F154F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76115A">
        <w:rPr>
          <w:rStyle w:val="CommentReference"/>
          <w:lang w:val="fr-FR"/>
        </w:rPr>
        <w:commentReference w:id="0"/>
      </w:r>
    </w:p>
    <w:p w14:paraId="32658E2F" w14:textId="1BA8A5D8" w:rsidR="00F154F3" w:rsidRPr="0076115A" w:rsidRDefault="00F154F3" w:rsidP="00F154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76115A">
        <w:rPr>
          <w:lang w:val="fr-FR"/>
        </w:rPr>
        <w:t>Comité pour l</w:t>
      </w:r>
      <w:r w:rsidR="00DA3E41" w:rsidRPr="0076115A">
        <w:rPr>
          <w:lang w:val="fr-FR"/>
        </w:rPr>
        <w:t>’</w:t>
      </w:r>
      <w:r w:rsidRPr="0076115A">
        <w:rPr>
          <w:lang w:val="fr-FR"/>
        </w:rPr>
        <w:t>élimination de la discrimination à l</w:t>
      </w:r>
      <w:r w:rsidR="00DA3E41" w:rsidRPr="0076115A">
        <w:rPr>
          <w:lang w:val="fr-FR"/>
        </w:rPr>
        <w:t>’</w:t>
      </w:r>
      <w:r w:rsidRPr="0076115A">
        <w:rPr>
          <w:lang w:val="fr-FR"/>
        </w:rPr>
        <w:t>égard des femmes</w:t>
      </w:r>
    </w:p>
    <w:p w14:paraId="14431357" w14:textId="77777777" w:rsidR="00F154F3" w:rsidRPr="0076115A" w:rsidRDefault="00F154F3" w:rsidP="00F154F3">
      <w:pPr>
        <w:pStyle w:val="SingleTxt"/>
        <w:spacing w:after="0" w:line="120" w:lineRule="exact"/>
        <w:rPr>
          <w:b/>
          <w:sz w:val="10"/>
          <w:lang w:val="fr-FR"/>
        </w:rPr>
      </w:pPr>
      <w:bookmarkStart w:id="1" w:name="_GoBack"/>
      <w:bookmarkEnd w:id="1"/>
    </w:p>
    <w:p w14:paraId="640DFE6C" w14:textId="77777777" w:rsidR="00F154F3" w:rsidRPr="0076115A" w:rsidRDefault="00F154F3" w:rsidP="00F154F3">
      <w:pPr>
        <w:pStyle w:val="SingleTxt"/>
        <w:spacing w:after="0" w:line="120" w:lineRule="exact"/>
        <w:rPr>
          <w:b/>
          <w:sz w:val="10"/>
          <w:lang w:val="fr-FR"/>
        </w:rPr>
      </w:pPr>
    </w:p>
    <w:p w14:paraId="2D906E3E" w14:textId="77777777" w:rsidR="00F154F3" w:rsidRPr="0076115A" w:rsidRDefault="00F154F3" w:rsidP="00F154F3">
      <w:pPr>
        <w:pStyle w:val="SingleTxt"/>
        <w:spacing w:after="0" w:line="120" w:lineRule="exact"/>
        <w:rPr>
          <w:b/>
          <w:sz w:val="10"/>
          <w:lang w:val="fr-FR"/>
        </w:rPr>
      </w:pPr>
    </w:p>
    <w:p w14:paraId="7D0C6541" w14:textId="026FEBA3" w:rsidR="00F154F3" w:rsidRPr="0076115A" w:rsidRDefault="00F154F3" w:rsidP="00F154F3">
      <w:pPr>
        <w:pStyle w:val="TitleHCH"/>
        <w:ind w:right="1260"/>
        <w:rPr>
          <w:lang w:val="fr-FR"/>
        </w:rPr>
      </w:pPr>
      <w:r w:rsidRPr="0076115A">
        <w:rPr>
          <w:lang w:val="fr-FR"/>
        </w:rPr>
        <w:tab/>
      </w:r>
      <w:r w:rsidRPr="0076115A">
        <w:rPr>
          <w:lang w:val="fr-FR"/>
        </w:rPr>
        <w:tab/>
        <w:t>Observations finales concernant le septième rapport périodique de l</w:t>
      </w:r>
      <w:r w:rsidR="00DA3E41" w:rsidRPr="0076115A">
        <w:rPr>
          <w:lang w:val="fr-FR"/>
        </w:rPr>
        <w:t>’</w:t>
      </w:r>
      <w:r w:rsidRPr="0076115A">
        <w:rPr>
          <w:lang w:val="fr-FR"/>
        </w:rPr>
        <w:t>Iraq</w:t>
      </w:r>
      <w:r w:rsidRPr="0076115A">
        <w:rPr>
          <w:b w:val="0"/>
          <w:sz w:val="20"/>
          <w:szCs w:val="20"/>
          <w:lang w:val="fr-FR"/>
        </w:rPr>
        <w:footnoteReference w:customMarkFollows="1" w:id="1"/>
        <w:t>*</w:t>
      </w:r>
    </w:p>
    <w:p w14:paraId="7BD58F06" w14:textId="4ADCE2BF" w:rsidR="00F154F3" w:rsidRPr="0076115A" w:rsidRDefault="00F154F3" w:rsidP="00F154F3">
      <w:pPr>
        <w:pStyle w:val="SingleTxt"/>
        <w:spacing w:after="0" w:line="120" w:lineRule="exact"/>
        <w:rPr>
          <w:sz w:val="10"/>
          <w:lang w:val="fr-FR"/>
        </w:rPr>
      </w:pPr>
    </w:p>
    <w:p w14:paraId="16F3A61C" w14:textId="1C384928" w:rsidR="00F154F3" w:rsidRPr="0076115A" w:rsidRDefault="00F154F3" w:rsidP="00F154F3">
      <w:pPr>
        <w:pStyle w:val="SingleTxt"/>
        <w:spacing w:after="0" w:line="120" w:lineRule="exact"/>
        <w:rPr>
          <w:sz w:val="10"/>
          <w:lang w:val="fr-FR"/>
        </w:rPr>
      </w:pPr>
    </w:p>
    <w:p w14:paraId="5F957A0E" w14:textId="60235CD8" w:rsidR="00F154F3" w:rsidRPr="0076115A" w:rsidRDefault="00F154F3" w:rsidP="00F154F3">
      <w:pPr>
        <w:pStyle w:val="SingleTxt"/>
        <w:numPr>
          <w:ilvl w:val="0"/>
          <w:numId w:val="41"/>
        </w:numPr>
        <w:spacing w:line="240" w:lineRule="exact"/>
        <w:ind w:left="1267"/>
        <w:rPr>
          <w:lang w:val="fr-FR"/>
        </w:rPr>
      </w:pPr>
      <w:r w:rsidRPr="0076115A">
        <w:rPr>
          <w:lang w:val="fr-FR"/>
        </w:rPr>
        <w:t>Le Comité a examiné le septième rapport périodique de l</w:t>
      </w:r>
      <w:r w:rsidR="00DA3E41" w:rsidRPr="0076115A">
        <w:rPr>
          <w:lang w:val="fr-FR"/>
        </w:rPr>
        <w:t>’</w:t>
      </w:r>
      <w:r w:rsidRPr="0076115A">
        <w:rPr>
          <w:lang w:val="fr-FR"/>
        </w:rPr>
        <w:t>Iraq (</w:t>
      </w:r>
      <w:hyperlink r:id="rId15" w:history="1">
        <w:r w:rsidRPr="0076115A">
          <w:rPr>
            <w:rStyle w:val="Hyperlink"/>
            <w:lang w:val="fr-FR"/>
          </w:rPr>
          <w:t>CEDAW/C/IRQ/7</w:t>
        </w:r>
      </w:hyperlink>
      <w:r w:rsidRPr="0076115A">
        <w:rPr>
          <w:lang w:val="fr-FR"/>
        </w:rPr>
        <w:t>) à ses 1720</w:t>
      </w:r>
      <w:r w:rsidRPr="0076115A">
        <w:rPr>
          <w:vertAlign w:val="superscript"/>
          <w:lang w:val="fr-FR"/>
        </w:rPr>
        <w:t>e</w:t>
      </w:r>
      <w:r w:rsidRPr="0076115A">
        <w:rPr>
          <w:lang w:val="fr-FR"/>
        </w:rPr>
        <w:t xml:space="preserve"> et 1721</w:t>
      </w:r>
      <w:r w:rsidRPr="0076115A">
        <w:rPr>
          <w:vertAlign w:val="superscript"/>
          <w:lang w:val="fr-FR"/>
        </w:rPr>
        <w:t>e</w:t>
      </w:r>
      <w:r w:rsidRPr="0076115A">
        <w:rPr>
          <w:lang w:val="fr-FR"/>
        </w:rPr>
        <w:t xml:space="preserve"> séances (voir </w:t>
      </w:r>
      <w:hyperlink r:id="rId16" w:history="1">
        <w:r w:rsidRPr="0076115A">
          <w:rPr>
            <w:rStyle w:val="Hyperlink"/>
            <w:lang w:val="fr-FR"/>
          </w:rPr>
          <w:t>CEDAW/C/SR.1720</w:t>
        </w:r>
      </w:hyperlink>
      <w:r w:rsidRPr="0076115A">
        <w:rPr>
          <w:lang w:val="fr-FR"/>
        </w:rPr>
        <w:t xml:space="preserve"> et </w:t>
      </w:r>
      <w:hyperlink r:id="rId17" w:history="1">
        <w:r w:rsidRPr="0076115A">
          <w:rPr>
            <w:rStyle w:val="Hyperlink"/>
            <w:lang w:val="fr-FR"/>
          </w:rPr>
          <w:t>CEDAW/C/SR.1721</w:t>
        </w:r>
      </w:hyperlink>
      <w:r w:rsidRPr="0076115A">
        <w:rPr>
          <w:lang w:val="fr-FR"/>
        </w:rPr>
        <w:t>), le 22 octobre 2019. La liste des questions et des points soulevés par le Groupe de travail d</w:t>
      </w:r>
      <w:r w:rsidR="00DA3E41" w:rsidRPr="0076115A">
        <w:rPr>
          <w:lang w:val="fr-FR"/>
        </w:rPr>
        <w:t>’</w:t>
      </w:r>
      <w:r w:rsidRPr="0076115A">
        <w:rPr>
          <w:lang w:val="fr-FR"/>
        </w:rPr>
        <w:t xml:space="preserve">avant-session figure dans </w:t>
      </w:r>
      <w:hyperlink r:id="rId18" w:history="1">
        <w:r w:rsidRPr="0076115A">
          <w:rPr>
            <w:rStyle w:val="Hyperlink"/>
            <w:lang w:val="fr-FR"/>
          </w:rPr>
          <w:t>CEDAW/C/IRQ/Q/7</w:t>
        </w:r>
      </w:hyperlink>
      <w:r w:rsidRPr="0076115A">
        <w:rPr>
          <w:lang w:val="fr-FR"/>
        </w:rPr>
        <w:t xml:space="preserve"> et les réponses de l</w:t>
      </w:r>
      <w:r w:rsidR="00DA3E41" w:rsidRPr="0076115A">
        <w:rPr>
          <w:lang w:val="fr-FR"/>
        </w:rPr>
        <w:t>’</w:t>
      </w:r>
      <w:r w:rsidRPr="0076115A">
        <w:rPr>
          <w:lang w:val="fr-FR"/>
        </w:rPr>
        <w:t xml:space="preserve">Iraq, dans </w:t>
      </w:r>
      <w:hyperlink r:id="rId19" w:history="1">
        <w:r w:rsidRPr="0076115A">
          <w:rPr>
            <w:rStyle w:val="Hyperlink"/>
            <w:lang w:val="fr-FR"/>
          </w:rPr>
          <w:t>CEDAW/C/IRQ/Q/7/Add.1</w:t>
        </w:r>
      </w:hyperlink>
      <w:r w:rsidRPr="0076115A">
        <w:rPr>
          <w:lang w:val="fr-FR"/>
        </w:rPr>
        <w:t>.</w:t>
      </w:r>
    </w:p>
    <w:p w14:paraId="408550CC" w14:textId="55796E4F" w:rsidR="00F154F3" w:rsidRPr="0076115A" w:rsidRDefault="00F154F3" w:rsidP="00F154F3">
      <w:pPr>
        <w:pStyle w:val="SingleTxt"/>
        <w:spacing w:after="0" w:line="120" w:lineRule="exact"/>
        <w:rPr>
          <w:sz w:val="10"/>
          <w:lang w:val="fr-FR"/>
        </w:rPr>
      </w:pPr>
    </w:p>
    <w:p w14:paraId="2E89C27D" w14:textId="75F6FD90" w:rsidR="00F154F3" w:rsidRPr="0076115A" w:rsidRDefault="00F154F3" w:rsidP="00F154F3">
      <w:pPr>
        <w:pStyle w:val="SingleTxt"/>
        <w:spacing w:after="0" w:line="120" w:lineRule="exact"/>
        <w:rPr>
          <w:sz w:val="10"/>
          <w:lang w:val="fr-FR"/>
        </w:rPr>
      </w:pPr>
    </w:p>
    <w:p w14:paraId="04784647" w14:textId="52E82814" w:rsidR="00F154F3" w:rsidRPr="0076115A" w:rsidRDefault="00F154F3" w:rsidP="00F154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t>A.</w:t>
      </w:r>
      <w:r w:rsidRPr="0076115A">
        <w:rPr>
          <w:lang w:val="fr-FR"/>
        </w:rPr>
        <w:tab/>
        <w:t>Introduction</w:t>
      </w:r>
    </w:p>
    <w:p w14:paraId="1E70CAA6" w14:textId="77777777" w:rsidR="00F154F3" w:rsidRPr="0076115A" w:rsidRDefault="00F154F3" w:rsidP="00F154F3">
      <w:pPr>
        <w:pStyle w:val="SingleTxt"/>
        <w:spacing w:after="0" w:line="120" w:lineRule="exact"/>
        <w:rPr>
          <w:sz w:val="10"/>
          <w:lang w:val="fr-FR"/>
        </w:rPr>
      </w:pPr>
    </w:p>
    <w:p w14:paraId="6FB80FC7" w14:textId="77777777" w:rsidR="00F154F3" w:rsidRPr="0076115A" w:rsidRDefault="00F154F3" w:rsidP="00F154F3">
      <w:pPr>
        <w:pStyle w:val="SingleTxt"/>
        <w:spacing w:after="0" w:line="120" w:lineRule="exact"/>
        <w:rPr>
          <w:sz w:val="10"/>
          <w:lang w:val="fr-FR"/>
        </w:rPr>
      </w:pPr>
    </w:p>
    <w:p w14:paraId="152CC772" w14:textId="7ACABD47" w:rsidR="00F154F3" w:rsidRPr="0076115A" w:rsidRDefault="00F154F3" w:rsidP="00F154F3">
      <w:pPr>
        <w:pStyle w:val="SingleTxt"/>
        <w:numPr>
          <w:ilvl w:val="0"/>
          <w:numId w:val="41"/>
        </w:numPr>
        <w:spacing w:line="240" w:lineRule="exact"/>
        <w:ind w:left="1267"/>
        <w:rPr>
          <w:lang w:val="fr-FR"/>
        </w:rPr>
      </w:pPr>
      <w:r w:rsidRPr="0076115A">
        <w:rPr>
          <w:lang w:val="fr-FR"/>
        </w:rPr>
        <w:t>Le Comité accueille avec satisfaction le septième rapport périodique de l</w:t>
      </w:r>
      <w:r w:rsidR="00DA3E41" w:rsidRPr="0076115A">
        <w:rPr>
          <w:lang w:val="fr-FR"/>
        </w:rPr>
        <w:t>’</w:t>
      </w:r>
      <w:r w:rsidRPr="0076115A">
        <w:rPr>
          <w:lang w:val="fr-FR"/>
        </w:rPr>
        <w:t>État partie. Il le remercie des réponses écrites apportées à la liste de points, complétées oralement par la délégation, et des éclaircissements complémentaires donnés en réponse aux questions orales posées par le Comité pendant le dialogue.</w:t>
      </w:r>
    </w:p>
    <w:p w14:paraId="5198D0FF" w14:textId="5D2053C0" w:rsidR="00F154F3" w:rsidRPr="0076115A" w:rsidRDefault="00F154F3" w:rsidP="00235FA3">
      <w:pPr>
        <w:pStyle w:val="SingleTxt"/>
        <w:numPr>
          <w:ilvl w:val="0"/>
          <w:numId w:val="41"/>
        </w:numPr>
        <w:spacing w:line="240" w:lineRule="exact"/>
        <w:ind w:left="1267"/>
        <w:rPr>
          <w:lang w:val="fr-FR"/>
        </w:rPr>
      </w:pPr>
      <w:r w:rsidRPr="0076115A">
        <w:rPr>
          <w:lang w:val="fr-FR"/>
        </w:rPr>
        <w:t>Le Comité remercie l</w:t>
      </w:r>
      <w:r w:rsidR="00DA3E41" w:rsidRPr="0076115A">
        <w:rPr>
          <w:lang w:val="fr-FR"/>
        </w:rPr>
        <w:t>’</w:t>
      </w:r>
      <w:r w:rsidRPr="0076115A">
        <w:rPr>
          <w:lang w:val="fr-FR"/>
        </w:rPr>
        <w:t>État partie d</w:t>
      </w:r>
      <w:r w:rsidR="00DA3E41" w:rsidRPr="0076115A">
        <w:rPr>
          <w:lang w:val="fr-FR"/>
        </w:rPr>
        <w:t>’</w:t>
      </w:r>
      <w:r w:rsidRPr="0076115A">
        <w:rPr>
          <w:lang w:val="fr-FR"/>
        </w:rPr>
        <w:t>avoir envoyé une délégation de haut niveau, conduite par le Représentant permanent de l</w:t>
      </w:r>
      <w:r w:rsidR="00DA3E41" w:rsidRPr="0076115A">
        <w:rPr>
          <w:lang w:val="fr-FR"/>
        </w:rPr>
        <w:t>’</w:t>
      </w:r>
      <w:r w:rsidRPr="0076115A">
        <w:rPr>
          <w:lang w:val="fr-FR"/>
        </w:rPr>
        <w:t>Iraq auprès de l</w:t>
      </w:r>
      <w:r w:rsidR="00DA3E41" w:rsidRPr="0076115A">
        <w:rPr>
          <w:lang w:val="fr-FR"/>
        </w:rPr>
        <w:t>’</w:t>
      </w:r>
      <w:r w:rsidRPr="0076115A">
        <w:rPr>
          <w:lang w:val="fr-FR"/>
        </w:rPr>
        <w:t>Office des Nations Unies et des autres organisations internationales à Genève, M.</w:t>
      </w:r>
      <w:r w:rsidR="0054246F" w:rsidRPr="0076115A">
        <w:rPr>
          <w:lang w:val="fr-FR"/>
        </w:rPr>
        <w:t> </w:t>
      </w:r>
      <w:r w:rsidRPr="0076115A">
        <w:rPr>
          <w:lang w:val="fr-FR"/>
        </w:rPr>
        <w:t>Hussain Mahmood Alkhateeb. La délégation comprenait aussi des représentants de la Chambre des députés, du Conseil d</w:t>
      </w:r>
      <w:r w:rsidR="00DA3E41" w:rsidRPr="0076115A">
        <w:rPr>
          <w:lang w:val="fr-FR"/>
        </w:rPr>
        <w:t>’</w:t>
      </w:r>
      <w:r w:rsidRPr="0076115A">
        <w:rPr>
          <w:lang w:val="fr-FR"/>
        </w:rPr>
        <w:t>État, du cabinet de la Présidence iraquienne, du cabinet du Premier Ministre, du Ministère des affaires étrangères, du Ministère de la justice, du Ministère du travail et des affaires sociales, du Ministère de la santé, du Ministère de l</w:t>
      </w:r>
      <w:r w:rsidR="00DA3E41" w:rsidRPr="0076115A">
        <w:rPr>
          <w:lang w:val="fr-FR"/>
        </w:rPr>
        <w:t>’</w:t>
      </w:r>
      <w:r w:rsidRPr="0076115A">
        <w:rPr>
          <w:lang w:val="fr-FR"/>
        </w:rPr>
        <w:t>intérieur, du Ministère de l</w:t>
      </w:r>
      <w:r w:rsidR="00DA3E41" w:rsidRPr="0076115A">
        <w:rPr>
          <w:lang w:val="fr-FR"/>
        </w:rPr>
        <w:t>’</w:t>
      </w:r>
      <w:r w:rsidRPr="0076115A">
        <w:rPr>
          <w:lang w:val="fr-FR"/>
        </w:rPr>
        <w:t xml:space="preserve">éducation, du Ministère des migrations et des déplacements, de la mairie de Bagdad, de la Haute Commission électorale indépendante, du Bureau des biens de mainmorte chrétiens, yézidis et </w:t>
      </w:r>
      <w:r w:rsidR="0000315A" w:rsidRPr="0076115A">
        <w:rPr>
          <w:lang w:val="fr-FR"/>
        </w:rPr>
        <w:t>sabéens-</w:t>
      </w:r>
      <w:r w:rsidRPr="0076115A">
        <w:rPr>
          <w:lang w:val="fr-FR"/>
        </w:rPr>
        <w:t>mandéens, du Gouvernement de la Région du Kurdistan et de la Mission permanente de l</w:t>
      </w:r>
      <w:r w:rsidR="00DA3E41" w:rsidRPr="0076115A">
        <w:rPr>
          <w:lang w:val="fr-FR"/>
        </w:rPr>
        <w:t>’</w:t>
      </w:r>
      <w:r w:rsidRPr="0076115A">
        <w:rPr>
          <w:lang w:val="fr-FR"/>
        </w:rPr>
        <w:t>Iraq auprès de l</w:t>
      </w:r>
      <w:r w:rsidR="00DA3E41" w:rsidRPr="0076115A">
        <w:rPr>
          <w:lang w:val="fr-FR"/>
        </w:rPr>
        <w:t>’</w:t>
      </w:r>
      <w:r w:rsidRPr="0076115A">
        <w:rPr>
          <w:lang w:val="fr-FR"/>
        </w:rPr>
        <w:t>Office des Nations Unies et des autres organisations internationales à Genève.</w:t>
      </w:r>
    </w:p>
    <w:p w14:paraId="479BA2EB" w14:textId="77777777" w:rsidR="00235FA3" w:rsidRPr="0076115A" w:rsidRDefault="00235FA3" w:rsidP="00235FA3">
      <w:pPr>
        <w:pStyle w:val="SingleTxt"/>
        <w:spacing w:after="0" w:line="120" w:lineRule="exact"/>
        <w:rPr>
          <w:b/>
          <w:sz w:val="10"/>
          <w:lang w:val="fr-FR"/>
        </w:rPr>
      </w:pPr>
    </w:p>
    <w:p w14:paraId="1DAEF357" w14:textId="77777777" w:rsidR="00235FA3" w:rsidRPr="0076115A" w:rsidRDefault="00235FA3" w:rsidP="00235FA3">
      <w:pPr>
        <w:pStyle w:val="SingleTxt"/>
        <w:spacing w:after="0" w:line="120" w:lineRule="exact"/>
        <w:rPr>
          <w:b/>
          <w:sz w:val="10"/>
          <w:lang w:val="fr-FR"/>
        </w:rPr>
      </w:pPr>
    </w:p>
    <w:p w14:paraId="09145FE2" w14:textId="5F14598F" w:rsidR="00F154F3" w:rsidRPr="0076115A" w:rsidRDefault="00F154F3" w:rsidP="00235F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t>B.</w:t>
      </w:r>
      <w:r w:rsidRPr="0076115A">
        <w:rPr>
          <w:lang w:val="fr-FR"/>
        </w:rPr>
        <w:tab/>
        <w:t>Aspects positifs</w:t>
      </w:r>
    </w:p>
    <w:p w14:paraId="2ABCB4D8" w14:textId="2472798B" w:rsidR="00235FA3" w:rsidRPr="0076115A" w:rsidRDefault="00235FA3" w:rsidP="00235FA3">
      <w:pPr>
        <w:pStyle w:val="SingleTxt"/>
        <w:spacing w:after="0" w:line="120" w:lineRule="exact"/>
        <w:rPr>
          <w:sz w:val="10"/>
          <w:lang w:val="fr-FR"/>
        </w:rPr>
      </w:pPr>
    </w:p>
    <w:p w14:paraId="56AD9061" w14:textId="5B88ACA2" w:rsidR="00235FA3" w:rsidRPr="0076115A" w:rsidRDefault="00235FA3" w:rsidP="00235FA3">
      <w:pPr>
        <w:pStyle w:val="SingleTxt"/>
        <w:spacing w:after="0" w:line="120" w:lineRule="exact"/>
        <w:rPr>
          <w:sz w:val="10"/>
          <w:lang w:val="fr-FR"/>
        </w:rPr>
      </w:pPr>
    </w:p>
    <w:p w14:paraId="709E4478" w14:textId="47ADA894" w:rsidR="00F154F3" w:rsidRPr="0076115A" w:rsidRDefault="00F154F3" w:rsidP="00F154F3">
      <w:pPr>
        <w:pStyle w:val="SingleTxt"/>
        <w:numPr>
          <w:ilvl w:val="0"/>
          <w:numId w:val="41"/>
        </w:numPr>
        <w:spacing w:line="240" w:lineRule="exact"/>
        <w:ind w:left="1267"/>
        <w:rPr>
          <w:lang w:val="fr-FR"/>
        </w:rPr>
      </w:pPr>
      <w:r w:rsidRPr="0076115A">
        <w:rPr>
          <w:lang w:val="fr-FR"/>
        </w:rPr>
        <w:t>Le Comité salue les progrès accomplis, depuis l</w:t>
      </w:r>
      <w:r w:rsidR="00DA3E41" w:rsidRPr="0076115A">
        <w:rPr>
          <w:lang w:val="fr-FR"/>
        </w:rPr>
        <w:t>’</w:t>
      </w:r>
      <w:r w:rsidRPr="0076115A">
        <w:rPr>
          <w:lang w:val="fr-FR"/>
        </w:rPr>
        <w:t>examen du rapport valant quatrième et sixième rapports périodiques de l</w:t>
      </w:r>
      <w:r w:rsidR="00DA3E41" w:rsidRPr="0076115A">
        <w:rPr>
          <w:lang w:val="fr-FR"/>
        </w:rPr>
        <w:t>’</w:t>
      </w:r>
      <w:r w:rsidRPr="0076115A">
        <w:rPr>
          <w:lang w:val="fr-FR"/>
        </w:rPr>
        <w:t>État partie (</w:t>
      </w:r>
      <w:hyperlink r:id="rId20" w:history="1">
        <w:r w:rsidRPr="0076115A">
          <w:rPr>
            <w:rStyle w:val="Hyperlink"/>
            <w:lang w:val="fr-FR"/>
          </w:rPr>
          <w:t>CEDAW/C/IRQ/4-6</w:t>
        </w:r>
      </w:hyperlink>
      <w:r w:rsidRPr="0076115A">
        <w:rPr>
          <w:lang w:val="fr-FR"/>
        </w:rPr>
        <w:t xml:space="preserve">), dans </w:t>
      </w:r>
      <w:r w:rsidRPr="0076115A">
        <w:rPr>
          <w:lang w:val="fr-FR"/>
        </w:rPr>
        <w:lastRenderedPageBreak/>
        <w:t>la mise en œuvre de réformes législatives, en particulier l</w:t>
      </w:r>
      <w:r w:rsidR="00DA3E41" w:rsidRPr="0076115A">
        <w:rPr>
          <w:lang w:val="fr-FR"/>
        </w:rPr>
        <w:t>’</w:t>
      </w:r>
      <w:r w:rsidRPr="0076115A">
        <w:rPr>
          <w:lang w:val="fr-FR"/>
        </w:rPr>
        <w:t>adoption, en 2015, du document ci-après</w:t>
      </w:r>
      <w:r w:rsidR="00DA3E41" w:rsidRPr="0076115A">
        <w:rPr>
          <w:lang w:val="fr-FR"/>
        </w:rPr>
        <w:t> :</w:t>
      </w:r>
      <w:r w:rsidR="007F2EF0" w:rsidRPr="0076115A">
        <w:rPr>
          <w:lang w:val="fr-FR"/>
        </w:rPr>
        <w:t xml:space="preserve"> l</w:t>
      </w:r>
      <w:r w:rsidRPr="0076115A">
        <w:rPr>
          <w:lang w:val="fr-FR"/>
        </w:rPr>
        <w:t xml:space="preserve">a loi </w:t>
      </w:r>
      <w:r w:rsidR="00186002" w:rsidRPr="0076115A">
        <w:rPr>
          <w:lang w:val="fr-FR"/>
        </w:rPr>
        <w:t>n</w:t>
      </w:r>
      <w:r w:rsidR="00186002" w:rsidRPr="0076115A">
        <w:rPr>
          <w:vertAlign w:val="superscript"/>
          <w:lang w:val="fr-FR"/>
        </w:rPr>
        <w:t>o</w:t>
      </w:r>
      <w:r w:rsidR="00F5100A" w:rsidRPr="0076115A">
        <w:rPr>
          <w:lang w:val="fr-FR"/>
        </w:rPr>
        <w:t> </w:t>
      </w:r>
      <w:r w:rsidRPr="0076115A">
        <w:rPr>
          <w:lang w:val="fr-FR"/>
        </w:rPr>
        <w:t>37 du Code du travail qui garantit l</w:t>
      </w:r>
      <w:r w:rsidR="00DA3E41" w:rsidRPr="0076115A">
        <w:rPr>
          <w:lang w:val="fr-FR"/>
        </w:rPr>
        <w:t>’</w:t>
      </w:r>
      <w:r w:rsidRPr="0076115A">
        <w:rPr>
          <w:lang w:val="fr-FR"/>
        </w:rPr>
        <w:t>égalité entre les femmes et les hommes et interdit la discrimination et le harcèlement sexuel sur le lieu de travail.</w:t>
      </w:r>
    </w:p>
    <w:p w14:paraId="02B5AA1B" w14:textId="5D46193B" w:rsidR="00F154F3" w:rsidRPr="0076115A" w:rsidRDefault="00F154F3" w:rsidP="00235FA3">
      <w:pPr>
        <w:pStyle w:val="SingleTxt"/>
        <w:numPr>
          <w:ilvl w:val="0"/>
          <w:numId w:val="41"/>
        </w:numPr>
        <w:spacing w:line="240" w:lineRule="exact"/>
        <w:ind w:left="1267"/>
        <w:rPr>
          <w:lang w:val="fr-FR"/>
        </w:rPr>
      </w:pPr>
      <w:r w:rsidRPr="0076115A">
        <w:rPr>
          <w:lang w:val="fr-FR"/>
        </w:rPr>
        <w:t>Le Comité salue les efforts déployés par l</w:t>
      </w:r>
      <w:r w:rsidR="00DA3E41" w:rsidRPr="0076115A">
        <w:rPr>
          <w:lang w:val="fr-FR"/>
        </w:rPr>
        <w:t>’</w:t>
      </w:r>
      <w:r w:rsidRPr="0076115A">
        <w:rPr>
          <w:lang w:val="fr-FR"/>
        </w:rPr>
        <w:t>État partie pour améliorer son cadre institutionnel et ses politiques en vue d</w:t>
      </w:r>
      <w:r w:rsidR="00DA3E41" w:rsidRPr="0076115A">
        <w:rPr>
          <w:lang w:val="fr-FR"/>
        </w:rPr>
        <w:t>’</w:t>
      </w:r>
      <w:r w:rsidRPr="0076115A">
        <w:rPr>
          <w:lang w:val="fr-FR"/>
        </w:rPr>
        <w:t xml:space="preserve"> accélérer l</w:t>
      </w:r>
      <w:r w:rsidR="00DA3E41" w:rsidRPr="0076115A">
        <w:rPr>
          <w:lang w:val="fr-FR"/>
        </w:rPr>
        <w:t>’</w:t>
      </w:r>
      <w:r w:rsidRPr="0076115A">
        <w:rPr>
          <w:lang w:val="fr-FR"/>
        </w:rPr>
        <w:t>élimination de la discrimination à l</w:t>
      </w:r>
      <w:r w:rsidR="00DA3E41" w:rsidRPr="0076115A">
        <w:rPr>
          <w:lang w:val="fr-FR"/>
        </w:rPr>
        <w:t>’</w:t>
      </w:r>
      <w:r w:rsidRPr="0076115A">
        <w:rPr>
          <w:lang w:val="fr-FR"/>
        </w:rPr>
        <w:t>égard des femmes et de promouvoir l</w:t>
      </w:r>
      <w:r w:rsidR="00DA3E41" w:rsidRPr="0076115A">
        <w:rPr>
          <w:lang w:val="fr-FR"/>
        </w:rPr>
        <w:t>’</w:t>
      </w:r>
      <w:r w:rsidRPr="0076115A">
        <w:rPr>
          <w:lang w:val="fr-FR"/>
        </w:rPr>
        <w:t>égalité femmes-hommes, notamment l</w:t>
      </w:r>
      <w:r w:rsidR="00DA3E41" w:rsidRPr="0076115A">
        <w:rPr>
          <w:lang w:val="fr-FR"/>
        </w:rPr>
        <w:t>’</w:t>
      </w:r>
      <w:r w:rsidRPr="0076115A">
        <w:rPr>
          <w:lang w:val="fr-FR"/>
        </w:rPr>
        <w:t>adoption des textes ci-après</w:t>
      </w:r>
      <w:r w:rsidR="00DA3E41" w:rsidRPr="0076115A">
        <w:rPr>
          <w:lang w:val="fr-FR"/>
        </w:rPr>
        <w:t> :</w:t>
      </w:r>
    </w:p>
    <w:p w14:paraId="0E4B80B0" w14:textId="0568AA07" w:rsidR="00F154F3" w:rsidRPr="0076115A" w:rsidRDefault="00F154F3" w:rsidP="00F154F3">
      <w:pPr>
        <w:pStyle w:val="SingleTxt"/>
        <w:rPr>
          <w:lang w:val="fr-FR"/>
        </w:rPr>
      </w:pPr>
      <w:r w:rsidRPr="0076115A">
        <w:rPr>
          <w:lang w:val="fr-FR"/>
        </w:rPr>
        <w:tab/>
        <w:t>a)</w:t>
      </w:r>
      <w:r w:rsidRPr="0076115A">
        <w:rPr>
          <w:lang w:val="fr-FR"/>
        </w:rPr>
        <w:tab/>
        <w:t>La Stratégie nationale sur la violence contre les femmes et les filles (2018</w:t>
      </w:r>
      <w:r w:rsidR="00F5100A" w:rsidRPr="0076115A">
        <w:rPr>
          <w:lang w:val="fr-FR"/>
        </w:rPr>
        <w:noBreakHyphen/>
      </w:r>
      <w:r w:rsidRPr="0076115A">
        <w:rPr>
          <w:lang w:val="fr-FR"/>
        </w:rPr>
        <w:t>2030)</w:t>
      </w:r>
      <w:r w:rsidR="00F5100A" w:rsidRPr="0076115A">
        <w:rPr>
          <w:lang w:val="fr-FR"/>
        </w:rPr>
        <w:t> ;</w:t>
      </w:r>
    </w:p>
    <w:p w14:paraId="0194A03C" w14:textId="5EDDDA52" w:rsidR="00F154F3" w:rsidRPr="0076115A" w:rsidRDefault="00F154F3" w:rsidP="00F154F3">
      <w:pPr>
        <w:pStyle w:val="SingleTxt"/>
        <w:rPr>
          <w:lang w:val="fr-FR"/>
        </w:rPr>
      </w:pPr>
      <w:r w:rsidRPr="0076115A">
        <w:rPr>
          <w:lang w:val="fr-FR"/>
        </w:rPr>
        <w:tab/>
        <w:t>b)</w:t>
      </w:r>
      <w:r w:rsidRPr="0076115A">
        <w:rPr>
          <w:lang w:val="fr-FR"/>
        </w:rPr>
        <w:tab/>
        <w:t>Le plan national de développement (2018-2022), qui garantit la prise en compte systématique des stratégies axées sur l</w:t>
      </w:r>
      <w:r w:rsidR="00DA3E41" w:rsidRPr="0076115A">
        <w:rPr>
          <w:lang w:val="fr-FR"/>
        </w:rPr>
        <w:t>’</w:t>
      </w:r>
      <w:r w:rsidRPr="0076115A">
        <w:rPr>
          <w:lang w:val="fr-FR"/>
        </w:rPr>
        <w:t>égalité femmes-hommes dans les politiques nationales</w:t>
      </w:r>
      <w:r w:rsidR="00F5100A" w:rsidRPr="0076115A">
        <w:rPr>
          <w:lang w:val="fr-FR"/>
        </w:rPr>
        <w:t> ;</w:t>
      </w:r>
    </w:p>
    <w:p w14:paraId="420846DE" w14:textId="33539364" w:rsidR="00F154F3" w:rsidRPr="0076115A" w:rsidRDefault="00F154F3" w:rsidP="00F154F3">
      <w:pPr>
        <w:pStyle w:val="SingleTxt"/>
        <w:rPr>
          <w:lang w:val="fr-FR"/>
        </w:rPr>
      </w:pPr>
      <w:r w:rsidRPr="0076115A">
        <w:rPr>
          <w:lang w:val="fr-FR"/>
        </w:rPr>
        <w:tab/>
        <w:t>c)</w:t>
      </w:r>
      <w:r w:rsidRPr="0076115A">
        <w:rPr>
          <w:lang w:val="fr-FR"/>
        </w:rPr>
        <w:tab/>
        <w:t>La Vision 2030, adoptée en 2019, visant à garantir la mise en œuvre globale des objectifs de développement durable, notamment la cible 5.1 qui consiste à mettre fin à toutes les formes de discrimination à l</w:t>
      </w:r>
      <w:r w:rsidR="00DA3E41" w:rsidRPr="0076115A">
        <w:rPr>
          <w:lang w:val="fr-FR"/>
        </w:rPr>
        <w:t>’</w:t>
      </w:r>
      <w:r w:rsidRPr="0076115A">
        <w:rPr>
          <w:lang w:val="fr-FR"/>
        </w:rPr>
        <w:t>égard des femmes et des filles.</w:t>
      </w:r>
    </w:p>
    <w:p w14:paraId="49DBADFE" w14:textId="0BAECC2F" w:rsidR="00D43532" w:rsidRPr="0076115A" w:rsidRDefault="00D43532" w:rsidP="00D43532">
      <w:pPr>
        <w:pStyle w:val="SingleTxt"/>
        <w:spacing w:after="0" w:line="120" w:lineRule="exact"/>
        <w:rPr>
          <w:sz w:val="10"/>
          <w:lang w:val="fr-FR"/>
        </w:rPr>
      </w:pPr>
    </w:p>
    <w:p w14:paraId="01B526C2" w14:textId="77777777"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Objectifs de développement durable</w:t>
      </w:r>
    </w:p>
    <w:p w14:paraId="54FE9BB3" w14:textId="77777777" w:rsidR="00D43532" w:rsidRPr="0076115A" w:rsidRDefault="00D43532" w:rsidP="00D43532">
      <w:pPr>
        <w:pStyle w:val="SingleTxt"/>
        <w:spacing w:after="0" w:line="120" w:lineRule="exact"/>
        <w:rPr>
          <w:sz w:val="10"/>
          <w:lang w:val="fr-FR"/>
        </w:rPr>
      </w:pPr>
    </w:p>
    <w:p w14:paraId="1B3545B2" w14:textId="3C39D0EE"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se félicite de l</w:t>
      </w:r>
      <w:r w:rsidR="00DA3E41" w:rsidRPr="0076115A">
        <w:rPr>
          <w:b/>
          <w:bCs/>
          <w:lang w:val="fr-FR"/>
        </w:rPr>
        <w:t>’</w:t>
      </w:r>
      <w:r w:rsidRPr="0076115A">
        <w:rPr>
          <w:b/>
          <w:bCs/>
          <w:lang w:val="fr-FR"/>
        </w:rPr>
        <w:t>appui apporté par la communauté internationale aux objectifs de développement durable et invite l</w:t>
      </w:r>
      <w:r w:rsidR="00DA3E41" w:rsidRPr="0076115A">
        <w:rPr>
          <w:b/>
          <w:bCs/>
          <w:lang w:val="fr-FR"/>
        </w:rPr>
        <w:t>’</w:t>
      </w:r>
      <w:r w:rsidRPr="0076115A">
        <w:rPr>
          <w:b/>
          <w:bCs/>
          <w:lang w:val="fr-FR"/>
        </w:rPr>
        <w:t>État partie à réaliser l</w:t>
      </w:r>
      <w:r w:rsidR="00DA3E41" w:rsidRPr="0076115A">
        <w:rPr>
          <w:b/>
          <w:bCs/>
          <w:lang w:val="fr-FR"/>
        </w:rPr>
        <w:t>’</w:t>
      </w:r>
      <w:r w:rsidRPr="0076115A">
        <w:rPr>
          <w:b/>
          <w:bCs/>
          <w:lang w:val="fr-FR"/>
        </w:rPr>
        <w:t>égalité de droit et de fait entre les femmes et les hommes, conformément aux dispositions de la Convention, dans tous les aspects de la mise en œuvre du Programme de développement durable à l</w:t>
      </w:r>
      <w:r w:rsidR="00DA3E41" w:rsidRPr="0076115A">
        <w:rPr>
          <w:b/>
          <w:bCs/>
          <w:lang w:val="fr-FR"/>
        </w:rPr>
        <w:t>’</w:t>
      </w:r>
      <w:r w:rsidRPr="0076115A">
        <w:rPr>
          <w:b/>
          <w:bCs/>
          <w:lang w:val="fr-FR"/>
        </w:rPr>
        <w:t>horizon 2030.</w:t>
      </w:r>
      <w:r w:rsidRPr="0076115A">
        <w:rPr>
          <w:lang w:val="fr-FR"/>
        </w:rPr>
        <w:t xml:space="preserve"> </w:t>
      </w:r>
      <w:r w:rsidRPr="0076115A">
        <w:rPr>
          <w:b/>
          <w:bCs/>
          <w:lang w:val="fr-FR"/>
        </w:rPr>
        <w:t>Il rappelle l</w:t>
      </w:r>
      <w:r w:rsidR="00DA3E41" w:rsidRPr="0076115A">
        <w:rPr>
          <w:b/>
          <w:bCs/>
          <w:lang w:val="fr-FR"/>
        </w:rPr>
        <w:t>’</w:t>
      </w:r>
      <w:r w:rsidRPr="0076115A">
        <w:rPr>
          <w:b/>
          <w:bCs/>
          <w:lang w:val="fr-FR"/>
        </w:rPr>
        <w:t>importance de l</w:t>
      </w:r>
      <w:r w:rsidR="00DA3E41" w:rsidRPr="0076115A">
        <w:rPr>
          <w:b/>
          <w:bCs/>
          <w:lang w:val="fr-FR"/>
        </w:rPr>
        <w:t>’</w:t>
      </w:r>
      <w:r w:rsidRPr="0076115A">
        <w:rPr>
          <w:b/>
          <w:bCs/>
          <w:lang w:val="fr-FR"/>
        </w:rPr>
        <w:t>objectif</w:t>
      </w:r>
      <w:r w:rsidR="00F5100A" w:rsidRPr="0076115A">
        <w:rPr>
          <w:b/>
          <w:bCs/>
          <w:lang w:val="fr-FR"/>
        </w:rPr>
        <w:t> </w:t>
      </w:r>
      <w:r w:rsidRPr="0076115A">
        <w:rPr>
          <w:b/>
          <w:bCs/>
          <w:lang w:val="fr-FR"/>
        </w:rPr>
        <w:t>5 et de la prise en compte systématique des principes d</w:t>
      </w:r>
      <w:r w:rsidR="00DA3E41" w:rsidRPr="0076115A">
        <w:rPr>
          <w:b/>
          <w:bCs/>
          <w:lang w:val="fr-FR"/>
        </w:rPr>
        <w:t>’</w:t>
      </w:r>
      <w:r w:rsidRPr="0076115A">
        <w:rPr>
          <w:b/>
          <w:bCs/>
          <w:lang w:val="fr-FR"/>
        </w:rPr>
        <w:t>égalité et de non</w:t>
      </w:r>
      <w:r w:rsidR="0054246F" w:rsidRPr="0076115A">
        <w:rPr>
          <w:b/>
          <w:bCs/>
          <w:lang w:val="fr-FR"/>
        </w:rPr>
        <w:noBreakHyphen/>
      </w:r>
      <w:r w:rsidRPr="0076115A">
        <w:rPr>
          <w:b/>
          <w:bCs/>
          <w:lang w:val="fr-FR"/>
        </w:rPr>
        <w:t>discrimination dans la réalisation des 17 objectifs.</w:t>
      </w:r>
      <w:r w:rsidRPr="0076115A">
        <w:rPr>
          <w:lang w:val="fr-FR"/>
        </w:rPr>
        <w:t xml:space="preserve"> </w:t>
      </w:r>
      <w:r w:rsidRPr="0076115A">
        <w:rPr>
          <w:b/>
          <w:bCs/>
          <w:lang w:val="fr-FR"/>
        </w:rPr>
        <w:t>Il encourage vivement l</w:t>
      </w:r>
      <w:r w:rsidR="00DA3E41" w:rsidRPr="0076115A">
        <w:rPr>
          <w:b/>
          <w:bCs/>
          <w:lang w:val="fr-FR"/>
        </w:rPr>
        <w:t>’</w:t>
      </w:r>
      <w:r w:rsidRPr="0076115A">
        <w:rPr>
          <w:b/>
          <w:bCs/>
          <w:lang w:val="fr-FR"/>
        </w:rPr>
        <w:t>État partie à reconnaître le rôle moteur des femmes dans le développement durable du pays et à adopter des politiques et des stratégies en ce sens.</w:t>
      </w:r>
    </w:p>
    <w:p w14:paraId="754B78C4" w14:textId="77777777" w:rsidR="00D43532" w:rsidRPr="0076115A" w:rsidRDefault="00D43532" w:rsidP="00D43532">
      <w:pPr>
        <w:pStyle w:val="SingleTxt"/>
        <w:spacing w:after="0" w:line="120" w:lineRule="exact"/>
        <w:rPr>
          <w:b/>
          <w:sz w:val="10"/>
          <w:lang w:val="fr-FR"/>
        </w:rPr>
      </w:pPr>
    </w:p>
    <w:p w14:paraId="17918F47" w14:textId="77777777" w:rsidR="00D43532" w:rsidRPr="0076115A" w:rsidRDefault="00D43532" w:rsidP="00D43532">
      <w:pPr>
        <w:pStyle w:val="SingleTxt"/>
        <w:spacing w:after="0" w:line="120" w:lineRule="exact"/>
        <w:rPr>
          <w:b/>
          <w:sz w:val="10"/>
          <w:lang w:val="fr-FR"/>
        </w:rPr>
      </w:pPr>
    </w:p>
    <w:p w14:paraId="7FB9FD56" w14:textId="6B64DD7A" w:rsidR="00F154F3" w:rsidRPr="0076115A" w:rsidRDefault="00F154F3" w:rsidP="00D435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t>C.</w:t>
      </w:r>
      <w:r w:rsidRPr="0076115A">
        <w:rPr>
          <w:lang w:val="fr-FR"/>
        </w:rPr>
        <w:tab/>
        <w:t>Parlement</w:t>
      </w:r>
    </w:p>
    <w:p w14:paraId="144C343D" w14:textId="77777777" w:rsidR="00D43532" w:rsidRPr="0076115A" w:rsidRDefault="00D43532" w:rsidP="00D43532">
      <w:pPr>
        <w:pStyle w:val="SingleTxt"/>
        <w:spacing w:after="0" w:line="120" w:lineRule="exact"/>
        <w:rPr>
          <w:sz w:val="10"/>
          <w:lang w:val="fr-FR"/>
        </w:rPr>
      </w:pPr>
    </w:p>
    <w:p w14:paraId="2FEC1A3B" w14:textId="77777777" w:rsidR="00D43532" w:rsidRPr="0076115A" w:rsidRDefault="00D43532" w:rsidP="00D43532">
      <w:pPr>
        <w:pStyle w:val="SingleTxt"/>
        <w:spacing w:after="0" w:line="120" w:lineRule="exact"/>
        <w:rPr>
          <w:sz w:val="10"/>
          <w:lang w:val="fr-FR"/>
        </w:rPr>
      </w:pPr>
    </w:p>
    <w:p w14:paraId="437F6690" w14:textId="6C2914FF"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souligne le rôle essentiel du pouvoir législatif s</w:t>
      </w:r>
      <w:r w:rsidR="00DA3E41" w:rsidRPr="0076115A">
        <w:rPr>
          <w:b/>
          <w:bCs/>
          <w:lang w:val="fr-FR"/>
        </w:rPr>
        <w:t>’</w:t>
      </w:r>
      <w:r w:rsidRPr="0076115A">
        <w:rPr>
          <w:b/>
          <w:bCs/>
          <w:lang w:val="fr-FR"/>
        </w:rPr>
        <w:t xml:space="preserve">agissant de garantir la pleine mise en œuvre de la Convention (voir </w:t>
      </w:r>
      <w:hyperlink r:id="rId21" w:history="1">
        <w:r w:rsidRPr="0076115A">
          <w:rPr>
            <w:rStyle w:val="Hyperlink"/>
            <w:b/>
            <w:bCs/>
            <w:lang w:val="fr-FR"/>
          </w:rPr>
          <w:t>A/65/38</w:t>
        </w:r>
      </w:hyperlink>
      <w:r w:rsidRPr="0076115A">
        <w:rPr>
          <w:b/>
          <w:bCs/>
          <w:lang w:val="fr-FR"/>
        </w:rPr>
        <w:t>, deuxième partie, annexe</w:t>
      </w:r>
      <w:r w:rsidR="00F5100A" w:rsidRPr="0076115A">
        <w:rPr>
          <w:b/>
          <w:bCs/>
          <w:lang w:val="fr-FR"/>
        </w:rPr>
        <w:t> </w:t>
      </w:r>
      <w:r w:rsidRPr="0076115A">
        <w:rPr>
          <w:b/>
          <w:bCs/>
          <w:lang w:val="fr-FR"/>
        </w:rPr>
        <w:t>VI).</w:t>
      </w:r>
      <w:r w:rsidRPr="0076115A">
        <w:rPr>
          <w:lang w:val="fr-FR"/>
        </w:rPr>
        <w:t xml:space="preserve"> </w:t>
      </w:r>
      <w:r w:rsidRPr="0076115A">
        <w:rPr>
          <w:b/>
          <w:bCs/>
          <w:lang w:val="fr-FR"/>
        </w:rPr>
        <w:t>Il invite la Chambre des députés, les conseils provinciaux, et le Parlement de la Région du Kurdistan, dans le cadre de leur mandat, à prendre les mesures nécessaires en vue de mettre en œuvre les présentes observations finales avant la soumission du prochain rapport périodique, en application de la Convention.</w:t>
      </w:r>
    </w:p>
    <w:p w14:paraId="1D07F3DD" w14:textId="77777777" w:rsidR="00D43532" w:rsidRPr="0076115A" w:rsidRDefault="00D43532" w:rsidP="00D43532">
      <w:pPr>
        <w:pStyle w:val="SingleTxt"/>
        <w:spacing w:after="0" w:line="120" w:lineRule="exact"/>
        <w:rPr>
          <w:b/>
          <w:sz w:val="10"/>
          <w:lang w:val="fr-FR"/>
        </w:rPr>
      </w:pPr>
    </w:p>
    <w:p w14:paraId="3E79C283" w14:textId="77777777" w:rsidR="00D43532" w:rsidRPr="0076115A" w:rsidRDefault="00D43532" w:rsidP="00D43532">
      <w:pPr>
        <w:pStyle w:val="SingleTxt"/>
        <w:spacing w:after="0" w:line="120" w:lineRule="exact"/>
        <w:rPr>
          <w:b/>
          <w:sz w:val="10"/>
          <w:lang w:val="fr-FR"/>
        </w:rPr>
      </w:pPr>
    </w:p>
    <w:p w14:paraId="098E7D34" w14:textId="552318C3" w:rsidR="00F154F3" w:rsidRPr="0076115A" w:rsidRDefault="00F154F3" w:rsidP="00D435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t>D.</w:t>
      </w:r>
      <w:r w:rsidRPr="0076115A">
        <w:rPr>
          <w:lang w:val="fr-FR"/>
        </w:rPr>
        <w:tab/>
        <w:t>Principaux sujets de préoccupation et recommandations</w:t>
      </w:r>
    </w:p>
    <w:p w14:paraId="77EE0F68" w14:textId="62E8FBB3" w:rsidR="00D43532" w:rsidRPr="0076115A" w:rsidRDefault="00D43532" w:rsidP="002A08A7">
      <w:pPr>
        <w:pStyle w:val="SingleTxt"/>
        <w:spacing w:after="0" w:line="120" w:lineRule="exact"/>
        <w:rPr>
          <w:b/>
          <w:sz w:val="10"/>
          <w:lang w:val="fr-FR"/>
        </w:rPr>
      </w:pPr>
    </w:p>
    <w:p w14:paraId="1F0CE8FB" w14:textId="77777777" w:rsidR="002A08A7" w:rsidRPr="0076115A" w:rsidRDefault="002A08A7" w:rsidP="00D43532">
      <w:pPr>
        <w:pStyle w:val="SingleTxt"/>
        <w:spacing w:after="0" w:line="120" w:lineRule="exact"/>
        <w:rPr>
          <w:b/>
          <w:sz w:val="10"/>
          <w:lang w:val="fr-FR"/>
        </w:rPr>
      </w:pPr>
    </w:p>
    <w:p w14:paraId="3A65F408" w14:textId="6027F4FA"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Contexte général</w:t>
      </w:r>
    </w:p>
    <w:p w14:paraId="4C93159B" w14:textId="77777777" w:rsidR="00D43532" w:rsidRPr="0076115A" w:rsidRDefault="00D43532" w:rsidP="00D43532">
      <w:pPr>
        <w:pStyle w:val="SingleTxt"/>
        <w:spacing w:after="0" w:line="120" w:lineRule="exact"/>
        <w:rPr>
          <w:sz w:val="10"/>
          <w:lang w:val="fr-FR"/>
        </w:rPr>
      </w:pPr>
    </w:p>
    <w:p w14:paraId="744F9CF6" w14:textId="0CC9B307" w:rsidR="00F154F3" w:rsidRPr="0076115A" w:rsidRDefault="00F154F3" w:rsidP="00D43532">
      <w:pPr>
        <w:pStyle w:val="SingleTxt"/>
        <w:numPr>
          <w:ilvl w:val="0"/>
          <w:numId w:val="41"/>
        </w:numPr>
        <w:spacing w:line="240" w:lineRule="exact"/>
        <w:ind w:left="1267"/>
        <w:rPr>
          <w:lang w:val="fr-FR"/>
        </w:rPr>
      </w:pPr>
      <w:r w:rsidRPr="0076115A">
        <w:rPr>
          <w:lang w:val="fr-FR"/>
        </w:rPr>
        <w:t>Le Comité constate les conséquences extrêmement graves découlant du contrôle de certaines régions par l</w:t>
      </w:r>
      <w:r w:rsidR="00DA3E41" w:rsidRPr="0076115A">
        <w:rPr>
          <w:lang w:val="fr-FR"/>
        </w:rPr>
        <w:t>’</w:t>
      </w:r>
      <w:r w:rsidRPr="0076115A">
        <w:rPr>
          <w:lang w:val="fr-FR"/>
        </w:rPr>
        <w:t>État islamique d</w:t>
      </w:r>
      <w:r w:rsidR="00DA3E41" w:rsidRPr="0076115A">
        <w:rPr>
          <w:lang w:val="fr-FR"/>
        </w:rPr>
        <w:t>’</w:t>
      </w:r>
      <w:r w:rsidRPr="0076115A">
        <w:rPr>
          <w:lang w:val="fr-FR"/>
        </w:rPr>
        <w:t>Iraq et du Levant (EIIL), entre 2014 et fin 2017, date de sa défaite militaire, l</w:t>
      </w:r>
      <w:r w:rsidR="00DA3E41" w:rsidRPr="0076115A">
        <w:rPr>
          <w:lang w:val="fr-FR"/>
        </w:rPr>
        <w:t>’</w:t>
      </w:r>
      <w:r w:rsidRPr="0076115A">
        <w:rPr>
          <w:lang w:val="fr-FR"/>
        </w:rPr>
        <w:t>instabilité politique et la présence de groupes armés, les actes terroristes commis par des groupes criminels appartenant à l</w:t>
      </w:r>
      <w:r w:rsidR="00DA3E41" w:rsidRPr="0076115A">
        <w:rPr>
          <w:lang w:val="fr-FR"/>
        </w:rPr>
        <w:t>’</w:t>
      </w:r>
      <w:r w:rsidRPr="0076115A">
        <w:rPr>
          <w:lang w:val="fr-FR"/>
        </w:rPr>
        <w:t>EIIL, le renforcement des divisions confessionnelles et ethniques et la montée de l</w:t>
      </w:r>
      <w:r w:rsidR="00DA3E41" w:rsidRPr="0076115A">
        <w:rPr>
          <w:lang w:val="fr-FR"/>
        </w:rPr>
        <w:t>’</w:t>
      </w:r>
      <w:r w:rsidRPr="0076115A">
        <w:rPr>
          <w:lang w:val="fr-FR"/>
        </w:rPr>
        <w:t>extrémisme violent, qui ont engendré de graves violations des droits des femmes et entravent sérieusement l</w:t>
      </w:r>
      <w:r w:rsidR="00DA3E41" w:rsidRPr="0076115A">
        <w:rPr>
          <w:lang w:val="fr-FR"/>
        </w:rPr>
        <w:t>’</w:t>
      </w:r>
      <w:r w:rsidRPr="0076115A">
        <w:rPr>
          <w:lang w:val="fr-FR"/>
        </w:rPr>
        <w:t>exercice des droits consacrés par la Convention. Il rappelle à l</w:t>
      </w:r>
      <w:r w:rsidR="00DA3E41" w:rsidRPr="0076115A">
        <w:rPr>
          <w:lang w:val="fr-FR"/>
        </w:rPr>
        <w:t>’</w:t>
      </w:r>
      <w:r w:rsidRPr="0076115A">
        <w:rPr>
          <w:lang w:val="fr-FR"/>
        </w:rPr>
        <w:t>État partie qu</w:t>
      </w:r>
      <w:r w:rsidR="00DA3E41" w:rsidRPr="0076115A">
        <w:rPr>
          <w:lang w:val="fr-FR"/>
        </w:rPr>
        <w:t>’</w:t>
      </w:r>
      <w:r w:rsidRPr="0076115A">
        <w:rPr>
          <w:lang w:val="fr-FR"/>
        </w:rPr>
        <w:t>il lui incombe au premier chef de protéger sa population et qu</w:t>
      </w:r>
      <w:r w:rsidR="00DA3E41" w:rsidRPr="0076115A">
        <w:rPr>
          <w:lang w:val="fr-FR"/>
        </w:rPr>
        <w:t>’</w:t>
      </w:r>
      <w:r w:rsidRPr="0076115A">
        <w:rPr>
          <w:lang w:val="fr-FR"/>
        </w:rPr>
        <w:t xml:space="preserve">il devrait, par conséquent, prendre des mesures de toute urgence pour mettre fin </w:t>
      </w:r>
      <w:r w:rsidRPr="0076115A">
        <w:rPr>
          <w:lang w:val="fr-FR"/>
        </w:rPr>
        <w:lastRenderedPageBreak/>
        <w:t>immédiatement à l</w:t>
      </w:r>
      <w:r w:rsidR="00DA3E41" w:rsidRPr="0076115A">
        <w:rPr>
          <w:lang w:val="fr-FR"/>
        </w:rPr>
        <w:t>’</w:t>
      </w:r>
      <w:r w:rsidRPr="0076115A">
        <w:rPr>
          <w:lang w:val="fr-FR"/>
        </w:rPr>
        <w:t>usage excessif et meurtrier de la force contre la population civile et prévenir de nouvelles violences, dont les meurtres et les blessures, notamment à l</w:t>
      </w:r>
      <w:r w:rsidR="00DA3E41" w:rsidRPr="0076115A">
        <w:rPr>
          <w:lang w:val="fr-FR"/>
        </w:rPr>
        <w:t>’</w:t>
      </w:r>
      <w:r w:rsidRPr="0076115A">
        <w:rPr>
          <w:lang w:val="fr-FR"/>
        </w:rPr>
        <w:t>égard des femmes et des enfants.</w:t>
      </w:r>
    </w:p>
    <w:p w14:paraId="558BA78F" w14:textId="77777777" w:rsidR="00D43532" w:rsidRPr="0076115A" w:rsidRDefault="00D43532" w:rsidP="00D43532">
      <w:pPr>
        <w:pStyle w:val="SingleTxt"/>
        <w:spacing w:after="0" w:line="120" w:lineRule="exact"/>
        <w:rPr>
          <w:b/>
          <w:sz w:val="10"/>
          <w:lang w:val="fr-FR"/>
        </w:rPr>
      </w:pPr>
    </w:p>
    <w:p w14:paraId="27839DAD" w14:textId="6E3BFCF8" w:rsidR="00F154F3" w:rsidRPr="0076115A" w:rsidRDefault="00D43532"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00F154F3" w:rsidRPr="0076115A">
        <w:rPr>
          <w:lang w:val="fr-FR"/>
        </w:rPr>
        <w:tab/>
        <w:t>Retrait des réserves</w:t>
      </w:r>
    </w:p>
    <w:p w14:paraId="48CC321E" w14:textId="77777777" w:rsidR="00D43532" w:rsidRPr="0076115A" w:rsidRDefault="00D43532" w:rsidP="00D43532">
      <w:pPr>
        <w:pStyle w:val="SingleTxt"/>
        <w:spacing w:after="0" w:line="120" w:lineRule="exact"/>
        <w:rPr>
          <w:sz w:val="10"/>
          <w:lang w:val="fr-FR"/>
        </w:rPr>
      </w:pPr>
    </w:p>
    <w:p w14:paraId="0C569655" w14:textId="4BE202B7" w:rsidR="00F154F3" w:rsidRPr="0076115A" w:rsidRDefault="00F154F3" w:rsidP="00D43532">
      <w:pPr>
        <w:pStyle w:val="SingleTxt"/>
        <w:numPr>
          <w:ilvl w:val="0"/>
          <w:numId w:val="41"/>
        </w:numPr>
        <w:spacing w:line="240" w:lineRule="exact"/>
        <w:ind w:left="1267"/>
        <w:rPr>
          <w:lang w:val="fr-FR"/>
        </w:rPr>
      </w:pPr>
      <w:r w:rsidRPr="0076115A">
        <w:rPr>
          <w:lang w:val="fr-FR"/>
        </w:rPr>
        <w:t>Le Comité se félicite que l</w:t>
      </w:r>
      <w:r w:rsidR="00DA3E41" w:rsidRPr="0076115A">
        <w:rPr>
          <w:lang w:val="fr-FR"/>
        </w:rPr>
        <w:t>’</w:t>
      </w:r>
      <w:r w:rsidRPr="0076115A">
        <w:rPr>
          <w:lang w:val="fr-FR"/>
        </w:rPr>
        <w:t>État partie ait retiré sa réserve à l</w:t>
      </w:r>
      <w:r w:rsidR="00DA3E41" w:rsidRPr="0076115A">
        <w:rPr>
          <w:lang w:val="fr-FR"/>
        </w:rPr>
        <w:t>’</w:t>
      </w:r>
      <w:r w:rsidRPr="0076115A">
        <w:rPr>
          <w:lang w:val="fr-FR"/>
        </w:rPr>
        <w:t>article 9 de la Convention mais, malgré les explications données par la délégation, reste préoccupé par la réticence de l</w:t>
      </w:r>
      <w:r w:rsidR="00DA3E41" w:rsidRPr="0076115A">
        <w:rPr>
          <w:lang w:val="fr-FR"/>
        </w:rPr>
        <w:t>’</w:t>
      </w:r>
      <w:r w:rsidRPr="0076115A">
        <w:rPr>
          <w:lang w:val="fr-FR"/>
        </w:rPr>
        <w:t>État partie à retirer ses réserves à l</w:t>
      </w:r>
      <w:r w:rsidR="00DA3E41" w:rsidRPr="0076115A">
        <w:rPr>
          <w:lang w:val="fr-FR"/>
        </w:rPr>
        <w:t>’</w:t>
      </w:r>
      <w:r w:rsidRPr="0076115A">
        <w:rPr>
          <w:lang w:val="fr-FR"/>
        </w:rPr>
        <w:t>article 2 f) et g) et à l</w:t>
      </w:r>
      <w:r w:rsidR="00DA3E41" w:rsidRPr="0076115A">
        <w:rPr>
          <w:lang w:val="fr-FR"/>
        </w:rPr>
        <w:t>’</w:t>
      </w:r>
      <w:r w:rsidRPr="0076115A">
        <w:rPr>
          <w:lang w:val="fr-FR"/>
        </w:rPr>
        <w:t>article</w:t>
      </w:r>
      <w:r w:rsidR="00F5100A" w:rsidRPr="0076115A">
        <w:rPr>
          <w:lang w:val="fr-FR"/>
        </w:rPr>
        <w:t> </w:t>
      </w:r>
      <w:r w:rsidRPr="0076115A">
        <w:rPr>
          <w:lang w:val="fr-FR"/>
        </w:rPr>
        <w:t>16 de la Convention.</w:t>
      </w:r>
    </w:p>
    <w:p w14:paraId="3F02BE21" w14:textId="7F1775AA" w:rsidR="00F154F3" w:rsidRPr="0076115A" w:rsidRDefault="00F154F3" w:rsidP="00D43532">
      <w:pPr>
        <w:pStyle w:val="SingleTxt"/>
        <w:numPr>
          <w:ilvl w:val="0"/>
          <w:numId w:val="41"/>
        </w:numPr>
        <w:spacing w:line="240" w:lineRule="exact"/>
        <w:ind w:left="1267"/>
        <w:rPr>
          <w:b/>
          <w:bCs/>
          <w:lang w:val="fr-FR"/>
        </w:rPr>
      </w:pPr>
      <w:r w:rsidRPr="0076115A">
        <w:rPr>
          <w:b/>
          <w:bCs/>
          <w:lang w:val="fr-FR"/>
        </w:rPr>
        <w:t>Le Comité réitère sa recommandation précédente (</w:t>
      </w:r>
      <w:hyperlink r:id="rId22" w:history="1">
        <w:r w:rsidRPr="0076115A">
          <w:rPr>
            <w:rStyle w:val="Hyperlink"/>
            <w:b/>
            <w:bCs/>
            <w:lang w:val="fr-FR"/>
          </w:rPr>
          <w:t>CEDAW/C/IRQ/CO/4</w:t>
        </w:r>
        <w:r w:rsidR="00F5100A" w:rsidRPr="0076115A">
          <w:rPr>
            <w:rStyle w:val="Hyperlink"/>
            <w:b/>
            <w:bCs/>
            <w:lang w:val="fr-FR"/>
          </w:rPr>
          <w:noBreakHyphen/>
        </w:r>
        <w:r w:rsidRPr="0076115A">
          <w:rPr>
            <w:rStyle w:val="Hyperlink"/>
            <w:b/>
            <w:bCs/>
            <w:lang w:val="fr-FR"/>
          </w:rPr>
          <w:t>6</w:t>
        </w:r>
      </w:hyperlink>
      <w:r w:rsidRPr="0076115A">
        <w:rPr>
          <w:b/>
          <w:bCs/>
          <w:lang w:val="fr-FR"/>
        </w:rPr>
        <w:t>, par. 16) et invite instamment l</w:t>
      </w:r>
      <w:r w:rsidR="00DA3E41" w:rsidRPr="0076115A">
        <w:rPr>
          <w:b/>
          <w:bCs/>
          <w:lang w:val="fr-FR"/>
        </w:rPr>
        <w:t>’</w:t>
      </w:r>
      <w:r w:rsidRPr="0076115A">
        <w:rPr>
          <w:b/>
          <w:bCs/>
          <w:lang w:val="fr-FR"/>
        </w:rPr>
        <w:t>État partie à intensifier les efforts qu</w:t>
      </w:r>
      <w:r w:rsidR="00DA3E41" w:rsidRPr="0076115A">
        <w:rPr>
          <w:b/>
          <w:bCs/>
          <w:lang w:val="fr-FR"/>
        </w:rPr>
        <w:t>’</w:t>
      </w:r>
      <w:r w:rsidRPr="0076115A">
        <w:rPr>
          <w:b/>
          <w:bCs/>
          <w:lang w:val="fr-FR"/>
        </w:rPr>
        <w:t>il fait pour retirer ses réserves à l</w:t>
      </w:r>
      <w:r w:rsidR="00DA3E41" w:rsidRPr="0076115A">
        <w:rPr>
          <w:b/>
          <w:bCs/>
          <w:lang w:val="fr-FR"/>
        </w:rPr>
        <w:t>’</w:t>
      </w:r>
      <w:r w:rsidRPr="0076115A">
        <w:rPr>
          <w:b/>
          <w:bCs/>
          <w:lang w:val="fr-FR"/>
        </w:rPr>
        <w:t>article 2 f) et g) et à l</w:t>
      </w:r>
      <w:r w:rsidR="00DA3E41" w:rsidRPr="0076115A">
        <w:rPr>
          <w:b/>
          <w:bCs/>
          <w:lang w:val="fr-FR"/>
        </w:rPr>
        <w:t>’</w:t>
      </w:r>
      <w:r w:rsidRPr="0076115A">
        <w:rPr>
          <w:b/>
          <w:bCs/>
          <w:lang w:val="fr-FR"/>
        </w:rPr>
        <w:t>article 16 de la Convention, réserves qui sont incompatibles avec le but et l</w:t>
      </w:r>
      <w:r w:rsidR="00DA3E41" w:rsidRPr="0076115A">
        <w:rPr>
          <w:b/>
          <w:bCs/>
          <w:lang w:val="fr-FR"/>
        </w:rPr>
        <w:t>’</w:t>
      </w:r>
      <w:r w:rsidRPr="0076115A">
        <w:rPr>
          <w:b/>
          <w:bCs/>
          <w:lang w:val="fr-FR"/>
        </w:rPr>
        <w:t>objet de la Convention et entravent la mise en œuvre de l</w:t>
      </w:r>
      <w:r w:rsidR="00DA3E41" w:rsidRPr="0076115A">
        <w:rPr>
          <w:b/>
          <w:bCs/>
          <w:lang w:val="fr-FR"/>
        </w:rPr>
        <w:t>’</w:t>
      </w:r>
      <w:r w:rsidRPr="0076115A">
        <w:rPr>
          <w:b/>
          <w:bCs/>
          <w:lang w:val="fr-FR"/>
        </w:rPr>
        <w:t>intégralité du texte.</w:t>
      </w:r>
    </w:p>
    <w:p w14:paraId="65B8E385" w14:textId="77777777" w:rsidR="00D43532" w:rsidRPr="0076115A" w:rsidRDefault="00D43532" w:rsidP="00D43532">
      <w:pPr>
        <w:pStyle w:val="SingleTxt"/>
        <w:spacing w:after="0" w:line="120" w:lineRule="exact"/>
        <w:rPr>
          <w:b/>
          <w:sz w:val="10"/>
          <w:lang w:val="fr-FR"/>
        </w:rPr>
      </w:pPr>
    </w:p>
    <w:p w14:paraId="0B8F2E00" w14:textId="310D4911"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Les femmes et la paix et la sécurité</w:t>
      </w:r>
    </w:p>
    <w:p w14:paraId="1201A9F4" w14:textId="77777777" w:rsidR="00D43532" w:rsidRPr="0076115A" w:rsidRDefault="00D43532" w:rsidP="00D43532">
      <w:pPr>
        <w:pStyle w:val="SingleTxt"/>
        <w:spacing w:after="0" w:line="120" w:lineRule="exact"/>
        <w:rPr>
          <w:sz w:val="10"/>
          <w:lang w:val="fr-FR"/>
        </w:rPr>
      </w:pPr>
    </w:p>
    <w:p w14:paraId="0EE47AF0" w14:textId="1568F00C" w:rsidR="00F154F3" w:rsidRPr="0076115A" w:rsidRDefault="00F154F3" w:rsidP="00D43532">
      <w:pPr>
        <w:pStyle w:val="SingleTxt"/>
        <w:numPr>
          <w:ilvl w:val="0"/>
          <w:numId w:val="41"/>
        </w:numPr>
        <w:spacing w:line="240" w:lineRule="exact"/>
        <w:ind w:left="1267"/>
        <w:rPr>
          <w:lang w:val="fr-FR"/>
        </w:rPr>
      </w:pPr>
      <w:r w:rsidRPr="0076115A">
        <w:rPr>
          <w:lang w:val="fr-FR"/>
        </w:rPr>
        <w:t>Le Comité félicite l</w:t>
      </w:r>
      <w:r w:rsidR="00DA3E41" w:rsidRPr="0076115A">
        <w:rPr>
          <w:lang w:val="fr-FR"/>
        </w:rPr>
        <w:t>’</w:t>
      </w:r>
      <w:r w:rsidRPr="0076115A">
        <w:rPr>
          <w:lang w:val="fr-FR"/>
        </w:rPr>
        <w:t>État partie d</w:t>
      </w:r>
      <w:r w:rsidR="00DA3E41" w:rsidRPr="0076115A">
        <w:rPr>
          <w:lang w:val="fr-FR"/>
        </w:rPr>
        <w:t>’</w:t>
      </w:r>
      <w:r w:rsidRPr="0076115A">
        <w:rPr>
          <w:lang w:val="fr-FR"/>
        </w:rPr>
        <w:t>avoir mis en œuvre son premier plan d</w:t>
      </w:r>
      <w:r w:rsidR="00DA3E41" w:rsidRPr="0076115A">
        <w:rPr>
          <w:lang w:val="fr-FR"/>
        </w:rPr>
        <w:t>’</w:t>
      </w:r>
      <w:r w:rsidRPr="0076115A">
        <w:rPr>
          <w:lang w:val="fr-FR"/>
        </w:rPr>
        <w:t>action national pour l</w:t>
      </w:r>
      <w:r w:rsidR="00DA3E41" w:rsidRPr="0076115A">
        <w:rPr>
          <w:lang w:val="fr-FR"/>
        </w:rPr>
        <w:t>’</w:t>
      </w:r>
      <w:r w:rsidRPr="0076115A">
        <w:rPr>
          <w:lang w:val="fr-FR"/>
        </w:rPr>
        <w:t xml:space="preserve">application de la résolution </w:t>
      </w:r>
      <w:hyperlink r:id="rId23" w:history="1">
        <w:r w:rsidRPr="0076115A">
          <w:rPr>
            <w:rStyle w:val="Hyperlink"/>
            <w:lang w:val="fr-FR"/>
          </w:rPr>
          <w:t>1325 (2000)</w:t>
        </w:r>
      </w:hyperlink>
      <w:r w:rsidRPr="0076115A">
        <w:rPr>
          <w:lang w:val="fr-FR"/>
        </w:rPr>
        <w:t xml:space="preserve"> du Conseil de sécurité et accueille avec satisfaction les informations fournies par la délégation, indiquant que l</w:t>
      </w:r>
      <w:r w:rsidR="00DA3E41" w:rsidRPr="0076115A">
        <w:rPr>
          <w:lang w:val="fr-FR"/>
        </w:rPr>
        <w:t>’</w:t>
      </w:r>
      <w:r w:rsidRPr="0076115A">
        <w:rPr>
          <w:lang w:val="fr-FR"/>
        </w:rPr>
        <w:t>élaboration du deuxième plan (2019-2023) en est à sa phase finale. Il remercie l</w:t>
      </w:r>
      <w:r w:rsidR="00DA3E41" w:rsidRPr="0076115A">
        <w:rPr>
          <w:lang w:val="fr-FR"/>
        </w:rPr>
        <w:t>’</w:t>
      </w:r>
      <w:r w:rsidRPr="0076115A">
        <w:rPr>
          <w:lang w:val="fr-FR"/>
        </w:rPr>
        <w:t>État partie d</w:t>
      </w:r>
      <w:r w:rsidR="00DA3E41" w:rsidRPr="0076115A">
        <w:rPr>
          <w:lang w:val="fr-FR"/>
        </w:rPr>
        <w:t>’</w:t>
      </w:r>
      <w:r w:rsidRPr="0076115A">
        <w:rPr>
          <w:lang w:val="fr-FR"/>
        </w:rPr>
        <w:t>avoir cosigné en 2016, avec la Représentante spéciale du Secrétaire général des Nations Unies chargée de la question des violences sexuelles commises en période de conflit, une déclaration conjointe sur la prévention des violences sexuelles liées aux conflits et d</w:t>
      </w:r>
      <w:r w:rsidR="00DA3E41" w:rsidRPr="0076115A">
        <w:rPr>
          <w:lang w:val="fr-FR"/>
        </w:rPr>
        <w:t>’</w:t>
      </w:r>
      <w:r w:rsidRPr="0076115A">
        <w:rPr>
          <w:lang w:val="fr-FR"/>
        </w:rPr>
        <w:t>avoir adopté un plan d</w:t>
      </w:r>
      <w:r w:rsidR="00DA3E41" w:rsidRPr="0076115A">
        <w:rPr>
          <w:lang w:val="fr-FR"/>
        </w:rPr>
        <w:t>’</w:t>
      </w:r>
      <w:r w:rsidRPr="0076115A">
        <w:rPr>
          <w:lang w:val="fr-FR"/>
        </w:rPr>
        <w:t>action pour sa mise en œuvre. Le Comité constate toutefois avec préoccupation que malgré ce que fait l</w:t>
      </w:r>
      <w:r w:rsidR="00DA3E41" w:rsidRPr="0076115A">
        <w:rPr>
          <w:lang w:val="fr-FR"/>
        </w:rPr>
        <w:t>’</w:t>
      </w:r>
      <w:r w:rsidRPr="0076115A">
        <w:rPr>
          <w:lang w:val="fr-FR"/>
        </w:rPr>
        <w:t>État partie pour accroître la participation des femmes aux processus de paix nationaux et internationaux, celles-ci restent sous-représentées dans les processus de prévention des conflits et de consolidation de la paix et dans les processus de justice transitionnelle et de réconciliation nationale et ne sont pas pleinement associées à l</w:t>
      </w:r>
      <w:r w:rsidR="00DA3E41" w:rsidRPr="0076115A">
        <w:rPr>
          <w:lang w:val="fr-FR"/>
        </w:rPr>
        <w:t>’</w:t>
      </w:r>
      <w:r w:rsidRPr="0076115A">
        <w:rPr>
          <w:lang w:val="fr-FR"/>
        </w:rPr>
        <w:t>exécution du plan d</w:t>
      </w:r>
      <w:r w:rsidR="00DA3E41" w:rsidRPr="0076115A">
        <w:rPr>
          <w:lang w:val="fr-FR"/>
        </w:rPr>
        <w:t>’</w:t>
      </w:r>
      <w:r w:rsidRPr="0076115A">
        <w:rPr>
          <w:lang w:val="fr-FR"/>
        </w:rPr>
        <w:t>action national pour l</w:t>
      </w:r>
      <w:r w:rsidR="00DA3E41" w:rsidRPr="0076115A">
        <w:rPr>
          <w:lang w:val="fr-FR"/>
        </w:rPr>
        <w:t>’</w:t>
      </w:r>
      <w:r w:rsidRPr="0076115A">
        <w:rPr>
          <w:lang w:val="fr-FR"/>
        </w:rPr>
        <w:t xml:space="preserve">application de la résolution </w:t>
      </w:r>
      <w:hyperlink r:id="rId24" w:history="1">
        <w:r w:rsidRPr="0076115A">
          <w:rPr>
            <w:rStyle w:val="Hyperlink"/>
            <w:lang w:val="fr-FR"/>
          </w:rPr>
          <w:t>1325 (2000)</w:t>
        </w:r>
      </w:hyperlink>
      <w:r w:rsidRPr="0076115A">
        <w:rPr>
          <w:lang w:val="fr-FR"/>
        </w:rPr>
        <w:t>.</w:t>
      </w:r>
    </w:p>
    <w:p w14:paraId="56C7FCF6" w14:textId="75CDAF75"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recommande à l</w:t>
      </w:r>
      <w:r w:rsidR="00DA3E41" w:rsidRPr="0076115A">
        <w:rPr>
          <w:b/>
          <w:bCs/>
          <w:lang w:val="fr-FR"/>
        </w:rPr>
        <w:t>’</w:t>
      </w:r>
      <w:r w:rsidRPr="0076115A">
        <w:rPr>
          <w:b/>
          <w:bCs/>
          <w:lang w:val="fr-FR"/>
        </w:rPr>
        <w:t>État partie d</w:t>
      </w:r>
      <w:r w:rsidR="00DA3E41" w:rsidRPr="0076115A">
        <w:rPr>
          <w:b/>
          <w:bCs/>
          <w:lang w:val="fr-FR"/>
        </w:rPr>
        <w:t>’</w:t>
      </w:r>
      <w:r w:rsidRPr="0076115A">
        <w:rPr>
          <w:b/>
          <w:bCs/>
          <w:lang w:val="fr-FR"/>
        </w:rPr>
        <w:t>achever et d</w:t>
      </w:r>
      <w:r w:rsidR="00DA3E41" w:rsidRPr="0076115A">
        <w:rPr>
          <w:b/>
          <w:bCs/>
          <w:lang w:val="fr-FR"/>
        </w:rPr>
        <w:t>’</w:t>
      </w:r>
      <w:r w:rsidRPr="0076115A">
        <w:rPr>
          <w:b/>
          <w:bCs/>
          <w:lang w:val="fr-FR"/>
        </w:rPr>
        <w:t>adopter rapidement le deuxième plan d</w:t>
      </w:r>
      <w:r w:rsidR="00DA3E41" w:rsidRPr="0076115A">
        <w:rPr>
          <w:b/>
          <w:bCs/>
          <w:lang w:val="fr-FR"/>
        </w:rPr>
        <w:t>’</w:t>
      </w:r>
      <w:r w:rsidRPr="0076115A">
        <w:rPr>
          <w:b/>
          <w:bCs/>
          <w:lang w:val="fr-FR"/>
        </w:rPr>
        <w:t>action national (2019-2023) pour l</w:t>
      </w:r>
      <w:r w:rsidR="00DA3E41" w:rsidRPr="0076115A">
        <w:rPr>
          <w:b/>
          <w:bCs/>
          <w:lang w:val="fr-FR"/>
        </w:rPr>
        <w:t>’</w:t>
      </w:r>
      <w:r w:rsidRPr="0076115A">
        <w:rPr>
          <w:b/>
          <w:bCs/>
          <w:lang w:val="fr-FR"/>
        </w:rPr>
        <w:t xml:space="preserve">application de la résolution </w:t>
      </w:r>
      <w:hyperlink r:id="rId25" w:history="1">
        <w:r w:rsidRPr="0076115A">
          <w:rPr>
            <w:rStyle w:val="Hyperlink"/>
            <w:b/>
            <w:bCs/>
            <w:lang w:val="fr-FR"/>
          </w:rPr>
          <w:t>1325</w:t>
        </w:r>
        <w:r w:rsidR="00F5100A" w:rsidRPr="0076115A">
          <w:rPr>
            <w:rStyle w:val="Hyperlink"/>
            <w:b/>
            <w:bCs/>
            <w:lang w:val="fr-FR"/>
          </w:rPr>
          <w:t> </w:t>
        </w:r>
        <w:r w:rsidRPr="0076115A">
          <w:rPr>
            <w:rStyle w:val="Hyperlink"/>
            <w:b/>
            <w:bCs/>
            <w:lang w:val="fr-FR"/>
          </w:rPr>
          <w:t>(2000)</w:t>
        </w:r>
      </w:hyperlink>
      <w:r w:rsidRPr="0076115A">
        <w:rPr>
          <w:b/>
          <w:bCs/>
          <w:lang w:val="fr-FR"/>
        </w:rPr>
        <w:t xml:space="preserve"> du Conseil de Sécurité, en collaboration avec le Gouvernement de la Région du Kurdistan et les représentantes des organisations féminines de la société civile, et de veiller à</w:t>
      </w:r>
      <w:r w:rsidR="00DA3E41" w:rsidRPr="0076115A">
        <w:rPr>
          <w:b/>
          <w:bCs/>
          <w:lang w:val="fr-FR"/>
        </w:rPr>
        <w:t> :</w:t>
      </w:r>
    </w:p>
    <w:p w14:paraId="2BAF3F49" w14:textId="6C64614C" w:rsidR="00F154F3" w:rsidRPr="0076115A" w:rsidRDefault="00F154F3" w:rsidP="00F154F3">
      <w:pPr>
        <w:pStyle w:val="SingleTxt"/>
        <w:rPr>
          <w:b/>
          <w:bCs/>
          <w:lang w:val="fr-FR"/>
        </w:rPr>
      </w:pPr>
      <w:r w:rsidRPr="0076115A">
        <w:rPr>
          <w:b/>
          <w:bCs/>
          <w:lang w:val="fr-FR"/>
        </w:rPr>
        <w:tab/>
        <w:t>a)</w:t>
      </w:r>
      <w:r w:rsidRPr="0076115A">
        <w:rPr>
          <w:b/>
          <w:bCs/>
          <w:lang w:val="fr-FR"/>
        </w:rPr>
        <w:tab/>
        <w:t>Prendre en considération toutes les priorités adoptées en ce qui concerne les femmes et la paix et la sécurité, telles qu</w:t>
      </w:r>
      <w:r w:rsidR="00DA3E41" w:rsidRPr="0076115A">
        <w:rPr>
          <w:b/>
          <w:bCs/>
          <w:lang w:val="fr-FR"/>
        </w:rPr>
        <w:t>’</w:t>
      </w:r>
      <w:r w:rsidRPr="0076115A">
        <w:rPr>
          <w:b/>
          <w:bCs/>
          <w:lang w:val="fr-FR"/>
        </w:rPr>
        <w:t xml:space="preserve">elles figurent dans les résolutions </w:t>
      </w:r>
      <w:hyperlink r:id="rId26" w:history="1">
        <w:r w:rsidRPr="0076115A">
          <w:rPr>
            <w:rStyle w:val="Hyperlink"/>
            <w:b/>
            <w:bCs/>
            <w:lang w:val="fr-FR"/>
          </w:rPr>
          <w:t>1325 (2000)</w:t>
        </w:r>
      </w:hyperlink>
      <w:r w:rsidRPr="0076115A">
        <w:rPr>
          <w:b/>
          <w:bCs/>
          <w:lang w:val="fr-FR"/>
        </w:rPr>
        <w:t xml:space="preserve">, </w:t>
      </w:r>
      <w:hyperlink r:id="rId27" w:history="1">
        <w:r w:rsidRPr="0076115A">
          <w:rPr>
            <w:rStyle w:val="Hyperlink"/>
            <w:b/>
            <w:bCs/>
            <w:lang w:val="fr-FR"/>
          </w:rPr>
          <w:t>1820 (2008)</w:t>
        </w:r>
      </w:hyperlink>
      <w:r w:rsidRPr="0076115A">
        <w:rPr>
          <w:b/>
          <w:bCs/>
          <w:lang w:val="fr-FR"/>
        </w:rPr>
        <w:t xml:space="preserve">, </w:t>
      </w:r>
      <w:hyperlink r:id="rId28" w:history="1">
        <w:r w:rsidRPr="0076115A">
          <w:rPr>
            <w:rStyle w:val="Hyperlink"/>
            <w:b/>
            <w:bCs/>
            <w:lang w:val="fr-FR"/>
          </w:rPr>
          <w:t>1888 (2009)</w:t>
        </w:r>
      </w:hyperlink>
      <w:r w:rsidRPr="0076115A">
        <w:rPr>
          <w:b/>
          <w:bCs/>
          <w:lang w:val="fr-FR"/>
        </w:rPr>
        <w:t xml:space="preserve">, </w:t>
      </w:r>
      <w:hyperlink r:id="rId29" w:history="1">
        <w:r w:rsidRPr="0076115A">
          <w:rPr>
            <w:rStyle w:val="Hyperlink"/>
            <w:b/>
            <w:bCs/>
            <w:lang w:val="fr-FR"/>
          </w:rPr>
          <w:t>1889 (2009)</w:t>
        </w:r>
      </w:hyperlink>
      <w:r w:rsidRPr="0076115A">
        <w:rPr>
          <w:b/>
          <w:bCs/>
          <w:lang w:val="fr-FR"/>
        </w:rPr>
        <w:t xml:space="preserve">, </w:t>
      </w:r>
      <w:hyperlink r:id="rId30" w:history="1">
        <w:r w:rsidRPr="0076115A">
          <w:rPr>
            <w:rStyle w:val="Hyperlink"/>
            <w:b/>
            <w:bCs/>
            <w:lang w:val="fr-FR"/>
          </w:rPr>
          <w:t>1960 (2010)</w:t>
        </w:r>
      </w:hyperlink>
      <w:r w:rsidRPr="0076115A">
        <w:rPr>
          <w:b/>
          <w:bCs/>
          <w:lang w:val="fr-FR"/>
        </w:rPr>
        <w:t xml:space="preserve">, </w:t>
      </w:r>
      <w:hyperlink r:id="rId31" w:history="1">
        <w:r w:rsidRPr="0076115A">
          <w:rPr>
            <w:rStyle w:val="Hyperlink"/>
            <w:b/>
            <w:bCs/>
            <w:lang w:val="fr-FR"/>
          </w:rPr>
          <w:t>2106</w:t>
        </w:r>
        <w:r w:rsidR="00F5100A" w:rsidRPr="0076115A">
          <w:rPr>
            <w:rStyle w:val="Hyperlink"/>
            <w:b/>
            <w:bCs/>
            <w:lang w:val="fr-FR"/>
          </w:rPr>
          <w:t> </w:t>
        </w:r>
        <w:r w:rsidRPr="0076115A">
          <w:rPr>
            <w:rStyle w:val="Hyperlink"/>
            <w:b/>
            <w:bCs/>
            <w:lang w:val="fr-FR"/>
          </w:rPr>
          <w:t>(2013)</w:t>
        </w:r>
      </w:hyperlink>
      <w:r w:rsidRPr="0076115A">
        <w:rPr>
          <w:b/>
          <w:bCs/>
          <w:lang w:val="fr-FR"/>
        </w:rPr>
        <w:t xml:space="preserve">, </w:t>
      </w:r>
      <w:hyperlink r:id="rId32" w:history="1">
        <w:r w:rsidRPr="0076115A">
          <w:rPr>
            <w:rStyle w:val="Hyperlink"/>
            <w:b/>
            <w:bCs/>
            <w:lang w:val="fr-FR"/>
          </w:rPr>
          <w:t>2122 (2013)</w:t>
        </w:r>
      </w:hyperlink>
      <w:r w:rsidRPr="0076115A">
        <w:rPr>
          <w:b/>
          <w:bCs/>
          <w:lang w:val="fr-FR"/>
        </w:rPr>
        <w:t xml:space="preserve">, </w:t>
      </w:r>
      <w:hyperlink r:id="rId33" w:history="1">
        <w:r w:rsidRPr="0076115A">
          <w:rPr>
            <w:rStyle w:val="Hyperlink"/>
            <w:b/>
            <w:bCs/>
            <w:lang w:val="fr-FR"/>
          </w:rPr>
          <w:t>2242 (2015)</w:t>
        </w:r>
      </w:hyperlink>
      <w:r w:rsidRPr="0076115A">
        <w:rPr>
          <w:b/>
          <w:bCs/>
          <w:lang w:val="fr-FR"/>
        </w:rPr>
        <w:t xml:space="preserve">, </w:t>
      </w:r>
      <w:hyperlink r:id="rId34" w:history="1">
        <w:r w:rsidRPr="0076115A">
          <w:rPr>
            <w:rStyle w:val="Hyperlink"/>
            <w:b/>
            <w:bCs/>
            <w:lang w:val="fr-FR"/>
          </w:rPr>
          <w:t>2467 (2019)</w:t>
        </w:r>
      </w:hyperlink>
      <w:r w:rsidRPr="0076115A">
        <w:rPr>
          <w:b/>
          <w:bCs/>
          <w:lang w:val="fr-FR"/>
        </w:rPr>
        <w:t xml:space="preserve"> et </w:t>
      </w:r>
      <w:hyperlink r:id="rId35" w:history="1">
        <w:r w:rsidRPr="0076115A">
          <w:rPr>
            <w:rStyle w:val="Hyperlink"/>
            <w:b/>
            <w:bCs/>
            <w:lang w:val="fr-FR"/>
          </w:rPr>
          <w:t>2493 (2019)</w:t>
        </w:r>
      </w:hyperlink>
      <w:r w:rsidR="00F5100A" w:rsidRPr="0076115A">
        <w:rPr>
          <w:b/>
          <w:bCs/>
          <w:lang w:val="fr-FR"/>
        </w:rPr>
        <w:t> ;</w:t>
      </w:r>
    </w:p>
    <w:p w14:paraId="29077D68" w14:textId="0524F6F4" w:rsidR="00F154F3" w:rsidRPr="0076115A" w:rsidRDefault="00F154F3" w:rsidP="00F154F3">
      <w:pPr>
        <w:pStyle w:val="SingleTxt"/>
        <w:rPr>
          <w:b/>
          <w:bCs/>
          <w:lang w:val="fr-FR"/>
        </w:rPr>
      </w:pPr>
      <w:r w:rsidRPr="0076115A">
        <w:rPr>
          <w:b/>
          <w:bCs/>
          <w:lang w:val="fr-FR"/>
        </w:rPr>
        <w:tab/>
        <w:t>b)</w:t>
      </w:r>
      <w:r w:rsidRPr="0076115A">
        <w:rPr>
          <w:b/>
          <w:bCs/>
          <w:lang w:val="fr-FR"/>
        </w:rPr>
        <w:tab/>
        <w:t>Intégrer un modèle d</w:t>
      </w:r>
      <w:r w:rsidR="00DA3E41" w:rsidRPr="0076115A">
        <w:rPr>
          <w:b/>
          <w:bCs/>
          <w:lang w:val="fr-FR"/>
        </w:rPr>
        <w:t>’</w:t>
      </w:r>
      <w:r w:rsidRPr="0076115A">
        <w:rPr>
          <w:b/>
          <w:bCs/>
          <w:lang w:val="fr-FR"/>
        </w:rPr>
        <w:t>égalité réelle au sens de la Convention, qui aura une incidence non seulement sur la violence à l</w:t>
      </w:r>
      <w:r w:rsidR="00DA3E41" w:rsidRPr="0076115A">
        <w:rPr>
          <w:b/>
          <w:bCs/>
          <w:lang w:val="fr-FR"/>
        </w:rPr>
        <w:t>’</w:t>
      </w:r>
      <w:r w:rsidRPr="0076115A">
        <w:rPr>
          <w:b/>
          <w:bCs/>
          <w:lang w:val="fr-FR"/>
        </w:rPr>
        <w:t>égard des femmes, mais aussi sur tous les aspects de leur vie, et lutter contre les formes de discrimination croisées qui touchent les femmes, notamment les veuves, les déplacées et les réfugiées</w:t>
      </w:r>
      <w:r w:rsidR="00F5100A" w:rsidRPr="0076115A">
        <w:rPr>
          <w:b/>
          <w:bCs/>
          <w:lang w:val="fr-FR"/>
        </w:rPr>
        <w:t> ;</w:t>
      </w:r>
    </w:p>
    <w:p w14:paraId="13E84605" w14:textId="28F752FA" w:rsidR="00F154F3" w:rsidRPr="0076115A" w:rsidRDefault="00F154F3" w:rsidP="00F154F3">
      <w:pPr>
        <w:pStyle w:val="SingleTxt"/>
        <w:rPr>
          <w:b/>
          <w:bCs/>
          <w:lang w:val="fr-FR"/>
        </w:rPr>
      </w:pPr>
      <w:r w:rsidRPr="0076115A">
        <w:rPr>
          <w:b/>
          <w:bCs/>
          <w:lang w:val="fr-FR"/>
        </w:rPr>
        <w:tab/>
        <w:t>c)</w:t>
      </w:r>
      <w:r w:rsidRPr="0076115A">
        <w:rPr>
          <w:b/>
          <w:bCs/>
          <w:lang w:val="fr-FR"/>
        </w:rPr>
        <w:tab/>
        <w:t>Garantir la participation des femmes, y compris celles qui sont issues des différentes minorités, aux processus de paix internationaux et aux processus de justice transitionnelle et de réconciliation nationale, notamment en ce qui concerne la mise en œuvre du plan d</w:t>
      </w:r>
      <w:r w:rsidR="00DA3E41" w:rsidRPr="0076115A">
        <w:rPr>
          <w:b/>
          <w:bCs/>
          <w:lang w:val="fr-FR"/>
        </w:rPr>
        <w:t>’</w:t>
      </w:r>
      <w:r w:rsidRPr="0076115A">
        <w:rPr>
          <w:b/>
          <w:bCs/>
          <w:lang w:val="fr-FR"/>
        </w:rPr>
        <w:t>action national</w:t>
      </w:r>
      <w:r w:rsidR="00F5100A" w:rsidRPr="0076115A">
        <w:rPr>
          <w:b/>
          <w:bCs/>
          <w:lang w:val="fr-FR"/>
        </w:rPr>
        <w:t> ;</w:t>
      </w:r>
    </w:p>
    <w:p w14:paraId="50D2EBEE" w14:textId="0F09BDAF" w:rsidR="00F154F3" w:rsidRPr="0076115A" w:rsidRDefault="00F154F3" w:rsidP="00F154F3">
      <w:pPr>
        <w:pStyle w:val="SingleTxt"/>
        <w:rPr>
          <w:b/>
          <w:lang w:val="fr-FR"/>
        </w:rPr>
      </w:pPr>
      <w:r w:rsidRPr="0076115A">
        <w:rPr>
          <w:b/>
          <w:bCs/>
          <w:lang w:val="fr-FR"/>
        </w:rPr>
        <w:tab/>
        <w:t>d)</w:t>
      </w:r>
      <w:r w:rsidRPr="0076115A">
        <w:rPr>
          <w:b/>
          <w:bCs/>
          <w:lang w:val="fr-FR"/>
        </w:rPr>
        <w:tab/>
        <w:t>Établir un budget tenant compte des questions de genre, définir des indicateurs pour le suivi régulier de sa mise en œuvre et se doter de mécanismes d</w:t>
      </w:r>
      <w:r w:rsidR="00DA3E41" w:rsidRPr="0076115A">
        <w:rPr>
          <w:b/>
          <w:bCs/>
          <w:lang w:val="fr-FR"/>
        </w:rPr>
        <w:t>’</w:t>
      </w:r>
      <w:r w:rsidRPr="0076115A">
        <w:rPr>
          <w:b/>
          <w:bCs/>
          <w:lang w:val="fr-FR"/>
        </w:rPr>
        <w:t>application du principe de responsabilité.</w:t>
      </w:r>
    </w:p>
    <w:p w14:paraId="46B1F98E" w14:textId="37633700"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lastRenderedPageBreak/>
        <w:tab/>
      </w:r>
      <w:r w:rsidRPr="0076115A">
        <w:rPr>
          <w:lang w:val="fr-FR"/>
        </w:rPr>
        <w:tab/>
        <w:t>Cadre constitutionnel et législatif</w:t>
      </w:r>
    </w:p>
    <w:p w14:paraId="31B90FE3" w14:textId="77777777" w:rsidR="00D43532" w:rsidRPr="0076115A" w:rsidRDefault="00D43532" w:rsidP="00D43532">
      <w:pPr>
        <w:pStyle w:val="SingleTxt"/>
        <w:spacing w:after="0" w:line="120" w:lineRule="exact"/>
        <w:rPr>
          <w:sz w:val="10"/>
          <w:lang w:val="fr-FR"/>
        </w:rPr>
      </w:pPr>
    </w:p>
    <w:p w14:paraId="34BF8C3C" w14:textId="78A5CA82" w:rsidR="00F154F3" w:rsidRPr="0076115A" w:rsidRDefault="00F154F3" w:rsidP="00186002">
      <w:pPr>
        <w:pStyle w:val="SingleTxt"/>
        <w:numPr>
          <w:ilvl w:val="0"/>
          <w:numId w:val="41"/>
        </w:numPr>
        <w:spacing w:line="240" w:lineRule="exact"/>
        <w:ind w:left="1267"/>
        <w:rPr>
          <w:lang w:val="fr-FR"/>
        </w:rPr>
      </w:pPr>
      <w:r w:rsidRPr="0076115A">
        <w:rPr>
          <w:lang w:val="fr-FR"/>
        </w:rPr>
        <w:t>Le Comité accueille favorablement la décision de l</w:t>
      </w:r>
      <w:r w:rsidR="00DA3E41" w:rsidRPr="0076115A">
        <w:rPr>
          <w:lang w:val="fr-FR"/>
        </w:rPr>
        <w:t>’</w:t>
      </w:r>
      <w:r w:rsidRPr="0076115A">
        <w:rPr>
          <w:lang w:val="fr-FR"/>
        </w:rPr>
        <w:t>État partie de créer une commission au Conseil supérieur de la magistrature, qui soit composée de juges à la retraite et chargée d</w:t>
      </w:r>
      <w:r w:rsidR="00DA3E41" w:rsidRPr="0076115A">
        <w:rPr>
          <w:lang w:val="fr-FR"/>
        </w:rPr>
        <w:t>’</w:t>
      </w:r>
      <w:r w:rsidRPr="0076115A">
        <w:rPr>
          <w:lang w:val="fr-FR"/>
        </w:rPr>
        <w:t xml:space="preserve">examiner les dispositions discriminatoires, notamment le Code pénal (loi </w:t>
      </w:r>
      <w:r w:rsidR="00186002" w:rsidRPr="0076115A">
        <w:rPr>
          <w:lang w:val="fr-FR"/>
        </w:rPr>
        <w:t>n</w:t>
      </w:r>
      <w:r w:rsidR="00186002" w:rsidRPr="0076115A">
        <w:rPr>
          <w:vertAlign w:val="superscript"/>
          <w:lang w:val="fr-FR"/>
        </w:rPr>
        <w:t>o</w:t>
      </w:r>
      <w:r w:rsidR="00186002" w:rsidRPr="0076115A">
        <w:rPr>
          <w:lang w:val="fr-FR"/>
        </w:rPr>
        <w:t> </w:t>
      </w:r>
      <w:r w:rsidRPr="0076115A">
        <w:rPr>
          <w:lang w:val="fr-FR"/>
        </w:rPr>
        <w:t xml:space="preserve">111 de 1969), le Code de procédure pénale (loi </w:t>
      </w:r>
      <w:r w:rsidR="00186002" w:rsidRPr="0076115A">
        <w:rPr>
          <w:lang w:val="fr-FR"/>
        </w:rPr>
        <w:t>n</w:t>
      </w:r>
      <w:r w:rsidR="00186002" w:rsidRPr="0076115A">
        <w:rPr>
          <w:vertAlign w:val="superscript"/>
          <w:lang w:val="fr-FR"/>
        </w:rPr>
        <w:t>o</w:t>
      </w:r>
      <w:r w:rsidR="00210E5C" w:rsidRPr="0076115A">
        <w:rPr>
          <w:lang w:val="fr-FR"/>
        </w:rPr>
        <w:t> </w:t>
      </w:r>
      <w:r w:rsidRPr="0076115A">
        <w:rPr>
          <w:lang w:val="fr-FR"/>
        </w:rPr>
        <w:t>23 de 1971), et la loi sur le statut personnel (</w:t>
      </w:r>
      <w:r w:rsidR="00186002" w:rsidRPr="0076115A">
        <w:rPr>
          <w:lang w:val="fr-FR"/>
        </w:rPr>
        <w:t>n</w:t>
      </w:r>
      <w:r w:rsidR="00186002" w:rsidRPr="0076115A">
        <w:rPr>
          <w:vertAlign w:val="superscript"/>
          <w:lang w:val="fr-FR"/>
        </w:rPr>
        <w:t>o</w:t>
      </w:r>
      <w:r w:rsidR="00210E5C" w:rsidRPr="0076115A">
        <w:rPr>
          <w:lang w:val="fr-FR"/>
        </w:rPr>
        <w:t> </w:t>
      </w:r>
      <w:r w:rsidRPr="0076115A">
        <w:rPr>
          <w:lang w:val="fr-FR"/>
        </w:rPr>
        <w:t>188 de 1959). Il note toutefois avec préoccupation que des dispositions discriminatoires à l</w:t>
      </w:r>
      <w:r w:rsidR="00DA3E41" w:rsidRPr="0076115A">
        <w:rPr>
          <w:lang w:val="fr-FR"/>
        </w:rPr>
        <w:t>’</w:t>
      </w:r>
      <w:r w:rsidRPr="0076115A">
        <w:rPr>
          <w:lang w:val="fr-FR"/>
        </w:rPr>
        <w:t>égard des femmes subsistent aux articles 41, 128, 130, 131, 377, 380, 398, 409 et 427 du Code pénal, ainsi que dans le Code de procédure pénale et la loi sur le statut personnel.</w:t>
      </w:r>
    </w:p>
    <w:p w14:paraId="2C8AAF8A" w14:textId="0393806D" w:rsidR="00F154F3" w:rsidRPr="0076115A" w:rsidRDefault="00F154F3" w:rsidP="00D43532">
      <w:pPr>
        <w:pStyle w:val="SingleTxt"/>
        <w:numPr>
          <w:ilvl w:val="0"/>
          <w:numId w:val="41"/>
        </w:numPr>
        <w:spacing w:line="240" w:lineRule="exact"/>
        <w:ind w:left="1267"/>
        <w:rPr>
          <w:lang w:val="fr-FR"/>
        </w:rPr>
      </w:pPr>
      <w:r w:rsidRPr="0076115A">
        <w:rPr>
          <w:b/>
          <w:bCs/>
          <w:lang w:val="fr-FR"/>
        </w:rPr>
        <w:t>Rappelant les articles 1 et 2 de la Convention et la cible 5.1 associée aux objectifs de développement durable, qui consiste à mettre fin partout dans le monde, à toutes les formes de discrimination à l</w:t>
      </w:r>
      <w:r w:rsidR="00DA3E41" w:rsidRPr="0076115A">
        <w:rPr>
          <w:b/>
          <w:bCs/>
          <w:lang w:val="fr-FR"/>
        </w:rPr>
        <w:t>’</w:t>
      </w:r>
      <w:r w:rsidRPr="0076115A">
        <w:rPr>
          <w:b/>
          <w:bCs/>
          <w:lang w:val="fr-FR"/>
        </w:rPr>
        <w:t>égard des femmes et des filles, le Comité recommande à l</w:t>
      </w:r>
      <w:r w:rsidR="00DA3E41" w:rsidRPr="0076115A">
        <w:rPr>
          <w:b/>
          <w:bCs/>
          <w:lang w:val="fr-FR"/>
        </w:rPr>
        <w:t>’</w:t>
      </w:r>
      <w:r w:rsidRPr="0076115A">
        <w:rPr>
          <w:b/>
          <w:bCs/>
          <w:lang w:val="fr-FR"/>
        </w:rPr>
        <w:t>État partie</w:t>
      </w:r>
      <w:r w:rsidR="00DA3E41" w:rsidRPr="0076115A">
        <w:rPr>
          <w:b/>
          <w:bCs/>
          <w:lang w:val="fr-FR"/>
        </w:rPr>
        <w:t> :</w:t>
      </w:r>
    </w:p>
    <w:p w14:paraId="5DA8D251" w14:textId="08E81E52" w:rsidR="00F154F3" w:rsidRPr="0076115A" w:rsidRDefault="00F154F3" w:rsidP="00F154F3">
      <w:pPr>
        <w:pStyle w:val="SingleTxt"/>
        <w:rPr>
          <w:b/>
          <w:bCs/>
          <w:lang w:val="fr-FR"/>
        </w:rPr>
      </w:pPr>
      <w:r w:rsidRPr="0076115A">
        <w:rPr>
          <w:lang w:val="fr-FR"/>
        </w:rPr>
        <w:tab/>
      </w:r>
      <w:r w:rsidRPr="0076115A">
        <w:rPr>
          <w:b/>
          <w:bCs/>
          <w:lang w:val="fr-FR"/>
        </w:rPr>
        <w:t>a)</w:t>
      </w:r>
      <w:r w:rsidRPr="0076115A">
        <w:rPr>
          <w:b/>
          <w:bCs/>
          <w:lang w:val="fr-FR"/>
        </w:rPr>
        <w:tab/>
        <w:t>D</w:t>
      </w:r>
      <w:r w:rsidR="00DA3E41" w:rsidRPr="0076115A">
        <w:rPr>
          <w:b/>
          <w:bCs/>
          <w:lang w:val="fr-FR"/>
        </w:rPr>
        <w:t>’</w:t>
      </w:r>
      <w:r w:rsidRPr="0076115A">
        <w:rPr>
          <w:b/>
          <w:bCs/>
          <w:lang w:val="fr-FR"/>
        </w:rPr>
        <w:t>abroger l</w:t>
      </w:r>
      <w:r w:rsidR="00DA3E41" w:rsidRPr="0076115A">
        <w:rPr>
          <w:b/>
          <w:bCs/>
          <w:lang w:val="fr-FR"/>
        </w:rPr>
        <w:t>’</w:t>
      </w:r>
      <w:r w:rsidRPr="0076115A">
        <w:rPr>
          <w:b/>
          <w:bCs/>
          <w:lang w:val="fr-FR"/>
        </w:rPr>
        <w:t>article 41 de la Constitution, qui dispose que « les Iraquiens sont libres dans leur attachement à leur statut personnel conformément à leur religion, confession, croyance ou autres choix, cette liberté étant réglementée par la loi », et ce afin de garantir l</w:t>
      </w:r>
      <w:r w:rsidR="00DA3E41" w:rsidRPr="0076115A">
        <w:rPr>
          <w:b/>
          <w:bCs/>
          <w:lang w:val="fr-FR"/>
        </w:rPr>
        <w:t>’</w:t>
      </w:r>
      <w:r w:rsidRPr="0076115A">
        <w:rPr>
          <w:b/>
          <w:bCs/>
          <w:lang w:val="fr-FR"/>
        </w:rPr>
        <w:t>égalité femmes-hommes, conformément à la Convention et à l</w:t>
      </w:r>
      <w:r w:rsidR="00DA3E41" w:rsidRPr="0076115A">
        <w:rPr>
          <w:b/>
          <w:bCs/>
          <w:lang w:val="fr-FR"/>
        </w:rPr>
        <w:t>’</w:t>
      </w:r>
      <w:r w:rsidRPr="0076115A">
        <w:rPr>
          <w:b/>
          <w:bCs/>
          <w:lang w:val="fr-FR"/>
        </w:rPr>
        <w:t>article 14 de la Constitution de l</w:t>
      </w:r>
      <w:r w:rsidR="00DA3E41" w:rsidRPr="0076115A">
        <w:rPr>
          <w:b/>
          <w:bCs/>
          <w:lang w:val="fr-FR"/>
        </w:rPr>
        <w:t>’</w:t>
      </w:r>
      <w:r w:rsidRPr="0076115A">
        <w:rPr>
          <w:b/>
          <w:bCs/>
          <w:lang w:val="fr-FR"/>
        </w:rPr>
        <w:t>État partie.</w:t>
      </w:r>
    </w:p>
    <w:p w14:paraId="0618AD4E" w14:textId="127AA3DF" w:rsidR="00F154F3" w:rsidRPr="0076115A" w:rsidRDefault="00F154F3" w:rsidP="00F154F3">
      <w:pPr>
        <w:pStyle w:val="SingleTxt"/>
        <w:rPr>
          <w:b/>
          <w:bCs/>
          <w:lang w:val="fr-FR"/>
        </w:rPr>
      </w:pPr>
      <w:r w:rsidRPr="0076115A">
        <w:rPr>
          <w:b/>
          <w:bCs/>
          <w:lang w:val="fr-FR"/>
        </w:rPr>
        <w:tab/>
        <w:t>b)</w:t>
      </w:r>
      <w:r w:rsidRPr="0076115A">
        <w:rPr>
          <w:b/>
          <w:bCs/>
          <w:lang w:val="fr-FR"/>
        </w:rPr>
        <w:tab/>
        <w:t>D</w:t>
      </w:r>
      <w:r w:rsidR="00DA3E41" w:rsidRPr="0076115A">
        <w:rPr>
          <w:b/>
          <w:bCs/>
          <w:lang w:val="fr-FR"/>
        </w:rPr>
        <w:t>’</w:t>
      </w:r>
      <w:r w:rsidRPr="0076115A">
        <w:rPr>
          <w:b/>
          <w:bCs/>
          <w:lang w:val="fr-FR"/>
        </w:rPr>
        <w:t>abroger toutes les dispositions du Code pénal, du Code de procédure pénale et d</w:t>
      </w:r>
      <w:r w:rsidR="00DA3E41" w:rsidRPr="0076115A">
        <w:rPr>
          <w:b/>
          <w:bCs/>
          <w:lang w:val="fr-FR"/>
        </w:rPr>
        <w:t>’</w:t>
      </w:r>
      <w:r w:rsidRPr="0076115A">
        <w:rPr>
          <w:b/>
          <w:bCs/>
          <w:lang w:val="fr-FR"/>
        </w:rPr>
        <w:t>autres lois, règlements et directives qui favorisent la discrimination à l</w:t>
      </w:r>
      <w:r w:rsidR="00DA3E41" w:rsidRPr="0076115A">
        <w:rPr>
          <w:b/>
          <w:bCs/>
          <w:lang w:val="fr-FR"/>
        </w:rPr>
        <w:t>’</w:t>
      </w:r>
      <w:r w:rsidRPr="0076115A">
        <w:rPr>
          <w:b/>
          <w:bCs/>
          <w:lang w:val="fr-FR"/>
        </w:rPr>
        <w:t>égard des femmes.</w:t>
      </w:r>
    </w:p>
    <w:p w14:paraId="7CF18E80" w14:textId="275233E8" w:rsidR="00F154F3" w:rsidRPr="0076115A" w:rsidRDefault="00F154F3" w:rsidP="00F154F3">
      <w:pPr>
        <w:pStyle w:val="SingleTxt"/>
        <w:rPr>
          <w:b/>
          <w:lang w:val="fr-FR"/>
        </w:rPr>
      </w:pPr>
      <w:r w:rsidRPr="0076115A">
        <w:rPr>
          <w:b/>
          <w:bCs/>
          <w:lang w:val="fr-FR"/>
        </w:rPr>
        <w:tab/>
        <w:t>c)</w:t>
      </w:r>
      <w:r w:rsidRPr="0076115A">
        <w:rPr>
          <w:b/>
          <w:bCs/>
          <w:lang w:val="fr-FR"/>
        </w:rPr>
        <w:tab/>
        <w:t>De réexaminer et d</w:t>
      </w:r>
      <w:r w:rsidR="00DA3E41" w:rsidRPr="0076115A">
        <w:rPr>
          <w:b/>
          <w:bCs/>
          <w:lang w:val="fr-FR"/>
        </w:rPr>
        <w:t>’</w:t>
      </w:r>
      <w:r w:rsidRPr="0076115A">
        <w:rPr>
          <w:b/>
          <w:bCs/>
          <w:lang w:val="fr-FR"/>
        </w:rPr>
        <w:t>adopter le projet de loi sur la protection contre la violence familiale pour que des peines appropriées soient prononcées contre les auteurs de violences à l</w:t>
      </w:r>
      <w:r w:rsidR="00DA3E41" w:rsidRPr="0076115A">
        <w:rPr>
          <w:b/>
          <w:bCs/>
          <w:lang w:val="fr-FR"/>
        </w:rPr>
        <w:t>’</w:t>
      </w:r>
      <w:r w:rsidRPr="0076115A">
        <w:rPr>
          <w:b/>
          <w:bCs/>
          <w:lang w:val="fr-FR"/>
        </w:rPr>
        <w:t>égard des femmes.</w:t>
      </w:r>
    </w:p>
    <w:p w14:paraId="0808929C" w14:textId="77777777" w:rsidR="00D43532" w:rsidRPr="0076115A" w:rsidRDefault="00D43532" w:rsidP="00D43532">
      <w:pPr>
        <w:pStyle w:val="SingleTxt"/>
        <w:spacing w:after="0" w:line="120" w:lineRule="exact"/>
        <w:rPr>
          <w:b/>
          <w:sz w:val="10"/>
          <w:lang w:val="fr-FR"/>
        </w:rPr>
      </w:pPr>
    </w:p>
    <w:p w14:paraId="27D27237" w14:textId="43E6CB0D"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Mécanisme national de promotion des femmes</w:t>
      </w:r>
    </w:p>
    <w:p w14:paraId="61DE52A8" w14:textId="77777777" w:rsidR="00D43532" w:rsidRPr="0076115A" w:rsidRDefault="00D43532" w:rsidP="00D43532">
      <w:pPr>
        <w:pStyle w:val="SingleTxt"/>
        <w:spacing w:after="0" w:line="120" w:lineRule="exact"/>
        <w:rPr>
          <w:sz w:val="10"/>
          <w:lang w:val="fr-FR"/>
        </w:rPr>
      </w:pPr>
    </w:p>
    <w:p w14:paraId="1C5C3409" w14:textId="61F59B1E" w:rsidR="00F154F3" w:rsidRPr="0076115A" w:rsidRDefault="00F154F3" w:rsidP="00D43532">
      <w:pPr>
        <w:pStyle w:val="SingleTxt"/>
        <w:numPr>
          <w:ilvl w:val="0"/>
          <w:numId w:val="41"/>
        </w:numPr>
        <w:spacing w:line="240" w:lineRule="exact"/>
        <w:ind w:left="1267"/>
        <w:rPr>
          <w:lang w:val="fr-FR"/>
        </w:rPr>
      </w:pPr>
      <w:r w:rsidRPr="0076115A">
        <w:rPr>
          <w:lang w:val="fr-FR"/>
        </w:rPr>
        <w:t>Le Comité félicite l</w:t>
      </w:r>
      <w:r w:rsidR="00DA3E41" w:rsidRPr="0076115A">
        <w:rPr>
          <w:lang w:val="fr-FR"/>
        </w:rPr>
        <w:t>’</w:t>
      </w:r>
      <w:r w:rsidRPr="0076115A">
        <w:rPr>
          <w:lang w:val="fr-FR"/>
        </w:rPr>
        <w:t>État partie d</w:t>
      </w:r>
      <w:r w:rsidR="00DA3E41" w:rsidRPr="0076115A">
        <w:rPr>
          <w:lang w:val="fr-FR"/>
        </w:rPr>
        <w:t>’</w:t>
      </w:r>
      <w:r w:rsidRPr="0076115A">
        <w:rPr>
          <w:lang w:val="fr-FR"/>
        </w:rPr>
        <w:t>avoir adopté plusieurs stratégies et politiques, notamment le plan national de développement (2018-2022) qui définit l</w:t>
      </w:r>
      <w:r w:rsidR="00DA3E41" w:rsidRPr="0076115A">
        <w:rPr>
          <w:lang w:val="fr-FR"/>
        </w:rPr>
        <w:t>’</w:t>
      </w:r>
      <w:r w:rsidRPr="0076115A">
        <w:rPr>
          <w:lang w:val="fr-FR"/>
        </w:rPr>
        <w:t>égalité femmes-hommes comme une priorité fondamentale pour l</w:t>
      </w:r>
      <w:r w:rsidR="00DA3E41" w:rsidRPr="0076115A">
        <w:rPr>
          <w:lang w:val="fr-FR"/>
        </w:rPr>
        <w:t>’</w:t>
      </w:r>
      <w:r w:rsidRPr="0076115A">
        <w:rPr>
          <w:lang w:val="fr-FR"/>
        </w:rPr>
        <w:t>application du Programme de développement durable à l</w:t>
      </w:r>
      <w:r w:rsidR="00DA3E41" w:rsidRPr="0076115A">
        <w:rPr>
          <w:lang w:val="fr-FR"/>
        </w:rPr>
        <w:t>’</w:t>
      </w:r>
      <w:r w:rsidRPr="0076115A">
        <w:rPr>
          <w:lang w:val="fr-FR"/>
        </w:rPr>
        <w:t>horizon 2030. Il note cependant avec préoccupation que le Ministère des affaires féminines et le Ministère des droits de l</w:t>
      </w:r>
      <w:r w:rsidR="00DA3E41" w:rsidRPr="0076115A">
        <w:rPr>
          <w:lang w:val="fr-FR"/>
        </w:rPr>
        <w:t>’</w:t>
      </w:r>
      <w:r w:rsidRPr="0076115A">
        <w:rPr>
          <w:lang w:val="fr-FR"/>
        </w:rPr>
        <w:t>homme ont été supprimés en 2015, ce qui a fragilisé la mise en œuvre de la stratégie nationale de lutte contre les violences faites aux femmes (2013-2017) et la stratégie nationale pour la promotion des femmes iraquiennes (2014-2018). Le Comité s</w:t>
      </w:r>
      <w:r w:rsidR="00DA3E41" w:rsidRPr="0076115A">
        <w:rPr>
          <w:lang w:val="fr-FR"/>
        </w:rPr>
        <w:t>’</w:t>
      </w:r>
      <w:r w:rsidRPr="0076115A">
        <w:rPr>
          <w:lang w:val="fr-FR"/>
        </w:rPr>
        <w:t>inquiète de l</w:t>
      </w:r>
      <w:r w:rsidR="00DA3E41" w:rsidRPr="0076115A">
        <w:rPr>
          <w:lang w:val="fr-FR"/>
        </w:rPr>
        <w:t>’</w:t>
      </w:r>
      <w:r w:rsidRPr="0076115A">
        <w:rPr>
          <w:lang w:val="fr-FR"/>
        </w:rPr>
        <w:t>absence de mécanisme de coordination, qui risque d</w:t>
      </w:r>
      <w:r w:rsidR="00DA3E41" w:rsidRPr="0076115A">
        <w:rPr>
          <w:lang w:val="fr-FR"/>
        </w:rPr>
        <w:t>’</w:t>
      </w:r>
      <w:r w:rsidRPr="0076115A">
        <w:rPr>
          <w:lang w:val="fr-FR"/>
        </w:rPr>
        <w:t>entraîner le chevauchement des mandats, d</w:t>
      </w:r>
      <w:r w:rsidR="00DA3E41" w:rsidRPr="0076115A">
        <w:rPr>
          <w:lang w:val="fr-FR"/>
        </w:rPr>
        <w:t>’</w:t>
      </w:r>
      <w:r w:rsidRPr="0076115A">
        <w:rPr>
          <w:lang w:val="fr-FR"/>
        </w:rPr>
        <w:t>empêcher les synergies et d</w:t>
      </w:r>
      <w:r w:rsidR="00DA3E41" w:rsidRPr="0076115A">
        <w:rPr>
          <w:lang w:val="fr-FR"/>
        </w:rPr>
        <w:t>’</w:t>
      </w:r>
      <w:r w:rsidRPr="0076115A">
        <w:rPr>
          <w:lang w:val="fr-FR"/>
        </w:rPr>
        <w:t>entraver la mise en œuvre des stratégies et des politiques favorisant l</w:t>
      </w:r>
      <w:r w:rsidR="00DA3E41" w:rsidRPr="0076115A">
        <w:rPr>
          <w:lang w:val="fr-FR"/>
        </w:rPr>
        <w:t>’</w:t>
      </w:r>
      <w:r w:rsidRPr="0076115A">
        <w:rPr>
          <w:lang w:val="fr-FR"/>
        </w:rPr>
        <w:t xml:space="preserve">égalité femmes-hommes. Il </w:t>
      </w:r>
      <w:r w:rsidR="005737A3" w:rsidRPr="0076115A">
        <w:rPr>
          <w:lang w:val="fr-FR"/>
        </w:rPr>
        <w:t xml:space="preserve">prend </w:t>
      </w:r>
      <w:r w:rsidRPr="0076115A">
        <w:rPr>
          <w:lang w:val="fr-FR"/>
        </w:rPr>
        <w:t xml:space="preserve">note </w:t>
      </w:r>
      <w:r w:rsidR="005737A3" w:rsidRPr="0076115A">
        <w:rPr>
          <w:lang w:val="fr-FR"/>
        </w:rPr>
        <w:t xml:space="preserve">de </w:t>
      </w:r>
      <w:r w:rsidRPr="0076115A">
        <w:rPr>
          <w:lang w:val="fr-FR"/>
        </w:rPr>
        <w:t xml:space="preserve">la mise en place par le Secrétariat général du Gouvernement, en 2017, </w:t>
      </w:r>
      <w:r w:rsidR="005737A3" w:rsidRPr="0076115A">
        <w:rPr>
          <w:lang w:val="fr-FR"/>
        </w:rPr>
        <w:t>du Service</w:t>
      </w:r>
      <w:r w:rsidRPr="0076115A">
        <w:rPr>
          <w:lang w:val="fr-FR"/>
        </w:rPr>
        <w:t xml:space="preserve"> de l</w:t>
      </w:r>
      <w:r w:rsidR="00DA3E41" w:rsidRPr="0076115A">
        <w:rPr>
          <w:lang w:val="fr-FR"/>
        </w:rPr>
        <w:t>’</w:t>
      </w:r>
      <w:r w:rsidRPr="0076115A">
        <w:rPr>
          <w:lang w:val="fr-FR"/>
        </w:rPr>
        <w:t>autonomisation des femmes et de la réforme du Haut Comité pour la promotion des femmes et du Haut Comité pour la promotion des femmes en milieu rural. Toutefois, il est préoccupé par le fait que ces instances ne disposent pas de ressources humaines, techniques et financières suffisantes et que leurs mandats manquent de clarté. Il constate également que la Haute Commission des droits de l</w:t>
      </w:r>
      <w:r w:rsidR="00DA3E41" w:rsidRPr="0076115A">
        <w:rPr>
          <w:lang w:val="fr-FR"/>
        </w:rPr>
        <w:t>’</w:t>
      </w:r>
      <w:r w:rsidRPr="0076115A">
        <w:rPr>
          <w:lang w:val="fr-FR"/>
        </w:rPr>
        <w:t xml:space="preserve">homme, créée en vertu de la loi </w:t>
      </w:r>
      <w:r w:rsidR="00186002" w:rsidRPr="0076115A">
        <w:rPr>
          <w:lang w:val="fr-FR"/>
        </w:rPr>
        <w:t>n</w:t>
      </w:r>
      <w:r w:rsidR="00186002" w:rsidRPr="0076115A">
        <w:rPr>
          <w:vertAlign w:val="superscript"/>
          <w:lang w:val="fr-FR"/>
        </w:rPr>
        <w:t>o</w:t>
      </w:r>
      <w:r w:rsidRPr="0076115A">
        <w:rPr>
          <w:lang w:val="fr-FR"/>
        </w:rPr>
        <w:t> </w:t>
      </w:r>
      <w:hyperlink r:id="rId36" w:history="1">
        <w:r w:rsidRPr="0076115A">
          <w:rPr>
            <w:rStyle w:val="Hyperlink"/>
            <w:lang w:val="fr-FR"/>
          </w:rPr>
          <w:t>53 (2008)</w:t>
        </w:r>
      </w:hyperlink>
      <w:r w:rsidRPr="0076115A">
        <w:rPr>
          <w:lang w:val="fr-FR"/>
        </w:rPr>
        <w:t>, ne se conforme pas entièrement aux Principes concernant le statut des institutions nationales pour la promotion et la protection des droits de l</w:t>
      </w:r>
      <w:r w:rsidR="00DA3E41" w:rsidRPr="0076115A">
        <w:rPr>
          <w:lang w:val="fr-FR"/>
        </w:rPr>
        <w:t>’</w:t>
      </w:r>
      <w:r w:rsidRPr="0076115A">
        <w:rPr>
          <w:lang w:val="fr-FR"/>
        </w:rPr>
        <w:t>homme (Principes de Paris).</w:t>
      </w:r>
    </w:p>
    <w:p w14:paraId="1845098D" w14:textId="7A9754AC" w:rsidR="00F154F3" w:rsidRPr="0076115A" w:rsidRDefault="00F154F3" w:rsidP="00D43532">
      <w:pPr>
        <w:pStyle w:val="SingleTxt"/>
        <w:numPr>
          <w:ilvl w:val="0"/>
          <w:numId w:val="41"/>
        </w:numPr>
        <w:spacing w:line="240" w:lineRule="exact"/>
        <w:ind w:left="1267"/>
        <w:rPr>
          <w:b/>
          <w:lang w:val="fr-FR"/>
        </w:rPr>
      </w:pPr>
      <w:r w:rsidRPr="0076115A">
        <w:rPr>
          <w:b/>
          <w:bCs/>
          <w:lang w:val="fr-FR"/>
        </w:rPr>
        <w:t>Conformément à la cible 5 a) associée aux objectifs de développement durable, le Comité recommande à l</w:t>
      </w:r>
      <w:r w:rsidR="00DA3E41" w:rsidRPr="0076115A">
        <w:rPr>
          <w:b/>
          <w:bCs/>
          <w:lang w:val="fr-FR"/>
        </w:rPr>
        <w:t>’</w:t>
      </w:r>
      <w:r w:rsidRPr="0076115A">
        <w:rPr>
          <w:b/>
          <w:bCs/>
          <w:lang w:val="fr-FR"/>
        </w:rPr>
        <w:t>État partie</w:t>
      </w:r>
      <w:r w:rsidR="00DA3E41" w:rsidRPr="0076115A">
        <w:rPr>
          <w:b/>
          <w:bCs/>
          <w:lang w:val="fr-FR"/>
        </w:rPr>
        <w:t> :</w:t>
      </w:r>
    </w:p>
    <w:p w14:paraId="2B8C1641" w14:textId="63DE58E0" w:rsidR="00F154F3" w:rsidRPr="0076115A" w:rsidRDefault="00F154F3" w:rsidP="00F154F3">
      <w:pPr>
        <w:pStyle w:val="SingleTxt"/>
        <w:rPr>
          <w:lang w:val="fr-FR"/>
        </w:rPr>
      </w:pPr>
      <w:r w:rsidRPr="0076115A">
        <w:rPr>
          <w:b/>
          <w:bCs/>
          <w:lang w:val="fr-FR"/>
        </w:rPr>
        <w:tab/>
        <w:t>a)</w:t>
      </w:r>
      <w:r w:rsidRPr="0076115A">
        <w:rPr>
          <w:b/>
          <w:bCs/>
          <w:lang w:val="fr-FR"/>
        </w:rPr>
        <w:tab/>
        <w:t>De veiller à la cohérence entre le plan national de développement (2018-2022) et les objectifs de développement durable</w:t>
      </w:r>
      <w:r w:rsidR="00F5100A" w:rsidRPr="0076115A">
        <w:rPr>
          <w:b/>
          <w:bCs/>
          <w:lang w:val="fr-FR"/>
        </w:rPr>
        <w:t> ;</w:t>
      </w:r>
    </w:p>
    <w:p w14:paraId="383E7FA6" w14:textId="566D0958" w:rsidR="00F154F3" w:rsidRPr="0076115A" w:rsidRDefault="00F154F3" w:rsidP="00F154F3">
      <w:pPr>
        <w:pStyle w:val="SingleTxt"/>
        <w:rPr>
          <w:b/>
          <w:bCs/>
          <w:lang w:val="fr-FR"/>
        </w:rPr>
      </w:pPr>
      <w:r w:rsidRPr="0076115A">
        <w:rPr>
          <w:lang w:val="fr-FR"/>
        </w:rPr>
        <w:lastRenderedPageBreak/>
        <w:tab/>
      </w:r>
      <w:r w:rsidRPr="0076115A">
        <w:rPr>
          <w:b/>
          <w:bCs/>
          <w:lang w:val="fr-FR"/>
        </w:rPr>
        <w:t>b)</w:t>
      </w:r>
      <w:r w:rsidRPr="0076115A">
        <w:rPr>
          <w:b/>
          <w:bCs/>
          <w:lang w:val="fr-FR"/>
        </w:rPr>
        <w:tab/>
        <w:t>De rétablir le Ministère des affaires féminines et de le doter d</w:t>
      </w:r>
      <w:r w:rsidR="00DA3E41" w:rsidRPr="0076115A">
        <w:rPr>
          <w:b/>
          <w:bCs/>
          <w:lang w:val="fr-FR"/>
        </w:rPr>
        <w:t>’</w:t>
      </w:r>
      <w:r w:rsidRPr="0076115A">
        <w:rPr>
          <w:b/>
          <w:bCs/>
          <w:lang w:val="fr-FR"/>
        </w:rPr>
        <w:t>un portefeuille et d</w:t>
      </w:r>
      <w:r w:rsidR="00DA3E41" w:rsidRPr="0076115A">
        <w:rPr>
          <w:b/>
          <w:bCs/>
          <w:lang w:val="fr-FR"/>
        </w:rPr>
        <w:t>’</w:t>
      </w:r>
      <w:r w:rsidRPr="0076115A">
        <w:rPr>
          <w:b/>
          <w:bCs/>
          <w:lang w:val="fr-FR"/>
        </w:rPr>
        <w:t>un mandat ministériels clairs, à savoir protéger et promouvoir les droits des femmes et favoriser l</w:t>
      </w:r>
      <w:r w:rsidR="00DA3E41" w:rsidRPr="0076115A">
        <w:rPr>
          <w:b/>
          <w:bCs/>
          <w:lang w:val="fr-FR"/>
        </w:rPr>
        <w:t>’</w:t>
      </w:r>
      <w:r w:rsidRPr="0076115A">
        <w:rPr>
          <w:b/>
          <w:bCs/>
          <w:lang w:val="fr-FR"/>
        </w:rPr>
        <w:t>égalité femmes-hommes, tout en veillant à mobiliser les ressources humaines, techniques et financières suffisantes, à accroître son pouvoir d</w:t>
      </w:r>
      <w:r w:rsidR="00DA3E41" w:rsidRPr="0076115A">
        <w:rPr>
          <w:b/>
          <w:bCs/>
          <w:lang w:val="fr-FR"/>
        </w:rPr>
        <w:t>’</w:t>
      </w:r>
      <w:r w:rsidRPr="0076115A">
        <w:rPr>
          <w:b/>
          <w:bCs/>
          <w:lang w:val="fr-FR"/>
        </w:rPr>
        <w:t>influence en ce qui concerne la conception, la formulation et la mise en œuvre de politiques publiques favorisant l</w:t>
      </w:r>
      <w:r w:rsidR="00DA3E41" w:rsidRPr="0076115A">
        <w:rPr>
          <w:b/>
          <w:bCs/>
          <w:lang w:val="fr-FR"/>
        </w:rPr>
        <w:t>’</w:t>
      </w:r>
      <w:r w:rsidRPr="0076115A">
        <w:rPr>
          <w:b/>
          <w:bCs/>
          <w:lang w:val="fr-FR"/>
        </w:rPr>
        <w:t>égalité femmes-hommes, et à renforcer son rôle de coordination et de contrôle en matière d</w:t>
      </w:r>
      <w:r w:rsidR="00DA3E41" w:rsidRPr="0076115A">
        <w:rPr>
          <w:b/>
          <w:bCs/>
          <w:lang w:val="fr-FR"/>
        </w:rPr>
        <w:t>’</w:t>
      </w:r>
      <w:r w:rsidRPr="0076115A">
        <w:rPr>
          <w:b/>
          <w:bCs/>
          <w:lang w:val="fr-FR"/>
        </w:rPr>
        <w:t>élaboration et d</w:t>
      </w:r>
      <w:r w:rsidR="00DA3E41" w:rsidRPr="0076115A">
        <w:rPr>
          <w:b/>
          <w:bCs/>
          <w:lang w:val="fr-FR"/>
        </w:rPr>
        <w:t>’</w:t>
      </w:r>
      <w:r w:rsidRPr="0076115A">
        <w:rPr>
          <w:b/>
          <w:bCs/>
          <w:lang w:val="fr-FR"/>
        </w:rPr>
        <w:t>application de la législation dans les domaines de l</w:t>
      </w:r>
      <w:r w:rsidR="00DA3E41" w:rsidRPr="0076115A">
        <w:rPr>
          <w:b/>
          <w:bCs/>
          <w:lang w:val="fr-FR"/>
        </w:rPr>
        <w:t>’</w:t>
      </w:r>
      <w:r w:rsidRPr="0076115A">
        <w:rPr>
          <w:b/>
          <w:bCs/>
          <w:lang w:val="fr-FR"/>
        </w:rPr>
        <w:t>égalité femmes</w:t>
      </w:r>
      <w:r w:rsidR="00210E5C" w:rsidRPr="0076115A">
        <w:rPr>
          <w:b/>
          <w:bCs/>
          <w:lang w:val="fr-FR"/>
        </w:rPr>
        <w:t>-</w:t>
      </w:r>
      <w:r w:rsidRPr="0076115A">
        <w:rPr>
          <w:b/>
          <w:bCs/>
          <w:lang w:val="fr-FR"/>
        </w:rPr>
        <w:t>hommes et de la prise en compte systématique des questions de genre dans toutes les lois et politiques</w:t>
      </w:r>
      <w:r w:rsidR="00F5100A" w:rsidRPr="0076115A">
        <w:rPr>
          <w:b/>
          <w:bCs/>
          <w:lang w:val="fr-FR"/>
        </w:rPr>
        <w:t> ;</w:t>
      </w:r>
    </w:p>
    <w:p w14:paraId="42E1AFC1" w14:textId="513A16C5" w:rsidR="00F154F3" w:rsidRPr="0076115A" w:rsidRDefault="00F154F3" w:rsidP="00F154F3">
      <w:pPr>
        <w:pStyle w:val="SingleTxt"/>
        <w:rPr>
          <w:b/>
          <w:bCs/>
          <w:lang w:val="fr-FR"/>
        </w:rPr>
      </w:pPr>
      <w:r w:rsidRPr="0076115A">
        <w:rPr>
          <w:b/>
          <w:bCs/>
          <w:lang w:val="fr-FR"/>
        </w:rPr>
        <w:tab/>
        <w:t>c)</w:t>
      </w:r>
      <w:r w:rsidRPr="0076115A">
        <w:rPr>
          <w:b/>
          <w:bCs/>
          <w:lang w:val="fr-FR"/>
        </w:rPr>
        <w:tab/>
        <w:t>De fournir des renseignements détaillés concernant le mandat, le statut et les pouvoirs de la Direction de l</w:t>
      </w:r>
      <w:r w:rsidR="00DA3E41" w:rsidRPr="0076115A">
        <w:rPr>
          <w:b/>
          <w:bCs/>
          <w:lang w:val="fr-FR"/>
        </w:rPr>
        <w:t>’</w:t>
      </w:r>
      <w:r w:rsidRPr="0076115A">
        <w:rPr>
          <w:b/>
          <w:bCs/>
          <w:lang w:val="fr-FR"/>
        </w:rPr>
        <w:t>autonomisation des femmes, ses liens avec les ministères et organisations non gouvernementales de femmes concernés et les ressources humaines, techniques et financières prévues dans le budget national pour le fonctionnement de la Direction</w:t>
      </w:r>
      <w:r w:rsidR="00F5100A" w:rsidRPr="0076115A">
        <w:rPr>
          <w:b/>
          <w:bCs/>
          <w:lang w:val="fr-FR"/>
        </w:rPr>
        <w:t> ;</w:t>
      </w:r>
    </w:p>
    <w:p w14:paraId="1ED02AC5" w14:textId="59540F58" w:rsidR="00F154F3" w:rsidRPr="0076115A" w:rsidRDefault="00F154F3" w:rsidP="00F154F3">
      <w:pPr>
        <w:pStyle w:val="SingleTxt"/>
        <w:rPr>
          <w:b/>
          <w:bCs/>
          <w:lang w:val="fr-FR"/>
        </w:rPr>
      </w:pPr>
      <w:r w:rsidRPr="0076115A">
        <w:rPr>
          <w:b/>
          <w:bCs/>
          <w:lang w:val="fr-FR"/>
        </w:rPr>
        <w:tab/>
        <w:t>d)</w:t>
      </w:r>
      <w:r w:rsidRPr="0076115A">
        <w:rPr>
          <w:b/>
          <w:bCs/>
          <w:lang w:val="fr-FR"/>
        </w:rPr>
        <w:tab/>
        <w:t>D</w:t>
      </w:r>
      <w:r w:rsidR="00DA3E41" w:rsidRPr="0076115A">
        <w:rPr>
          <w:b/>
          <w:bCs/>
          <w:lang w:val="fr-FR"/>
        </w:rPr>
        <w:t>’</w:t>
      </w:r>
      <w:r w:rsidRPr="0076115A">
        <w:rPr>
          <w:b/>
          <w:bCs/>
          <w:lang w:val="fr-FR"/>
        </w:rPr>
        <w:t>élaborer et d</w:t>
      </w:r>
      <w:r w:rsidR="00DA3E41" w:rsidRPr="0076115A">
        <w:rPr>
          <w:b/>
          <w:bCs/>
          <w:lang w:val="fr-FR"/>
        </w:rPr>
        <w:t>’</w:t>
      </w:r>
      <w:r w:rsidRPr="0076115A">
        <w:rPr>
          <w:b/>
          <w:bCs/>
          <w:lang w:val="fr-FR"/>
        </w:rPr>
        <w:t>adopter rapidement une stratégie nationale qui favorise l</w:t>
      </w:r>
      <w:r w:rsidR="00DA3E41" w:rsidRPr="0076115A">
        <w:rPr>
          <w:b/>
          <w:bCs/>
          <w:lang w:val="fr-FR"/>
        </w:rPr>
        <w:t>’</w:t>
      </w:r>
      <w:r w:rsidRPr="0076115A">
        <w:rPr>
          <w:b/>
          <w:bCs/>
          <w:lang w:val="fr-FR"/>
        </w:rPr>
        <w:t>égalité femmes-hommes et l</w:t>
      </w:r>
      <w:r w:rsidR="00DA3E41" w:rsidRPr="0076115A">
        <w:rPr>
          <w:b/>
          <w:bCs/>
          <w:lang w:val="fr-FR"/>
        </w:rPr>
        <w:t>’</w:t>
      </w:r>
      <w:r w:rsidRPr="0076115A">
        <w:rPr>
          <w:b/>
          <w:bCs/>
          <w:lang w:val="fr-FR"/>
        </w:rPr>
        <w:t>autonomisation des femmes, et un plan d</w:t>
      </w:r>
      <w:r w:rsidR="00DA3E41" w:rsidRPr="0076115A">
        <w:rPr>
          <w:b/>
          <w:bCs/>
          <w:lang w:val="fr-FR"/>
        </w:rPr>
        <w:t>’</w:t>
      </w:r>
      <w:r w:rsidRPr="0076115A">
        <w:rPr>
          <w:b/>
          <w:bCs/>
          <w:lang w:val="fr-FR"/>
        </w:rPr>
        <w:t>action qui définisse clairement les compétences des autorités nationales et des autorités locales pour ce qui concerne la mise en œuvre de cette stratégie et qui repose sur un système de collecte de données et de suivi complet</w:t>
      </w:r>
      <w:r w:rsidR="00F5100A" w:rsidRPr="0076115A">
        <w:rPr>
          <w:b/>
          <w:bCs/>
          <w:lang w:val="fr-FR"/>
        </w:rPr>
        <w:t> ;</w:t>
      </w:r>
    </w:p>
    <w:p w14:paraId="33059BDD" w14:textId="5BD99DE4" w:rsidR="00F154F3" w:rsidRPr="0076115A" w:rsidRDefault="00F154F3" w:rsidP="00F154F3">
      <w:pPr>
        <w:pStyle w:val="SingleTxt"/>
        <w:rPr>
          <w:b/>
          <w:bCs/>
          <w:lang w:val="fr-FR"/>
        </w:rPr>
      </w:pPr>
      <w:r w:rsidRPr="0076115A">
        <w:rPr>
          <w:b/>
          <w:bCs/>
          <w:lang w:val="fr-FR"/>
        </w:rPr>
        <w:tab/>
        <w:t>e)</w:t>
      </w:r>
      <w:r w:rsidRPr="0076115A">
        <w:rPr>
          <w:b/>
          <w:bCs/>
          <w:lang w:val="fr-FR"/>
        </w:rPr>
        <w:tab/>
        <w:t>De veiller à ce que la Haute Commission des droits de l</w:t>
      </w:r>
      <w:r w:rsidR="00DA3E41" w:rsidRPr="0076115A">
        <w:rPr>
          <w:b/>
          <w:bCs/>
          <w:lang w:val="fr-FR"/>
        </w:rPr>
        <w:t>’</w:t>
      </w:r>
      <w:r w:rsidRPr="0076115A">
        <w:rPr>
          <w:b/>
          <w:bCs/>
          <w:lang w:val="fr-FR"/>
        </w:rPr>
        <w:t>homme se conforme pleinement aux Principes de Paris, notamment à ce qu</w:t>
      </w:r>
      <w:r w:rsidR="00DA3E41" w:rsidRPr="0076115A">
        <w:rPr>
          <w:b/>
          <w:bCs/>
          <w:lang w:val="fr-FR"/>
        </w:rPr>
        <w:t>’</w:t>
      </w:r>
      <w:r w:rsidRPr="0076115A">
        <w:rPr>
          <w:b/>
          <w:bCs/>
          <w:lang w:val="fr-FR"/>
        </w:rPr>
        <w:t>elle soit indépendante.</w:t>
      </w:r>
    </w:p>
    <w:p w14:paraId="2DCD5A6A" w14:textId="77777777" w:rsidR="00D43532" w:rsidRPr="0076115A" w:rsidRDefault="00D43532" w:rsidP="00D43532">
      <w:pPr>
        <w:pStyle w:val="SingleTxt"/>
        <w:spacing w:after="0" w:line="120" w:lineRule="exact"/>
        <w:rPr>
          <w:b/>
          <w:sz w:val="10"/>
          <w:lang w:val="fr-FR"/>
        </w:rPr>
      </w:pPr>
    </w:p>
    <w:p w14:paraId="79392E05" w14:textId="338FC6E0"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Mesures temporaires spéciales</w:t>
      </w:r>
    </w:p>
    <w:p w14:paraId="6E5CD24E" w14:textId="77777777" w:rsidR="00D43532" w:rsidRPr="0076115A" w:rsidRDefault="00D43532" w:rsidP="00D43532">
      <w:pPr>
        <w:pStyle w:val="SingleTxt"/>
        <w:spacing w:after="0" w:line="120" w:lineRule="exact"/>
        <w:rPr>
          <w:sz w:val="10"/>
          <w:lang w:val="fr-FR"/>
        </w:rPr>
      </w:pPr>
    </w:p>
    <w:p w14:paraId="21A773A0" w14:textId="264CA724" w:rsidR="00F154F3" w:rsidRPr="0076115A" w:rsidRDefault="00F154F3" w:rsidP="00D43532">
      <w:pPr>
        <w:pStyle w:val="SingleTxt"/>
        <w:numPr>
          <w:ilvl w:val="0"/>
          <w:numId w:val="41"/>
        </w:numPr>
        <w:spacing w:line="240" w:lineRule="exact"/>
        <w:ind w:left="1267"/>
        <w:rPr>
          <w:lang w:val="fr-FR"/>
        </w:rPr>
      </w:pPr>
      <w:r w:rsidRPr="0076115A">
        <w:rPr>
          <w:lang w:val="fr-FR"/>
        </w:rPr>
        <w:t>Rappelant ses précédentes observations finales (</w:t>
      </w:r>
      <w:hyperlink r:id="rId37" w:history="1">
        <w:r w:rsidRPr="0076115A">
          <w:rPr>
            <w:rStyle w:val="Hyperlink"/>
            <w:lang w:val="fr-FR"/>
          </w:rPr>
          <w:t>CEDAW/C/IRQ/CO/4-6</w:t>
        </w:r>
      </w:hyperlink>
      <w:r w:rsidRPr="0076115A">
        <w:rPr>
          <w:lang w:val="fr-FR"/>
        </w:rPr>
        <w:t>, par.</w:t>
      </w:r>
      <w:r w:rsidR="00210E5C" w:rsidRPr="0076115A">
        <w:rPr>
          <w:lang w:val="fr-FR"/>
        </w:rPr>
        <w:t> </w:t>
      </w:r>
      <w:r w:rsidRPr="0076115A">
        <w:rPr>
          <w:lang w:val="fr-FR"/>
        </w:rPr>
        <w:t>23), le Comité constate avec préoccupation que l</w:t>
      </w:r>
      <w:r w:rsidR="00DA3E41" w:rsidRPr="0076115A">
        <w:rPr>
          <w:lang w:val="fr-FR"/>
        </w:rPr>
        <w:t>’</w:t>
      </w:r>
      <w:r w:rsidRPr="0076115A">
        <w:rPr>
          <w:lang w:val="fr-FR"/>
        </w:rPr>
        <w:t>État partie n</w:t>
      </w:r>
      <w:r w:rsidR="00DA3E41" w:rsidRPr="0076115A">
        <w:rPr>
          <w:lang w:val="fr-FR"/>
        </w:rPr>
        <w:t>’</w:t>
      </w:r>
      <w:r w:rsidRPr="0076115A">
        <w:rPr>
          <w:lang w:val="fr-FR"/>
        </w:rPr>
        <w:t>a pas systématiquement recours aux mesures temporaires spéciales prévues au paragraphe</w:t>
      </w:r>
      <w:r w:rsidR="00210E5C" w:rsidRPr="0076115A">
        <w:rPr>
          <w:lang w:val="fr-FR"/>
        </w:rPr>
        <w:t> </w:t>
      </w:r>
      <w:r w:rsidRPr="0076115A">
        <w:rPr>
          <w:lang w:val="fr-FR"/>
        </w:rPr>
        <w:t>1 de l</w:t>
      </w:r>
      <w:r w:rsidR="00DA3E41" w:rsidRPr="0076115A">
        <w:rPr>
          <w:lang w:val="fr-FR"/>
        </w:rPr>
        <w:t>’</w:t>
      </w:r>
      <w:r w:rsidRPr="0076115A">
        <w:rPr>
          <w:lang w:val="fr-FR"/>
        </w:rPr>
        <w:t>article 4 de la Convention pour accélérer l</w:t>
      </w:r>
      <w:r w:rsidR="00DA3E41" w:rsidRPr="0076115A">
        <w:rPr>
          <w:lang w:val="fr-FR"/>
        </w:rPr>
        <w:t>’</w:t>
      </w:r>
      <w:r w:rsidRPr="0076115A">
        <w:rPr>
          <w:lang w:val="fr-FR"/>
        </w:rPr>
        <w:t>instauration d</w:t>
      </w:r>
      <w:r w:rsidR="00DA3E41" w:rsidRPr="0076115A">
        <w:rPr>
          <w:lang w:val="fr-FR"/>
        </w:rPr>
        <w:t>’</w:t>
      </w:r>
      <w:r w:rsidRPr="0076115A">
        <w:rPr>
          <w:lang w:val="fr-FR"/>
        </w:rPr>
        <w:t>une réelle égalité entre les femmes et les hommes dans tous les domaines où celles-ci sont défavorisées ou sous-représentées.</w:t>
      </w:r>
    </w:p>
    <w:p w14:paraId="60B086E9" w14:textId="65B4D05D" w:rsidR="00F154F3" w:rsidRPr="0076115A" w:rsidRDefault="00F154F3" w:rsidP="00D43532">
      <w:pPr>
        <w:pStyle w:val="SingleTxt"/>
        <w:numPr>
          <w:ilvl w:val="0"/>
          <w:numId w:val="41"/>
        </w:numPr>
        <w:spacing w:line="240" w:lineRule="exact"/>
        <w:ind w:left="1267"/>
        <w:rPr>
          <w:lang w:val="fr-FR"/>
        </w:rPr>
      </w:pPr>
      <w:r w:rsidRPr="0076115A">
        <w:rPr>
          <w:b/>
          <w:bCs/>
          <w:lang w:val="fr-FR"/>
        </w:rPr>
        <w:t>Conformément au paragraphe 1 de l</w:t>
      </w:r>
      <w:r w:rsidR="00DA3E41" w:rsidRPr="0076115A">
        <w:rPr>
          <w:b/>
          <w:bCs/>
          <w:lang w:val="fr-FR"/>
        </w:rPr>
        <w:t>’</w:t>
      </w:r>
      <w:r w:rsidRPr="0076115A">
        <w:rPr>
          <w:b/>
          <w:bCs/>
          <w:lang w:val="fr-FR"/>
        </w:rPr>
        <w:t xml:space="preserve">article 4 de la Convention et rappelant sa recommandation générale </w:t>
      </w:r>
      <w:r w:rsidR="00186002" w:rsidRPr="0076115A">
        <w:rPr>
          <w:b/>
          <w:bCs/>
          <w:lang w:val="fr-FR"/>
        </w:rPr>
        <w:t>n</w:t>
      </w:r>
      <w:r w:rsidR="00186002" w:rsidRPr="0076115A">
        <w:rPr>
          <w:b/>
          <w:bCs/>
          <w:vertAlign w:val="superscript"/>
          <w:lang w:val="fr-FR"/>
        </w:rPr>
        <w:t>o</w:t>
      </w:r>
      <w:r w:rsidR="00186002" w:rsidRPr="0076115A">
        <w:rPr>
          <w:b/>
          <w:bCs/>
          <w:lang w:val="fr-FR"/>
        </w:rPr>
        <w:t> </w:t>
      </w:r>
      <w:hyperlink r:id="rId38" w:history="1">
        <w:r w:rsidRPr="0076115A">
          <w:rPr>
            <w:rStyle w:val="Hyperlink"/>
            <w:b/>
            <w:bCs/>
            <w:lang w:val="fr-FR"/>
          </w:rPr>
          <w:t>25 (2004)</w:t>
        </w:r>
      </w:hyperlink>
      <w:r w:rsidRPr="0076115A">
        <w:rPr>
          <w:b/>
          <w:bCs/>
          <w:lang w:val="fr-FR"/>
        </w:rPr>
        <w:t xml:space="preserve"> sur les mesures temporaires spéciales, le Comité recommande à l</w:t>
      </w:r>
      <w:r w:rsidR="00DA3E41" w:rsidRPr="0076115A">
        <w:rPr>
          <w:b/>
          <w:bCs/>
          <w:lang w:val="fr-FR"/>
        </w:rPr>
        <w:t>’</w:t>
      </w:r>
      <w:r w:rsidRPr="0076115A">
        <w:rPr>
          <w:b/>
          <w:bCs/>
          <w:lang w:val="fr-FR"/>
        </w:rPr>
        <w:t>État partie</w:t>
      </w:r>
      <w:r w:rsidR="00DA3E41" w:rsidRPr="0076115A">
        <w:rPr>
          <w:b/>
          <w:bCs/>
          <w:lang w:val="fr-FR"/>
        </w:rPr>
        <w:t> :</w:t>
      </w:r>
    </w:p>
    <w:p w14:paraId="42628B2B" w14:textId="300C5088" w:rsidR="00F154F3" w:rsidRPr="0076115A" w:rsidRDefault="00F154F3" w:rsidP="00F154F3">
      <w:pPr>
        <w:pStyle w:val="SingleTxt"/>
        <w:rPr>
          <w:b/>
          <w:bCs/>
          <w:lang w:val="fr-FR"/>
        </w:rPr>
      </w:pPr>
      <w:r w:rsidRPr="0076115A">
        <w:rPr>
          <w:b/>
          <w:bCs/>
          <w:lang w:val="fr-FR"/>
        </w:rPr>
        <w:tab/>
        <w:t>a)</w:t>
      </w:r>
      <w:r w:rsidRPr="0076115A">
        <w:rPr>
          <w:b/>
          <w:bCs/>
          <w:lang w:val="fr-FR"/>
        </w:rPr>
        <w:tab/>
        <w:t>D</w:t>
      </w:r>
      <w:r w:rsidR="00DA3E41" w:rsidRPr="0076115A">
        <w:rPr>
          <w:b/>
          <w:bCs/>
          <w:lang w:val="fr-FR"/>
        </w:rPr>
        <w:t>’</w:t>
      </w:r>
      <w:r w:rsidRPr="0076115A">
        <w:rPr>
          <w:b/>
          <w:bCs/>
          <w:lang w:val="fr-FR"/>
        </w:rPr>
        <w:t>adopter des mesures temporaires spéciales établissant des objectifs assortis de délais, un système de quotas et des sanctions en cas de non</w:t>
      </w:r>
      <w:r w:rsidR="00076037" w:rsidRPr="0076115A">
        <w:rPr>
          <w:b/>
          <w:bCs/>
          <w:lang w:val="fr-FR"/>
        </w:rPr>
        <w:noBreakHyphen/>
      </w:r>
      <w:r w:rsidRPr="0076115A">
        <w:rPr>
          <w:b/>
          <w:bCs/>
          <w:lang w:val="fr-FR"/>
        </w:rPr>
        <w:t>conformité, afin d</w:t>
      </w:r>
      <w:r w:rsidR="00DA3E41" w:rsidRPr="0076115A">
        <w:rPr>
          <w:b/>
          <w:bCs/>
          <w:lang w:val="fr-FR"/>
        </w:rPr>
        <w:t>’</w:t>
      </w:r>
      <w:r w:rsidRPr="0076115A">
        <w:rPr>
          <w:b/>
          <w:bCs/>
          <w:lang w:val="fr-FR"/>
        </w:rPr>
        <w:t>instaurer rapidement l</w:t>
      </w:r>
      <w:r w:rsidR="00DA3E41" w:rsidRPr="0076115A">
        <w:rPr>
          <w:b/>
          <w:bCs/>
          <w:lang w:val="fr-FR"/>
        </w:rPr>
        <w:t>’</w:t>
      </w:r>
      <w:r w:rsidRPr="0076115A">
        <w:rPr>
          <w:b/>
          <w:bCs/>
          <w:lang w:val="fr-FR"/>
        </w:rPr>
        <w:t>égalité réelle entre les femmes et les hommes dans tous les domaines où celles-ci, notamment les femmes rurales, les migrantes, les demandeuses d</w:t>
      </w:r>
      <w:r w:rsidR="00DA3E41" w:rsidRPr="0076115A">
        <w:rPr>
          <w:b/>
          <w:bCs/>
          <w:lang w:val="fr-FR"/>
        </w:rPr>
        <w:t>’</w:t>
      </w:r>
      <w:r w:rsidRPr="0076115A">
        <w:rPr>
          <w:b/>
          <w:bCs/>
          <w:lang w:val="fr-FR"/>
        </w:rPr>
        <w:t>asile et les femmes handicapées, sont défavorisées ou sous-représentées, entres autres dans les sphères publique et politique, l</w:t>
      </w:r>
      <w:r w:rsidR="00DA3E41" w:rsidRPr="0076115A">
        <w:rPr>
          <w:b/>
          <w:bCs/>
          <w:lang w:val="fr-FR"/>
        </w:rPr>
        <w:t>’</w:t>
      </w:r>
      <w:r w:rsidRPr="0076115A">
        <w:rPr>
          <w:b/>
          <w:bCs/>
          <w:lang w:val="fr-FR"/>
        </w:rPr>
        <w:t>éducation, l</w:t>
      </w:r>
      <w:r w:rsidR="00DA3E41" w:rsidRPr="0076115A">
        <w:rPr>
          <w:b/>
          <w:bCs/>
          <w:lang w:val="fr-FR"/>
        </w:rPr>
        <w:t>’</w:t>
      </w:r>
      <w:r w:rsidRPr="0076115A">
        <w:rPr>
          <w:b/>
          <w:bCs/>
          <w:lang w:val="fr-FR"/>
        </w:rPr>
        <w:t>emploi, y compris les postes à responsabilité, en particulier dans la fonction publique et les corps diplomatique et judiciaire</w:t>
      </w:r>
      <w:r w:rsidR="00F5100A" w:rsidRPr="0076115A">
        <w:rPr>
          <w:b/>
          <w:bCs/>
          <w:lang w:val="fr-FR"/>
        </w:rPr>
        <w:t> ;</w:t>
      </w:r>
    </w:p>
    <w:p w14:paraId="5981D519" w14:textId="6A0DCCD5" w:rsidR="00F154F3" w:rsidRPr="0076115A" w:rsidRDefault="00F154F3" w:rsidP="00F154F3">
      <w:pPr>
        <w:pStyle w:val="SingleTxt"/>
        <w:rPr>
          <w:b/>
          <w:lang w:val="fr-FR"/>
        </w:rPr>
      </w:pPr>
      <w:r w:rsidRPr="0076115A">
        <w:rPr>
          <w:b/>
          <w:bCs/>
          <w:lang w:val="fr-FR"/>
        </w:rPr>
        <w:tab/>
        <w:t>b)</w:t>
      </w:r>
      <w:r w:rsidRPr="0076115A">
        <w:rPr>
          <w:b/>
          <w:bCs/>
          <w:lang w:val="fr-FR"/>
        </w:rPr>
        <w:tab/>
        <w:t>De mener des programmes de renforcement des capacités à l</w:t>
      </w:r>
      <w:r w:rsidR="00DA3E41" w:rsidRPr="0076115A">
        <w:rPr>
          <w:b/>
          <w:bCs/>
          <w:lang w:val="fr-FR"/>
        </w:rPr>
        <w:t>’</w:t>
      </w:r>
      <w:r w:rsidRPr="0076115A">
        <w:rPr>
          <w:b/>
          <w:bCs/>
          <w:lang w:val="fr-FR"/>
        </w:rPr>
        <w:t>intention tous les agents de l</w:t>
      </w:r>
      <w:r w:rsidR="00DA3E41" w:rsidRPr="0076115A">
        <w:rPr>
          <w:b/>
          <w:bCs/>
          <w:lang w:val="fr-FR"/>
        </w:rPr>
        <w:t>’</w:t>
      </w:r>
      <w:r w:rsidRPr="0076115A">
        <w:rPr>
          <w:b/>
          <w:bCs/>
          <w:lang w:val="fr-FR"/>
        </w:rPr>
        <w:t>État et employeurs concernés sur le caractère non discriminatoire des mesures temporaires spéciales et leur importance pour l</w:t>
      </w:r>
      <w:r w:rsidR="00DA3E41" w:rsidRPr="0076115A">
        <w:rPr>
          <w:b/>
          <w:bCs/>
          <w:lang w:val="fr-FR"/>
        </w:rPr>
        <w:t>’</w:t>
      </w:r>
      <w:r w:rsidRPr="0076115A">
        <w:rPr>
          <w:b/>
          <w:bCs/>
          <w:lang w:val="fr-FR"/>
        </w:rPr>
        <w:t>instauration d</w:t>
      </w:r>
      <w:r w:rsidR="00DA3E41" w:rsidRPr="0076115A">
        <w:rPr>
          <w:b/>
          <w:bCs/>
          <w:lang w:val="fr-FR"/>
        </w:rPr>
        <w:t>’</w:t>
      </w:r>
      <w:r w:rsidRPr="0076115A">
        <w:rPr>
          <w:b/>
          <w:bCs/>
          <w:lang w:val="fr-FR"/>
        </w:rPr>
        <w:t>une réelle égalité entre les femmes et les hommes.</w:t>
      </w:r>
    </w:p>
    <w:p w14:paraId="56888AB3" w14:textId="77777777" w:rsidR="00D43532" w:rsidRPr="0076115A" w:rsidRDefault="00D43532" w:rsidP="00D43532">
      <w:pPr>
        <w:pStyle w:val="SingleTxt"/>
        <w:spacing w:after="0" w:line="120" w:lineRule="exact"/>
        <w:rPr>
          <w:b/>
          <w:sz w:val="10"/>
          <w:lang w:val="fr-FR"/>
        </w:rPr>
      </w:pPr>
    </w:p>
    <w:p w14:paraId="64D9102C" w14:textId="1D941F7C"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Stéréotypes et pratiques préjudiciables</w:t>
      </w:r>
    </w:p>
    <w:p w14:paraId="764E5DFE" w14:textId="4F3DC6C6" w:rsidR="00F154F3" w:rsidRPr="0076115A" w:rsidRDefault="00F154F3" w:rsidP="00D43532">
      <w:pPr>
        <w:pStyle w:val="SingleTxt"/>
        <w:spacing w:after="0" w:line="120" w:lineRule="exact"/>
        <w:rPr>
          <w:sz w:val="10"/>
          <w:lang w:val="fr-FR"/>
        </w:rPr>
      </w:pPr>
    </w:p>
    <w:p w14:paraId="4F2096C8" w14:textId="3A959607" w:rsidR="00F154F3" w:rsidRPr="0076115A" w:rsidRDefault="00F154F3" w:rsidP="00D43532">
      <w:pPr>
        <w:pStyle w:val="SingleTxt"/>
        <w:numPr>
          <w:ilvl w:val="0"/>
          <w:numId w:val="41"/>
        </w:numPr>
        <w:spacing w:line="240" w:lineRule="exact"/>
        <w:ind w:left="1267"/>
        <w:rPr>
          <w:lang w:val="fr-FR"/>
        </w:rPr>
      </w:pPr>
      <w:r w:rsidRPr="0076115A">
        <w:rPr>
          <w:lang w:val="fr-FR"/>
        </w:rPr>
        <w:t xml:space="preserve">Le Comité est préoccupé par la persistance de stéréotypes discriminatoires concernant les rôles et responsabilités des femmes et des hommes dans la famille et </w:t>
      </w:r>
      <w:r w:rsidRPr="0076115A">
        <w:rPr>
          <w:lang w:val="fr-FR"/>
        </w:rPr>
        <w:lastRenderedPageBreak/>
        <w:t>dans la société, qui entretiennent la subordination des femmes aux hommes et sont exacerbés par les divisions sectaires et religieuses de l</w:t>
      </w:r>
      <w:r w:rsidR="00DA3E41" w:rsidRPr="0076115A">
        <w:rPr>
          <w:lang w:val="fr-FR"/>
        </w:rPr>
        <w:t>’</w:t>
      </w:r>
      <w:r w:rsidRPr="0076115A">
        <w:rPr>
          <w:lang w:val="fr-FR"/>
        </w:rPr>
        <w:t>État partie. Il est profondément préoccupé par</w:t>
      </w:r>
      <w:r w:rsidR="00DA3E41" w:rsidRPr="0076115A">
        <w:rPr>
          <w:lang w:val="fr-FR"/>
        </w:rPr>
        <w:t> :</w:t>
      </w:r>
    </w:p>
    <w:p w14:paraId="6D6A729A" w14:textId="5725B655" w:rsidR="00F154F3" w:rsidRPr="0076115A" w:rsidRDefault="00D43532" w:rsidP="00F154F3">
      <w:pPr>
        <w:pStyle w:val="SingleTxt"/>
        <w:rPr>
          <w:lang w:val="fr-FR"/>
        </w:rPr>
      </w:pPr>
      <w:r w:rsidRPr="0076115A">
        <w:rPr>
          <w:lang w:val="fr-FR"/>
        </w:rPr>
        <w:tab/>
      </w:r>
      <w:r w:rsidR="00F154F3" w:rsidRPr="0076115A">
        <w:rPr>
          <w:lang w:val="fr-FR"/>
        </w:rPr>
        <w:t>a)</w:t>
      </w:r>
      <w:r w:rsidR="00F154F3" w:rsidRPr="0076115A">
        <w:rPr>
          <w:lang w:val="fr-FR"/>
        </w:rPr>
        <w:tab/>
        <w:t>La persistance de pratiques préjudiciables qui sont discriminatoires à l</w:t>
      </w:r>
      <w:r w:rsidR="00DA3E41" w:rsidRPr="0076115A">
        <w:rPr>
          <w:lang w:val="fr-FR"/>
        </w:rPr>
        <w:t>’</w:t>
      </w:r>
      <w:r w:rsidR="00F154F3" w:rsidRPr="0076115A">
        <w:rPr>
          <w:lang w:val="fr-FR"/>
        </w:rPr>
        <w:t>égard des femmes, telles que les mariages d</w:t>
      </w:r>
      <w:r w:rsidR="00DA3E41" w:rsidRPr="0076115A">
        <w:rPr>
          <w:lang w:val="fr-FR"/>
        </w:rPr>
        <w:t>’</w:t>
      </w:r>
      <w:r w:rsidR="00F154F3" w:rsidRPr="0076115A">
        <w:rPr>
          <w:lang w:val="fr-FR"/>
        </w:rPr>
        <w:t>enfants, les mariages temporaires (</w:t>
      </w:r>
      <w:r w:rsidR="00F154F3" w:rsidRPr="0076115A">
        <w:rPr>
          <w:i/>
          <w:lang w:val="fr-FR"/>
        </w:rPr>
        <w:t>moutaa,</w:t>
      </w:r>
      <w:r w:rsidR="00F154F3" w:rsidRPr="0076115A">
        <w:rPr>
          <w:iCs/>
          <w:lang w:val="fr-FR"/>
        </w:rPr>
        <w:t xml:space="preserve"> </w:t>
      </w:r>
      <w:r w:rsidR="00F154F3" w:rsidRPr="0076115A">
        <w:rPr>
          <w:lang w:val="fr-FR"/>
        </w:rPr>
        <w:t>par lesquels le mariage prend fin après une période déterminée), les mariages forcés, les mutilations génitales féminines et les crimes dits d</w:t>
      </w:r>
      <w:r w:rsidR="00DA3E41" w:rsidRPr="0076115A">
        <w:rPr>
          <w:lang w:val="fr-FR"/>
        </w:rPr>
        <w:t>’</w:t>
      </w:r>
      <w:r w:rsidR="00F154F3" w:rsidRPr="0076115A">
        <w:rPr>
          <w:lang w:val="fr-FR"/>
        </w:rPr>
        <w:t>honneur</w:t>
      </w:r>
      <w:r w:rsidR="00F5100A" w:rsidRPr="0076115A">
        <w:rPr>
          <w:lang w:val="fr-FR"/>
        </w:rPr>
        <w:t> ;</w:t>
      </w:r>
    </w:p>
    <w:p w14:paraId="5AD2B85E" w14:textId="519FDB40" w:rsidR="00F154F3" w:rsidRPr="0076115A" w:rsidRDefault="00D43532" w:rsidP="00F154F3">
      <w:pPr>
        <w:pStyle w:val="SingleTxt"/>
        <w:rPr>
          <w:lang w:val="fr-FR"/>
        </w:rPr>
      </w:pPr>
      <w:r w:rsidRPr="0076115A">
        <w:rPr>
          <w:lang w:val="fr-FR"/>
        </w:rPr>
        <w:tab/>
      </w:r>
      <w:r w:rsidR="00F154F3" w:rsidRPr="0076115A">
        <w:rPr>
          <w:lang w:val="fr-FR"/>
        </w:rPr>
        <w:t>b)</w:t>
      </w:r>
      <w:r w:rsidR="00F154F3" w:rsidRPr="0076115A">
        <w:rPr>
          <w:lang w:val="fr-FR"/>
        </w:rPr>
        <w:tab/>
        <w:t>Les dispositions discriminatoires du Code pénal qui permettent aux auteurs de ces crimes d</w:t>
      </w:r>
      <w:r w:rsidR="00DA3E41" w:rsidRPr="0076115A">
        <w:rPr>
          <w:lang w:val="fr-FR"/>
        </w:rPr>
        <w:t>’</w:t>
      </w:r>
      <w:r w:rsidR="00F154F3" w:rsidRPr="0076115A">
        <w:rPr>
          <w:lang w:val="fr-FR"/>
        </w:rPr>
        <w:t>invoquer la défense de l</w:t>
      </w:r>
      <w:r w:rsidR="00DA3E41" w:rsidRPr="0076115A">
        <w:rPr>
          <w:lang w:val="fr-FR"/>
        </w:rPr>
        <w:t>’</w:t>
      </w:r>
      <w:r w:rsidR="00F154F3" w:rsidRPr="0076115A">
        <w:rPr>
          <w:lang w:val="fr-FR"/>
        </w:rPr>
        <w:t>honneur comme circonstance atténuante (art. 128, 130, 131 et 409)</w:t>
      </w:r>
      <w:r w:rsidR="00F5100A" w:rsidRPr="0076115A">
        <w:rPr>
          <w:lang w:val="fr-FR"/>
        </w:rPr>
        <w:t> ;</w:t>
      </w:r>
    </w:p>
    <w:p w14:paraId="1D1362D6" w14:textId="496E2A29" w:rsidR="00F154F3" w:rsidRPr="0076115A" w:rsidRDefault="00D43532" w:rsidP="00F154F3">
      <w:pPr>
        <w:pStyle w:val="SingleTxt"/>
        <w:rPr>
          <w:lang w:val="fr-FR"/>
        </w:rPr>
      </w:pPr>
      <w:r w:rsidRPr="0076115A">
        <w:rPr>
          <w:lang w:val="fr-FR"/>
        </w:rPr>
        <w:tab/>
      </w:r>
      <w:r w:rsidR="00F154F3" w:rsidRPr="0076115A">
        <w:rPr>
          <w:lang w:val="fr-FR"/>
        </w:rPr>
        <w:t>c)</w:t>
      </w:r>
      <w:r w:rsidR="00F154F3" w:rsidRPr="0076115A">
        <w:rPr>
          <w:lang w:val="fr-FR"/>
        </w:rPr>
        <w:tab/>
        <w:t>La pratique généralisée des mutilations génitales féminines dans certaines régions de l</w:t>
      </w:r>
      <w:r w:rsidR="00DA3E41" w:rsidRPr="0076115A">
        <w:rPr>
          <w:lang w:val="fr-FR"/>
        </w:rPr>
        <w:t>’</w:t>
      </w:r>
      <w:r w:rsidR="00F154F3" w:rsidRPr="0076115A">
        <w:rPr>
          <w:lang w:val="fr-FR"/>
        </w:rPr>
        <w:t>État partie, en particulier dans les zones rurales</w:t>
      </w:r>
      <w:r w:rsidR="00F5100A" w:rsidRPr="0076115A">
        <w:rPr>
          <w:lang w:val="fr-FR"/>
        </w:rPr>
        <w:t> ;</w:t>
      </w:r>
    </w:p>
    <w:p w14:paraId="095ABE93" w14:textId="0BE5242A" w:rsidR="00F154F3" w:rsidRPr="0076115A" w:rsidRDefault="00D43532" w:rsidP="00F154F3">
      <w:pPr>
        <w:pStyle w:val="SingleTxt"/>
        <w:rPr>
          <w:lang w:val="fr-FR"/>
        </w:rPr>
      </w:pPr>
      <w:r w:rsidRPr="0076115A">
        <w:rPr>
          <w:lang w:val="fr-FR"/>
        </w:rPr>
        <w:tab/>
      </w:r>
      <w:r w:rsidR="00F154F3" w:rsidRPr="0076115A">
        <w:rPr>
          <w:lang w:val="fr-FR"/>
        </w:rPr>
        <w:t>d)</w:t>
      </w:r>
      <w:r w:rsidR="00F154F3" w:rsidRPr="0076115A">
        <w:rPr>
          <w:lang w:val="fr-FR"/>
        </w:rPr>
        <w:tab/>
        <w:t>La persistance de stéréotypes discriminatoires à l</w:t>
      </w:r>
      <w:r w:rsidR="00DA3E41" w:rsidRPr="0076115A">
        <w:rPr>
          <w:lang w:val="fr-FR"/>
        </w:rPr>
        <w:t>’</w:t>
      </w:r>
      <w:r w:rsidR="00F154F3" w:rsidRPr="0076115A">
        <w:rPr>
          <w:lang w:val="fr-FR"/>
        </w:rPr>
        <w:t>égard des femmes et des filles appartenant à des minorités ethniques, notamment les Iraquiennes d</w:t>
      </w:r>
      <w:r w:rsidR="00DA3E41" w:rsidRPr="0076115A">
        <w:rPr>
          <w:lang w:val="fr-FR"/>
        </w:rPr>
        <w:t>’</w:t>
      </w:r>
      <w:r w:rsidR="00F154F3" w:rsidRPr="0076115A">
        <w:rPr>
          <w:lang w:val="fr-FR"/>
        </w:rPr>
        <w:t>ascendance africaine, les yézidies, les Turkmènes et les chrétiennes.</w:t>
      </w:r>
    </w:p>
    <w:p w14:paraId="606DE16C" w14:textId="64AA7A24" w:rsidR="00F154F3" w:rsidRPr="0076115A" w:rsidRDefault="00F154F3" w:rsidP="00D43532">
      <w:pPr>
        <w:pStyle w:val="SingleTxt"/>
        <w:numPr>
          <w:ilvl w:val="0"/>
          <w:numId w:val="41"/>
        </w:numPr>
        <w:spacing w:line="240" w:lineRule="exact"/>
        <w:ind w:left="1267"/>
        <w:rPr>
          <w:b/>
          <w:lang w:val="fr-FR"/>
        </w:rPr>
      </w:pPr>
      <w:r w:rsidRPr="0076115A">
        <w:rPr>
          <w:b/>
          <w:lang w:val="fr-FR"/>
        </w:rPr>
        <w:t>Rappelant ses précédentes observations finales (</w:t>
      </w:r>
      <w:hyperlink r:id="rId39" w:history="1">
        <w:r w:rsidRPr="0076115A">
          <w:rPr>
            <w:rStyle w:val="Hyperlink"/>
            <w:b/>
            <w:lang w:val="fr-FR"/>
          </w:rPr>
          <w:t>CEDAW/C/IRQ/CO/4-6</w:t>
        </w:r>
      </w:hyperlink>
      <w:r w:rsidRPr="0076115A">
        <w:rPr>
          <w:b/>
          <w:lang w:val="fr-FR"/>
        </w:rPr>
        <w:t>, par. 26),</w:t>
      </w:r>
      <w:r w:rsidR="00076037" w:rsidRPr="0076115A">
        <w:rPr>
          <w:b/>
          <w:lang w:val="fr-FR"/>
        </w:rPr>
        <w:t xml:space="preserve"> </w:t>
      </w:r>
      <w:r w:rsidRPr="0076115A">
        <w:rPr>
          <w:b/>
          <w:lang w:val="fr-FR"/>
        </w:rPr>
        <w:t xml:space="preserve">et la recommandation générale/observation générale conjointe </w:t>
      </w:r>
      <w:r w:rsidR="00186002" w:rsidRPr="0076115A">
        <w:rPr>
          <w:b/>
          <w:lang w:val="fr-FR"/>
        </w:rPr>
        <w:t>n</w:t>
      </w:r>
      <w:r w:rsidR="00186002" w:rsidRPr="0076115A">
        <w:rPr>
          <w:b/>
          <w:vertAlign w:val="superscript"/>
          <w:lang w:val="fr-FR"/>
        </w:rPr>
        <w:t>o</w:t>
      </w:r>
      <w:r w:rsidRPr="0076115A">
        <w:rPr>
          <w:b/>
          <w:lang w:val="fr-FR"/>
        </w:rPr>
        <w:t> 31 du Comité pour l</w:t>
      </w:r>
      <w:r w:rsidR="00DA3E41" w:rsidRPr="0076115A">
        <w:rPr>
          <w:b/>
          <w:lang w:val="fr-FR"/>
        </w:rPr>
        <w:t>’</w:t>
      </w:r>
      <w:r w:rsidRPr="0076115A">
        <w:rPr>
          <w:b/>
          <w:lang w:val="fr-FR"/>
        </w:rPr>
        <w:t>élimination de la discrimination à l</w:t>
      </w:r>
      <w:r w:rsidR="00DA3E41" w:rsidRPr="0076115A">
        <w:rPr>
          <w:b/>
          <w:lang w:val="fr-FR"/>
        </w:rPr>
        <w:t>’</w:t>
      </w:r>
      <w:r w:rsidRPr="0076115A">
        <w:rPr>
          <w:b/>
          <w:lang w:val="fr-FR"/>
        </w:rPr>
        <w:t xml:space="preserve">égard des femmes et </w:t>
      </w:r>
      <w:r w:rsidR="00186002" w:rsidRPr="0076115A">
        <w:rPr>
          <w:b/>
          <w:lang w:val="fr-FR"/>
        </w:rPr>
        <w:t>n</w:t>
      </w:r>
      <w:r w:rsidR="00186002" w:rsidRPr="0076115A">
        <w:rPr>
          <w:b/>
          <w:vertAlign w:val="superscript"/>
          <w:lang w:val="fr-FR"/>
        </w:rPr>
        <w:t>o</w:t>
      </w:r>
      <w:r w:rsidRPr="0076115A">
        <w:rPr>
          <w:b/>
          <w:lang w:val="fr-FR"/>
        </w:rPr>
        <w:t> 18 du Comité des droits de l</w:t>
      </w:r>
      <w:r w:rsidR="00DA3E41" w:rsidRPr="0076115A">
        <w:rPr>
          <w:b/>
          <w:lang w:val="fr-FR"/>
        </w:rPr>
        <w:t>’</w:t>
      </w:r>
      <w:r w:rsidRPr="0076115A">
        <w:rPr>
          <w:b/>
          <w:lang w:val="fr-FR"/>
        </w:rPr>
        <w:t>enfant (2019)sur les pratiques préjudiciables, le Comité recommande à l</w:t>
      </w:r>
      <w:r w:rsidR="00DA3E41" w:rsidRPr="0076115A">
        <w:rPr>
          <w:b/>
          <w:lang w:val="fr-FR"/>
        </w:rPr>
        <w:t>’</w:t>
      </w:r>
      <w:r w:rsidRPr="0076115A">
        <w:rPr>
          <w:b/>
          <w:lang w:val="fr-FR"/>
        </w:rPr>
        <w:t>État partie</w:t>
      </w:r>
      <w:r w:rsidR="00DA3E41" w:rsidRPr="0076115A">
        <w:rPr>
          <w:b/>
          <w:lang w:val="fr-FR"/>
        </w:rPr>
        <w:t> :</w:t>
      </w:r>
    </w:p>
    <w:p w14:paraId="78297A83" w14:textId="182F9C59" w:rsidR="00F154F3" w:rsidRPr="0076115A" w:rsidRDefault="00D43532" w:rsidP="00F154F3">
      <w:pPr>
        <w:pStyle w:val="SingleTxt"/>
        <w:rPr>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adopter une stratégie globale visant à éliminer les stéréotypes discriminatoires et les pratiques préjudiciables telles que les mariages d</w:t>
      </w:r>
      <w:r w:rsidR="00DA3E41" w:rsidRPr="0076115A">
        <w:rPr>
          <w:b/>
          <w:lang w:val="fr-FR"/>
        </w:rPr>
        <w:t>’</w:t>
      </w:r>
      <w:r w:rsidR="00F154F3" w:rsidRPr="0076115A">
        <w:rPr>
          <w:b/>
          <w:lang w:val="fr-FR"/>
        </w:rPr>
        <w:t>enfants, les mariages temporaires (</w:t>
      </w:r>
      <w:r w:rsidR="00F154F3" w:rsidRPr="0076115A">
        <w:rPr>
          <w:b/>
          <w:i/>
          <w:iCs/>
          <w:lang w:val="fr-FR"/>
        </w:rPr>
        <w:t>moutaa</w:t>
      </w:r>
      <w:r w:rsidR="00F154F3" w:rsidRPr="0076115A">
        <w:rPr>
          <w:b/>
          <w:lang w:val="fr-FR"/>
        </w:rPr>
        <w:t>), les mariages forcés, les mutilations génitales féminines et les crimes dits d</w:t>
      </w:r>
      <w:r w:rsidR="00DA3E41" w:rsidRPr="0076115A">
        <w:rPr>
          <w:b/>
          <w:lang w:val="fr-FR"/>
        </w:rPr>
        <w:t>’</w:t>
      </w:r>
      <w:r w:rsidR="00F154F3" w:rsidRPr="0076115A">
        <w:rPr>
          <w:b/>
          <w:lang w:val="fr-FR"/>
        </w:rPr>
        <w:t>honneur, y compris des programmes de sensibilisation et d</w:t>
      </w:r>
      <w:r w:rsidR="00DA3E41" w:rsidRPr="0076115A">
        <w:rPr>
          <w:b/>
          <w:lang w:val="fr-FR"/>
        </w:rPr>
        <w:t>’</w:t>
      </w:r>
      <w:r w:rsidR="00F154F3" w:rsidRPr="0076115A">
        <w:rPr>
          <w:b/>
          <w:lang w:val="fr-FR"/>
        </w:rPr>
        <w:t>éducation à l</w:t>
      </w:r>
      <w:r w:rsidR="00DA3E41" w:rsidRPr="0076115A">
        <w:rPr>
          <w:b/>
          <w:lang w:val="fr-FR"/>
        </w:rPr>
        <w:t>’</w:t>
      </w:r>
      <w:r w:rsidR="00F154F3" w:rsidRPr="0076115A">
        <w:rPr>
          <w:b/>
          <w:lang w:val="fr-FR"/>
        </w:rPr>
        <w:t>intention du grand public, des dirigeants religieux et communautaires et des médias, en collaboration avec la société civile et les organisations de femmes</w:t>
      </w:r>
      <w:r w:rsidR="00F5100A" w:rsidRPr="0076115A">
        <w:rPr>
          <w:b/>
          <w:lang w:val="fr-FR"/>
        </w:rPr>
        <w:t> ;</w:t>
      </w:r>
    </w:p>
    <w:p w14:paraId="0AC23692" w14:textId="58DAD3FD" w:rsidR="00F154F3" w:rsidRPr="0076115A" w:rsidRDefault="00D43532" w:rsidP="00F154F3">
      <w:pPr>
        <w:pStyle w:val="SingleTxt"/>
        <w:rPr>
          <w:b/>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abroger les articles 128, 130 et 131 du Code pénal pour faire en sorte que les auteurs de crimes dits d</w:t>
      </w:r>
      <w:r w:rsidR="00DA3E41" w:rsidRPr="0076115A">
        <w:rPr>
          <w:b/>
          <w:lang w:val="fr-FR"/>
        </w:rPr>
        <w:t>’</w:t>
      </w:r>
      <w:r w:rsidR="00F154F3" w:rsidRPr="0076115A">
        <w:rPr>
          <w:b/>
          <w:lang w:val="fr-FR"/>
        </w:rPr>
        <w:t>honneur ne puissent pas invoquer la défense de l</w:t>
      </w:r>
      <w:r w:rsidR="00DA3E41" w:rsidRPr="0076115A">
        <w:rPr>
          <w:b/>
          <w:lang w:val="fr-FR"/>
        </w:rPr>
        <w:t>’</w:t>
      </w:r>
      <w:r w:rsidR="00F154F3" w:rsidRPr="0076115A">
        <w:rPr>
          <w:b/>
          <w:lang w:val="fr-FR"/>
        </w:rPr>
        <w:t>honneur comme circonstance atténuante</w:t>
      </w:r>
      <w:r w:rsidR="00F5100A" w:rsidRPr="0076115A">
        <w:rPr>
          <w:b/>
          <w:lang w:val="fr-FR"/>
        </w:rPr>
        <w:t> ;</w:t>
      </w:r>
    </w:p>
    <w:p w14:paraId="49441EE0" w14:textId="4889E6BA"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renforcer les mesures de prévention et de protection visant à éliminer les mutilations génitales féminines et de veiller à ce que les victimes aient facilement accès à l</w:t>
      </w:r>
      <w:r w:rsidR="00DA3E41" w:rsidRPr="0076115A">
        <w:rPr>
          <w:b/>
          <w:lang w:val="fr-FR"/>
        </w:rPr>
        <w:t>’</w:t>
      </w:r>
      <w:r w:rsidR="00F154F3" w:rsidRPr="0076115A">
        <w:rPr>
          <w:b/>
          <w:lang w:val="fr-FR"/>
        </w:rPr>
        <w:t>information, à ce que les professionnels concernés soient suffisamment formés pour identifier les victimes potentielles et à ce que les responsables soient traduits en justice</w:t>
      </w:r>
      <w:r w:rsidR="00F5100A" w:rsidRPr="0076115A">
        <w:rPr>
          <w:b/>
          <w:lang w:val="fr-FR"/>
        </w:rPr>
        <w:t> ;</w:t>
      </w:r>
    </w:p>
    <w:p w14:paraId="3630ED11" w14:textId="6C887AC9" w:rsidR="00F154F3" w:rsidRPr="0076115A" w:rsidRDefault="00D43532" w:rsidP="00F154F3">
      <w:pPr>
        <w:pStyle w:val="SingleTxt"/>
        <w:rPr>
          <w:b/>
          <w:lang w:val="fr-FR"/>
        </w:rPr>
      </w:pPr>
      <w:r w:rsidRPr="0076115A">
        <w:rPr>
          <w:b/>
          <w:lang w:val="fr-FR"/>
        </w:rPr>
        <w:tab/>
      </w:r>
      <w:r w:rsidR="00F154F3" w:rsidRPr="0076115A">
        <w:rPr>
          <w:b/>
          <w:lang w:val="fr-FR"/>
        </w:rPr>
        <w:t>d)</w:t>
      </w:r>
      <w:r w:rsidR="00F154F3" w:rsidRPr="0076115A">
        <w:rPr>
          <w:b/>
          <w:lang w:val="fr-FR"/>
        </w:rPr>
        <w:tab/>
        <w:t>Prendre des mesures visant à éliminer les stéréotypes discriminatoires et les préjugés à l</w:t>
      </w:r>
      <w:r w:rsidR="00DA3E41" w:rsidRPr="0076115A">
        <w:rPr>
          <w:b/>
          <w:lang w:val="fr-FR"/>
        </w:rPr>
        <w:t>’</w:t>
      </w:r>
      <w:r w:rsidR="00F154F3" w:rsidRPr="0076115A">
        <w:rPr>
          <w:b/>
          <w:lang w:val="fr-FR"/>
        </w:rPr>
        <w:t>égard des femmes et des filles appartenant à des minorités ethniques, notamment les Iraquiennes d</w:t>
      </w:r>
      <w:r w:rsidR="00DA3E41" w:rsidRPr="0076115A">
        <w:rPr>
          <w:b/>
          <w:lang w:val="fr-FR"/>
        </w:rPr>
        <w:t>’</w:t>
      </w:r>
      <w:r w:rsidR="00F154F3" w:rsidRPr="0076115A">
        <w:rPr>
          <w:b/>
          <w:lang w:val="fr-FR"/>
        </w:rPr>
        <w:t>ascendance africaine, les yézidies, les Turkmènes et les chrétiennes.</w:t>
      </w:r>
    </w:p>
    <w:p w14:paraId="0E037880" w14:textId="0E023234" w:rsidR="00F154F3" w:rsidRPr="0076115A" w:rsidRDefault="00F154F3" w:rsidP="00D43532">
      <w:pPr>
        <w:pStyle w:val="SingleTxt"/>
        <w:spacing w:after="0" w:line="120" w:lineRule="exact"/>
        <w:rPr>
          <w:b/>
          <w:sz w:val="10"/>
          <w:lang w:val="fr-FR"/>
        </w:rPr>
      </w:pPr>
    </w:p>
    <w:p w14:paraId="36327961" w14:textId="5CC4C9C9"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Violence à l</w:t>
      </w:r>
      <w:r w:rsidR="00DA3E41" w:rsidRPr="0076115A">
        <w:rPr>
          <w:lang w:val="fr-FR"/>
        </w:rPr>
        <w:t>’</w:t>
      </w:r>
      <w:r w:rsidRPr="0076115A">
        <w:rPr>
          <w:lang w:val="fr-FR"/>
        </w:rPr>
        <w:t>égard des femmes fondée sur le genre</w:t>
      </w:r>
    </w:p>
    <w:p w14:paraId="4287CB12" w14:textId="77777777" w:rsidR="00D43532" w:rsidRPr="0076115A" w:rsidRDefault="00D43532" w:rsidP="00D43532">
      <w:pPr>
        <w:pStyle w:val="SingleTxt"/>
        <w:spacing w:after="0" w:line="120" w:lineRule="exact"/>
        <w:rPr>
          <w:sz w:val="10"/>
          <w:lang w:val="fr-FR"/>
        </w:rPr>
      </w:pPr>
    </w:p>
    <w:p w14:paraId="49673E87" w14:textId="2D6A6DFF" w:rsidR="00F154F3" w:rsidRPr="0076115A" w:rsidRDefault="00F154F3" w:rsidP="00D43532">
      <w:pPr>
        <w:pStyle w:val="SingleTxt"/>
        <w:numPr>
          <w:ilvl w:val="0"/>
          <w:numId w:val="41"/>
        </w:numPr>
        <w:spacing w:line="240" w:lineRule="exact"/>
        <w:ind w:left="1267"/>
        <w:rPr>
          <w:lang w:val="fr-FR"/>
        </w:rPr>
      </w:pPr>
      <w:r w:rsidRPr="0076115A">
        <w:rPr>
          <w:lang w:val="fr-FR"/>
        </w:rPr>
        <w:t>Le Comité salue l</w:t>
      </w:r>
      <w:r w:rsidR="00DA3E41" w:rsidRPr="0076115A">
        <w:rPr>
          <w:lang w:val="fr-FR"/>
        </w:rPr>
        <w:t>’</w:t>
      </w:r>
      <w:r w:rsidRPr="0076115A">
        <w:rPr>
          <w:lang w:val="fr-FR"/>
        </w:rPr>
        <w:t>adoption de la Stratégie nationale sur la violence contre les femmes et les filles (2018-2030). Il félicite l</w:t>
      </w:r>
      <w:r w:rsidR="00DA3E41" w:rsidRPr="0076115A">
        <w:rPr>
          <w:lang w:val="fr-FR"/>
        </w:rPr>
        <w:t>’</w:t>
      </w:r>
      <w:r w:rsidRPr="0076115A">
        <w:rPr>
          <w:lang w:val="fr-FR"/>
        </w:rPr>
        <w:t>État partie des efforts qu</w:t>
      </w:r>
      <w:r w:rsidR="00DA3E41" w:rsidRPr="0076115A">
        <w:rPr>
          <w:lang w:val="fr-FR"/>
        </w:rPr>
        <w:t>’</w:t>
      </w:r>
      <w:r w:rsidRPr="0076115A">
        <w:rPr>
          <w:lang w:val="fr-FR"/>
        </w:rPr>
        <w:t>il déploie pour adopter le projet de loi sur les survivants des crimes de l</w:t>
      </w:r>
      <w:r w:rsidR="00DA3E41" w:rsidRPr="0076115A">
        <w:rPr>
          <w:lang w:val="fr-FR"/>
        </w:rPr>
        <w:t>’</w:t>
      </w:r>
      <w:r w:rsidRPr="0076115A">
        <w:rPr>
          <w:lang w:val="fr-FR"/>
        </w:rPr>
        <w:t>État islamique d</w:t>
      </w:r>
      <w:r w:rsidR="00DA3E41" w:rsidRPr="0076115A">
        <w:rPr>
          <w:lang w:val="fr-FR"/>
        </w:rPr>
        <w:t>’</w:t>
      </w:r>
      <w:r w:rsidRPr="0076115A">
        <w:rPr>
          <w:lang w:val="fr-FR"/>
        </w:rPr>
        <w:t>Iraq et du Levant (EIIL) en vue de reconnaître les souffrances des femmes yézidies qui ont été détenues par l</w:t>
      </w:r>
      <w:r w:rsidR="00DA3E41" w:rsidRPr="0076115A">
        <w:rPr>
          <w:lang w:val="fr-FR"/>
        </w:rPr>
        <w:t>’</w:t>
      </w:r>
      <w:r w:rsidRPr="0076115A">
        <w:rPr>
          <w:lang w:val="fr-FR"/>
        </w:rPr>
        <w:t>EIIL et d</w:t>
      </w:r>
      <w:r w:rsidR="00DA3E41" w:rsidRPr="0076115A">
        <w:rPr>
          <w:lang w:val="fr-FR"/>
        </w:rPr>
        <w:t>’</w:t>
      </w:r>
      <w:r w:rsidRPr="0076115A">
        <w:rPr>
          <w:lang w:val="fr-FR"/>
        </w:rPr>
        <w:t>y remédier. Toutefois, il prend note avec une vive préoccupation des faits suivants</w:t>
      </w:r>
      <w:r w:rsidR="00DA3E41" w:rsidRPr="0076115A">
        <w:rPr>
          <w:lang w:val="fr-FR"/>
        </w:rPr>
        <w:t> :</w:t>
      </w:r>
    </w:p>
    <w:p w14:paraId="18D6950A" w14:textId="60BF20D5" w:rsidR="00F154F3" w:rsidRPr="0076115A" w:rsidRDefault="00D43532" w:rsidP="00F154F3">
      <w:pPr>
        <w:pStyle w:val="SingleTxt"/>
        <w:rPr>
          <w:lang w:val="fr-FR"/>
        </w:rPr>
      </w:pPr>
      <w:r w:rsidRPr="0076115A">
        <w:rPr>
          <w:lang w:val="fr-FR"/>
        </w:rPr>
        <w:tab/>
      </w:r>
      <w:r w:rsidR="00F154F3" w:rsidRPr="0076115A">
        <w:rPr>
          <w:lang w:val="fr-FR"/>
        </w:rPr>
        <w:t>a)</w:t>
      </w:r>
      <w:r w:rsidR="00F154F3" w:rsidRPr="0076115A">
        <w:rPr>
          <w:lang w:val="fr-FR"/>
        </w:rPr>
        <w:tab/>
        <w:t xml:space="preserve">Bien que son premier projet ait été achevé en 2011 et soumis à la Chambre des députés pour approbation à trois reprises depuis 2015, la loi sur la protection </w:t>
      </w:r>
      <w:r w:rsidR="00F154F3" w:rsidRPr="0076115A">
        <w:rPr>
          <w:lang w:val="fr-FR"/>
        </w:rPr>
        <w:lastRenderedPageBreak/>
        <w:t>contre la violence familiale n</w:t>
      </w:r>
      <w:r w:rsidR="00DA3E41" w:rsidRPr="0076115A">
        <w:rPr>
          <w:lang w:val="fr-FR"/>
        </w:rPr>
        <w:t>’</w:t>
      </w:r>
      <w:r w:rsidR="00F154F3" w:rsidRPr="0076115A">
        <w:rPr>
          <w:lang w:val="fr-FR"/>
        </w:rPr>
        <w:t>a pas encore été adoptée en raison des objections soulevées par la Commission parlementaire des biens de mainmorte</w:t>
      </w:r>
      <w:r w:rsidR="00F5100A" w:rsidRPr="0076115A">
        <w:rPr>
          <w:lang w:val="fr-FR"/>
        </w:rPr>
        <w:t> ;</w:t>
      </w:r>
    </w:p>
    <w:p w14:paraId="11F11718" w14:textId="637A49E5" w:rsidR="00F154F3" w:rsidRPr="0076115A" w:rsidRDefault="00D43532" w:rsidP="00F154F3">
      <w:pPr>
        <w:pStyle w:val="SingleTxt"/>
        <w:rPr>
          <w:lang w:val="fr-FR"/>
        </w:rPr>
      </w:pPr>
      <w:r w:rsidRPr="0076115A">
        <w:rPr>
          <w:lang w:val="fr-FR"/>
        </w:rPr>
        <w:tab/>
      </w:r>
      <w:r w:rsidR="00F154F3" w:rsidRPr="0076115A">
        <w:rPr>
          <w:lang w:val="fr-FR"/>
        </w:rPr>
        <w:t>b)</w:t>
      </w:r>
      <w:r w:rsidR="00F154F3" w:rsidRPr="0076115A">
        <w:rPr>
          <w:lang w:val="fr-FR"/>
        </w:rPr>
        <w:tab/>
        <w:t>Un certain nombre de facteurs continuent de contribuer à la sous</w:t>
      </w:r>
      <w:r w:rsidR="00076037" w:rsidRPr="0076115A">
        <w:rPr>
          <w:lang w:val="fr-FR"/>
        </w:rPr>
        <w:noBreakHyphen/>
      </w:r>
      <w:r w:rsidR="00F154F3" w:rsidRPr="0076115A">
        <w:rPr>
          <w:lang w:val="fr-FR"/>
        </w:rPr>
        <w:t>déclaration des cas de violence à l</w:t>
      </w:r>
      <w:r w:rsidR="00DA3E41" w:rsidRPr="0076115A">
        <w:rPr>
          <w:lang w:val="fr-FR"/>
        </w:rPr>
        <w:t>’</w:t>
      </w:r>
      <w:r w:rsidR="00F154F3" w:rsidRPr="0076115A">
        <w:rPr>
          <w:lang w:val="fr-FR"/>
        </w:rPr>
        <w:t>égard des femmes fondée sur le genre, tels que les barrières culturelles et l</w:t>
      </w:r>
      <w:r w:rsidR="00DA3E41" w:rsidRPr="0076115A">
        <w:rPr>
          <w:lang w:val="fr-FR"/>
        </w:rPr>
        <w:t>’</w:t>
      </w:r>
      <w:r w:rsidR="00F154F3" w:rsidRPr="0076115A">
        <w:rPr>
          <w:lang w:val="fr-FR"/>
        </w:rPr>
        <w:t>impunité des auteurs, ainsi que les maigres ressources humaines, techniques et financières dont disposent les services de protection familiale de la police</w:t>
      </w:r>
      <w:r w:rsidR="00F5100A" w:rsidRPr="0076115A">
        <w:rPr>
          <w:lang w:val="fr-FR"/>
        </w:rPr>
        <w:t> ;</w:t>
      </w:r>
    </w:p>
    <w:p w14:paraId="25D6BED9" w14:textId="2E29F904" w:rsidR="00F154F3" w:rsidRPr="0076115A" w:rsidRDefault="00D43532" w:rsidP="00F154F3">
      <w:pPr>
        <w:pStyle w:val="SingleTxt"/>
        <w:rPr>
          <w:lang w:val="fr-FR"/>
        </w:rPr>
      </w:pPr>
      <w:r w:rsidRPr="0076115A">
        <w:rPr>
          <w:lang w:val="fr-FR"/>
        </w:rPr>
        <w:tab/>
      </w:r>
      <w:r w:rsidR="00F154F3" w:rsidRPr="0076115A">
        <w:rPr>
          <w:lang w:val="fr-FR"/>
        </w:rPr>
        <w:t>c)</w:t>
      </w:r>
      <w:r w:rsidR="00F154F3" w:rsidRPr="0076115A">
        <w:rPr>
          <w:lang w:val="fr-FR"/>
        </w:rPr>
        <w:tab/>
        <w:t>Le nombre et la capacité des centres d</w:t>
      </w:r>
      <w:r w:rsidR="00DA3E41" w:rsidRPr="0076115A">
        <w:rPr>
          <w:lang w:val="fr-FR"/>
        </w:rPr>
        <w:t>’</w:t>
      </w:r>
      <w:r w:rsidR="00F154F3" w:rsidRPr="0076115A">
        <w:rPr>
          <w:lang w:val="fr-FR"/>
        </w:rPr>
        <w:t>accueil de l</w:t>
      </w:r>
      <w:r w:rsidR="00DA3E41" w:rsidRPr="0076115A">
        <w:rPr>
          <w:lang w:val="fr-FR"/>
        </w:rPr>
        <w:t>’</w:t>
      </w:r>
      <w:r w:rsidR="00F154F3" w:rsidRPr="0076115A">
        <w:rPr>
          <w:lang w:val="fr-FR"/>
        </w:rPr>
        <w:t>État pour les victimes de violence fondée sur le genre sont insuffisants et les organisations non gouvernementales qui gèrent des refuges pour répondre aux besoins des femmes et des filles victimes de la violence, y compris les victimes de l</w:t>
      </w:r>
      <w:r w:rsidR="00DA3E41" w:rsidRPr="0076115A">
        <w:rPr>
          <w:lang w:val="fr-FR"/>
        </w:rPr>
        <w:t>’</w:t>
      </w:r>
      <w:r w:rsidR="00F154F3" w:rsidRPr="0076115A">
        <w:rPr>
          <w:lang w:val="fr-FR"/>
        </w:rPr>
        <w:t>EIIL, ont dû déménager régulièrement les locaux pour garantir la sécurité tant des victimes que du personnel</w:t>
      </w:r>
      <w:r w:rsidR="00F5100A" w:rsidRPr="0076115A">
        <w:rPr>
          <w:lang w:val="fr-FR"/>
        </w:rPr>
        <w:t> ;</w:t>
      </w:r>
    </w:p>
    <w:p w14:paraId="3A646246" w14:textId="56699F67" w:rsidR="00F154F3" w:rsidRPr="0076115A" w:rsidRDefault="00D43532" w:rsidP="00F154F3">
      <w:pPr>
        <w:pStyle w:val="SingleTxt"/>
        <w:rPr>
          <w:lang w:val="fr-FR"/>
        </w:rPr>
      </w:pPr>
      <w:r w:rsidRPr="0076115A">
        <w:rPr>
          <w:lang w:val="fr-FR"/>
        </w:rPr>
        <w:tab/>
      </w:r>
      <w:r w:rsidR="00F154F3" w:rsidRPr="0076115A">
        <w:rPr>
          <w:lang w:val="fr-FR"/>
        </w:rPr>
        <w:t>d)</w:t>
      </w:r>
      <w:r w:rsidR="00F154F3" w:rsidRPr="0076115A">
        <w:rPr>
          <w:lang w:val="fr-FR"/>
        </w:rPr>
        <w:tab/>
        <w:t xml:space="preserve">Les ressources humaines, techniques et financières allouées à la mise en œuvre de la loi </w:t>
      </w:r>
      <w:r w:rsidR="00186002" w:rsidRPr="0076115A">
        <w:rPr>
          <w:lang w:val="fr-FR"/>
        </w:rPr>
        <w:t>n</w:t>
      </w:r>
      <w:r w:rsidR="00186002" w:rsidRPr="0076115A">
        <w:rPr>
          <w:vertAlign w:val="superscript"/>
          <w:lang w:val="fr-FR"/>
        </w:rPr>
        <w:t>o</w:t>
      </w:r>
      <w:r w:rsidR="00F154F3" w:rsidRPr="0076115A">
        <w:rPr>
          <w:lang w:val="fr-FR"/>
        </w:rPr>
        <w:t> 8 de 2011 sur la lutte contre la violence familiale dans la région du Kurdistan ne sont pas suffisantes.</w:t>
      </w:r>
    </w:p>
    <w:p w14:paraId="1AAD4265" w14:textId="157F900D" w:rsidR="00F154F3" w:rsidRPr="0076115A" w:rsidRDefault="00F154F3" w:rsidP="00D43532">
      <w:pPr>
        <w:pStyle w:val="SingleTxt"/>
        <w:numPr>
          <w:ilvl w:val="0"/>
          <w:numId w:val="41"/>
        </w:numPr>
        <w:spacing w:line="240" w:lineRule="exact"/>
        <w:ind w:left="1267"/>
        <w:rPr>
          <w:lang w:val="fr-FR"/>
        </w:rPr>
      </w:pPr>
      <w:r w:rsidRPr="0076115A">
        <w:rPr>
          <w:b/>
          <w:lang w:val="fr-FR"/>
        </w:rPr>
        <w:t xml:space="preserve">Rappelant les dispositions pertinentes de la Convention, la recommandation générale </w:t>
      </w:r>
      <w:r w:rsidR="00186002" w:rsidRPr="0076115A">
        <w:rPr>
          <w:b/>
          <w:lang w:val="fr-FR"/>
        </w:rPr>
        <w:t>n</w:t>
      </w:r>
      <w:r w:rsidR="00186002" w:rsidRPr="0076115A">
        <w:rPr>
          <w:b/>
          <w:vertAlign w:val="superscript"/>
          <w:lang w:val="fr-FR"/>
        </w:rPr>
        <w:t>o</w:t>
      </w:r>
      <w:r w:rsidRPr="0076115A">
        <w:rPr>
          <w:b/>
          <w:lang w:val="fr-FR"/>
        </w:rPr>
        <w:t> </w:t>
      </w:r>
      <w:hyperlink r:id="rId40" w:history="1">
        <w:r w:rsidRPr="0076115A">
          <w:rPr>
            <w:rStyle w:val="Hyperlink"/>
            <w:b/>
            <w:lang w:val="fr-FR"/>
          </w:rPr>
          <w:t>35 (2017)</w:t>
        </w:r>
      </w:hyperlink>
      <w:r w:rsidRPr="0076115A">
        <w:rPr>
          <w:b/>
          <w:lang w:val="fr-FR"/>
        </w:rPr>
        <w:t xml:space="preserve"> du Comité sur la violence à l</w:t>
      </w:r>
      <w:r w:rsidR="00DA3E41" w:rsidRPr="0076115A">
        <w:rPr>
          <w:b/>
          <w:lang w:val="fr-FR"/>
        </w:rPr>
        <w:t>’</w:t>
      </w:r>
      <w:r w:rsidRPr="0076115A">
        <w:rPr>
          <w:b/>
          <w:lang w:val="fr-FR"/>
        </w:rPr>
        <w:t xml:space="preserve">égard des femmes fondée sur le genre, portant actualisation de la recommandation générale </w:t>
      </w:r>
      <w:r w:rsidR="00186002" w:rsidRPr="0076115A">
        <w:rPr>
          <w:b/>
          <w:lang w:val="fr-FR"/>
        </w:rPr>
        <w:t>n</w:t>
      </w:r>
      <w:r w:rsidR="00186002" w:rsidRPr="0076115A">
        <w:rPr>
          <w:b/>
          <w:vertAlign w:val="superscript"/>
          <w:lang w:val="fr-FR"/>
        </w:rPr>
        <w:t>o</w:t>
      </w:r>
      <w:r w:rsidRPr="0076115A">
        <w:rPr>
          <w:b/>
          <w:lang w:val="fr-FR"/>
        </w:rPr>
        <w:t> 19, et ses précédentes observations finales (</w:t>
      </w:r>
      <w:hyperlink r:id="rId41" w:history="1">
        <w:r w:rsidRPr="0076115A">
          <w:rPr>
            <w:rStyle w:val="Hyperlink"/>
            <w:b/>
            <w:lang w:val="fr-FR"/>
          </w:rPr>
          <w:t>CEDAW/C/IRQ/CO/4-6</w:t>
        </w:r>
      </w:hyperlink>
      <w:r w:rsidRPr="0076115A">
        <w:rPr>
          <w:b/>
          <w:lang w:val="fr-FR"/>
        </w:rPr>
        <w:t>, par. 29), le Comité recommande à l</w:t>
      </w:r>
      <w:r w:rsidR="00DA3E41" w:rsidRPr="0076115A">
        <w:rPr>
          <w:b/>
          <w:lang w:val="fr-FR"/>
        </w:rPr>
        <w:t>’</w:t>
      </w:r>
      <w:r w:rsidRPr="0076115A">
        <w:rPr>
          <w:b/>
          <w:lang w:val="fr-FR"/>
        </w:rPr>
        <w:t>État partie</w:t>
      </w:r>
      <w:r w:rsidR="00DA3E41" w:rsidRPr="0076115A">
        <w:rPr>
          <w:b/>
          <w:lang w:val="fr-FR"/>
        </w:rPr>
        <w:t> :</w:t>
      </w:r>
    </w:p>
    <w:p w14:paraId="7C81576B" w14:textId="6BFC8EC9"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adopter le projet de loi sur les survivants des crimes de l</w:t>
      </w:r>
      <w:r w:rsidR="00DA3E41" w:rsidRPr="0076115A">
        <w:rPr>
          <w:b/>
          <w:lang w:val="fr-FR"/>
        </w:rPr>
        <w:t>’</w:t>
      </w:r>
      <w:r w:rsidR="00F154F3" w:rsidRPr="0076115A">
        <w:rPr>
          <w:b/>
          <w:lang w:val="fr-FR"/>
        </w:rPr>
        <w:t>État islamique d</w:t>
      </w:r>
      <w:r w:rsidR="00DA3E41" w:rsidRPr="0076115A">
        <w:rPr>
          <w:b/>
          <w:lang w:val="fr-FR"/>
        </w:rPr>
        <w:t>’</w:t>
      </w:r>
      <w:r w:rsidR="00F154F3" w:rsidRPr="0076115A">
        <w:rPr>
          <w:b/>
          <w:lang w:val="fr-FR"/>
        </w:rPr>
        <w:t>Iraq et du Levant (EIIL) et de garantir sa conformité avec les normes et principes internationaux relatifs aux droits de l</w:t>
      </w:r>
      <w:r w:rsidR="00DA3E41" w:rsidRPr="0076115A">
        <w:rPr>
          <w:b/>
          <w:lang w:val="fr-FR"/>
        </w:rPr>
        <w:t>’</w:t>
      </w:r>
      <w:r w:rsidR="00F154F3" w:rsidRPr="0076115A">
        <w:rPr>
          <w:b/>
          <w:lang w:val="fr-FR"/>
        </w:rPr>
        <w:t>homme</w:t>
      </w:r>
      <w:r w:rsidR="00F5100A" w:rsidRPr="0076115A">
        <w:rPr>
          <w:b/>
          <w:lang w:val="fr-FR"/>
        </w:rPr>
        <w:t> ;</w:t>
      </w:r>
    </w:p>
    <w:p w14:paraId="33A7C5E7" w14:textId="0D00058C" w:rsidR="00F154F3" w:rsidRPr="0076115A" w:rsidRDefault="00D43532" w:rsidP="00F154F3">
      <w:pPr>
        <w:pStyle w:val="SingleTxt"/>
        <w:rPr>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De prendre des mesures pour accélérer l</w:t>
      </w:r>
      <w:r w:rsidR="00DA3E41" w:rsidRPr="0076115A">
        <w:rPr>
          <w:b/>
          <w:lang w:val="fr-FR"/>
        </w:rPr>
        <w:t>’</w:t>
      </w:r>
      <w:r w:rsidR="00F154F3" w:rsidRPr="0076115A">
        <w:rPr>
          <w:b/>
          <w:lang w:val="fr-FR"/>
        </w:rPr>
        <w:t>adoption du projet de loi sur la protection contre la violence familiale</w:t>
      </w:r>
      <w:r w:rsidR="00F5100A" w:rsidRPr="0076115A">
        <w:rPr>
          <w:b/>
          <w:lang w:val="fr-FR"/>
        </w:rPr>
        <w:t> ;</w:t>
      </w:r>
    </w:p>
    <w:p w14:paraId="691DDB9C" w14:textId="6C9398BE" w:rsidR="00F154F3" w:rsidRPr="0076115A" w:rsidRDefault="00D43532" w:rsidP="00F154F3">
      <w:pPr>
        <w:pStyle w:val="SingleTxt"/>
        <w:rPr>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dispenser systématiquement une formation sur le projet de loi sur la protection contre la violence familiale à tous les agents de police travaillant dans des services de protection familiale, de continuer à embaucher des femmes policières et de veiller à ce qu</w:t>
      </w:r>
      <w:r w:rsidR="00DA3E41" w:rsidRPr="0076115A">
        <w:rPr>
          <w:b/>
          <w:lang w:val="fr-FR"/>
        </w:rPr>
        <w:t>’</w:t>
      </w:r>
      <w:r w:rsidR="00F154F3" w:rsidRPr="0076115A">
        <w:rPr>
          <w:b/>
          <w:lang w:val="fr-FR"/>
        </w:rPr>
        <w:t>elles restent en poste</w:t>
      </w:r>
      <w:r w:rsidR="00F5100A" w:rsidRPr="0076115A">
        <w:rPr>
          <w:b/>
          <w:lang w:val="fr-FR"/>
        </w:rPr>
        <w:t> ;</w:t>
      </w:r>
    </w:p>
    <w:p w14:paraId="5263FCF9" w14:textId="40C9694C" w:rsidR="00F154F3" w:rsidRPr="0076115A" w:rsidRDefault="00D43532" w:rsidP="00F154F3">
      <w:pPr>
        <w:pStyle w:val="SingleTxt"/>
        <w:rPr>
          <w:lang w:val="fr-FR"/>
        </w:rPr>
      </w:pPr>
      <w:r w:rsidRPr="0076115A">
        <w:rPr>
          <w:b/>
          <w:lang w:val="fr-FR"/>
        </w:rPr>
        <w:tab/>
      </w:r>
      <w:r w:rsidR="00F154F3" w:rsidRPr="0076115A">
        <w:rPr>
          <w:b/>
          <w:lang w:val="fr-FR"/>
        </w:rPr>
        <w:t>d)</w:t>
      </w:r>
      <w:r w:rsidR="00F154F3" w:rsidRPr="0076115A">
        <w:rPr>
          <w:lang w:val="fr-FR"/>
        </w:rPr>
        <w:tab/>
      </w:r>
      <w:r w:rsidR="00F154F3" w:rsidRPr="0076115A">
        <w:rPr>
          <w:b/>
          <w:lang w:val="fr-FR"/>
        </w:rPr>
        <w:t>De faire en sorte qu</w:t>
      </w:r>
      <w:r w:rsidR="00DA3E41" w:rsidRPr="0076115A">
        <w:rPr>
          <w:b/>
          <w:lang w:val="fr-FR"/>
        </w:rPr>
        <w:t>’</w:t>
      </w:r>
      <w:r w:rsidR="00F154F3" w:rsidRPr="0076115A">
        <w:rPr>
          <w:b/>
          <w:lang w:val="fr-FR"/>
        </w:rPr>
        <w:t>il y ait des centres d</w:t>
      </w:r>
      <w:r w:rsidR="00DA3E41" w:rsidRPr="0076115A">
        <w:rPr>
          <w:b/>
          <w:lang w:val="fr-FR"/>
        </w:rPr>
        <w:t>’</w:t>
      </w:r>
      <w:r w:rsidR="00F154F3" w:rsidRPr="0076115A">
        <w:rPr>
          <w:b/>
          <w:lang w:val="fr-FR"/>
        </w:rPr>
        <w:t>accueil pour les femmes victimes de violence sur l</w:t>
      </w:r>
      <w:r w:rsidR="00DA3E41" w:rsidRPr="0076115A">
        <w:rPr>
          <w:b/>
          <w:lang w:val="fr-FR"/>
        </w:rPr>
        <w:t>’</w:t>
      </w:r>
      <w:r w:rsidR="00F154F3" w:rsidRPr="0076115A">
        <w:rPr>
          <w:b/>
          <w:lang w:val="fr-FR"/>
        </w:rPr>
        <w:t>ensemble du territoire, de renforcer les services de soutien médical et psychologique aux victimes, ainsi que les services de conseil et de réadaptation, et de veiller à ce que ces services soient correctement financés, qu</w:t>
      </w:r>
      <w:r w:rsidR="00DA3E41" w:rsidRPr="0076115A">
        <w:rPr>
          <w:b/>
          <w:lang w:val="fr-FR"/>
        </w:rPr>
        <w:t>’</w:t>
      </w:r>
      <w:r w:rsidR="00F154F3" w:rsidRPr="0076115A">
        <w:rPr>
          <w:b/>
          <w:lang w:val="fr-FR"/>
        </w:rPr>
        <w:t>ils soient dotés de personnel dûment formé et que la qualité des services fournis soit régulièrement contrôlée</w:t>
      </w:r>
      <w:r w:rsidR="00F5100A" w:rsidRPr="0076115A">
        <w:rPr>
          <w:b/>
          <w:lang w:val="fr-FR"/>
        </w:rPr>
        <w:t> ;</w:t>
      </w:r>
    </w:p>
    <w:p w14:paraId="6C309819" w14:textId="5864F9BD" w:rsidR="00F154F3" w:rsidRPr="0076115A" w:rsidRDefault="00D43532" w:rsidP="00F154F3">
      <w:pPr>
        <w:pStyle w:val="SingleTxt"/>
        <w:rPr>
          <w:b/>
          <w:lang w:val="fr-FR"/>
        </w:rPr>
      </w:pPr>
      <w:r w:rsidRPr="0076115A">
        <w:rPr>
          <w:b/>
          <w:lang w:val="fr-FR"/>
        </w:rPr>
        <w:tab/>
      </w:r>
      <w:r w:rsidR="00F154F3" w:rsidRPr="0076115A">
        <w:rPr>
          <w:b/>
          <w:lang w:val="fr-FR"/>
        </w:rPr>
        <w:t>e)</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 xml:space="preserve">allouer des ressources suffisantes à la mise en œuvre de la loi </w:t>
      </w:r>
      <w:r w:rsidR="00186002" w:rsidRPr="0076115A">
        <w:rPr>
          <w:b/>
          <w:lang w:val="fr-FR"/>
        </w:rPr>
        <w:t>n</w:t>
      </w:r>
      <w:r w:rsidR="00186002" w:rsidRPr="0076115A">
        <w:rPr>
          <w:b/>
          <w:vertAlign w:val="superscript"/>
          <w:lang w:val="fr-FR"/>
        </w:rPr>
        <w:t>o</w:t>
      </w:r>
      <w:r w:rsidR="00F154F3" w:rsidRPr="0076115A">
        <w:rPr>
          <w:b/>
          <w:lang w:val="fr-FR"/>
        </w:rPr>
        <w:t> 8 de 2011 sur la lutte contre la violence familiale dans la région du Kurdistan</w:t>
      </w:r>
      <w:r w:rsidR="00F5100A" w:rsidRPr="0076115A">
        <w:rPr>
          <w:b/>
          <w:lang w:val="fr-FR"/>
        </w:rPr>
        <w:t> ;</w:t>
      </w:r>
    </w:p>
    <w:p w14:paraId="75F49DF1" w14:textId="41E29185" w:rsidR="00F154F3" w:rsidRPr="0076115A" w:rsidRDefault="00D43532" w:rsidP="00F154F3">
      <w:pPr>
        <w:pStyle w:val="SingleTxt"/>
        <w:rPr>
          <w:lang w:val="fr-FR"/>
        </w:rPr>
      </w:pPr>
      <w:r w:rsidRPr="0076115A">
        <w:rPr>
          <w:b/>
          <w:lang w:val="fr-FR"/>
        </w:rPr>
        <w:tab/>
      </w:r>
      <w:r w:rsidR="00F154F3" w:rsidRPr="0076115A">
        <w:rPr>
          <w:b/>
          <w:lang w:val="fr-FR"/>
        </w:rPr>
        <w:t>f)</w:t>
      </w:r>
      <w:r w:rsidR="00F154F3" w:rsidRPr="0076115A">
        <w:rPr>
          <w:lang w:val="fr-FR"/>
        </w:rPr>
        <w:tab/>
      </w:r>
      <w:r w:rsidR="00F154F3" w:rsidRPr="0076115A">
        <w:rPr>
          <w:b/>
          <w:lang w:val="fr-FR"/>
        </w:rPr>
        <w:t>De prendre des mesures appropriées pour assurer la collecte de données sur toutes les formes de violence à l</w:t>
      </w:r>
      <w:r w:rsidR="00DA3E41" w:rsidRPr="0076115A">
        <w:rPr>
          <w:b/>
          <w:lang w:val="fr-FR"/>
        </w:rPr>
        <w:t>’</w:t>
      </w:r>
      <w:r w:rsidR="00F154F3" w:rsidRPr="0076115A">
        <w:rPr>
          <w:b/>
          <w:lang w:val="fr-FR"/>
        </w:rPr>
        <w:t>égard des femmes fondée sur le genre, ventilées par âge, région, relation entre la victime et l</w:t>
      </w:r>
      <w:r w:rsidR="00DA3E41" w:rsidRPr="0076115A">
        <w:rPr>
          <w:b/>
          <w:lang w:val="fr-FR"/>
        </w:rPr>
        <w:t>’</w:t>
      </w:r>
      <w:r w:rsidR="00F154F3" w:rsidRPr="0076115A">
        <w:rPr>
          <w:b/>
          <w:lang w:val="fr-FR"/>
        </w:rPr>
        <w:t xml:space="preserve">auteur et </w:t>
      </w:r>
      <w:r w:rsidR="001B5B15" w:rsidRPr="0076115A">
        <w:rPr>
          <w:b/>
          <w:lang w:val="fr-FR"/>
        </w:rPr>
        <w:t xml:space="preserve">la </w:t>
      </w:r>
      <w:r w:rsidR="00F154F3" w:rsidRPr="0076115A">
        <w:rPr>
          <w:b/>
          <w:lang w:val="fr-FR"/>
        </w:rPr>
        <w:t>situation socioéconomique, entre autres indicateurs</w:t>
      </w:r>
      <w:r w:rsidR="00203101" w:rsidRPr="0076115A">
        <w:rPr>
          <w:b/>
          <w:lang w:val="fr-FR"/>
        </w:rPr>
        <w:t>.</w:t>
      </w:r>
    </w:p>
    <w:p w14:paraId="730BB45C" w14:textId="77777777" w:rsidR="00D43532" w:rsidRPr="0076115A" w:rsidRDefault="00D43532" w:rsidP="00D43532">
      <w:pPr>
        <w:pStyle w:val="SingleTxt"/>
        <w:spacing w:after="0" w:line="120" w:lineRule="exact"/>
        <w:rPr>
          <w:b/>
          <w:sz w:val="10"/>
          <w:lang w:val="fr-FR"/>
        </w:rPr>
      </w:pPr>
    </w:p>
    <w:p w14:paraId="244E7B11" w14:textId="51EC587E"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Traite et exploitation de la prostitution</w:t>
      </w:r>
    </w:p>
    <w:p w14:paraId="2F829F0D" w14:textId="77777777" w:rsidR="00D43532" w:rsidRPr="0076115A" w:rsidRDefault="00D43532" w:rsidP="00D43532">
      <w:pPr>
        <w:pStyle w:val="SingleTxt"/>
        <w:spacing w:after="0" w:line="120" w:lineRule="exact"/>
        <w:rPr>
          <w:sz w:val="10"/>
          <w:lang w:val="fr-FR"/>
        </w:rPr>
      </w:pPr>
    </w:p>
    <w:p w14:paraId="1A0BDCB2" w14:textId="0382F17E" w:rsidR="00F154F3" w:rsidRPr="0076115A" w:rsidRDefault="00F154F3" w:rsidP="00D43532">
      <w:pPr>
        <w:pStyle w:val="SingleTxt"/>
        <w:numPr>
          <w:ilvl w:val="0"/>
          <w:numId w:val="41"/>
        </w:numPr>
        <w:spacing w:line="240" w:lineRule="exact"/>
        <w:ind w:left="1267"/>
        <w:rPr>
          <w:lang w:val="fr-FR"/>
        </w:rPr>
      </w:pPr>
      <w:r w:rsidRPr="0076115A">
        <w:rPr>
          <w:lang w:val="fr-FR"/>
        </w:rPr>
        <w:t>Le Comité prend note de l</w:t>
      </w:r>
      <w:r w:rsidR="00DA3E41" w:rsidRPr="0076115A">
        <w:rPr>
          <w:lang w:val="fr-FR"/>
        </w:rPr>
        <w:t>’</w:t>
      </w:r>
      <w:r w:rsidRPr="0076115A">
        <w:rPr>
          <w:lang w:val="fr-FR"/>
        </w:rPr>
        <w:t xml:space="preserve">existence du Comité </w:t>
      </w:r>
      <w:r w:rsidR="005737A3" w:rsidRPr="0076115A">
        <w:rPr>
          <w:lang w:val="fr-FR"/>
        </w:rPr>
        <w:t xml:space="preserve">central </w:t>
      </w:r>
      <w:r w:rsidRPr="0076115A">
        <w:rPr>
          <w:lang w:val="fr-FR"/>
        </w:rPr>
        <w:t>de lutte contre la traite des personnes. Il constate avec préoccupation que, depuis l</w:t>
      </w:r>
      <w:r w:rsidR="00DA3E41" w:rsidRPr="0076115A">
        <w:rPr>
          <w:lang w:val="fr-FR"/>
        </w:rPr>
        <w:t>’</w:t>
      </w:r>
      <w:r w:rsidRPr="0076115A">
        <w:rPr>
          <w:lang w:val="fr-FR"/>
        </w:rPr>
        <w:t>invasion de l</w:t>
      </w:r>
      <w:r w:rsidR="00DA3E41" w:rsidRPr="0076115A">
        <w:rPr>
          <w:lang w:val="fr-FR"/>
        </w:rPr>
        <w:t>’</w:t>
      </w:r>
      <w:r w:rsidRPr="0076115A">
        <w:rPr>
          <w:lang w:val="fr-FR"/>
        </w:rPr>
        <w:t>Iraq par les États-Unis en 2003, jusqu</w:t>
      </w:r>
      <w:r w:rsidR="00DA3E41" w:rsidRPr="0076115A">
        <w:rPr>
          <w:lang w:val="fr-FR"/>
        </w:rPr>
        <w:t>’</w:t>
      </w:r>
      <w:r w:rsidRPr="0076115A">
        <w:rPr>
          <w:lang w:val="fr-FR"/>
        </w:rPr>
        <w:t>à 10 000 femmes et filles ont été enlevées ou victimes de la traite à des fins d</w:t>
      </w:r>
      <w:r w:rsidR="00DA3E41" w:rsidRPr="0076115A">
        <w:rPr>
          <w:lang w:val="fr-FR"/>
        </w:rPr>
        <w:t>’</w:t>
      </w:r>
      <w:r w:rsidRPr="0076115A">
        <w:rPr>
          <w:lang w:val="fr-FR"/>
        </w:rPr>
        <w:t>exploitation sexuelle ou détenues aux fins de rançon. Il relève qu</w:t>
      </w:r>
      <w:r w:rsidR="00DA3E41" w:rsidRPr="0076115A">
        <w:rPr>
          <w:lang w:val="fr-FR"/>
        </w:rPr>
        <w:t>’</w:t>
      </w:r>
      <w:r w:rsidRPr="0076115A">
        <w:rPr>
          <w:lang w:val="fr-FR"/>
        </w:rPr>
        <w:t>à la suite de la dissolution de l</w:t>
      </w:r>
      <w:r w:rsidR="00DA3E41" w:rsidRPr="0076115A">
        <w:rPr>
          <w:lang w:val="fr-FR"/>
        </w:rPr>
        <w:t>’</w:t>
      </w:r>
      <w:r w:rsidRPr="0076115A">
        <w:rPr>
          <w:lang w:val="fr-FR"/>
        </w:rPr>
        <w:t>armée iraquienne et d</w:t>
      </w:r>
      <w:r w:rsidR="00DA3E41" w:rsidRPr="0076115A">
        <w:rPr>
          <w:lang w:val="fr-FR"/>
        </w:rPr>
        <w:t>’</w:t>
      </w:r>
      <w:r w:rsidRPr="0076115A">
        <w:rPr>
          <w:lang w:val="fr-FR"/>
        </w:rPr>
        <w:t>autres institutions chargées de la sécurité, la traite des femmes et des enfants a pris de l</w:t>
      </w:r>
      <w:r w:rsidR="00DA3E41" w:rsidRPr="0076115A">
        <w:rPr>
          <w:lang w:val="fr-FR"/>
        </w:rPr>
        <w:t>’</w:t>
      </w:r>
      <w:r w:rsidRPr="0076115A">
        <w:rPr>
          <w:lang w:val="fr-FR"/>
        </w:rPr>
        <w:t>ampleur à l</w:t>
      </w:r>
      <w:r w:rsidR="00DA3E41" w:rsidRPr="0076115A">
        <w:rPr>
          <w:lang w:val="fr-FR"/>
        </w:rPr>
        <w:t>’</w:t>
      </w:r>
      <w:r w:rsidRPr="0076115A">
        <w:rPr>
          <w:lang w:val="fr-FR"/>
        </w:rPr>
        <w:t xml:space="preserve">intérieur et </w:t>
      </w:r>
      <w:r w:rsidRPr="0076115A">
        <w:rPr>
          <w:lang w:val="fr-FR"/>
        </w:rPr>
        <w:lastRenderedPageBreak/>
        <w:t>au-delà des frontières de l</w:t>
      </w:r>
      <w:r w:rsidR="00DA3E41" w:rsidRPr="0076115A">
        <w:rPr>
          <w:lang w:val="fr-FR"/>
        </w:rPr>
        <w:t>’</w:t>
      </w:r>
      <w:r w:rsidRPr="0076115A">
        <w:rPr>
          <w:lang w:val="fr-FR"/>
        </w:rPr>
        <w:t>État partie. Le Comité est également préoccupé par les allégations selon lesquelles des hommes auraient eu recours à des mariages forcés et à des mariages temporaires (</w:t>
      </w:r>
      <w:r w:rsidRPr="0076115A">
        <w:rPr>
          <w:i/>
          <w:iCs/>
          <w:lang w:val="fr-FR"/>
        </w:rPr>
        <w:t>moutaa</w:t>
      </w:r>
      <w:r w:rsidRPr="0076115A">
        <w:rPr>
          <w:lang w:val="fr-FR"/>
        </w:rPr>
        <w:t>) pour se livrer au trafic de femmes dans l</w:t>
      </w:r>
      <w:r w:rsidR="00DA3E41" w:rsidRPr="0076115A">
        <w:rPr>
          <w:lang w:val="fr-FR"/>
        </w:rPr>
        <w:t>’</w:t>
      </w:r>
      <w:r w:rsidRPr="0076115A">
        <w:rPr>
          <w:lang w:val="fr-FR"/>
        </w:rPr>
        <w:t>État partie ou vers des pays voisins comme la Jordanie, le Koweït et la République arabe syrienne à des fins d</w:t>
      </w:r>
      <w:r w:rsidR="00DA3E41" w:rsidRPr="0076115A">
        <w:rPr>
          <w:lang w:val="fr-FR"/>
        </w:rPr>
        <w:t>’</w:t>
      </w:r>
      <w:r w:rsidRPr="0076115A">
        <w:rPr>
          <w:lang w:val="fr-FR"/>
        </w:rPr>
        <w:t>exploitation sexuelle. En outre, le Comité s</w:t>
      </w:r>
      <w:r w:rsidR="00DA3E41" w:rsidRPr="0076115A">
        <w:rPr>
          <w:lang w:val="fr-FR"/>
        </w:rPr>
        <w:t>’</w:t>
      </w:r>
      <w:r w:rsidRPr="0076115A">
        <w:rPr>
          <w:lang w:val="fr-FR"/>
        </w:rPr>
        <w:t>inquiète de l</w:t>
      </w:r>
      <w:r w:rsidR="00DA3E41" w:rsidRPr="0076115A">
        <w:rPr>
          <w:lang w:val="fr-FR"/>
        </w:rPr>
        <w:t>’</w:t>
      </w:r>
      <w:r w:rsidRPr="0076115A">
        <w:rPr>
          <w:lang w:val="fr-FR"/>
        </w:rPr>
        <w:t>absence d</w:t>
      </w:r>
      <w:r w:rsidR="00DA3E41" w:rsidRPr="0076115A">
        <w:rPr>
          <w:lang w:val="fr-FR"/>
        </w:rPr>
        <w:t>’</w:t>
      </w:r>
      <w:r w:rsidRPr="0076115A">
        <w:rPr>
          <w:lang w:val="fr-FR"/>
        </w:rPr>
        <w:t>un plan d</w:t>
      </w:r>
      <w:r w:rsidR="00DA3E41" w:rsidRPr="0076115A">
        <w:rPr>
          <w:lang w:val="fr-FR"/>
        </w:rPr>
        <w:t>’</w:t>
      </w:r>
      <w:r w:rsidRPr="0076115A">
        <w:rPr>
          <w:lang w:val="fr-FR"/>
        </w:rPr>
        <w:t>action national de lutte contre la traite des personnes.</w:t>
      </w:r>
    </w:p>
    <w:p w14:paraId="6F14B92F" w14:textId="506BB80D" w:rsidR="00F154F3" w:rsidRPr="0076115A" w:rsidRDefault="00F154F3" w:rsidP="00D43532">
      <w:pPr>
        <w:pStyle w:val="SingleTxt"/>
        <w:numPr>
          <w:ilvl w:val="0"/>
          <w:numId w:val="41"/>
        </w:numPr>
        <w:spacing w:line="240" w:lineRule="exact"/>
        <w:ind w:left="1267"/>
        <w:rPr>
          <w:b/>
          <w:lang w:val="fr-FR"/>
        </w:rPr>
      </w:pPr>
      <w:r w:rsidRPr="0076115A">
        <w:rPr>
          <w:b/>
          <w:lang w:val="fr-FR"/>
        </w:rPr>
        <w:t>Le Comité recommande à l</w:t>
      </w:r>
      <w:r w:rsidR="00DA3E41" w:rsidRPr="0076115A">
        <w:rPr>
          <w:b/>
          <w:lang w:val="fr-FR"/>
        </w:rPr>
        <w:t>’</w:t>
      </w:r>
      <w:r w:rsidRPr="0076115A">
        <w:rPr>
          <w:b/>
          <w:lang w:val="fr-FR"/>
        </w:rPr>
        <w:t>État partie</w:t>
      </w:r>
      <w:r w:rsidR="00DA3E41" w:rsidRPr="0076115A">
        <w:rPr>
          <w:b/>
          <w:lang w:val="fr-FR"/>
        </w:rPr>
        <w:t> :</w:t>
      </w:r>
    </w:p>
    <w:p w14:paraId="09113A23" w14:textId="51772E03"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 xml:space="preserve">De renforcer le mandat du Comité </w:t>
      </w:r>
      <w:r w:rsidR="005737A3" w:rsidRPr="0076115A">
        <w:rPr>
          <w:b/>
          <w:lang w:val="fr-FR"/>
        </w:rPr>
        <w:t xml:space="preserve">central </w:t>
      </w:r>
      <w:r w:rsidR="00F154F3" w:rsidRPr="0076115A">
        <w:rPr>
          <w:b/>
          <w:lang w:val="fr-FR"/>
        </w:rPr>
        <w:t>de lutte contre la traite des personnes et de veiller à ce qu</w:t>
      </w:r>
      <w:r w:rsidR="00DA3E41" w:rsidRPr="0076115A">
        <w:rPr>
          <w:b/>
          <w:lang w:val="fr-FR"/>
        </w:rPr>
        <w:t>’</w:t>
      </w:r>
      <w:r w:rsidR="00F154F3" w:rsidRPr="0076115A">
        <w:rPr>
          <w:b/>
          <w:lang w:val="fr-FR"/>
        </w:rPr>
        <w:t>il soit appuyé par des ressources humaines, techniques et financières suffisantes</w:t>
      </w:r>
      <w:r w:rsidR="00F5100A" w:rsidRPr="0076115A">
        <w:rPr>
          <w:b/>
          <w:lang w:val="fr-FR"/>
        </w:rPr>
        <w:t> ;</w:t>
      </w:r>
    </w:p>
    <w:p w14:paraId="287E7CB6" w14:textId="50A53291" w:rsidR="00F154F3" w:rsidRPr="0076115A" w:rsidRDefault="00D43532" w:rsidP="00F154F3">
      <w:pPr>
        <w:pStyle w:val="SingleTxt"/>
        <w:rPr>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De redoubler d</w:t>
      </w:r>
      <w:r w:rsidR="00DA3E41" w:rsidRPr="0076115A">
        <w:rPr>
          <w:b/>
          <w:lang w:val="fr-FR"/>
        </w:rPr>
        <w:t>’</w:t>
      </w:r>
      <w:r w:rsidR="00F154F3" w:rsidRPr="0076115A">
        <w:rPr>
          <w:b/>
          <w:lang w:val="fr-FR"/>
        </w:rPr>
        <w:t xml:space="preserve">efforts pour prévenir et combattre la traite des femmes et des filles, notamment en appliquant effectivement la loi </w:t>
      </w:r>
      <w:r w:rsidR="00186002" w:rsidRPr="0076115A">
        <w:rPr>
          <w:b/>
          <w:lang w:val="fr-FR"/>
        </w:rPr>
        <w:t>n</w:t>
      </w:r>
      <w:r w:rsidR="00186002" w:rsidRPr="0076115A">
        <w:rPr>
          <w:b/>
          <w:vertAlign w:val="superscript"/>
          <w:lang w:val="fr-FR"/>
        </w:rPr>
        <w:t>o</w:t>
      </w:r>
      <w:r w:rsidR="00F154F3" w:rsidRPr="0076115A">
        <w:rPr>
          <w:b/>
          <w:lang w:val="fr-FR"/>
        </w:rPr>
        <w:t> 28 de 2012 sur la lutte contre la traite des personnes et en offrant protection et soutien aux victimes, y compris des refuges et une assistance psychosociale</w:t>
      </w:r>
      <w:r w:rsidR="00F5100A" w:rsidRPr="0076115A">
        <w:rPr>
          <w:b/>
          <w:lang w:val="fr-FR"/>
        </w:rPr>
        <w:t> ;</w:t>
      </w:r>
    </w:p>
    <w:p w14:paraId="36426475" w14:textId="255C5A22"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mener des enquêtes rapides et impartiales sur les affaires de traite des personnes, de s</w:t>
      </w:r>
      <w:r w:rsidR="00DA3E41" w:rsidRPr="0076115A">
        <w:rPr>
          <w:b/>
          <w:lang w:val="fr-FR"/>
        </w:rPr>
        <w:t>’</w:t>
      </w:r>
      <w:r w:rsidR="00F154F3" w:rsidRPr="0076115A">
        <w:rPr>
          <w:b/>
          <w:lang w:val="fr-FR"/>
        </w:rPr>
        <w:t>assurer que les personnes reconnues coupables de tels crimes soient dûment sanctionnées et de veiller à ce que toutes les victimes de la traite obtiennent réparation</w:t>
      </w:r>
      <w:r w:rsidR="00F5100A" w:rsidRPr="0076115A">
        <w:rPr>
          <w:b/>
          <w:lang w:val="fr-FR"/>
        </w:rPr>
        <w:t> ;</w:t>
      </w:r>
    </w:p>
    <w:p w14:paraId="2C14AE41" w14:textId="400A508F" w:rsidR="00F154F3" w:rsidRPr="0076115A" w:rsidRDefault="00D43532" w:rsidP="00F154F3">
      <w:pPr>
        <w:pStyle w:val="SingleTxt"/>
        <w:rPr>
          <w:b/>
          <w:lang w:val="fr-FR"/>
        </w:rPr>
      </w:pPr>
      <w:r w:rsidRPr="0076115A">
        <w:rPr>
          <w:b/>
          <w:lang w:val="fr-FR"/>
        </w:rPr>
        <w:tab/>
      </w:r>
      <w:r w:rsidR="00F154F3" w:rsidRPr="0076115A">
        <w:rPr>
          <w:b/>
          <w:lang w:val="fr-FR"/>
        </w:rPr>
        <w:t>d)</w:t>
      </w:r>
      <w:r w:rsidR="00F154F3" w:rsidRPr="0076115A">
        <w:rPr>
          <w:lang w:val="fr-FR"/>
        </w:rPr>
        <w:tab/>
      </w:r>
      <w:r w:rsidR="00F154F3" w:rsidRPr="0076115A">
        <w:rPr>
          <w:b/>
          <w:lang w:val="fr-FR"/>
        </w:rPr>
        <w:t>De s</w:t>
      </w:r>
      <w:r w:rsidR="00DA3E41" w:rsidRPr="0076115A">
        <w:rPr>
          <w:b/>
          <w:lang w:val="fr-FR"/>
        </w:rPr>
        <w:t>’</w:t>
      </w:r>
      <w:r w:rsidR="00F154F3" w:rsidRPr="0076115A">
        <w:rPr>
          <w:b/>
          <w:lang w:val="fr-FR"/>
        </w:rPr>
        <w:t>attaquer en priorité à la traite des femmes et des filles aux fins de mariages forcés et temporaires (</w:t>
      </w:r>
      <w:r w:rsidR="00F154F3" w:rsidRPr="0076115A">
        <w:rPr>
          <w:b/>
          <w:i/>
          <w:iCs/>
          <w:lang w:val="fr-FR"/>
        </w:rPr>
        <w:t>moutaa</w:t>
      </w:r>
      <w:r w:rsidR="00F154F3" w:rsidRPr="0076115A">
        <w:rPr>
          <w:b/>
          <w:lang w:val="fr-FR"/>
        </w:rPr>
        <w:t>) en criminalisant ces mariages et en adoptant un plan d</w:t>
      </w:r>
      <w:r w:rsidR="00DA3E41" w:rsidRPr="0076115A">
        <w:rPr>
          <w:b/>
          <w:lang w:val="fr-FR"/>
        </w:rPr>
        <w:t>’</w:t>
      </w:r>
      <w:r w:rsidR="00F154F3" w:rsidRPr="0076115A">
        <w:rPr>
          <w:b/>
          <w:lang w:val="fr-FR"/>
        </w:rPr>
        <w:t>action national pour combattre ces pratiques, et de fermer les bureaux qui facilitent et organisent ces formes de mariage</w:t>
      </w:r>
      <w:r w:rsidR="00F5100A" w:rsidRPr="0076115A">
        <w:rPr>
          <w:b/>
          <w:lang w:val="fr-FR"/>
        </w:rPr>
        <w:t> ;</w:t>
      </w:r>
    </w:p>
    <w:p w14:paraId="306DAD9C" w14:textId="1EFBF877" w:rsidR="00F154F3" w:rsidRPr="0076115A" w:rsidRDefault="00D43532" w:rsidP="00F154F3">
      <w:pPr>
        <w:pStyle w:val="SingleTxt"/>
        <w:rPr>
          <w:b/>
          <w:lang w:val="fr-FR"/>
        </w:rPr>
      </w:pPr>
      <w:r w:rsidRPr="0076115A">
        <w:rPr>
          <w:b/>
          <w:lang w:val="fr-FR"/>
        </w:rPr>
        <w:tab/>
      </w:r>
      <w:r w:rsidR="00F154F3" w:rsidRPr="0076115A">
        <w:rPr>
          <w:b/>
          <w:lang w:val="fr-FR"/>
        </w:rPr>
        <w:t>e)</w:t>
      </w:r>
      <w:r w:rsidR="00F154F3" w:rsidRPr="0076115A">
        <w:rPr>
          <w:lang w:val="fr-FR"/>
        </w:rPr>
        <w:tab/>
      </w:r>
      <w:r w:rsidR="00F154F3" w:rsidRPr="0076115A">
        <w:rPr>
          <w:b/>
          <w:lang w:val="fr-FR"/>
        </w:rPr>
        <w:t>De continuer à sensibiliser l</w:t>
      </w:r>
      <w:r w:rsidR="00DA3E41" w:rsidRPr="0076115A">
        <w:rPr>
          <w:b/>
          <w:lang w:val="fr-FR"/>
        </w:rPr>
        <w:t>’</w:t>
      </w:r>
      <w:r w:rsidR="00F154F3" w:rsidRPr="0076115A">
        <w:rPr>
          <w:b/>
          <w:lang w:val="fr-FR"/>
        </w:rPr>
        <w:t>opinion au caractère criminel de la traite des femmes et des filles et aux risques qui y sont liés, et de dispenser une formation aux magistrats, aux agents de la force publique et à la police des frontières sur l</w:t>
      </w:r>
      <w:r w:rsidR="00DA3E41" w:rsidRPr="0076115A">
        <w:rPr>
          <w:b/>
          <w:lang w:val="fr-FR"/>
        </w:rPr>
        <w:t>’</w:t>
      </w:r>
      <w:r w:rsidR="00F154F3" w:rsidRPr="0076115A">
        <w:rPr>
          <w:b/>
          <w:lang w:val="fr-FR"/>
        </w:rPr>
        <w:t>identification précoce des femmes et des filles victimes de la traite, leur orientation vers les services appropriés et la stricte application des dispositions pertinentes du droit pénal</w:t>
      </w:r>
      <w:r w:rsidR="00F5100A" w:rsidRPr="0076115A">
        <w:rPr>
          <w:b/>
          <w:lang w:val="fr-FR"/>
        </w:rPr>
        <w:t> ;</w:t>
      </w:r>
    </w:p>
    <w:p w14:paraId="7AAA03C6" w14:textId="647EB652" w:rsidR="00F154F3" w:rsidRPr="0076115A" w:rsidRDefault="00D43532" w:rsidP="00F154F3">
      <w:pPr>
        <w:pStyle w:val="SingleTxt"/>
        <w:rPr>
          <w:b/>
          <w:lang w:val="fr-FR"/>
        </w:rPr>
      </w:pPr>
      <w:r w:rsidRPr="0076115A">
        <w:rPr>
          <w:b/>
          <w:lang w:val="fr-FR"/>
        </w:rPr>
        <w:tab/>
      </w:r>
      <w:r w:rsidR="00F154F3" w:rsidRPr="0076115A">
        <w:rPr>
          <w:b/>
          <w:lang w:val="fr-FR"/>
        </w:rPr>
        <w:t>f)</w:t>
      </w:r>
      <w:r w:rsidR="00F154F3" w:rsidRPr="0076115A">
        <w:rPr>
          <w:lang w:val="fr-FR"/>
        </w:rPr>
        <w:tab/>
      </w:r>
      <w:r w:rsidR="00F154F3" w:rsidRPr="0076115A">
        <w:rPr>
          <w:b/>
          <w:lang w:val="fr-FR"/>
        </w:rPr>
        <w:t>De former les travailleurs sociaux et le personnel médical qui viennent en aide aux victimes de la traite sur la façon de prendre en charge ces personnes en tenant compte du genre</w:t>
      </w:r>
      <w:r w:rsidR="00F5100A" w:rsidRPr="0076115A">
        <w:rPr>
          <w:b/>
          <w:lang w:val="fr-FR"/>
        </w:rPr>
        <w:t> ;</w:t>
      </w:r>
    </w:p>
    <w:p w14:paraId="675FB56B" w14:textId="717AF3CC" w:rsidR="00F154F3" w:rsidRPr="0076115A" w:rsidRDefault="00D43532" w:rsidP="00F154F3">
      <w:pPr>
        <w:pStyle w:val="SingleTxt"/>
        <w:rPr>
          <w:b/>
          <w:lang w:val="fr-FR"/>
        </w:rPr>
      </w:pPr>
      <w:r w:rsidRPr="0076115A">
        <w:rPr>
          <w:b/>
          <w:lang w:val="fr-FR"/>
        </w:rPr>
        <w:tab/>
      </w:r>
      <w:r w:rsidR="00F154F3" w:rsidRPr="0076115A">
        <w:rPr>
          <w:b/>
          <w:lang w:val="fr-FR"/>
        </w:rPr>
        <w:t>g)</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accélérer l</w:t>
      </w:r>
      <w:r w:rsidR="00DA3E41" w:rsidRPr="0076115A">
        <w:rPr>
          <w:b/>
          <w:lang w:val="fr-FR"/>
        </w:rPr>
        <w:t>’</w:t>
      </w:r>
      <w:r w:rsidR="00F154F3" w:rsidRPr="0076115A">
        <w:rPr>
          <w:b/>
          <w:lang w:val="fr-FR"/>
        </w:rPr>
        <w:t>adoption d</w:t>
      </w:r>
      <w:r w:rsidR="00DA3E41" w:rsidRPr="0076115A">
        <w:rPr>
          <w:b/>
          <w:lang w:val="fr-FR"/>
        </w:rPr>
        <w:t>’</w:t>
      </w:r>
      <w:r w:rsidR="00F154F3" w:rsidRPr="0076115A">
        <w:rPr>
          <w:b/>
          <w:lang w:val="fr-FR"/>
        </w:rPr>
        <w:t>un plan d</w:t>
      </w:r>
      <w:r w:rsidR="00DA3E41" w:rsidRPr="0076115A">
        <w:rPr>
          <w:b/>
          <w:lang w:val="fr-FR"/>
        </w:rPr>
        <w:t>’</w:t>
      </w:r>
      <w:r w:rsidR="00F154F3" w:rsidRPr="0076115A">
        <w:rPr>
          <w:b/>
          <w:lang w:val="fr-FR"/>
        </w:rPr>
        <w:t>action national de lutte contre la traite des personnes et de créer un organe permanent chargé de coordonner et de suivre son application</w:t>
      </w:r>
      <w:r w:rsidR="00F5100A" w:rsidRPr="0076115A">
        <w:rPr>
          <w:b/>
          <w:lang w:val="fr-FR"/>
        </w:rPr>
        <w:t> ;</w:t>
      </w:r>
    </w:p>
    <w:p w14:paraId="5DBFB8B0" w14:textId="0AE8F522" w:rsidR="00F154F3" w:rsidRPr="0076115A" w:rsidRDefault="00D43532" w:rsidP="00F154F3">
      <w:pPr>
        <w:pStyle w:val="SingleTxt"/>
        <w:rPr>
          <w:b/>
          <w:lang w:val="fr-FR"/>
        </w:rPr>
      </w:pPr>
      <w:r w:rsidRPr="0076115A">
        <w:rPr>
          <w:b/>
          <w:lang w:val="fr-FR"/>
        </w:rPr>
        <w:tab/>
      </w:r>
      <w:r w:rsidR="00F154F3" w:rsidRPr="0076115A">
        <w:rPr>
          <w:b/>
          <w:lang w:val="fr-FR"/>
        </w:rPr>
        <w:t>h)</w:t>
      </w:r>
      <w:r w:rsidR="00F154F3" w:rsidRPr="0076115A">
        <w:rPr>
          <w:lang w:val="fr-FR"/>
        </w:rPr>
        <w:tab/>
      </w:r>
      <w:r w:rsidR="00F154F3" w:rsidRPr="0076115A">
        <w:rPr>
          <w:b/>
          <w:lang w:val="fr-FR"/>
        </w:rPr>
        <w:t>De recueillir des données statistiques ventilées sur l</w:t>
      </w:r>
      <w:r w:rsidR="00DA3E41" w:rsidRPr="0076115A">
        <w:rPr>
          <w:b/>
          <w:lang w:val="fr-FR"/>
        </w:rPr>
        <w:t>’</w:t>
      </w:r>
      <w:r w:rsidR="00F154F3" w:rsidRPr="0076115A">
        <w:rPr>
          <w:b/>
          <w:lang w:val="fr-FR"/>
        </w:rPr>
        <w:t>ampleur de la traite, à l</w:t>
      </w:r>
      <w:r w:rsidR="00DA3E41" w:rsidRPr="0076115A">
        <w:rPr>
          <w:b/>
          <w:lang w:val="fr-FR"/>
        </w:rPr>
        <w:t>’</w:t>
      </w:r>
      <w:r w:rsidR="00F154F3" w:rsidRPr="0076115A">
        <w:rPr>
          <w:b/>
          <w:lang w:val="fr-FR"/>
        </w:rPr>
        <w:t>intérieur et au-delà des frontières de l</w:t>
      </w:r>
      <w:r w:rsidR="00DA3E41" w:rsidRPr="0076115A">
        <w:rPr>
          <w:b/>
          <w:lang w:val="fr-FR"/>
        </w:rPr>
        <w:t>’</w:t>
      </w:r>
      <w:r w:rsidR="00F154F3" w:rsidRPr="0076115A">
        <w:rPr>
          <w:b/>
          <w:lang w:val="fr-FR"/>
        </w:rPr>
        <w:t>État partie, le nombre de procédures pénales engagées et les peines imposées aux auteurs d</w:t>
      </w:r>
      <w:r w:rsidR="00DA3E41" w:rsidRPr="0076115A">
        <w:rPr>
          <w:b/>
          <w:lang w:val="fr-FR"/>
        </w:rPr>
        <w:t>’</w:t>
      </w:r>
      <w:r w:rsidR="00F154F3" w:rsidRPr="0076115A">
        <w:rPr>
          <w:b/>
          <w:lang w:val="fr-FR"/>
        </w:rPr>
        <w:t>infractions liées à la traite, et de faire figurer ces données dans son prochain rapport périodique.</w:t>
      </w:r>
    </w:p>
    <w:p w14:paraId="5989A8D9" w14:textId="77777777" w:rsidR="00D43532" w:rsidRPr="0076115A" w:rsidRDefault="00D43532" w:rsidP="00D43532">
      <w:pPr>
        <w:pStyle w:val="SingleTxt"/>
        <w:spacing w:after="0" w:line="120" w:lineRule="exact"/>
        <w:rPr>
          <w:b/>
          <w:sz w:val="10"/>
          <w:lang w:val="fr-FR"/>
        </w:rPr>
      </w:pPr>
    </w:p>
    <w:p w14:paraId="1F1D2A95" w14:textId="47105B41"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Participation à la vie politique et publique</w:t>
      </w:r>
    </w:p>
    <w:p w14:paraId="00251E75" w14:textId="77777777" w:rsidR="00D43532" w:rsidRPr="0076115A" w:rsidRDefault="00D43532" w:rsidP="00D43532">
      <w:pPr>
        <w:pStyle w:val="SingleTxt"/>
        <w:spacing w:after="0" w:line="120" w:lineRule="exact"/>
        <w:rPr>
          <w:sz w:val="10"/>
          <w:lang w:val="fr-FR"/>
        </w:rPr>
      </w:pPr>
    </w:p>
    <w:p w14:paraId="3CF74629" w14:textId="59C5F3CD" w:rsidR="00F154F3" w:rsidRPr="0076115A" w:rsidRDefault="00F154F3" w:rsidP="00D43532">
      <w:pPr>
        <w:pStyle w:val="SingleTxt"/>
        <w:numPr>
          <w:ilvl w:val="0"/>
          <w:numId w:val="41"/>
        </w:numPr>
        <w:spacing w:line="240" w:lineRule="exact"/>
        <w:ind w:left="1267"/>
        <w:rPr>
          <w:lang w:val="fr-FR"/>
        </w:rPr>
      </w:pPr>
      <w:r w:rsidRPr="0076115A">
        <w:rPr>
          <w:lang w:val="fr-FR"/>
        </w:rPr>
        <w:t>Le Comité prend note des efforts que l</w:t>
      </w:r>
      <w:r w:rsidR="00DA3E41" w:rsidRPr="0076115A">
        <w:rPr>
          <w:lang w:val="fr-FR"/>
        </w:rPr>
        <w:t>’</w:t>
      </w:r>
      <w:r w:rsidRPr="0076115A">
        <w:rPr>
          <w:lang w:val="fr-FR"/>
        </w:rPr>
        <w:t>État partie déploie pour assurer l</w:t>
      </w:r>
      <w:r w:rsidR="00DA3E41" w:rsidRPr="0076115A">
        <w:rPr>
          <w:lang w:val="fr-FR"/>
        </w:rPr>
        <w:t>’</w:t>
      </w:r>
      <w:r w:rsidRPr="0076115A">
        <w:rPr>
          <w:lang w:val="fr-FR"/>
        </w:rPr>
        <w:t>application d</w:t>
      </w:r>
      <w:r w:rsidR="00DA3E41" w:rsidRPr="0076115A">
        <w:rPr>
          <w:lang w:val="fr-FR"/>
        </w:rPr>
        <w:t>’</w:t>
      </w:r>
      <w:r w:rsidRPr="0076115A">
        <w:rPr>
          <w:lang w:val="fr-FR"/>
        </w:rPr>
        <w:t>un quota minimum de 25</w:t>
      </w:r>
      <w:r w:rsidR="00DA3E41" w:rsidRPr="0076115A">
        <w:rPr>
          <w:lang w:val="fr-FR"/>
        </w:rPr>
        <w:t> %</w:t>
      </w:r>
      <w:r w:rsidRPr="0076115A">
        <w:rPr>
          <w:lang w:val="fr-FR"/>
        </w:rPr>
        <w:t xml:space="preserve"> de femmes à la Chambre des députés et l</w:t>
      </w:r>
      <w:r w:rsidR="00DA3E41" w:rsidRPr="0076115A">
        <w:rPr>
          <w:lang w:val="fr-FR"/>
        </w:rPr>
        <w:t>’</w:t>
      </w:r>
      <w:r w:rsidRPr="0076115A">
        <w:rPr>
          <w:lang w:val="fr-FR"/>
        </w:rPr>
        <w:t xml:space="preserve">adoption de la décision </w:t>
      </w:r>
      <w:r w:rsidR="00186002" w:rsidRPr="0076115A">
        <w:rPr>
          <w:lang w:val="fr-FR"/>
        </w:rPr>
        <w:t>n</w:t>
      </w:r>
      <w:r w:rsidR="00186002" w:rsidRPr="0076115A">
        <w:rPr>
          <w:vertAlign w:val="superscript"/>
          <w:lang w:val="fr-FR"/>
        </w:rPr>
        <w:t>o</w:t>
      </w:r>
      <w:r w:rsidRPr="0076115A">
        <w:rPr>
          <w:lang w:val="fr-FR"/>
        </w:rPr>
        <w:t> </w:t>
      </w:r>
      <w:hyperlink r:id="rId42" w:history="1">
        <w:r w:rsidRPr="0076115A">
          <w:rPr>
            <w:rStyle w:val="Hyperlink"/>
            <w:lang w:val="fr-FR"/>
          </w:rPr>
          <w:t>99 (2015)</w:t>
        </w:r>
      </w:hyperlink>
      <w:r w:rsidRPr="0076115A">
        <w:rPr>
          <w:lang w:val="fr-FR"/>
        </w:rPr>
        <w:t xml:space="preserve"> du Conseil des ministres, qui encourage les ministères à embaucher des femmes à des postes de haut niveau. Il relève en outre la nomination d</w:t>
      </w:r>
      <w:r w:rsidR="00DA3E41" w:rsidRPr="0076115A">
        <w:rPr>
          <w:lang w:val="fr-FR"/>
        </w:rPr>
        <w:t>’</w:t>
      </w:r>
      <w:r w:rsidRPr="0076115A">
        <w:rPr>
          <w:lang w:val="fr-FR"/>
        </w:rPr>
        <w:t>une femme au poste de Ministre de l</w:t>
      </w:r>
      <w:r w:rsidR="00DA3E41" w:rsidRPr="0076115A">
        <w:rPr>
          <w:lang w:val="fr-FR"/>
        </w:rPr>
        <w:t>’</w:t>
      </w:r>
      <w:r w:rsidRPr="0076115A">
        <w:rPr>
          <w:lang w:val="fr-FR"/>
        </w:rPr>
        <w:t>éducation et la récente élection d</w:t>
      </w:r>
      <w:r w:rsidR="00DA3E41" w:rsidRPr="0076115A">
        <w:rPr>
          <w:lang w:val="fr-FR"/>
        </w:rPr>
        <w:t>’</w:t>
      </w:r>
      <w:r w:rsidRPr="0076115A">
        <w:rPr>
          <w:lang w:val="fr-FR"/>
        </w:rPr>
        <w:t xml:space="preserve">une femme à la mairie de Bagdad. Le Comité constate avec satisfaction que la loi </w:t>
      </w:r>
      <w:r w:rsidR="00186002" w:rsidRPr="0076115A">
        <w:rPr>
          <w:lang w:val="fr-FR"/>
        </w:rPr>
        <w:t>n</w:t>
      </w:r>
      <w:r w:rsidR="00186002" w:rsidRPr="0076115A">
        <w:rPr>
          <w:vertAlign w:val="superscript"/>
          <w:lang w:val="fr-FR"/>
        </w:rPr>
        <w:t>o</w:t>
      </w:r>
      <w:r w:rsidRPr="0076115A">
        <w:rPr>
          <w:lang w:val="fr-FR"/>
        </w:rPr>
        <w:t> 36 de 2015 sur les partis politiques prévoit que les femmes peuvent être représentées au comité fondateur et au bureau général d</w:t>
      </w:r>
      <w:r w:rsidR="00DA3E41" w:rsidRPr="0076115A">
        <w:rPr>
          <w:lang w:val="fr-FR"/>
        </w:rPr>
        <w:t>’</w:t>
      </w:r>
      <w:r w:rsidRPr="0076115A">
        <w:rPr>
          <w:lang w:val="fr-FR"/>
        </w:rPr>
        <w:t xml:space="preserve">un parti. Toutefois, il regrette </w:t>
      </w:r>
      <w:r w:rsidRPr="0076115A">
        <w:rPr>
          <w:lang w:val="fr-FR"/>
        </w:rPr>
        <w:lastRenderedPageBreak/>
        <w:t>l</w:t>
      </w:r>
      <w:r w:rsidR="00DA3E41" w:rsidRPr="0076115A">
        <w:rPr>
          <w:lang w:val="fr-FR"/>
        </w:rPr>
        <w:t>’</w:t>
      </w:r>
      <w:r w:rsidRPr="0076115A">
        <w:rPr>
          <w:lang w:val="fr-FR"/>
        </w:rPr>
        <w:t>absence de femmes parmi les membres de la Haute Commission électorale indépendante. Il note avec préoccupation que les femmes appartenant à divers groupes minoritaires, notamment les femmes handicapées, les Iraquiennes d</w:t>
      </w:r>
      <w:r w:rsidR="00DA3E41" w:rsidRPr="0076115A">
        <w:rPr>
          <w:lang w:val="fr-FR"/>
        </w:rPr>
        <w:t>’</w:t>
      </w:r>
      <w:r w:rsidRPr="0076115A">
        <w:rPr>
          <w:lang w:val="fr-FR"/>
        </w:rPr>
        <w:t>ascendance africaine, les yézidies, les Turkmènes et les chrétiennes, continuent d</w:t>
      </w:r>
      <w:r w:rsidR="00DA3E41" w:rsidRPr="0076115A">
        <w:rPr>
          <w:lang w:val="fr-FR"/>
        </w:rPr>
        <w:t>’</w:t>
      </w:r>
      <w:r w:rsidRPr="0076115A">
        <w:rPr>
          <w:lang w:val="fr-FR"/>
        </w:rPr>
        <w:t>être sous-représentées dans la vie politique et publique de l</w:t>
      </w:r>
      <w:r w:rsidR="00DA3E41" w:rsidRPr="0076115A">
        <w:rPr>
          <w:lang w:val="fr-FR"/>
        </w:rPr>
        <w:t>’</w:t>
      </w:r>
      <w:r w:rsidRPr="0076115A">
        <w:rPr>
          <w:lang w:val="fr-FR"/>
        </w:rPr>
        <w:t>État partie.</w:t>
      </w:r>
    </w:p>
    <w:p w14:paraId="754B56ED" w14:textId="163B8E38" w:rsidR="00F154F3" w:rsidRPr="0076115A" w:rsidRDefault="00F154F3" w:rsidP="00D43532">
      <w:pPr>
        <w:pStyle w:val="SingleTxt"/>
        <w:numPr>
          <w:ilvl w:val="0"/>
          <w:numId w:val="41"/>
        </w:numPr>
        <w:spacing w:line="240" w:lineRule="exact"/>
        <w:ind w:left="1267"/>
        <w:rPr>
          <w:b/>
          <w:lang w:val="fr-FR"/>
        </w:rPr>
      </w:pPr>
      <w:r w:rsidRPr="0076115A">
        <w:rPr>
          <w:b/>
          <w:lang w:val="fr-FR"/>
        </w:rPr>
        <w:t>Le Comité recommande à l</w:t>
      </w:r>
      <w:r w:rsidR="00DA3E41" w:rsidRPr="0076115A">
        <w:rPr>
          <w:b/>
          <w:lang w:val="fr-FR"/>
        </w:rPr>
        <w:t>’</w:t>
      </w:r>
      <w:r w:rsidRPr="0076115A">
        <w:rPr>
          <w:b/>
          <w:lang w:val="fr-FR"/>
        </w:rPr>
        <w:t>État partie</w:t>
      </w:r>
      <w:r w:rsidR="00DA3E41" w:rsidRPr="0076115A">
        <w:rPr>
          <w:b/>
          <w:lang w:val="fr-FR"/>
        </w:rPr>
        <w:t> :</w:t>
      </w:r>
    </w:p>
    <w:p w14:paraId="6652BF9A" w14:textId="1A26D857"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De continuer à appliquer des mesures temporaires spéciales, conformément au paragraphe 1 de l</w:t>
      </w:r>
      <w:r w:rsidR="00DA3E41" w:rsidRPr="0076115A">
        <w:rPr>
          <w:b/>
          <w:lang w:val="fr-FR"/>
        </w:rPr>
        <w:t>’</w:t>
      </w:r>
      <w:r w:rsidR="00F154F3" w:rsidRPr="0076115A">
        <w:rPr>
          <w:b/>
          <w:lang w:val="fr-FR"/>
        </w:rPr>
        <w:t xml:space="preserve">article 4 de la Convention, à la recommandation générale </w:t>
      </w:r>
      <w:r w:rsidR="00186002" w:rsidRPr="0076115A">
        <w:rPr>
          <w:b/>
          <w:lang w:val="fr-FR"/>
        </w:rPr>
        <w:t>n</w:t>
      </w:r>
      <w:r w:rsidR="00186002" w:rsidRPr="0076115A">
        <w:rPr>
          <w:b/>
          <w:vertAlign w:val="superscript"/>
          <w:lang w:val="fr-FR"/>
        </w:rPr>
        <w:t>o</w:t>
      </w:r>
      <w:r w:rsidR="00F154F3" w:rsidRPr="0076115A">
        <w:rPr>
          <w:b/>
          <w:lang w:val="fr-FR"/>
        </w:rPr>
        <w:t xml:space="preserve"> 25 et à la recommandation générale </w:t>
      </w:r>
      <w:r w:rsidR="00186002" w:rsidRPr="0076115A">
        <w:rPr>
          <w:b/>
          <w:lang w:val="fr-FR"/>
        </w:rPr>
        <w:t>n</w:t>
      </w:r>
      <w:r w:rsidR="00186002" w:rsidRPr="0076115A">
        <w:rPr>
          <w:b/>
          <w:vertAlign w:val="superscript"/>
          <w:lang w:val="fr-FR"/>
        </w:rPr>
        <w:t>o</w:t>
      </w:r>
      <w:r w:rsidR="00F154F3" w:rsidRPr="0076115A">
        <w:rPr>
          <w:b/>
          <w:lang w:val="fr-FR"/>
        </w:rPr>
        <w:t> </w:t>
      </w:r>
      <w:hyperlink r:id="rId43" w:history="1">
        <w:r w:rsidR="00F154F3" w:rsidRPr="0076115A">
          <w:rPr>
            <w:rStyle w:val="Hyperlink"/>
            <w:b/>
            <w:lang w:val="fr-FR"/>
          </w:rPr>
          <w:t>23 (1997)</w:t>
        </w:r>
      </w:hyperlink>
      <w:r w:rsidR="00F154F3" w:rsidRPr="0076115A">
        <w:rPr>
          <w:b/>
          <w:lang w:val="fr-FR"/>
        </w:rPr>
        <w:t xml:space="preserve"> sur les femmes dans la vie politique et publique, afin d</w:t>
      </w:r>
      <w:r w:rsidR="00DA3E41" w:rsidRPr="0076115A">
        <w:rPr>
          <w:b/>
          <w:lang w:val="fr-FR"/>
        </w:rPr>
        <w:t>’</w:t>
      </w:r>
      <w:r w:rsidR="00F154F3" w:rsidRPr="0076115A">
        <w:rPr>
          <w:b/>
          <w:lang w:val="fr-FR"/>
        </w:rPr>
        <w:t>assurer une représentation égale des femmes et des hommes dans la fonction publique, aux postes à responsabilité et dans l</w:t>
      </w:r>
      <w:r w:rsidR="00DA3E41" w:rsidRPr="0076115A">
        <w:rPr>
          <w:b/>
          <w:lang w:val="fr-FR"/>
        </w:rPr>
        <w:t>’</w:t>
      </w:r>
      <w:r w:rsidR="00F154F3" w:rsidRPr="0076115A">
        <w:rPr>
          <w:b/>
          <w:lang w:val="fr-FR"/>
        </w:rPr>
        <w:t>appareil judiciaire</w:t>
      </w:r>
      <w:r w:rsidR="00F5100A" w:rsidRPr="0076115A">
        <w:rPr>
          <w:b/>
          <w:lang w:val="fr-FR"/>
        </w:rPr>
        <w:t> ;</w:t>
      </w:r>
    </w:p>
    <w:p w14:paraId="0F8D5A61" w14:textId="1566A335" w:rsidR="00F154F3" w:rsidRPr="0076115A" w:rsidRDefault="00D43532" w:rsidP="00F154F3">
      <w:pPr>
        <w:pStyle w:val="SingleTxt"/>
        <w:rPr>
          <w:b/>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adopter une loi obligeant les partis politiques à présenter la candidature d</w:t>
      </w:r>
      <w:r w:rsidR="00DA3E41" w:rsidRPr="0076115A">
        <w:rPr>
          <w:b/>
          <w:lang w:val="fr-FR"/>
        </w:rPr>
        <w:t>’</w:t>
      </w:r>
      <w:r w:rsidR="00F154F3" w:rsidRPr="0076115A">
        <w:rPr>
          <w:b/>
          <w:lang w:val="fr-FR"/>
        </w:rPr>
        <w:t>au moins 25</w:t>
      </w:r>
      <w:r w:rsidR="00DA3E41" w:rsidRPr="0076115A">
        <w:rPr>
          <w:b/>
          <w:lang w:val="fr-FR"/>
        </w:rPr>
        <w:t> %</w:t>
      </w:r>
      <w:r w:rsidR="00F154F3" w:rsidRPr="0076115A">
        <w:rPr>
          <w:b/>
          <w:lang w:val="fr-FR"/>
        </w:rPr>
        <w:t xml:space="preserve"> de femmes aux élections, de prévoir des incitations financières pour la présentation de candidatures féminines, de mettre en place des programmes de renforcement des capacités pour les femmes candidates en lien avec les campagnes électorales et l</w:t>
      </w:r>
      <w:r w:rsidR="00DA3E41" w:rsidRPr="0076115A">
        <w:rPr>
          <w:b/>
          <w:lang w:val="fr-FR"/>
        </w:rPr>
        <w:t>’</w:t>
      </w:r>
      <w:r w:rsidR="00F154F3" w:rsidRPr="0076115A">
        <w:rPr>
          <w:b/>
          <w:lang w:val="fr-FR"/>
        </w:rPr>
        <w:t>exercice de responsabilités politiques, et d</w:t>
      </w:r>
      <w:r w:rsidR="00DA3E41" w:rsidRPr="0076115A">
        <w:rPr>
          <w:b/>
          <w:lang w:val="fr-FR"/>
        </w:rPr>
        <w:t>’</w:t>
      </w:r>
      <w:r w:rsidR="00F154F3" w:rsidRPr="0076115A">
        <w:rPr>
          <w:b/>
          <w:lang w:val="fr-FR"/>
        </w:rPr>
        <w:t>inciter les femmes à prendre part à la prise de décisions, l</w:t>
      </w:r>
      <w:r w:rsidR="00DA3E41" w:rsidRPr="0076115A">
        <w:rPr>
          <w:b/>
          <w:lang w:val="fr-FR"/>
        </w:rPr>
        <w:t>’</w:t>
      </w:r>
      <w:r w:rsidR="00F154F3" w:rsidRPr="0076115A">
        <w:rPr>
          <w:b/>
          <w:lang w:val="fr-FR"/>
        </w:rPr>
        <w:t>objectif étant de fixer un quota de 25</w:t>
      </w:r>
      <w:r w:rsidR="00DA3E41" w:rsidRPr="0076115A">
        <w:rPr>
          <w:b/>
          <w:lang w:val="fr-FR"/>
        </w:rPr>
        <w:t> %</w:t>
      </w:r>
      <w:r w:rsidR="00F154F3" w:rsidRPr="0076115A">
        <w:rPr>
          <w:b/>
          <w:lang w:val="fr-FR"/>
        </w:rPr>
        <w:t xml:space="preserve"> de femmes</w:t>
      </w:r>
      <w:r w:rsidR="00F5100A" w:rsidRPr="0076115A">
        <w:rPr>
          <w:b/>
          <w:lang w:val="fr-FR"/>
        </w:rPr>
        <w:t> ;</w:t>
      </w:r>
    </w:p>
    <w:p w14:paraId="3CD0F023" w14:textId="65843E1D"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créer un environnement propice à la participation des femmes à la vie politique et publique, en particulier en ce qui concerne les femmes appartenant à des groupes minoritaires, notamment en sensibilisant les dirigeants politiques et le grand public au fait que la pleine participation des femmes à la vie politique et publique, dans des conditions d</w:t>
      </w:r>
      <w:r w:rsidR="00DA3E41" w:rsidRPr="0076115A">
        <w:rPr>
          <w:b/>
          <w:lang w:val="fr-FR"/>
        </w:rPr>
        <w:t>’</w:t>
      </w:r>
      <w:r w:rsidR="00F154F3" w:rsidRPr="0076115A">
        <w:rPr>
          <w:b/>
          <w:lang w:val="fr-FR"/>
        </w:rPr>
        <w:t>égalité avec les hommes, est indispensable à la pleine réalisation des droits fondamentaux des femmes.</w:t>
      </w:r>
    </w:p>
    <w:p w14:paraId="73DE5D4A" w14:textId="77777777" w:rsidR="00D43532" w:rsidRPr="0076115A" w:rsidRDefault="00D43532" w:rsidP="00D43532">
      <w:pPr>
        <w:pStyle w:val="SingleTxt"/>
        <w:spacing w:after="0" w:line="120" w:lineRule="exact"/>
        <w:rPr>
          <w:b/>
          <w:sz w:val="10"/>
          <w:lang w:val="fr-FR"/>
        </w:rPr>
      </w:pPr>
    </w:p>
    <w:p w14:paraId="369951B2" w14:textId="0E7A5228"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Nationalité</w:t>
      </w:r>
    </w:p>
    <w:p w14:paraId="144DAE14" w14:textId="77777777" w:rsidR="00D43532" w:rsidRPr="0076115A" w:rsidRDefault="00D43532" w:rsidP="00D43532">
      <w:pPr>
        <w:pStyle w:val="SingleTxt"/>
        <w:spacing w:after="0" w:line="120" w:lineRule="exact"/>
        <w:rPr>
          <w:sz w:val="10"/>
          <w:lang w:val="fr-FR"/>
        </w:rPr>
      </w:pPr>
    </w:p>
    <w:p w14:paraId="32DFF17B" w14:textId="1875FA9B" w:rsidR="00F154F3" w:rsidRPr="0076115A" w:rsidRDefault="00F154F3" w:rsidP="00D43532">
      <w:pPr>
        <w:pStyle w:val="SingleTxt"/>
        <w:numPr>
          <w:ilvl w:val="0"/>
          <w:numId w:val="41"/>
        </w:numPr>
        <w:spacing w:line="240" w:lineRule="exact"/>
        <w:ind w:left="1267"/>
        <w:rPr>
          <w:lang w:val="fr-FR"/>
        </w:rPr>
      </w:pPr>
      <w:r w:rsidRPr="0076115A">
        <w:rPr>
          <w:lang w:val="fr-FR"/>
        </w:rPr>
        <w:t>Le Comité se réjouit des informations fournies par la délégation, selon lesquelles le Ministère de l</w:t>
      </w:r>
      <w:r w:rsidR="00DA3E41" w:rsidRPr="0076115A">
        <w:rPr>
          <w:lang w:val="fr-FR"/>
        </w:rPr>
        <w:t>’</w:t>
      </w:r>
      <w:r w:rsidRPr="0076115A">
        <w:rPr>
          <w:lang w:val="fr-FR"/>
        </w:rPr>
        <w:t>intérieur et le Conseil d</w:t>
      </w:r>
      <w:r w:rsidR="00DA3E41" w:rsidRPr="0076115A">
        <w:rPr>
          <w:lang w:val="fr-FR"/>
        </w:rPr>
        <w:t>’</w:t>
      </w:r>
      <w:r w:rsidRPr="0076115A">
        <w:rPr>
          <w:lang w:val="fr-FR"/>
        </w:rPr>
        <w:t>État réexaminent actuellement l</w:t>
      </w:r>
      <w:r w:rsidR="00DA3E41" w:rsidRPr="0076115A">
        <w:rPr>
          <w:lang w:val="fr-FR"/>
        </w:rPr>
        <w:t>’</w:t>
      </w:r>
      <w:r w:rsidRPr="0076115A">
        <w:rPr>
          <w:lang w:val="fr-FR"/>
        </w:rPr>
        <w:t xml:space="preserve">article 4 de la loi </w:t>
      </w:r>
      <w:r w:rsidR="00186002" w:rsidRPr="0076115A">
        <w:rPr>
          <w:lang w:val="fr-FR"/>
        </w:rPr>
        <w:t>n</w:t>
      </w:r>
      <w:r w:rsidR="00186002" w:rsidRPr="0076115A">
        <w:rPr>
          <w:vertAlign w:val="superscript"/>
          <w:lang w:val="fr-FR"/>
        </w:rPr>
        <w:t>o</w:t>
      </w:r>
      <w:r w:rsidRPr="0076115A">
        <w:rPr>
          <w:lang w:val="fr-FR"/>
        </w:rPr>
        <w:t> 26 de 2006 sur la nationalité, dans le but de le modifier ou de l</w:t>
      </w:r>
      <w:r w:rsidR="00DA3E41" w:rsidRPr="0076115A">
        <w:rPr>
          <w:lang w:val="fr-FR"/>
        </w:rPr>
        <w:t>’</w:t>
      </w:r>
      <w:r w:rsidRPr="0076115A">
        <w:rPr>
          <w:lang w:val="fr-FR"/>
        </w:rPr>
        <w:t>abroger. Il reste préoccupé par le fait que, tandis que les hommes iraquiens peuvent, sur la base de l</w:t>
      </w:r>
      <w:r w:rsidR="00DA3E41" w:rsidRPr="0076115A">
        <w:rPr>
          <w:lang w:val="fr-FR"/>
        </w:rPr>
        <w:t>’</w:t>
      </w:r>
      <w:r w:rsidRPr="0076115A">
        <w:rPr>
          <w:lang w:val="fr-FR"/>
        </w:rPr>
        <w:t>ascendance, transmettre la nationalité à leurs enfants nés hors de l</w:t>
      </w:r>
      <w:r w:rsidR="00DA3E41" w:rsidRPr="0076115A">
        <w:rPr>
          <w:lang w:val="fr-FR"/>
        </w:rPr>
        <w:t>’</w:t>
      </w:r>
      <w:r w:rsidRPr="0076115A">
        <w:rPr>
          <w:lang w:val="fr-FR"/>
        </w:rPr>
        <w:t>État partie, l</w:t>
      </w:r>
      <w:r w:rsidR="00DA3E41" w:rsidRPr="0076115A">
        <w:rPr>
          <w:lang w:val="fr-FR"/>
        </w:rPr>
        <w:t>’</w:t>
      </w:r>
      <w:r w:rsidRPr="0076115A">
        <w:rPr>
          <w:lang w:val="fr-FR"/>
        </w:rPr>
        <w:t>article 4 de la loi interdit aux femmes iraquiennes de transmettre la nationalité à leurs enfants nés hors de l</w:t>
      </w:r>
      <w:r w:rsidR="00DA3E41" w:rsidRPr="0076115A">
        <w:rPr>
          <w:lang w:val="fr-FR"/>
        </w:rPr>
        <w:t>’</w:t>
      </w:r>
      <w:r w:rsidRPr="0076115A">
        <w:rPr>
          <w:lang w:val="fr-FR"/>
        </w:rPr>
        <w:t>État partie, sauf si le père est inconnu ou apatride et sous réserve de l</w:t>
      </w:r>
      <w:r w:rsidR="00DA3E41" w:rsidRPr="0076115A">
        <w:rPr>
          <w:lang w:val="fr-FR"/>
        </w:rPr>
        <w:t>’</w:t>
      </w:r>
      <w:r w:rsidRPr="0076115A">
        <w:rPr>
          <w:lang w:val="fr-FR"/>
        </w:rPr>
        <w:t>approbation, à sa seule discrétion, du Ministre de l</w:t>
      </w:r>
      <w:r w:rsidR="00DA3E41" w:rsidRPr="0076115A">
        <w:rPr>
          <w:lang w:val="fr-FR"/>
        </w:rPr>
        <w:t>’</w:t>
      </w:r>
      <w:r w:rsidRPr="0076115A">
        <w:rPr>
          <w:lang w:val="fr-FR"/>
        </w:rPr>
        <w:t>intérieur. Le Comité constate également que la transmission de la nationalité par la mère n</w:t>
      </w:r>
      <w:r w:rsidR="00DA3E41" w:rsidRPr="0076115A">
        <w:rPr>
          <w:lang w:val="fr-FR"/>
        </w:rPr>
        <w:t>’</w:t>
      </w:r>
      <w:r w:rsidRPr="0076115A">
        <w:rPr>
          <w:lang w:val="fr-FR"/>
        </w:rPr>
        <w:t>est possible que si le mariage a été dûment enregistré, une disposition discriminatoire à l</w:t>
      </w:r>
      <w:r w:rsidR="00DA3E41" w:rsidRPr="0076115A">
        <w:rPr>
          <w:lang w:val="fr-FR"/>
        </w:rPr>
        <w:t>’</w:t>
      </w:r>
      <w:r w:rsidRPr="0076115A">
        <w:rPr>
          <w:lang w:val="fr-FR"/>
        </w:rPr>
        <w:t>égard des enfants nés hors mariage, des enfants de femmes iraquiennes mariées à des étrangers, des enfants de femmes mariées de force à des combattants et des enfants nés dans le cadre de mariages informels, qu</w:t>
      </w:r>
      <w:r w:rsidR="00DA3E41" w:rsidRPr="0076115A">
        <w:rPr>
          <w:lang w:val="fr-FR"/>
        </w:rPr>
        <w:t>’</w:t>
      </w:r>
      <w:r w:rsidRPr="0076115A">
        <w:rPr>
          <w:lang w:val="fr-FR"/>
        </w:rPr>
        <w:t>elle contribue à rendre apatrides. Le Comité s</w:t>
      </w:r>
      <w:r w:rsidR="00DA3E41" w:rsidRPr="0076115A">
        <w:rPr>
          <w:lang w:val="fr-FR"/>
        </w:rPr>
        <w:t>’</w:t>
      </w:r>
      <w:r w:rsidRPr="0076115A">
        <w:rPr>
          <w:lang w:val="fr-FR"/>
        </w:rPr>
        <w:t>inquiète également de ce que l</w:t>
      </w:r>
      <w:r w:rsidR="00DA3E41" w:rsidRPr="0076115A">
        <w:rPr>
          <w:lang w:val="fr-FR"/>
        </w:rPr>
        <w:t>’</w:t>
      </w:r>
      <w:r w:rsidRPr="0076115A">
        <w:rPr>
          <w:lang w:val="fr-FR"/>
        </w:rPr>
        <w:t>accès à l</w:t>
      </w:r>
      <w:r w:rsidR="00DA3E41" w:rsidRPr="0076115A">
        <w:rPr>
          <w:lang w:val="fr-FR"/>
        </w:rPr>
        <w:t>’</w:t>
      </w:r>
      <w:r w:rsidRPr="0076115A">
        <w:rPr>
          <w:lang w:val="fr-FR"/>
        </w:rPr>
        <w:t>enregistrement des naissances est limité pour les enfants dont le père est membre d</w:t>
      </w:r>
      <w:r w:rsidR="00DA3E41" w:rsidRPr="0076115A">
        <w:rPr>
          <w:lang w:val="fr-FR"/>
        </w:rPr>
        <w:t>’</w:t>
      </w:r>
      <w:r w:rsidRPr="0076115A">
        <w:rPr>
          <w:lang w:val="fr-FR"/>
        </w:rPr>
        <w:t>EIIL ou qui sont nés à la suite de violences sexuelles commises par des membres d</w:t>
      </w:r>
      <w:r w:rsidR="00DA3E41" w:rsidRPr="0076115A">
        <w:rPr>
          <w:lang w:val="fr-FR"/>
        </w:rPr>
        <w:t>’</w:t>
      </w:r>
      <w:r w:rsidRPr="0076115A">
        <w:rPr>
          <w:lang w:val="fr-FR"/>
        </w:rPr>
        <w:t>EIIL, ce qui expose ces enfants au risque d</w:t>
      </w:r>
      <w:r w:rsidR="00DA3E41" w:rsidRPr="0076115A">
        <w:rPr>
          <w:lang w:val="fr-FR"/>
        </w:rPr>
        <w:t>’</w:t>
      </w:r>
      <w:r w:rsidRPr="0076115A">
        <w:rPr>
          <w:lang w:val="fr-FR"/>
        </w:rPr>
        <w:t>apatridie.</w:t>
      </w:r>
    </w:p>
    <w:p w14:paraId="543FD107" w14:textId="731174DD" w:rsidR="00F154F3" w:rsidRPr="0076115A" w:rsidRDefault="00F154F3" w:rsidP="00D43532">
      <w:pPr>
        <w:pStyle w:val="SingleTxt"/>
        <w:numPr>
          <w:ilvl w:val="0"/>
          <w:numId w:val="41"/>
        </w:numPr>
        <w:spacing w:line="240" w:lineRule="exact"/>
        <w:ind w:left="1267"/>
        <w:rPr>
          <w:b/>
          <w:lang w:val="fr-FR"/>
        </w:rPr>
      </w:pPr>
      <w:r w:rsidRPr="0076115A">
        <w:rPr>
          <w:b/>
          <w:lang w:val="fr-FR"/>
        </w:rPr>
        <w:t>Le Comité recommande à l</w:t>
      </w:r>
      <w:r w:rsidR="00DA3E41" w:rsidRPr="0076115A">
        <w:rPr>
          <w:b/>
          <w:lang w:val="fr-FR"/>
        </w:rPr>
        <w:t>’</w:t>
      </w:r>
      <w:r w:rsidRPr="0076115A">
        <w:rPr>
          <w:b/>
          <w:lang w:val="fr-FR"/>
        </w:rPr>
        <w:t>État partie</w:t>
      </w:r>
      <w:r w:rsidR="00DA3E41" w:rsidRPr="0076115A">
        <w:rPr>
          <w:b/>
          <w:lang w:val="fr-FR"/>
        </w:rPr>
        <w:t> :</w:t>
      </w:r>
    </w:p>
    <w:p w14:paraId="2F42CF1D" w14:textId="354C683F"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De modifier les dispositions discriminatoires de l</w:t>
      </w:r>
      <w:r w:rsidR="00DA3E41" w:rsidRPr="0076115A">
        <w:rPr>
          <w:b/>
          <w:lang w:val="fr-FR"/>
        </w:rPr>
        <w:t>’</w:t>
      </w:r>
      <w:r w:rsidR="00F154F3" w:rsidRPr="0076115A">
        <w:rPr>
          <w:b/>
          <w:lang w:val="fr-FR"/>
        </w:rPr>
        <w:t>article 4 de la loi</w:t>
      </w:r>
      <w:r w:rsidR="006726A4" w:rsidRPr="0076115A">
        <w:rPr>
          <w:b/>
          <w:lang w:val="fr-FR"/>
        </w:rPr>
        <w:t> </w:t>
      </w:r>
      <w:r w:rsidR="00186002" w:rsidRPr="0076115A">
        <w:rPr>
          <w:b/>
          <w:lang w:val="fr-FR"/>
        </w:rPr>
        <w:t>n</w:t>
      </w:r>
      <w:r w:rsidR="00186002" w:rsidRPr="0076115A">
        <w:rPr>
          <w:b/>
          <w:vertAlign w:val="superscript"/>
          <w:lang w:val="fr-FR"/>
        </w:rPr>
        <w:t>o</w:t>
      </w:r>
      <w:r w:rsidR="00F154F3" w:rsidRPr="0076115A">
        <w:rPr>
          <w:b/>
          <w:lang w:val="fr-FR"/>
        </w:rPr>
        <w:t> 26 de 2006 sur la nationalité, afin que les femmes et les hommes jouissent des mêmes droits s</w:t>
      </w:r>
      <w:r w:rsidR="00DA3E41" w:rsidRPr="0076115A">
        <w:rPr>
          <w:b/>
          <w:lang w:val="fr-FR"/>
        </w:rPr>
        <w:t>’</w:t>
      </w:r>
      <w:r w:rsidR="00F154F3" w:rsidRPr="0076115A">
        <w:rPr>
          <w:b/>
          <w:lang w:val="fr-FR"/>
        </w:rPr>
        <w:t>agissant de l</w:t>
      </w:r>
      <w:r w:rsidR="00DA3E41" w:rsidRPr="0076115A">
        <w:rPr>
          <w:b/>
          <w:lang w:val="fr-FR"/>
        </w:rPr>
        <w:t>’</w:t>
      </w:r>
      <w:r w:rsidR="00F154F3" w:rsidRPr="0076115A">
        <w:rPr>
          <w:b/>
          <w:lang w:val="fr-FR"/>
        </w:rPr>
        <w:t>acquisition, de la transmission, de la conservation et du changement de leur nationalité, conformément à l</w:t>
      </w:r>
      <w:r w:rsidR="00DA3E41" w:rsidRPr="0076115A">
        <w:rPr>
          <w:b/>
          <w:lang w:val="fr-FR"/>
        </w:rPr>
        <w:t>’</w:t>
      </w:r>
      <w:r w:rsidR="00F154F3" w:rsidRPr="0076115A">
        <w:rPr>
          <w:b/>
          <w:lang w:val="fr-FR"/>
        </w:rPr>
        <w:t>article 9 de la Convention</w:t>
      </w:r>
      <w:r w:rsidR="00F5100A" w:rsidRPr="0076115A">
        <w:rPr>
          <w:b/>
          <w:lang w:val="fr-FR"/>
        </w:rPr>
        <w:t> ;</w:t>
      </w:r>
    </w:p>
    <w:p w14:paraId="31104FA5" w14:textId="2065FD25" w:rsidR="00F154F3" w:rsidRPr="0076115A" w:rsidRDefault="00D43532" w:rsidP="00F154F3">
      <w:pPr>
        <w:pStyle w:val="SingleTxt"/>
        <w:rPr>
          <w:b/>
          <w:lang w:val="fr-FR"/>
        </w:rPr>
      </w:pPr>
      <w:r w:rsidRPr="0076115A">
        <w:rPr>
          <w:b/>
          <w:lang w:val="fr-FR"/>
        </w:rPr>
        <w:lastRenderedPageBreak/>
        <w:tab/>
      </w:r>
      <w:r w:rsidR="00F154F3" w:rsidRPr="0076115A">
        <w:rPr>
          <w:b/>
          <w:lang w:val="fr-FR"/>
        </w:rPr>
        <w:t>b)</w:t>
      </w:r>
      <w:r w:rsidR="00F154F3" w:rsidRPr="0076115A">
        <w:rPr>
          <w:lang w:val="fr-FR"/>
        </w:rPr>
        <w:tab/>
      </w:r>
      <w:r w:rsidR="00F154F3" w:rsidRPr="0076115A">
        <w:rPr>
          <w:b/>
          <w:lang w:val="fr-FR"/>
        </w:rPr>
        <w:t>De redoubler d</w:t>
      </w:r>
      <w:r w:rsidR="00DA3E41" w:rsidRPr="0076115A">
        <w:rPr>
          <w:b/>
          <w:lang w:val="fr-FR"/>
        </w:rPr>
        <w:t>’</w:t>
      </w:r>
      <w:r w:rsidR="00F154F3" w:rsidRPr="0076115A">
        <w:rPr>
          <w:b/>
          <w:lang w:val="fr-FR"/>
        </w:rPr>
        <w:t>efforts pour faciliter l</w:t>
      </w:r>
      <w:r w:rsidR="00DA3E41" w:rsidRPr="0076115A">
        <w:rPr>
          <w:b/>
          <w:lang w:val="fr-FR"/>
        </w:rPr>
        <w:t>’</w:t>
      </w:r>
      <w:r w:rsidR="00F154F3" w:rsidRPr="0076115A">
        <w:rPr>
          <w:b/>
          <w:lang w:val="fr-FR"/>
        </w:rPr>
        <w:t>enregistrement des naissances, y compris en utilisant des technologies modernes pour simplifier les procédures et les rendre abordables.</w:t>
      </w:r>
    </w:p>
    <w:p w14:paraId="63B8AE16" w14:textId="3EFB7E39" w:rsidR="00D43532" w:rsidRPr="0076115A" w:rsidRDefault="00D43532" w:rsidP="00D43532">
      <w:pPr>
        <w:pStyle w:val="SingleTxt"/>
        <w:spacing w:after="0" w:line="120" w:lineRule="exact"/>
        <w:rPr>
          <w:b/>
          <w:sz w:val="10"/>
          <w:lang w:val="fr-FR"/>
        </w:rPr>
      </w:pPr>
    </w:p>
    <w:p w14:paraId="59CC4B0D" w14:textId="715EE23C"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Éducation</w:t>
      </w:r>
    </w:p>
    <w:p w14:paraId="07373BD5" w14:textId="77777777" w:rsidR="00D43532" w:rsidRPr="0076115A" w:rsidRDefault="00D43532" w:rsidP="00D43532">
      <w:pPr>
        <w:pStyle w:val="SingleTxt"/>
        <w:spacing w:after="0" w:line="120" w:lineRule="exact"/>
        <w:rPr>
          <w:sz w:val="10"/>
          <w:lang w:val="fr-FR"/>
        </w:rPr>
      </w:pPr>
    </w:p>
    <w:p w14:paraId="0D6810F6" w14:textId="5502139F" w:rsidR="00F154F3" w:rsidRPr="0076115A" w:rsidRDefault="00F154F3" w:rsidP="00D43532">
      <w:pPr>
        <w:pStyle w:val="SingleTxt"/>
        <w:numPr>
          <w:ilvl w:val="0"/>
          <w:numId w:val="41"/>
        </w:numPr>
        <w:spacing w:line="240" w:lineRule="exact"/>
        <w:ind w:left="1267"/>
        <w:rPr>
          <w:lang w:val="fr-FR"/>
        </w:rPr>
      </w:pPr>
      <w:r w:rsidRPr="0076115A">
        <w:rPr>
          <w:lang w:val="fr-FR"/>
        </w:rPr>
        <w:t>Le Comité note que l</w:t>
      </w:r>
      <w:r w:rsidR="00DA3E41" w:rsidRPr="0076115A">
        <w:rPr>
          <w:lang w:val="fr-FR"/>
        </w:rPr>
        <w:t>’</w:t>
      </w:r>
      <w:r w:rsidRPr="0076115A">
        <w:rPr>
          <w:lang w:val="fr-FR"/>
        </w:rPr>
        <w:t>État partie a approuvé, en 2015, la Déclaration sur la sécurité dans les écoles. Il déplore cependant qu</w:t>
      </w:r>
      <w:r w:rsidR="00DA3E41" w:rsidRPr="0076115A">
        <w:rPr>
          <w:lang w:val="fr-FR"/>
        </w:rPr>
        <w:t>’</w:t>
      </w:r>
      <w:r w:rsidRPr="0076115A">
        <w:rPr>
          <w:lang w:val="fr-FR"/>
        </w:rPr>
        <w:t>en 2016, 6</w:t>
      </w:r>
      <w:r w:rsidR="00DA3E41" w:rsidRPr="0076115A">
        <w:rPr>
          <w:lang w:val="fr-FR"/>
        </w:rPr>
        <w:t> %</w:t>
      </w:r>
      <w:r w:rsidRPr="0076115A">
        <w:rPr>
          <w:lang w:val="fr-FR"/>
        </w:rPr>
        <w:t xml:space="preserve"> seulement du budget national de l</w:t>
      </w:r>
      <w:r w:rsidR="00DA3E41" w:rsidRPr="0076115A">
        <w:rPr>
          <w:lang w:val="fr-FR"/>
        </w:rPr>
        <w:t>’</w:t>
      </w:r>
      <w:r w:rsidRPr="0076115A">
        <w:rPr>
          <w:lang w:val="fr-FR"/>
        </w:rPr>
        <w:t>État partie ont été consacrés à l</w:t>
      </w:r>
      <w:r w:rsidR="00DA3E41" w:rsidRPr="0076115A">
        <w:rPr>
          <w:lang w:val="fr-FR"/>
        </w:rPr>
        <w:t>’</w:t>
      </w:r>
      <w:r w:rsidRPr="0076115A">
        <w:rPr>
          <w:lang w:val="fr-FR"/>
        </w:rPr>
        <w:t>éducation, ce qui place l</w:t>
      </w:r>
      <w:r w:rsidR="00DA3E41" w:rsidRPr="0076115A">
        <w:rPr>
          <w:lang w:val="fr-FR"/>
        </w:rPr>
        <w:t>’</w:t>
      </w:r>
      <w:r w:rsidRPr="0076115A">
        <w:rPr>
          <w:lang w:val="fr-FR"/>
        </w:rPr>
        <w:t>Iraq en dernière position parmi les pays du Moyen-Orient. Le Comité observe que, selon le Fonds des Nations Unies pour l</w:t>
      </w:r>
      <w:r w:rsidR="00DA3E41" w:rsidRPr="0076115A">
        <w:rPr>
          <w:lang w:val="fr-FR"/>
        </w:rPr>
        <w:t>’</w:t>
      </w:r>
      <w:r w:rsidRPr="0076115A">
        <w:rPr>
          <w:lang w:val="fr-FR"/>
        </w:rPr>
        <w:t>enfance (UNICEF), environ 3,2 millions d</w:t>
      </w:r>
      <w:r w:rsidR="00DA3E41" w:rsidRPr="0076115A">
        <w:rPr>
          <w:lang w:val="fr-FR"/>
        </w:rPr>
        <w:t>’</w:t>
      </w:r>
      <w:r w:rsidRPr="0076115A">
        <w:rPr>
          <w:lang w:val="fr-FR"/>
        </w:rPr>
        <w:t>enfants en âge scolaire ne sont actuellement pas scolarisés, en particulier dans les gouvernorats touchés par le conflit comme Salah al-Din et Diyala, où le pourcentage d</w:t>
      </w:r>
      <w:r w:rsidR="00DA3E41" w:rsidRPr="0076115A">
        <w:rPr>
          <w:lang w:val="fr-FR"/>
        </w:rPr>
        <w:t>’</w:t>
      </w:r>
      <w:r w:rsidRPr="0076115A">
        <w:rPr>
          <w:lang w:val="fr-FR"/>
        </w:rPr>
        <w:t>enfants non scolarisés atteint 90</w:t>
      </w:r>
      <w:r w:rsidR="00DA3E41" w:rsidRPr="0076115A">
        <w:rPr>
          <w:lang w:val="fr-FR"/>
        </w:rPr>
        <w:t> %</w:t>
      </w:r>
      <w:r w:rsidRPr="0076115A">
        <w:rPr>
          <w:lang w:val="fr-FR"/>
        </w:rPr>
        <w:t>. Il constate avec préoccupation que 355 000 enfants déplacés environ ne fréquentent aucune école. Il s</w:t>
      </w:r>
      <w:r w:rsidR="00DA3E41" w:rsidRPr="0076115A">
        <w:rPr>
          <w:lang w:val="fr-FR"/>
        </w:rPr>
        <w:t>’</w:t>
      </w:r>
      <w:r w:rsidRPr="0076115A">
        <w:rPr>
          <w:lang w:val="fr-FR"/>
        </w:rPr>
        <w:t>inquiète également du fait que le taux de scolarisation des filles est inférieur à celui des garçons aux niveaux primaire, secondaire et supérieur, et que les taux d</w:t>
      </w:r>
      <w:r w:rsidR="00DA3E41" w:rsidRPr="0076115A">
        <w:rPr>
          <w:lang w:val="fr-FR"/>
        </w:rPr>
        <w:t>’</w:t>
      </w:r>
      <w:r w:rsidRPr="0076115A">
        <w:rPr>
          <w:lang w:val="fr-FR"/>
        </w:rPr>
        <w:t>abandon chez les filles sont également plus élevés et directement proportionnels au niveau d</w:t>
      </w:r>
      <w:r w:rsidR="00DA3E41" w:rsidRPr="0076115A">
        <w:rPr>
          <w:lang w:val="fr-FR"/>
        </w:rPr>
        <w:t>’</w:t>
      </w:r>
      <w:r w:rsidRPr="0076115A">
        <w:rPr>
          <w:lang w:val="fr-FR"/>
        </w:rPr>
        <w:t>enseignement. Il s</w:t>
      </w:r>
      <w:r w:rsidR="00DA3E41" w:rsidRPr="0076115A">
        <w:rPr>
          <w:lang w:val="fr-FR"/>
        </w:rPr>
        <w:t>’</w:t>
      </w:r>
      <w:r w:rsidRPr="0076115A">
        <w:rPr>
          <w:lang w:val="fr-FR"/>
        </w:rPr>
        <w:t>inquiète en outre de ce que les femmes et les filles issues de minorités ou de régions rurales, les femmes et les filles handicapées et les femmes et les filles qui ont vécu sous l</w:t>
      </w:r>
      <w:r w:rsidR="00DA3E41" w:rsidRPr="0076115A">
        <w:rPr>
          <w:lang w:val="fr-FR"/>
        </w:rPr>
        <w:t>’</w:t>
      </w:r>
      <w:r w:rsidRPr="0076115A">
        <w:rPr>
          <w:lang w:val="fr-FR"/>
        </w:rPr>
        <w:t>occupation de l</w:t>
      </w:r>
      <w:r w:rsidR="00DA3E41" w:rsidRPr="0076115A">
        <w:rPr>
          <w:lang w:val="fr-FR"/>
        </w:rPr>
        <w:t>’</w:t>
      </w:r>
      <w:r w:rsidRPr="0076115A">
        <w:rPr>
          <w:lang w:val="fr-FR"/>
        </w:rPr>
        <w:t>EIIL ont un accès extrêmement limité à l</w:t>
      </w:r>
      <w:r w:rsidR="00DA3E41" w:rsidRPr="0076115A">
        <w:rPr>
          <w:lang w:val="fr-FR"/>
        </w:rPr>
        <w:t>’</w:t>
      </w:r>
      <w:r w:rsidRPr="0076115A">
        <w:rPr>
          <w:lang w:val="fr-FR"/>
        </w:rPr>
        <w:t>éducation.</w:t>
      </w:r>
    </w:p>
    <w:p w14:paraId="19F8B8B1" w14:textId="5F46456A" w:rsidR="00F154F3" w:rsidRPr="0076115A" w:rsidRDefault="00F154F3" w:rsidP="00D43532">
      <w:pPr>
        <w:pStyle w:val="SingleTxt"/>
        <w:numPr>
          <w:ilvl w:val="0"/>
          <w:numId w:val="41"/>
        </w:numPr>
        <w:spacing w:line="240" w:lineRule="exact"/>
        <w:ind w:left="1267"/>
        <w:rPr>
          <w:lang w:val="fr-FR"/>
        </w:rPr>
      </w:pPr>
      <w:r w:rsidRPr="0076115A">
        <w:rPr>
          <w:b/>
          <w:lang w:val="fr-FR"/>
        </w:rPr>
        <w:t>Le Comité rappelle ses précédentes recommandations (</w:t>
      </w:r>
      <w:hyperlink r:id="rId44" w:history="1">
        <w:r w:rsidRPr="0076115A">
          <w:rPr>
            <w:rStyle w:val="Hyperlink"/>
            <w:b/>
            <w:lang w:val="fr-FR"/>
          </w:rPr>
          <w:t>CEDAW/C/IRQ/CO/4</w:t>
        </w:r>
        <w:r w:rsidRPr="0076115A">
          <w:rPr>
            <w:rStyle w:val="Hyperlink"/>
            <w:b/>
            <w:lang w:val="fr-FR"/>
          </w:rPr>
          <w:noBreakHyphen/>
          <w:t>6</w:t>
        </w:r>
      </w:hyperlink>
      <w:r w:rsidRPr="0076115A">
        <w:rPr>
          <w:b/>
          <w:lang w:val="fr-FR"/>
        </w:rPr>
        <w:t>, par. 39) et demande à l</w:t>
      </w:r>
      <w:r w:rsidR="00DA3E41" w:rsidRPr="0076115A">
        <w:rPr>
          <w:b/>
          <w:lang w:val="fr-FR"/>
        </w:rPr>
        <w:t>’</w:t>
      </w:r>
      <w:r w:rsidRPr="0076115A">
        <w:rPr>
          <w:b/>
          <w:lang w:val="fr-FR"/>
        </w:rPr>
        <w:t>État partie</w:t>
      </w:r>
      <w:r w:rsidR="00DA3E41" w:rsidRPr="0076115A">
        <w:rPr>
          <w:b/>
          <w:lang w:val="fr-FR"/>
        </w:rPr>
        <w:t> :</w:t>
      </w:r>
    </w:p>
    <w:p w14:paraId="214CB911" w14:textId="102E0395"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De veiller à ce que tous les stéréotypes discriminatoires liés au genre soient supprimés des programmes et manuels scolaires</w:t>
      </w:r>
      <w:r w:rsidR="00F5100A" w:rsidRPr="0076115A">
        <w:rPr>
          <w:b/>
          <w:lang w:val="fr-FR"/>
        </w:rPr>
        <w:t> ;</w:t>
      </w:r>
    </w:p>
    <w:p w14:paraId="1B08C28A" w14:textId="6505D2F3" w:rsidR="00F154F3" w:rsidRPr="0076115A" w:rsidRDefault="00D43532" w:rsidP="00F154F3">
      <w:pPr>
        <w:pStyle w:val="SingleTxt"/>
        <w:rPr>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De redoubler d</w:t>
      </w:r>
      <w:r w:rsidR="00DA3E41" w:rsidRPr="0076115A">
        <w:rPr>
          <w:b/>
          <w:lang w:val="fr-FR"/>
        </w:rPr>
        <w:t>’</w:t>
      </w:r>
      <w:r w:rsidR="00F154F3" w:rsidRPr="0076115A">
        <w:rPr>
          <w:b/>
          <w:lang w:val="fr-FR"/>
        </w:rPr>
        <w:t>efforts pour relever les taux d</w:t>
      </w:r>
      <w:r w:rsidR="00DA3E41" w:rsidRPr="0076115A">
        <w:rPr>
          <w:b/>
          <w:lang w:val="fr-FR"/>
        </w:rPr>
        <w:t>’</w:t>
      </w:r>
      <w:r w:rsidR="00F154F3" w:rsidRPr="0076115A">
        <w:rPr>
          <w:b/>
          <w:lang w:val="fr-FR"/>
        </w:rPr>
        <w:t xml:space="preserve">alphabétisme dans le cadre de la loi </w:t>
      </w:r>
      <w:r w:rsidR="00186002" w:rsidRPr="0076115A">
        <w:rPr>
          <w:b/>
          <w:lang w:val="fr-FR"/>
        </w:rPr>
        <w:t>n</w:t>
      </w:r>
      <w:r w:rsidR="00186002" w:rsidRPr="0076115A">
        <w:rPr>
          <w:b/>
          <w:vertAlign w:val="superscript"/>
          <w:lang w:val="fr-FR"/>
        </w:rPr>
        <w:t>o</w:t>
      </w:r>
      <w:r w:rsidR="00F154F3" w:rsidRPr="0076115A">
        <w:rPr>
          <w:b/>
          <w:lang w:val="fr-FR"/>
        </w:rPr>
        <w:t> 23 de 2011, en particulier chez les filles et les jeunes femmes issues de minorités ou de régions rurales, les filles et les jeunes femmes handicapées et les femmes et les filles qui ont vécu sous l</w:t>
      </w:r>
      <w:r w:rsidR="00DA3E41" w:rsidRPr="0076115A">
        <w:rPr>
          <w:b/>
          <w:lang w:val="fr-FR"/>
        </w:rPr>
        <w:t>’</w:t>
      </w:r>
      <w:r w:rsidR="00F154F3" w:rsidRPr="0076115A">
        <w:rPr>
          <w:b/>
          <w:lang w:val="fr-FR"/>
        </w:rPr>
        <w:t>occupation de l</w:t>
      </w:r>
      <w:r w:rsidR="00DA3E41" w:rsidRPr="0076115A">
        <w:rPr>
          <w:b/>
          <w:lang w:val="fr-FR"/>
        </w:rPr>
        <w:t>’</w:t>
      </w:r>
      <w:r w:rsidR="00F154F3" w:rsidRPr="0076115A">
        <w:rPr>
          <w:b/>
          <w:lang w:val="fr-FR"/>
        </w:rPr>
        <w:t>EILL</w:t>
      </w:r>
      <w:r w:rsidR="00F5100A" w:rsidRPr="0076115A">
        <w:rPr>
          <w:b/>
          <w:lang w:val="fr-FR"/>
        </w:rPr>
        <w:t> ;</w:t>
      </w:r>
    </w:p>
    <w:p w14:paraId="062C21B4" w14:textId="3EEBB805"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prendre des mesures efficaces pour prévenir l</w:t>
      </w:r>
      <w:r w:rsidR="00DA3E41" w:rsidRPr="0076115A">
        <w:rPr>
          <w:b/>
          <w:lang w:val="fr-FR"/>
        </w:rPr>
        <w:t>’</w:t>
      </w:r>
      <w:r w:rsidR="00F154F3" w:rsidRPr="0076115A">
        <w:rPr>
          <w:b/>
          <w:lang w:val="fr-FR"/>
        </w:rPr>
        <w:t>abandon scolaire des filles à tous les niveaux d</w:t>
      </w:r>
      <w:r w:rsidR="00DA3E41" w:rsidRPr="0076115A">
        <w:rPr>
          <w:b/>
          <w:lang w:val="fr-FR"/>
        </w:rPr>
        <w:t>’</w:t>
      </w:r>
      <w:r w:rsidR="00F154F3" w:rsidRPr="0076115A">
        <w:rPr>
          <w:b/>
          <w:lang w:val="fr-FR"/>
        </w:rPr>
        <w:t>enseignement</w:t>
      </w:r>
      <w:r w:rsidR="00F5100A" w:rsidRPr="0076115A">
        <w:rPr>
          <w:b/>
          <w:lang w:val="fr-FR"/>
        </w:rPr>
        <w:t> ;</w:t>
      </w:r>
      <w:r w:rsidR="00F154F3" w:rsidRPr="0076115A">
        <w:rPr>
          <w:lang w:val="fr-FR"/>
        </w:rPr>
        <w:t xml:space="preserve"> </w:t>
      </w:r>
      <w:r w:rsidR="00F154F3" w:rsidRPr="0076115A">
        <w:rPr>
          <w:b/>
          <w:lang w:val="fr-FR"/>
        </w:rPr>
        <w:t>de collecter et d</w:t>
      </w:r>
      <w:r w:rsidR="00DA3E41" w:rsidRPr="0076115A">
        <w:rPr>
          <w:b/>
          <w:lang w:val="fr-FR"/>
        </w:rPr>
        <w:t>’</w:t>
      </w:r>
      <w:r w:rsidR="00F154F3" w:rsidRPr="0076115A">
        <w:rPr>
          <w:b/>
          <w:lang w:val="fr-FR"/>
        </w:rPr>
        <w:t>analyser les données relatives à la scolarisation, ventilées par sexe, âge et situation géographique de manière à évaluer l</w:t>
      </w:r>
      <w:r w:rsidR="00DA3E41" w:rsidRPr="0076115A">
        <w:rPr>
          <w:b/>
          <w:lang w:val="fr-FR"/>
        </w:rPr>
        <w:t>’</w:t>
      </w:r>
      <w:r w:rsidR="00F154F3" w:rsidRPr="0076115A">
        <w:rPr>
          <w:b/>
          <w:lang w:val="fr-FR"/>
        </w:rPr>
        <w:t>effet des politiques et des programmes en la matière</w:t>
      </w:r>
      <w:r w:rsidR="00F5100A" w:rsidRPr="0076115A">
        <w:rPr>
          <w:b/>
          <w:lang w:val="fr-FR"/>
        </w:rPr>
        <w:t> ;</w:t>
      </w:r>
    </w:p>
    <w:p w14:paraId="6615A478" w14:textId="092C19E5" w:rsidR="00F154F3" w:rsidRPr="0076115A" w:rsidRDefault="00D43532" w:rsidP="00F154F3">
      <w:pPr>
        <w:pStyle w:val="SingleTxt"/>
        <w:rPr>
          <w:b/>
          <w:lang w:val="fr-FR"/>
        </w:rPr>
      </w:pPr>
      <w:r w:rsidRPr="0076115A">
        <w:rPr>
          <w:b/>
          <w:lang w:val="fr-FR"/>
        </w:rPr>
        <w:tab/>
      </w:r>
      <w:r w:rsidR="00F154F3" w:rsidRPr="0076115A">
        <w:rPr>
          <w:b/>
          <w:lang w:val="fr-FR"/>
        </w:rPr>
        <w:t>d)</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éliminer efficacement les obstacles qui entravent l</w:t>
      </w:r>
      <w:r w:rsidR="00DA3E41" w:rsidRPr="0076115A">
        <w:rPr>
          <w:b/>
          <w:lang w:val="fr-FR"/>
        </w:rPr>
        <w:t>’</w:t>
      </w:r>
      <w:r w:rsidR="00F154F3" w:rsidRPr="0076115A">
        <w:rPr>
          <w:b/>
          <w:lang w:val="fr-FR"/>
        </w:rPr>
        <w:t>accès des filles à l</w:t>
      </w:r>
      <w:r w:rsidR="00DA3E41" w:rsidRPr="0076115A">
        <w:rPr>
          <w:b/>
          <w:lang w:val="fr-FR"/>
        </w:rPr>
        <w:t>’</w:t>
      </w:r>
      <w:r w:rsidR="00F154F3" w:rsidRPr="0076115A">
        <w:rPr>
          <w:b/>
          <w:lang w:val="fr-FR"/>
        </w:rPr>
        <w:t>éducation, notamment en veillant à ce qu</w:t>
      </w:r>
      <w:r w:rsidR="00DA3E41" w:rsidRPr="0076115A">
        <w:rPr>
          <w:b/>
          <w:lang w:val="fr-FR"/>
        </w:rPr>
        <w:t>’</w:t>
      </w:r>
      <w:r w:rsidR="00F154F3" w:rsidRPr="0076115A">
        <w:rPr>
          <w:b/>
          <w:lang w:val="fr-FR"/>
        </w:rPr>
        <w:t>elles soient en sécurité sur le chemin de l</w:t>
      </w:r>
      <w:r w:rsidR="00DA3E41" w:rsidRPr="0076115A">
        <w:rPr>
          <w:b/>
          <w:lang w:val="fr-FR"/>
        </w:rPr>
        <w:t>’</w:t>
      </w:r>
      <w:r w:rsidR="00F154F3" w:rsidRPr="0076115A">
        <w:rPr>
          <w:b/>
          <w:lang w:val="fr-FR"/>
        </w:rPr>
        <w:t>école et dans l</w:t>
      </w:r>
      <w:r w:rsidR="00DA3E41" w:rsidRPr="0076115A">
        <w:rPr>
          <w:b/>
          <w:lang w:val="fr-FR"/>
        </w:rPr>
        <w:t>’</w:t>
      </w:r>
      <w:r w:rsidR="00F154F3" w:rsidRPr="0076115A">
        <w:rPr>
          <w:b/>
          <w:lang w:val="fr-FR"/>
        </w:rPr>
        <w:t>environnement scolaire</w:t>
      </w:r>
      <w:r w:rsidR="00F5100A" w:rsidRPr="0076115A">
        <w:rPr>
          <w:b/>
          <w:lang w:val="fr-FR"/>
        </w:rPr>
        <w:t> ;</w:t>
      </w:r>
      <w:r w:rsidR="00F154F3" w:rsidRPr="0076115A">
        <w:rPr>
          <w:lang w:val="fr-FR"/>
        </w:rPr>
        <w:t xml:space="preserve"> </w:t>
      </w:r>
      <w:r w:rsidR="00F154F3" w:rsidRPr="0076115A">
        <w:rPr>
          <w:b/>
          <w:lang w:val="fr-FR"/>
        </w:rPr>
        <w:t>de combattre les pratiques préjudiciables telles que les mariages d</w:t>
      </w:r>
      <w:r w:rsidR="00DA3E41" w:rsidRPr="0076115A">
        <w:rPr>
          <w:b/>
          <w:lang w:val="fr-FR"/>
        </w:rPr>
        <w:t>’</w:t>
      </w:r>
      <w:r w:rsidR="00F154F3" w:rsidRPr="0076115A">
        <w:rPr>
          <w:b/>
          <w:lang w:val="fr-FR"/>
        </w:rPr>
        <w:t>enfants et octroyer des bourses aux jeunes filles touchées par la pauvreté</w:t>
      </w:r>
      <w:r w:rsidR="00F5100A" w:rsidRPr="0076115A">
        <w:rPr>
          <w:b/>
          <w:lang w:val="fr-FR"/>
        </w:rPr>
        <w:t> ;</w:t>
      </w:r>
    </w:p>
    <w:p w14:paraId="675384A1" w14:textId="6D4F3653" w:rsidR="00F154F3" w:rsidRPr="0076115A" w:rsidRDefault="00D43532" w:rsidP="00F154F3">
      <w:pPr>
        <w:pStyle w:val="SingleTxt"/>
        <w:rPr>
          <w:b/>
          <w:lang w:val="fr-FR"/>
        </w:rPr>
      </w:pPr>
      <w:r w:rsidRPr="0076115A">
        <w:rPr>
          <w:b/>
          <w:lang w:val="fr-FR"/>
        </w:rPr>
        <w:tab/>
      </w:r>
      <w:r w:rsidR="00F154F3" w:rsidRPr="0076115A">
        <w:rPr>
          <w:b/>
          <w:lang w:val="fr-FR"/>
        </w:rPr>
        <w:t>e)</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allouer suffisamment de ressources financières au secteur de l</w:t>
      </w:r>
      <w:r w:rsidR="00DA3E41" w:rsidRPr="0076115A">
        <w:rPr>
          <w:b/>
          <w:lang w:val="fr-FR"/>
        </w:rPr>
        <w:t>’</w:t>
      </w:r>
      <w:r w:rsidR="00F154F3" w:rsidRPr="0076115A">
        <w:rPr>
          <w:b/>
          <w:lang w:val="fr-FR"/>
        </w:rPr>
        <w:t>éducation, dans le but d</w:t>
      </w:r>
      <w:r w:rsidR="00DA3E41" w:rsidRPr="0076115A">
        <w:rPr>
          <w:b/>
          <w:lang w:val="fr-FR"/>
        </w:rPr>
        <w:t>’</w:t>
      </w:r>
      <w:r w:rsidR="00F154F3" w:rsidRPr="0076115A">
        <w:rPr>
          <w:b/>
          <w:lang w:val="fr-FR"/>
        </w:rPr>
        <w:t>en améliorer et normaliser la qualité, et d</w:t>
      </w:r>
      <w:r w:rsidR="00DA3E41" w:rsidRPr="0076115A">
        <w:rPr>
          <w:b/>
          <w:lang w:val="fr-FR"/>
        </w:rPr>
        <w:t>’</w:t>
      </w:r>
      <w:r w:rsidR="00F154F3" w:rsidRPr="0076115A">
        <w:rPr>
          <w:b/>
          <w:lang w:val="fr-FR"/>
        </w:rPr>
        <w:t>élargir l</w:t>
      </w:r>
      <w:r w:rsidR="00DA3E41" w:rsidRPr="0076115A">
        <w:rPr>
          <w:b/>
          <w:lang w:val="fr-FR"/>
        </w:rPr>
        <w:t>’</w:t>
      </w:r>
      <w:r w:rsidR="00F154F3" w:rsidRPr="0076115A">
        <w:rPr>
          <w:b/>
          <w:lang w:val="fr-FR"/>
        </w:rPr>
        <w:t>offre, pour les jeunes filles, de formations techniques et professionnelles dans des domaines non traditionnels, et de veiller à ce que les infrastructures scolaires soient accessibles.</w:t>
      </w:r>
    </w:p>
    <w:p w14:paraId="243317C4" w14:textId="77777777" w:rsidR="00D43532" w:rsidRPr="0076115A" w:rsidRDefault="00D43532" w:rsidP="00D43532">
      <w:pPr>
        <w:pStyle w:val="SingleTxt"/>
        <w:spacing w:after="0" w:line="120" w:lineRule="exact"/>
        <w:rPr>
          <w:b/>
          <w:sz w:val="10"/>
          <w:lang w:val="fr-FR"/>
        </w:rPr>
      </w:pPr>
    </w:p>
    <w:p w14:paraId="0A140A0E" w14:textId="20241B2C"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Emploi</w:t>
      </w:r>
    </w:p>
    <w:p w14:paraId="06A08D76" w14:textId="77777777" w:rsidR="00D43532" w:rsidRPr="0076115A" w:rsidRDefault="00D43532" w:rsidP="00D43532">
      <w:pPr>
        <w:pStyle w:val="SingleTxt"/>
        <w:spacing w:after="0" w:line="120" w:lineRule="exact"/>
        <w:rPr>
          <w:sz w:val="10"/>
          <w:lang w:val="fr-FR"/>
        </w:rPr>
      </w:pPr>
    </w:p>
    <w:p w14:paraId="3DD26E56" w14:textId="756848DF" w:rsidR="00F154F3" w:rsidRPr="0076115A" w:rsidRDefault="00F154F3" w:rsidP="00D43532">
      <w:pPr>
        <w:pStyle w:val="SingleTxt"/>
        <w:numPr>
          <w:ilvl w:val="0"/>
          <w:numId w:val="41"/>
        </w:numPr>
        <w:spacing w:line="240" w:lineRule="exact"/>
        <w:ind w:left="1267"/>
        <w:rPr>
          <w:lang w:val="fr-FR"/>
        </w:rPr>
      </w:pPr>
      <w:r w:rsidRPr="0076115A">
        <w:rPr>
          <w:lang w:val="fr-FR"/>
        </w:rPr>
        <w:t>Le Comité se déclare préoccupé par</w:t>
      </w:r>
      <w:r w:rsidR="00DA3E41" w:rsidRPr="0076115A">
        <w:rPr>
          <w:lang w:val="fr-FR"/>
        </w:rPr>
        <w:t> :</w:t>
      </w:r>
    </w:p>
    <w:p w14:paraId="4CDFBC5F" w14:textId="17FCD2DA" w:rsidR="00F154F3" w:rsidRPr="0076115A" w:rsidRDefault="00D43532" w:rsidP="00F154F3">
      <w:pPr>
        <w:pStyle w:val="SingleTxt"/>
        <w:rPr>
          <w:lang w:val="fr-FR"/>
        </w:rPr>
      </w:pPr>
      <w:r w:rsidRPr="0076115A">
        <w:rPr>
          <w:lang w:val="fr-FR"/>
        </w:rPr>
        <w:tab/>
      </w:r>
      <w:r w:rsidR="00F154F3" w:rsidRPr="0076115A">
        <w:rPr>
          <w:lang w:val="fr-FR"/>
        </w:rPr>
        <w:t>a)</w:t>
      </w:r>
      <w:r w:rsidR="00F154F3" w:rsidRPr="0076115A">
        <w:rPr>
          <w:lang w:val="fr-FR"/>
        </w:rPr>
        <w:tab/>
        <w:t>Le manque de renseignements sur l</w:t>
      </w:r>
      <w:r w:rsidR="00DA3E41" w:rsidRPr="0076115A">
        <w:rPr>
          <w:lang w:val="fr-FR"/>
        </w:rPr>
        <w:t>’</w:t>
      </w:r>
      <w:r w:rsidR="00F154F3" w:rsidRPr="0076115A">
        <w:rPr>
          <w:lang w:val="fr-FR"/>
        </w:rPr>
        <w:t xml:space="preserve">application de la disposition concernant le congé de maternité dans le secteur privé, prévu par la loi </w:t>
      </w:r>
      <w:r w:rsidR="00186002" w:rsidRPr="0076115A">
        <w:rPr>
          <w:lang w:val="fr-FR"/>
        </w:rPr>
        <w:t>n</w:t>
      </w:r>
      <w:r w:rsidR="00186002" w:rsidRPr="0076115A">
        <w:rPr>
          <w:vertAlign w:val="superscript"/>
          <w:lang w:val="fr-FR"/>
        </w:rPr>
        <w:t>o</w:t>
      </w:r>
      <w:r w:rsidR="00F154F3" w:rsidRPr="0076115A">
        <w:rPr>
          <w:lang w:val="fr-FR"/>
        </w:rPr>
        <w:t> 37 de 2015 sur le travail</w:t>
      </w:r>
      <w:r w:rsidR="00F5100A" w:rsidRPr="0076115A">
        <w:rPr>
          <w:lang w:val="fr-FR"/>
        </w:rPr>
        <w:t> ;</w:t>
      </w:r>
    </w:p>
    <w:p w14:paraId="3E4A6E44" w14:textId="1274282F" w:rsidR="00F154F3" w:rsidRPr="0076115A" w:rsidRDefault="00D43532" w:rsidP="00F154F3">
      <w:pPr>
        <w:pStyle w:val="SingleTxt"/>
        <w:rPr>
          <w:lang w:val="fr-FR"/>
        </w:rPr>
      </w:pPr>
      <w:r w:rsidRPr="0076115A">
        <w:rPr>
          <w:lang w:val="fr-FR"/>
        </w:rPr>
        <w:lastRenderedPageBreak/>
        <w:tab/>
      </w:r>
      <w:r w:rsidR="00F154F3" w:rsidRPr="0076115A">
        <w:rPr>
          <w:lang w:val="fr-FR"/>
        </w:rPr>
        <w:t>b)</w:t>
      </w:r>
      <w:r w:rsidR="00F154F3" w:rsidRPr="0076115A">
        <w:rPr>
          <w:lang w:val="fr-FR"/>
        </w:rPr>
        <w:tab/>
        <w:t>L</w:t>
      </w:r>
      <w:r w:rsidR="00DA3E41" w:rsidRPr="0076115A">
        <w:rPr>
          <w:lang w:val="fr-FR"/>
        </w:rPr>
        <w:t>’</w:t>
      </w:r>
      <w:r w:rsidR="00F154F3" w:rsidRPr="0076115A">
        <w:rPr>
          <w:lang w:val="fr-FR"/>
        </w:rPr>
        <w:t>absence de données précises sur l</w:t>
      </w:r>
      <w:r w:rsidR="00DA3E41" w:rsidRPr="0076115A">
        <w:rPr>
          <w:lang w:val="fr-FR"/>
        </w:rPr>
        <w:t>’</w:t>
      </w:r>
      <w:r w:rsidR="00F154F3" w:rsidRPr="0076115A">
        <w:rPr>
          <w:lang w:val="fr-FR"/>
        </w:rPr>
        <w:t>emploi de femmes handicapées, de femmes iraquiennes d</w:t>
      </w:r>
      <w:r w:rsidR="00DA3E41" w:rsidRPr="0076115A">
        <w:rPr>
          <w:lang w:val="fr-FR"/>
        </w:rPr>
        <w:t>’</w:t>
      </w:r>
      <w:r w:rsidR="00F154F3" w:rsidRPr="0076115A">
        <w:rPr>
          <w:lang w:val="fr-FR"/>
        </w:rPr>
        <w:t>ascendance africaine et de femmes issues des zones rurales</w:t>
      </w:r>
      <w:r w:rsidR="00F5100A" w:rsidRPr="0076115A">
        <w:rPr>
          <w:lang w:val="fr-FR"/>
        </w:rPr>
        <w:t> ;</w:t>
      </w:r>
    </w:p>
    <w:p w14:paraId="4874F3CE" w14:textId="7603E37A" w:rsidR="00F154F3" w:rsidRPr="0076115A" w:rsidRDefault="00D43532" w:rsidP="00F154F3">
      <w:pPr>
        <w:pStyle w:val="SingleTxt"/>
        <w:rPr>
          <w:lang w:val="fr-FR"/>
        </w:rPr>
      </w:pPr>
      <w:r w:rsidRPr="0076115A">
        <w:rPr>
          <w:lang w:val="fr-FR"/>
        </w:rPr>
        <w:tab/>
      </w:r>
      <w:r w:rsidR="00F154F3" w:rsidRPr="0076115A">
        <w:rPr>
          <w:lang w:val="fr-FR"/>
        </w:rPr>
        <w:t>c)</w:t>
      </w:r>
      <w:r w:rsidR="00F154F3" w:rsidRPr="0076115A">
        <w:rPr>
          <w:lang w:val="fr-FR"/>
        </w:rPr>
        <w:tab/>
        <w:t>Le taux de chômage élevé chez les femmes et la répartition inégale des responsabilités familiales entre les femmes et les hommes</w:t>
      </w:r>
      <w:r w:rsidR="00F5100A" w:rsidRPr="0076115A">
        <w:rPr>
          <w:lang w:val="fr-FR"/>
        </w:rPr>
        <w:t> ;</w:t>
      </w:r>
    </w:p>
    <w:p w14:paraId="49B9FC27" w14:textId="7F9B805F" w:rsidR="00F154F3" w:rsidRPr="0076115A" w:rsidRDefault="00D43532" w:rsidP="00F154F3">
      <w:pPr>
        <w:pStyle w:val="SingleTxt"/>
        <w:rPr>
          <w:lang w:val="fr-FR"/>
        </w:rPr>
      </w:pPr>
      <w:r w:rsidRPr="0076115A">
        <w:rPr>
          <w:lang w:val="fr-FR"/>
        </w:rPr>
        <w:tab/>
      </w:r>
      <w:r w:rsidR="00F154F3" w:rsidRPr="0076115A">
        <w:rPr>
          <w:lang w:val="fr-FR"/>
        </w:rPr>
        <w:t>d)</w:t>
      </w:r>
      <w:r w:rsidR="00F154F3" w:rsidRPr="0076115A">
        <w:rPr>
          <w:lang w:val="fr-FR"/>
        </w:rPr>
        <w:tab/>
        <w:t>L</w:t>
      </w:r>
      <w:r w:rsidR="00DA3E41" w:rsidRPr="0076115A">
        <w:rPr>
          <w:lang w:val="fr-FR"/>
        </w:rPr>
        <w:t>’</w:t>
      </w:r>
      <w:r w:rsidR="00F154F3" w:rsidRPr="0076115A">
        <w:rPr>
          <w:lang w:val="fr-FR"/>
        </w:rPr>
        <w:t>absence de structures d</w:t>
      </w:r>
      <w:r w:rsidR="00DA3E41" w:rsidRPr="0076115A">
        <w:rPr>
          <w:lang w:val="fr-FR"/>
        </w:rPr>
        <w:t>’</w:t>
      </w:r>
      <w:r w:rsidR="00F154F3" w:rsidRPr="0076115A">
        <w:rPr>
          <w:lang w:val="fr-FR"/>
        </w:rPr>
        <w:t>accueil pour enfants qui soient accessibles et abordables</w:t>
      </w:r>
      <w:r w:rsidR="00F5100A" w:rsidRPr="0076115A">
        <w:rPr>
          <w:lang w:val="fr-FR"/>
        </w:rPr>
        <w:t> ;</w:t>
      </w:r>
    </w:p>
    <w:p w14:paraId="7F0B4798" w14:textId="7B8A014C" w:rsidR="00F154F3" w:rsidRPr="0076115A" w:rsidRDefault="00D43532" w:rsidP="00F154F3">
      <w:pPr>
        <w:pStyle w:val="SingleTxt"/>
        <w:rPr>
          <w:lang w:val="fr-FR"/>
        </w:rPr>
      </w:pPr>
      <w:r w:rsidRPr="0076115A">
        <w:rPr>
          <w:lang w:val="fr-FR"/>
        </w:rPr>
        <w:tab/>
      </w:r>
      <w:r w:rsidR="00F154F3" w:rsidRPr="0076115A">
        <w:rPr>
          <w:lang w:val="fr-FR"/>
        </w:rPr>
        <w:t>e)</w:t>
      </w:r>
      <w:r w:rsidR="00F154F3" w:rsidRPr="0076115A">
        <w:rPr>
          <w:lang w:val="fr-FR"/>
        </w:rPr>
        <w:tab/>
        <w:t>La concentration de femmes dans le secteur informel et le fait que les femmes qui travaillent dans ce secteur restent exclues de la protection au travail et de la sécurité sociale, y compris des prestations de retraite</w:t>
      </w:r>
      <w:r w:rsidR="00F5100A" w:rsidRPr="0076115A">
        <w:rPr>
          <w:lang w:val="fr-FR"/>
        </w:rPr>
        <w:t> ;</w:t>
      </w:r>
    </w:p>
    <w:p w14:paraId="6EC693D8" w14:textId="3CB73961" w:rsidR="00F154F3" w:rsidRPr="0076115A" w:rsidRDefault="00D43532" w:rsidP="00F154F3">
      <w:pPr>
        <w:pStyle w:val="SingleTxt"/>
        <w:rPr>
          <w:lang w:val="fr-FR"/>
        </w:rPr>
      </w:pPr>
      <w:r w:rsidRPr="0076115A">
        <w:rPr>
          <w:lang w:val="fr-FR"/>
        </w:rPr>
        <w:tab/>
      </w:r>
      <w:r w:rsidR="00F154F3" w:rsidRPr="0076115A">
        <w:rPr>
          <w:lang w:val="fr-FR"/>
        </w:rPr>
        <w:t>f)</w:t>
      </w:r>
      <w:r w:rsidR="00F154F3" w:rsidRPr="0076115A">
        <w:rPr>
          <w:lang w:val="fr-FR"/>
        </w:rPr>
        <w:tab/>
        <w:t>L</w:t>
      </w:r>
      <w:r w:rsidR="00DA3E41" w:rsidRPr="0076115A">
        <w:rPr>
          <w:lang w:val="fr-FR"/>
        </w:rPr>
        <w:t>’</w:t>
      </w:r>
      <w:r w:rsidR="00F154F3" w:rsidRPr="0076115A">
        <w:rPr>
          <w:lang w:val="fr-FR"/>
        </w:rPr>
        <w:t>absence de données sur les cas signalés de harcèlement sexuel sur le lieu du travail et de poursuites engagées dans ces cas.</w:t>
      </w:r>
    </w:p>
    <w:p w14:paraId="5322A899" w14:textId="3F899D02" w:rsidR="00F154F3" w:rsidRPr="0076115A" w:rsidRDefault="00F154F3" w:rsidP="00D43532">
      <w:pPr>
        <w:pStyle w:val="SingleTxt"/>
        <w:numPr>
          <w:ilvl w:val="0"/>
          <w:numId w:val="41"/>
        </w:numPr>
        <w:spacing w:line="240" w:lineRule="exact"/>
        <w:ind w:left="1267"/>
        <w:rPr>
          <w:b/>
          <w:lang w:val="fr-FR"/>
        </w:rPr>
      </w:pPr>
      <w:r w:rsidRPr="0076115A">
        <w:rPr>
          <w:b/>
          <w:lang w:val="fr-FR"/>
        </w:rPr>
        <w:t>Le Comité recommande à l</w:t>
      </w:r>
      <w:r w:rsidR="00DA3E41" w:rsidRPr="0076115A">
        <w:rPr>
          <w:b/>
          <w:lang w:val="fr-FR"/>
        </w:rPr>
        <w:t>’</w:t>
      </w:r>
      <w:r w:rsidRPr="0076115A">
        <w:rPr>
          <w:b/>
          <w:lang w:val="fr-FR"/>
        </w:rPr>
        <w:t>État partie</w:t>
      </w:r>
      <w:r w:rsidR="00DA3E41" w:rsidRPr="0076115A">
        <w:rPr>
          <w:b/>
          <w:lang w:val="fr-FR"/>
        </w:rPr>
        <w:t> :</w:t>
      </w:r>
    </w:p>
    <w:p w14:paraId="73AADB68" w14:textId="602F2B05"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De veiller à l</w:t>
      </w:r>
      <w:r w:rsidR="00DA3E41" w:rsidRPr="0076115A">
        <w:rPr>
          <w:b/>
          <w:lang w:val="fr-FR"/>
        </w:rPr>
        <w:t>’</w:t>
      </w:r>
      <w:r w:rsidR="00F154F3" w:rsidRPr="0076115A">
        <w:rPr>
          <w:b/>
          <w:lang w:val="fr-FR"/>
        </w:rPr>
        <w:t xml:space="preserve">application des dispositions relatives au congé de maternité, prévues par la loi </w:t>
      </w:r>
      <w:r w:rsidR="00186002" w:rsidRPr="0076115A">
        <w:rPr>
          <w:b/>
          <w:lang w:val="fr-FR"/>
        </w:rPr>
        <w:t>n</w:t>
      </w:r>
      <w:r w:rsidR="00186002" w:rsidRPr="0076115A">
        <w:rPr>
          <w:b/>
          <w:vertAlign w:val="superscript"/>
          <w:lang w:val="fr-FR"/>
        </w:rPr>
        <w:t>o</w:t>
      </w:r>
      <w:r w:rsidR="00F154F3" w:rsidRPr="0076115A">
        <w:rPr>
          <w:b/>
          <w:lang w:val="fr-FR"/>
        </w:rPr>
        <w:t> 37 de 2015 sur le travail</w:t>
      </w:r>
      <w:r w:rsidR="00F5100A" w:rsidRPr="0076115A">
        <w:rPr>
          <w:b/>
          <w:lang w:val="fr-FR"/>
        </w:rPr>
        <w:t> ;</w:t>
      </w:r>
    </w:p>
    <w:p w14:paraId="5C376526" w14:textId="3CC9F9D2" w:rsidR="00F154F3" w:rsidRPr="0076115A" w:rsidRDefault="00D43532" w:rsidP="00F154F3">
      <w:pPr>
        <w:pStyle w:val="SingleTxt"/>
        <w:rPr>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De fournir, dans son prochain rapport périodique, des données ventilées sur le nombre de femmes handicapées et de femmes iraquiennes d</w:t>
      </w:r>
      <w:r w:rsidR="00DA3E41" w:rsidRPr="0076115A">
        <w:rPr>
          <w:b/>
          <w:lang w:val="fr-FR"/>
        </w:rPr>
        <w:t>’</w:t>
      </w:r>
      <w:r w:rsidR="00F154F3" w:rsidRPr="0076115A">
        <w:rPr>
          <w:b/>
          <w:lang w:val="fr-FR"/>
        </w:rPr>
        <w:t>ascendance africaine qui sont employées dans les secteurs public et privé</w:t>
      </w:r>
      <w:r w:rsidR="00F5100A" w:rsidRPr="0076115A">
        <w:rPr>
          <w:b/>
          <w:lang w:val="fr-FR"/>
        </w:rPr>
        <w:t> ;</w:t>
      </w:r>
    </w:p>
    <w:p w14:paraId="0BAA5355" w14:textId="60A595ED"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envisager la ratification de la Convention de 1981 sur les travailleurs ayant des responsabilités familiales (</w:t>
      </w:r>
      <w:r w:rsidR="00186002" w:rsidRPr="0076115A">
        <w:rPr>
          <w:b/>
          <w:lang w:val="fr-FR"/>
        </w:rPr>
        <w:t>n</w:t>
      </w:r>
      <w:r w:rsidR="00186002" w:rsidRPr="0076115A">
        <w:rPr>
          <w:b/>
          <w:vertAlign w:val="superscript"/>
          <w:lang w:val="fr-FR"/>
        </w:rPr>
        <w:t>o</w:t>
      </w:r>
      <w:r w:rsidR="00F154F3" w:rsidRPr="0076115A">
        <w:rPr>
          <w:b/>
          <w:lang w:val="fr-FR"/>
        </w:rPr>
        <w:t> 156) de l</w:t>
      </w:r>
      <w:r w:rsidR="00DA3E41" w:rsidRPr="0076115A">
        <w:rPr>
          <w:b/>
          <w:lang w:val="fr-FR"/>
        </w:rPr>
        <w:t>’</w:t>
      </w:r>
      <w:r w:rsidR="00F154F3" w:rsidRPr="0076115A">
        <w:rPr>
          <w:b/>
          <w:lang w:val="fr-FR"/>
        </w:rPr>
        <w:t>Organisation internationale du Travail, afin de promouvoir un partage égal des responsabilités domestiques et familiales entre les hommes et les femmes</w:t>
      </w:r>
      <w:r w:rsidR="00F5100A" w:rsidRPr="0076115A">
        <w:rPr>
          <w:b/>
          <w:lang w:val="fr-FR"/>
        </w:rPr>
        <w:t> ;</w:t>
      </w:r>
    </w:p>
    <w:p w14:paraId="204B88F8" w14:textId="17BBEC27" w:rsidR="00F154F3" w:rsidRPr="0076115A" w:rsidRDefault="00D43532" w:rsidP="00F154F3">
      <w:pPr>
        <w:pStyle w:val="SingleTxt"/>
        <w:rPr>
          <w:b/>
          <w:lang w:val="fr-FR"/>
        </w:rPr>
      </w:pPr>
      <w:r w:rsidRPr="0076115A">
        <w:rPr>
          <w:b/>
          <w:lang w:val="fr-FR"/>
        </w:rPr>
        <w:tab/>
      </w:r>
      <w:r w:rsidR="00F154F3" w:rsidRPr="0076115A">
        <w:rPr>
          <w:b/>
          <w:lang w:val="fr-FR"/>
        </w:rPr>
        <w:t>d)</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accroître le nombre de structures d</w:t>
      </w:r>
      <w:r w:rsidR="00DA3E41" w:rsidRPr="0076115A">
        <w:rPr>
          <w:b/>
          <w:lang w:val="fr-FR"/>
        </w:rPr>
        <w:t>’</w:t>
      </w:r>
      <w:r w:rsidR="00F154F3" w:rsidRPr="0076115A">
        <w:rPr>
          <w:b/>
          <w:lang w:val="fr-FR"/>
        </w:rPr>
        <w:t>accueil pour enfants abordables et accessibles sur tout le territoire de l</w:t>
      </w:r>
      <w:r w:rsidR="00DA3E41" w:rsidRPr="0076115A">
        <w:rPr>
          <w:b/>
          <w:lang w:val="fr-FR"/>
        </w:rPr>
        <w:t>’</w:t>
      </w:r>
      <w:r w:rsidR="00F154F3" w:rsidRPr="0076115A">
        <w:rPr>
          <w:b/>
          <w:lang w:val="fr-FR"/>
        </w:rPr>
        <w:t>État partie, afin de permettre une participation égale des femmes et des hommes sur le marché du travail</w:t>
      </w:r>
      <w:r w:rsidR="00F5100A" w:rsidRPr="0076115A">
        <w:rPr>
          <w:b/>
          <w:lang w:val="fr-FR"/>
        </w:rPr>
        <w:t> ;</w:t>
      </w:r>
    </w:p>
    <w:p w14:paraId="0CD26890" w14:textId="24E4DB45" w:rsidR="00F154F3" w:rsidRPr="0076115A" w:rsidRDefault="00D43532" w:rsidP="00F154F3">
      <w:pPr>
        <w:pStyle w:val="SingleTxt"/>
        <w:rPr>
          <w:b/>
          <w:lang w:val="fr-FR"/>
        </w:rPr>
      </w:pPr>
      <w:r w:rsidRPr="0076115A">
        <w:rPr>
          <w:b/>
          <w:lang w:val="fr-FR"/>
        </w:rPr>
        <w:tab/>
      </w:r>
      <w:r w:rsidR="00F154F3" w:rsidRPr="0076115A">
        <w:rPr>
          <w:b/>
          <w:lang w:val="fr-FR"/>
        </w:rPr>
        <w:t>e)</w:t>
      </w:r>
      <w:r w:rsidR="00F154F3" w:rsidRPr="0076115A">
        <w:rPr>
          <w:lang w:val="fr-FR"/>
        </w:rPr>
        <w:tab/>
      </w:r>
      <w:r w:rsidR="00F154F3" w:rsidRPr="0076115A">
        <w:rPr>
          <w:b/>
          <w:lang w:val="fr-FR"/>
        </w:rPr>
        <w:t>De réviser ses régimes de retraite et de prestations sociales pour les étendre aux femmes qui travaillent dans l</w:t>
      </w:r>
      <w:r w:rsidR="00DA3E41" w:rsidRPr="0076115A">
        <w:rPr>
          <w:b/>
          <w:lang w:val="fr-FR"/>
        </w:rPr>
        <w:t>’</w:t>
      </w:r>
      <w:r w:rsidR="00F154F3" w:rsidRPr="0076115A">
        <w:rPr>
          <w:b/>
          <w:lang w:val="fr-FR"/>
        </w:rPr>
        <w:t>économie informelle</w:t>
      </w:r>
      <w:r w:rsidR="00F5100A" w:rsidRPr="0076115A">
        <w:rPr>
          <w:b/>
          <w:lang w:val="fr-FR"/>
        </w:rPr>
        <w:t> ;</w:t>
      </w:r>
    </w:p>
    <w:p w14:paraId="7F022750" w14:textId="778D7818" w:rsidR="00F154F3" w:rsidRPr="0076115A" w:rsidRDefault="00D43532" w:rsidP="00F154F3">
      <w:pPr>
        <w:pStyle w:val="SingleTxt"/>
        <w:rPr>
          <w:b/>
          <w:lang w:val="fr-FR"/>
        </w:rPr>
      </w:pPr>
      <w:r w:rsidRPr="0076115A">
        <w:rPr>
          <w:b/>
          <w:lang w:val="fr-FR"/>
        </w:rPr>
        <w:tab/>
      </w:r>
      <w:r w:rsidR="00F154F3" w:rsidRPr="0076115A">
        <w:rPr>
          <w:b/>
          <w:lang w:val="fr-FR"/>
        </w:rPr>
        <w:t>f)</w:t>
      </w:r>
      <w:r w:rsidR="00F154F3" w:rsidRPr="0076115A">
        <w:rPr>
          <w:lang w:val="fr-FR"/>
        </w:rPr>
        <w:tab/>
      </w:r>
      <w:r w:rsidR="00F154F3" w:rsidRPr="0076115A">
        <w:rPr>
          <w:b/>
          <w:lang w:val="fr-FR"/>
        </w:rPr>
        <w:t xml:space="preserve">De veiller à ce que les cas de harcèlement sexuel soient signalés et que leurs auteurs soient poursuivis, conformément aux articles 10 et 11 de la loi </w:t>
      </w:r>
      <w:r w:rsidR="00186002" w:rsidRPr="0076115A">
        <w:rPr>
          <w:b/>
          <w:lang w:val="fr-FR"/>
        </w:rPr>
        <w:t>n</w:t>
      </w:r>
      <w:r w:rsidR="00186002" w:rsidRPr="0076115A">
        <w:rPr>
          <w:b/>
          <w:vertAlign w:val="superscript"/>
          <w:lang w:val="fr-FR"/>
        </w:rPr>
        <w:t>o</w:t>
      </w:r>
      <w:r w:rsidR="00F154F3" w:rsidRPr="0076115A">
        <w:rPr>
          <w:b/>
          <w:lang w:val="fr-FR"/>
        </w:rPr>
        <w:t> 37 de 2015 sur le travail.</w:t>
      </w:r>
    </w:p>
    <w:p w14:paraId="56434155" w14:textId="77777777" w:rsidR="00D43532" w:rsidRPr="0076115A" w:rsidRDefault="00D43532" w:rsidP="00D43532">
      <w:pPr>
        <w:pStyle w:val="SingleTxt"/>
        <w:spacing w:after="0" w:line="120" w:lineRule="exact"/>
        <w:rPr>
          <w:b/>
          <w:sz w:val="10"/>
          <w:lang w:val="fr-FR"/>
        </w:rPr>
      </w:pPr>
    </w:p>
    <w:p w14:paraId="10AB2173" w14:textId="120EA100"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Santé</w:t>
      </w:r>
    </w:p>
    <w:p w14:paraId="2448C010" w14:textId="77777777" w:rsidR="00D43532" w:rsidRPr="0076115A" w:rsidRDefault="00D43532" w:rsidP="00D43532">
      <w:pPr>
        <w:pStyle w:val="SingleTxt"/>
        <w:spacing w:after="0" w:line="120" w:lineRule="exact"/>
        <w:rPr>
          <w:sz w:val="10"/>
          <w:lang w:val="fr-FR"/>
        </w:rPr>
      </w:pPr>
    </w:p>
    <w:p w14:paraId="102EF626" w14:textId="0151C18D" w:rsidR="00F154F3" w:rsidRPr="0076115A" w:rsidRDefault="00F154F3" w:rsidP="00D43532">
      <w:pPr>
        <w:pStyle w:val="SingleTxt"/>
        <w:numPr>
          <w:ilvl w:val="0"/>
          <w:numId w:val="41"/>
        </w:numPr>
        <w:spacing w:line="240" w:lineRule="exact"/>
        <w:ind w:left="1267"/>
        <w:rPr>
          <w:lang w:val="fr-FR"/>
        </w:rPr>
      </w:pPr>
      <w:r w:rsidRPr="0076115A">
        <w:rPr>
          <w:lang w:val="fr-FR"/>
        </w:rPr>
        <w:t>Le Comité salue les efforts déployés par l</w:t>
      </w:r>
      <w:r w:rsidR="00DA3E41" w:rsidRPr="0076115A">
        <w:rPr>
          <w:lang w:val="fr-FR"/>
        </w:rPr>
        <w:t>’</w:t>
      </w:r>
      <w:r w:rsidRPr="0076115A">
        <w:rPr>
          <w:lang w:val="fr-FR"/>
        </w:rPr>
        <w:t>État partie pour améliorer l</w:t>
      </w:r>
      <w:r w:rsidR="00DA3E41" w:rsidRPr="0076115A">
        <w:rPr>
          <w:lang w:val="fr-FR"/>
        </w:rPr>
        <w:t>’</w:t>
      </w:r>
      <w:r w:rsidRPr="0076115A">
        <w:rPr>
          <w:lang w:val="fr-FR"/>
        </w:rPr>
        <w:t>accès des femmes aux soins de santé et aux services connexes, surtout pour ce qui est de la prévention du cancer du sein et moyennant la mise en œuvre de la stratégie nationale pour la santé maternelle et infantile (2013-2017). Néanmoins, il prend note avec préoccupation des éléments suivants</w:t>
      </w:r>
      <w:r w:rsidR="00DA3E41" w:rsidRPr="0076115A">
        <w:rPr>
          <w:lang w:val="fr-FR"/>
        </w:rPr>
        <w:t> :</w:t>
      </w:r>
    </w:p>
    <w:p w14:paraId="74A5BA36" w14:textId="35464286" w:rsidR="00F154F3" w:rsidRPr="0076115A" w:rsidRDefault="00D43532" w:rsidP="00F154F3">
      <w:pPr>
        <w:pStyle w:val="SingleTxt"/>
        <w:rPr>
          <w:lang w:val="fr-FR"/>
        </w:rPr>
      </w:pPr>
      <w:r w:rsidRPr="0076115A">
        <w:rPr>
          <w:lang w:val="fr-FR"/>
        </w:rPr>
        <w:tab/>
      </w:r>
      <w:r w:rsidR="00F154F3" w:rsidRPr="0076115A">
        <w:rPr>
          <w:lang w:val="fr-FR"/>
        </w:rPr>
        <w:t>a)</w:t>
      </w:r>
      <w:r w:rsidR="00F154F3" w:rsidRPr="0076115A">
        <w:rPr>
          <w:lang w:val="fr-FR"/>
        </w:rPr>
        <w:tab/>
        <w:t>Les femmes issues de régions rurales, les femmes déplacées et réfugiées résidant dans des camps sur le territoire de l</w:t>
      </w:r>
      <w:r w:rsidR="00DA3E41" w:rsidRPr="0076115A">
        <w:rPr>
          <w:lang w:val="fr-FR"/>
        </w:rPr>
        <w:t>’</w:t>
      </w:r>
      <w:r w:rsidR="00F154F3" w:rsidRPr="0076115A">
        <w:rPr>
          <w:lang w:val="fr-FR"/>
        </w:rPr>
        <w:t>État partie n</w:t>
      </w:r>
      <w:r w:rsidR="00DA3E41" w:rsidRPr="0076115A">
        <w:rPr>
          <w:lang w:val="fr-FR"/>
        </w:rPr>
        <w:t>’</w:t>
      </w:r>
      <w:r w:rsidR="00F154F3" w:rsidRPr="0076115A">
        <w:rPr>
          <w:lang w:val="fr-FR"/>
        </w:rPr>
        <w:t>ont toujours pas suffisamment accès aux infrastructures de base en matière de santé, à de l</w:t>
      </w:r>
      <w:r w:rsidR="00DA3E41" w:rsidRPr="0076115A">
        <w:rPr>
          <w:lang w:val="fr-FR"/>
        </w:rPr>
        <w:t>’</w:t>
      </w:r>
      <w:r w:rsidR="00F154F3" w:rsidRPr="0076115A">
        <w:rPr>
          <w:lang w:val="fr-FR"/>
        </w:rPr>
        <w:t>eau propre, à des conditions d</w:t>
      </w:r>
      <w:r w:rsidR="00DA3E41" w:rsidRPr="0076115A">
        <w:rPr>
          <w:lang w:val="fr-FR"/>
        </w:rPr>
        <w:t>’</w:t>
      </w:r>
      <w:r w:rsidR="00F154F3" w:rsidRPr="0076115A">
        <w:rPr>
          <w:lang w:val="fr-FR"/>
        </w:rPr>
        <w:t>hygiène, à des soins de santé de bonne qualité et à un soutien psychologique</w:t>
      </w:r>
      <w:r w:rsidR="00F5100A" w:rsidRPr="0076115A">
        <w:rPr>
          <w:lang w:val="fr-FR"/>
        </w:rPr>
        <w:t> ;</w:t>
      </w:r>
    </w:p>
    <w:p w14:paraId="14E5A27B" w14:textId="49F30C20" w:rsidR="00F154F3" w:rsidRPr="0076115A" w:rsidRDefault="00D43532" w:rsidP="00F154F3">
      <w:pPr>
        <w:pStyle w:val="SingleTxt"/>
        <w:rPr>
          <w:lang w:val="fr-FR"/>
        </w:rPr>
      </w:pPr>
      <w:r w:rsidRPr="0076115A">
        <w:rPr>
          <w:lang w:val="fr-FR"/>
        </w:rPr>
        <w:tab/>
      </w:r>
      <w:r w:rsidR="00F154F3" w:rsidRPr="0076115A">
        <w:rPr>
          <w:lang w:val="fr-FR"/>
        </w:rPr>
        <w:t>b)</w:t>
      </w:r>
      <w:r w:rsidR="00F154F3" w:rsidRPr="0076115A">
        <w:rPr>
          <w:lang w:val="fr-FR"/>
        </w:rPr>
        <w:tab/>
        <w:t>Le manque d</w:t>
      </w:r>
      <w:r w:rsidR="00DA3E41" w:rsidRPr="0076115A">
        <w:rPr>
          <w:lang w:val="fr-FR"/>
        </w:rPr>
        <w:t>’</w:t>
      </w:r>
      <w:r w:rsidR="00F154F3" w:rsidRPr="0076115A">
        <w:rPr>
          <w:lang w:val="fr-FR"/>
        </w:rPr>
        <w:t>informations et de données statistiques au sujet des femmes et des filles vivant avec le VIH/sida</w:t>
      </w:r>
      <w:r w:rsidR="00F5100A" w:rsidRPr="0076115A">
        <w:rPr>
          <w:lang w:val="fr-FR"/>
        </w:rPr>
        <w:t> ;</w:t>
      </w:r>
    </w:p>
    <w:p w14:paraId="4896FBB6" w14:textId="40D016AF" w:rsidR="00F154F3" w:rsidRPr="0076115A" w:rsidRDefault="00D43532" w:rsidP="00F154F3">
      <w:pPr>
        <w:pStyle w:val="SingleTxt"/>
        <w:rPr>
          <w:lang w:val="fr-FR"/>
        </w:rPr>
      </w:pPr>
      <w:r w:rsidRPr="0076115A">
        <w:rPr>
          <w:lang w:val="fr-FR"/>
        </w:rPr>
        <w:tab/>
      </w:r>
      <w:r w:rsidR="00F154F3" w:rsidRPr="0076115A">
        <w:rPr>
          <w:lang w:val="fr-FR"/>
        </w:rPr>
        <w:t>c)</w:t>
      </w:r>
      <w:r w:rsidR="00F154F3" w:rsidRPr="0076115A">
        <w:rPr>
          <w:lang w:val="fr-FR"/>
        </w:rPr>
        <w:tab/>
        <w:t xml:space="preserve">Le taux élevé de la mortalité maternelle, de </w:t>
      </w:r>
      <w:r w:rsidR="006142E4" w:rsidRPr="0076115A">
        <w:rPr>
          <w:lang w:val="fr-FR"/>
        </w:rPr>
        <w:t xml:space="preserve">79 </w:t>
      </w:r>
      <w:r w:rsidR="00B018A4" w:rsidRPr="0076115A">
        <w:rPr>
          <w:lang w:val="fr-FR"/>
        </w:rPr>
        <w:t>décès</w:t>
      </w:r>
      <w:r w:rsidR="006142E4" w:rsidRPr="0076115A">
        <w:rPr>
          <w:lang w:val="fr-FR"/>
        </w:rPr>
        <w:t xml:space="preserve"> </w:t>
      </w:r>
      <w:r w:rsidR="00B018A4" w:rsidRPr="0076115A">
        <w:rPr>
          <w:lang w:val="fr-FR"/>
        </w:rPr>
        <w:t xml:space="preserve">maternels </w:t>
      </w:r>
      <w:r w:rsidR="006142E4" w:rsidRPr="0076115A">
        <w:rPr>
          <w:lang w:val="fr-FR"/>
        </w:rPr>
        <w:t>pour 100 000 naissances vivantes</w:t>
      </w:r>
      <w:r w:rsidR="00F154F3" w:rsidRPr="0076115A">
        <w:rPr>
          <w:lang w:val="fr-FR"/>
        </w:rPr>
        <w:t xml:space="preserve"> en 2017, et l</w:t>
      </w:r>
      <w:r w:rsidR="00DA3E41" w:rsidRPr="0076115A">
        <w:rPr>
          <w:lang w:val="fr-FR"/>
        </w:rPr>
        <w:t>’</w:t>
      </w:r>
      <w:r w:rsidR="00F154F3" w:rsidRPr="0076115A">
        <w:rPr>
          <w:lang w:val="fr-FR"/>
        </w:rPr>
        <w:t>insuffisance de soins prénatals et postnatals dans l</w:t>
      </w:r>
      <w:r w:rsidR="00DA3E41" w:rsidRPr="0076115A">
        <w:rPr>
          <w:lang w:val="fr-FR"/>
        </w:rPr>
        <w:t>’</w:t>
      </w:r>
      <w:r w:rsidR="00F154F3" w:rsidRPr="0076115A">
        <w:rPr>
          <w:lang w:val="fr-FR"/>
        </w:rPr>
        <w:t xml:space="preserve"> État partie</w:t>
      </w:r>
      <w:r w:rsidR="00F5100A" w:rsidRPr="0076115A">
        <w:rPr>
          <w:lang w:val="fr-FR"/>
        </w:rPr>
        <w:t> ;</w:t>
      </w:r>
    </w:p>
    <w:p w14:paraId="63434357" w14:textId="141C8721" w:rsidR="00F154F3" w:rsidRPr="0076115A" w:rsidRDefault="00D43532" w:rsidP="00F154F3">
      <w:pPr>
        <w:pStyle w:val="SingleTxt"/>
        <w:rPr>
          <w:lang w:val="fr-FR"/>
        </w:rPr>
      </w:pPr>
      <w:r w:rsidRPr="0076115A">
        <w:rPr>
          <w:lang w:val="fr-FR"/>
        </w:rPr>
        <w:lastRenderedPageBreak/>
        <w:tab/>
      </w:r>
      <w:r w:rsidR="00F154F3" w:rsidRPr="0076115A">
        <w:rPr>
          <w:lang w:val="fr-FR"/>
        </w:rPr>
        <w:t>d)</w:t>
      </w:r>
      <w:r w:rsidR="00F154F3" w:rsidRPr="0076115A">
        <w:rPr>
          <w:lang w:val="fr-FR"/>
        </w:rPr>
        <w:tab/>
        <w:t>En vertu des articles 417, 418 et 419 du Code pénal, l</w:t>
      </w:r>
      <w:r w:rsidR="00DA3E41" w:rsidRPr="0076115A">
        <w:rPr>
          <w:lang w:val="fr-FR"/>
        </w:rPr>
        <w:t>’</w:t>
      </w:r>
      <w:r w:rsidR="00F154F3" w:rsidRPr="0076115A">
        <w:rPr>
          <w:lang w:val="fr-FR"/>
        </w:rPr>
        <w:t>avortement est seulement autorisé lorsque la vie de la femme enceinte est en danger</w:t>
      </w:r>
      <w:r w:rsidR="00F5100A" w:rsidRPr="0076115A">
        <w:rPr>
          <w:lang w:val="fr-FR"/>
        </w:rPr>
        <w:t> ;</w:t>
      </w:r>
    </w:p>
    <w:p w14:paraId="267B52B9" w14:textId="3EEB5A0D" w:rsidR="00F154F3" w:rsidRPr="0076115A" w:rsidRDefault="00D43532" w:rsidP="00F154F3">
      <w:pPr>
        <w:pStyle w:val="SingleTxt"/>
        <w:rPr>
          <w:lang w:val="fr-FR"/>
        </w:rPr>
      </w:pPr>
      <w:r w:rsidRPr="0076115A">
        <w:rPr>
          <w:lang w:val="fr-FR"/>
        </w:rPr>
        <w:tab/>
      </w:r>
      <w:r w:rsidR="00F154F3" w:rsidRPr="0076115A">
        <w:rPr>
          <w:lang w:val="fr-FR"/>
        </w:rPr>
        <w:t>e)</w:t>
      </w:r>
      <w:r w:rsidR="00F154F3" w:rsidRPr="0076115A">
        <w:rPr>
          <w:lang w:val="fr-FR"/>
        </w:rPr>
        <w:tab/>
        <w:t>En dépit de l</w:t>
      </w:r>
      <w:r w:rsidR="00DA3E41" w:rsidRPr="0076115A">
        <w:rPr>
          <w:lang w:val="fr-FR"/>
        </w:rPr>
        <w:t>’</w:t>
      </w:r>
      <w:r w:rsidR="00F154F3" w:rsidRPr="0076115A">
        <w:rPr>
          <w:lang w:val="fr-FR"/>
        </w:rPr>
        <w:t xml:space="preserve">adoption en 2013 de la loi </w:t>
      </w:r>
      <w:r w:rsidR="00186002" w:rsidRPr="0076115A">
        <w:rPr>
          <w:lang w:val="fr-FR"/>
        </w:rPr>
        <w:t>n</w:t>
      </w:r>
      <w:r w:rsidR="00186002" w:rsidRPr="0076115A">
        <w:rPr>
          <w:vertAlign w:val="superscript"/>
          <w:lang w:val="fr-FR"/>
        </w:rPr>
        <w:t>o</w:t>
      </w:r>
      <w:r w:rsidR="00F154F3" w:rsidRPr="0076115A">
        <w:rPr>
          <w:lang w:val="fr-FR"/>
        </w:rPr>
        <w:t> 38 sur les soins aux personnes handicapées et aux personnes ayant des besoins particuliers, l</w:t>
      </w:r>
      <w:r w:rsidR="00DA3E41" w:rsidRPr="0076115A">
        <w:rPr>
          <w:lang w:val="fr-FR"/>
        </w:rPr>
        <w:t>’</w:t>
      </w:r>
      <w:r w:rsidR="00F154F3" w:rsidRPr="0076115A">
        <w:rPr>
          <w:lang w:val="fr-FR"/>
        </w:rPr>
        <w:t>accès aux services de santé reste difficile pour les femmes handicapées et le système de santé ne fournit que rarement à ces dernières les aménagements raisonnables dont elles ont besoin.</w:t>
      </w:r>
    </w:p>
    <w:p w14:paraId="64214F2F" w14:textId="25E1DC1C" w:rsidR="00F154F3" w:rsidRPr="0076115A" w:rsidRDefault="00F154F3" w:rsidP="00D43532">
      <w:pPr>
        <w:pStyle w:val="SingleTxt"/>
        <w:numPr>
          <w:ilvl w:val="0"/>
          <w:numId w:val="41"/>
        </w:numPr>
        <w:spacing w:line="240" w:lineRule="exact"/>
        <w:ind w:left="1267"/>
        <w:rPr>
          <w:b/>
          <w:lang w:val="fr-FR"/>
        </w:rPr>
      </w:pPr>
      <w:r w:rsidRPr="0076115A">
        <w:rPr>
          <w:b/>
          <w:lang w:val="fr-FR"/>
        </w:rPr>
        <w:t xml:space="preserve">Conformément à sa recommandation générale </w:t>
      </w:r>
      <w:r w:rsidR="00186002" w:rsidRPr="0076115A">
        <w:rPr>
          <w:b/>
          <w:lang w:val="fr-FR"/>
        </w:rPr>
        <w:t>n</w:t>
      </w:r>
      <w:r w:rsidR="00186002" w:rsidRPr="0076115A">
        <w:rPr>
          <w:b/>
          <w:vertAlign w:val="superscript"/>
          <w:lang w:val="fr-FR"/>
        </w:rPr>
        <w:t>o</w:t>
      </w:r>
      <w:r w:rsidRPr="0076115A">
        <w:rPr>
          <w:b/>
          <w:lang w:val="fr-FR"/>
        </w:rPr>
        <w:t> </w:t>
      </w:r>
      <w:hyperlink r:id="rId45" w:history="1">
        <w:r w:rsidRPr="0076115A">
          <w:rPr>
            <w:rStyle w:val="Hyperlink"/>
            <w:b/>
            <w:lang w:val="fr-FR"/>
          </w:rPr>
          <w:t>24 (1999)</w:t>
        </w:r>
      </w:hyperlink>
      <w:r w:rsidRPr="0076115A">
        <w:rPr>
          <w:b/>
          <w:lang w:val="fr-FR"/>
        </w:rPr>
        <w:t xml:space="preserve"> sur les femmes et la santé, le Comité recommande à l</w:t>
      </w:r>
      <w:r w:rsidR="00DA3E41" w:rsidRPr="0076115A">
        <w:rPr>
          <w:b/>
          <w:lang w:val="fr-FR"/>
        </w:rPr>
        <w:t>’</w:t>
      </w:r>
      <w:r w:rsidRPr="0076115A">
        <w:rPr>
          <w:b/>
          <w:lang w:val="fr-FR"/>
        </w:rPr>
        <w:t>État partie</w:t>
      </w:r>
      <w:r w:rsidR="00DA3E41" w:rsidRPr="0076115A">
        <w:rPr>
          <w:b/>
          <w:lang w:val="fr-FR"/>
        </w:rPr>
        <w:t> :</w:t>
      </w:r>
    </w:p>
    <w:p w14:paraId="6CE79EF4" w14:textId="25A8ADC7"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améliorer l</w:t>
      </w:r>
      <w:r w:rsidR="00DA3E41" w:rsidRPr="0076115A">
        <w:rPr>
          <w:b/>
          <w:lang w:val="fr-FR"/>
        </w:rPr>
        <w:t>’</w:t>
      </w:r>
      <w:r w:rsidR="00F154F3" w:rsidRPr="0076115A">
        <w:rPr>
          <w:b/>
          <w:lang w:val="fr-FR"/>
        </w:rPr>
        <w:t>accès à des services de santé et la couverture de ces services sur l</w:t>
      </w:r>
      <w:r w:rsidR="00DA3E41" w:rsidRPr="0076115A">
        <w:rPr>
          <w:b/>
          <w:lang w:val="fr-FR"/>
        </w:rPr>
        <w:t>’</w:t>
      </w:r>
      <w:r w:rsidR="00F154F3" w:rsidRPr="0076115A">
        <w:rPr>
          <w:b/>
          <w:lang w:val="fr-FR"/>
        </w:rPr>
        <w:t>ensemble de son territoire, y compris dans les camps de déplacés et de réfugiés, en allouant des ressources budgétaires suffisantes aux hôpitaux et cliniques afin que des services de santé suffisants, y compris des services de santé sexuelle et procréative et notamment des avortements sécurisés, soient disponibles partout dans le pays, en particulier dans les zones rurales et reculées</w:t>
      </w:r>
      <w:r w:rsidR="00F5100A" w:rsidRPr="0076115A">
        <w:rPr>
          <w:b/>
          <w:lang w:val="fr-FR"/>
        </w:rPr>
        <w:t> ;</w:t>
      </w:r>
    </w:p>
    <w:p w14:paraId="0CC9F187" w14:textId="7A464667" w:rsidR="00F154F3" w:rsidRPr="0076115A" w:rsidRDefault="00D43532" w:rsidP="00F154F3">
      <w:pPr>
        <w:pStyle w:val="SingleTxt"/>
        <w:rPr>
          <w:b/>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De collecter des données ventilées par sexe sur la prévalence du VIH et des infections sexuellement transmissibles, tout en respectant le caractère confidentiel des informations qui concernent les patients, et de faire en sorte que les services de santé sexuelle et procréative adaptés à l</w:t>
      </w:r>
      <w:r w:rsidR="00DA3E41" w:rsidRPr="0076115A">
        <w:rPr>
          <w:b/>
          <w:lang w:val="fr-FR"/>
        </w:rPr>
        <w:t>’</w:t>
      </w:r>
      <w:r w:rsidR="00F154F3" w:rsidRPr="0076115A">
        <w:rPr>
          <w:b/>
          <w:lang w:val="fr-FR"/>
        </w:rPr>
        <w:t>âge et le traitement, y compris les services confidentiels, soient accessibles à toutes les femmes et filles vivant avec le VIH/sida</w:t>
      </w:r>
      <w:r w:rsidR="00F5100A" w:rsidRPr="0076115A">
        <w:rPr>
          <w:b/>
          <w:lang w:val="fr-FR"/>
        </w:rPr>
        <w:t> ;</w:t>
      </w:r>
    </w:p>
    <w:p w14:paraId="3A437753" w14:textId="4697D37F"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réduire la mortalité maternelle en améliorant, dans l</w:t>
      </w:r>
      <w:r w:rsidR="00DA3E41" w:rsidRPr="0076115A">
        <w:rPr>
          <w:b/>
          <w:lang w:val="fr-FR"/>
        </w:rPr>
        <w:t>’</w:t>
      </w:r>
      <w:r w:rsidR="00F154F3" w:rsidRPr="0076115A">
        <w:rPr>
          <w:b/>
          <w:lang w:val="fr-FR"/>
        </w:rPr>
        <w:t>ensemble de son territoire, l</w:t>
      </w:r>
      <w:r w:rsidR="00DA3E41" w:rsidRPr="0076115A">
        <w:rPr>
          <w:b/>
          <w:lang w:val="fr-FR"/>
        </w:rPr>
        <w:t>’</w:t>
      </w:r>
      <w:r w:rsidR="00F154F3" w:rsidRPr="0076115A">
        <w:rPr>
          <w:b/>
          <w:lang w:val="fr-FR"/>
        </w:rPr>
        <w:t>accès aux soins prénatals et postnatals de base et aux services obstétriques d</w:t>
      </w:r>
      <w:r w:rsidR="00DA3E41" w:rsidRPr="0076115A">
        <w:rPr>
          <w:b/>
          <w:lang w:val="fr-FR"/>
        </w:rPr>
        <w:t>’</w:t>
      </w:r>
      <w:r w:rsidR="00F154F3" w:rsidRPr="0076115A">
        <w:rPr>
          <w:b/>
          <w:lang w:val="fr-FR"/>
        </w:rPr>
        <w:t>urgence fournis par des personnes qualifiées</w:t>
      </w:r>
      <w:r w:rsidR="00F5100A" w:rsidRPr="0076115A">
        <w:rPr>
          <w:b/>
          <w:lang w:val="fr-FR"/>
        </w:rPr>
        <w:t> ;</w:t>
      </w:r>
    </w:p>
    <w:p w14:paraId="4945763B" w14:textId="218D777A" w:rsidR="00F154F3" w:rsidRPr="0076115A" w:rsidRDefault="00D43532" w:rsidP="00F154F3">
      <w:pPr>
        <w:pStyle w:val="SingleTxt"/>
        <w:rPr>
          <w:b/>
          <w:lang w:val="fr-FR"/>
        </w:rPr>
      </w:pPr>
      <w:r w:rsidRPr="0076115A">
        <w:rPr>
          <w:b/>
          <w:lang w:val="fr-FR"/>
        </w:rPr>
        <w:tab/>
      </w:r>
      <w:r w:rsidR="00F154F3" w:rsidRPr="0076115A">
        <w:rPr>
          <w:b/>
          <w:lang w:val="fr-FR"/>
        </w:rPr>
        <w:t>d)</w:t>
      </w:r>
      <w:r w:rsidR="00F154F3" w:rsidRPr="0076115A">
        <w:rPr>
          <w:lang w:val="fr-FR"/>
        </w:rPr>
        <w:tab/>
      </w:r>
      <w:r w:rsidR="00F154F3" w:rsidRPr="0076115A">
        <w:rPr>
          <w:b/>
          <w:lang w:val="fr-FR"/>
        </w:rPr>
        <w:t>De légaliser l</w:t>
      </w:r>
      <w:r w:rsidR="00DA3E41" w:rsidRPr="0076115A">
        <w:rPr>
          <w:b/>
          <w:lang w:val="fr-FR"/>
        </w:rPr>
        <w:t>’</w:t>
      </w:r>
      <w:r w:rsidR="00F154F3" w:rsidRPr="0076115A">
        <w:rPr>
          <w:b/>
          <w:lang w:val="fr-FR"/>
        </w:rPr>
        <w:t>avortement dans les cas de viol, d</w:t>
      </w:r>
      <w:r w:rsidR="00DA3E41" w:rsidRPr="0076115A">
        <w:rPr>
          <w:b/>
          <w:lang w:val="fr-FR"/>
        </w:rPr>
        <w:t>’</w:t>
      </w:r>
      <w:r w:rsidR="00F154F3" w:rsidRPr="0076115A">
        <w:rPr>
          <w:b/>
          <w:lang w:val="fr-FR"/>
        </w:rPr>
        <w:t>inceste, de menaces pour la vie ou la santé de la femme enceinte et de déficiences graves du fœtus, et de veiller à ce que les femmes aient accès à un avortement sécurisé et à des soins après l</w:t>
      </w:r>
      <w:r w:rsidR="00DA3E41" w:rsidRPr="0076115A">
        <w:rPr>
          <w:b/>
          <w:lang w:val="fr-FR"/>
        </w:rPr>
        <w:t>’</w:t>
      </w:r>
      <w:r w:rsidR="00F154F3" w:rsidRPr="0076115A">
        <w:rPr>
          <w:b/>
          <w:lang w:val="fr-FR"/>
        </w:rPr>
        <w:t>avortement, fournis par du personnel médical dûment formé</w:t>
      </w:r>
      <w:r w:rsidR="00F5100A" w:rsidRPr="0076115A">
        <w:rPr>
          <w:b/>
          <w:lang w:val="fr-FR"/>
        </w:rPr>
        <w:t> ;</w:t>
      </w:r>
    </w:p>
    <w:p w14:paraId="08D58F6D" w14:textId="56276114" w:rsidR="00F154F3" w:rsidRPr="0076115A" w:rsidRDefault="00D43532" w:rsidP="00F154F3">
      <w:pPr>
        <w:pStyle w:val="SingleTxt"/>
        <w:rPr>
          <w:b/>
          <w:lang w:val="fr-FR"/>
        </w:rPr>
      </w:pPr>
      <w:r w:rsidRPr="0076115A">
        <w:rPr>
          <w:b/>
          <w:lang w:val="fr-FR"/>
        </w:rPr>
        <w:tab/>
      </w:r>
      <w:r w:rsidR="00F154F3" w:rsidRPr="0076115A">
        <w:rPr>
          <w:b/>
          <w:lang w:val="fr-FR"/>
        </w:rPr>
        <w:t>e)</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 xml:space="preserve">appliquer intégralement la loi </w:t>
      </w:r>
      <w:r w:rsidR="00186002" w:rsidRPr="0076115A">
        <w:rPr>
          <w:b/>
          <w:lang w:val="fr-FR"/>
        </w:rPr>
        <w:t>n</w:t>
      </w:r>
      <w:r w:rsidR="00186002" w:rsidRPr="0076115A">
        <w:rPr>
          <w:b/>
          <w:vertAlign w:val="superscript"/>
          <w:lang w:val="fr-FR"/>
        </w:rPr>
        <w:t>o</w:t>
      </w:r>
      <w:r w:rsidR="00F154F3" w:rsidRPr="0076115A">
        <w:rPr>
          <w:b/>
          <w:lang w:val="fr-FR"/>
        </w:rPr>
        <w:t> 38 de 2013 afin que toutes les femmes et filles handicapées aient accès à des services de santé de qualité, y compris aux services en matière de santé sexuelle et procréative et bénéficient d</w:t>
      </w:r>
      <w:r w:rsidR="00DA3E41" w:rsidRPr="0076115A">
        <w:rPr>
          <w:b/>
          <w:lang w:val="fr-FR"/>
        </w:rPr>
        <w:t>’</w:t>
      </w:r>
      <w:r w:rsidR="00F154F3" w:rsidRPr="0076115A">
        <w:rPr>
          <w:b/>
          <w:lang w:val="fr-FR"/>
        </w:rPr>
        <w:t>aménagements raisonnables.</w:t>
      </w:r>
    </w:p>
    <w:p w14:paraId="45F9890C" w14:textId="77777777" w:rsidR="00D43532" w:rsidRPr="0076115A" w:rsidRDefault="00D43532" w:rsidP="00D43532">
      <w:pPr>
        <w:pStyle w:val="SingleTxt"/>
        <w:spacing w:after="0" w:line="120" w:lineRule="exact"/>
        <w:rPr>
          <w:b/>
          <w:sz w:val="10"/>
          <w:lang w:val="fr-FR"/>
        </w:rPr>
      </w:pPr>
    </w:p>
    <w:p w14:paraId="03EC01D9" w14:textId="363FBB19"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Mariage et rapports familiaux</w:t>
      </w:r>
    </w:p>
    <w:p w14:paraId="7B4DB587" w14:textId="77777777" w:rsidR="00D43532" w:rsidRPr="0076115A" w:rsidRDefault="00D43532" w:rsidP="00D43532">
      <w:pPr>
        <w:pStyle w:val="SingleTxt"/>
        <w:spacing w:after="0" w:line="120" w:lineRule="exact"/>
        <w:rPr>
          <w:sz w:val="10"/>
          <w:lang w:val="fr-FR"/>
        </w:rPr>
      </w:pPr>
    </w:p>
    <w:p w14:paraId="100F8C9F" w14:textId="64C5E786" w:rsidR="00F154F3" w:rsidRPr="0076115A" w:rsidRDefault="00F154F3" w:rsidP="00D43532">
      <w:pPr>
        <w:pStyle w:val="SingleTxt"/>
        <w:numPr>
          <w:ilvl w:val="0"/>
          <w:numId w:val="41"/>
        </w:numPr>
        <w:spacing w:line="240" w:lineRule="exact"/>
        <w:ind w:left="1267"/>
        <w:rPr>
          <w:lang w:val="fr-FR"/>
        </w:rPr>
      </w:pPr>
      <w:r w:rsidRPr="0076115A">
        <w:rPr>
          <w:lang w:val="fr-FR"/>
        </w:rPr>
        <w:t>Le Comité rappelle ses précédentes observations finales (</w:t>
      </w:r>
      <w:hyperlink r:id="rId46" w:history="1">
        <w:r w:rsidRPr="0076115A">
          <w:rPr>
            <w:rStyle w:val="Hyperlink"/>
            <w:lang w:val="fr-FR"/>
          </w:rPr>
          <w:t>CEDAW/C/IRQ/CO/4-6</w:t>
        </w:r>
      </w:hyperlink>
      <w:r w:rsidRPr="0076115A">
        <w:rPr>
          <w:lang w:val="fr-FR"/>
        </w:rPr>
        <w:t>, par. 52) et redit sa préoccupation devant le fait que l</w:t>
      </w:r>
      <w:r w:rsidR="00DA3E41" w:rsidRPr="0076115A">
        <w:rPr>
          <w:lang w:val="fr-FR"/>
        </w:rPr>
        <w:t>’</w:t>
      </w:r>
      <w:r w:rsidRPr="0076115A">
        <w:rPr>
          <w:lang w:val="fr-FR"/>
        </w:rPr>
        <w:t>application de l</w:t>
      </w:r>
      <w:r w:rsidR="00DA3E41" w:rsidRPr="0076115A">
        <w:rPr>
          <w:lang w:val="fr-FR"/>
        </w:rPr>
        <w:t>’</w:t>
      </w:r>
      <w:r w:rsidRPr="0076115A">
        <w:rPr>
          <w:lang w:val="fr-FR"/>
        </w:rPr>
        <w:t xml:space="preserve">article 41 de la Constitution (2005) fragilise la loi sur le statut personnel </w:t>
      </w:r>
      <w:bookmarkStart w:id="2" w:name="_Hlk23258944"/>
      <w:r w:rsidRPr="0076115A">
        <w:rPr>
          <w:lang w:val="fr-FR"/>
        </w:rPr>
        <w:t>(</w:t>
      </w:r>
      <w:r w:rsidR="00186002" w:rsidRPr="0076115A">
        <w:rPr>
          <w:lang w:val="fr-FR"/>
        </w:rPr>
        <w:t>n</w:t>
      </w:r>
      <w:r w:rsidR="00186002" w:rsidRPr="0076115A">
        <w:rPr>
          <w:vertAlign w:val="superscript"/>
          <w:lang w:val="fr-FR"/>
        </w:rPr>
        <w:t>o</w:t>
      </w:r>
      <w:r w:rsidRPr="0076115A">
        <w:rPr>
          <w:lang w:val="fr-FR"/>
        </w:rPr>
        <w:t xml:space="preserve"> 188 de 1959) </w:t>
      </w:r>
      <w:bookmarkEnd w:id="2"/>
      <w:r w:rsidRPr="0076115A">
        <w:rPr>
          <w:lang w:val="fr-FR"/>
        </w:rPr>
        <w:t>de l</w:t>
      </w:r>
      <w:r w:rsidR="00DA3E41" w:rsidRPr="0076115A">
        <w:rPr>
          <w:lang w:val="fr-FR"/>
        </w:rPr>
        <w:t>’</w:t>
      </w:r>
      <w:r w:rsidRPr="0076115A">
        <w:rPr>
          <w:lang w:val="fr-FR"/>
        </w:rPr>
        <w:t>État partie, dans la mesure où il permet l</w:t>
      </w:r>
      <w:r w:rsidR="00DA3E41" w:rsidRPr="0076115A">
        <w:rPr>
          <w:lang w:val="fr-FR"/>
        </w:rPr>
        <w:t>’</w:t>
      </w:r>
      <w:r w:rsidRPr="0076115A">
        <w:rPr>
          <w:lang w:val="fr-FR"/>
        </w:rPr>
        <w:t>adoption de lois sur le statut personnel variant selon les doctrines religieuses, au détriment de l</w:t>
      </w:r>
      <w:r w:rsidR="00DA3E41" w:rsidRPr="0076115A">
        <w:rPr>
          <w:lang w:val="fr-FR"/>
        </w:rPr>
        <w:t>’</w:t>
      </w:r>
      <w:r w:rsidRPr="0076115A">
        <w:rPr>
          <w:lang w:val="fr-FR"/>
        </w:rPr>
        <w:t>égalité des droits pour les femmes en matière de mariage et de relations familiales. Le Comité est également préoccupé par les éléments suivants</w:t>
      </w:r>
      <w:r w:rsidR="00DA3E41" w:rsidRPr="0076115A">
        <w:rPr>
          <w:lang w:val="fr-FR"/>
        </w:rPr>
        <w:t> :</w:t>
      </w:r>
    </w:p>
    <w:p w14:paraId="3F925860" w14:textId="25254D89" w:rsidR="00F154F3" w:rsidRPr="0076115A" w:rsidRDefault="00D43532" w:rsidP="00F154F3">
      <w:pPr>
        <w:pStyle w:val="SingleTxt"/>
        <w:rPr>
          <w:lang w:val="fr-FR"/>
        </w:rPr>
      </w:pPr>
      <w:r w:rsidRPr="0076115A">
        <w:rPr>
          <w:lang w:val="fr-FR"/>
        </w:rPr>
        <w:tab/>
      </w:r>
      <w:r w:rsidR="00F154F3" w:rsidRPr="0076115A">
        <w:rPr>
          <w:lang w:val="fr-FR"/>
        </w:rPr>
        <w:t>a)</w:t>
      </w:r>
      <w:r w:rsidR="00F154F3" w:rsidRPr="0076115A">
        <w:rPr>
          <w:lang w:val="fr-FR"/>
        </w:rPr>
        <w:tab/>
        <w:t>Dans la loi sur le statut personnel, des exceptions légales à l</w:t>
      </w:r>
      <w:r w:rsidR="00DA3E41" w:rsidRPr="0076115A">
        <w:rPr>
          <w:lang w:val="fr-FR"/>
        </w:rPr>
        <w:t>’</w:t>
      </w:r>
      <w:r w:rsidR="00F154F3" w:rsidRPr="0076115A">
        <w:rPr>
          <w:lang w:val="fr-FR"/>
        </w:rPr>
        <w:t>âge minimum du mariage, fixé à 18 ans pour les femmes et les hommes, permettent le mariage des filles dès l</w:t>
      </w:r>
      <w:r w:rsidR="00DA3E41" w:rsidRPr="0076115A">
        <w:rPr>
          <w:lang w:val="fr-FR"/>
        </w:rPr>
        <w:t>’</w:t>
      </w:r>
      <w:r w:rsidR="00F154F3" w:rsidRPr="0076115A">
        <w:rPr>
          <w:lang w:val="fr-FR"/>
        </w:rPr>
        <w:t>âge de 15 ans</w:t>
      </w:r>
      <w:r w:rsidR="00F5100A" w:rsidRPr="0076115A">
        <w:rPr>
          <w:lang w:val="fr-FR"/>
        </w:rPr>
        <w:t> ;</w:t>
      </w:r>
    </w:p>
    <w:p w14:paraId="5CDAB1D9" w14:textId="0F3E433D" w:rsidR="00F154F3" w:rsidRPr="0076115A" w:rsidRDefault="00D43532" w:rsidP="00F154F3">
      <w:pPr>
        <w:pStyle w:val="SingleTxt"/>
        <w:rPr>
          <w:lang w:val="fr-FR"/>
        </w:rPr>
      </w:pPr>
      <w:r w:rsidRPr="0076115A">
        <w:rPr>
          <w:lang w:val="fr-FR"/>
        </w:rPr>
        <w:tab/>
      </w:r>
      <w:r w:rsidR="00F154F3" w:rsidRPr="0076115A">
        <w:rPr>
          <w:lang w:val="fr-FR"/>
        </w:rPr>
        <w:t>b)</w:t>
      </w:r>
      <w:r w:rsidR="00F154F3" w:rsidRPr="0076115A">
        <w:rPr>
          <w:lang w:val="fr-FR"/>
        </w:rPr>
        <w:tab/>
        <w:t xml:space="preserve">La polygamie est autorisée dans certaines circonstances dans la Région du Kurdistan, en vertu de la loi sur le statut personnel et de la loi </w:t>
      </w:r>
      <w:r w:rsidR="00186002" w:rsidRPr="0076115A">
        <w:rPr>
          <w:lang w:val="fr-FR"/>
        </w:rPr>
        <w:t>n</w:t>
      </w:r>
      <w:r w:rsidR="00186002" w:rsidRPr="0076115A">
        <w:rPr>
          <w:vertAlign w:val="superscript"/>
          <w:lang w:val="fr-FR"/>
        </w:rPr>
        <w:t>o</w:t>
      </w:r>
      <w:r w:rsidR="00F154F3" w:rsidRPr="0076115A">
        <w:rPr>
          <w:lang w:val="fr-FR"/>
        </w:rPr>
        <w:t> 15 de 2008</w:t>
      </w:r>
      <w:r w:rsidR="00F5100A" w:rsidRPr="0076115A">
        <w:rPr>
          <w:lang w:val="fr-FR"/>
        </w:rPr>
        <w:t> ;</w:t>
      </w:r>
    </w:p>
    <w:p w14:paraId="18A986A0" w14:textId="11BD9A60" w:rsidR="00F154F3" w:rsidRPr="0076115A" w:rsidRDefault="00D43532" w:rsidP="00F154F3">
      <w:pPr>
        <w:pStyle w:val="SingleTxt"/>
        <w:rPr>
          <w:lang w:val="fr-FR"/>
        </w:rPr>
      </w:pPr>
      <w:r w:rsidRPr="0076115A">
        <w:rPr>
          <w:lang w:val="fr-FR"/>
        </w:rPr>
        <w:tab/>
      </w:r>
      <w:r w:rsidR="00F154F3" w:rsidRPr="0076115A">
        <w:rPr>
          <w:lang w:val="fr-FR"/>
        </w:rPr>
        <w:t>c)</w:t>
      </w:r>
      <w:r w:rsidR="00F154F3" w:rsidRPr="0076115A">
        <w:rPr>
          <w:lang w:val="fr-FR"/>
        </w:rPr>
        <w:tab/>
        <w:t>Le nombre croissant de mariages non enregistrés et leur effet négatif sur les droits des femmes, notamment leurs droits économiques, sociaux et culturels.</w:t>
      </w:r>
    </w:p>
    <w:p w14:paraId="3A9E6664" w14:textId="174FF937" w:rsidR="00F154F3" w:rsidRPr="0076115A" w:rsidRDefault="00F154F3" w:rsidP="00D43532">
      <w:pPr>
        <w:pStyle w:val="SingleTxt"/>
        <w:numPr>
          <w:ilvl w:val="0"/>
          <w:numId w:val="41"/>
        </w:numPr>
        <w:spacing w:line="240" w:lineRule="exact"/>
        <w:ind w:left="1267"/>
        <w:rPr>
          <w:b/>
          <w:lang w:val="fr-FR"/>
        </w:rPr>
      </w:pPr>
      <w:r w:rsidRPr="0076115A">
        <w:rPr>
          <w:b/>
          <w:lang w:val="fr-FR"/>
        </w:rPr>
        <w:lastRenderedPageBreak/>
        <w:t xml:space="preserve">Conformément à sa recommandation générale </w:t>
      </w:r>
      <w:r w:rsidR="00186002" w:rsidRPr="0076115A">
        <w:rPr>
          <w:b/>
          <w:lang w:val="fr-FR"/>
        </w:rPr>
        <w:t>n</w:t>
      </w:r>
      <w:r w:rsidR="00186002" w:rsidRPr="0076115A">
        <w:rPr>
          <w:b/>
          <w:vertAlign w:val="superscript"/>
          <w:lang w:val="fr-FR"/>
        </w:rPr>
        <w:t>o</w:t>
      </w:r>
      <w:r w:rsidRPr="0076115A">
        <w:rPr>
          <w:b/>
          <w:lang w:val="fr-FR"/>
        </w:rPr>
        <w:t> </w:t>
      </w:r>
      <w:hyperlink r:id="rId47" w:history="1">
        <w:r w:rsidRPr="0076115A">
          <w:rPr>
            <w:rStyle w:val="Hyperlink"/>
            <w:b/>
            <w:lang w:val="fr-FR"/>
          </w:rPr>
          <w:t>29 (2013)</w:t>
        </w:r>
      </w:hyperlink>
      <w:r w:rsidRPr="0076115A">
        <w:rPr>
          <w:b/>
          <w:lang w:val="fr-FR"/>
        </w:rPr>
        <w:t xml:space="preserve"> sur les conséquences économiques du mariage et des liens familiaux et de leur dissolution, le Comité rappelle que les lois et coutumes relatives au statut personnel fondées sur l</w:t>
      </w:r>
      <w:r w:rsidR="00DA3E41" w:rsidRPr="0076115A">
        <w:rPr>
          <w:b/>
          <w:lang w:val="fr-FR"/>
        </w:rPr>
        <w:t>’</w:t>
      </w:r>
      <w:r w:rsidRPr="0076115A">
        <w:rPr>
          <w:b/>
          <w:lang w:val="fr-FR"/>
        </w:rPr>
        <w:t>identité perpétuent la discrimination à l</w:t>
      </w:r>
      <w:r w:rsidR="00DA3E41" w:rsidRPr="0076115A">
        <w:rPr>
          <w:b/>
          <w:lang w:val="fr-FR"/>
        </w:rPr>
        <w:t>’</w:t>
      </w:r>
      <w:r w:rsidRPr="0076115A">
        <w:rPr>
          <w:b/>
          <w:lang w:val="fr-FR"/>
        </w:rPr>
        <w:t>égard des femmes et que la coexistence de plusieurs systèmes juridiques est en soi discriminatoire envers ces dernières.</w:t>
      </w:r>
      <w:r w:rsidRPr="0076115A">
        <w:rPr>
          <w:lang w:val="fr-FR"/>
        </w:rPr>
        <w:t xml:space="preserve"> </w:t>
      </w:r>
      <w:r w:rsidRPr="0076115A">
        <w:rPr>
          <w:b/>
          <w:lang w:val="fr-FR"/>
        </w:rPr>
        <w:t>Le Comité recommande à l</w:t>
      </w:r>
      <w:r w:rsidR="00DA3E41" w:rsidRPr="0076115A">
        <w:rPr>
          <w:b/>
          <w:lang w:val="fr-FR"/>
        </w:rPr>
        <w:t>’</w:t>
      </w:r>
      <w:r w:rsidRPr="0076115A">
        <w:rPr>
          <w:b/>
          <w:lang w:val="fr-FR"/>
        </w:rPr>
        <w:t>État partie</w:t>
      </w:r>
      <w:r w:rsidR="00DA3E41" w:rsidRPr="0076115A">
        <w:rPr>
          <w:b/>
          <w:lang w:val="fr-FR"/>
        </w:rPr>
        <w:t> :</w:t>
      </w:r>
    </w:p>
    <w:p w14:paraId="69CAE1FE" w14:textId="62AEEF16" w:rsidR="00F154F3" w:rsidRPr="0076115A" w:rsidRDefault="00D43532" w:rsidP="00F154F3">
      <w:pPr>
        <w:pStyle w:val="SingleTxt"/>
        <w:rPr>
          <w:b/>
          <w:lang w:val="fr-FR"/>
        </w:rPr>
      </w:pPr>
      <w:r w:rsidRPr="0076115A">
        <w:rPr>
          <w:b/>
          <w:lang w:val="fr-FR"/>
        </w:rPr>
        <w:tab/>
      </w:r>
      <w:r w:rsidR="00F154F3" w:rsidRPr="0076115A">
        <w:rPr>
          <w:b/>
          <w:lang w:val="fr-FR"/>
        </w:rPr>
        <w:t>a)</w:t>
      </w:r>
      <w:r w:rsidR="00F154F3" w:rsidRPr="0076115A">
        <w:rPr>
          <w:lang w:val="fr-FR"/>
        </w:rPr>
        <w:tab/>
      </w:r>
      <w:r w:rsidR="00F154F3" w:rsidRPr="0076115A">
        <w:rPr>
          <w:b/>
          <w:lang w:val="fr-FR"/>
        </w:rPr>
        <w:t>D</w:t>
      </w:r>
      <w:r w:rsidR="00DA3E41" w:rsidRPr="0076115A">
        <w:rPr>
          <w:b/>
          <w:lang w:val="fr-FR"/>
        </w:rPr>
        <w:t>’</w:t>
      </w:r>
      <w:r w:rsidR="00F154F3" w:rsidRPr="0076115A">
        <w:rPr>
          <w:b/>
          <w:lang w:val="fr-FR"/>
        </w:rPr>
        <w:t>abroger les exceptions légales discriminatoires à l</w:t>
      </w:r>
      <w:r w:rsidR="00DA3E41" w:rsidRPr="0076115A">
        <w:rPr>
          <w:b/>
          <w:lang w:val="fr-FR"/>
        </w:rPr>
        <w:t>’</w:t>
      </w:r>
      <w:r w:rsidR="00F154F3" w:rsidRPr="0076115A">
        <w:rPr>
          <w:b/>
          <w:lang w:val="fr-FR"/>
        </w:rPr>
        <w:t xml:space="preserve">âge minimum du mariage pour les filles figurant dans la loi sur le statut personnel </w:t>
      </w:r>
      <w:r w:rsidR="00186002" w:rsidRPr="0076115A">
        <w:rPr>
          <w:b/>
          <w:lang w:val="fr-FR"/>
        </w:rPr>
        <w:t>n</w:t>
      </w:r>
      <w:r w:rsidR="00186002" w:rsidRPr="0076115A">
        <w:rPr>
          <w:b/>
          <w:vertAlign w:val="superscript"/>
          <w:lang w:val="fr-FR"/>
        </w:rPr>
        <w:t>o</w:t>
      </w:r>
      <w:r w:rsidR="00F154F3" w:rsidRPr="0076115A">
        <w:rPr>
          <w:b/>
          <w:lang w:val="fr-FR"/>
        </w:rPr>
        <w:t> 188 de 1959 et de veiller à ce que les exceptions légales à l</w:t>
      </w:r>
      <w:r w:rsidR="00DA3E41" w:rsidRPr="0076115A">
        <w:rPr>
          <w:b/>
          <w:lang w:val="fr-FR"/>
        </w:rPr>
        <w:t>’</w:t>
      </w:r>
      <w:r w:rsidR="00F154F3" w:rsidRPr="0076115A">
        <w:rPr>
          <w:b/>
          <w:lang w:val="fr-FR"/>
        </w:rPr>
        <w:t>âge minimum, fixé à 18 ans pour les femmes et les hommes, soient accordées uniquement aux filles et garçons d</w:t>
      </w:r>
      <w:r w:rsidR="00DA3E41" w:rsidRPr="0076115A">
        <w:rPr>
          <w:b/>
          <w:lang w:val="fr-FR"/>
        </w:rPr>
        <w:t>’</w:t>
      </w:r>
      <w:r w:rsidR="00F154F3" w:rsidRPr="0076115A">
        <w:rPr>
          <w:b/>
          <w:lang w:val="fr-FR"/>
        </w:rPr>
        <w:t>au moins 16 ans dans des cas exceptionnels, sous réserve de leur consentement express et avec l</w:t>
      </w:r>
      <w:r w:rsidR="00DA3E41" w:rsidRPr="0076115A">
        <w:rPr>
          <w:b/>
          <w:lang w:val="fr-FR"/>
        </w:rPr>
        <w:t>’</w:t>
      </w:r>
      <w:r w:rsidR="00F154F3" w:rsidRPr="0076115A">
        <w:rPr>
          <w:b/>
          <w:lang w:val="fr-FR"/>
        </w:rPr>
        <w:t>autorisation d</w:t>
      </w:r>
      <w:r w:rsidR="00DA3E41" w:rsidRPr="0076115A">
        <w:rPr>
          <w:b/>
          <w:lang w:val="fr-FR"/>
        </w:rPr>
        <w:t>’</w:t>
      </w:r>
      <w:r w:rsidR="00F154F3" w:rsidRPr="0076115A">
        <w:rPr>
          <w:b/>
          <w:lang w:val="fr-FR"/>
        </w:rPr>
        <w:t>un tribunal compétent</w:t>
      </w:r>
      <w:r w:rsidR="00F5100A" w:rsidRPr="0076115A">
        <w:rPr>
          <w:b/>
          <w:lang w:val="fr-FR"/>
        </w:rPr>
        <w:t> ;</w:t>
      </w:r>
    </w:p>
    <w:p w14:paraId="274CBB0C" w14:textId="7F4B8525" w:rsidR="00F154F3" w:rsidRPr="0076115A" w:rsidRDefault="00D43532" w:rsidP="00F154F3">
      <w:pPr>
        <w:pStyle w:val="SingleTxt"/>
        <w:rPr>
          <w:b/>
          <w:lang w:val="fr-FR"/>
        </w:rPr>
      </w:pPr>
      <w:r w:rsidRPr="0076115A">
        <w:rPr>
          <w:b/>
          <w:lang w:val="fr-FR"/>
        </w:rPr>
        <w:tab/>
      </w:r>
      <w:r w:rsidR="00F154F3" w:rsidRPr="0076115A">
        <w:rPr>
          <w:b/>
          <w:lang w:val="fr-FR"/>
        </w:rPr>
        <w:t>b)</w:t>
      </w:r>
      <w:r w:rsidR="00F154F3" w:rsidRPr="0076115A">
        <w:rPr>
          <w:lang w:val="fr-FR"/>
        </w:rPr>
        <w:tab/>
      </w:r>
      <w:r w:rsidR="00F154F3" w:rsidRPr="0076115A">
        <w:rPr>
          <w:b/>
          <w:lang w:val="fr-FR"/>
        </w:rPr>
        <w:t>De prendre les mesures législatives requises pour interdire la polygamie</w:t>
      </w:r>
      <w:r w:rsidR="00F5100A" w:rsidRPr="0076115A">
        <w:rPr>
          <w:b/>
          <w:lang w:val="fr-FR"/>
        </w:rPr>
        <w:t> ;</w:t>
      </w:r>
    </w:p>
    <w:p w14:paraId="45B072CE" w14:textId="224E915D" w:rsidR="00F154F3" w:rsidRPr="0076115A" w:rsidRDefault="00D43532" w:rsidP="00F154F3">
      <w:pPr>
        <w:pStyle w:val="SingleTxt"/>
        <w:rPr>
          <w:b/>
          <w:lang w:val="fr-FR"/>
        </w:rPr>
      </w:pPr>
      <w:r w:rsidRPr="0076115A">
        <w:rPr>
          <w:b/>
          <w:lang w:val="fr-FR"/>
        </w:rPr>
        <w:tab/>
      </w:r>
      <w:r w:rsidR="00F154F3" w:rsidRPr="0076115A">
        <w:rPr>
          <w:b/>
          <w:lang w:val="fr-FR"/>
        </w:rPr>
        <w:t>c)</w:t>
      </w:r>
      <w:r w:rsidR="00F154F3" w:rsidRPr="0076115A">
        <w:rPr>
          <w:lang w:val="fr-FR"/>
        </w:rPr>
        <w:tab/>
      </w:r>
      <w:r w:rsidR="00F154F3" w:rsidRPr="0076115A">
        <w:rPr>
          <w:b/>
          <w:lang w:val="fr-FR"/>
        </w:rPr>
        <w:t>De veiller à l</w:t>
      </w:r>
      <w:r w:rsidR="00DA3E41" w:rsidRPr="0076115A">
        <w:rPr>
          <w:b/>
          <w:lang w:val="fr-FR"/>
        </w:rPr>
        <w:t>’</w:t>
      </w:r>
      <w:r w:rsidR="00F154F3" w:rsidRPr="0076115A">
        <w:rPr>
          <w:b/>
          <w:lang w:val="fr-FR"/>
        </w:rPr>
        <w:t>enregistrement de tous les mariages, conformément à la loi sur le statut personnel.</w:t>
      </w:r>
    </w:p>
    <w:p w14:paraId="37B219F0" w14:textId="77777777" w:rsidR="00D43532" w:rsidRPr="0076115A" w:rsidRDefault="00D43532" w:rsidP="00D43532">
      <w:pPr>
        <w:pStyle w:val="SingleTxt"/>
        <w:spacing w:after="0" w:line="120" w:lineRule="exact"/>
        <w:rPr>
          <w:b/>
          <w:sz w:val="10"/>
          <w:lang w:val="fr-FR"/>
        </w:rPr>
      </w:pPr>
    </w:p>
    <w:p w14:paraId="1D313290" w14:textId="579CDC09"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Femmes handicapées</w:t>
      </w:r>
    </w:p>
    <w:p w14:paraId="1A901B68" w14:textId="77777777" w:rsidR="00D43532" w:rsidRPr="0076115A" w:rsidRDefault="00D43532" w:rsidP="00D43532">
      <w:pPr>
        <w:pStyle w:val="SingleTxt"/>
        <w:spacing w:after="0" w:line="120" w:lineRule="exact"/>
        <w:rPr>
          <w:sz w:val="10"/>
          <w:lang w:val="fr-FR"/>
        </w:rPr>
      </w:pPr>
    </w:p>
    <w:p w14:paraId="2589CE08" w14:textId="5B690F14" w:rsidR="00F154F3" w:rsidRPr="0076115A" w:rsidRDefault="00F154F3" w:rsidP="00D43532">
      <w:pPr>
        <w:pStyle w:val="SingleTxt"/>
        <w:numPr>
          <w:ilvl w:val="0"/>
          <w:numId w:val="41"/>
        </w:numPr>
        <w:spacing w:line="240" w:lineRule="exact"/>
        <w:ind w:left="1267"/>
        <w:rPr>
          <w:lang w:val="fr-FR"/>
        </w:rPr>
      </w:pPr>
      <w:r w:rsidRPr="0076115A">
        <w:rPr>
          <w:lang w:val="fr-FR"/>
        </w:rPr>
        <w:t>Le Comité est préoccupé par</w:t>
      </w:r>
      <w:r w:rsidR="00DA3E41" w:rsidRPr="0076115A">
        <w:rPr>
          <w:lang w:val="fr-FR"/>
        </w:rPr>
        <w:t> :</w:t>
      </w:r>
    </w:p>
    <w:p w14:paraId="6C579670" w14:textId="20A4503E" w:rsidR="00F154F3" w:rsidRPr="0076115A" w:rsidRDefault="00D43532" w:rsidP="00F154F3">
      <w:pPr>
        <w:pStyle w:val="SingleTxt"/>
        <w:rPr>
          <w:lang w:val="fr-FR"/>
        </w:rPr>
      </w:pPr>
      <w:r w:rsidRPr="0076115A">
        <w:rPr>
          <w:lang w:val="fr-FR"/>
        </w:rPr>
        <w:tab/>
      </w:r>
      <w:r w:rsidR="00F154F3" w:rsidRPr="0076115A">
        <w:rPr>
          <w:lang w:val="fr-FR"/>
        </w:rPr>
        <w:t>a)</w:t>
      </w:r>
      <w:r w:rsidR="00F154F3" w:rsidRPr="0076115A">
        <w:rPr>
          <w:lang w:val="fr-FR"/>
        </w:rPr>
        <w:tab/>
        <w:t>L</w:t>
      </w:r>
      <w:r w:rsidR="00DA3E41" w:rsidRPr="0076115A">
        <w:rPr>
          <w:lang w:val="fr-FR"/>
        </w:rPr>
        <w:t>’</w:t>
      </w:r>
      <w:r w:rsidR="00F154F3" w:rsidRPr="0076115A">
        <w:rPr>
          <w:lang w:val="fr-FR"/>
        </w:rPr>
        <w:t>absence de prise en compte des questions liées au genre dans les politiques relatives aux personnes handicapées et l</w:t>
      </w:r>
      <w:r w:rsidR="00DA3E41" w:rsidRPr="0076115A">
        <w:rPr>
          <w:lang w:val="fr-FR"/>
        </w:rPr>
        <w:t>’</w:t>
      </w:r>
      <w:r w:rsidR="00F154F3" w:rsidRPr="0076115A">
        <w:rPr>
          <w:lang w:val="fr-FR"/>
        </w:rPr>
        <w:t>absence de prise en compte des questions liées aux droits des personnes handicapées dans la législation et les politiques relatives au genre</w:t>
      </w:r>
      <w:r w:rsidR="00F5100A" w:rsidRPr="0076115A">
        <w:rPr>
          <w:lang w:val="fr-FR"/>
        </w:rPr>
        <w:t> ;</w:t>
      </w:r>
    </w:p>
    <w:p w14:paraId="37037BF7" w14:textId="5ACA4E61" w:rsidR="00F154F3" w:rsidRPr="0076115A" w:rsidRDefault="00D43532" w:rsidP="00F154F3">
      <w:pPr>
        <w:pStyle w:val="SingleTxt"/>
        <w:rPr>
          <w:lang w:val="fr-FR"/>
        </w:rPr>
      </w:pPr>
      <w:r w:rsidRPr="0076115A">
        <w:rPr>
          <w:lang w:val="fr-FR"/>
        </w:rPr>
        <w:tab/>
      </w:r>
      <w:r w:rsidR="00F154F3" w:rsidRPr="0076115A">
        <w:rPr>
          <w:lang w:val="fr-FR"/>
        </w:rPr>
        <w:t>b)</w:t>
      </w:r>
      <w:r w:rsidR="00F154F3" w:rsidRPr="0076115A">
        <w:rPr>
          <w:lang w:val="fr-FR"/>
        </w:rPr>
        <w:tab/>
        <w:t>La mise en œuvre insuffisante des mesures de lutte contre les formes de discrimination multiples et croisées, notamment à l</w:t>
      </w:r>
      <w:r w:rsidR="00DA3E41" w:rsidRPr="0076115A">
        <w:rPr>
          <w:lang w:val="fr-FR"/>
        </w:rPr>
        <w:t>’</w:t>
      </w:r>
      <w:r w:rsidR="00F154F3" w:rsidRPr="0076115A">
        <w:rPr>
          <w:lang w:val="fr-FR"/>
        </w:rPr>
        <w:t>égard des femmes handicapées vivant en milieu rural, des femmes handicapées déplacées, réfugiées ou migrantes et des femmes handicapées appartenant à des minorités ethniques, religieuses ou linguistiques, y compris dans la Région du Kurdistan</w:t>
      </w:r>
      <w:r w:rsidR="00F5100A" w:rsidRPr="0076115A">
        <w:rPr>
          <w:lang w:val="fr-FR"/>
        </w:rPr>
        <w:t> ;</w:t>
      </w:r>
    </w:p>
    <w:p w14:paraId="01FD4F91" w14:textId="647F169E" w:rsidR="00F154F3" w:rsidRPr="0076115A" w:rsidRDefault="00D43532" w:rsidP="00F154F3">
      <w:pPr>
        <w:pStyle w:val="SingleTxt"/>
        <w:rPr>
          <w:lang w:val="fr-FR"/>
        </w:rPr>
      </w:pPr>
      <w:r w:rsidRPr="0076115A">
        <w:rPr>
          <w:lang w:val="fr-FR"/>
        </w:rPr>
        <w:tab/>
      </w:r>
      <w:r w:rsidR="00F154F3" w:rsidRPr="0076115A">
        <w:rPr>
          <w:lang w:val="fr-FR"/>
        </w:rPr>
        <w:t>c)</w:t>
      </w:r>
      <w:r w:rsidR="00F154F3" w:rsidRPr="0076115A">
        <w:rPr>
          <w:lang w:val="fr-FR"/>
        </w:rPr>
        <w:tab/>
        <w:t>Le manque de renseignements sur les politiques et les stratégies visant à garantir l</w:t>
      </w:r>
      <w:r w:rsidR="00DA3E41" w:rsidRPr="0076115A">
        <w:rPr>
          <w:lang w:val="fr-FR"/>
        </w:rPr>
        <w:t>’</w:t>
      </w:r>
      <w:r w:rsidR="00F154F3" w:rsidRPr="0076115A">
        <w:rPr>
          <w:lang w:val="fr-FR"/>
        </w:rPr>
        <w:t>épanouissement, la promotion et l</w:t>
      </w:r>
      <w:r w:rsidR="00DA3E41" w:rsidRPr="0076115A">
        <w:rPr>
          <w:lang w:val="fr-FR"/>
        </w:rPr>
        <w:t>’</w:t>
      </w:r>
      <w:r w:rsidR="00F154F3" w:rsidRPr="0076115A">
        <w:rPr>
          <w:lang w:val="fr-FR"/>
        </w:rPr>
        <w:t>autonomisation des femmes et des filles handicapées dans les domaines politique, social et économique.</w:t>
      </w:r>
    </w:p>
    <w:p w14:paraId="16836DD4" w14:textId="72187E48" w:rsidR="00F154F3" w:rsidRPr="0076115A" w:rsidRDefault="00F154F3" w:rsidP="00D43532">
      <w:pPr>
        <w:pStyle w:val="SingleTxt"/>
        <w:numPr>
          <w:ilvl w:val="0"/>
          <w:numId w:val="41"/>
        </w:numPr>
        <w:spacing w:line="240" w:lineRule="exact"/>
        <w:ind w:left="1267"/>
        <w:rPr>
          <w:lang w:val="fr-FR"/>
        </w:rPr>
      </w:pPr>
      <w:r w:rsidRPr="0076115A">
        <w:rPr>
          <w:b/>
          <w:bCs/>
          <w:lang w:val="fr-FR"/>
        </w:rPr>
        <w:t xml:space="preserve">Conformément à sa recommandation générale </w:t>
      </w:r>
      <w:r w:rsidR="00186002" w:rsidRPr="0076115A">
        <w:rPr>
          <w:b/>
          <w:bCs/>
          <w:lang w:val="fr-FR"/>
        </w:rPr>
        <w:t>n</w:t>
      </w:r>
      <w:r w:rsidR="00186002" w:rsidRPr="0076115A">
        <w:rPr>
          <w:b/>
          <w:bCs/>
          <w:vertAlign w:val="superscript"/>
          <w:lang w:val="fr-FR"/>
        </w:rPr>
        <w:t>o</w:t>
      </w:r>
      <w:r w:rsidR="00186002" w:rsidRPr="0076115A">
        <w:rPr>
          <w:b/>
          <w:bCs/>
          <w:lang w:val="fr-FR"/>
        </w:rPr>
        <w:t> </w:t>
      </w:r>
      <w:hyperlink r:id="rId48" w:history="1">
        <w:r w:rsidRPr="0076115A">
          <w:rPr>
            <w:rStyle w:val="Hyperlink"/>
            <w:b/>
            <w:bCs/>
            <w:lang w:val="fr-FR"/>
          </w:rPr>
          <w:t>18 (1991)</w:t>
        </w:r>
      </w:hyperlink>
      <w:r w:rsidRPr="0076115A">
        <w:rPr>
          <w:b/>
          <w:bCs/>
          <w:lang w:val="fr-FR"/>
        </w:rPr>
        <w:t xml:space="preserve"> sur les femmes handicapées, le Comité recommande à l</w:t>
      </w:r>
      <w:r w:rsidR="00DA3E41" w:rsidRPr="0076115A">
        <w:rPr>
          <w:b/>
          <w:bCs/>
          <w:lang w:val="fr-FR"/>
        </w:rPr>
        <w:t>’</w:t>
      </w:r>
      <w:r w:rsidRPr="0076115A">
        <w:rPr>
          <w:b/>
          <w:bCs/>
          <w:lang w:val="fr-FR"/>
        </w:rPr>
        <w:t>État partie</w:t>
      </w:r>
      <w:r w:rsidR="00DA3E41" w:rsidRPr="0076115A">
        <w:rPr>
          <w:b/>
          <w:bCs/>
          <w:lang w:val="fr-FR"/>
        </w:rPr>
        <w:t> :</w:t>
      </w:r>
    </w:p>
    <w:p w14:paraId="1DFFC695" w14:textId="5D6F4B6D" w:rsidR="00F154F3" w:rsidRPr="0076115A" w:rsidRDefault="00D43532" w:rsidP="00F154F3">
      <w:pPr>
        <w:pStyle w:val="SingleTxt"/>
        <w:rPr>
          <w:b/>
          <w:bCs/>
          <w:lang w:val="fr-FR"/>
        </w:rPr>
      </w:pPr>
      <w:r w:rsidRPr="0076115A">
        <w:rPr>
          <w:b/>
          <w:bCs/>
          <w:lang w:val="fr-FR"/>
        </w:rPr>
        <w:tab/>
      </w:r>
      <w:r w:rsidR="00F154F3" w:rsidRPr="0076115A">
        <w:rPr>
          <w:b/>
          <w:bCs/>
          <w:lang w:val="fr-FR"/>
        </w:rPr>
        <w:t>a)</w:t>
      </w:r>
      <w:r w:rsidR="00F154F3" w:rsidRPr="0076115A">
        <w:rPr>
          <w:b/>
          <w:bCs/>
          <w:lang w:val="fr-FR"/>
        </w:rPr>
        <w:tab/>
        <w:t>De prendre des mesures efficaces pour intégrer les questions liées aux droits des personnes handicapées à la législation et aux politiques relatives au genre et pour intégrer les questions de genre aux politiques relatives aux personnes handicapées</w:t>
      </w:r>
      <w:r w:rsidR="00F5100A" w:rsidRPr="0076115A">
        <w:rPr>
          <w:b/>
          <w:bCs/>
          <w:lang w:val="fr-FR"/>
        </w:rPr>
        <w:t> ;</w:t>
      </w:r>
    </w:p>
    <w:p w14:paraId="1D269C5F" w14:textId="4541B28F" w:rsidR="00F154F3" w:rsidRPr="0076115A" w:rsidRDefault="00D43532" w:rsidP="00F154F3">
      <w:pPr>
        <w:pStyle w:val="SingleTxt"/>
        <w:rPr>
          <w:b/>
          <w:bCs/>
          <w:lang w:val="fr-FR"/>
        </w:rPr>
      </w:pPr>
      <w:r w:rsidRPr="0076115A">
        <w:rPr>
          <w:b/>
          <w:bCs/>
          <w:lang w:val="fr-FR"/>
        </w:rPr>
        <w:tab/>
      </w:r>
      <w:r w:rsidR="00F154F3" w:rsidRPr="0076115A">
        <w:rPr>
          <w:b/>
          <w:bCs/>
          <w:lang w:val="fr-FR"/>
        </w:rPr>
        <w:t>b)</w:t>
      </w:r>
      <w:r w:rsidR="00F154F3" w:rsidRPr="0076115A">
        <w:rPr>
          <w:b/>
          <w:bCs/>
          <w:lang w:val="fr-FR"/>
        </w:rPr>
        <w:tab/>
        <w:t>D</w:t>
      </w:r>
      <w:r w:rsidR="00DA3E41" w:rsidRPr="0076115A">
        <w:rPr>
          <w:b/>
          <w:bCs/>
          <w:lang w:val="fr-FR"/>
        </w:rPr>
        <w:t>’</w:t>
      </w:r>
      <w:r w:rsidR="00F154F3" w:rsidRPr="0076115A">
        <w:rPr>
          <w:b/>
          <w:bCs/>
          <w:lang w:val="fr-FR"/>
        </w:rPr>
        <w:t>intensifier son action et de prendre des mesures efficaces pour lutter contre les formes de discrimination multiples et croisées à l</w:t>
      </w:r>
      <w:r w:rsidR="00DA3E41" w:rsidRPr="0076115A">
        <w:rPr>
          <w:b/>
          <w:bCs/>
          <w:lang w:val="fr-FR"/>
        </w:rPr>
        <w:t>’</w:t>
      </w:r>
      <w:r w:rsidR="00F154F3" w:rsidRPr="0076115A">
        <w:rPr>
          <w:b/>
          <w:bCs/>
          <w:lang w:val="fr-FR"/>
        </w:rPr>
        <w:t>égard des femmes et des filles handicapées</w:t>
      </w:r>
      <w:r w:rsidR="00F5100A" w:rsidRPr="0076115A">
        <w:rPr>
          <w:b/>
          <w:bCs/>
          <w:lang w:val="fr-FR"/>
        </w:rPr>
        <w:t> ;</w:t>
      </w:r>
    </w:p>
    <w:p w14:paraId="49CDAB9D" w14:textId="3404B291" w:rsidR="00F154F3" w:rsidRPr="0076115A" w:rsidRDefault="00D43532" w:rsidP="00F154F3">
      <w:pPr>
        <w:pStyle w:val="SingleTxt"/>
        <w:rPr>
          <w:lang w:val="fr-FR"/>
        </w:rPr>
      </w:pPr>
      <w:r w:rsidRPr="0076115A">
        <w:rPr>
          <w:b/>
          <w:bCs/>
          <w:lang w:val="fr-FR"/>
        </w:rPr>
        <w:tab/>
      </w:r>
      <w:r w:rsidR="00F154F3" w:rsidRPr="0076115A">
        <w:rPr>
          <w:b/>
          <w:bCs/>
          <w:lang w:val="fr-FR"/>
        </w:rPr>
        <w:t>c)</w:t>
      </w:r>
      <w:r w:rsidR="00F154F3" w:rsidRPr="0076115A">
        <w:rPr>
          <w:b/>
          <w:bCs/>
          <w:lang w:val="fr-FR"/>
        </w:rPr>
        <w:tab/>
      </w:r>
      <w:r w:rsidR="000211D4" w:rsidRPr="0076115A">
        <w:rPr>
          <w:b/>
          <w:bCs/>
          <w:lang w:val="fr-FR"/>
        </w:rPr>
        <w:t>D’é</w:t>
      </w:r>
      <w:r w:rsidR="00F154F3" w:rsidRPr="0076115A">
        <w:rPr>
          <w:b/>
          <w:bCs/>
          <w:lang w:val="fr-FR"/>
        </w:rPr>
        <w:t xml:space="preserve">laborer et </w:t>
      </w:r>
      <w:r w:rsidR="000211D4" w:rsidRPr="0076115A">
        <w:rPr>
          <w:b/>
          <w:bCs/>
          <w:lang w:val="fr-FR"/>
        </w:rPr>
        <w:t>d’</w:t>
      </w:r>
      <w:r w:rsidR="00F154F3" w:rsidRPr="0076115A">
        <w:rPr>
          <w:b/>
          <w:bCs/>
          <w:lang w:val="fr-FR"/>
        </w:rPr>
        <w:t>adopter des mesures d</w:t>
      </w:r>
      <w:r w:rsidR="00DA3E41" w:rsidRPr="0076115A">
        <w:rPr>
          <w:b/>
          <w:bCs/>
          <w:lang w:val="fr-FR"/>
        </w:rPr>
        <w:t>’</w:t>
      </w:r>
      <w:r w:rsidR="00F154F3" w:rsidRPr="0076115A">
        <w:rPr>
          <w:b/>
          <w:bCs/>
          <w:lang w:val="fr-FR"/>
        </w:rPr>
        <w:t>action positive visant à réaliser l</w:t>
      </w:r>
      <w:r w:rsidR="00DA3E41" w:rsidRPr="0076115A">
        <w:rPr>
          <w:b/>
          <w:bCs/>
          <w:lang w:val="fr-FR"/>
        </w:rPr>
        <w:t>’</w:t>
      </w:r>
      <w:r w:rsidR="00F154F3" w:rsidRPr="0076115A">
        <w:rPr>
          <w:b/>
          <w:bCs/>
          <w:lang w:val="fr-FR"/>
        </w:rPr>
        <w:t>autonomisation et l</w:t>
      </w:r>
      <w:r w:rsidR="00DA3E41" w:rsidRPr="0076115A">
        <w:rPr>
          <w:b/>
          <w:bCs/>
          <w:lang w:val="fr-FR"/>
        </w:rPr>
        <w:t>’</w:t>
      </w:r>
      <w:r w:rsidR="00F154F3" w:rsidRPr="0076115A">
        <w:rPr>
          <w:b/>
          <w:bCs/>
          <w:lang w:val="fr-FR"/>
        </w:rPr>
        <w:t>inclusion totale des femmes et des filles handicapées dans tous les domaines de la vie, notamment en appuyant l</w:t>
      </w:r>
      <w:r w:rsidR="00DA3E41" w:rsidRPr="0076115A">
        <w:rPr>
          <w:b/>
          <w:bCs/>
          <w:lang w:val="fr-FR"/>
        </w:rPr>
        <w:t>’</w:t>
      </w:r>
      <w:r w:rsidR="00F154F3" w:rsidRPr="0076115A">
        <w:rPr>
          <w:b/>
          <w:bCs/>
          <w:lang w:val="fr-FR"/>
        </w:rPr>
        <w:t xml:space="preserve">action de la Commission </w:t>
      </w:r>
      <w:r w:rsidR="005737A3" w:rsidRPr="0076115A">
        <w:rPr>
          <w:b/>
          <w:bCs/>
          <w:lang w:val="fr-FR"/>
        </w:rPr>
        <w:t>pour l</w:t>
      </w:r>
      <w:r w:rsidR="00F154F3" w:rsidRPr="0076115A">
        <w:rPr>
          <w:b/>
          <w:bCs/>
          <w:lang w:val="fr-FR"/>
        </w:rPr>
        <w:t>es personnes handicapées et ayant des besoins particuliers qui vise à renforcer les capacités des femmes et des filles handicapées.</w:t>
      </w:r>
    </w:p>
    <w:p w14:paraId="5665EAB2" w14:textId="77777777" w:rsidR="00D43532" w:rsidRPr="0076115A" w:rsidRDefault="00D43532" w:rsidP="00D43532">
      <w:pPr>
        <w:pStyle w:val="SingleTxt"/>
        <w:spacing w:after="0" w:line="120" w:lineRule="exact"/>
        <w:rPr>
          <w:b/>
          <w:sz w:val="10"/>
          <w:lang w:val="fr-FR"/>
        </w:rPr>
      </w:pPr>
    </w:p>
    <w:p w14:paraId="3DF1F3F1" w14:textId="25840FFC" w:rsidR="00F154F3" w:rsidRPr="0076115A" w:rsidRDefault="00F154F3" w:rsidP="002031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lastRenderedPageBreak/>
        <w:tab/>
      </w:r>
      <w:r w:rsidRPr="0076115A">
        <w:rPr>
          <w:lang w:val="fr-FR"/>
        </w:rPr>
        <w:tab/>
        <w:t>Femmes réfugiées, rapatriées et déplacées</w:t>
      </w:r>
    </w:p>
    <w:p w14:paraId="0293729B" w14:textId="77777777" w:rsidR="00D43532" w:rsidRPr="0076115A" w:rsidRDefault="00D43532" w:rsidP="00203101">
      <w:pPr>
        <w:pStyle w:val="SingleTxt"/>
        <w:keepNext/>
        <w:spacing w:after="0" w:line="120" w:lineRule="exact"/>
        <w:rPr>
          <w:sz w:val="10"/>
          <w:lang w:val="fr-FR"/>
        </w:rPr>
      </w:pPr>
    </w:p>
    <w:p w14:paraId="353EC060" w14:textId="7F7B930C" w:rsidR="00F154F3" w:rsidRPr="0076115A" w:rsidRDefault="00F154F3" w:rsidP="00203101">
      <w:pPr>
        <w:pStyle w:val="SingleTxt"/>
        <w:keepNext/>
        <w:numPr>
          <w:ilvl w:val="0"/>
          <w:numId w:val="41"/>
        </w:numPr>
        <w:spacing w:line="240" w:lineRule="exact"/>
        <w:ind w:left="1267"/>
        <w:rPr>
          <w:lang w:val="fr-FR"/>
        </w:rPr>
      </w:pPr>
      <w:r w:rsidRPr="0076115A">
        <w:rPr>
          <w:lang w:val="fr-FR"/>
        </w:rPr>
        <w:t>Le Comité prend note de l</w:t>
      </w:r>
      <w:r w:rsidR="00DA3E41" w:rsidRPr="0076115A">
        <w:rPr>
          <w:lang w:val="fr-FR"/>
        </w:rPr>
        <w:t>’</w:t>
      </w:r>
      <w:r w:rsidRPr="0076115A">
        <w:rPr>
          <w:lang w:val="fr-FR"/>
        </w:rPr>
        <w:t>action menée par l</w:t>
      </w:r>
      <w:r w:rsidR="00DA3E41" w:rsidRPr="0076115A">
        <w:rPr>
          <w:lang w:val="fr-FR"/>
        </w:rPr>
        <w:t>’</w:t>
      </w:r>
      <w:r w:rsidRPr="0076115A">
        <w:rPr>
          <w:lang w:val="fr-FR"/>
        </w:rPr>
        <w:t>État partie pour répondre aux besoins de millions de femmes déplacées, de réfugiées et d</w:t>
      </w:r>
      <w:r w:rsidR="00DA3E41" w:rsidRPr="0076115A">
        <w:rPr>
          <w:lang w:val="fr-FR"/>
        </w:rPr>
        <w:t>’</w:t>
      </w:r>
      <w:r w:rsidRPr="0076115A">
        <w:rPr>
          <w:lang w:val="fr-FR"/>
        </w:rPr>
        <w:t>autres Iraquiennes vulnérables vivant dans des zones touchées par les opérations militaires menées contre l</w:t>
      </w:r>
      <w:r w:rsidR="00DA3E41" w:rsidRPr="0076115A">
        <w:rPr>
          <w:lang w:val="fr-FR"/>
        </w:rPr>
        <w:t>’</w:t>
      </w:r>
      <w:r w:rsidRPr="0076115A">
        <w:rPr>
          <w:lang w:val="fr-FR"/>
        </w:rPr>
        <w:t>EIIL. Il constate toutefois avec préoccupation que les contraintes de sécurité et de budget ont nui à la capacité de l</w:t>
      </w:r>
      <w:r w:rsidR="00DA3E41" w:rsidRPr="0076115A">
        <w:rPr>
          <w:lang w:val="fr-FR"/>
        </w:rPr>
        <w:t>’</w:t>
      </w:r>
      <w:r w:rsidRPr="0076115A">
        <w:rPr>
          <w:lang w:val="fr-FR"/>
        </w:rPr>
        <w:t>État partie de fournir les services publics de base dans les camps de personnes déplacées. Il note que, bien que leur nombre ait diminué de 7,5</w:t>
      </w:r>
      <w:r w:rsidR="00DA3E41" w:rsidRPr="0076115A">
        <w:rPr>
          <w:lang w:val="fr-FR"/>
        </w:rPr>
        <w:t> %</w:t>
      </w:r>
      <w:r w:rsidRPr="0076115A">
        <w:rPr>
          <w:lang w:val="fr-FR"/>
        </w:rPr>
        <w:t>, les personnes déplacées sont encore près de 1,8 million dans l</w:t>
      </w:r>
      <w:r w:rsidR="00DA3E41" w:rsidRPr="0076115A">
        <w:rPr>
          <w:lang w:val="fr-FR"/>
        </w:rPr>
        <w:t>’</w:t>
      </w:r>
      <w:r w:rsidRPr="0076115A">
        <w:rPr>
          <w:lang w:val="fr-FR"/>
        </w:rPr>
        <w:t>État partie, dont 450 000 dans 109 camps et 1,2 million dans des logements privés ou informels. Il constate également que plus de la moitié d</w:t>
      </w:r>
      <w:r w:rsidR="00DA3E41" w:rsidRPr="0076115A">
        <w:rPr>
          <w:lang w:val="fr-FR"/>
        </w:rPr>
        <w:t>’</w:t>
      </w:r>
      <w:r w:rsidRPr="0076115A">
        <w:rPr>
          <w:lang w:val="fr-FR"/>
        </w:rPr>
        <w:t>entre elles sont déplacées depuis plus de trois ans. Le Comité est particulièrement préoccupé par</w:t>
      </w:r>
      <w:r w:rsidR="00DA3E41" w:rsidRPr="0076115A">
        <w:rPr>
          <w:lang w:val="fr-FR"/>
        </w:rPr>
        <w:t> :</w:t>
      </w:r>
    </w:p>
    <w:p w14:paraId="4366EBDB" w14:textId="3B169057" w:rsidR="00F154F3" w:rsidRPr="0076115A" w:rsidRDefault="00F154F3" w:rsidP="00F154F3">
      <w:pPr>
        <w:pStyle w:val="SingleTxt"/>
        <w:rPr>
          <w:lang w:val="fr-FR"/>
        </w:rPr>
      </w:pPr>
      <w:r w:rsidRPr="0076115A">
        <w:rPr>
          <w:lang w:val="fr-FR"/>
        </w:rPr>
        <w:tab/>
        <w:t>a)</w:t>
      </w:r>
      <w:r w:rsidRPr="0076115A">
        <w:rPr>
          <w:lang w:val="fr-FR"/>
        </w:rPr>
        <w:tab/>
        <w:t>La violation du droit à un retour en toute sécurité pour de très nombreuses femmes et filles déplacées, y compris celles qui appartiendraient à l</w:t>
      </w:r>
      <w:r w:rsidR="00DA3E41" w:rsidRPr="0076115A">
        <w:rPr>
          <w:lang w:val="fr-FR"/>
        </w:rPr>
        <w:t>’</w:t>
      </w:r>
      <w:r w:rsidRPr="0076115A">
        <w:rPr>
          <w:lang w:val="fr-FR"/>
        </w:rPr>
        <w:t>EIIL</w:t>
      </w:r>
      <w:r w:rsidR="00F5100A" w:rsidRPr="0076115A">
        <w:rPr>
          <w:lang w:val="fr-FR"/>
        </w:rPr>
        <w:t> ;</w:t>
      </w:r>
    </w:p>
    <w:p w14:paraId="5E730740" w14:textId="495B0148" w:rsidR="00F154F3" w:rsidRPr="0076115A" w:rsidRDefault="00F154F3" w:rsidP="00F154F3">
      <w:pPr>
        <w:pStyle w:val="SingleTxt"/>
        <w:rPr>
          <w:lang w:val="fr-FR"/>
        </w:rPr>
      </w:pPr>
      <w:r w:rsidRPr="0076115A">
        <w:rPr>
          <w:lang w:val="fr-FR"/>
        </w:rPr>
        <w:tab/>
        <w:t>b)</w:t>
      </w:r>
      <w:r w:rsidRPr="0076115A">
        <w:rPr>
          <w:lang w:val="fr-FR"/>
        </w:rPr>
        <w:tab/>
        <w:t>Les taux élevés de violence familiale, d</w:t>
      </w:r>
      <w:r w:rsidR="00DA3E41" w:rsidRPr="0076115A">
        <w:rPr>
          <w:lang w:val="fr-FR"/>
        </w:rPr>
        <w:t>’</w:t>
      </w:r>
      <w:r w:rsidRPr="0076115A">
        <w:rPr>
          <w:lang w:val="fr-FR"/>
        </w:rPr>
        <w:t>exploitation sexuelle, de harcèlement et de pratiques préjudiciables, notamment les mariages d</w:t>
      </w:r>
      <w:r w:rsidR="00DA3E41" w:rsidRPr="0076115A">
        <w:rPr>
          <w:lang w:val="fr-FR"/>
        </w:rPr>
        <w:t>’</w:t>
      </w:r>
      <w:r w:rsidRPr="0076115A">
        <w:rPr>
          <w:lang w:val="fr-FR"/>
        </w:rPr>
        <w:t>enfant et les mariages forcés, qui touchent les femmes et les filles dans les camps de personnes déplacées</w:t>
      </w:r>
      <w:r w:rsidR="00F5100A" w:rsidRPr="0076115A">
        <w:rPr>
          <w:lang w:val="fr-FR"/>
        </w:rPr>
        <w:t> ;</w:t>
      </w:r>
    </w:p>
    <w:p w14:paraId="7DEA0228" w14:textId="334338BF" w:rsidR="00F154F3" w:rsidRPr="0076115A" w:rsidRDefault="00F154F3" w:rsidP="00F154F3">
      <w:pPr>
        <w:pStyle w:val="SingleTxt"/>
        <w:rPr>
          <w:lang w:val="fr-FR"/>
        </w:rPr>
      </w:pPr>
      <w:r w:rsidRPr="0076115A">
        <w:rPr>
          <w:lang w:val="fr-FR"/>
        </w:rPr>
        <w:tab/>
        <w:t>c)</w:t>
      </w:r>
      <w:r w:rsidRPr="0076115A">
        <w:rPr>
          <w:lang w:val="fr-FR"/>
        </w:rPr>
        <w:tab/>
        <w:t>L</w:t>
      </w:r>
      <w:r w:rsidR="00DA3E41" w:rsidRPr="0076115A">
        <w:rPr>
          <w:lang w:val="fr-FR"/>
        </w:rPr>
        <w:t>’</w:t>
      </w:r>
      <w:r w:rsidRPr="0076115A">
        <w:rPr>
          <w:lang w:val="fr-FR"/>
        </w:rPr>
        <w:t>insécurité grandissante qui touche les femmes et les filles et les empêche d</w:t>
      </w:r>
      <w:r w:rsidR="00DA3E41" w:rsidRPr="0076115A">
        <w:rPr>
          <w:lang w:val="fr-FR"/>
        </w:rPr>
        <w:t>’</w:t>
      </w:r>
      <w:r w:rsidRPr="0076115A">
        <w:rPr>
          <w:lang w:val="fr-FR"/>
        </w:rPr>
        <w:t>accéder à l</w:t>
      </w:r>
      <w:r w:rsidR="00DA3E41" w:rsidRPr="0076115A">
        <w:rPr>
          <w:lang w:val="fr-FR"/>
        </w:rPr>
        <w:t>’</w:t>
      </w:r>
      <w:r w:rsidRPr="0076115A">
        <w:rPr>
          <w:lang w:val="fr-FR"/>
        </w:rPr>
        <w:t>eau, à l</w:t>
      </w:r>
      <w:r w:rsidR="00DA3E41" w:rsidRPr="0076115A">
        <w:rPr>
          <w:lang w:val="fr-FR"/>
        </w:rPr>
        <w:t>’</w:t>
      </w:r>
      <w:r w:rsidRPr="0076115A">
        <w:rPr>
          <w:lang w:val="fr-FR"/>
        </w:rPr>
        <w:t>assainissement, à l</w:t>
      </w:r>
      <w:r w:rsidR="00DA3E41" w:rsidRPr="0076115A">
        <w:rPr>
          <w:lang w:val="fr-FR"/>
        </w:rPr>
        <w:t>’</w:t>
      </w:r>
      <w:r w:rsidRPr="0076115A">
        <w:rPr>
          <w:lang w:val="fr-FR"/>
        </w:rPr>
        <w:t>éducation, aux services de santé et à l</w:t>
      </w:r>
      <w:r w:rsidR="00DA3E41" w:rsidRPr="0076115A">
        <w:rPr>
          <w:lang w:val="fr-FR"/>
        </w:rPr>
        <w:t>’</w:t>
      </w:r>
      <w:r w:rsidRPr="0076115A">
        <w:rPr>
          <w:lang w:val="fr-FR"/>
        </w:rPr>
        <w:t>emploi.</w:t>
      </w:r>
    </w:p>
    <w:p w14:paraId="50A9571A" w14:textId="2463E8F8" w:rsidR="00F154F3" w:rsidRPr="0076115A" w:rsidRDefault="00F154F3" w:rsidP="00D43532">
      <w:pPr>
        <w:pStyle w:val="SingleTxt"/>
        <w:numPr>
          <w:ilvl w:val="0"/>
          <w:numId w:val="41"/>
        </w:numPr>
        <w:spacing w:line="240" w:lineRule="exact"/>
        <w:ind w:left="1267"/>
        <w:rPr>
          <w:lang w:val="fr-FR"/>
        </w:rPr>
      </w:pPr>
      <w:r w:rsidRPr="0076115A">
        <w:rPr>
          <w:b/>
          <w:bCs/>
          <w:lang w:val="fr-FR"/>
        </w:rPr>
        <w:t xml:space="preserve">Conformément à sa recommandation générale </w:t>
      </w:r>
      <w:r w:rsidR="00186002" w:rsidRPr="0076115A">
        <w:rPr>
          <w:b/>
          <w:bCs/>
          <w:lang w:val="fr-FR"/>
        </w:rPr>
        <w:t>n</w:t>
      </w:r>
      <w:r w:rsidR="00186002" w:rsidRPr="0076115A">
        <w:rPr>
          <w:b/>
          <w:bCs/>
          <w:vertAlign w:val="superscript"/>
          <w:lang w:val="fr-FR"/>
        </w:rPr>
        <w:t>o</w:t>
      </w:r>
      <w:r w:rsidR="006726A4" w:rsidRPr="0076115A">
        <w:rPr>
          <w:b/>
          <w:bCs/>
          <w:lang w:val="fr-FR"/>
        </w:rPr>
        <w:t> </w:t>
      </w:r>
      <w:hyperlink r:id="rId49" w:history="1">
        <w:r w:rsidRPr="0076115A">
          <w:rPr>
            <w:rStyle w:val="Hyperlink"/>
            <w:b/>
            <w:bCs/>
            <w:lang w:val="fr-FR"/>
          </w:rPr>
          <w:t>32 (2014)</w:t>
        </w:r>
      </w:hyperlink>
      <w:r w:rsidRPr="0076115A">
        <w:rPr>
          <w:b/>
          <w:bCs/>
          <w:lang w:val="fr-FR"/>
        </w:rPr>
        <w:t xml:space="preserve"> sur les femmes et les situations de réfugiés, d</w:t>
      </w:r>
      <w:r w:rsidR="00DA3E41" w:rsidRPr="0076115A">
        <w:rPr>
          <w:b/>
          <w:bCs/>
          <w:lang w:val="fr-FR"/>
        </w:rPr>
        <w:t>’</w:t>
      </w:r>
      <w:r w:rsidRPr="0076115A">
        <w:rPr>
          <w:b/>
          <w:bCs/>
          <w:lang w:val="fr-FR"/>
        </w:rPr>
        <w:t>asile, de nationalité et d</w:t>
      </w:r>
      <w:r w:rsidR="00DA3E41" w:rsidRPr="0076115A">
        <w:rPr>
          <w:b/>
          <w:bCs/>
          <w:lang w:val="fr-FR"/>
        </w:rPr>
        <w:t>’</w:t>
      </w:r>
      <w:r w:rsidRPr="0076115A">
        <w:rPr>
          <w:b/>
          <w:bCs/>
          <w:lang w:val="fr-FR"/>
        </w:rPr>
        <w:t xml:space="preserve">apatridie et à sa recommandation générale </w:t>
      </w:r>
      <w:r w:rsidR="00186002" w:rsidRPr="0076115A">
        <w:rPr>
          <w:b/>
          <w:bCs/>
          <w:lang w:val="fr-FR"/>
        </w:rPr>
        <w:t>n</w:t>
      </w:r>
      <w:r w:rsidR="00186002" w:rsidRPr="0076115A">
        <w:rPr>
          <w:b/>
          <w:bCs/>
          <w:vertAlign w:val="superscript"/>
          <w:lang w:val="fr-FR"/>
        </w:rPr>
        <w:t>o</w:t>
      </w:r>
      <w:r w:rsidR="00186002" w:rsidRPr="0076115A">
        <w:rPr>
          <w:b/>
          <w:bCs/>
          <w:lang w:val="fr-FR"/>
        </w:rPr>
        <w:t> </w:t>
      </w:r>
      <w:hyperlink r:id="rId50" w:history="1">
        <w:r w:rsidRPr="0076115A">
          <w:rPr>
            <w:rStyle w:val="Hyperlink"/>
            <w:b/>
            <w:bCs/>
            <w:lang w:val="fr-FR"/>
          </w:rPr>
          <w:t>30 (2013)</w:t>
        </w:r>
      </w:hyperlink>
      <w:r w:rsidRPr="0076115A">
        <w:rPr>
          <w:b/>
          <w:bCs/>
          <w:lang w:val="fr-FR"/>
        </w:rPr>
        <w:t xml:space="preserve"> sur les femmes dans la prévention des conflits, les conflits et les situations d</w:t>
      </w:r>
      <w:r w:rsidR="00DA3E41" w:rsidRPr="0076115A">
        <w:rPr>
          <w:b/>
          <w:bCs/>
          <w:lang w:val="fr-FR"/>
        </w:rPr>
        <w:t>’</w:t>
      </w:r>
      <w:r w:rsidRPr="0076115A">
        <w:rPr>
          <w:b/>
          <w:bCs/>
          <w:lang w:val="fr-FR"/>
        </w:rPr>
        <w:t>après conflit, le Comité recommande à l</w:t>
      </w:r>
      <w:r w:rsidR="00DA3E41" w:rsidRPr="0076115A">
        <w:rPr>
          <w:b/>
          <w:bCs/>
          <w:lang w:val="fr-FR"/>
        </w:rPr>
        <w:t>’</w:t>
      </w:r>
      <w:r w:rsidRPr="0076115A">
        <w:rPr>
          <w:b/>
          <w:bCs/>
          <w:lang w:val="fr-FR"/>
        </w:rPr>
        <w:t>État partie</w:t>
      </w:r>
      <w:r w:rsidR="00DA3E41" w:rsidRPr="0076115A">
        <w:rPr>
          <w:b/>
          <w:bCs/>
          <w:lang w:val="fr-FR"/>
        </w:rPr>
        <w:t> :</w:t>
      </w:r>
    </w:p>
    <w:p w14:paraId="5E18F726" w14:textId="7E3730C5" w:rsidR="00F154F3" w:rsidRPr="0076115A" w:rsidRDefault="00F154F3" w:rsidP="00F154F3">
      <w:pPr>
        <w:pStyle w:val="SingleTxt"/>
        <w:rPr>
          <w:b/>
          <w:bCs/>
          <w:lang w:val="fr-FR"/>
        </w:rPr>
      </w:pPr>
      <w:r w:rsidRPr="0076115A">
        <w:rPr>
          <w:lang w:val="fr-FR"/>
        </w:rPr>
        <w:tab/>
      </w:r>
      <w:r w:rsidRPr="0076115A">
        <w:rPr>
          <w:b/>
          <w:bCs/>
          <w:lang w:val="fr-FR"/>
        </w:rPr>
        <w:t>a)</w:t>
      </w:r>
      <w:r w:rsidRPr="0076115A">
        <w:rPr>
          <w:b/>
          <w:bCs/>
          <w:lang w:val="fr-FR"/>
        </w:rPr>
        <w:tab/>
        <w:t>De veiller à ce que les femmes déplacées et les réfugiées puissent rentrer chez elles en toute sécurité et participer à la reconstruction de leurs communautés</w:t>
      </w:r>
      <w:r w:rsidR="00F5100A" w:rsidRPr="0076115A">
        <w:rPr>
          <w:b/>
          <w:bCs/>
          <w:lang w:val="fr-FR"/>
        </w:rPr>
        <w:t> ;</w:t>
      </w:r>
    </w:p>
    <w:p w14:paraId="32F90EB0" w14:textId="48163CEF" w:rsidR="00F154F3" w:rsidRPr="0076115A" w:rsidRDefault="00F154F3" w:rsidP="00F154F3">
      <w:pPr>
        <w:pStyle w:val="SingleTxt"/>
        <w:rPr>
          <w:b/>
          <w:bCs/>
          <w:lang w:val="fr-FR"/>
        </w:rPr>
      </w:pPr>
      <w:r w:rsidRPr="0076115A">
        <w:rPr>
          <w:b/>
          <w:bCs/>
          <w:lang w:val="fr-FR"/>
        </w:rPr>
        <w:tab/>
        <w:t>b)</w:t>
      </w:r>
      <w:r w:rsidRPr="0076115A">
        <w:rPr>
          <w:b/>
          <w:bCs/>
          <w:lang w:val="fr-FR"/>
        </w:rPr>
        <w:tab/>
        <w:t>De veiller à ce que la satisfaction des besoins d</w:t>
      </w:r>
      <w:r w:rsidR="00DA3E41" w:rsidRPr="0076115A">
        <w:rPr>
          <w:b/>
          <w:bCs/>
          <w:lang w:val="fr-FR"/>
        </w:rPr>
        <w:t>’</w:t>
      </w:r>
      <w:r w:rsidRPr="0076115A">
        <w:rPr>
          <w:b/>
          <w:bCs/>
          <w:lang w:val="fr-FR"/>
        </w:rPr>
        <w:t>assistance humanitaire immédiate et de protection des femmes déplacées à l</w:t>
      </w:r>
      <w:r w:rsidR="00DA3E41" w:rsidRPr="0076115A">
        <w:rPr>
          <w:b/>
          <w:bCs/>
          <w:lang w:val="fr-FR"/>
        </w:rPr>
        <w:t>’</w:t>
      </w:r>
      <w:r w:rsidRPr="0076115A">
        <w:rPr>
          <w:b/>
          <w:bCs/>
          <w:lang w:val="fr-FR"/>
        </w:rPr>
        <w:t>intérieur de leur pays et réfugiées s</w:t>
      </w:r>
      <w:r w:rsidR="00DA3E41" w:rsidRPr="0076115A">
        <w:rPr>
          <w:b/>
          <w:bCs/>
          <w:lang w:val="fr-FR"/>
        </w:rPr>
        <w:t>’</w:t>
      </w:r>
      <w:r w:rsidRPr="0076115A">
        <w:rPr>
          <w:b/>
          <w:bCs/>
          <w:lang w:val="fr-FR"/>
        </w:rPr>
        <w:t>accompagne de stratégies à long terme de promotion de leurs droits socioéconomiques et leur offre des possibilités de subsistance, de meilleurs moyens de décider de leur avenir, de se prendre en charge et de choisir la solution durable répondant le mieux à leur besoins</w:t>
      </w:r>
      <w:r w:rsidR="00F5100A" w:rsidRPr="0076115A">
        <w:rPr>
          <w:b/>
          <w:bCs/>
          <w:lang w:val="fr-FR"/>
        </w:rPr>
        <w:t> ;</w:t>
      </w:r>
    </w:p>
    <w:p w14:paraId="20D0E1D5" w14:textId="0BAD2018" w:rsidR="00F154F3" w:rsidRPr="0076115A" w:rsidRDefault="00F154F3" w:rsidP="00F154F3">
      <w:pPr>
        <w:pStyle w:val="SingleTxt"/>
        <w:rPr>
          <w:b/>
          <w:bCs/>
          <w:lang w:val="fr-FR"/>
        </w:rPr>
      </w:pPr>
      <w:r w:rsidRPr="0076115A">
        <w:rPr>
          <w:b/>
          <w:bCs/>
          <w:lang w:val="fr-FR"/>
        </w:rPr>
        <w:tab/>
        <w:t>c)</w:t>
      </w:r>
      <w:r w:rsidRPr="0076115A">
        <w:rPr>
          <w:b/>
          <w:bCs/>
          <w:lang w:val="fr-FR"/>
        </w:rPr>
        <w:tab/>
        <w:t>De prendre en compte les risques et les besoins particuliers des différents groupes de femmes rapatriées, de déplacées et de réfugiées, qui sont soumises à des formes multiples et convergentes de discrimination</w:t>
      </w:r>
      <w:r w:rsidR="00F5100A" w:rsidRPr="0076115A">
        <w:rPr>
          <w:b/>
          <w:bCs/>
          <w:lang w:val="fr-FR"/>
        </w:rPr>
        <w:t> ;</w:t>
      </w:r>
    </w:p>
    <w:p w14:paraId="7305F174" w14:textId="16AA373D" w:rsidR="00F154F3" w:rsidRPr="0076115A" w:rsidRDefault="00F154F3" w:rsidP="00F154F3">
      <w:pPr>
        <w:pStyle w:val="SingleTxt"/>
        <w:rPr>
          <w:lang w:val="fr-FR"/>
        </w:rPr>
      </w:pPr>
      <w:r w:rsidRPr="0076115A">
        <w:rPr>
          <w:b/>
          <w:bCs/>
          <w:lang w:val="fr-FR"/>
        </w:rPr>
        <w:tab/>
        <w:t>d)</w:t>
      </w:r>
      <w:r w:rsidRPr="0076115A">
        <w:rPr>
          <w:b/>
          <w:bCs/>
          <w:lang w:val="fr-FR"/>
        </w:rPr>
        <w:tab/>
        <w:t>D</w:t>
      </w:r>
      <w:r w:rsidR="00DA3E41" w:rsidRPr="0076115A">
        <w:rPr>
          <w:b/>
          <w:bCs/>
          <w:lang w:val="fr-FR"/>
        </w:rPr>
        <w:t>’</w:t>
      </w:r>
      <w:r w:rsidRPr="0076115A">
        <w:rPr>
          <w:b/>
          <w:bCs/>
          <w:lang w:val="fr-FR"/>
        </w:rPr>
        <w:t>adhérer à la Convention de 1951 relative au statut des réfugiés et à son Protocole de 1967 et à la Convention de 1961 sur la réduction des cas d</w:t>
      </w:r>
      <w:r w:rsidR="00DA3E41" w:rsidRPr="0076115A">
        <w:rPr>
          <w:b/>
          <w:bCs/>
          <w:lang w:val="fr-FR"/>
        </w:rPr>
        <w:t>’</w:t>
      </w:r>
      <w:r w:rsidRPr="0076115A">
        <w:rPr>
          <w:b/>
          <w:bCs/>
          <w:lang w:val="fr-FR"/>
        </w:rPr>
        <w:t>apatridie, et de modifier sa législation nationale en conséquence afin de renforcer la protection des droits des femmes et des filles réfugiées, des demandeuses d</w:t>
      </w:r>
      <w:r w:rsidR="00DA3E41" w:rsidRPr="0076115A">
        <w:rPr>
          <w:b/>
          <w:bCs/>
          <w:lang w:val="fr-FR"/>
        </w:rPr>
        <w:t>’</w:t>
      </w:r>
      <w:r w:rsidRPr="0076115A">
        <w:rPr>
          <w:b/>
          <w:bCs/>
          <w:lang w:val="fr-FR"/>
        </w:rPr>
        <w:t>asile et des apatrides.</w:t>
      </w:r>
    </w:p>
    <w:p w14:paraId="42FA9989" w14:textId="77777777" w:rsidR="00D43532" w:rsidRPr="0076115A" w:rsidRDefault="00D43532" w:rsidP="00D43532">
      <w:pPr>
        <w:pStyle w:val="SingleTxt"/>
        <w:spacing w:after="0" w:line="120" w:lineRule="exact"/>
        <w:rPr>
          <w:b/>
          <w:sz w:val="10"/>
          <w:lang w:val="fr-FR"/>
        </w:rPr>
      </w:pPr>
    </w:p>
    <w:p w14:paraId="58A6DA3E" w14:textId="05D4778A"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Collecte de données</w:t>
      </w:r>
    </w:p>
    <w:p w14:paraId="2D55B9D8" w14:textId="77777777" w:rsidR="00D43532" w:rsidRPr="0076115A" w:rsidRDefault="00D43532" w:rsidP="00D43532">
      <w:pPr>
        <w:pStyle w:val="SingleTxt"/>
        <w:spacing w:after="0" w:line="120" w:lineRule="exact"/>
        <w:rPr>
          <w:sz w:val="10"/>
          <w:lang w:val="fr-FR"/>
        </w:rPr>
      </w:pPr>
    </w:p>
    <w:p w14:paraId="140F57DD" w14:textId="606C75F3" w:rsidR="00F154F3" w:rsidRPr="0076115A" w:rsidRDefault="00F154F3" w:rsidP="00D43532">
      <w:pPr>
        <w:pStyle w:val="SingleTxt"/>
        <w:numPr>
          <w:ilvl w:val="0"/>
          <w:numId w:val="41"/>
        </w:numPr>
        <w:spacing w:line="240" w:lineRule="exact"/>
        <w:ind w:left="1267"/>
        <w:rPr>
          <w:lang w:val="fr-FR"/>
        </w:rPr>
      </w:pPr>
      <w:r w:rsidRPr="0076115A">
        <w:rPr>
          <w:lang w:val="fr-FR"/>
        </w:rPr>
        <w:t>Le Comité est préoccupé par l</w:t>
      </w:r>
      <w:r w:rsidR="00DA3E41" w:rsidRPr="0076115A">
        <w:rPr>
          <w:lang w:val="fr-FR"/>
        </w:rPr>
        <w:t>’</w:t>
      </w:r>
      <w:r w:rsidRPr="0076115A">
        <w:rPr>
          <w:lang w:val="fr-FR"/>
        </w:rPr>
        <w:t>absence générale de données statistiques ventilées par sexe, âge, appartenance ethnique, handicap, emplacement géographique et situation socioéconomique, qui sont indispensables pour évaluer avec précision la situation des femmes, déterminer l</w:t>
      </w:r>
      <w:r w:rsidR="00DA3E41" w:rsidRPr="0076115A">
        <w:rPr>
          <w:lang w:val="fr-FR"/>
        </w:rPr>
        <w:t>’</w:t>
      </w:r>
      <w:r w:rsidRPr="0076115A">
        <w:rPr>
          <w:lang w:val="fr-FR"/>
        </w:rPr>
        <w:t>ampleur et la nature de la discrimination, élaborer des politiques éclairées et ciblées et assurer le suivi systématique et l</w:t>
      </w:r>
      <w:r w:rsidR="00DA3E41" w:rsidRPr="0076115A">
        <w:rPr>
          <w:lang w:val="fr-FR"/>
        </w:rPr>
        <w:t>’</w:t>
      </w:r>
      <w:r w:rsidRPr="0076115A">
        <w:rPr>
          <w:lang w:val="fr-FR"/>
        </w:rPr>
        <w:t xml:space="preserve">évaluation des </w:t>
      </w:r>
      <w:r w:rsidRPr="0076115A">
        <w:rPr>
          <w:lang w:val="fr-FR"/>
        </w:rPr>
        <w:lastRenderedPageBreak/>
        <w:t>progrès accomplis dans la réalisation de l</w:t>
      </w:r>
      <w:r w:rsidR="00DA3E41" w:rsidRPr="0076115A">
        <w:rPr>
          <w:lang w:val="fr-FR"/>
        </w:rPr>
        <w:t>’</w:t>
      </w:r>
      <w:r w:rsidRPr="0076115A">
        <w:rPr>
          <w:lang w:val="fr-FR"/>
        </w:rPr>
        <w:t>égalité réelle entre femmes et hommes dans tous les domaines visés par la Convention.</w:t>
      </w:r>
    </w:p>
    <w:p w14:paraId="2BAA7CDF" w14:textId="27ED445E" w:rsidR="00F154F3" w:rsidRPr="0076115A" w:rsidRDefault="00F154F3" w:rsidP="00D43532">
      <w:pPr>
        <w:pStyle w:val="SingleTxt"/>
        <w:numPr>
          <w:ilvl w:val="0"/>
          <w:numId w:val="41"/>
        </w:numPr>
        <w:spacing w:line="240" w:lineRule="exact"/>
        <w:ind w:left="1267"/>
        <w:rPr>
          <w:b/>
          <w:lang w:val="fr-FR"/>
        </w:rPr>
      </w:pPr>
      <w:r w:rsidRPr="0076115A">
        <w:rPr>
          <w:b/>
          <w:bCs/>
          <w:lang w:val="fr-FR"/>
        </w:rPr>
        <w:t>Le Comité invite l</w:t>
      </w:r>
      <w:r w:rsidR="00DA3E41" w:rsidRPr="0076115A">
        <w:rPr>
          <w:b/>
          <w:bCs/>
          <w:lang w:val="fr-FR"/>
        </w:rPr>
        <w:t>’</w:t>
      </w:r>
      <w:r w:rsidRPr="0076115A">
        <w:rPr>
          <w:b/>
          <w:bCs/>
          <w:lang w:val="fr-FR"/>
        </w:rPr>
        <w:t>État partie à prendre des mesures de renforcement des capacités et à élaborer un programme de financement des activités concernant les femmes, afin d</w:t>
      </w:r>
      <w:r w:rsidR="00DA3E41" w:rsidRPr="0076115A">
        <w:rPr>
          <w:b/>
          <w:bCs/>
          <w:lang w:val="fr-FR"/>
        </w:rPr>
        <w:t>’</w:t>
      </w:r>
      <w:r w:rsidRPr="0076115A">
        <w:rPr>
          <w:b/>
          <w:bCs/>
          <w:lang w:val="fr-FR"/>
        </w:rPr>
        <w:t>améliorer la collecte de données ventilées par sexe et autres critères pertinents, qui sont nécessaires pour évaluer l</w:t>
      </w:r>
      <w:r w:rsidR="00DA3E41" w:rsidRPr="0076115A">
        <w:rPr>
          <w:b/>
          <w:bCs/>
          <w:lang w:val="fr-FR"/>
        </w:rPr>
        <w:t>’</w:t>
      </w:r>
      <w:r w:rsidRPr="0076115A">
        <w:rPr>
          <w:b/>
          <w:bCs/>
          <w:lang w:val="fr-FR"/>
        </w:rPr>
        <w:t>impact et l</w:t>
      </w:r>
      <w:r w:rsidR="00DA3E41" w:rsidRPr="0076115A">
        <w:rPr>
          <w:b/>
          <w:bCs/>
          <w:lang w:val="fr-FR"/>
        </w:rPr>
        <w:t>’</w:t>
      </w:r>
      <w:r w:rsidRPr="0076115A">
        <w:rPr>
          <w:b/>
          <w:bCs/>
          <w:lang w:val="fr-FR"/>
        </w:rPr>
        <w:t>efficacité des politiques et des programmes visant à prendre systématiquement en compte l</w:t>
      </w:r>
      <w:r w:rsidR="00DA3E41" w:rsidRPr="0076115A">
        <w:rPr>
          <w:b/>
          <w:bCs/>
          <w:lang w:val="fr-FR"/>
        </w:rPr>
        <w:t>’</w:t>
      </w:r>
      <w:r w:rsidRPr="0076115A">
        <w:rPr>
          <w:b/>
          <w:bCs/>
          <w:lang w:val="fr-FR"/>
        </w:rPr>
        <w:t>égalité femmes-hommes et à garantir le plein exercice, par les femmes, de leurs droits.</w:t>
      </w:r>
      <w:r w:rsidRPr="0076115A">
        <w:rPr>
          <w:lang w:val="fr-FR"/>
        </w:rPr>
        <w:t xml:space="preserve"> </w:t>
      </w:r>
      <w:r w:rsidRPr="0076115A">
        <w:rPr>
          <w:b/>
          <w:bCs/>
          <w:lang w:val="fr-FR"/>
        </w:rPr>
        <w:t>À ce titre, le Comité appelle l</w:t>
      </w:r>
      <w:r w:rsidR="00DA3E41" w:rsidRPr="0076115A">
        <w:rPr>
          <w:b/>
          <w:bCs/>
          <w:lang w:val="fr-FR"/>
        </w:rPr>
        <w:t>’</w:t>
      </w:r>
      <w:r w:rsidRPr="0076115A">
        <w:rPr>
          <w:b/>
          <w:bCs/>
          <w:lang w:val="fr-FR"/>
        </w:rPr>
        <w:t xml:space="preserve">attention sur sa recommandation générale </w:t>
      </w:r>
      <w:r w:rsidR="00186002" w:rsidRPr="0076115A">
        <w:rPr>
          <w:b/>
          <w:bCs/>
          <w:lang w:val="fr-FR"/>
        </w:rPr>
        <w:t>n</w:t>
      </w:r>
      <w:r w:rsidR="00186002" w:rsidRPr="0076115A">
        <w:rPr>
          <w:b/>
          <w:bCs/>
          <w:vertAlign w:val="superscript"/>
          <w:lang w:val="fr-FR"/>
        </w:rPr>
        <w:t>o</w:t>
      </w:r>
      <w:r w:rsidR="00186002" w:rsidRPr="0076115A">
        <w:rPr>
          <w:b/>
          <w:bCs/>
          <w:lang w:val="fr-FR"/>
        </w:rPr>
        <w:t> </w:t>
      </w:r>
      <w:hyperlink r:id="rId51" w:history="1">
        <w:r w:rsidRPr="0076115A">
          <w:rPr>
            <w:rStyle w:val="Hyperlink"/>
            <w:b/>
            <w:bCs/>
            <w:lang w:val="fr-FR"/>
          </w:rPr>
          <w:t>9 (1989)</w:t>
        </w:r>
      </w:hyperlink>
      <w:r w:rsidRPr="0076115A">
        <w:rPr>
          <w:b/>
          <w:bCs/>
          <w:lang w:val="fr-FR"/>
        </w:rPr>
        <w:t xml:space="preserve"> sur les données statistiques concernant la situation des femmes.</w:t>
      </w:r>
    </w:p>
    <w:p w14:paraId="4C444D26" w14:textId="77777777" w:rsidR="00D43532" w:rsidRPr="0076115A" w:rsidRDefault="00D43532" w:rsidP="00D43532">
      <w:pPr>
        <w:pStyle w:val="SingleTxt"/>
        <w:spacing w:after="0" w:line="120" w:lineRule="exact"/>
        <w:rPr>
          <w:b/>
          <w:sz w:val="10"/>
          <w:lang w:val="fr-FR"/>
        </w:rPr>
      </w:pPr>
    </w:p>
    <w:p w14:paraId="46854AB5" w14:textId="6600786E"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Protocole facultatif à la Convention et modification du paragraphe 1</w:t>
      </w:r>
      <w:r w:rsidR="00203101" w:rsidRPr="0076115A">
        <w:rPr>
          <w:lang w:val="fr-FR"/>
        </w:rPr>
        <w:br/>
      </w:r>
      <w:r w:rsidRPr="0076115A">
        <w:rPr>
          <w:lang w:val="fr-FR"/>
        </w:rPr>
        <w:t>de l</w:t>
      </w:r>
      <w:r w:rsidR="00DA3E41" w:rsidRPr="0076115A">
        <w:rPr>
          <w:lang w:val="fr-FR"/>
        </w:rPr>
        <w:t>’</w:t>
      </w:r>
      <w:r w:rsidRPr="0076115A">
        <w:rPr>
          <w:lang w:val="fr-FR"/>
        </w:rPr>
        <w:t>article 20 de la Convention</w:t>
      </w:r>
    </w:p>
    <w:p w14:paraId="712614D2" w14:textId="77777777" w:rsidR="00D43532" w:rsidRPr="0076115A" w:rsidRDefault="00D43532" w:rsidP="00D43532">
      <w:pPr>
        <w:pStyle w:val="SingleTxt"/>
        <w:spacing w:after="0" w:line="120" w:lineRule="exact"/>
        <w:rPr>
          <w:sz w:val="10"/>
          <w:lang w:val="fr-FR"/>
        </w:rPr>
      </w:pPr>
    </w:p>
    <w:p w14:paraId="7581002B" w14:textId="09CDDE95"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engage l</w:t>
      </w:r>
      <w:r w:rsidR="00DA3E41" w:rsidRPr="0076115A">
        <w:rPr>
          <w:b/>
          <w:bCs/>
          <w:lang w:val="fr-FR"/>
        </w:rPr>
        <w:t>’</w:t>
      </w:r>
      <w:r w:rsidRPr="0076115A">
        <w:rPr>
          <w:b/>
          <w:bCs/>
          <w:lang w:val="fr-FR"/>
        </w:rPr>
        <w:t>État partie à accélérer le processus de ratification du Protocole facultatif se rapportant à la Convention et à approuver, dès que possible, la modification du paragraphe 1 de l</w:t>
      </w:r>
      <w:r w:rsidR="00DA3E41" w:rsidRPr="0076115A">
        <w:rPr>
          <w:b/>
          <w:bCs/>
          <w:lang w:val="fr-FR"/>
        </w:rPr>
        <w:t>’</w:t>
      </w:r>
      <w:r w:rsidRPr="0076115A">
        <w:rPr>
          <w:b/>
          <w:bCs/>
          <w:lang w:val="fr-FR"/>
        </w:rPr>
        <w:t>article 20 de la Convention, relatif à la période de réunion du Comité.</w:t>
      </w:r>
    </w:p>
    <w:p w14:paraId="2714B78B" w14:textId="77777777" w:rsidR="00D43532" w:rsidRPr="0076115A" w:rsidRDefault="00D43532" w:rsidP="00D43532">
      <w:pPr>
        <w:pStyle w:val="SingleTxt"/>
        <w:spacing w:after="0" w:line="120" w:lineRule="exact"/>
        <w:rPr>
          <w:b/>
          <w:sz w:val="10"/>
          <w:lang w:val="fr-FR"/>
        </w:rPr>
      </w:pPr>
    </w:p>
    <w:p w14:paraId="4F0FCE3B" w14:textId="79C7781E"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Déclaration et Programme d</w:t>
      </w:r>
      <w:r w:rsidR="00DA3E41" w:rsidRPr="0076115A">
        <w:rPr>
          <w:lang w:val="fr-FR"/>
        </w:rPr>
        <w:t>’</w:t>
      </w:r>
      <w:r w:rsidRPr="0076115A">
        <w:rPr>
          <w:lang w:val="fr-FR"/>
        </w:rPr>
        <w:t>action de Beijing</w:t>
      </w:r>
    </w:p>
    <w:p w14:paraId="7777B1B5" w14:textId="77777777" w:rsidR="00D43532" w:rsidRPr="0076115A" w:rsidRDefault="00D43532" w:rsidP="00D43532">
      <w:pPr>
        <w:pStyle w:val="SingleTxt"/>
        <w:spacing w:after="0" w:line="120" w:lineRule="exact"/>
        <w:rPr>
          <w:sz w:val="10"/>
          <w:lang w:val="fr-FR"/>
        </w:rPr>
      </w:pPr>
    </w:p>
    <w:p w14:paraId="2B2E6F3C" w14:textId="68D843FB"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invite l</w:t>
      </w:r>
      <w:r w:rsidR="00DA3E41" w:rsidRPr="0076115A">
        <w:rPr>
          <w:b/>
          <w:bCs/>
          <w:lang w:val="fr-FR"/>
        </w:rPr>
        <w:t>’</w:t>
      </w:r>
      <w:r w:rsidRPr="0076115A">
        <w:rPr>
          <w:b/>
          <w:bCs/>
          <w:lang w:val="fr-FR"/>
        </w:rPr>
        <w:t>État partie à s</w:t>
      </w:r>
      <w:r w:rsidR="00DA3E41" w:rsidRPr="0076115A">
        <w:rPr>
          <w:b/>
          <w:bCs/>
          <w:lang w:val="fr-FR"/>
        </w:rPr>
        <w:t>’</w:t>
      </w:r>
      <w:r w:rsidRPr="0076115A">
        <w:rPr>
          <w:b/>
          <w:bCs/>
          <w:lang w:val="fr-FR"/>
        </w:rPr>
        <w:t>appuyer sur la Déclaration et le Programme d</w:t>
      </w:r>
      <w:r w:rsidR="00DA3E41" w:rsidRPr="0076115A">
        <w:rPr>
          <w:b/>
          <w:bCs/>
          <w:lang w:val="fr-FR"/>
        </w:rPr>
        <w:t>’</w:t>
      </w:r>
      <w:r w:rsidRPr="0076115A">
        <w:rPr>
          <w:b/>
          <w:bCs/>
          <w:lang w:val="fr-FR"/>
        </w:rPr>
        <w:t>action de Beijing et à poursuivre l</w:t>
      </w:r>
      <w:r w:rsidR="00DA3E41" w:rsidRPr="0076115A">
        <w:rPr>
          <w:b/>
          <w:bCs/>
          <w:lang w:val="fr-FR"/>
        </w:rPr>
        <w:t>’</w:t>
      </w:r>
      <w:r w:rsidRPr="0076115A">
        <w:rPr>
          <w:b/>
          <w:bCs/>
          <w:lang w:val="fr-FR"/>
        </w:rPr>
        <w:t>évaluation de la réalisation des droits consacrés par la Convention dans le cadre de l</w:t>
      </w:r>
      <w:r w:rsidR="00DA3E41" w:rsidRPr="0076115A">
        <w:rPr>
          <w:b/>
          <w:bCs/>
          <w:lang w:val="fr-FR"/>
        </w:rPr>
        <w:t>’</w:t>
      </w:r>
      <w:r w:rsidRPr="0076115A">
        <w:rPr>
          <w:b/>
          <w:bCs/>
          <w:lang w:val="fr-FR"/>
        </w:rPr>
        <w:t>examen après 25 ans de la mise en œuvre de la Déclaration et du Programme d</w:t>
      </w:r>
      <w:r w:rsidR="00DA3E41" w:rsidRPr="0076115A">
        <w:rPr>
          <w:b/>
          <w:bCs/>
          <w:lang w:val="fr-FR"/>
        </w:rPr>
        <w:t>’</w:t>
      </w:r>
      <w:r w:rsidRPr="0076115A">
        <w:rPr>
          <w:b/>
          <w:bCs/>
          <w:lang w:val="fr-FR"/>
        </w:rPr>
        <w:t>action en vue de parvenir à une égalité réelle entre les femmes et les hommes.</w:t>
      </w:r>
    </w:p>
    <w:p w14:paraId="5CB1BBE2" w14:textId="77777777" w:rsidR="00D43532" w:rsidRPr="0076115A" w:rsidRDefault="00D43532" w:rsidP="00D43532">
      <w:pPr>
        <w:pStyle w:val="SingleTxt"/>
        <w:spacing w:after="0" w:line="120" w:lineRule="exact"/>
        <w:rPr>
          <w:b/>
          <w:sz w:val="10"/>
          <w:lang w:val="fr-FR"/>
        </w:rPr>
      </w:pPr>
    </w:p>
    <w:p w14:paraId="19E2E3EF" w14:textId="259B950C"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Diffusion</w:t>
      </w:r>
    </w:p>
    <w:p w14:paraId="6FFF256D" w14:textId="77777777" w:rsidR="00D43532" w:rsidRPr="0076115A" w:rsidRDefault="00D43532" w:rsidP="00D43532">
      <w:pPr>
        <w:pStyle w:val="SingleTxt"/>
        <w:spacing w:after="0" w:line="120" w:lineRule="exact"/>
        <w:rPr>
          <w:sz w:val="10"/>
          <w:lang w:val="fr-FR"/>
        </w:rPr>
      </w:pPr>
    </w:p>
    <w:p w14:paraId="61EBC08E" w14:textId="30BEC885"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prie l</w:t>
      </w:r>
      <w:r w:rsidR="00DA3E41" w:rsidRPr="0076115A">
        <w:rPr>
          <w:b/>
          <w:bCs/>
          <w:lang w:val="fr-FR"/>
        </w:rPr>
        <w:t>’</w:t>
      </w:r>
      <w:r w:rsidRPr="0076115A">
        <w:rPr>
          <w:b/>
          <w:bCs/>
          <w:lang w:val="fr-FR"/>
        </w:rPr>
        <w:t>État partie de veiller à diffuser rapidement les présentes observations finales, dans la langue officielle de l</w:t>
      </w:r>
      <w:r w:rsidR="00DA3E41" w:rsidRPr="0076115A">
        <w:rPr>
          <w:b/>
          <w:bCs/>
          <w:lang w:val="fr-FR"/>
        </w:rPr>
        <w:t>’</w:t>
      </w:r>
      <w:r w:rsidRPr="0076115A">
        <w:rPr>
          <w:b/>
          <w:bCs/>
          <w:lang w:val="fr-FR"/>
        </w:rPr>
        <w:t>État partie, aux institutions publiques concernées à tous les niveaux (national, régional et local), en particulier à la Chambre des députés, aux conseils provinciaux, au Parlement de la Région du Kurdistan et aux autorités judiciaires, afin que celles-ci soient pleinement appliquées.</w:t>
      </w:r>
    </w:p>
    <w:p w14:paraId="5F963C37" w14:textId="77777777" w:rsidR="00D43532" w:rsidRPr="0076115A" w:rsidRDefault="00D43532" w:rsidP="00D43532">
      <w:pPr>
        <w:pStyle w:val="SingleTxt"/>
        <w:spacing w:after="0" w:line="120" w:lineRule="exact"/>
        <w:rPr>
          <w:sz w:val="10"/>
          <w:lang w:val="fr-FR"/>
        </w:rPr>
      </w:pPr>
    </w:p>
    <w:p w14:paraId="39C3BBEC" w14:textId="2190FECC" w:rsidR="00F154F3" w:rsidRPr="0076115A" w:rsidRDefault="00D43532"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00F154F3" w:rsidRPr="0076115A">
        <w:rPr>
          <w:lang w:val="fr-FR"/>
        </w:rPr>
        <w:tab/>
        <w:t>Assistance technique</w:t>
      </w:r>
    </w:p>
    <w:p w14:paraId="4F7C5F65" w14:textId="77777777" w:rsidR="00D43532" w:rsidRPr="0076115A" w:rsidRDefault="00D43532" w:rsidP="00D43532">
      <w:pPr>
        <w:pStyle w:val="SingleTxt"/>
        <w:spacing w:after="0" w:line="120" w:lineRule="exact"/>
        <w:rPr>
          <w:sz w:val="10"/>
          <w:lang w:val="fr-FR"/>
        </w:rPr>
      </w:pPr>
    </w:p>
    <w:p w14:paraId="0751DFD9" w14:textId="15626F8B"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recommande à l</w:t>
      </w:r>
      <w:r w:rsidR="00DA3E41" w:rsidRPr="0076115A">
        <w:rPr>
          <w:b/>
          <w:bCs/>
          <w:lang w:val="fr-FR"/>
        </w:rPr>
        <w:t>’</w:t>
      </w:r>
      <w:r w:rsidRPr="0076115A">
        <w:rPr>
          <w:b/>
          <w:bCs/>
          <w:lang w:val="fr-FR"/>
        </w:rPr>
        <w:t>État partie d</w:t>
      </w:r>
      <w:r w:rsidR="00DA3E41" w:rsidRPr="0076115A">
        <w:rPr>
          <w:b/>
          <w:bCs/>
          <w:lang w:val="fr-FR"/>
        </w:rPr>
        <w:t>’</w:t>
      </w:r>
      <w:r w:rsidRPr="0076115A">
        <w:rPr>
          <w:b/>
          <w:bCs/>
          <w:lang w:val="fr-FR"/>
        </w:rPr>
        <w:t>établir un lien entre l</w:t>
      </w:r>
      <w:r w:rsidR="00DA3E41" w:rsidRPr="0076115A">
        <w:rPr>
          <w:b/>
          <w:bCs/>
          <w:lang w:val="fr-FR"/>
        </w:rPr>
        <w:t>’</w:t>
      </w:r>
      <w:r w:rsidRPr="0076115A">
        <w:rPr>
          <w:b/>
          <w:bCs/>
          <w:lang w:val="fr-FR"/>
        </w:rPr>
        <w:t>application de la Convention et l</w:t>
      </w:r>
      <w:r w:rsidR="00DA3E41" w:rsidRPr="0076115A">
        <w:rPr>
          <w:b/>
          <w:bCs/>
          <w:lang w:val="fr-FR"/>
        </w:rPr>
        <w:t>’</w:t>
      </w:r>
      <w:r w:rsidRPr="0076115A">
        <w:rPr>
          <w:b/>
          <w:bCs/>
          <w:lang w:val="fr-FR"/>
        </w:rPr>
        <w:t>action qu</w:t>
      </w:r>
      <w:r w:rsidR="00DA3E41" w:rsidRPr="0076115A">
        <w:rPr>
          <w:b/>
          <w:bCs/>
          <w:lang w:val="fr-FR"/>
        </w:rPr>
        <w:t>’</w:t>
      </w:r>
      <w:r w:rsidRPr="0076115A">
        <w:rPr>
          <w:b/>
          <w:bCs/>
          <w:lang w:val="fr-FR"/>
        </w:rPr>
        <w:t>il mène en faveur du développement, et de faire appel, à cette fin, à l</w:t>
      </w:r>
      <w:r w:rsidR="00DA3E41" w:rsidRPr="0076115A">
        <w:rPr>
          <w:b/>
          <w:bCs/>
          <w:lang w:val="fr-FR"/>
        </w:rPr>
        <w:t>’</w:t>
      </w:r>
      <w:r w:rsidRPr="0076115A">
        <w:rPr>
          <w:b/>
          <w:bCs/>
          <w:lang w:val="fr-FR"/>
        </w:rPr>
        <w:t>assistance technique régionale ou internationale.</w:t>
      </w:r>
    </w:p>
    <w:p w14:paraId="52572CD0" w14:textId="77777777" w:rsidR="00D43532" w:rsidRPr="0076115A" w:rsidRDefault="00D43532" w:rsidP="00D43532">
      <w:pPr>
        <w:pStyle w:val="SingleTxt"/>
        <w:spacing w:after="0" w:line="120" w:lineRule="exact"/>
        <w:rPr>
          <w:b/>
          <w:sz w:val="10"/>
          <w:lang w:val="fr-FR"/>
        </w:rPr>
      </w:pPr>
    </w:p>
    <w:p w14:paraId="018589FF" w14:textId="36E2DCED"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Ratification d</w:t>
      </w:r>
      <w:r w:rsidR="00DA3E41" w:rsidRPr="0076115A">
        <w:rPr>
          <w:lang w:val="fr-FR"/>
        </w:rPr>
        <w:t>’</w:t>
      </w:r>
      <w:r w:rsidRPr="0076115A">
        <w:rPr>
          <w:lang w:val="fr-FR"/>
        </w:rPr>
        <w:t>autres instruments</w:t>
      </w:r>
    </w:p>
    <w:p w14:paraId="587241D7" w14:textId="77777777" w:rsidR="00D43532" w:rsidRPr="0076115A" w:rsidRDefault="00D43532" w:rsidP="00D43532">
      <w:pPr>
        <w:pStyle w:val="SingleTxt"/>
        <w:spacing w:after="0" w:line="120" w:lineRule="exact"/>
        <w:rPr>
          <w:sz w:val="10"/>
          <w:lang w:val="fr-FR"/>
        </w:rPr>
      </w:pPr>
    </w:p>
    <w:p w14:paraId="0A3E3DBB" w14:textId="4DBD2712" w:rsidR="00F154F3" w:rsidRPr="0076115A" w:rsidRDefault="00F154F3" w:rsidP="00D43532">
      <w:pPr>
        <w:pStyle w:val="SingleTxt"/>
        <w:numPr>
          <w:ilvl w:val="0"/>
          <w:numId w:val="41"/>
        </w:numPr>
        <w:spacing w:line="240" w:lineRule="exact"/>
        <w:ind w:left="1267"/>
        <w:rPr>
          <w:lang w:val="fr-FR"/>
        </w:rPr>
      </w:pPr>
      <w:r w:rsidRPr="0076115A">
        <w:rPr>
          <w:b/>
          <w:bCs/>
          <w:lang w:val="fr-FR"/>
        </w:rPr>
        <w:t>Le Comité souligne que l</w:t>
      </w:r>
      <w:r w:rsidR="00DA3E41" w:rsidRPr="0076115A">
        <w:rPr>
          <w:b/>
          <w:bCs/>
          <w:lang w:val="fr-FR"/>
        </w:rPr>
        <w:t>’</w:t>
      </w:r>
      <w:r w:rsidRPr="0076115A">
        <w:rPr>
          <w:b/>
          <w:bCs/>
          <w:lang w:val="fr-FR"/>
        </w:rPr>
        <w:t>adhésion de l</w:t>
      </w:r>
      <w:r w:rsidR="00DA3E41" w:rsidRPr="0076115A">
        <w:rPr>
          <w:b/>
          <w:bCs/>
          <w:lang w:val="fr-FR"/>
        </w:rPr>
        <w:t>’</w:t>
      </w:r>
      <w:r w:rsidRPr="0076115A">
        <w:rPr>
          <w:b/>
          <w:bCs/>
          <w:lang w:val="fr-FR"/>
        </w:rPr>
        <w:t xml:space="preserve">État partie aux neuf grands instruments internationaux relatifs aux droits de </w:t>
      </w:r>
      <w:r w:rsidRPr="0076115A">
        <w:rPr>
          <w:b/>
          <w:bCs/>
          <w:spacing w:val="2"/>
          <w:lang w:val="fr-FR"/>
        </w:rPr>
        <w:t>l</w:t>
      </w:r>
      <w:r w:rsidR="00DA3E41" w:rsidRPr="0076115A">
        <w:rPr>
          <w:b/>
          <w:bCs/>
          <w:spacing w:val="2"/>
          <w:lang w:val="fr-FR"/>
        </w:rPr>
        <w:t>’</w:t>
      </w:r>
      <w:r w:rsidRPr="0076115A">
        <w:rPr>
          <w:b/>
          <w:bCs/>
          <w:spacing w:val="2"/>
          <w:lang w:val="fr-FR"/>
        </w:rPr>
        <w:t>homme</w:t>
      </w:r>
      <w:r w:rsidRPr="0076115A">
        <w:rPr>
          <w:bCs/>
          <w:spacing w:val="2"/>
          <w:vertAlign w:val="superscript"/>
          <w:lang w:val="fr-FR"/>
        </w:rPr>
        <w:footnoteReference w:id="2"/>
      </w:r>
      <w:r w:rsidRPr="0076115A">
        <w:rPr>
          <w:b/>
          <w:bCs/>
          <w:lang w:val="fr-FR"/>
        </w:rPr>
        <w:t xml:space="preserve"> contribuerait à promouvoir l</w:t>
      </w:r>
      <w:r w:rsidR="00DA3E41" w:rsidRPr="0076115A">
        <w:rPr>
          <w:b/>
          <w:bCs/>
          <w:lang w:val="fr-FR"/>
        </w:rPr>
        <w:t>’</w:t>
      </w:r>
      <w:r w:rsidRPr="0076115A">
        <w:rPr>
          <w:b/>
          <w:bCs/>
          <w:lang w:val="fr-FR"/>
        </w:rPr>
        <w:t>exercice effectif par les femmes de ces droits et des libertés fondamentales dans tous les aspects de la vie.</w:t>
      </w:r>
      <w:r w:rsidRPr="0076115A">
        <w:rPr>
          <w:lang w:val="fr-FR"/>
        </w:rPr>
        <w:t xml:space="preserve"> </w:t>
      </w:r>
      <w:r w:rsidRPr="0076115A">
        <w:rPr>
          <w:b/>
          <w:bCs/>
          <w:lang w:val="fr-FR"/>
        </w:rPr>
        <w:t>Il encourage par conséquent l</w:t>
      </w:r>
      <w:r w:rsidR="00DA3E41" w:rsidRPr="0076115A">
        <w:rPr>
          <w:b/>
          <w:bCs/>
          <w:lang w:val="fr-FR"/>
        </w:rPr>
        <w:t>’</w:t>
      </w:r>
      <w:r w:rsidRPr="0076115A">
        <w:rPr>
          <w:b/>
          <w:bCs/>
          <w:lang w:val="fr-FR"/>
        </w:rPr>
        <w:t xml:space="preserve">État </w:t>
      </w:r>
      <w:r w:rsidRPr="0076115A">
        <w:rPr>
          <w:b/>
          <w:bCs/>
          <w:lang w:val="fr-FR"/>
        </w:rPr>
        <w:lastRenderedPageBreak/>
        <w:t>partie à ratifier la Convention internationale sur la protection des droits de tous les travailleurs migrants et des membres de leur famille, à laquelle il n</w:t>
      </w:r>
      <w:r w:rsidR="00DA3E41" w:rsidRPr="0076115A">
        <w:rPr>
          <w:b/>
          <w:bCs/>
          <w:lang w:val="fr-FR"/>
        </w:rPr>
        <w:t>’</w:t>
      </w:r>
      <w:r w:rsidRPr="0076115A">
        <w:rPr>
          <w:b/>
          <w:bCs/>
          <w:lang w:val="fr-FR"/>
        </w:rPr>
        <w:t>est pas encore partie.</w:t>
      </w:r>
    </w:p>
    <w:p w14:paraId="19A3966D" w14:textId="77777777" w:rsidR="00D43532" w:rsidRPr="0076115A" w:rsidRDefault="00D43532" w:rsidP="00D43532">
      <w:pPr>
        <w:pStyle w:val="SingleTxt"/>
        <w:spacing w:after="0" w:line="120" w:lineRule="exact"/>
        <w:rPr>
          <w:b/>
          <w:sz w:val="10"/>
          <w:lang w:val="fr-FR"/>
        </w:rPr>
      </w:pPr>
    </w:p>
    <w:p w14:paraId="03A6BA71" w14:textId="349029E2"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Suite donnée aux observations finales</w:t>
      </w:r>
    </w:p>
    <w:p w14:paraId="1509B69D" w14:textId="77777777" w:rsidR="00D43532" w:rsidRPr="0076115A" w:rsidRDefault="00D43532" w:rsidP="00D43532">
      <w:pPr>
        <w:pStyle w:val="SingleTxt"/>
        <w:spacing w:after="0" w:line="120" w:lineRule="exact"/>
        <w:rPr>
          <w:sz w:val="10"/>
          <w:lang w:val="fr-FR"/>
        </w:rPr>
      </w:pPr>
    </w:p>
    <w:p w14:paraId="18CB9275" w14:textId="22B3E6D6" w:rsidR="00F154F3" w:rsidRPr="0076115A" w:rsidRDefault="00F154F3" w:rsidP="00D43532">
      <w:pPr>
        <w:pStyle w:val="SingleTxt"/>
        <w:numPr>
          <w:ilvl w:val="0"/>
          <w:numId w:val="41"/>
        </w:numPr>
        <w:spacing w:line="240" w:lineRule="exact"/>
        <w:ind w:left="1267"/>
        <w:rPr>
          <w:b/>
          <w:bCs/>
          <w:lang w:val="fr-FR"/>
        </w:rPr>
      </w:pPr>
      <w:r w:rsidRPr="0076115A">
        <w:rPr>
          <w:b/>
          <w:bCs/>
          <w:lang w:val="fr-FR"/>
        </w:rPr>
        <w:t>Le Comité prie l</w:t>
      </w:r>
      <w:r w:rsidR="00DA3E41" w:rsidRPr="0076115A">
        <w:rPr>
          <w:b/>
          <w:bCs/>
          <w:lang w:val="fr-FR"/>
        </w:rPr>
        <w:t>’</w:t>
      </w:r>
      <w:r w:rsidRPr="0076115A">
        <w:rPr>
          <w:b/>
          <w:bCs/>
          <w:lang w:val="fr-FR"/>
        </w:rPr>
        <w:t>État partie de lui communiquer par écrit, dans un délai de deux ans, des informations sur les mesures qu</w:t>
      </w:r>
      <w:r w:rsidR="00DA3E41" w:rsidRPr="0076115A">
        <w:rPr>
          <w:b/>
          <w:bCs/>
          <w:lang w:val="fr-FR"/>
        </w:rPr>
        <w:t>’</w:t>
      </w:r>
      <w:r w:rsidRPr="0076115A">
        <w:rPr>
          <w:b/>
          <w:bCs/>
          <w:lang w:val="fr-FR"/>
        </w:rPr>
        <w:t>il aura prises pour appliquer les recommandations énoncées aux paragraphes 14 a), 16 b) et 40 a) ci-dessus.</w:t>
      </w:r>
    </w:p>
    <w:p w14:paraId="03227F43" w14:textId="77777777" w:rsidR="00D43532" w:rsidRPr="0076115A" w:rsidRDefault="00D43532" w:rsidP="00D43532">
      <w:pPr>
        <w:pStyle w:val="SingleTxt"/>
        <w:spacing w:after="0" w:line="120" w:lineRule="exact"/>
        <w:rPr>
          <w:b/>
          <w:sz w:val="10"/>
          <w:lang w:val="fr-FR"/>
        </w:rPr>
      </w:pPr>
    </w:p>
    <w:p w14:paraId="21B509B0" w14:textId="51033559" w:rsidR="00F154F3" w:rsidRPr="0076115A" w:rsidRDefault="00F154F3" w:rsidP="00D4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115A">
        <w:rPr>
          <w:lang w:val="fr-FR"/>
        </w:rPr>
        <w:tab/>
      </w:r>
      <w:r w:rsidRPr="0076115A">
        <w:rPr>
          <w:lang w:val="fr-FR"/>
        </w:rPr>
        <w:tab/>
        <w:t>Établissement du prochain rapport</w:t>
      </w:r>
    </w:p>
    <w:p w14:paraId="00F6A7DF" w14:textId="77777777" w:rsidR="00D43532" w:rsidRPr="0076115A" w:rsidRDefault="00D43532" w:rsidP="00D43532">
      <w:pPr>
        <w:pStyle w:val="SingleTxt"/>
        <w:spacing w:after="0" w:line="120" w:lineRule="exact"/>
        <w:rPr>
          <w:sz w:val="10"/>
          <w:lang w:val="fr-FR"/>
        </w:rPr>
      </w:pPr>
    </w:p>
    <w:p w14:paraId="6845F2B2" w14:textId="511B4FA3" w:rsidR="00F154F3" w:rsidRPr="0076115A" w:rsidRDefault="00F154F3" w:rsidP="00D43532">
      <w:pPr>
        <w:pStyle w:val="SingleTxt"/>
        <w:numPr>
          <w:ilvl w:val="0"/>
          <w:numId w:val="41"/>
        </w:numPr>
        <w:spacing w:line="240" w:lineRule="exact"/>
        <w:ind w:left="1267"/>
        <w:rPr>
          <w:b/>
          <w:bCs/>
          <w:lang w:val="fr-FR"/>
        </w:rPr>
      </w:pPr>
      <w:r w:rsidRPr="0076115A">
        <w:rPr>
          <w:b/>
          <w:bCs/>
          <w:lang w:val="fr-FR"/>
        </w:rPr>
        <w:t>Le Comité invite l</w:t>
      </w:r>
      <w:r w:rsidR="00DA3E41" w:rsidRPr="0076115A">
        <w:rPr>
          <w:b/>
          <w:bCs/>
          <w:lang w:val="fr-FR"/>
        </w:rPr>
        <w:t>’</w:t>
      </w:r>
      <w:r w:rsidRPr="0076115A">
        <w:rPr>
          <w:b/>
          <w:bCs/>
          <w:lang w:val="fr-FR"/>
        </w:rPr>
        <w:t>État partie à présenter son huitième rapport périodique en novembre 2023.</w:t>
      </w:r>
      <w:r w:rsidRPr="0076115A">
        <w:rPr>
          <w:lang w:val="fr-FR"/>
        </w:rPr>
        <w:t xml:space="preserve"> </w:t>
      </w:r>
      <w:r w:rsidRPr="0076115A">
        <w:rPr>
          <w:b/>
          <w:bCs/>
          <w:lang w:val="fr-FR"/>
        </w:rPr>
        <w:t>Le rapport devra être présenté dans les délais et couvrir toute la période écoulée, jusqu</w:t>
      </w:r>
      <w:r w:rsidR="00DA3E41" w:rsidRPr="0076115A">
        <w:rPr>
          <w:b/>
          <w:bCs/>
          <w:lang w:val="fr-FR"/>
        </w:rPr>
        <w:t>’</w:t>
      </w:r>
      <w:r w:rsidRPr="0076115A">
        <w:rPr>
          <w:b/>
          <w:bCs/>
          <w:lang w:val="fr-FR"/>
        </w:rPr>
        <w:t>à la date à laquelle il sera soumis.</w:t>
      </w:r>
    </w:p>
    <w:p w14:paraId="7ED83F5B" w14:textId="54648E8F" w:rsidR="00FD308B" w:rsidRPr="0076115A" w:rsidRDefault="00F154F3" w:rsidP="00705874">
      <w:pPr>
        <w:pStyle w:val="SingleTxt"/>
        <w:numPr>
          <w:ilvl w:val="0"/>
          <w:numId w:val="41"/>
        </w:numPr>
        <w:spacing w:line="240" w:lineRule="exact"/>
        <w:ind w:left="1267"/>
        <w:rPr>
          <w:b/>
          <w:lang w:val="fr-FR"/>
        </w:rPr>
      </w:pPr>
      <w:r w:rsidRPr="0076115A">
        <w:rPr>
          <w:b/>
          <w:lang w:val="fr-FR"/>
        </w:rPr>
        <w:t>Le Comité invite l</w:t>
      </w:r>
      <w:r w:rsidR="00DA3E41" w:rsidRPr="0076115A">
        <w:rPr>
          <w:b/>
          <w:lang w:val="fr-FR"/>
        </w:rPr>
        <w:t>’</w:t>
      </w:r>
      <w:r w:rsidRPr="0076115A">
        <w:rPr>
          <w:b/>
          <w:lang w:val="fr-FR"/>
        </w:rPr>
        <w:t>État partie à se conformer aux directives harmonisées pour l</w:t>
      </w:r>
      <w:r w:rsidR="00DA3E41" w:rsidRPr="0076115A">
        <w:rPr>
          <w:b/>
          <w:lang w:val="fr-FR"/>
        </w:rPr>
        <w:t>’</w:t>
      </w:r>
      <w:r w:rsidRPr="0076115A">
        <w:rPr>
          <w:b/>
          <w:lang w:val="fr-FR"/>
        </w:rPr>
        <w:t>établissement de rapports au titre des instruments internationaux relatifs aux droits de l</w:t>
      </w:r>
      <w:r w:rsidR="00DA3E41" w:rsidRPr="0076115A">
        <w:rPr>
          <w:b/>
          <w:lang w:val="fr-FR"/>
        </w:rPr>
        <w:t>’</w:t>
      </w:r>
      <w:r w:rsidRPr="0076115A">
        <w:rPr>
          <w:b/>
          <w:lang w:val="fr-FR"/>
        </w:rPr>
        <w:t xml:space="preserve">homme, dont le document de base commun et les rapports correspondant à chaque instrument (voir </w:t>
      </w:r>
      <w:hyperlink r:id="rId52" w:history="1">
        <w:r w:rsidRPr="0076115A">
          <w:rPr>
            <w:rStyle w:val="Hyperlink"/>
            <w:b/>
            <w:lang w:val="fr-FR"/>
          </w:rPr>
          <w:t>HRI/GEN/2/Rev.6</w:t>
        </w:r>
      </w:hyperlink>
      <w:r w:rsidRPr="0076115A">
        <w:rPr>
          <w:b/>
          <w:lang w:val="fr-FR"/>
        </w:rPr>
        <w:t>, chap. I).</w:t>
      </w:r>
    </w:p>
    <w:p w14:paraId="1D9DD310" w14:textId="63B31DBF" w:rsidR="00F154F3" w:rsidRPr="00F5100A" w:rsidRDefault="00F154F3" w:rsidP="00F154F3">
      <w:pPr>
        <w:pStyle w:val="SingleTxt"/>
        <w:spacing w:after="0" w:line="240" w:lineRule="auto"/>
        <w:rPr>
          <w:lang w:val="fr-FR"/>
        </w:rPr>
      </w:pPr>
      <w:r w:rsidRPr="0076115A">
        <w:rPr>
          <w:noProof/>
          <w:w w:val="100"/>
          <w:lang w:val="fr-FR"/>
        </w:rPr>
        <mc:AlternateContent>
          <mc:Choice Requires="wps">
            <w:drawing>
              <wp:anchor distT="0" distB="0" distL="114300" distR="114300" simplePos="0" relativeHeight="251659264" behindDoc="0" locked="0" layoutInCell="1" allowOverlap="1" wp14:anchorId="698912C8" wp14:editId="29BBC60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71A4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154F3" w:rsidRPr="00F5100A" w:rsidSect="00F154F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6T10:13:00Z" w:initials="Start">
    <w:p w14:paraId="03BBDAB0" w14:textId="1C954E72" w:rsidR="00DD3752" w:rsidRPr="00F154F3" w:rsidRDefault="00DD3752">
      <w:pPr>
        <w:pStyle w:val="CommentText"/>
        <w:rPr>
          <w:lang w:val="en-US"/>
        </w:rPr>
      </w:pPr>
      <w:r>
        <w:fldChar w:fldCharType="begin"/>
      </w:r>
      <w:r w:rsidRPr="00F154F3">
        <w:rPr>
          <w:rStyle w:val="CommentReference"/>
          <w:lang w:val="en-US"/>
        </w:rPr>
        <w:instrText xml:space="preserve"> </w:instrText>
      </w:r>
      <w:r w:rsidRPr="00F154F3">
        <w:rPr>
          <w:lang w:val="en-US"/>
        </w:rPr>
        <w:instrText>PAGE \# "'Page: '#'</w:instrText>
      </w:r>
      <w:r w:rsidRPr="00F154F3">
        <w:rPr>
          <w:lang w:val="en-US"/>
        </w:rPr>
        <w:br/>
        <w:instrText>'"</w:instrText>
      </w:r>
      <w:r w:rsidRPr="00F154F3">
        <w:rPr>
          <w:rStyle w:val="CommentReference"/>
          <w:lang w:val="en-US"/>
        </w:rPr>
        <w:instrText xml:space="preserve"> </w:instrText>
      </w:r>
      <w:r>
        <w:fldChar w:fldCharType="end"/>
      </w:r>
      <w:r>
        <w:rPr>
          <w:rStyle w:val="CommentReference"/>
        </w:rPr>
        <w:annotationRef/>
      </w:r>
      <w:r w:rsidRPr="00F154F3">
        <w:rPr>
          <w:lang w:val="en-US"/>
        </w:rPr>
        <w:t xml:space="preserve">&lt;&lt;ODS JOB </w:t>
      </w:r>
      <w:r>
        <w:rPr>
          <w:lang w:val="en-US"/>
        </w:rPr>
        <w:t>N</w:t>
      </w:r>
      <w:r w:rsidRPr="00186002">
        <w:rPr>
          <w:vertAlign w:val="superscript"/>
          <w:lang w:val="en-US"/>
        </w:rPr>
        <w:t>o</w:t>
      </w:r>
      <w:r w:rsidRPr="00F154F3">
        <w:rPr>
          <w:lang w:val="en-US"/>
        </w:rPr>
        <w:t xml:space="preserve">&gt;&gt;N1936334F&lt;&lt;ODS JOB </w:t>
      </w:r>
      <w:r>
        <w:rPr>
          <w:lang w:val="en-US"/>
        </w:rPr>
        <w:t>N</w:t>
      </w:r>
      <w:r w:rsidRPr="00186002">
        <w:rPr>
          <w:vertAlign w:val="superscript"/>
          <w:lang w:val="en-US"/>
        </w:rPr>
        <w:t>o</w:t>
      </w:r>
      <w:r w:rsidRPr="00F154F3">
        <w:rPr>
          <w:lang w:val="en-US"/>
        </w:rPr>
        <w:t>&gt;&gt;</w:t>
      </w:r>
    </w:p>
    <w:p w14:paraId="58C142B7" w14:textId="77777777" w:rsidR="00DD3752" w:rsidRPr="00F154F3" w:rsidRDefault="00DD3752">
      <w:pPr>
        <w:pStyle w:val="CommentText"/>
        <w:rPr>
          <w:lang w:val="en-US"/>
        </w:rPr>
      </w:pPr>
      <w:r w:rsidRPr="00F154F3">
        <w:rPr>
          <w:lang w:val="en-US"/>
        </w:rPr>
        <w:t>&lt;&lt;ODS DOC SYMBOL1&gt;&gt;CEDAW/C/IRQ/CO/7&lt;&lt;ODS DOC SYMBOL1&gt;&gt;</w:t>
      </w:r>
    </w:p>
    <w:p w14:paraId="092949D7" w14:textId="77777777" w:rsidR="00DD3752" w:rsidRDefault="00DD375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2949D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243DE" w14:textId="77777777" w:rsidR="00DD3752" w:rsidRDefault="00DD3752" w:rsidP="00101B18">
      <w:pPr>
        <w:spacing w:line="240" w:lineRule="auto"/>
      </w:pPr>
      <w:r>
        <w:separator/>
      </w:r>
    </w:p>
  </w:endnote>
  <w:endnote w:type="continuationSeparator" w:id="0">
    <w:p w14:paraId="5FD96851" w14:textId="77777777" w:rsidR="00DD3752" w:rsidRDefault="00DD375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D3752" w14:paraId="2EA1AE54" w14:textId="77777777" w:rsidTr="00FD308B">
      <w:tc>
        <w:tcPr>
          <w:tcW w:w="4920" w:type="dxa"/>
          <w:shd w:val="clear" w:color="auto" w:fill="auto"/>
        </w:tcPr>
        <w:p w14:paraId="62A1EED4" w14:textId="7243A29A" w:rsidR="00DD3752" w:rsidRPr="00FD308B" w:rsidRDefault="00DD3752" w:rsidP="00FD30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5BE0">
            <w:rPr>
              <w:b w:val="0"/>
              <w:w w:val="103"/>
              <w:sz w:val="14"/>
            </w:rPr>
            <w:t>19-19563</w:t>
          </w:r>
          <w:r>
            <w:rPr>
              <w:b w:val="0"/>
              <w:w w:val="103"/>
              <w:sz w:val="14"/>
            </w:rPr>
            <w:fldChar w:fldCharType="end"/>
          </w:r>
        </w:p>
      </w:tc>
      <w:tc>
        <w:tcPr>
          <w:tcW w:w="4920" w:type="dxa"/>
          <w:shd w:val="clear" w:color="auto" w:fill="auto"/>
        </w:tcPr>
        <w:p w14:paraId="795435D2" w14:textId="77777777" w:rsidR="00DD3752" w:rsidRPr="00FD308B" w:rsidRDefault="00DD3752" w:rsidP="00FD308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A99BDE" w14:textId="77777777" w:rsidR="00DD3752" w:rsidRPr="00FD308B" w:rsidRDefault="00DD3752" w:rsidP="00F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D3752" w14:paraId="48ADF455" w14:textId="77777777" w:rsidTr="00FD308B">
      <w:tc>
        <w:tcPr>
          <w:tcW w:w="4920" w:type="dxa"/>
          <w:shd w:val="clear" w:color="auto" w:fill="auto"/>
        </w:tcPr>
        <w:p w14:paraId="543C70A1" w14:textId="77777777" w:rsidR="00DD3752" w:rsidRPr="00FD308B" w:rsidRDefault="00DD3752" w:rsidP="00FD308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DB9B6FE" w14:textId="56E82D65" w:rsidR="00DD3752" w:rsidRPr="00FD308B" w:rsidRDefault="00DD3752" w:rsidP="00FD30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5BE0">
            <w:rPr>
              <w:b w:val="0"/>
              <w:w w:val="103"/>
              <w:sz w:val="14"/>
            </w:rPr>
            <w:t>19-19563</w:t>
          </w:r>
          <w:r>
            <w:rPr>
              <w:b w:val="0"/>
              <w:w w:val="103"/>
              <w:sz w:val="14"/>
            </w:rPr>
            <w:fldChar w:fldCharType="end"/>
          </w:r>
        </w:p>
      </w:tc>
    </w:tr>
  </w:tbl>
  <w:p w14:paraId="54833459" w14:textId="77777777" w:rsidR="00DD3752" w:rsidRPr="00FD308B" w:rsidRDefault="00DD3752" w:rsidP="00FD3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B98F" w14:textId="77777777" w:rsidR="00DD3752" w:rsidRDefault="00DD3752">
    <w:pPr>
      <w:pStyle w:val="Footer"/>
    </w:pPr>
    <w:r>
      <w:rPr>
        <w:noProof/>
      </w:rPr>
      <w:drawing>
        <wp:anchor distT="0" distB="0" distL="114300" distR="114300" simplePos="0" relativeHeight="251658240" behindDoc="0" locked="0" layoutInCell="1" allowOverlap="1" wp14:anchorId="40BE46A8" wp14:editId="5EA971D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IRQ/CO/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CO/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D3752" w14:paraId="7816AF4D" w14:textId="77777777" w:rsidTr="00FD308B">
      <w:tc>
        <w:tcPr>
          <w:tcW w:w="3758" w:type="dxa"/>
        </w:tcPr>
        <w:p w14:paraId="52CD609D" w14:textId="54A26F4B" w:rsidR="00DD3752" w:rsidRDefault="00DD3752" w:rsidP="00FD308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05BE0">
            <w:rPr>
              <w:b w:val="0"/>
              <w:sz w:val="20"/>
            </w:rPr>
            <w:t>19-19563 (F)</w:t>
          </w:r>
          <w:r>
            <w:rPr>
              <w:b w:val="0"/>
              <w:sz w:val="20"/>
            </w:rPr>
            <w:fldChar w:fldCharType="end"/>
          </w:r>
          <w:r>
            <w:rPr>
              <w:b w:val="0"/>
              <w:sz w:val="20"/>
            </w:rPr>
            <w:t xml:space="preserve">    051219    111219</w:t>
          </w:r>
        </w:p>
        <w:p w14:paraId="2C0053AF" w14:textId="36CABEC2" w:rsidR="00DD3752" w:rsidRPr="00FD308B" w:rsidRDefault="00DD3752" w:rsidP="00FD308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05BE0">
            <w:rPr>
              <w:rFonts w:ascii="Barcode 3 of 9 by request" w:hAnsi="Barcode 3 of 9 by request"/>
              <w:spacing w:val="0"/>
              <w:w w:val="100"/>
              <w:sz w:val="24"/>
            </w:rPr>
            <w:t>*1919563*</w:t>
          </w:r>
          <w:r>
            <w:rPr>
              <w:rFonts w:ascii="Barcode 3 of 9 by request" w:hAnsi="Barcode 3 of 9 by request"/>
              <w:spacing w:val="0"/>
              <w:w w:val="100"/>
              <w:sz w:val="24"/>
            </w:rPr>
            <w:fldChar w:fldCharType="end"/>
          </w:r>
        </w:p>
      </w:tc>
      <w:tc>
        <w:tcPr>
          <w:tcW w:w="4920" w:type="dxa"/>
        </w:tcPr>
        <w:p w14:paraId="23972297" w14:textId="77777777" w:rsidR="00DD3752" w:rsidRDefault="00DD3752" w:rsidP="00FD308B">
          <w:pPr>
            <w:pStyle w:val="Footer"/>
            <w:spacing w:line="240" w:lineRule="atLeast"/>
            <w:jc w:val="right"/>
            <w:rPr>
              <w:b w:val="0"/>
              <w:sz w:val="20"/>
            </w:rPr>
          </w:pPr>
          <w:r>
            <w:rPr>
              <w:b w:val="0"/>
              <w:noProof/>
              <w:sz w:val="20"/>
            </w:rPr>
            <w:drawing>
              <wp:inline distT="0" distB="0" distL="0" distR="0" wp14:anchorId="258265DC" wp14:editId="168A675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95022DF" w14:textId="77777777" w:rsidR="00DD3752" w:rsidRPr="00FD308B" w:rsidRDefault="00DD3752" w:rsidP="00FD308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11F5F" w14:textId="32F70BCD" w:rsidR="00DD3752" w:rsidRPr="00351763" w:rsidRDefault="00351763" w:rsidP="00351763">
      <w:pPr>
        <w:pStyle w:val="Footer"/>
        <w:spacing w:after="80"/>
        <w:ind w:left="792"/>
        <w:rPr>
          <w:sz w:val="16"/>
        </w:rPr>
      </w:pPr>
      <w:r w:rsidRPr="00351763">
        <w:rPr>
          <w:sz w:val="16"/>
        </w:rPr>
        <w:t>__________________</w:t>
      </w:r>
    </w:p>
  </w:footnote>
  <w:footnote w:type="continuationSeparator" w:id="0">
    <w:p w14:paraId="60EDA781" w14:textId="0A8D7FD2" w:rsidR="00DD3752" w:rsidRPr="00351763" w:rsidRDefault="00351763" w:rsidP="00351763">
      <w:pPr>
        <w:pStyle w:val="Footer"/>
        <w:spacing w:after="80"/>
        <w:ind w:left="792"/>
        <w:rPr>
          <w:sz w:val="16"/>
        </w:rPr>
      </w:pPr>
      <w:r w:rsidRPr="00351763">
        <w:rPr>
          <w:sz w:val="16"/>
        </w:rPr>
        <w:t>__________________</w:t>
      </w:r>
    </w:p>
  </w:footnote>
  <w:footnote w:id="1">
    <w:p w14:paraId="380C9CCB" w14:textId="617D5E72" w:rsidR="00DD3752" w:rsidRPr="00351763" w:rsidRDefault="00DD3752" w:rsidP="00351763">
      <w:pPr>
        <w:pStyle w:val="FootnoteText"/>
        <w:tabs>
          <w:tab w:val="right" w:pos="1195"/>
          <w:tab w:val="left" w:pos="1267"/>
          <w:tab w:val="left" w:pos="1742"/>
          <w:tab w:val="left" w:pos="2218"/>
          <w:tab w:val="left" w:pos="2693"/>
        </w:tabs>
        <w:ind w:left="1267" w:right="1260" w:hanging="576"/>
        <w:rPr>
          <w:lang w:val="fr-FR"/>
        </w:rPr>
      </w:pPr>
      <w:r>
        <w:rPr>
          <w:lang w:val="fr-FR"/>
        </w:rPr>
        <w:tab/>
      </w:r>
      <w:r w:rsidRPr="00351763">
        <w:rPr>
          <w:lang w:val="fr-FR"/>
        </w:rPr>
        <w:t>*</w:t>
      </w:r>
      <w:r w:rsidRPr="00351763">
        <w:rPr>
          <w:lang w:val="fr-FR"/>
        </w:rPr>
        <w:tab/>
        <w:t>Adoptées par le Comité à sa soixante-quatorzième session (21 octobre-8 novembre 2019).</w:t>
      </w:r>
    </w:p>
  </w:footnote>
  <w:footnote w:id="2">
    <w:p w14:paraId="56E7D82F" w14:textId="11311A70" w:rsidR="00DD3752" w:rsidRPr="00351763" w:rsidRDefault="00DD3752" w:rsidP="00D372C7">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351763">
        <w:rPr>
          <w:rStyle w:val="FootnoteReference"/>
          <w:spacing w:val="4"/>
          <w:lang w:val="fr-FR"/>
        </w:rPr>
        <w:footnoteRef/>
      </w:r>
      <w:r w:rsidRPr="00351763">
        <w:rPr>
          <w:lang w:val="fr-FR"/>
        </w:rPr>
        <w:tab/>
        <w:t>Le Pacte international relatif aux droits économiques, sociaux et culturels ;</w:t>
      </w:r>
      <w:r w:rsidR="00A0230B">
        <w:rPr>
          <w:lang w:val="fr-FR"/>
        </w:rPr>
        <w:t xml:space="preserve"> le</w:t>
      </w:r>
      <w:r w:rsidRPr="00351763">
        <w:rPr>
          <w:lang w:val="fr-FR"/>
        </w:rPr>
        <w:t xml:space="preserve"> </w:t>
      </w:r>
      <w:r w:rsidR="00D372C7" w:rsidRPr="00705874">
        <w:rPr>
          <w:lang w:val="fr-FR"/>
        </w:rPr>
        <w:t>Pacte</w:t>
      </w:r>
      <w:r w:rsidR="00D372C7">
        <w:rPr>
          <w:lang w:val="fr-FR"/>
        </w:rPr>
        <w:t xml:space="preserve"> </w:t>
      </w:r>
      <w:r w:rsidR="00D372C7" w:rsidRPr="00705874">
        <w:rPr>
          <w:lang w:val="fr-FR"/>
        </w:rPr>
        <w:t>international</w:t>
      </w:r>
      <w:r w:rsidR="00D372C7">
        <w:rPr>
          <w:lang w:val="fr-FR"/>
        </w:rPr>
        <w:t xml:space="preserve"> </w:t>
      </w:r>
      <w:r w:rsidR="00D372C7" w:rsidRPr="00705874">
        <w:rPr>
          <w:lang w:val="fr-FR"/>
        </w:rPr>
        <w:t>relatif aux droits civils et politiques</w:t>
      </w:r>
      <w:r w:rsidRPr="00351763">
        <w:rPr>
          <w:lang w:val="fr-FR"/>
        </w:rPr>
        <w:t>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D3752" w14:paraId="24B4D669" w14:textId="77777777" w:rsidTr="00FD308B">
      <w:trPr>
        <w:trHeight w:hRule="exact" w:val="864"/>
      </w:trPr>
      <w:tc>
        <w:tcPr>
          <w:tcW w:w="4920" w:type="dxa"/>
          <w:shd w:val="clear" w:color="auto" w:fill="auto"/>
          <w:vAlign w:val="bottom"/>
        </w:tcPr>
        <w:p w14:paraId="07C5AA41" w14:textId="0C20C627" w:rsidR="00DD3752" w:rsidRPr="00FD308B" w:rsidRDefault="00DD3752" w:rsidP="00FD308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5BE0">
            <w:rPr>
              <w:b/>
              <w:color w:val="000000"/>
            </w:rPr>
            <w:t>CEDAW/C/IRQ/CO/7</w:t>
          </w:r>
          <w:r>
            <w:rPr>
              <w:b/>
              <w:color w:val="000000"/>
            </w:rPr>
            <w:fldChar w:fldCharType="end"/>
          </w:r>
        </w:p>
      </w:tc>
      <w:tc>
        <w:tcPr>
          <w:tcW w:w="4920" w:type="dxa"/>
          <w:shd w:val="clear" w:color="auto" w:fill="auto"/>
          <w:vAlign w:val="bottom"/>
        </w:tcPr>
        <w:p w14:paraId="45212C7F" w14:textId="77777777" w:rsidR="00DD3752" w:rsidRDefault="00DD3752" w:rsidP="00FD308B">
          <w:pPr>
            <w:pStyle w:val="Header"/>
          </w:pPr>
        </w:p>
      </w:tc>
    </w:tr>
  </w:tbl>
  <w:p w14:paraId="48923E8E" w14:textId="77777777" w:rsidR="00DD3752" w:rsidRPr="00FD308B" w:rsidRDefault="00DD3752" w:rsidP="00FD308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D3752" w14:paraId="7564A7E6" w14:textId="77777777" w:rsidTr="00FD308B">
      <w:trPr>
        <w:trHeight w:hRule="exact" w:val="864"/>
      </w:trPr>
      <w:tc>
        <w:tcPr>
          <w:tcW w:w="4920" w:type="dxa"/>
          <w:shd w:val="clear" w:color="auto" w:fill="auto"/>
          <w:vAlign w:val="bottom"/>
        </w:tcPr>
        <w:p w14:paraId="3B133D01" w14:textId="77777777" w:rsidR="00DD3752" w:rsidRDefault="00DD3752" w:rsidP="00FD308B">
          <w:pPr>
            <w:pStyle w:val="Header"/>
          </w:pPr>
        </w:p>
      </w:tc>
      <w:tc>
        <w:tcPr>
          <w:tcW w:w="4920" w:type="dxa"/>
          <w:shd w:val="clear" w:color="auto" w:fill="auto"/>
          <w:vAlign w:val="bottom"/>
        </w:tcPr>
        <w:p w14:paraId="6C182587" w14:textId="235C4164" w:rsidR="00DD3752" w:rsidRPr="00FD308B" w:rsidRDefault="00DD3752" w:rsidP="00FD308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5BE0">
            <w:rPr>
              <w:b/>
              <w:color w:val="000000"/>
            </w:rPr>
            <w:t>CEDAW/C/IRQ/CO/7</w:t>
          </w:r>
          <w:r>
            <w:rPr>
              <w:b/>
              <w:color w:val="000000"/>
            </w:rPr>
            <w:fldChar w:fldCharType="end"/>
          </w:r>
        </w:p>
      </w:tc>
    </w:tr>
  </w:tbl>
  <w:p w14:paraId="318A0623" w14:textId="77777777" w:rsidR="00DD3752" w:rsidRPr="00FD308B" w:rsidRDefault="00DD3752" w:rsidP="00FD308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D3752" w14:paraId="501336D3" w14:textId="77777777" w:rsidTr="00FD308B">
      <w:trPr>
        <w:trHeight w:hRule="exact" w:val="864"/>
      </w:trPr>
      <w:tc>
        <w:tcPr>
          <w:tcW w:w="1267" w:type="dxa"/>
          <w:tcBorders>
            <w:bottom w:val="single" w:sz="4" w:space="0" w:color="auto"/>
          </w:tcBorders>
          <w:shd w:val="clear" w:color="auto" w:fill="auto"/>
          <w:vAlign w:val="bottom"/>
        </w:tcPr>
        <w:p w14:paraId="5D1E56A2" w14:textId="77777777" w:rsidR="00DD3752" w:rsidRDefault="00DD3752" w:rsidP="00FD308B">
          <w:pPr>
            <w:pStyle w:val="Header"/>
            <w:spacing w:after="120"/>
          </w:pPr>
        </w:p>
      </w:tc>
      <w:tc>
        <w:tcPr>
          <w:tcW w:w="2059" w:type="dxa"/>
          <w:tcBorders>
            <w:bottom w:val="single" w:sz="4" w:space="0" w:color="auto"/>
          </w:tcBorders>
          <w:shd w:val="clear" w:color="auto" w:fill="auto"/>
          <w:vAlign w:val="bottom"/>
        </w:tcPr>
        <w:p w14:paraId="6FEE7FF5" w14:textId="77777777" w:rsidR="00DD3752" w:rsidRPr="00FD308B" w:rsidRDefault="00DD3752" w:rsidP="00FD308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BAFC48E" w14:textId="77777777" w:rsidR="00DD3752" w:rsidRDefault="00DD3752" w:rsidP="00FD308B">
          <w:pPr>
            <w:pStyle w:val="Header"/>
            <w:spacing w:after="120"/>
          </w:pPr>
        </w:p>
      </w:tc>
      <w:tc>
        <w:tcPr>
          <w:tcW w:w="6466" w:type="dxa"/>
          <w:gridSpan w:val="3"/>
          <w:tcBorders>
            <w:bottom w:val="single" w:sz="4" w:space="0" w:color="auto"/>
          </w:tcBorders>
          <w:shd w:val="clear" w:color="auto" w:fill="auto"/>
          <w:vAlign w:val="bottom"/>
        </w:tcPr>
        <w:p w14:paraId="11143A74" w14:textId="77777777" w:rsidR="00DD3752" w:rsidRPr="00FD308B" w:rsidRDefault="00DD3752" w:rsidP="00FD308B">
          <w:pPr>
            <w:spacing w:after="80" w:line="240" w:lineRule="auto"/>
            <w:jc w:val="right"/>
            <w:rPr>
              <w:position w:val="-4"/>
            </w:rPr>
          </w:pPr>
          <w:r>
            <w:rPr>
              <w:position w:val="-4"/>
              <w:sz w:val="40"/>
            </w:rPr>
            <w:t>CEDAW</w:t>
          </w:r>
          <w:r>
            <w:rPr>
              <w:position w:val="-4"/>
            </w:rPr>
            <w:t>/C/IRQ/CO/7</w:t>
          </w:r>
        </w:p>
      </w:tc>
    </w:tr>
    <w:tr w:rsidR="00DD3752" w:rsidRPr="00FD308B" w14:paraId="33BD0F1F" w14:textId="77777777" w:rsidTr="00FD308B">
      <w:trPr>
        <w:trHeight w:hRule="exact" w:val="2880"/>
      </w:trPr>
      <w:tc>
        <w:tcPr>
          <w:tcW w:w="1267" w:type="dxa"/>
          <w:tcBorders>
            <w:top w:val="single" w:sz="4" w:space="0" w:color="auto"/>
            <w:bottom w:val="single" w:sz="12" w:space="0" w:color="auto"/>
          </w:tcBorders>
          <w:shd w:val="clear" w:color="auto" w:fill="auto"/>
        </w:tcPr>
        <w:p w14:paraId="0C2B2FD2" w14:textId="77777777" w:rsidR="00DD3752" w:rsidRPr="00FD308B" w:rsidRDefault="00DD3752" w:rsidP="00FD308B">
          <w:pPr>
            <w:pStyle w:val="Header"/>
            <w:spacing w:before="120" w:line="240" w:lineRule="auto"/>
            <w:ind w:left="-72"/>
            <w:jc w:val="center"/>
          </w:pPr>
          <w:r>
            <w:t xml:space="preserve">  </w:t>
          </w:r>
          <w:r>
            <w:rPr>
              <w:noProof/>
            </w:rPr>
            <w:drawing>
              <wp:inline distT="0" distB="0" distL="0" distR="0" wp14:anchorId="6C0E4C50" wp14:editId="7B92907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D645BB" w14:textId="7CF1BAE9" w:rsidR="00DD3752" w:rsidRPr="00FD308B" w:rsidRDefault="00DD3752" w:rsidP="00FD308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A3E0ADA" w14:textId="77777777" w:rsidR="00DD3752" w:rsidRPr="00F154F3" w:rsidRDefault="00DD3752" w:rsidP="00FD308B">
          <w:pPr>
            <w:pStyle w:val="Header"/>
            <w:spacing w:before="109"/>
            <w:rPr>
              <w:lang w:val="fr-FR"/>
            </w:rPr>
          </w:pPr>
        </w:p>
      </w:tc>
      <w:tc>
        <w:tcPr>
          <w:tcW w:w="3110" w:type="dxa"/>
          <w:tcBorders>
            <w:top w:val="single" w:sz="4" w:space="0" w:color="auto"/>
            <w:bottom w:val="single" w:sz="12" w:space="0" w:color="auto"/>
          </w:tcBorders>
          <w:shd w:val="clear" w:color="auto" w:fill="auto"/>
        </w:tcPr>
        <w:p w14:paraId="093300AD" w14:textId="77777777" w:rsidR="00DD3752" w:rsidRPr="00F154F3" w:rsidRDefault="00DD3752" w:rsidP="00FD308B">
          <w:pPr>
            <w:pStyle w:val="Distribution"/>
            <w:rPr>
              <w:color w:val="000000"/>
              <w:lang w:val="fr-FR"/>
            </w:rPr>
          </w:pPr>
          <w:r w:rsidRPr="00F154F3">
            <w:rPr>
              <w:color w:val="000000"/>
              <w:lang w:val="fr-FR"/>
            </w:rPr>
            <w:t>Distr. générale</w:t>
          </w:r>
        </w:p>
        <w:p w14:paraId="04AD9829" w14:textId="77777777" w:rsidR="00DD3752" w:rsidRPr="00F154F3" w:rsidRDefault="00DD3752" w:rsidP="00FD308B">
          <w:pPr>
            <w:pStyle w:val="Publication"/>
            <w:rPr>
              <w:color w:val="000000"/>
              <w:lang w:val="fr-FR"/>
            </w:rPr>
          </w:pPr>
          <w:r w:rsidRPr="00F154F3">
            <w:rPr>
              <w:color w:val="000000"/>
              <w:lang w:val="fr-FR"/>
            </w:rPr>
            <w:t>12 novembre 2019</w:t>
          </w:r>
        </w:p>
        <w:p w14:paraId="12B30FEC" w14:textId="77777777" w:rsidR="00DD3752" w:rsidRPr="00F154F3" w:rsidRDefault="00DD3752" w:rsidP="00FD308B">
          <w:pPr>
            <w:rPr>
              <w:lang w:val="fr-FR"/>
            </w:rPr>
          </w:pPr>
          <w:r w:rsidRPr="00F154F3">
            <w:rPr>
              <w:lang w:val="fr-FR"/>
            </w:rPr>
            <w:t>Français</w:t>
          </w:r>
        </w:p>
        <w:p w14:paraId="7A769EF5" w14:textId="6B0C0949" w:rsidR="00DD3752" w:rsidRPr="00F154F3" w:rsidRDefault="00DD3752" w:rsidP="00FD308B">
          <w:pPr>
            <w:pStyle w:val="Original"/>
            <w:rPr>
              <w:color w:val="000000"/>
              <w:lang w:val="fr-FR"/>
            </w:rPr>
          </w:pPr>
          <w:r w:rsidRPr="00F154F3">
            <w:rPr>
              <w:color w:val="000000"/>
              <w:lang w:val="fr-FR"/>
            </w:rPr>
            <w:t>Original</w:t>
          </w:r>
          <w:r>
            <w:rPr>
              <w:color w:val="000000"/>
              <w:lang w:val="fr-FR"/>
            </w:rPr>
            <w:t> :</w:t>
          </w:r>
          <w:r w:rsidRPr="00F154F3">
            <w:rPr>
              <w:color w:val="000000"/>
              <w:lang w:val="fr-FR"/>
            </w:rPr>
            <w:t xml:space="preserve"> anglais</w:t>
          </w:r>
        </w:p>
      </w:tc>
    </w:tr>
  </w:tbl>
  <w:p w14:paraId="76F9E450" w14:textId="77777777" w:rsidR="00DD3752" w:rsidRPr="00F154F3" w:rsidRDefault="00DD3752" w:rsidP="00FD308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032254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A30C7"/>
    <w:multiLevelType w:val="hybridMultilevel"/>
    <w:tmpl w:val="CC125342"/>
    <w:lvl w:ilvl="0" w:tplc="E48A1FA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057FF"/>
    <w:multiLevelType w:val="singleLevel"/>
    <w:tmpl w:val="209E9578"/>
    <w:lvl w:ilvl="0">
      <w:start w:val="1"/>
      <w:numFmt w:val="decimal"/>
      <w:lvlRestart w:val="0"/>
      <w:lvlText w:val="%1."/>
      <w:lvlJc w:val="left"/>
      <w:pPr>
        <w:tabs>
          <w:tab w:val="num" w:pos="475"/>
        </w:tabs>
        <w:ind w:left="0" w:firstLine="0"/>
      </w:pPr>
      <w:rPr>
        <w:b w:val="0"/>
        <w:bCs/>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63*"/>
    <w:docVar w:name="CreationDt" w:val="06/12/2019 10:12 AM"/>
    <w:docVar w:name="DocCategory" w:val="Doc"/>
    <w:docVar w:name="DocType" w:val="Final"/>
    <w:docVar w:name="DutyStation" w:val="New York"/>
    <w:docVar w:name="FooterJN" w:val="19-19563"/>
    <w:docVar w:name="jobn" w:val="19-19563 (F)"/>
    <w:docVar w:name="jobnDT" w:val="19-19563 (F)   061219"/>
    <w:docVar w:name="jobnDTDT" w:val="19-19563 (F)   061219   061219"/>
    <w:docVar w:name="JobNo" w:val="1919563F"/>
    <w:docVar w:name="JobNo2" w:val="1936334F"/>
    <w:docVar w:name="LocalDrive" w:val="0"/>
    <w:docVar w:name="OandT" w:val="LPE"/>
    <w:docVar w:name="sss1" w:val="CEDAW/C/IRQ/CO/7"/>
    <w:docVar w:name="sss2" w:val="-"/>
    <w:docVar w:name="Symbol1" w:val="CEDAW/C/IRQ/CO/7"/>
    <w:docVar w:name="Symbol2" w:val="-"/>
  </w:docVars>
  <w:rsids>
    <w:rsidRoot w:val="001E4699"/>
    <w:rsid w:val="00002584"/>
    <w:rsid w:val="0000315A"/>
    <w:rsid w:val="00020101"/>
    <w:rsid w:val="000211D4"/>
    <w:rsid w:val="00022B75"/>
    <w:rsid w:val="00054742"/>
    <w:rsid w:val="0006491F"/>
    <w:rsid w:val="00071D43"/>
    <w:rsid w:val="00076037"/>
    <w:rsid w:val="00082144"/>
    <w:rsid w:val="000A47D8"/>
    <w:rsid w:val="000D028A"/>
    <w:rsid w:val="00101B18"/>
    <w:rsid w:val="00105E67"/>
    <w:rsid w:val="001177E1"/>
    <w:rsid w:val="00122A56"/>
    <w:rsid w:val="00132423"/>
    <w:rsid w:val="00134FEE"/>
    <w:rsid w:val="0013614A"/>
    <w:rsid w:val="00136656"/>
    <w:rsid w:val="00146C6A"/>
    <w:rsid w:val="00166A0D"/>
    <w:rsid w:val="00176117"/>
    <w:rsid w:val="00186002"/>
    <w:rsid w:val="001B5B15"/>
    <w:rsid w:val="001D1632"/>
    <w:rsid w:val="001D3A5C"/>
    <w:rsid w:val="001D7EBD"/>
    <w:rsid w:val="001E2379"/>
    <w:rsid w:val="001E4699"/>
    <w:rsid w:val="001E4B50"/>
    <w:rsid w:val="001F52F7"/>
    <w:rsid w:val="00203101"/>
    <w:rsid w:val="00210E5C"/>
    <w:rsid w:val="002170EC"/>
    <w:rsid w:val="00235FA3"/>
    <w:rsid w:val="00245107"/>
    <w:rsid w:val="00245FDC"/>
    <w:rsid w:val="002478A0"/>
    <w:rsid w:val="002A08A7"/>
    <w:rsid w:val="002A5E20"/>
    <w:rsid w:val="002B5283"/>
    <w:rsid w:val="002B68EE"/>
    <w:rsid w:val="002C667F"/>
    <w:rsid w:val="002F631D"/>
    <w:rsid w:val="0030765E"/>
    <w:rsid w:val="00336904"/>
    <w:rsid w:val="00351763"/>
    <w:rsid w:val="003616C1"/>
    <w:rsid w:val="00366D21"/>
    <w:rsid w:val="00386354"/>
    <w:rsid w:val="00393B08"/>
    <w:rsid w:val="003A481D"/>
    <w:rsid w:val="003A675A"/>
    <w:rsid w:val="003B18D6"/>
    <w:rsid w:val="003C536A"/>
    <w:rsid w:val="003C59FF"/>
    <w:rsid w:val="003E48BC"/>
    <w:rsid w:val="003E6A5D"/>
    <w:rsid w:val="003F61E1"/>
    <w:rsid w:val="00403DFD"/>
    <w:rsid w:val="00410BE8"/>
    <w:rsid w:val="0042164D"/>
    <w:rsid w:val="00432942"/>
    <w:rsid w:val="00440C93"/>
    <w:rsid w:val="0045106E"/>
    <w:rsid w:val="00472B7F"/>
    <w:rsid w:val="004766A2"/>
    <w:rsid w:val="00480B84"/>
    <w:rsid w:val="0049154D"/>
    <w:rsid w:val="004B64F9"/>
    <w:rsid w:val="004C1A25"/>
    <w:rsid w:val="004E491B"/>
    <w:rsid w:val="00515991"/>
    <w:rsid w:val="00515BCB"/>
    <w:rsid w:val="005225EC"/>
    <w:rsid w:val="00525097"/>
    <w:rsid w:val="005423D1"/>
    <w:rsid w:val="0054246F"/>
    <w:rsid w:val="005509B6"/>
    <w:rsid w:val="00564729"/>
    <w:rsid w:val="00571235"/>
    <w:rsid w:val="005737A3"/>
    <w:rsid w:val="00577A36"/>
    <w:rsid w:val="00580CF2"/>
    <w:rsid w:val="005B398E"/>
    <w:rsid w:val="005C03A7"/>
    <w:rsid w:val="005C5330"/>
    <w:rsid w:val="005D5A69"/>
    <w:rsid w:val="005E2AF2"/>
    <w:rsid w:val="005F1F5F"/>
    <w:rsid w:val="006142E4"/>
    <w:rsid w:val="00632C10"/>
    <w:rsid w:val="00636214"/>
    <w:rsid w:val="00646445"/>
    <w:rsid w:val="006726A4"/>
    <w:rsid w:val="00690698"/>
    <w:rsid w:val="006D7096"/>
    <w:rsid w:val="006D79F5"/>
    <w:rsid w:val="006E4A4B"/>
    <w:rsid w:val="006E5107"/>
    <w:rsid w:val="006F370E"/>
    <w:rsid w:val="006F4B72"/>
    <w:rsid w:val="00703106"/>
    <w:rsid w:val="00705874"/>
    <w:rsid w:val="007459AE"/>
    <w:rsid w:val="007531A5"/>
    <w:rsid w:val="0076115A"/>
    <w:rsid w:val="00771C9E"/>
    <w:rsid w:val="00785AA8"/>
    <w:rsid w:val="007A07AE"/>
    <w:rsid w:val="007B770F"/>
    <w:rsid w:val="007E224F"/>
    <w:rsid w:val="007E2E25"/>
    <w:rsid w:val="007F2EF0"/>
    <w:rsid w:val="008060E7"/>
    <w:rsid w:val="0081562F"/>
    <w:rsid w:val="0082045E"/>
    <w:rsid w:val="008222A3"/>
    <w:rsid w:val="00860676"/>
    <w:rsid w:val="00876489"/>
    <w:rsid w:val="00883D3C"/>
    <w:rsid w:val="00886CF2"/>
    <w:rsid w:val="008A04DD"/>
    <w:rsid w:val="008A1C04"/>
    <w:rsid w:val="008C1F20"/>
    <w:rsid w:val="008C67A4"/>
    <w:rsid w:val="008D3879"/>
    <w:rsid w:val="008F3462"/>
    <w:rsid w:val="009237A6"/>
    <w:rsid w:val="00935932"/>
    <w:rsid w:val="00944124"/>
    <w:rsid w:val="009547DC"/>
    <w:rsid w:val="00956565"/>
    <w:rsid w:val="009730BB"/>
    <w:rsid w:val="00993CB7"/>
    <w:rsid w:val="00994877"/>
    <w:rsid w:val="009C3BFE"/>
    <w:rsid w:val="009D0EE3"/>
    <w:rsid w:val="009E3220"/>
    <w:rsid w:val="009E685E"/>
    <w:rsid w:val="009F40B9"/>
    <w:rsid w:val="00A0230B"/>
    <w:rsid w:val="00A20291"/>
    <w:rsid w:val="00A2494D"/>
    <w:rsid w:val="00A4162A"/>
    <w:rsid w:val="00A536A1"/>
    <w:rsid w:val="00AB0B7D"/>
    <w:rsid w:val="00AC1ACA"/>
    <w:rsid w:val="00AD5F2F"/>
    <w:rsid w:val="00AE7962"/>
    <w:rsid w:val="00AF07C9"/>
    <w:rsid w:val="00B018A4"/>
    <w:rsid w:val="00B06915"/>
    <w:rsid w:val="00B16F12"/>
    <w:rsid w:val="00B245F5"/>
    <w:rsid w:val="00B5155F"/>
    <w:rsid w:val="00B858D5"/>
    <w:rsid w:val="00BA2D2D"/>
    <w:rsid w:val="00BA6112"/>
    <w:rsid w:val="00BD59F7"/>
    <w:rsid w:val="00BF63D2"/>
    <w:rsid w:val="00C138C6"/>
    <w:rsid w:val="00C66456"/>
    <w:rsid w:val="00CB06FB"/>
    <w:rsid w:val="00CB63C5"/>
    <w:rsid w:val="00CE0812"/>
    <w:rsid w:val="00CE34FF"/>
    <w:rsid w:val="00CF5028"/>
    <w:rsid w:val="00D124B2"/>
    <w:rsid w:val="00D30EED"/>
    <w:rsid w:val="00D372C7"/>
    <w:rsid w:val="00D42D9B"/>
    <w:rsid w:val="00D43532"/>
    <w:rsid w:val="00D4501D"/>
    <w:rsid w:val="00D71476"/>
    <w:rsid w:val="00D7715E"/>
    <w:rsid w:val="00DA3E41"/>
    <w:rsid w:val="00DC073C"/>
    <w:rsid w:val="00DC7881"/>
    <w:rsid w:val="00DD3752"/>
    <w:rsid w:val="00E126C3"/>
    <w:rsid w:val="00E15327"/>
    <w:rsid w:val="00E167B8"/>
    <w:rsid w:val="00E343A6"/>
    <w:rsid w:val="00E443AC"/>
    <w:rsid w:val="00E44409"/>
    <w:rsid w:val="00E47A1E"/>
    <w:rsid w:val="00E47D3A"/>
    <w:rsid w:val="00E702F5"/>
    <w:rsid w:val="00E7105F"/>
    <w:rsid w:val="00E7792F"/>
    <w:rsid w:val="00ED4365"/>
    <w:rsid w:val="00EE37EC"/>
    <w:rsid w:val="00EF2DFA"/>
    <w:rsid w:val="00F05BE0"/>
    <w:rsid w:val="00F1162C"/>
    <w:rsid w:val="00F1343B"/>
    <w:rsid w:val="00F154F3"/>
    <w:rsid w:val="00F15898"/>
    <w:rsid w:val="00F313F6"/>
    <w:rsid w:val="00F5012D"/>
    <w:rsid w:val="00F5100A"/>
    <w:rsid w:val="00F6157E"/>
    <w:rsid w:val="00F73093"/>
    <w:rsid w:val="00FA3D05"/>
    <w:rsid w:val="00FA5CC9"/>
    <w:rsid w:val="00FB0A2C"/>
    <w:rsid w:val="00FC59F1"/>
    <w:rsid w:val="00FD0DBD"/>
    <w:rsid w:val="00FD308B"/>
    <w:rsid w:val="00FE7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AB33D8"/>
  <w15:chartTrackingRefBased/>
  <w15:docId w15:val="{0576C2BA-9BD1-4C15-B633-71DAA476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2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44124"/>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44124"/>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44124"/>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44124"/>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44124"/>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44124"/>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44124"/>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44124"/>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44124"/>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44124"/>
    <w:pPr>
      <w:keepNext/>
      <w:keepLines/>
      <w:suppressAutoHyphens/>
      <w:spacing w:line="270" w:lineRule="exact"/>
      <w:outlineLvl w:val="0"/>
    </w:pPr>
    <w:rPr>
      <w:b/>
      <w:sz w:val="24"/>
    </w:rPr>
  </w:style>
  <w:style w:type="paragraph" w:customStyle="1" w:styleId="HCH">
    <w:name w:val="_ H _CH"/>
    <w:basedOn w:val="H1"/>
    <w:next w:val="Normal"/>
    <w:qFormat/>
    <w:rsid w:val="00944124"/>
    <w:pPr>
      <w:spacing w:line="300" w:lineRule="exact"/>
    </w:pPr>
    <w:rPr>
      <w:spacing w:val="-2"/>
      <w:sz w:val="28"/>
    </w:rPr>
  </w:style>
  <w:style w:type="paragraph" w:customStyle="1" w:styleId="HM">
    <w:name w:val="_ H __M"/>
    <w:basedOn w:val="HCH"/>
    <w:next w:val="Normal"/>
    <w:qFormat/>
    <w:rsid w:val="00944124"/>
    <w:pPr>
      <w:spacing w:line="360" w:lineRule="exact"/>
    </w:pPr>
    <w:rPr>
      <w:spacing w:val="-3"/>
      <w:w w:val="99"/>
      <w:sz w:val="34"/>
    </w:rPr>
  </w:style>
  <w:style w:type="paragraph" w:customStyle="1" w:styleId="H23">
    <w:name w:val="_ H_2/3"/>
    <w:basedOn w:val="H1"/>
    <w:next w:val="SingleTxt"/>
    <w:qFormat/>
    <w:rsid w:val="00944124"/>
    <w:pPr>
      <w:spacing w:line="240" w:lineRule="exact"/>
      <w:outlineLvl w:val="1"/>
    </w:pPr>
    <w:rPr>
      <w:spacing w:val="2"/>
      <w:sz w:val="20"/>
    </w:rPr>
  </w:style>
  <w:style w:type="paragraph" w:customStyle="1" w:styleId="H4">
    <w:name w:val="_ H_4"/>
    <w:basedOn w:val="Normal"/>
    <w:next w:val="Normal"/>
    <w:qFormat/>
    <w:rsid w:val="00944124"/>
    <w:pPr>
      <w:keepNext/>
      <w:keepLines/>
      <w:tabs>
        <w:tab w:val="right" w:pos="360"/>
      </w:tabs>
      <w:suppressAutoHyphens/>
      <w:outlineLvl w:val="3"/>
    </w:pPr>
    <w:rPr>
      <w:i/>
      <w:spacing w:val="3"/>
    </w:rPr>
  </w:style>
  <w:style w:type="paragraph" w:customStyle="1" w:styleId="H56">
    <w:name w:val="_ H_5/6"/>
    <w:basedOn w:val="Normal"/>
    <w:next w:val="Normal"/>
    <w:qFormat/>
    <w:rsid w:val="0094412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4412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4412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44124"/>
    <w:pPr>
      <w:spacing w:line="540" w:lineRule="exact"/>
    </w:pPr>
    <w:rPr>
      <w:spacing w:val="-8"/>
      <w:w w:val="96"/>
      <w:sz w:val="57"/>
    </w:rPr>
  </w:style>
  <w:style w:type="paragraph" w:customStyle="1" w:styleId="SS">
    <w:name w:val="__S_S"/>
    <w:basedOn w:val="HCH"/>
    <w:next w:val="Normal"/>
    <w:qFormat/>
    <w:rsid w:val="00944124"/>
    <w:pPr>
      <w:ind w:left="1267" w:right="1267"/>
    </w:pPr>
  </w:style>
  <w:style w:type="paragraph" w:customStyle="1" w:styleId="SingleTxt">
    <w:name w:val="__Single Txt"/>
    <w:basedOn w:val="Normal"/>
    <w:qFormat/>
    <w:rsid w:val="0094412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4412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441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4412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441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4412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44124"/>
    <w:pPr>
      <w:numPr>
        <w:numId w:val="29"/>
      </w:numPr>
      <w:spacing w:after="120"/>
      <w:ind w:right="1267"/>
      <w:jc w:val="both"/>
    </w:pPr>
  </w:style>
  <w:style w:type="paragraph" w:customStyle="1" w:styleId="Bullet2">
    <w:name w:val="Bullet 2"/>
    <w:basedOn w:val="Normal"/>
    <w:qFormat/>
    <w:rsid w:val="00944124"/>
    <w:pPr>
      <w:numPr>
        <w:numId w:val="30"/>
      </w:numPr>
      <w:spacing w:after="120"/>
      <w:ind w:right="1264"/>
      <w:jc w:val="both"/>
    </w:pPr>
  </w:style>
  <w:style w:type="paragraph" w:customStyle="1" w:styleId="Bullet3">
    <w:name w:val="Bullet 3"/>
    <w:basedOn w:val="SingleTxt"/>
    <w:qFormat/>
    <w:rsid w:val="00944124"/>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4412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4412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44124"/>
    <w:pPr>
      <w:spacing w:line="210" w:lineRule="exact"/>
    </w:pPr>
    <w:rPr>
      <w:sz w:val="17"/>
      <w:szCs w:val="20"/>
    </w:rPr>
  </w:style>
  <w:style w:type="character" w:customStyle="1" w:styleId="EndnoteTextChar">
    <w:name w:val="Endnote Text Char"/>
    <w:link w:val="EndnoteText"/>
    <w:uiPriority w:val="99"/>
    <w:semiHidden/>
    <w:rsid w:val="0094412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4412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4412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9441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44124"/>
    <w:pPr>
      <w:spacing w:line="210" w:lineRule="exact"/>
    </w:pPr>
    <w:rPr>
      <w:sz w:val="17"/>
      <w:szCs w:val="20"/>
    </w:rPr>
  </w:style>
  <w:style w:type="character" w:customStyle="1" w:styleId="FootnoteTextChar">
    <w:name w:val="Footnote Text Char"/>
    <w:link w:val="FootnoteText"/>
    <w:uiPriority w:val="99"/>
    <w:rsid w:val="0094412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4412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4412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4412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4412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4412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4412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4412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4412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4412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4412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4412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44124"/>
    <w:rPr>
      <w:sz w:val="14"/>
    </w:rPr>
  </w:style>
  <w:style w:type="paragraph" w:styleId="ListParagraph">
    <w:name w:val="List Paragraph"/>
    <w:basedOn w:val="Normal"/>
    <w:uiPriority w:val="34"/>
    <w:rsid w:val="00944124"/>
    <w:pPr>
      <w:ind w:left="720"/>
      <w:contextualSpacing/>
    </w:pPr>
  </w:style>
  <w:style w:type="paragraph" w:styleId="NoSpacing">
    <w:name w:val="No Spacing"/>
    <w:uiPriority w:val="1"/>
    <w:rsid w:val="0094412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4412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4412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4412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44124"/>
    <w:pPr>
      <w:tabs>
        <w:tab w:val="right" w:pos="9965"/>
      </w:tabs>
      <w:spacing w:line="210" w:lineRule="exact"/>
    </w:pPr>
    <w:rPr>
      <w:spacing w:val="5"/>
      <w:w w:val="104"/>
      <w:sz w:val="17"/>
    </w:rPr>
  </w:style>
  <w:style w:type="paragraph" w:customStyle="1" w:styleId="SmallX">
    <w:name w:val="SmallX"/>
    <w:basedOn w:val="Small"/>
    <w:next w:val="Normal"/>
    <w:qFormat/>
    <w:rsid w:val="00944124"/>
    <w:pPr>
      <w:spacing w:line="180" w:lineRule="exact"/>
      <w:jc w:val="right"/>
    </w:pPr>
    <w:rPr>
      <w:spacing w:val="6"/>
      <w:w w:val="106"/>
      <w:sz w:val="14"/>
    </w:rPr>
  </w:style>
  <w:style w:type="character" w:styleId="Strong">
    <w:name w:val="Strong"/>
    <w:uiPriority w:val="22"/>
    <w:rsid w:val="00944124"/>
    <w:rPr>
      <w:b/>
      <w:bCs/>
    </w:rPr>
  </w:style>
  <w:style w:type="paragraph" w:customStyle="1" w:styleId="Style1">
    <w:name w:val="Style1"/>
    <w:basedOn w:val="Normal"/>
    <w:qFormat/>
    <w:rsid w:val="00944124"/>
  </w:style>
  <w:style w:type="paragraph" w:customStyle="1" w:styleId="Style2">
    <w:name w:val="Style2"/>
    <w:basedOn w:val="Normal"/>
    <w:autoRedefine/>
    <w:qFormat/>
    <w:rsid w:val="00944124"/>
  </w:style>
  <w:style w:type="paragraph" w:customStyle="1" w:styleId="TitleHCH">
    <w:name w:val="Title_H_CH"/>
    <w:basedOn w:val="H1"/>
    <w:next w:val="Normal"/>
    <w:qFormat/>
    <w:rsid w:val="009441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441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44124"/>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D308B"/>
    <w:rPr>
      <w:sz w:val="16"/>
      <w:szCs w:val="16"/>
    </w:rPr>
  </w:style>
  <w:style w:type="paragraph" w:styleId="CommentText">
    <w:name w:val="annotation text"/>
    <w:basedOn w:val="Normal"/>
    <w:link w:val="CommentTextChar"/>
    <w:uiPriority w:val="99"/>
    <w:semiHidden/>
    <w:unhideWhenUsed/>
    <w:rsid w:val="00FD308B"/>
    <w:pPr>
      <w:spacing w:line="240" w:lineRule="auto"/>
    </w:pPr>
    <w:rPr>
      <w:szCs w:val="20"/>
    </w:rPr>
  </w:style>
  <w:style w:type="character" w:customStyle="1" w:styleId="CommentTextChar">
    <w:name w:val="Comment Text Char"/>
    <w:basedOn w:val="DefaultParagraphFont"/>
    <w:link w:val="CommentText"/>
    <w:uiPriority w:val="99"/>
    <w:semiHidden/>
    <w:rsid w:val="00FD308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D308B"/>
    <w:rPr>
      <w:b/>
      <w:bCs/>
    </w:rPr>
  </w:style>
  <w:style w:type="character" w:customStyle="1" w:styleId="CommentSubjectChar">
    <w:name w:val="Comment Subject Char"/>
    <w:basedOn w:val="CommentTextChar"/>
    <w:link w:val="CommentSubject"/>
    <w:uiPriority w:val="99"/>
    <w:semiHidden/>
    <w:rsid w:val="00FD308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A3E41"/>
    <w:rPr>
      <w:color w:val="0000FF"/>
      <w:u w:val="none"/>
    </w:rPr>
  </w:style>
  <w:style w:type="character" w:styleId="UnresolvedMention">
    <w:name w:val="Unresolved Mention"/>
    <w:basedOn w:val="DefaultParagraphFont"/>
    <w:uiPriority w:val="99"/>
    <w:semiHidden/>
    <w:unhideWhenUsed/>
    <w:rsid w:val="00DA3E41"/>
    <w:rPr>
      <w:color w:val="605E5C"/>
      <w:shd w:val="clear" w:color="auto" w:fill="E1DFDD"/>
    </w:rPr>
  </w:style>
  <w:style w:type="character" w:styleId="FollowedHyperlink">
    <w:name w:val="FollowedHyperlink"/>
    <w:basedOn w:val="DefaultParagraphFont"/>
    <w:uiPriority w:val="99"/>
    <w:semiHidden/>
    <w:unhideWhenUsed/>
    <w:rsid w:val="00DA3E41"/>
    <w:rPr>
      <w:color w:val="0000FF"/>
      <w:u w:val="none"/>
    </w:rPr>
  </w:style>
  <w:style w:type="character" w:styleId="Emphasis">
    <w:name w:val="Emphasis"/>
    <w:basedOn w:val="DefaultParagraphFont"/>
    <w:uiPriority w:val="20"/>
    <w:qFormat/>
    <w:rsid w:val="00D372C7"/>
    <w:rPr>
      <w:i/>
      <w:iCs/>
    </w:rPr>
  </w:style>
  <w:style w:type="paragraph" w:styleId="Revision">
    <w:name w:val="Revision"/>
    <w:hidden/>
    <w:uiPriority w:val="99"/>
    <w:semiHidden/>
    <w:rsid w:val="00705874"/>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IRQ/Q/7" TargetMode="External"/><Relationship Id="rId26" Type="http://schemas.openxmlformats.org/officeDocument/2006/relationships/hyperlink" Target="https://undocs.org/fr/S/RES/1325%20(2000)" TargetMode="External"/><Relationship Id="rId39" Type="http://schemas.openxmlformats.org/officeDocument/2006/relationships/hyperlink" Target="https://undocs.org/fr/CEDAW/C/IRQ/CO/4-6"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34" Type="http://schemas.openxmlformats.org/officeDocument/2006/relationships/hyperlink" Target="https://undocs.org/fr/S/RES/2467%20(2019)" TargetMode="External"/><Relationship Id="rId42" Type="http://schemas.openxmlformats.org/officeDocument/2006/relationships/hyperlink" Target="https://undocs.org/fr/S/RES/99%20(2015)" TargetMode="External"/><Relationship Id="rId47" Type="http://schemas.openxmlformats.org/officeDocument/2006/relationships/hyperlink" Target="https://undocs.org/fr/S/RES/29%20(2013)" TargetMode="External"/><Relationship Id="rId50" Type="http://schemas.openxmlformats.org/officeDocument/2006/relationships/hyperlink" Target="https://undocs.org/fr/S/RES/30%20(20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21" TargetMode="External"/><Relationship Id="rId25" Type="http://schemas.openxmlformats.org/officeDocument/2006/relationships/hyperlink" Target="https://undocs.org/fr/S/RES/1325%20(2000)" TargetMode="External"/><Relationship Id="rId33" Type="http://schemas.openxmlformats.org/officeDocument/2006/relationships/hyperlink" Target="https://undocs.org/fr/S/RES/2242%20(2015)" TargetMode="External"/><Relationship Id="rId38" Type="http://schemas.openxmlformats.org/officeDocument/2006/relationships/hyperlink" Target="https://undocs.org/fr/S/RES/25%20(2004)" TargetMode="External"/><Relationship Id="rId46" Type="http://schemas.openxmlformats.org/officeDocument/2006/relationships/hyperlink" Target="https://undocs.org/fr/CEDAW/C/IRQ/CO/4-6" TargetMode="External"/><Relationship Id="rId2" Type="http://schemas.openxmlformats.org/officeDocument/2006/relationships/styles" Target="styles.xml"/><Relationship Id="rId16" Type="http://schemas.openxmlformats.org/officeDocument/2006/relationships/hyperlink" Target="https://undocs.org/fr/CEDAW/C/SR.1720" TargetMode="External"/><Relationship Id="rId20" Type="http://schemas.openxmlformats.org/officeDocument/2006/relationships/hyperlink" Target="https://undocs.org/fr/CEDAW/C/IRQ/4-6" TargetMode="External"/><Relationship Id="rId29" Type="http://schemas.openxmlformats.org/officeDocument/2006/relationships/hyperlink" Target="https://undocs.org/fr/S/RES/1889%20(2009)" TargetMode="External"/><Relationship Id="rId41" Type="http://schemas.openxmlformats.org/officeDocument/2006/relationships/hyperlink" Target="https://undocs.org/fr/CEDAW/C/IRQ/CO/4-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2000)" TargetMode="External"/><Relationship Id="rId32" Type="http://schemas.openxmlformats.org/officeDocument/2006/relationships/hyperlink" Target="https://undocs.org/fr/S/RES/2122%20(2013)" TargetMode="External"/><Relationship Id="rId37" Type="http://schemas.openxmlformats.org/officeDocument/2006/relationships/hyperlink" Target="https://undocs.org/fr/CEDAW/C/IRQ/CO/4-6" TargetMode="External"/><Relationship Id="rId40" Type="http://schemas.openxmlformats.org/officeDocument/2006/relationships/hyperlink" Target="https://undocs.org/fr/S/RES/35%20(2017)" TargetMode="External"/><Relationship Id="rId45" Type="http://schemas.openxmlformats.org/officeDocument/2006/relationships/hyperlink" Target="https://undocs.org/fr/S/RES/24%20(199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IRQ/7" TargetMode="External"/><Relationship Id="rId23" Type="http://schemas.openxmlformats.org/officeDocument/2006/relationships/hyperlink" Target="https://undocs.org/fr/S/RES/1325%20(2000)" TargetMode="External"/><Relationship Id="rId28" Type="http://schemas.openxmlformats.org/officeDocument/2006/relationships/hyperlink" Target="https://undocs.org/fr/S/RES/1888%20(2009)" TargetMode="External"/><Relationship Id="rId36" Type="http://schemas.openxmlformats.org/officeDocument/2006/relationships/hyperlink" Target="https://undocs.org/fr/S/RES/53%20(2008)" TargetMode="External"/><Relationship Id="rId49" Type="http://schemas.openxmlformats.org/officeDocument/2006/relationships/hyperlink" Target="https://undocs.org/fr/S/RES/32%20(2014)" TargetMode="External"/><Relationship Id="rId10" Type="http://schemas.openxmlformats.org/officeDocument/2006/relationships/footer" Target="footer2.xml"/><Relationship Id="rId19" Type="http://schemas.openxmlformats.org/officeDocument/2006/relationships/hyperlink" Target="https://undocs.org/fr/CEDAW/C/IRQ/Q/7/Add.1" TargetMode="External"/><Relationship Id="rId31" Type="http://schemas.openxmlformats.org/officeDocument/2006/relationships/hyperlink" Target="https://undocs.org/fr/S/RES/2106%20(2013)" TargetMode="External"/><Relationship Id="rId44" Type="http://schemas.openxmlformats.org/officeDocument/2006/relationships/hyperlink" Target="https://undocs.org/fr/CEDAW/C/IRQ/CO/4-6" TargetMode="External"/><Relationship Id="rId52" Type="http://schemas.openxmlformats.org/officeDocument/2006/relationships/hyperlink" Target="https://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IRQ/CO/4-6" TargetMode="External"/><Relationship Id="rId27" Type="http://schemas.openxmlformats.org/officeDocument/2006/relationships/hyperlink" Target="https://undocs.org/fr/S/RES/1820%20(2008)" TargetMode="External"/><Relationship Id="rId30" Type="http://schemas.openxmlformats.org/officeDocument/2006/relationships/hyperlink" Target="https://undocs.org/fr/S/RES/1960%20(2010)" TargetMode="External"/><Relationship Id="rId35" Type="http://schemas.openxmlformats.org/officeDocument/2006/relationships/hyperlink" Target="https://undocs.org/fr/S/RES/2493%20(2019)" TargetMode="External"/><Relationship Id="rId43" Type="http://schemas.openxmlformats.org/officeDocument/2006/relationships/hyperlink" Target="https://undocs.org/fr/S/RES/23%20(1997)" TargetMode="External"/><Relationship Id="rId48" Type="http://schemas.openxmlformats.org/officeDocument/2006/relationships/hyperlink" Target="https://undocs.org/fr/S/RES/18%20(1991)" TargetMode="External"/><Relationship Id="rId8" Type="http://schemas.openxmlformats.org/officeDocument/2006/relationships/header" Target="header2.xml"/><Relationship Id="rId51" Type="http://schemas.openxmlformats.org/officeDocument/2006/relationships/hyperlink" Target="https://undocs.org/fr/S/RES/9%20(198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7600</Words>
  <Characters>43324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Musa Ali Okenda</cp:lastModifiedBy>
  <cp:revision>3</cp:revision>
  <cp:lastPrinted>2019-12-10T16:04:00Z</cp:lastPrinted>
  <dcterms:created xsi:type="dcterms:W3CDTF">2019-12-10T16:04:00Z</dcterms:created>
  <dcterms:modified xsi:type="dcterms:W3CDTF">2019-12-10T16:04:00Z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1919563F</vt:lpwstr>
  </property>
  <property fmtid="{D5CDD505-2E9C-101B-9397-08002B2CF9AE}" pid="3" name="ODSRefJobNo">
    <vt:lpwstr>1936334F</vt:lpwstr>
  </property>
  <property fmtid="{D5CDD505-2E9C-101B-9397-08002B2CF9AE}" pid="4" name="Symbol1">
    <vt:lpwstr>CEDAW/C/IRQ/CO/7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16</vt:lpwstr>
  </property>
  <property fmtid="{D5CDD505-2E9C-101B-9397-08002B2CF9AE}" pid="11" name="Operator">
    <vt:lpwstr>LPE</vt:lpwstr>
  </property>
  <property fmtid="{D5CDD505-2E9C-101B-9397-08002B2CF9AE}" pid="12" name="Distribution">
    <vt:lpwstr>générale</vt:lpwstr>
  </property>
  <property fmtid="{D5CDD505-2E9C-101B-9397-08002B2CF9AE}" pid="13" name="Publication Date">
    <vt:lpwstr>12 novembre 2019</vt:lpwstr>
  </property>
  <property fmtid="{D5CDD505-2E9C-101B-9397-08002B2CF9AE}" pid="14" name="Release Date">
    <vt:lpwstr>091219</vt:lpwstr>
  </property>
  <property fmtid="{D5CDD505-2E9C-101B-9397-08002B2CF9AE}" pid="15" name="Title1">
    <vt:lpwstr>		Observations finales concernant le septième rapport périodique de l’Iraq*_x000d_</vt:lpwstr>
  </property>
</Properties>
</file>